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172E4">
      <w:pPr>
        <w:jc w:val="center"/>
        <w:rPr>
          <w:rFonts w:hint="eastAsia" w:ascii="宋体" w:hAnsi="宋体" w:eastAsia="宋体" w:cs="宋体"/>
          <w:b/>
          <w:bCs/>
          <w:color w:val="auto"/>
          <w:sz w:val="48"/>
          <w:szCs w:val="56"/>
          <w:highlight w:val="none"/>
        </w:rPr>
      </w:pPr>
      <w:bookmarkStart w:id="11" w:name="_GoBack"/>
    </w:p>
    <w:p w14:paraId="1678D6EB">
      <w:pPr>
        <w:jc w:val="center"/>
        <w:rPr>
          <w:rFonts w:hint="eastAsia" w:ascii="宋体" w:hAnsi="宋体" w:eastAsia="宋体" w:cs="宋体"/>
          <w:b/>
          <w:bCs/>
          <w:color w:val="auto"/>
          <w:sz w:val="48"/>
          <w:szCs w:val="56"/>
          <w:highlight w:val="none"/>
        </w:rPr>
      </w:pPr>
      <w:r>
        <w:rPr>
          <w:rFonts w:hint="eastAsia" w:ascii="宋体" w:hAnsi="宋体" w:eastAsia="宋体" w:cs="宋体"/>
          <w:b/>
          <w:bCs/>
          <w:color w:val="auto"/>
          <w:sz w:val="48"/>
          <w:szCs w:val="56"/>
          <w:highlight w:val="none"/>
        </w:rPr>
        <w:t>濠河夜画2026年演员服务项目</w:t>
      </w:r>
    </w:p>
    <w:p w14:paraId="34D9C2A0">
      <w:pPr>
        <w:spacing w:line="360" w:lineRule="auto"/>
        <w:jc w:val="center"/>
        <w:rPr>
          <w:rFonts w:hint="eastAsia" w:ascii="宋体" w:hAnsi="宋体" w:eastAsia="宋体" w:cs="宋体"/>
          <w:b/>
          <w:bCs/>
          <w:color w:val="auto"/>
          <w:sz w:val="44"/>
          <w:szCs w:val="52"/>
          <w:highlight w:val="none"/>
        </w:rPr>
      </w:pPr>
    </w:p>
    <w:p w14:paraId="6BE79EA3">
      <w:pPr>
        <w:spacing w:line="1400" w:lineRule="exact"/>
        <w:jc w:val="both"/>
        <w:rPr>
          <w:rFonts w:hint="eastAsia" w:ascii="宋体" w:hAnsi="宋体" w:eastAsia="宋体" w:cs="宋体"/>
          <w:b/>
          <w:bCs/>
          <w:color w:val="auto"/>
          <w:sz w:val="70"/>
          <w:szCs w:val="70"/>
          <w:highlight w:val="none"/>
        </w:rPr>
      </w:pPr>
    </w:p>
    <w:p w14:paraId="2FBDD597">
      <w:pPr>
        <w:spacing w:line="140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70"/>
          <w:szCs w:val="70"/>
          <w:highlight w:val="none"/>
        </w:rPr>
        <w:t>公开招标文件</w:t>
      </w:r>
    </w:p>
    <w:p w14:paraId="20B7DDCB">
      <w:pPr>
        <w:spacing w:line="64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（资格后审）</w:t>
      </w:r>
    </w:p>
    <w:p w14:paraId="48C489B7">
      <w:pPr>
        <w:snapToGrid w:val="0"/>
        <w:spacing w:line="64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项目编号：</w:t>
      </w:r>
      <w:r>
        <w:rPr>
          <w:rFonts w:hint="eastAsia" w:ascii="宋体" w:hAnsi="宋体" w:eastAsia="宋体" w:cs="宋体"/>
          <w:color w:val="auto"/>
          <w:sz w:val="32"/>
          <w:szCs w:val="32"/>
          <w:highlight w:val="none"/>
          <w:lang w:val="en-US" w:eastAsia="zh-CN"/>
        </w:rPr>
        <w:t xml:space="preserve"> ZRNT20260007</w:t>
      </w:r>
    </w:p>
    <w:p w14:paraId="36E40A92">
      <w:pPr>
        <w:snapToGrid w:val="0"/>
        <w:spacing w:line="360" w:lineRule="auto"/>
        <w:jc w:val="center"/>
        <w:rPr>
          <w:rFonts w:hint="eastAsia" w:ascii="宋体" w:hAnsi="宋体" w:eastAsia="宋体" w:cs="宋体"/>
          <w:b/>
          <w:bCs/>
          <w:color w:val="auto"/>
          <w:sz w:val="36"/>
          <w:szCs w:val="36"/>
          <w:highlight w:val="none"/>
        </w:rPr>
      </w:pPr>
    </w:p>
    <w:p w14:paraId="65765BC1">
      <w:pPr>
        <w:pStyle w:val="28"/>
        <w:ind w:left="520" w:firstLine="723"/>
        <w:rPr>
          <w:rFonts w:hint="eastAsia" w:ascii="宋体" w:hAnsi="宋体" w:eastAsia="宋体" w:cs="宋体"/>
          <w:b/>
          <w:bCs/>
          <w:color w:val="auto"/>
          <w:sz w:val="36"/>
          <w:szCs w:val="36"/>
          <w:highlight w:val="none"/>
        </w:rPr>
      </w:pPr>
    </w:p>
    <w:p w14:paraId="08AAD75B">
      <w:pPr>
        <w:snapToGrid w:val="0"/>
        <w:spacing w:line="360" w:lineRule="auto"/>
        <w:jc w:val="center"/>
        <w:rPr>
          <w:rFonts w:hint="eastAsia" w:ascii="宋体" w:hAnsi="宋体" w:eastAsia="宋体" w:cs="宋体"/>
          <w:b/>
          <w:bCs/>
          <w:color w:val="auto"/>
          <w:sz w:val="36"/>
          <w:szCs w:val="36"/>
          <w:highlight w:val="none"/>
        </w:rPr>
      </w:pPr>
    </w:p>
    <w:p w14:paraId="1D14622D">
      <w:pPr>
        <w:snapToGrid w:val="0"/>
        <w:spacing w:line="360" w:lineRule="auto"/>
        <w:jc w:val="center"/>
        <w:rPr>
          <w:rFonts w:hint="eastAsia" w:ascii="宋体" w:hAnsi="宋体" w:eastAsia="宋体" w:cs="宋体"/>
          <w:b/>
          <w:bCs/>
          <w:color w:val="auto"/>
          <w:sz w:val="36"/>
          <w:szCs w:val="36"/>
          <w:highlight w:val="none"/>
        </w:rPr>
      </w:pPr>
    </w:p>
    <w:p w14:paraId="320720F4">
      <w:pPr>
        <w:snapToGrid w:val="0"/>
        <w:spacing w:line="360" w:lineRule="auto"/>
        <w:jc w:val="center"/>
        <w:rPr>
          <w:rFonts w:hint="eastAsia" w:ascii="宋体" w:hAnsi="宋体" w:eastAsia="宋体" w:cs="宋体"/>
          <w:b/>
          <w:bCs/>
          <w:color w:val="auto"/>
          <w:sz w:val="36"/>
          <w:szCs w:val="36"/>
          <w:highlight w:val="none"/>
        </w:rPr>
      </w:pPr>
    </w:p>
    <w:p w14:paraId="7727C544">
      <w:pPr>
        <w:snapToGrid w:val="0"/>
        <w:spacing w:line="360" w:lineRule="auto"/>
        <w:jc w:val="both"/>
        <w:rPr>
          <w:rFonts w:hint="eastAsia" w:ascii="宋体" w:hAnsi="宋体" w:eastAsia="宋体" w:cs="宋体"/>
          <w:b/>
          <w:bCs/>
          <w:color w:val="auto"/>
          <w:sz w:val="36"/>
          <w:szCs w:val="36"/>
          <w:highlight w:val="none"/>
        </w:rPr>
      </w:pPr>
    </w:p>
    <w:p w14:paraId="56880ADA">
      <w:pPr>
        <w:snapToGrid w:val="0"/>
        <w:spacing w:line="360" w:lineRule="auto"/>
        <w:rPr>
          <w:rFonts w:hint="eastAsia" w:ascii="宋体" w:hAnsi="宋体" w:eastAsia="宋体" w:cs="宋体"/>
          <w:b/>
          <w:bCs/>
          <w:color w:val="auto"/>
          <w:sz w:val="36"/>
          <w:szCs w:val="36"/>
          <w:highlight w:val="none"/>
        </w:rPr>
      </w:pPr>
    </w:p>
    <w:p w14:paraId="3C1541B6">
      <w:pPr>
        <w:adjustRightInd w:val="0"/>
        <w:snapToGrid w:val="0"/>
        <w:spacing w:line="600" w:lineRule="exact"/>
        <w:jc w:val="center"/>
        <w:rPr>
          <w:rFonts w:hint="eastAsia" w:ascii="宋体" w:hAnsi="宋体" w:eastAsia="宋体" w:cs="宋体"/>
          <w:b/>
          <w:bCs/>
          <w:color w:val="auto"/>
          <w:sz w:val="28"/>
          <w:szCs w:val="32"/>
          <w:highlight w:val="none"/>
          <w:lang w:eastAsia="zh-CN"/>
        </w:rPr>
      </w:pPr>
      <w:r>
        <w:rPr>
          <w:rFonts w:hint="eastAsia" w:ascii="宋体" w:hAnsi="宋体" w:eastAsia="宋体" w:cs="宋体"/>
          <w:b/>
          <w:bCs/>
          <w:color w:val="auto"/>
          <w:sz w:val="28"/>
          <w:szCs w:val="32"/>
          <w:highlight w:val="none"/>
        </w:rPr>
        <w:t>招标单位：</w:t>
      </w:r>
      <w:r>
        <w:rPr>
          <w:rFonts w:hint="eastAsia" w:ascii="宋体" w:hAnsi="宋体" w:eastAsia="宋体" w:cs="宋体"/>
          <w:b/>
          <w:bCs/>
          <w:color w:val="auto"/>
          <w:sz w:val="28"/>
          <w:szCs w:val="32"/>
          <w:highlight w:val="none"/>
          <w:lang w:eastAsia="zh-CN"/>
        </w:rPr>
        <w:t>南通濠河良辰滨水运营管理有限公司</w:t>
      </w:r>
    </w:p>
    <w:p w14:paraId="1686A7E7">
      <w:pPr>
        <w:adjustRightInd w:val="0"/>
        <w:snapToGrid w:val="0"/>
        <w:spacing w:line="600" w:lineRule="exact"/>
        <w:jc w:val="center"/>
        <w:rPr>
          <w:rFonts w:hint="eastAsia" w:ascii="宋体" w:hAnsi="宋体" w:eastAsia="宋体" w:cs="宋体"/>
          <w:b/>
          <w:bCs/>
          <w:color w:val="auto"/>
          <w:sz w:val="28"/>
          <w:szCs w:val="32"/>
          <w:highlight w:val="none"/>
          <w:u w:val="single"/>
        </w:rPr>
      </w:pPr>
      <w:r>
        <w:rPr>
          <w:rFonts w:hint="eastAsia" w:ascii="宋体" w:hAnsi="宋体" w:eastAsia="宋体" w:cs="宋体"/>
          <w:b/>
          <w:bCs/>
          <w:color w:val="auto"/>
          <w:sz w:val="28"/>
          <w:szCs w:val="32"/>
          <w:highlight w:val="none"/>
        </w:rPr>
        <w:t>代理机构：江苏中润工程建设咨询有限公司</w:t>
      </w:r>
    </w:p>
    <w:p w14:paraId="46E41904">
      <w:pPr>
        <w:adjustRightInd w:val="0"/>
        <w:snapToGrid w:val="0"/>
        <w:spacing w:line="600" w:lineRule="exact"/>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日期：二〇二</w:t>
      </w:r>
      <w:r>
        <w:rPr>
          <w:rFonts w:hint="eastAsia" w:ascii="宋体" w:hAnsi="宋体" w:eastAsia="宋体" w:cs="宋体"/>
          <w:b/>
          <w:bCs/>
          <w:color w:val="auto"/>
          <w:sz w:val="28"/>
          <w:szCs w:val="32"/>
          <w:highlight w:val="none"/>
          <w:lang w:val="en-US" w:eastAsia="zh-CN"/>
        </w:rPr>
        <w:t>六</w:t>
      </w:r>
      <w:r>
        <w:rPr>
          <w:rFonts w:hint="eastAsia" w:ascii="宋体" w:hAnsi="宋体" w:eastAsia="宋体" w:cs="宋体"/>
          <w:b/>
          <w:bCs/>
          <w:color w:val="auto"/>
          <w:sz w:val="28"/>
          <w:szCs w:val="32"/>
          <w:highlight w:val="none"/>
        </w:rPr>
        <w:t>年</w:t>
      </w:r>
      <w:r>
        <w:rPr>
          <w:rFonts w:hint="eastAsia" w:ascii="宋体" w:hAnsi="宋体" w:eastAsia="宋体" w:cs="宋体"/>
          <w:b/>
          <w:bCs/>
          <w:color w:val="auto"/>
          <w:sz w:val="28"/>
          <w:szCs w:val="32"/>
          <w:highlight w:val="none"/>
          <w:lang w:val="en-US" w:eastAsia="zh-CN"/>
        </w:rPr>
        <w:t>元</w:t>
      </w:r>
      <w:r>
        <w:rPr>
          <w:rFonts w:hint="eastAsia" w:ascii="宋体" w:hAnsi="宋体" w:eastAsia="宋体" w:cs="宋体"/>
          <w:b/>
          <w:bCs/>
          <w:color w:val="auto"/>
          <w:sz w:val="28"/>
          <w:szCs w:val="32"/>
          <w:highlight w:val="none"/>
        </w:rPr>
        <w:t>月</w:t>
      </w:r>
    </w:p>
    <w:p w14:paraId="60C71596">
      <w:pPr>
        <w:widowControl/>
        <w:spacing w:beforeAutospacing="1" w:afterAutospacing="1"/>
        <w:jc w:val="left"/>
        <w:rPr>
          <w:rFonts w:hint="eastAsia" w:ascii="宋体" w:hAnsi="宋体" w:eastAsia="宋体" w:cs="宋体"/>
          <w:b/>
          <w:bCs/>
          <w:color w:val="auto"/>
          <w:sz w:val="32"/>
          <w:szCs w:val="32"/>
          <w:highlight w:val="none"/>
        </w:rPr>
        <w:sectPr>
          <w:footerReference r:id="rId3" w:type="default"/>
          <w:pgSz w:w="11906" w:h="16838"/>
          <w:pgMar w:top="1304" w:right="1417" w:bottom="1304" w:left="1417" w:header="851" w:footer="567" w:gutter="0"/>
          <w:pgNumType w:start="0"/>
          <w:cols w:space="720" w:num="1"/>
          <w:docGrid w:linePitch="354" w:charSpace="0"/>
        </w:sectPr>
      </w:pPr>
    </w:p>
    <w:p w14:paraId="25994B69">
      <w:pPr>
        <w:pStyle w:val="4"/>
        <w:overflowPunct w:val="0"/>
        <w:ind w:firstLine="0"/>
        <w:jc w:val="center"/>
        <w:rPr>
          <w:rFonts w:hint="eastAsia" w:ascii="宋体" w:hAnsi="宋体" w:eastAsia="宋体" w:cs="宋体"/>
          <w:b/>
          <w:bCs/>
          <w:color w:val="auto"/>
          <w:sz w:val="44"/>
          <w:szCs w:val="44"/>
          <w:highlight w:val="none"/>
        </w:rPr>
      </w:pPr>
    </w:p>
    <w:p w14:paraId="04EEBF09">
      <w:pPr>
        <w:pStyle w:val="4"/>
        <w:overflowPunct w:val="0"/>
        <w:ind w:firstLine="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56235F1C">
      <w:pPr>
        <w:pStyle w:val="4"/>
        <w:overflowPunct w:val="0"/>
        <w:ind w:firstLine="0"/>
        <w:jc w:val="center"/>
        <w:rPr>
          <w:rFonts w:hint="eastAsia" w:ascii="宋体" w:hAnsi="宋体" w:eastAsia="宋体" w:cs="宋体"/>
          <w:color w:val="auto"/>
          <w:sz w:val="30"/>
          <w:szCs w:val="30"/>
          <w:highlight w:val="none"/>
        </w:rPr>
      </w:pPr>
    </w:p>
    <w:p w14:paraId="2604A0C5">
      <w:pPr>
        <w:pStyle w:val="13"/>
        <w:tabs>
          <w:tab w:val="right" w:leader="dot" w:pos="9528"/>
        </w:tabs>
        <w:spacing w:line="1200" w:lineRule="exact"/>
        <w:ind w:firstLine="528" w:firstLineChars="146"/>
        <w:rPr>
          <w:rFonts w:hint="eastAsia" w:ascii="宋体" w:hAnsi="宋体" w:eastAsia="宋体" w:cs="宋体"/>
          <w:color w:val="auto"/>
          <w:sz w:val="28"/>
          <w:szCs w:val="28"/>
          <w:highlight w:val="none"/>
        </w:rPr>
      </w:pP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TOC \o "1-1"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color w:val="auto"/>
          <w:sz w:val="28"/>
          <w:szCs w:val="28"/>
          <w:highlight w:val="none"/>
        </w:rPr>
        <w:t>第一章  招标公告</w:t>
      </w:r>
    </w:p>
    <w:p w14:paraId="1A98791D">
      <w:pPr>
        <w:pStyle w:val="13"/>
        <w:tabs>
          <w:tab w:val="right" w:leader="dot" w:pos="9528"/>
        </w:tabs>
        <w:spacing w:line="12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第二章  投标须知</w:t>
      </w:r>
    </w:p>
    <w:p w14:paraId="666B1550">
      <w:pPr>
        <w:pStyle w:val="13"/>
        <w:tabs>
          <w:tab w:val="right" w:leader="dot" w:pos="9528"/>
        </w:tabs>
        <w:spacing w:line="12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第三章  项目需求</w:t>
      </w:r>
    </w:p>
    <w:p w14:paraId="351D9EB7">
      <w:pPr>
        <w:pStyle w:val="13"/>
        <w:tabs>
          <w:tab w:val="right" w:leader="dot" w:pos="9528"/>
        </w:tabs>
        <w:spacing w:line="12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第四章  评审方法和程序</w:t>
      </w:r>
    </w:p>
    <w:p w14:paraId="4C5EA799">
      <w:pPr>
        <w:pStyle w:val="13"/>
        <w:tabs>
          <w:tab w:val="right" w:leader="dot" w:pos="9528"/>
        </w:tabs>
        <w:spacing w:line="12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合同授予</w:t>
      </w:r>
    </w:p>
    <w:p w14:paraId="66507F9B">
      <w:pPr>
        <w:pStyle w:val="13"/>
        <w:tabs>
          <w:tab w:val="right" w:leader="dot" w:pos="9528"/>
        </w:tabs>
        <w:spacing w:line="12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第六章  投标响应文件组成及格式</w:t>
      </w:r>
    </w:p>
    <w:p w14:paraId="393C5425">
      <w:pPr>
        <w:spacing w:line="1200" w:lineRule="exact"/>
        <w:rPr>
          <w:rFonts w:hint="eastAsia" w:ascii="宋体" w:hAnsi="宋体" w:eastAsia="宋体" w:cs="宋体"/>
          <w:color w:val="auto"/>
          <w:sz w:val="36"/>
          <w:szCs w:val="36"/>
          <w:highlight w:val="none"/>
        </w:rPr>
      </w:pPr>
    </w:p>
    <w:p w14:paraId="5A74EC6D">
      <w:pPr>
        <w:snapToGrid w:val="0"/>
        <w:spacing w:line="5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36"/>
          <w:szCs w:val="36"/>
          <w:highlight w:val="none"/>
        </w:rPr>
        <w:fldChar w:fldCharType="end"/>
      </w:r>
    </w:p>
    <w:p w14:paraId="7DDB265F">
      <w:pPr>
        <w:snapToGrid w:val="0"/>
        <w:spacing w:line="400" w:lineRule="exact"/>
        <w:rPr>
          <w:rFonts w:hint="eastAsia" w:ascii="宋体" w:hAnsi="宋体" w:eastAsia="宋体" w:cs="宋体"/>
          <w:b/>
          <w:bCs/>
          <w:color w:val="auto"/>
          <w:sz w:val="21"/>
          <w:szCs w:val="21"/>
          <w:highlight w:val="none"/>
        </w:rPr>
        <w:sectPr>
          <w:pgSz w:w="11906" w:h="16838"/>
          <w:pgMar w:top="1304" w:right="1417" w:bottom="1304" w:left="1417" w:header="851" w:footer="624" w:gutter="0"/>
          <w:cols w:space="720" w:num="1"/>
          <w:docGrid w:linePitch="354" w:charSpace="0"/>
        </w:sectPr>
      </w:pPr>
      <w:r>
        <w:rPr>
          <w:rFonts w:hint="eastAsia" w:ascii="宋体" w:hAnsi="宋体" w:eastAsia="宋体" w:cs="宋体"/>
          <w:b/>
          <w:bCs/>
          <w:color w:val="auto"/>
          <w:sz w:val="21"/>
          <w:szCs w:val="21"/>
          <w:highlight w:val="none"/>
        </w:rPr>
        <w:br w:type="page"/>
      </w:r>
    </w:p>
    <w:p w14:paraId="381F3DD0">
      <w:pPr>
        <w:snapToGrid w:val="0"/>
        <w:spacing w:line="400" w:lineRule="exact"/>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尊敬的投标人：</w:t>
      </w:r>
    </w:p>
    <w:p w14:paraId="21933286">
      <w:pPr>
        <w:snapToGrid w:val="0"/>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欢迎参加本项目的公开招标。为了保证本次招标顺利进行，请在制作投标响应文件之前，仔细阅读本招标文件的各项条款，并按要求制作和递交投标响应文件。谢谢合作！</w:t>
      </w:r>
    </w:p>
    <w:p w14:paraId="27060FFB">
      <w:pPr>
        <w:pStyle w:val="31"/>
        <w:spacing w:before="240" w:after="240" w:line="320" w:lineRule="atLeast"/>
        <w:rPr>
          <w:rFonts w:hint="eastAsia" w:ascii="宋体" w:hAnsi="宋体" w:eastAsia="宋体" w:cs="宋体"/>
          <w:color w:val="auto"/>
          <w:sz w:val="36"/>
          <w:szCs w:val="36"/>
          <w:highlight w:val="none"/>
        </w:rPr>
      </w:pPr>
      <w:bookmarkStart w:id="0" w:name="_Toc363573853"/>
      <w:r>
        <w:rPr>
          <w:rFonts w:hint="eastAsia" w:ascii="宋体" w:hAnsi="宋体" w:eastAsia="宋体" w:cs="宋体"/>
          <w:color w:val="auto"/>
          <w:w w:val="80"/>
          <w:highlight w:val="none"/>
        </w:rPr>
        <w:t>第一章  招标公告</w:t>
      </w:r>
      <w:bookmarkEnd w:id="0"/>
    </w:p>
    <w:p w14:paraId="2E9FC6BC">
      <w:pPr>
        <w:pBdr>
          <w:top w:val="single" w:color="auto" w:sz="4" w:space="1"/>
          <w:left w:val="single" w:color="auto" w:sz="4" w:space="4"/>
          <w:bottom w:val="single" w:color="auto" w:sz="4" w:space="0"/>
          <w:right w:val="single" w:color="auto" w:sz="4" w:space="0"/>
        </w:pBdr>
        <w:spacing w:line="440" w:lineRule="exact"/>
        <w:ind w:firstLine="482" w:firstLineChars="200"/>
        <w:rPr>
          <w:rFonts w:hint="eastAsia" w:ascii="宋体" w:hAnsi="宋体" w:eastAsia="宋体" w:cs="宋体"/>
          <w:b/>
          <w:bCs/>
          <w:color w:val="auto"/>
          <w:sz w:val="24"/>
          <w:szCs w:val="24"/>
          <w:highlight w:val="none"/>
        </w:rPr>
      </w:pPr>
      <w:bookmarkStart w:id="1" w:name="_Hlk67480463"/>
      <w:r>
        <w:rPr>
          <w:rFonts w:hint="eastAsia" w:ascii="宋体" w:hAnsi="宋体" w:eastAsia="宋体" w:cs="宋体"/>
          <w:b/>
          <w:bCs/>
          <w:color w:val="auto"/>
          <w:sz w:val="24"/>
          <w:szCs w:val="24"/>
          <w:highlight w:val="none"/>
        </w:rPr>
        <w:t>项目概况</w:t>
      </w:r>
    </w:p>
    <w:p w14:paraId="4297D6C4">
      <w:pPr>
        <w:pBdr>
          <w:top w:val="single" w:color="auto" w:sz="4" w:space="1"/>
          <w:left w:val="single" w:color="auto" w:sz="4" w:space="4"/>
          <w:bottom w:val="single" w:color="auto" w:sz="4" w:space="0"/>
          <w:right w:val="single" w:color="auto" w:sz="4" w:space="0"/>
        </w:pBdr>
        <w:snapToGrid w:val="0"/>
        <w:spacing w:line="440" w:lineRule="exact"/>
        <w:ind w:firstLine="482" w:firstLineChars="200"/>
        <w:rPr>
          <w:rFonts w:hint="eastAsia" w:ascii="宋体" w:hAnsi="宋体" w:eastAsia="宋体" w:cs="宋体"/>
          <w:color w:val="auto"/>
          <w:sz w:val="21"/>
          <w:szCs w:val="24"/>
          <w:highlight w:val="none"/>
        </w:rPr>
      </w:pPr>
      <w:r>
        <w:rPr>
          <w:rFonts w:hint="eastAsia" w:ascii="宋体" w:hAnsi="宋体" w:eastAsia="宋体" w:cs="宋体"/>
          <w:b/>
          <w:bCs/>
          <w:color w:val="auto"/>
          <w:sz w:val="24"/>
          <w:szCs w:val="24"/>
          <w:highlight w:val="none"/>
          <w:u w:val="single"/>
        </w:rPr>
        <w:t>濠河夜画2026年演员服务项目</w:t>
      </w:r>
      <w:r>
        <w:rPr>
          <w:rFonts w:hint="eastAsia" w:ascii="宋体" w:hAnsi="宋体" w:eastAsia="宋体" w:cs="宋体"/>
          <w:b/>
          <w:bCs/>
          <w:color w:val="auto"/>
          <w:sz w:val="24"/>
          <w:szCs w:val="24"/>
          <w:highlight w:val="none"/>
        </w:rPr>
        <w:t>的潜在投标人应在</w:t>
      </w:r>
      <w:r>
        <w:rPr>
          <w:rFonts w:hint="eastAsia" w:ascii="宋体" w:hAnsi="宋体" w:eastAsia="宋体" w:cs="宋体"/>
          <w:b/>
          <w:bCs/>
          <w:color w:val="auto"/>
          <w:sz w:val="24"/>
          <w:szCs w:val="24"/>
          <w:highlight w:val="none"/>
          <w:u w:val="single"/>
        </w:rPr>
        <w:t>“南通市崇川区人民政府网（http://www.chongchuan.gov.cn/）→我要看→公示公告栏”</w:t>
      </w:r>
      <w:r>
        <w:rPr>
          <w:rFonts w:hint="eastAsia" w:ascii="宋体" w:hAnsi="宋体" w:eastAsia="宋体" w:cs="宋体"/>
          <w:b/>
          <w:bCs/>
          <w:color w:val="auto"/>
          <w:sz w:val="24"/>
          <w:szCs w:val="24"/>
          <w:highlight w:val="none"/>
        </w:rPr>
        <w:t>内获取招标文件，并于</w:t>
      </w:r>
      <w:r>
        <w:rPr>
          <w:rFonts w:hint="eastAsia" w:ascii="宋体" w:hAnsi="宋体" w:eastAsia="宋体" w:cs="宋体"/>
          <w:b/>
          <w:bCs/>
          <w:color w:val="auto"/>
          <w:sz w:val="24"/>
          <w:szCs w:val="24"/>
          <w:highlight w:val="none"/>
          <w:u w:val="single"/>
          <w:lang w:eastAsia="zh-CN"/>
        </w:rPr>
        <w:t>2026年</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rPr>
        <w:t>日9时30分00秒</w:t>
      </w:r>
      <w:r>
        <w:rPr>
          <w:rFonts w:hint="eastAsia" w:ascii="宋体" w:hAnsi="宋体" w:eastAsia="宋体" w:cs="宋体"/>
          <w:b/>
          <w:bCs/>
          <w:color w:val="auto"/>
          <w:sz w:val="24"/>
          <w:szCs w:val="24"/>
          <w:highlight w:val="none"/>
        </w:rPr>
        <w:t>（北京时间）前提交投标响应文件。</w:t>
      </w:r>
      <w:bookmarkEnd w:id="1"/>
    </w:p>
    <w:p w14:paraId="5616E715">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江苏中润工程建设咨询有限公司</w:t>
      </w:r>
      <w:r>
        <w:rPr>
          <w:rFonts w:hint="eastAsia" w:ascii="宋体" w:hAnsi="宋体" w:eastAsia="宋体" w:cs="宋体"/>
          <w:color w:val="auto"/>
          <w:sz w:val="24"/>
          <w:szCs w:val="24"/>
          <w:highlight w:val="none"/>
        </w:rPr>
        <w:t>（以下称代理机构）受</w:t>
      </w:r>
      <w:r>
        <w:rPr>
          <w:rFonts w:hint="eastAsia" w:ascii="宋体" w:hAnsi="宋体" w:eastAsia="宋体" w:cs="宋体"/>
          <w:color w:val="auto"/>
          <w:sz w:val="24"/>
          <w:szCs w:val="24"/>
          <w:highlight w:val="none"/>
          <w:u w:val="single"/>
          <w:lang w:eastAsia="zh-CN"/>
        </w:rPr>
        <w:t>南通濠河良辰滨水运营管理有限公司</w:t>
      </w:r>
      <w:r>
        <w:rPr>
          <w:rFonts w:hint="eastAsia" w:ascii="宋体" w:hAnsi="宋体" w:eastAsia="宋体" w:cs="宋体"/>
          <w:color w:val="auto"/>
          <w:sz w:val="24"/>
          <w:szCs w:val="24"/>
          <w:highlight w:val="none"/>
        </w:rPr>
        <w:t>（以下称招标人）的委托，就</w:t>
      </w:r>
      <w:r>
        <w:rPr>
          <w:rFonts w:hint="eastAsia" w:ascii="宋体" w:hAnsi="宋体" w:eastAsia="宋体" w:cs="宋体"/>
          <w:color w:val="auto"/>
          <w:sz w:val="24"/>
          <w:szCs w:val="24"/>
          <w:highlight w:val="none"/>
          <w:u w:val="single"/>
          <w:lang w:val="en-US" w:eastAsia="zh-CN"/>
        </w:rPr>
        <w:t>濠河夜画2026年演员服务项目</w:t>
      </w:r>
      <w:r>
        <w:rPr>
          <w:rFonts w:hint="eastAsia" w:ascii="宋体" w:hAnsi="宋体" w:eastAsia="宋体" w:cs="宋体"/>
          <w:color w:val="auto"/>
          <w:sz w:val="24"/>
          <w:szCs w:val="24"/>
          <w:highlight w:val="none"/>
        </w:rPr>
        <w:t>组织公开招标，诚邀符合条件的潜在投标人参加投标。现公告如下：</w:t>
      </w:r>
    </w:p>
    <w:p w14:paraId="47ABEE37">
      <w:pPr>
        <w:adjustRightInd w:val="0"/>
        <w:snapToGrid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29DE88CD">
      <w:pPr>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项目名称：濠河夜画2026年演员服务项目</w:t>
      </w:r>
      <w:r>
        <w:rPr>
          <w:rFonts w:hint="eastAsia" w:ascii="宋体" w:hAnsi="宋体" w:eastAsia="宋体" w:cs="宋体"/>
          <w:color w:val="auto"/>
          <w:sz w:val="24"/>
          <w:szCs w:val="24"/>
          <w:highlight w:val="none"/>
          <w:lang w:val="en-US" w:eastAsia="zh-CN"/>
        </w:rPr>
        <w:t xml:space="preserve"> </w:t>
      </w:r>
    </w:p>
    <w:p w14:paraId="5932EBA0">
      <w:pPr>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r>
        <w:rPr>
          <w:rFonts w:hint="eastAsia" w:ascii="宋体" w:hAnsi="宋体" w:eastAsia="宋体" w:cs="宋体"/>
          <w:bCs/>
          <w:color w:val="auto"/>
          <w:sz w:val="24"/>
          <w:szCs w:val="24"/>
          <w:highlight w:val="none"/>
          <w:lang w:val="en-US" w:eastAsia="zh-CN"/>
        </w:rPr>
        <w:t>151.96万元</w:t>
      </w:r>
      <w:r>
        <w:rPr>
          <w:rFonts w:hint="eastAsia" w:ascii="宋体" w:hAnsi="宋体" w:eastAsia="宋体" w:cs="宋体"/>
          <w:color w:val="auto"/>
          <w:sz w:val="24"/>
          <w:szCs w:val="24"/>
          <w:highlight w:val="none"/>
        </w:rPr>
        <w:t>。</w:t>
      </w:r>
    </w:p>
    <w:p w14:paraId="11863A16">
      <w:pPr>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总价最高限价</w:t>
      </w:r>
      <w:r>
        <w:rPr>
          <w:rFonts w:hint="eastAsia" w:ascii="宋体" w:hAnsi="宋体" w:eastAsia="宋体" w:cs="宋体"/>
          <w:bCs/>
          <w:color w:val="auto"/>
          <w:sz w:val="24"/>
          <w:szCs w:val="24"/>
          <w:highlight w:val="none"/>
          <w:lang w:val="en-US" w:eastAsia="zh-CN"/>
        </w:rPr>
        <w:t>151.96万元，单价最高限价：普通演员11700元/人/月；专业演员13400元/人/月；投标报价超过或等于最高限价的作无效标处理。</w:t>
      </w:r>
    </w:p>
    <w:p w14:paraId="6B3FB6F7">
      <w:pPr>
        <w:adjustRightInd w:val="0"/>
        <w:snapToGrid w:val="0"/>
        <w:spacing w:line="4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项目需求：</w:t>
      </w:r>
      <w:r>
        <w:rPr>
          <w:rFonts w:hint="eastAsia" w:ascii="宋体" w:hAnsi="宋体" w:eastAsia="宋体" w:cs="宋体"/>
          <w:bCs/>
          <w:color w:val="auto"/>
          <w:sz w:val="24"/>
          <w:szCs w:val="24"/>
          <w:highlight w:val="none"/>
          <w:lang w:val="en-US" w:eastAsia="zh-CN"/>
        </w:rPr>
        <w:t>详见招标文件。</w:t>
      </w:r>
    </w:p>
    <w:p w14:paraId="656F131D">
      <w:pPr>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服务期限：</w:t>
      </w:r>
      <w:r>
        <w:rPr>
          <w:rFonts w:hint="eastAsia" w:ascii="宋体" w:hAnsi="宋体" w:eastAsia="宋体" w:cs="宋体"/>
          <w:bCs/>
          <w:color w:val="auto"/>
          <w:sz w:val="24"/>
          <w:szCs w:val="24"/>
          <w:highlight w:val="none"/>
          <w:lang w:val="en-US" w:eastAsia="zh-CN"/>
        </w:rPr>
        <w:t>1年</w:t>
      </w:r>
      <w:r>
        <w:rPr>
          <w:rFonts w:hint="eastAsia" w:ascii="宋体" w:hAnsi="宋体" w:eastAsia="宋体" w:cs="宋体"/>
          <w:color w:val="auto"/>
          <w:sz w:val="24"/>
          <w:szCs w:val="24"/>
          <w:highlight w:val="none"/>
        </w:rPr>
        <w:t>。</w:t>
      </w:r>
    </w:p>
    <w:p w14:paraId="713D376B">
      <w:pPr>
        <w:adjustRightInd w:val="0"/>
        <w:snapToGrid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二、投标人资格要求</w:t>
      </w:r>
    </w:p>
    <w:p w14:paraId="5483F5B0">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1、投标人具有独立承担民事责任的能力；具有良好的商业信誉和健全的财务会计制度；具有履行合同所必需的设备和专业技术能力；有依法缴纳税收和社会保障资金的良好记录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参加政府采购活动前三年内，在经营活动中没有重大违法记录。</w:t>
      </w:r>
    </w:p>
    <w:p w14:paraId="690226C4">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的，必须提供法定代表人身份证明及法定代表人本人身份证复印件；非法定代表人参加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的，必须提供法定代表人身份证明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法定代表人本人身份证复印件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法定代表人签字或盖章的授权委托书及被授权人本人身份证复印件。</w:t>
      </w:r>
    </w:p>
    <w:p w14:paraId="2FBF983C">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3、未被“信用中国”网站（www.creditchina.gov.cn）列入失信被执行人、重大税收违法案件当事人名单、政府采购严重失信行为记录名单</w:t>
      </w:r>
      <w:r>
        <w:rPr>
          <w:rFonts w:hint="eastAsia" w:ascii="宋体" w:hAnsi="宋体" w:eastAsia="宋体" w:cs="宋体"/>
          <w:color w:val="auto"/>
          <w:sz w:val="24"/>
          <w:szCs w:val="24"/>
          <w:highlight w:val="none"/>
          <w:lang w:eastAsia="zh-CN"/>
        </w:rPr>
        <w:t>。</w:t>
      </w:r>
    </w:p>
    <w:p w14:paraId="1CED9457">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法定代表人为同一人或者存在直接控股、管理关系的不同投标人，不得同时参与同一招标项目相同标段的招标活动，一经发现，将视同围标处理。</w:t>
      </w:r>
    </w:p>
    <w:p w14:paraId="54A36AEE">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、本次招标不接受联合体投标。</w:t>
      </w:r>
    </w:p>
    <w:p w14:paraId="606A57ED">
      <w:pPr>
        <w:autoSpaceDE w:val="0"/>
        <w:autoSpaceDN w:val="0"/>
        <w:adjustRightInd w:val="0"/>
        <w:snapToGri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具体详见本招标文件《第六章　投标响应文件组成及格式》中的资格审查文件要求。</w:t>
      </w:r>
    </w:p>
    <w:p w14:paraId="6ABC0359">
      <w:pPr>
        <w:adjustRightInd w:val="0"/>
        <w:snapToGrid w:val="0"/>
        <w:spacing w:line="460" w:lineRule="exact"/>
        <w:ind w:firstLine="482" w:firstLineChars="200"/>
        <w:rPr>
          <w:rFonts w:hint="eastAsia" w:ascii="宋体" w:hAnsi="宋体" w:eastAsia="宋体" w:cs="宋体"/>
          <w:b/>
          <w:color w:val="auto"/>
          <w:sz w:val="24"/>
          <w:szCs w:val="24"/>
          <w:highlight w:val="none"/>
          <w:u w:val="single" w:color="auto"/>
        </w:rPr>
      </w:pPr>
      <w:bookmarkStart w:id="2" w:name="_Toc363573854"/>
      <w:r>
        <w:rPr>
          <w:rFonts w:hint="eastAsia" w:ascii="宋体" w:hAnsi="宋体" w:eastAsia="宋体" w:cs="宋体"/>
          <w:b/>
          <w:color w:val="auto"/>
          <w:sz w:val="24"/>
          <w:szCs w:val="24"/>
          <w:highlight w:val="none"/>
          <w:u w:val="single" w:color="auto"/>
        </w:rPr>
        <w:t>【特别提醒】请各投标人认真对照资格要求，如不符合要求，无意或故意参与投标的，所产生的一切后果由投标人承担。若投标人提供的相关材料为虚假或伪造，或者其他人员持法定代表人或授权委托人的身份证参与投标，一经发现则取消投标人资格，该投标人将记入不良记录，并将其列入黑名单。</w:t>
      </w:r>
    </w:p>
    <w:p w14:paraId="49D96EE2">
      <w:pPr>
        <w:adjustRightInd w:val="0"/>
        <w:snapToGrid w:val="0"/>
        <w:spacing w:line="460" w:lineRule="exact"/>
        <w:ind w:firstLine="482" w:firstLineChars="200"/>
        <w:rPr>
          <w:rFonts w:hint="eastAsia" w:ascii="宋体" w:hAnsi="宋体" w:eastAsia="宋体" w:cs="宋体"/>
          <w:b/>
          <w:color w:val="auto"/>
          <w:sz w:val="24"/>
          <w:szCs w:val="24"/>
          <w:highlight w:val="none"/>
          <w:u w:val="single" w:color="auto"/>
        </w:rPr>
      </w:pPr>
      <w:r>
        <w:rPr>
          <w:rFonts w:hint="eastAsia" w:ascii="宋体" w:hAnsi="宋体" w:eastAsia="宋体" w:cs="宋体"/>
          <w:b/>
          <w:color w:val="auto"/>
          <w:sz w:val="24"/>
          <w:szCs w:val="24"/>
          <w:highlight w:val="none"/>
          <w:u w:val="single" w:color="auto"/>
        </w:rPr>
        <w:t>投标人应依照规定提交各类声明函、承诺函，不再同时提供原件备查或提供有关部门出具的相关证明文件。但中标候选人，应做好提交声明函、承诺函相应原件的核查准备；核查后发现虚假或违背承诺的，依照相关法律法规规定处理。</w:t>
      </w:r>
    </w:p>
    <w:p w14:paraId="7E942478">
      <w:pPr>
        <w:tabs>
          <w:tab w:val="left" w:pos="6048"/>
        </w:tabs>
        <w:autoSpaceDE w:val="0"/>
        <w:autoSpaceDN w:val="0"/>
        <w:adjustRightInd w:val="0"/>
        <w:snapToGrid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r>
        <w:rPr>
          <w:rFonts w:hint="eastAsia" w:ascii="宋体" w:hAnsi="宋体" w:eastAsia="宋体" w:cs="宋体"/>
          <w:b/>
          <w:bCs/>
          <w:color w:val="auto"/>
          <w:sz w:val="24"/>
          <w:szCs w:val="24"/>
          <w:highlight w:val="none"/>
        </w:rPr>
        <w:tab/>
      </w:r>
    </w:p>
    <w:p w14:paraId="14480AEE">
      <w:pPr>
        <w:autoSpaceDE w:val="0"/>
        <w:autoSpaceDN w:val="0"/>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间：自本公告发布之日起至</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日9时30分。</w:t>
      </w:r>
    </w:p>
    <w:p w14:paraId="2AD7FF57">
      <w:pPr>
        <w:autoSpaceDE w:val="0"/>
        <w:autoSpaceDN w:val="0"/>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点：南通市崇川区人民政府网（http://www.chongchuan.gov.cn/）→公示公告”栏内自行下载本项目的招标文件。</w:t>
      </w:r>
    </w:p>
    <w:p w14:paraId="3B6B6CE5">
      <w:pPr>
        <w:autoSpaceDE w:val="0"/>
        <w:autoSpaceDN w:val="0"/>
        <w:adjustRightInd w:val="0"/>
        <w:snapToGrid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四、提交投标文件截止时间、开标时间和地点</w:t>
      </w:r>
    </w:p>
    <w:p w14:paraId="233D6130">
      <w:pPr>
        <w:autoSpaceDE w:val="0"/>
        <w:autoSpaceDN w:val="0"/>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1、截止时间及开标时间：</w:t>
      </w:r>
      <w:r>
        <w:rPr>
          <w:rFonts w:hint="eastAsia" w:ascii="宋体" w:hAnsi="宋体" w:eastAsia="宋体" w:cs="宋体"/>
          <w:b/>
          <w:color w:val="auto"/>
          <w:sz w:val="24"/>
          <w:szCs w:val="24"/>
          <w:highlight w:val="none"/>
        </w:rPr>
        <w:t>202</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日9时30分（以北京时间为准）</w:t>
      </w:r>
      <w:r>
        <w:rPr>
          <w:rFonts w:hint="eastAsia" w:ascii="宋体" w:hAnsi="宋体" w:eastAsia="宋体" w:cs="宋体"/>
          <w:color w:val="auto"/>
          <w:sz w:val="24"/>
          <w:szCs w:val="24"/>
          <w:highlight w:val="none"/>
        </w:rPr>
        <w:t>；</w:t>
      </w:r>
    </w:p>
    <w:p w14:paraId="60DF5460">
      <w:pPr>
        <w:autoSpaceDE w:val="0"/>
        <w:autoSpaceDN w:val="0"/>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w:t>
      </w:r>
      <w:r>
        <w:rPr>
          <w:rFonts w:hint="eastAsia" w:ascii="宋体" w:hAnsi="宋体" w:eastAsia="宋体" w:cs="宋体"/>
          <w:b/>
          <w:bCs/>
          <w:color w:val="auto"/>
          <w:sz w:val="24"/>
          <w:szCs w:val="24"/>
          <w:highlight w:val="none"/>
          <w:u w:val="single"/>
          <w:lang w:eastAsia="zh-CN"/>
        </w:rPr>
        <w:t>南通濠河良辰滨水运营管理有限公司</w:t>
      </w:r>
      <w:r>
        <w:rPr>
          <w:rFonts w:hint="eastAsia" w:ascii="宋体" w:hAnsi="宋体" w:eastAsia="宋体" w:cs="宋体"/>
          <w:b/>
          <w:bCs/>
          <w:color w:val="auto"/>
          <w:sz w:val="24"/>
          <w:szCs w:val="24"/>
          <w:highlight w:val="none"/>
          <w:u w:val="single"/>
        </w:rPr>
        <w:t>游客中心三楼会议室</w:t>
      </w:r>
      <w:r>
        <w:rPr>
          <w:rFonts w:hint="eastAsia" w:ascii="宋体" w:hAnsi="宋体" w:eastAsia="宋体" w:cs="宋体"/>
          <w:color w:val="auto"/>
          <w:sz w:val="24"/>
          <w:szCs w:val="24"/>
          <w:highlight w:val="none"/>
        </w:rPr>
        <w:t>，如有变动另行通知。</w:t>
      </w:r>
    </w:p>
    <w:p w14:paraId="439F16AF">
      <w:pPr>
        <w:widowControl/>
        <w:adjustRightInd w:val="0"/>
        <w:snapToGrid w:val="0"/>
        <w:spacing w:line="460" w:lineRule="exact"/>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五、公告期限</w:t>
      </w:r>
    </w:p>
    <w:p w14:paraId="49360EF1">
      <w:pPr>
        <w:widowControl/>
        <w:adjustRightInd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自本公告发布之日起10个工作日。</w:t>
      </w:r>
    </w:p>
    <w:p w14:paraId="39E80573">
      <w:pPr>
        <w:snapToGrid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六、</w:t>
      </w:r>
      <w:r>
        <w:rPr>
          <w:rFonts w:hint="eastAsia" w:ascii="宋体" w:hAnsi="宋体" w:eastAsia="宋体" w:cs="宋体"/>
          <w:b/>
          <w:bCs/>
          <w:color w:val="auto"/>
          <w:sz w:val="24"/>
          <w:szCs w:val="24"/>
          <w:highlight w:val="none"/>
        </w:rPr>
        <w:t>其他补充事宜</w:t>
      </w:r>
    </w:p>
    <w:p w14:paraId="1987E4DA">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投标保证金</w:t>
      </w:r>
    </w:p>
    <w:p w14:paraId="736627DF">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val="en-US" w:eastAsia="zh-CN"/>
        </w:rPr>
        <w:t>3万元人民币</w:t>
      </w:r>
      <w:r>
        <w:rPr>
          <w:rFonts w:hint="eastAsia" w:ascii="宋体" w:hAnsi="宋体" w:eastAsia="宋体" w:cs="宋体"/>
          <w:color w:val="auto"/>
          <w:sz w:val="24"/>
          <w:szCs w:val="24"/>
          <w:highlight w:val="none"/>
          <w:lang w:eastAsia="zh-CN"/>
        </w:rPr>
        <w:t>。</w:t>
      </w:r>
    </w:p>
    <w:p w14:paraId="51E2B131">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形式：应当以</w:t>
      </w:r>
      <w:r>
        <w:rPr>
          <w:rFonts w:hint="eastAsia" w:ascii="宋体" w:hAnsi="宋体" w:eastAsia="宋体" w:cs="宋体"/>
          <w:color w:val="auto"/>
          <w:sz w:val="24"/>
          <w:szCs w:val="24"/>
          <w:highlight w:val="none"/>
          <w:lang w:val="en-US" w:eastAsia="zh-CN"/>
        </w:rPr>
        <w:t>电汇、银行转账</w:t>
      </w:r>
      <w:r>
        <w:rPr>
          <w:rFonts w:hint="eastAsia" w:ascii="宋体" w:hAnsi="宋体" w:eastAsia="宋体" w:cs="宋体"/>
          <w:color w:val="auto"/>
          <w:sz w:val="24"/>
          <w:szCs w:val="24"/>
          <w:highlight w:val="none"/>
        </w:rPr>
        <w:t>或者金融机构、担保机构出具的</w:t>
      </w:r>
      <w:r>
        <w:rPr>
          <w:rFonts w:hint="eastAsia" w:ascii="宋体" w:hAnsi="宋体" w:eastAsia="宋体" w:cs="宋体"/>
          <w:color w:val="auto"/>
          <w:sz w:val="24"/>
          <w:szCs w:val="24"/>
          <w:highlight w:val="none"/>
          <w:lang w:eastAsia="zh-CN"/>
        </w:rPr>
        <w:t>见索即付</w:t>
      </w:r>
      <w:r>
        <w:rPr>
          <w:rFonts w:hint="eastAsia" w:ascii="宋体" w:hAnsi="宋体" w:eastAsia="宋体" w:cs="宋体"/>
          <w:color w:val="auto"/>
          <w:sz w:val="24"/>
          <w:szCs w:val="24"/>
          <w:highlight w:val="none"/>
        </w:rPr>
        <w:t>保函等非现金形式提交。</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账户汇出的，需注明用途：XXX项目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保证金。</w:t>
      </w:r>
    </w:p>
    <w:p w14:paraId="4147F184">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汇款账户信息：</w:t>
      </w:r>
    </w:p>
    <w:p w14:paraId="706D6AF1">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单位名称：江苏中润工程建设咨询有限公司南通分公司</w:t>
      </w:r>
    </w:p>
    <w:p w14:paraId="1AA194C4">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税号：91320602330903747J</w:t>
      </w:r>
    </w:p>
    <w:p w14:paraId="0B4F7F96">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地址：南通市崇川区青年中路309号</w:t>
      </w:r>
    </w:p>
    <w:p w14:paraId="27DF3E39">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电话：0513-85594381</w:t>
      </w:r>
    </w:p>
    <w:p w14:paraId="3E7A95C9">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开户银行：中国农业银行南通分行</w:t>
      </w:r>
    </w:p>
    <w:p w14:paraId="5D0E3704">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账号：10707001040224564</w:t>
      </w:r>
    </w:p>
    <w:p w14:paraId="7FC2BC74">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截止交纳期限：与提交</w:t>
      </w:r>
      <w:r>
        <w:rPr>
          <w:rFonts w:hint="eastAsia" w:ascii="宋体" w:hAnsi="宋体" w:eastAsia="宋体" w:cs="宋体"/>
          <w:color w:val="auto"/>
          <w:sz w:val="24"/>
          <w:szCs w:val="24"/>
          <w:highlight w:val="none"/>
          <w:lang w:eastAsia="zh-CN"/>
        </w:rPr>
        <w:t>投标文件夹</w:t>
      </w:r>
      <w:r>
        <w:rPr>
          <w:rFonts w:hint="eastAsia" w:ascii="宋体" w:hAnsi="宋体" w:eastAsia="宋体" w:cs="宋体"/>
          <w:color w:val="auto"/>
          <w:sz w:val="24"/>
          <w:szCs w:val="24"/>
          <w:highlight w:val="none"/>
        </w:rPr>
        <w:t>截止时间一致（北京时间，</w:t>
      </w:r>
      <w:r>
        <w:rPr>
          <w:rFonts w:hint="eastAsia" w:ascii="宋体" w:hAnsi="宋体" w:eastAsia="宋体" w:cs="宋体"/>
          <w:color w:val="auto"/>
          <w:sz w:val="24"/>
          <w:szCs w:val="24"/>
          <w:highlight w:val="none"/>
          <w:lang w:val="en-US" w:eastAsia="zh-CN"/>
        </w:rPr>
        <w:t xml:space="preserve"> 投标保证金</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账户汇出的以银行到账时间为准），</w:t>
      </w:r>
      <w:r>
        <w:rPr>
          <w:rFonts w:hint="eastAsia" w:ascii="宋体" w:hAnsi="宋体" w:eastAsia="宋体" w:cs="宋体"/>
          <w:color w:val="auto"/>
          <w:sz w:val="24"/>
          <w:szCs w:val="24"/>
          <w:highlight w:val="none"/>
          <w:lang w:val="en-US" w:eastAsia="zh-CN"/>
        </w:rPr>
        <w:t>投标人在递交响应文件同时将投标保证金</w:t>
      </w:r>
      <w:r>
        <w:rPr>
          <w:rFonts w:hint="eastAsia" w:ascii="宋体" w:hAnsi="宋体" w:eastAsia="宋体" w:cs="宋体"/>
          <w:color w:val="auto"/>
          <w:sz w:val="24"/>
          <w:szCs w:val="24"/>
          <w:highlight w:val="none"/>
        </w:rPr>
        <w:t>缴纳凭证递交给</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代理查验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无需密封在投标文件内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未缴纳</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或未按照</w:t>
      </w:r>
      <w:r>
        <w:rPr>
          <w:rFonts w:hint="eastAsia" w:ascii="宋体" w:hAnsi="宋体" w:eastAsia="宋体" w:cs="宋体"/>
          <w:color w:val="auto"/>
          <w:sz w:val="24"/>
          <w:szCs w:val="24"/>
          <w:highlight w:val="none"/>
          <w:lang w:eastAsia="zh-CN"/>
        </w:rPr>
        <w:t>招标公告</w:t>
      </w:r>
      <w:r>
        <w:rPr>
          <w:rFonts w:hint="eastAsia" w:ascii="宋体" w:hAnsi="宋体" w:eastAsia="宋体" w:cs="宋体"/>
          <w:color w:val="auto"/>
          <w:sz w:val="24"/>
          <w:szCs w:val="24"/>
          <w:highlight w:val="none"/>
        </w:rPr>
        <w:t>要求缴纳</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产生的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无效而导致的一切后果由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14:paraId="67C47100">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中标通知书发出后</w:t>
      </w:r>
      <w:r>
        <w:rPr>
          <w:rFonts w:hint="eastAsia" w:ascii="宋体" w:hAnsi="宋体" w:eastAsia="宋体" w:cs="宋体"/>
          <w:color w:val="auto"/>
          <w:sz w:val="24"/>
          <w:szCs w:val="24"/>
          <w:highlight w:val="none"/>
        </w:rPr>
        <w:t>5个工作日内，</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代理</w:t>
      </w:r>
      <w:r>
        <w:rPr>
          <w:rFonts w:hint="eastAsia" w:ascii="宋体" w:hAnsi="宋体" w:eastAsia="宋体" w:cs="宋体"/>
          <w:color w:val="auto"/>
          <w:sz w:val="24"/>
          <w:szCs w:val="24"/>
          <w:highlight w:val="none"/>
        </w:rPr>
        <w:t>机构向未</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rPr>
        <w:t>退还其</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rPr>
        <w:t>签订合同后5个工作日内，</w:t>
      </w:r>
      <w:r>
        <w:rPr>
          <w:rFonts w:hint="eastAsia" w:ascii="宋体" w:hAnsi="宋体" w:eastAsia="宋体" w:cs="宋体"/>
          <w:color w:val="auto"/>
          <w:sz w:val="24"/>
          <w:szCs w:val="24"/>
          <w:highlight w:val="none"/>
          <w:lang w:eastAsia="zh-CN"/>
        </w:rPr>
        <w:t>代理</w:t>
      </w:r>
      <w:r>
        <w:rPr>
          <w:rFonts w:hint="eastAsia" w:ascii="宋体" w:hAnsi="宋体" w:eastAsia="宋体" w:cs="宋体"/>
          <w:color w:val="auto"/>
          <w:sz w:val="24"/>
          <w:szCs w:val="24"/>
          <w:highlight w:val="none"/>
        </w:rPr>
        <w:t>机构向</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退还其</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lang w:eastAsia="zh-CN"/>
        </w:rPr>
        <w:t>。</w:t>
      </w:r>
    </w:p>
    <w:p w14:paraId="1525D4B6">
      <w:pPr>
        <w:numPr>
          <w:ilvl w:val="0"/>
          <w:numId w:val="0"/>
        </w:numPr>
        <w:snapToGrid w:val="0"/>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项目招标活动模式：本项目采用现场开标模式。</w:t>
      </w:r>
    </w:p>
    <w:p w14:paraId="675E0BFA">
      <w:pPr>
        <w:numPr>
          <w:ilvl w:val="0"/>
          <w:numId w:val="0"/>
        </w:num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对项目需求部分（投标人其他资格要求、项目需求等）的询问、质疑请向招标人提出，由招标人负责答复；对项目招标文件其它部分的询问请向招标代理机构提出。</w:t>
      </w:r>
    </w:p>
    <w:p w14:paraId="1DFE6910">
      <w:pPr>
        <w:adjustRightInd w:val="0"/>
        <w:snapToGrid w:val="0"/>
        <w:spacing w:line="460" w:lineRule="exact"/>
        <w:ind w:firstLine="482" w:firstLineChars="200"/>
        <w:rPr>
          <w:rFonts w:hint="eastAsia" w:ascii="宋体" w:hAnsi="宋体" w:eastAsia="宋体" w:cs="宋体"/>
          <w:b/>
          <w:bCs/>
          <w:color w:val="auto"/>
          <w:kern w:val="0"/>
          <w:sz w:val="24"/>
          <w:szCs w:val="24"/>
          <w:highlight w:val="none"/>
        </w:rPr>
      </w:pPr>
      <w:bookmarkStart w:id="3" w:name="_Toc35393636"/>
      <w:bookmarkStart w:id="4" w:name="_Toc28359095"/>
      <w:bookmarkStart w:id="5" w:name="_Toc35393805"/>
      <w:bookmarkStart w:id="6" w:name="_Toc28359018"/>
      <w:r>
        <w:rPr>
          <w:rFonts w:hint="eastAsia" w:ascii="宋体" w:hAnsi="宋体" w:eastAsia="宋体" w:cs="宋体"/>
          <w:b/>
          <w:bCs/>
          <w:color w:val="auto"/>
          <w:sz w:val="24"/>
          <w:szCs w:val="24"/>
          <w:highlight w:val="none"/>
        </w:rPr>
        <w:t>七、</w:t>
      </w:r>
      <w:bookmarkEnd w:id="3"/>
      <w:bookmarkEnd w:id="4"/>
      <w:bookmarkEnd w:id="5"/>
      <w:bookmarkEnd w:id="6"/>
      <w:r>
        <w:rPr>
          <w:rFonts w:hint="eastAsia" w:ascii="宋体" w:hAnsi="宋体" w:eastAsia="宋体" w:cs="宋体"/>
          <w:b/>
          <w:bCs/>
          <w:color w:val="auto"/>
          <w:sz w:val="24"/>
          <w:szCs w:val="24"/>
          <w:highlight w:val="none"/>
        </w:rPr>
        <w:t>对本次招标提出询问，请按以下方式联系</w:t>
      </w:r>
    </w:p>
    <w:p w14:paraId="44114C3A">
      <w:pPr>
        <w:snapToGrid w:val="0"/>
        <w:spacing w:line="400" w:lineRule="exact"/>
        <w:ind w:left="-3" w:leftChars="-1" w:firstLine="4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1.招标人信息</w:t>
      </w:r>
    </w:p>
    <w:p w14:paraId="66A6167F">
      <w:pPr>
        <w:snapToGrid w:val="0"/>
        <w:spacing w:line="400" w:lineRule="exact"/>
        <w:ind w:left="-3" w:leftChars="-1" w:firstLine="4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南通濠河良辰滨水运营管理有限公司</w:t>
      </w:r>
      <w:r>
        <w:rPr>
          <w:rFonts w:hint="eastAsia" w:ascii="宋体" w:hAnsi="宋体" w:eastAsia="宋体" w:cs="宋体"/>
          <w:color w:val="auto"/>
          <w:sz w:val="24"/>
          <w:szCs w:val="24"/>
          <w:highlight w:val="none"/>
        </w:rPr>
        <w:t>；</w:t>
      </w:r>
    </w:p>
    <w:p w14:paraId="579D88C2">
      <w:pPr>
        <w:snapToGrid w:val="0"/>
        <w:spacing w:line="460" w:lineRule="exact"/>
        <w:ind w:left="-3" w:leftChars="-1" w:firstLine="4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联系人：万亮 ；</w:t>
      </w:r>
    </w:p>
    <w:p w14:paraId="519469BF">
      <w:pPr>
        <w:snapToGrid w:val="0"/>
        <w:spacing w:line="460" w:lineRule="exact"/>
        <w:ind w:left="-3" w:leftChars="-1" w:firstLine="4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电话：13914358871；</w:t>
      </w:r>
    </w:p>
    <w:p w14:paraId="45A9941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2、招标代理机构</w:t>
      </w:r>
    </w:p>
    <w:p w14:paraId="15A3DA34">
      <w:pPr>
        <w:spacing w:line="46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单位：江苏中润工程建设咨询有限公司  ；</w:t>
      </w:r>
    </w:p>
    <w:p w14:paraId="49F6C32C">
      <w:pPr>
        <w:spacing w:line="46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地址：南通市崇川区崇川路58号；</w:t>
      </w:r>
    </w:p>
    <w:p w14:paraId="0303223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项目负责人：肖俊菁  0513-55887688    18106299008</w:t>
      </w:r>
    </w:p>
    <w:p w14:paraId="0B9F8A30">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4F8DA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651F33">
      <w:pPr>
        <w:widowControl/>
        <w:jc w:val="center"/>
        <w:rPr>
          <w:rFonts w:hint="eastAsia" w:ascii="宋体" w:hAnsi="宋体" w:eastAsia="宋体" w:cs="宋体"/>
          <w:b/>
          <w:bCs/>
          <w:color w:val="auto"/>
          <w:w w:val="80"/>
          <w:kern w:val="44"/>
          <w:sz w:val="44"/>
          <w:szCs w:val="44"/>
          <w:highlight w:val="none"/>
        </w:rPr>
      </w:pPr>
      <w:r>
        <w:rPr>
          <w:rFonts w:hint="eastAsia" w:ascii="宋体" w:hAnsi="宋体" w:eastAsia="宋体" w:cs="宋体"/>
          <w:b/>
          <w:bCs/>
          <w:color w:val="auto"/>
          <w:w w:val="80"/>
          <w:kern w:val="44"/>
          <w:sz w:val="44"/>
          <w:szCs w:val="44"/>
          <w:highlight w:val="none"/>
        </w:rPr>
        <w:t>第二章  投标须知</w:t>
      </w:r>
      <w:bookmarkEnd w:id="2"/>
    </w:p>
    <w:p w14:paraId="646AAB1C">
      <w:pPr>
        <w:snapToGrid w:val="0"/>
        <w:spacing w:line="360" w:lineRule="auto"/>
        <w:ind w:firstLine="482" w:firstLineChars="200"/>
        <w:outlineLvl w:val="1"/>
        <w:rPr>
          <w:rFonts w:hint="eastAsia" w:ascii="宋体" w:hAnsi="宋体" w:eastAsia="宋体" w:cs="宋体"/>
          <w:b/>
          <w:bCs/>
          <w:color w:val="auto"/>
          <w:sz w:val="24"/>
          <w:szCs w:val="24"/>
          <w:highlight w:val="none"/>
        </w:rPr>
      </w:pPr>
    </w:p>
    <w:p w14:paraId="6B334B3A">
      <w:pPr>
        <w:snapToGrid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一、说明</w:t>
      </w:r>
    </w:p>
    <w:p w14:paraId="29D9EC2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1、本招标文件仅适用于</w:t>
      </w:r>
      <w:r>
        <w:rPr>
          <w:rFonts w:hint="eastAsia" w:ascii="宋体" w:hAnsi="宋体" w:eastAsia="宋体" w:cs="宋体"/>
          <w:color w:val="auto"/>
          <w:sz w:val="24"/>
          <w:szCs w:val="24"/>
          <w:highlight w:val="none"/>
          <w:lang w:eastAsia="zh-CN"/>
        </w:rPr>
        <w:t>南通濠河良辰滨水运营管理有限公司</w:t>
      </w:r>
      <w:r>
        <w:rPr>
          <w:rFonts w:hint="eastAsia" w:ascii="宋体" w:hAnsi="宋体" w:eastAsia="宋体" w:cs="宋体"/>
          <w:color w:val="auto"/>
          <w:sz w:val="24"/>
          <w:szCs w:val="24"/>
          <w:highlight w:val="none"/>
        </w:rPr>
        <w:t>（以下称招标人）组织的公开招标活动。</w:t>
      </w:r>
    </w:p>
    <w:p w14:paraId="2845663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2、公开招标活动及因本次招标产生的合同受中国法律制约和保护。</w:t>
      </w:r>
    </w:p>
    <w:p w14:paraId="096F21D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3、招标文件的解释权属于</w:t>
      </w:r>
      <w:r>
        <w:rPr>
          <w:rFonts w:hint="eastAsia" w:ascii="宋体" w:hAnsi="宋体" w:eastAsia="宋体" w:cs="宋体"/>
          <w:color w:val="auto"/>
          <w:sz w:val="24"/>
          <w:szCs w:val="24"/>
          <w:highlight w:val="none"/>
          <w:lang w:eastAsia="zh-CN"/>
        </w:rPr>
        <w:t>南通濠河良辰滨水运营管理有限公司</w:t>
      </w:r>
      <w:r>
        <w:rPr>
          <w:rFonts w:hint="eastAsia" w:ascii="宋体" w:hAnsi="宋体" w:eastAsia="宋体" w:cs="宋体"/>
          <w:color w:val="auto"/>
          <w:sz w:val="24"/>
          <w:szCs w:val="24"/>
          <w:highlight w:val="none"/>
        </w:rPr>
        <w:t>。</w:t>
      </w:r>
    </w:p>
    <w:p w14:paraId="077261D2">
      <w:pPr>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4、投标人在知道或应当知道本项目招标公告及招标文件中的所有内容：如内容或页码短缺、资格要求和技术参数出现倾向性或排他性等表述的，</w:t>
      </w:r>
      <w:r>
        <w:rPr>
          <w:rFonts w:hint="eastAsia" w:ascii="宋体" w:hAnsi="宋体" w:eastAsia="宋体" w:cs="宋体"/>
          <w:b/>
          <w:color w:val="auto"/>
          <w:sz w:val="24"/>
          <w:szCs w:val="24"/>
          <w:highlight w:val="none"/>
        </w:rPr>
        <w:t>应在本项目招标公告及招标文件发布之日后的7个工作日内提出询问或以书面实名制形式提出质疑；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hint="eastAsia" w:ascii="宋体" w:hAnsi="宋体" w:eastAsia="宋体" w:cs="宋体"/>
          <w:b/>
          <w:bCs/>
          <w:color w:val="auto"/>
          <w:sz w:val="24"/>
          <w:szCs w:val="24"/>
          <w:highlight w:val="none"/>
        </w:rPr>
        <w:t>非书面形式的不作为日后质疑提出的依据。</w:t>
      </w:r>
    </w:p>
    <w:p w14:paraId="4A1F5C8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5、投标人应认真审阅招标文件中所有的事项、格式、条款和规范要求等，如果投标人没有按照招标文件要求提交响应文件，或者响应文件没有对招标文件做出实质性响应，将被拒绝参与投标。</w:t>
      </w:r>
    </w:p>
    <w:p w14:paraId="302E6DF5">
      <w:pPr>
        <w:snapToGrid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二、招标文件的补充说明、澄清、修改、答疑</w:t>
      </w:r>
    </w:p>
    <w:p w14:paraId="003D169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1、代理机构有权对发出的招标文件进行必要的补充说明、澄清或修改。</w:t>
      </w:r>
    </w:p>
    <w:p w14:paraId="42985661">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2、招标文件的澄清、修改、补充等内容均以书面明确的形式发布，且以招标人发布的信息为准。</w:t>
      </w:r>
    </w:p>
    <w:p w14:paraId="6936919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3、代理机构对招标文件的补充说明、澄清或修改，将构成招标文件的一部分，对投标人具有约束力。</w:t>
      </w:r>
    </w:p>
    <w:p w14:paraId="6D7B571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4、补充说明、澄清或修改的内容可能影响投标文件编制的，代理机构将在投标截止时间15日前，发布补充说明、澄清或修改公告，不足15日的，应当顺延提交投标文件的截止时间。</w:t>
      </w:r>
    </w:p>
    <w:p w14:paraId="2FC9116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5、除非代理机构以书面的形式对招标文件作出澄清、修改及补充，投标人对涉及招标文件的任何推论、理解和结论所造成的结果，均由投标人自负。</w:t>
      </w:r>
    </w:p>
    <w:p w14:paraId="4FAC922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6、招标人视情组织答疑会。如有产生答疑且对招标文件内容有修改，代理机构将按照本须知有关规定，以补充通知（公告）的方式发出。</w:t>
      </w:r>
    </w:p>
    <w:p w14:paraId="2A709D51">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三、投标项目涉及到的现场勘察</w:t>
      </w:r>
    </w:p>
    <w:p w14:paraId="3D50058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所提供的项目相关数据仅做参考，根据自身需要，投标人可在投标文件递交之日前对有关现场和周围环境进行勘察，以获取编制投标文件和签署合同所需的信息。勘察现场所发生的费用由投标人自己承担。</w:t>
      </w:r>
    </w:p>
    <w:p w14:paraId="41F071A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2、招标单位向投标人提供的有关现场的资料和数据，是招标单位现有的并认为能使投标人可利用的资料。招标人对投标人由此而做出的推论、理解和结论概不负责。</w:t>
      </w:r>
    </w:p>
    <w:p w14:paraId="4045895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3、经招标人允许，投标人可为勘察目的进入招标人的项目现场，但投标人不得因此使招标人承担有关的责任和蒙受损失。投标人应承担勘察现场的责任和风险。</w:t>
      </w:r>
    </w:p>
    <w:p w14:paraId="46B358E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4、投标人中标后，不得以不完全了解现场情况为理由而向招标人提出任何索赔的要求，对此招标人不承担任何责任并将不作任何答复与考虑。</w:t>
      </w:r>
    </w:p>
    <w:p w14:paraId="69665E85">
      <w:pPr>
        <w:snapToGrid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四、投标文件的组成及装订</w:t>
      </w:r>
    </w:p>
    <w:p w14:paraId="174514E5">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1、投标文件由：①资格审查文件、②技术标、③商务标三部分组成。</w:t>
      </w:r>
    </w:p>
    <w:p w14:paraId="503F6357">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2、投标人按招标文件要求编写投标文件，并牢固装订成册。投标文件均需采用A4纸（图纸等除外），</w:t>
      </w:r>
      <w:r>
        <w:rPr>
          <w:rFonts w:hint="eastAsia" w:ascii="宋体" w:hAnsi="宋体" w:eastAsia="宋体" w:cs="宋体"/>
          <w:b/>
          <w:bCs/>
          <w:color w:val="auto"/>
          <w:sz w:val="24"/>
          <w:szCs w:val="24"/>
          <w:highlight w:val="none"/>
        </w:rPr>
        <w:t>不允许使用活页夹、拉杆夹、文件夹、塑料方便式书脊（插入式或穿孔式）装订。</w:t>
      </w:r>
      <w:r>
        <w:rPr>
          <w:rFonts w:hint="eastAsia" w:ascii="宋体" w:hAnsi="宋体" w:eastAsia="宋体" w:cs="宋体"/>
          <w:color w:val="auto"/>
          <w:sz w:val="24"/>
          <w:szCs w:val="24"/>
          <w:highlight w:val="none"/>
        </w:rPr>
        <w:t>投标文件不得行间插字、涂改、增删，如：修改错漏处，须经投标文件签署人签字（或盖章）并加盖  。</w:t>
      </w:r>
    </w:p>
    <w:p w14:paraId="2AD2EBC1">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3、投标文件的 “资格审查文件”、“技术标”、“商务标”各自装订成册。特别提示：</w:t>
      </w:r>
      <w:r>
        <w:rPr>
          <w:rFonts w:hint="eastAsia" w:ascii="宋体" w:hAnsi="宋体" w:eastAsia="宋体" w:cs="宋体"/>
          <w:b/>
          <w:bCs/>
          <w:color w:val="auto"/>
          <w:sz w:val="24"/>
          <w:szCs w:val="24"/>
          <w:highlight w:val="none"/>
        </w:rPr>
        <w:t>“商务标”不得出现在“资格审查文件”和“技术标”之中</w:t>
      </w:r>
      <w:r>
        <w:rPr>
          <w:rFonts w:hint="eastAsia" w:ascii="宋体" w:hAnsi="宋体" w:eastAsia="宋体" w:cs="宋体"/>
          <w:color w:val="auto"/>
          <w:sz w:val="24"/>
          <w:szCs w:val="24"/>
          <w:highlight w:val="none"/>
        </w:rPr>
        <w:t>，否则作无效投标处理。</w:t>
      </w:r>
    </w:p>
    <w:p w14:paraId="78AB1B35">
      <w:pPr>
        <w:snapToGrid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五、投标文件的份数、签署</w:t>
      </w:r>
    </w:p>
    <w:p w14:paraId="573FC720">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1、投标人应准备</w:t>
      </w:r>
      <w:r>
        <w:rPr>
          <w:rFonts w:hint="eastAsia" w:ascii="宋体" w:hAnsi="宋体" w:eastAsia="宋体" w:cs="宋体"/>
          <w:color w:val="auto"/>
          <w:sz w:val="24"/>
          <w:szCs w:val="24"/>
          <w:highlight w:val="none"/>
          <w:u w:val="single"/>
        </w:rPr>
        <w:t xml:space="preserve"> 伍</w:t>
      </w:r>
      <w:r>
        <w:rPr>
          <w:rFonts w:hint="eastAsia" w:ascii="宋体" w:hAnsi="宋体" w:eastAsia="宋体" w:cs="宋体"/>
          <w:color w:val="auto"/>
          <w:sz w:val="24"/>
          <w:szCs w:val="24"/>
          <w:highlight w:val="none"/>
        </w:rPr>
        <w:t xml:space="preserve"> 份完整的纸质投标文件，其中正本</w:t>
      </w:r>
      <w:r>
        <w:rPr>
          <w:rFonts w:hint="eastAsia" w:ascii="宋体" w:hAnsi="宋体" w:eastAsia="宋体" w:cs="宋体"/>
          <w:color w:val="auto"/>
          <w:sz w:val="24"/>
          <w:szCs w:val="24"/>
          <w:highlight w:val="none"/>
          <w:u w:val="single"/>
        </w:rPr>
        <w:t xml:space="preserve"> 壹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肆 </w:t>
      </w:r>
      <w:r>
        <w:rPr>
          <w:rFonts w:hint="eastAsia" w:ascii="宋体" w:hAnsi="宋体" w:eastAsia="宋体" w:cs="宋体"/>
          <w:color w:val="auto"/>
          <w:sz w:val="24"/>
          <w:szCs w:val="24"/>
          <w:highlight w:val="none"/>
        </w:rPr>
        <w:t>份，并标明“正本”或“副本”字样，若有差异，概以“正本”为准。</w:t>
      </w:r>
    </w:p>
    <w:p w14:paraId="44C6EEAA">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2、投标文件“正本”其内容须按招标文件要求由法定代表人或被授权人签字（或盖章）并加盖投标人公章。“副本”可复印，但须加盖投标人公章。</w:t>
      </w:r>
    </w:p>
    <w:p w14:paraId="1EBEDA02">
      <w:pPr>
        <w:snapToGrid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六、投标文件的密封及标记</w:t>
      </w:r>
    </w:p>
    <w:p w14:paraId="1ABE47EF">
      <w:pPr>
        <w:snapToGrid w:val="0"/>
        <w:spacing w:line="360" w:lineRule="auto"/>
        <w:ind w:firstLine="470" w:firstLineChars="19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纸质投标文件分三册密封。第一册为“资格审查文件”，第二册为“技术标”，第三册为“商务标”，三册应分别密封，并在封袋上明确标注投标项目名称、投标文件各自对应的名称（“资格审查文件”、“技术标”、“商务标”）、投标人全称及日期，同时加盖投标人公章。密封前，应在每一密封包的投标文件封面上明确标注投标项目名称、投标文件各自对应的名称、投标人全称及日期，同时加盖投标人公章。</w:t>
      </w:r>
    </w:p>
    <w:p w14:paraId="10DA6110">
      <w:pPr>
        <w:snapToGrid w:val="0"/>
        <w:spacing w:line="360" w:lineRule="auto"/>
        <w:ind w:firstLine="470" w:firstLineChars="19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2、投标人可将投标文件正副本统一密封或分别密封，如正本和副本分别密封的，应在封袋上标明正、副本字样。</w:t>
      </w:r>
    </w:p>
    <w:p w14:paraId="24CA4FFF">
      <w:pPr>
        <w:snapToGrid w:val="0"/>
        <w:spacing w:line="360" w:lineRule="auto"/>
        <w:ind w:firstLine="470" w:firstLineChars="196"/>
        <w:outlineLvl w:val="1"/>
        <w:rPr>
          <w:rFonts w:hint="eastAsia" w:ascii="宋体" w:hAnsi="宋体" w:eastAsia="宋体" w:cs="宋体"/>
          <w:color w:val="auto"/>
          <w:sz w:val="24"/>
          <w:szCs w:val="24"/>
          <w:highlight w:val="none"/>
        </w:rPr>
      </w:pPr>
    </w:p>
    <w:p w14:paraId="006BB16C">
      <w:pPr>
        <w:snapToGrid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七、投标文件的有效期</w:t>
      </w:r>
    </w:p>
    <w:p w14:paraId="3E823029">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1、从投标文件接收截止之日算起，45个“日历天”内投标书应保持有效。有效期短于这个规定期限的，投标将被拒绝。</w:t>
      </w:r>
    </w:p>
    <w:p w14:paraId="237E6A04">
      <w:pPr>
        <w:snapToGrid w:val="0"/>
        <w:spacing w:line="360" w:lineRule="auto"/>
        <w:ind w:firstLine="480" w:firstLineChars="200"/>
        <w:outlineLvl w:val="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在特殊情况下，代理机构可与投标人协商延长投标书的有效期。这种要求和答复都应以书面、传真、或电报的形式进行。同意延长有效期的投标人不能修改投标文件，按本招标文件规定的投标保证金的有效期也相应延长。拒绝接受延期要求的投标人的投标书将被拒绝。</w:t>
      </w:r>
    </w:p>
    <w:p w14:paraId="43B5E795">
      <w:pPr>
        <w:snapToGrid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八、投标报价</w:t>
      </w:r>
    </w:p>
    <w:p w14:paraId="34820796">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1、本项目不接受任何有选择的报价。</w:t>
      </w:r>
    </w:p>
    <w:p w14:paraId="7B69D1C4">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2、投标报价均以人民币为报价的币种。</w:t>
      </w:r>
    </w:p>
    <w:p w14:paraId="25A148F6">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3、报价表必须加盖投标人公章且必须经法定代表人或被授权人签字或盖章。</w:t>
      </w:r>
    </w:p>
    <w:p w14:paraId="3778C97A">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4、报价出现前后不一致的，按照下列规定修正：</w:t>
      </w:r>
    </w:p>
    <w:p w14:paraId="2FD62B6E">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（1）投标文件中报价总表内容与投标文件技术响应中内容明细不一致的，以报价总表为准；</w:t>
      </w:r>
    </w:p>
    <w:p w14:paraId="464CFA32">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（2）投标文件中涉及大写金额和小写金额不一致的，以大写金额为准；</w:t>
      </w:r>
    </w:p>
    <w:p w14:paraId="122724D6">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（3）单价金额小数点或者百分比有明显错位的，以报价总表的总价为准，并修改单价；</w:t>
      </w:r>
    </w:p>
    <w:p w14:paraId="02BCE2F6">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235BBA35">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同时出现两种以上不一致的，按照前款规定的顺序修正。修正后的报价应当由投标人的法定代表人或其授权的代表签字确认后产生约束力，投标人不确认的，其投标无效。</w:t>
      </w:r>
    </w:p>
    <w:p w14:paraId="110337A2">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5、本项目采用固定费率方式报价，投标报价应包括投标人完成本项目所产生的全部费用，本招标文件中另有规定的除外。</w:t>
      </w:r>
    </w:p>
    <w:p w14:paraId="437A0B0E">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6、一次报定的投标报价为中标价，同时，在合同实施期间不因市场变化因素而变动。</w:t>
      </w:r>
    </w:p>
    <w:p w14:paraId="3C0703AF">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7、投标人应详细阅读招标文件的全部内容，准确制定相关工作方案等，必须对本项目全部进行报价，如有漏项，视同对本项目的优惠。不按招标文件的要求提供响应文件，导致报价无效，按无效标处理。</w:t>
      </w:r>
    </w:p>
    <w:p w14:paraId="7425241E">
      <w:pPr>
        <w:snapToGrid w:val="0"/>
        <w:spacing w:line="360" w:lineRule="auto"/>
        <w:ind w:firstLine="482" w:firstLineChars="200"/>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十、投标费用</w:t>
      </w:r>
    </w:p>
    <w:p w14:paraId="4FE7810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1、无论招标过程和结果如何，投标人自行承担与本次项目招标有关的全部费用。投标人承担参与投标可能发生的全部费用，招标人在任何情况下均无义务和责任承担这些费用。 </w:t>
      </w:r>
    </w:p>
    <w:p w14:paraId="7F4E5D6E">
      <w:pPr>
        <w:adjustRightInd w:val="0"/>
        <w:snapToGrid w:val="0"/>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2、本项目代理服务费及评审费由中标人承担，代理服务费</w:t>
      </w:r>
      <w:r>
        <w:rPr>
          <w:rFonts w:hint="eastAsia" w:ascii="宋体" w:hAnsi="宋体" w:eastAsia="宋体" w:cs="宋体"/>
          <w:b/>
          <w:color w:val="auto"/>
          <w:sz w:val="24"/>
          <w:szCs w:val="24"/>
          <w:highlight w:val="none"/>
          <w:lang w:val="en-US" w:eastAsia="zh-CN"/>
        </w:rPr>
        <w:t>按</w:t>
      </w:r>
      <w:r>
        <w:rPr>
          <w:rFonts w:hint="eastAsia" w:ascii="宋体" w:hAnsi="宋体" w:eastAsia="宋体" w:cs="宋体"/>
          <w:b/>
          <w:color w:val="auto"/>
          <w:sz w:val="24"/>
          <w:szCs w:val="24"/>
          <w:highlight w:val="none"/>
          <w:lang w:val="en-US" w:eastAsia="zh-CN"/>
        </w:rPr>
        <w:t>2000元</w:t>
      </w:r>
      <w:r>
        <w:rPr>
          <w:rFonts w:hint="eastAsia" w:ascii="宋体" w:hAnsi="宋体" w:eastAsia="宋体" w:cs="宋体"/>
          <w:b/>
          <w:color w:val="auto"/>
          <w:sz w:val="24"/>
          <w:szCs w:val="24"/>
          <w:highlight w:val="none"/>
          <w:lang w:val="en-US" w:eastAsia="zh-CN"/>
        </w:rPr>
        <w:t>收取</w:t>
      </w:r>
      <w:r>
        <w:rPr>
          <w:rFonts w:hint="eastAsia" w:ascii="宋体" w:hAnsi="宋体" w:eastAsia="宋体" w:cs="宋体"/>
          <w:b/>
          <w:color w:val="auto"/>
          <w:sz w:val="24"/>
          <w:szCs w:val="24"/>
          <w:highlight w:val="none"/>
        </w:rPr>
        <w:t>，评审费按实结算，中标人须在领取中标通知书时结清上述费用。投标人在投标时自行将上述费用考虑进成本中。</w:t>
      </w:r>
      <w:r>
        <w:rPr>
          <w:rFonts w:hint="eastAsia" w:ascii="宋体" w:hAnsi="宋体" w:eastAsia="宋体" w:cs="宋体"/>
          <w:b/>
          <w:color w:val="auto"/>
          <w:sz w:val="24"/>
          <w:szCs w:val="24"/>
          <w:highlight w:val="none"/>
          <w:lang w:val="en-US" w:eastAsia="zh-CN"/>
        </w:rPr>
        <w:t>因中标人等原因影响中标结果的，代理费等不予退还。</w:t>
      </w:r>
    </w:p>
    <w:p w14:paraId="7C634E60">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十一、投标文件递交时间及地址</w:t>
      </w:r>
    </w:p>
    <w:p w14:paraId="08C2BE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投标人必须在规定的时间将投标文件送达指定地点。招标人将拒绝接收在截止时间后递交的投标文件。</w:t>
      </w:r>
    </w:p>
    <w:p w14:paraId="32067D38">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十二、未尽事宜</w:t>
      </w:r>
    </w:p>
    <w:p w14:paraId="3DFEA2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参照《中华人民共和国招标投标法》及其他有关的法律法规的规定执行。</w:t>
      </w:r>
    </w:p>
    <w:p w14:paraId="4CC9A79E">
      <w:pPr>
        <w:widowControl/>
        <w:spacing w:beforeAutospacing="1" w:afterAutospacing="1"/>
        <w:jc w:val="left"/>
        <w:rPr>
          <w:rFonts w:hint="eastAsia" w:ascii="宋体" w:hAnsi="宋体" w:eastAsia="宋体" w:cs="宋体"/>
          <w:b/>
          <w:bCs/>
          <w:color w:val="auto"/>
          <w:sz w:val="24"/>
          <w:szCs w:val="24"/>
          <w:highlight w:val="none"/>
        </w:rPr>
        <w:sectPr>
          <w:headerReference r:id="rId4" w:type="default"/>
          <w:footerReference r:id="rId5" w:type="default"/>
          <w:pgSz w:w="11906" w:h="16838"/>
          <w:pgMar w:top="1304" w:right="1361" w:bottom="1191" w:left="1418" w:header="624" w:footer="454" w:gutter="0"/>
          <w:pgNumType w:start="1"/>
          <w:cols w:space="720" w:num="1"/>
          <w:titlePg/>
          <w:docGrid w:linePitch="354" w:charSpace="0"/>
        </w:sectPr>
      </w:pPr>
    </w:p>
    <w:p w14:paraId="7249F951">
      <w:pPr>
        <w:snapToGrid w:val="0"/>
        <w:spacing w:line="440" w:lineRule="exact"/>
        <w:ind w:firstLine="496"/>
        <w:jc w:val="center"/>
        <w:rPr>
          <w:rFonts w:hint="eastAsia" w:ascii="宋体" w:hAnsi="宋体" w:eastAsia="宋体" w:cs="宋体"/>
          <w:color w:val="auto"/>
          <w:sz w:val="24"/>
          <w:szCs w:val="24"/>
          <w:highlight w:val="none"/>
        </w:rPr>
      </w:pPr>
      <w:r>
        <w:rPr>
          <w:rFonts w:hint="eastAsia" w:ascii="宋体" w:hAnsi="宋体" w:eastAsia="宋体" w:cs="宋体"/>
          <w:b/>
          <w:color w:val="auto"/>
          <w:w w:val="80"/>
          <w:sz w:val="32"/>
          <w:szCs w:val="32"/>
          <w:highlight w:val="none"/>
        </w:rPr>
        <w:t>第三章  项目需求</w:t>
      </w:r>
    </w:p>
    <w:p w14:paraId="1AEE9988">
      <w:pPr>
        <w:spacing w:line="400" w:lineRule="exact"/>
        <w:rPr>
          <w:rFonts w:hint="eastAsia" w:ascii="宋体" w:hAnsi="宋体" w:eastAsia="宋体" w:cs="宋体"/>
          <w:color w:val="auto"/>
          <w:sz w:val="28"/>
          <w:szCs w:val="20"/>
          <w:highlight w:val="none"/>
        </w:rPr>
      </w:pPr>
    </w:p>
    <w:p w14:paraId="4E84A8AF">
      <w:pPr>
        <w:spacing w:line="440" w:lineRule="exact"/>
        <w:ind w:firstLine="482" w:firstLineChars="200"/>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项目背景</w:t>
      </w:r>
    </w:p>
    <w:p w14:paraId="7B59CF11">
      <w:pPr>
        <w:spacing w:line="440" w:lineRule="exact"/>
        <w:ind w:firstLine="480" w:firstLineChars="200"/>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本项目为招标人组织的2026年濠河夜画活动招标满足要求的演艺公司，中标人按照招标人需要提供相关表演人员。</w:t>
      </w:r>
    </w:p>
    <w:p w14:paraId="23C5D00E">
      <w:pPr>
        <w:spacing w:line="440" w:lineRule="exact"/>
        <w:ind w:firstLine="482" w:firstLineChars="200"/>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二、运营期的要求:</w:t>
      </w:r>
    </w:p>
    <w:p w14:paraId="070F8B14">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配合协助</w:t>
      </w:r>
      <w:r>
        <w:rPr>
          <w:rFonts w:hint="eastAsia" w:ascii="宋体" w:hAnsi="宋体" w:eastAsia="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rPr>
        <w:t>进行日常人员排练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管理</w:t>
      </w:r>
      <w:r>
        <w:rPr>
          <w:rFonts w:hint="eastAsia" w:ascii="宋体" w:hAnsi="宋体" w:eastAsia="宋体" w:cs="宋体"/>
          <w:bCs/>
          <w:color w:val="auto"/>
          <w:sz w:val="24"/>
          <w:szCs w:val="24"/>
          <w:highlight w:val="none"/>
        </w:rPr>
        <w:t>。</w:t>
      </w:r>
    </w:p>
    <w:p w14:paraId="22DCF717">
      <w:pPr>
        <w:spacing w:line="44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配合协助</w:t>
      </w:r>
      <w:r>
        <w:rPr>
          <w:rFonts w:hint="eastAsia" w:ascii="宋体" w:hAnsi="宋体" w:eastAsia="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rPr>
        <w:t>进行日常节目更替的简单创制作</w:t>
      </w:r>
      <w:r>
        <w:rPr>
          <w:rFonts w:hint="eastAsia" w:ascii="宋体" w:hAnsi="宋体" w:eastAsia="宋体" w:cs="宋体"/>
          <w:bCs/>
          <w:color w:val="auto"/>
          <w:sz w:val="24"/>
          <w:szCs w:val="24"/>
          <w:highlight w:val="none"/>
          <w:lang w:eastAsia="zh-CN"/>
        </w:rPr>
        <w:t>。</w:t>
      </w:r>
    </w:p>
    <w:p w14:paraId="1BCEE445">
      <w:pPr>
        <w:spacing w:line="44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保质保量完成招标人</w:t>
      </w:r>
      <w:r>
        <w:rPr>
          <w:rFonts w:hint="eastAsia" w:ascii="宋体" w:hAnsi="宋体" w:eastAsia="宋体" w:cs="宋体"/>
          <w:bCs/>
          <w:color w:val="auto"/>
          <w:sz w:val="24"/>
          <w:szCs w:val="24"/>
          <w:highlight w:val="none"/>
        </w:rPr>
        <w:t>日常演出</w:t>
      </w:r>
      <w:r>
        <w:rPr>
          <w:rFonts w:hint="eastAsia" w:ascii="宋体" w:hAnsi="宋体" w:eastAsia="宋体" w:cs="宋体"/>
          <w:bCs/>
          <w:color w:val="auto"/>
          <w:sz w:val="24"/>
          <w:szCs w:val="24"/>
          <w:highlight w:val="none"/>
          <w:lang w:eastAsia="zh-CN"/>
        </w:rPr>
        <w:t>。</w:t>
      </w:r>
    </w:p>
    <w:p w14:paraId="13CA9BF4">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4、所有演职人员必须符合招标人的要求，招标人有权要求中标人替换不符合要求的演员。</w:t>
      </w:r>
    </w:p>
    <w:p w14:paraId="18B35BD9">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5、中标人自行购买日常演出所需的化妆品；负责演出服装的管理和基本维修；</w:t>
      </w:r>
    </w:p>
    <w:p w14:paraId="7B8E1A26">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6、演艺团队的外包，包含人员的工资、住宿费、餐补、法定节假日加班费，往返交通费用，离职补偿金，商业保险与社会保险、化妆、排练等所需费用由中标人承担，招标人只负责演出质量把控。</w:t>
      </w:r>
    </w:p>
    <w:p w14:paraId="09B27FA6">
      <w:pPr>
        <w:spacing w:line="440" w:lineRule="exact"/>
        <w:ind w:firstLine="482" w:firstLineChars="200"/>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三、演员要求标准：</w:t>
      </w:r>
    </w:p>
    <w:p w14:paraId="3D4A9AB5">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因“濠河夜画”项目演艺表演需要，2026年2-9月需要配备演员11人（专业演员6人、普通演员5人），2026年10月-2027年1月需配备演员8人（专业演员5人、普通演员3人），演员标准如下：</w:t>
      </w:r>
    </w:p>
    <w:p w14:paraId="23860FFF">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1、普通演员</w:t>
      </w:r>
    </w:p>
    <w:p w14:paraId="7B4371B7">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普通演员须经历过形体、舞蹈基础等专业培训，女演员需形象气质佳（具体以招标人对演员的实际要求及招标文件为准，中标人必须配合执行。</w:t>
      </w:r>
    </w:p>
    <w:p w14:paraId="73A74110">
      <w:pPr>
        <w:spacing w:line="44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2、专业演员</w:t>
      </w:r>
    </w:p>
    <w:p w14:paraId="71B97549">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（1）舞蹈演员必须为艺术院校舞蹈表演专业；形象良好，基本功扎实，熟练掌握舞蹈基础技术技巧。男生身高不低于175cm，女生身高不低于165cm。</w:t>
      </w:r>
    </w:p>
    <w:p w14:paraId="5AC4A002">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（2）表演演员必须为相关艺术院校表演专业毕业，具备2年以上舞台表演经验，形象气质佳，能够充分展示出角色的特质和性格；男生身高不低于175cm，女生身高不低于165cm。</w:t>
      </w:r>
    </w:p>
    <w:p w14:paraId="4D8DAE73">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（3）戏曲演员必须为专业戏曲院校戏曲表演专业，2年以上戏曲表演经验，形象良好，基本功扎实，男生身高不低于175cm，女生身高不低于165cm。</w:t>
      </w:r>
    </w:p>
    <w:p w14:paraId="4680AFBD">
      <w:pPr>
        <w:spacing w:line="44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注：演员性别须符合招标人具体要求。</w:t>
      </w:r>
    </w:p>
    <w:p w14:paraId="49F01CB7">
      <w:pPr>
        <w:snapToGrid w:val="0"/>
        <w:spacing w:line="440" w:lineRule="exact"/>
        <w:ind w:firstLine="496" w:firstLineChars="20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商务要求</w:t>
      </w:r>
    </w:p>
    <w:p w14:paraId="29E03EFF">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1、服务范围：</w:t>
      </w:r>
      <w:r>
        <w:rPr>
          <w:rFonts w:hint="eastAsia" w:ascii="宋体" w:hAnsi="宋体" w:eastAsia="宋体" w:cs="宋体"/>
          <w:bCs/>
          <w:color w:val="auto"/>
          <w:sz w:val="24"/>
          <w:szCs w:val="24"/>
          <w:highlight w:val="none"/>
          <w:lang w:eastAsia="zh-CN"/>
        </w:rPr>
        <w:t>南通濠河良辰滨水运营管理有限公司</w:t>
      </w:r>
      <w:r>
        <w:rPr>
          <w:rFonts w:hint="eastAsia" w:ascii="宋体" w:hAnsi="宋体" w:eastAsia="宋体" w:cs="宋体"/>
          <w:b w:val="0"/>
          <w:bCs w:val="0"/>
          <w:color w:val="auto"/>
          <w:sz w:val="24"/>
          <w:szCs w:val="24"/>
          <w:highlight w:val="none"/>
          <w:lang w:val="en-US" w:eastAsia="zh-CN"/>
        </w:rPr>
        <w:t>2026年濠河夜画活动按照招标人需要提供相关表演人员</w:t>
      </w:r>
      <w:r>
        <w:rPr>
          <w:rFonts w:hint="eastAsia" w:ascii="宋体" w:hAnsi="宋体" w:eastAsia="宋体" w:cs="宋体"/>
          <w:bCs/>
          <w:color w:val="auto"/>
          <w:sz w:val="24"/>
          <w:szCs w:val="24"/>
          <w:highlight w:val="none"/>
        </w:rPr>
        <w:t>。</w:t>
      </w:r>
    </w:p>
    <w:p w14:paraId="6FA6BAD7">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演出时间为：晚上17:30-22:00。具体按招标人要求。</w:t>
      </w:r>
    </w:p>
    <w:p w14:paraId="1ADD87CB">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服务期限：</w:t>
      </w:r>
      <w:r>
        <w:rPr>
          <w:rFonts w:hint="eastAsia" w:ascii="宋体" w:hAnsi="宋体" w:eastAsia="宋体" w:cs="宋体"/>
          <w:color w:val="auto"/>
          <w:sz w:val="24"/>
          <w:szCs w:val="24"/>
          <w:highlight w:val="none"/>
          <w:lang w:val="en-US" w:eastAsia="zh-CN"/>
        </w:rPr>
        <w:t>一年</w:t>
      </w:r>
      <w:r>
        <w:rPr>
          <w:rFonts w:hint="eastAsia" w:ascii="宋体" w:hAnsi="宋体" w:eastAsia="宋体" w:cs="宋体"/>
          <w:color w:val="auto"/>
          <w:sz w:val="24"/>
          <w:szCs w:val="24"/>
          <w:highlight w:val="none"/>
        </w:rPr>
        <w:t>。</w:t>
      </w:r>
    </w:p>
    <w:p w14:paraId="03D1A588">
      <w:pPr>
        <w:spacing w:line="44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付款方式：中标人每月5日前向招标人开具税率为</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%的等额增值税专用发票，并向招标人提交演出费用清单核对演出费用，招标人每月15日以转账的方式向中标人结算上个月的</w:t>
      </w:r>
      <w:r>
        <w:rPr>
          <w:rFonts w:hint="eastAsia" w:ascii="宋体" w:hAnsi="宋体" w:eastAsia="宋体" w:cs="宋体"/>
          <w:bCs/>
          <w:color w:val="auto"/>
          <w:sz w:val="24"/>
          <w:szCs w:val="24"/>
          <w:highlight w:val="none"/>
          <w:lang w:eastAsia="zh-Hans"/>
        </w:rPr>
        <w:t>服务</w:t>
      </w:r>
      <w:r>
        <w:rPr>
          <w:rFonts w:hint="eastAsia" w:ascii="宋体" w:hAnsi="宋体" w:eastAsia="宋体" w:cs="宋体"/>
          <w:bCs/>
          <w:color w:val="auto"/>
          <w:sz w:val="24"/>
          <w:szCs w:val="24"/>
          <w:highlight w:val="none"/>
          <w:lang w:eastAsia="zh-CN"/>
        </w:rPr>
        <w:t>费用</w:t>
      </w:r>
      <w:r>
        <w:rPr>
          <w:rFonts w:hint="eastAsia" w:ascii="宋体" w:hAnsi="宋体" w:eastAsia="宋体" w:cs="宋体"/>
          <w:bCs/>
          <w:color w:val="auto"/>
          <w:sz w:val="24"/>
          <w:szCs w:val="24"/>
          <w:highlight w:val="none"/>
          <w:lang w:eastAsia="zh-CN"/>
        </w:rPr>
        <w:t>（扣除考核扣款后）</w:t>
      </w:r>
      <w:r>
        <w:rPr>
          <w:rFonts w:hint="eastAsia" w:ascii="宋体" w:hAnsi="宋体" w:eastAsia="宋体" w:cs="宋体"/>
          <w:bCs/>
          <w:color w:val="auto"/>
          <w:sz w:val="24"/>
          <w:szCs w:val="24"/>
          <w:highlight w:val="none"/>
          <w:lang w:eastAsia="zh-CN"/>
        </w:rPr>
        <w:t>至中标人指定账户（如遇十一、春节等法定节假日，结算日期顺延）。</w:t>
      </w:r>
    </w:p>
    <w:p w14:paraId="3231143E">
      <w:pPr>
        <w:spacing w:line="44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招标人在支付每月款项之前，中标人应提前提供约定好的增值税专用发票。</w:t>
      </w:r>
    </w:p>
    <w:p w14:paraId="5C492377">
      <w:pPr>
        <w:spacing w:line="44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五、履约保证金</w:t>
      </w:r>
    </w:p>
    <w:p w14:paraId="0D7540FD">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1.本项目中标后的履约保证金为合同价的10%；以支票、汇票、本票、电汇、</w:t>
      </w:r>
      <w:r>
        <w:rPr>
          <w:rFonts w:hint="eastAsia" w:ascii="宋体" w:hAnsi="宋体" w:eastAsia="宋体" w:cs="宋体"/>
          <w:color w:val="auto"/>
          <w:sz w:val="24"/>
          <w:szCs w:val="24"/>
          <w:highlight w:val="none"/>
          <w:lang w:val="en-US" w:eastAsia="zh-CN"/>
        </w:rPr>
        <w:t>银行转账、</w:t>
      </w:r>
      <w:r>
        <w:rPr>
          <w:rFonts w:hint="eastAsia" w:ascii="宋体" w:hAnsi="宋体" w:eastAsia="宋体" w:cs="宋体"/>
          <w:bCs/>
          <w:color w:val="auto"/>
          <w:sz w:val="24"/>
          <w:szCs w:val="24"/>
          <w:highlight w:val="none"/>
          <w:lang w:val="en-US" w:eastAsia="zh-CN"/>
        </w:rPr>
        <w:t>见索即付银行保函等非现金形式缴纳。</w:t>
      </w:r>
    </w:p>
    <w:p w14:paraId="40AF2094">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2.中标供应商的履约保证金须在中标通知书发出之日起5个工作日内缴纳。</w:t>
      </w:r>
    </w:p>
    <w:p w14:paraId="0ECC4C34">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3.自中标通知书发出之日起30日内，中标供应商凭“中标通知书”及“履约保证金”缴纳凭证向招标人提交纸质盖章版合同。超期或未有协商，则视为自动放弃中标资格。</w:t>
      </w:r>
    </w:p>
    <w:p w14:paraId="4128C62D">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4.中标供应商在按要求保质保量地完成该项目合同后，招标人一次性退还该合同项目的履约保证金（无息）。</w:t>
      </w:r>
    </w:p>
    <w:p w14:paraId="1FE259FA">
      <w:pPr>
        <w:spacing w:line="44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5.由于中标供应商原因，在签订合同后出现不履行合同的情况，招标人有权不予退还履约保证金，同时招标人亦有权终止合同，中标供应商还须承担相应的法律赔偿责任。 </w:t>
      </w:r>
      <w:r>
        <w:rPr>
          <w:rFonts w:hint="eastAsia" w:ascii="宋体" w:hAnsi="宋体" w:eastAsia="宋体" w:cs="宋体"/>
          <w:bCs/>
          <w:color w:val="auto"/>
          <w:sz w:val="24"/>
          <w:szCs w:val="24"/>
          <w:highlight w:val="none"/>
          <w:lang w:eastAsia="zh-CN"/>
        </w:rPr>
        <w:br w:type="page"/>
      </w:r>
    </w:p>
    <w:p w14:paraId="49A2A24A">
      <w:pPr>
        <w:tabs>
          <w:tab w:val="left" w:pos="3969"/>
        </w:tabs>
        <w:snapToGrid w:val="0"/>
        <w:spacing w:line="480" w:lineRule="exact"/>
        <w:jc w:val="center"/>
        <w:outlineLvl w:val="1"/>
        <w:rPr>
          <w:rFonts w:hint="eastAsia" w:ascii="宋体" w:hAnsi="宋体" w:eastAsia="宋体" w:cs="宋体"/>
          <w:b/>
          <w:bCs/>
          <w:color w:val="auto"/>
          <w:w w:val="80"/>
          <w:sz w:val="44"/>
          <w:szCs w:val="44"/>
          <w:highlight w:val="none"/>
        </w:rPr>
      </w:pPr>
      <w:r>
        <w:rPr>
          <w:rFonts w:hint="eastAsia" w:ascii="宋体" w:hAnsi="宋体" w:eastAsia="宋体" w:cs="宋体"/>
          <w:b/>
          <w:bCs/>
          <w:color w:val="auto"/>
          <w:w w:val="80"/>
          <w:sz w:val="44"/>
          <w:szCs w:val="44"/>
          <w:highlight w:val="none"/>
        </w:rPr>
        <w:t xml:space="preserve">第四章 </w:t>
      </w:r>
      <w:bookmarkStart w:id="7" w:name="_Toc182848996"/>
      <w:r>
        <w:rPr>
          <w:rFonts w:hint="eastAsia" w:ascii="宋体" w:hAnsi="宋体" w:eastAsia="宋体" w:cs="宋体"/>
          <w:b/>
          <w:bCs/>
          <w:color w:val="auto"/>
          <w:w w:val="80"/>
          <w:sz w:val="44"/>
          <w:szCs w:val="44"/>
          <w:highlight w:val="none"/>
        </w:rPr>
        <w:t>评审方法和程序</w:t>
      </w:r>
    </w:p>
    <w:p w14:paraId="7F38BBE2">
      <w:pPr>
        <w:tabs>
          <w:tab w:val="left" w:pos="3969"/>
        </w:tabs>
        <w:snapToGrid w:val="0"/>
        <w:spacing w:line="480" w:lineRule="exact"/>
        <w:outlineLvl w:val="1"/>
        <w:rPr>
          <w:rFonts w:hint="eastAsia" w:ascii="宋体" w:hAnsi="宋体" w:eastAsia="宋体" w:cs="宋体"/>
          <w:b/>
          <w:bCs/>
          <w:color w:val="auto"/>
          <w:w w:val="80"/>
          <w:sz w:val="44"/>
          <w:szCs w:val="44"/>
          <w:highlight w:val="none"/>
        </w:rPr>
      </w:pPr>
    </w:p>
    <w:p w14:paraId="3E8CC67C">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一、招标人委托招标代理机构组织开标</w:t>
      </w:r>
    </w:p>
    <w:p w14:paraId="39A766C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1、成立评标委员会小组，由招标人代表和有关专家依法组成。</w:t>
      </w:r>
    </w:p>
    <w:p w14:paraId="661EB11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2、投标人的法定代表人或被授权人须持身份证准时参加投标会。</w:t>
      </w:r>
    </w:p>
    <w:p w14:paraId="427BABAC">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二、开标</w:t>
      </w:r>
    </w:p>
    <w:p w14:paraId="1D75BE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1、招标代理机构主持开标并记录，及时处理投标人代表提出的询问或者回避申请。</w:t>
      </w:r>
    </w:p>
    <w:p w14:paraId="492585B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2、投标人不足3家的不得开标。</w:t>
      </w:r>
    </w:p>
    <w:p w14:paraId="3F8826CF">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三、资格审查</w:t>
      </w:r>
    </w:p>
    <w:p w14:paraId="65459E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1、开标后，评标委员会根据招标文件载明的资格审查要求，对投标人的资格进行审查。</w:t>
      </w:r>
    </w:p>
    <w:p w14:paraId="3AEA02E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2、资格审查合格的投标人进入评标。</w:t>
      </w:r>
    </w:p>
    <w:p w14:paraId="3E7D348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3、合格投标人不足3家的，不得评标。</w:t>
      </w:r>
    </w:p>
    <w:p w14:paraId="6453E645">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四、评标</w:t>
      </w:r>
    </w:p>
    <w:p w14:paraId="01B5C1C2">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1、评标时间：</w:t>
      </w:r>
      <w:r>
        <w:rPr>
          <w:rFonts w:hint="eastAsia" w:ascii="宋体" w:hAnsi="宋体" w:eastAsia="宋体" w:cs="宋体"/>
          <w:color w:val="auto"/>
          <w:kern w:val="0"/>
          <w:sz w:val="24"/>
          <w:szCs w:val="24"/>
          <w:highlight w:val="none"/>
        </w:rPr>
        <w:t>资格审查后当即开始。</w:t>
      </w:r>
    </w:p>
    <w:p w14:paraId="34D6D70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2、招标代理机构负责组织评标工作，并履行下列职责：</w:t>
      </w:r>
    </w:p>
    <w:p w14:paraId="310470E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（1）核对评审专家身份和招标人代表授权函，对评审专家在招标活动中的职责履行情况予以记录，并及时将有关违法违规行为向相关部门报告。</w:t>
      </w:r>
    </w:p>
    <w:p w14:paraId="126B34D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（2）宣布评标纪律。</w:t>
      </w:r>
    </w:p>
    <w:p w14:paraId="35D6F26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（3）公布投标人名单，告知评审专家应当回避的情形。</w:t>
      </w:r>
    </w:p>
    <w:p w14:paraId="121EFCA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（4）组织评标委员会推选评标组长，招标人代表不得担任组长。</w:t>
      </w:r>
    </w:p>
    <w:p w14:paraId="49CFE10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（5）在评标期间采取必要的通讯管理措施，保证评标活动不受外界干扰；除招标人代表、评标现场组织人员外，招标人的其他工作人员以及与评标工作无关的人员不得进入评标现场。</w:t>
      </w:r>
    </w:p>
    <w:p w14:paraId="46F85FC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（6）根据评标委员会的要求介绍招标活动相关政策法规、招标文件。</w:t>
      </w:r>
    </w:p>
    <w:p w14:paraId="417FECE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维护评标秩序，监督评标委员会依照招标文件规定的评标程序、方法和标准进行独立评审，及时制止和纠正招标人代表、评审专家的倾向性言论或者违法违规行为；招标人可以在评标前说明项目背景和项目需求，说明内容不得含有歧视性、倾向性意见，不得超出招标文件所述范围。说明应当提交书面材料，并随招标文件一并存档。</w:t>
      </w:r>
    </w:p>
    <w:p w14:paraId="63B1157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（8）核对评标结果，有下列规定情形的，要求评标委员会复核或者书面说明理由，评标委员会拒绝的，则予以书面记录并向有关部门报告：</w:t>
      </w:r>
    </w:p>
    <w:p w14:paraId="1B90659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分值汇总计算错误的；</w:t>
      </w:r>
    </w:p>
    <w:p w14:paraId="0D9748E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分项评分超出评分标准范围的；</w:t>
      </w:r>
    </w:p>
    <w:p w14:paraId="7FD3711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评标委员会成员对客观评审因素评分不一致的；</w:t>
      </w:r>
    </w:p>
    <w:p w14:paraId="6DA7917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经评标委员会认定评分畸高、畸低的。</w:t>
      </w:r>
    </w:p>
    <w:p w14:paraId="508589E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（9）评审工作完成后，按照规定向评审专家支付劳务报酬和异地评审差旅费，不得向评审专家以外的其他人员支付评审劳务报酬；</w:t>
      </w:r>
    </w:p>
    <w:p w14:paraId="2E0767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（10）处理与评标有关的其他事项。</w:t>
      </w:r>
    </w:p>
    <w:p w14:paraId="6D1520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3、评标委员会负责具体评标事务：</w:t>
      </w:r>
    </w:p>
    <w:p w14:paraId="5E8B729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26B7B9F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7166DC0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14:paraId="1214C0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4、评标委员会成员独立履行以下职责与义务：</w:t>
      </w:r>
    </w:p>
    <w:p w14:paraId="413B2F9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（1）遵纪守法，客观、公正、廉洁地履行职责；</w:t>
      </w:r>
    </w:p>
    <w:p w14:paraId="169CF99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（2）审查合格投标人的投标文件是否实质性响应招标文件要求，并做出评价；</w:t>
      </w:r>
    </w:p>
    <w:p w14:paraId="1F1ED70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（3）按照招标文件规定的评标办法和评标标准进行评标，对评审意见承担个人责任；</w:t>
      </w:r>
    </w:p>
    <w:p w14:paraId="7D2B75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（4）可以要求投标人对投标文件有关事项做出解释或澄清；</w:t>
      </w:r>
    </w:p>
    <w:p w14:paraId="0752AF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（5）对评标过程和结果，以及投标人的商业秘密保密；</w:t>
      </w:r>
    </w:p>
    <w:p w14:paraId="0A18629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（6）配合相关部门的投诉处理工作；</w:t>
      </w:r>
    </w:p>
    <w:p w14:paraId="648B08A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（7）配合招标人或代理机构答复投标人提出的质疑，配合相关部门的投诉处理和监督检查工作；</w:t>
      </w:r>
    </w:p>
    <w:p w14:paraId="44D6F72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（8）在评审过程中发现投标人有行贿、提供虚假材料或者串通等违法行为的，应当及时向相关部门报告。</w:t>
      </w:r>
    </w:p>
    <w:p w14:paraId="05D49E3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（9）评标委员会成员在评审过程中受到非法干涉的，应当及时向监察等部门举报。</w:t>
      </w:r>
    </w:p>
    <w:p w14:paraId="48C7426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5、除招标人代表、评标现场组织人员外，招标人的其他工作人员以及与评标工作无关的人员不得进入评标现场；有关人员对评标情况以及在评标过程中获悉的国家秘密、商业秘密负有保密责任。</w:t>
      </w:r>
    </w:p>
    <w:p w14:paraId="1F4C5F9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6、开标后直到公告项目中标结果发出中标通知书并授予中标人合同为止，凡属于评审、澄清、评价和比较投标的所有资料及有关授予合同等的相关信息，都不应向投标人或与评标无关的其他人泄露。</w:t>
      </w:r>
    </w:p>
    <w:p w14:paraId="4FFCC1D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7、评审期间，合格投标人的投标文件仍有可能被评标委员会根据规定判为无效投标。</w:t>
      </w:r>
    </w:p>
    <w:p w14:paraId="2EA5D4C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8、在投标文件的评审、澄清、评价和比较以及授予合同的过程中，投标人对招标人和评标委员会成员有施加影响的任何行为，都将取消其可能的中标资格。</w:t>
      </w:r>
    </w:p>
    <w:p w14:paraId="2AE00D64">
      <w:pPr>
        <w:adjustRightInd w:val="0"/>
        <w:snapToGrid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五、评审原则</w:t>
      </w:r>
    </w:p>
    <w:p w14:paraId="706E72E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综合评分法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，即指投标文件满足本项目招标文件全部实质性要求，且按照评审因素的量化指标，经评审后得分最高的投标人推荐为中标人的评标方法。</w:t>
      </w:r>
    </w:p>
    <w:p w14:paraId="583B870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7EB8C3E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3、评标委员会严格按照招标文件规定的要求、条件、评分标准，对投标人所提供的完整计划标的物的科学性、可行性、产品质量、服务质量的保证及承诺等实质性响应内容进行比较评价。</w:t>
      </w:r>
    </w:p>
    <w:p w14:paraId="114162D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4、对投标文件的评审判定，只依据投标文件内容本身，不依靠开标后任何外来证明文件。</w:t>
      </w:r>
    </w:p>
    <w:p w14:paraId="147ABD96">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六、评审方法</w:t>
      </w:r>
    </w:p>
    <w:p w14:paraId="43C7DC4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1、评标程序：</w:t>
      </w:r>
    </w:p>
    <w:p w14:paraId="655AD09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资格符合性评审——技术标评审——商务标评审——确定中标候选人。</w:t>
      </w:r>
    </w:p>
    <w:p w14:paraId="6800CB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本次资格审查采用资格后审，各投标人资格审查通过后方能进入技术标的开标。先开技术标，技术标打分结束后再开商务标。</w:t>
      </w:r>
    </w:p>
    <w:p w14:paraId="01986CD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2、评标委员会将仅对按本招标文件载明的方法与规定，为实质上响应招标文件要求的投标文件评审并进行评价和比较。</w:t>
      </w:r>
    </w:p>
    <w:p w14:paraId="4F9452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3、本次项目的技术标和商务标评审总分值为100分。两部分评审因素比重如下：</w:t>
      </w:r>
    </w:p>
    <w:p w14:paraId="0828A6F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技术标分值占总分值的比重为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80</w:t>
      </w:r>
      <w:r>
        <w:rPr>
          <w:rFonts w:hint="eastAsia" w:ascii="宋体" w:hAnsi="宋体" w:eastAsia="宋体" w:cs="宋体"/>
          <w:color w:val="auto"/>
          <w:sz w:val="24"/>
          <w:szCs w:val="24"/>
          <w:highlight w:val="none"/>
          <w:u w:val="single"/>
        </w:rPr>
        <w:t>%（权重）</w:t>
      </w:r>
      <w:r>
        <w:rPr>
          <w:rFonts w:hint="eastAsia" w:ascii="宋体" w:hAnsi="宋体" w:eastAsia="宋体" w:cs="宋体"/>
          <w:color w:val="auto"/>
          <w:sz w:val="24"/>
          <w:szCs w:val="24"/>
          <w:highlight w:val="none"/>
        </w:rPr>
        <w:t>（计算结果均四舍五入保留两位小数）；</w:t>
      </w:r>
    </w:p>
    <w:p w14:paraId="1A99DCE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商务标分值占总分值的比重为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%（权重）</w:t>
      </w:r>
      <w:r>
        <w:rPr>
          <w:rFonts w:hint="eastAsia" w:ascii="宋体" w:hAnsi="宋体" w:eastAsia="宋体" w:cs="宋体"/>
          <w:color w:val="auto"/>
          <w:sz w:val="24"/>
          <w:szCs w:val="24"/>
          <w:highlight w:val="none"/>
        </w:rPr>
        <w:t>（计算结果均四舍五入保留两位小数）；</w:t>
      </w:r>
    </w:p>
    <w:p w14:paraId="1BBC198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4、评标委员会严格按照招标文件的要求、条件、评分标准，对投标人所提供服务的先进性、可靠性、售后服务承诺、质量保证承诺等实质性响应内容进行比较。</w:t>
      </w:r>
    </w:p>
    <w:p w14:paraId="1A2B3B5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5、评标委员会构成共5人，评标专家4人，业主评委1人。评标专家确定方式：在专家库中随机抽取。评标委员会各成员独立对每个进入打分程序的有效投标人的投标文件的技术部分以打分的形式进行评审和评价。</w:t>
      </w:r>
    </w:p>
    <w:p w14:paraId="078F308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6、技术分按5个评委的算术平均值计算（计算结果均四舍五入保留两位小数）。</w:t>
      </w:r>
    </w:p>
    <w:p w14:paraId="1B46457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7、开启投标人的商务报价标，现场唱标后由投标人代表签名确认。</w:t>
      </w:r>
    </w:p>
    <w:p w14:paraId="71E3176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8、投标人的价格标评审得分直接计算取得，并与其技术标得分相加为该投标人的综合得分（计算结果均四舍五入保留两位小数）。</w:t>
      </w:r>
    </w:p>
    <w:p w14:paraId="3005C75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9、评审后的综合得分相同的，按投标报价由低到高顺序排列。综合得分且投标报价相同的，则采取现场抽签的方式确定（投标人的抽签顺序分别为各投标人递交投标文件签到顺序号）。</w:t>
      </w:r>
    </w:p>
    <w:p w14:paraId="68BC8D32">
      <w:pPr>
        <w:adjustRightInd w:val="0"/>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10、评标结果按投标文件满足招标文件全部实质性要求，且按照评审因素的量化指标评审综合得分最高的投标人，排名第一的确定为第一中标候选人，出具评审报告并将结果通知所有投标人。</w:t>
      </w:r>
    </w:p>
    <w:p w14:paraId="2481B366">
      <w:pPr>
        <w:adjustRightInd w:val="0"/>
        <w:snapToGrid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七、关于投标价格评审</w:t>
      </w:r>
    </w:p>
    <w:p w14:paraId="1ECC09AD">
      <w:pPr>
        <w:adjustRightInd w:val="0"/>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1、针对投标价格实质响应的评审</w:t>
      </w:r>
    </w:p>
    <w:p w14:paraId="149BFF7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3FA4A5B1">
      <w:pPr>
        <w:adjustRightInd w:val="0"/>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2、针对投标价格合理性的评审</w:t>
      </w:r>
    </w:p>
    <w:p w14:paraId="2A753DE3">
      <w:pPr>
        <w:adjustRightInd w:val="0"/>
        <w:snapToGrid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6ED3E4FC">
      <w:pPr>
        <w:numPr>
          <w:ilvl w:val="0"/>
          <w:numId w:val="1"/>
        </w:numPr>
        <w:adjustRightInd w:val="0"/>
        <w:snapToGrid w:val="0"/>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评审评分项（100分） </w:t>
      </w:r>
    </w:p>
    <w:p w14:paraId="5204883D">
      <w:pPr>
        <w:snapToGrid w:val="0"/>
        <w:spacing w:line="360" w:lineRule="auto"/>
        <w:ind w:firstLine="480" w:firstLineChars="200"/>
        <w:outlineLvl w:val="1"/>
        <w:rPr>
          <w:rFonts w:hint="eastAsia" w:ascii="宋体" w:hAnsi="宋体" w:eastAsia="宋体" w:cs="宋体"/>
          <w:color w:val="auto"/>
          <w:highlight w:val="none"/>
        </w:rPr>
      </w:pPr>
      <w:r>
        <w:rPr>
          <w:rFonts w:hint="eastAsia" w:ascii="宋体" w:hAnsi="宋体" w:eastAsia="宋体" w:cs="宋体"/>
          <w:color w:val="auto"/>
          <w:sz w:val="24"/>
          <w:szCs w:val="24"/>
          <w:highlight w:val="none"/>
        </w:rPr>
        <w:t>（一）技术标评分：（</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分）</w:t>
      </w:r>
    </w:p>
    <w:tbl>
      <w:tblPr>
        <w:tblStyle w:val="17"/>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03"/>
        <w:gridCol w:w="7382"/>
      </w:tblGrid>
      <w:tr w14:paraId="6B14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736" w:type="dxa"/>
            <w:tcBorders>
              <w:top w:val="single" w:color="auto" w:sz="4" w:space="0"/>
              <w:left w:val="single" w:color="auto" w:sz="4" w:space="0"/>
              <w:bottom w:val="single" w:color="auto" w:sz="4" w:space="0"/>
              <w:right w:val="single" w:color="auto" w:sz="4" w:space="0"/>
            </w:tcBorders>
            <w:vAlign w:val="center"/>
          </w:tcPr>
          <w:p w14:paraId="12EB6D32">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03" w:type="dxa"/>
            <w:tcBorders>
              <w:top w:val="single" w:color="auto" w:sz="4" w:space="0"/>
              <w:left w:val="single" w:color="auto" w:sz="4" w:space="0"/>
              <w:bottom w:val="single" w:color="auto" w:sz="4" w:space="0"/>
              <w:right w:val="single" w:color="auto" w:sz="4" w:space="0"/>
            </w:tcBorders>
            <w:vAlign w:val="center"/>
          </w:tcPr>
          <w:p w14:paraId="6CC8D341">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评审项目</w:t>
            </w:r>
          </w:p>
        </w:tc>
        <w:tc>
          <w:tcPr>
            <w:tcW w:w="7382" w:type="dxa"/>
            <w:tcBorders>
              <w:top w:val="single" w:color="auto" w:sz="4" w:space="0"/>
              <w:left w:val="single" w:color="auto" w:sz="4" w:space="0"/>
              <w:bottom w:val="single" w:color="auto" w:sz="4" w:space="0"/>
              <w:right w:val="single" w:color="auto" w:sz="4" w:space="0"/>
            </w:tcBorders>
            <w:vAlign w:val="center"/>
          </w:tcPr>
          <w:p w14:paraId="6F5D5860">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4E27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6" w:type="dxa"/>
            <w:tcBorders>
              <w:top w:val="single" w:color="auto" w:sz="4" w:space="0"/>
              <w:left w:val="single" w:color="auto" w:sz="4" w:space="0"/>
              <w:right w:val="single" w:color="auto" w:sz="4" w:space="0"/>
            </w:tcBorders>
            <w:vAlign w:val="center"/>
          </w:tcPr>
          <w:p w14:paraId="04E0381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03" w:type="dxa"/>
            <w:tcBorders>
              <w:top w:val="single" w:color="auto" w:sz="4" w:space="0"/>
              <w:left w:val="single" w:color="auto" w:sz="4" w:space="0"/>
              <w:right w:val="single" w:color="auto" w:sz="4" w:space="0"/>
            </w:tcBorders>
            <w:vAlign w:val="center"/>
          </w:tcPr>
          <w:p w14:paraId="5F0DA70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类似业绩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82" w:type="dxa"/>
            <w:tcBorders>
              <w:top w:val="single" w:color="auto" w:sz="4" w:space="0"/>
              <w:left w:val="single" w:color="auto" w:sz="4" w:space="0"/>
              <w:bottom w:val="single" w:color="auto" w:sz="4" w:space="0"/>
              <w:right w:val="single" w:color="auto" w:sz="4" w:space="0"/>
            </w:tcBorders>
          </w:tcPr>
          <w:p w14:paraId="4674B7D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年1月1日以来（以合同签订日期为准）承担过</w:t>
            </w:r>
            <w:r>
              <w:rPr>
                <w:rFonts w:hint="eastAsia" w:ascii="宋体" w:hAnsi="宋体" w:eastAsia="宋体" w:cs="宋体"/>
                <w:color w:val="auto"/>
                <w:sz w:val="24"/>
                <w:szCs w:val="24"/>
                <w:highlight w:val="none"/>
                <w:lang w:val="en-US" w:eastAsia="zh-CN"/>
              </w:rPr>
              <w:t>同类型演出演员派遣服务</w:t>
            </w:r>
            <w:r>
              <w:rPr>
                <w:rFonts w:hint="eastAsia" w:ascii="宋体" w:hAnsi="宋体" w:eastAsia="宋体" w:cs="宋体"/>
                <w:color w:val="auto"/>
                <w:sz w:val="24"/>
                <w:szCs w:val="24"/>
                <w:highlight w:val="none"/>
              </w:rPr>
              <w:t>业绩，每提供一份有效合同得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前述业绩如为与本项目需求</w:t>
            </w:r>
            <w:r>
              <w:rPr>
                <w:rFonts w:hint="eastAsia" w:ascii="宋体" w:hAnsi="宋体" w:eastAsia="宋体" w:cs="宋体"/>
                <w:color w:val="auto"/>
                <w:sz w:val="24"/>
                <w:szCs w:val="24"/>
                <w:highlight w:val="none"/>
              </w:rPr>
              <w:t>同类型夜游</w:t>
            </w:r>
            <w:r>
              <w:rPr>
                <w:rFonts w:hint="eastAsia" w:ascii="宋体" w:hAnsi="宋体" w:eastAsia="宋体" w:cs="宋体"/>
                <w:color w:val="auto"/>
                <w:sz w:val="24"/>
                <w:szCs w:val="24"/>
                <w:highlight w:val="none"/>
                <w:lang w:val="en-US" w:eastAsia="zh-CN"/>
              </w:rPr>
              <w:t>演员派遣服务类</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每个业绩再</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w:t>
            </w:r>
            <w:r>
              <w:rPr>
                <w:rFonts w:hint="eastAsia" w:ascii="宋体" w:hAnsi="宋体" w:eastAsia="宋体" w:cs="宋体"/>
                <w:color w:val="auto"/>
                <w:sz w:val="24"/>
                <w:szCs w:val="24"/>
                <w:highlight w:val="none"/>
              </w:rPr>
              <w:t>最高得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1A8BA95B">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提供合同复印件加盖公章。</w:t>
            </w:r>
          </w:p>
        </w:tc>
      </w:tr>
      <w:tr w14:paraId="3019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6" w:type="dxa"/>
            <w:tcBorders>
              <w:top w:val="single" w:color="auto" w:sz="4" w:space="0"/>
              <w:left w:val="single" w:color="auto" w:sz="4" w:space="0"/>
              <w:right w:val="single" w:color="auto" w:sz="4" w:space="0"/>
            </w:tcBorders>
            <w:vAlign w:val="center"/>
          </w:tcPr>
          <w:p w14:paraId="451B222C">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03" w:type="dxa"/>
            <w:tcBorders>
              <w:top w:val="single" w:color="auto" w:sz="4" w:space="0"/>
              <w:left w:val="single" w:color="auto" w:sz="4" w:space="0"/>
              <w:right w:val="single" w:color="auto" w:sz="4" w:space="0"/>
            </w:tcBorders>
            <w:vAlign w:val="center"/>
          </w:tcPr>
          <w:p w14:paraId="31739914">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拟派专业演员实力（20分）</w:t>
            </w:r>
          </w:p>
        </w:tc>
        <w:tc>
          <w:tcPr>
            <w:tcW w:w="7382" w:type="dxa"/>
            <w:tcBorders>
              <w:top w:val="single" w:color="auto" w:sz="4" w:space="0"/>
              <w:left w:val="single" w:color="auto" w:sz="4" w:space="0"/>
              <w:bottom w:val="single" w:color="auto" w:sz="4" w:space="0"/>
              <w:right w:val="single" w:color="auto" w:sz="4" w:space="0"/>
            </w:tcBorders>
          </w:tcPr>
          <w:p w14:paraId="6A5D0A0A">
            <w:pPr>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1.投标人拟派本项目专业演员（表演、舞蹈、戏曲）具有相关艺术院校毕业学历的，每提供1人得2分，最高得10分；</w:t>
            </w:r>
          </w:p>
          <w:p w14:paraId="03479062">
            <w:pPr>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2.投标人拟派本项目专业演员（表演、舞蹈、戏曲）具有相关职称的，每提供1人得1分，最高得5分；</w:t>
            </w:r>
          </w:p>
          <w:p w14:paraId="44EA90F3">
            <w:pPr>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3.投标人拟派本项目专业演员（表演、舞蹈、戏曲）具有</w:t>
            </w:r>
            <w:r>
              <w:rPr>
                <w:rFonts w:hint="eastAsia" w:ascii="宋体" w:hAnsi="宋体" w:eastAsia="宋体" w:cs="宋体"/>
                <w:bCs/>
                <w:color w:val="auto"/>
                <w:sz w:val="24"/>
                <w:szCs w:val="24"/>
                <w:highlight w:val="none"/>
                <w:lang w:val="en-US" w:eastAsia="zh-CN"/>
              </w:rPr>
              <w:t>2年及以上专业表演经验的，</w:t>
            </w:r>
            <w:r>
              <w:rPr>
                <w:rFonts w:hint="eastAsia" w:ascii="宋体" w:hAnsi="宋体" w:eastAsia="宋体" w:cs="宋体"/>
                <w:color w:val="auto"/>
                <w:sz w:val="24"/>
                <w:szCs w:val="24"/>
                <w:highlight w:val="none"/>
                <w:lang w:val="en-US" w:eastAsia="zh-CN"/>
              </w:rPr>
              <w:t>每提供1人得1分，最高得5分；</w:t>
            </w:r>
          </w:p>
          <w:p w14:paraId="63A8381C">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注：①提供相关证书、表演经验证明材料复印件加盖公章，不能证明的不得分。</w:t>
            </w:r>
          </w:p>
          <w:p w14:paraId="7E2F1467">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②同时提供承诺函（格式自拟），承诺投标时所提供的专业演员即为中标后实际参与本项目表演的演员，无提供的本项不得分。</w:t>
            </w:r>
          </w:p>
          <w:p w14:paraId="0CF98138">
            <w:pPr>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③以上3个评分小项同一人员可重复得分。</w:t>
            </w:r>
          </w:p>
        </w:tc>
      </w:tr>
      <w:tr w14:paraId="5852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6" w:type="dxa"/>
            <w:tcBorders>
              <w:top w:val="single" w:color="auto" w:sz="4" w:space="0"/>
              <w:left w:val="single" w:color="auto" w:sz="4" w:space="0"/>
              <w:right w:val="single" w:color="auto" w:sz="4" w:space="0"/>
            </w:tcBorders>
            <w:vAlign w:val="center"/>
          </w:tcPr>
          <w:p w14:paraId="0A281FFB">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03" w:type="dxa"/>
            <w:tcBorders>
              <w:top w:val="single" w:color="auto" w:sz="4" w:space="0"/>
              <w:left w:val="single" w:color="auto" w:sz="4" w:space="0"/>
              <w:right w:val="single" w:color="auto" w:sz="4" w:space="0"/>
            </w:tcBorders>
            <w:vAlign w:val="center"/>
          </w:tcPr>
          <w:p w14:paraId="59DB4906">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投标人演员储备能力（10分）</w:t>
            </w:r>
          </w:p>
        </w:tc>
        <w:tc>
          <w:tcPr>
            <w:tcW w:w="7382" w:type="dxa"/>
            <w:tcBorders>
              <w:top w:val="single" w:color="auto" w:sz="4" w:space="0"/>
              <w:left w:val="single" w:color="auto" w:sz="4" w:space="0"/>
              <w:bottom w:val="single" w:color="auto" w:sz="4" w:space="0"/>
              <w:right w:val="single" w:color="auto" w:sz="4" w:space="0"/>
            </w:tcBorders>
          </w:tcPr>
          <w:p w14:paraId="7137189F">
            <w:pPr>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投标人具有较强的演员储备能力，储备演员每有1人得0.5分，最高得10分，提供人员清单及模卡等证明材料，并提供承诺函（格式自拟），承诺完全满足并无条件响应招标人的用人需求，无提供的本项不得分。</w:t>
            </w:r>
          </w:p>
        </w:tc>
      </w:tr>
      <w:tr w14:paraId="22AD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6" w:type="dxa"/>
            <w:tcBorders>
              <w:left w:val="single" w:color="auto" w:sz="4" w:space="0"/>
              <w:right w:val="single" w:color="auto" w:sz="4" w:space="0"/>
            </w:tcBorders>
            <w:vAlign w:val="center"/>
          </w:tcPr>
          <w:p w14:paraId="62CE3169">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403" w:type="dxa"/>
            <w:tcBorders>
              <w:left w:val="single" w:color="auto" w:sz="4" w:space="0"/>
              <w:bottom w:val="single" w:color="auto" w:sz="4" w:space="0"/>
              <w:right w:val="single" w:color="auto" w:sz="4" w:space="0"/>
            </w:tcBorders>
            <w:vAlign w:val="center"/>
          </w:tcPr>
          <w:p w14:paraId="0FB8AFBD">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3B3AA92C">
            <w:pPr>
              <w:spacing w:line="400" w:lineRule="exact"/>
              <w:jc w:val="center"/>
              <w:rPr>
                <w:rFonts w:hint="eastAsia" w:ascii="宋体" w:hAnsi="宋体" w:eastAsia="宋体" w:cs="宋体"/>
                <w:color w:val="auto"/>
                <w:sz w:val="24"/>
                <w:szCs w:val="24"/>
                <w:highlight w:val="none"/>
              </w:rPr>
            </w:pPr>
          </w:p>
        </w:tc>
        <w:tc>
          <w:tcPr>
            <w:tcW w:w="7382" w:type="dxa"/>
            <w:tcBorders>
              <w:top w:val="single" w:color="auto" w:sz="4" w:space="0"/>
              <w:left w:val="single" w:color="auto" w:sz="4" w:space="0"/>
              <w:bottom w:val="single" w:color="auto" w:sz="4" w:space="0"/>
              <w:right w:val="single" w:color="auto" w:sz="4" w:space="0"/>
            </w:tcBorders>
          </w:tcPr>
          <w:p w14:paraId="35DDAC7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1、实施方案(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790FA07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供应商针对本项目提供的演出方案(工作思路、方法、策划方案、演出计划)进行综合评分:</w:t>
            </w:r>
          </w:p>
          <w:p w14:paraId="01DD7CC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(1)实施方案完善、演出计划安排科学合理，满足本项目需求。得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1748656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(2)实施方案及演出计划基本满足本项目要求。得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2D4CEB7F">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(3)实施方案及演出计划一般，不能够满足本项目要求，描述不具体、模糊，且缺项的得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45C8DCD5">
            <w:pPr>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4）未提供本项的0分。</w:t>
            </w:r>
          </w:p>
          <w:p w14:paraId="6FC4E60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eastAsia="zh-CN"/>
              </w:rPr>
              <w:t>保障措施、</w:t>
            </w:r>
            <w:r>
              <w:rPr>
                <w:rFonts w:hint="eastAsia" w:ascii="宋体" w:hAnsi="宋体" w:eastAsia="宋体" w:cs="宋体"/>
                <w:color w:val="auto"/>
                <w:sz w:val="24"/>
                <w:szCs w:val="24"/>
                <w:highlight w:val="none"/>
              </w:rPr>
              <w:t>保证体系</w:t>
            </w:r>
            <w:r>
              <w:rPr>
                <w:rFonts w:hint="eastAsia" w:ascii="宋体" w:hAnsi="宋体" w:eastAsia="宋体" w:cs="宋体"/>
                <w:color w:val="auto"/>
                <w:sz w:val="24"/>
                <w:szCs w:val="24"/>
                <w:highlight w:val="none"/>
                <w:lang w:val="en-US" w:eastAsia="zh-CN"/>
              </w:rPr>
              <w:t>齐全且</w:t>
            </w:r>
            <w:r>
              <w:rPr>
                <w:rFonts w:hint="eastAsia" w:ascii="宋体" w:hAnsi="宋体" w:eastAsia="宋体" w:cs="宋体"/>
                <w:color w:val="auto"/>
                <w:sz w:val="24"/>
                <w:szCs w:val="24"/>
                <w:highlight w:val="none"/>
              </w:rPr>
              <w:t>符合本项目实际情况，后备替补人员充足。(</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3698E3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供应商针对本项目的服务进度</w:t>
            </w:r>
            <w:r>
              <w:rPr>
                <w:rFonts w:hint="eastAsia" w:ascii="宋体" w:hAnsi="宋体" w:eastAsia="宋体" w:cs="宋体"/>
                <w:color w:val="auto"/>
                <w:sz w:val="24"/>
                <w:szCs w:val="24"/>
                <w:highlight w:val="none"/>
                <w:lang w:val="en-US" w:eastAsia="zh-CN"/>
              </w:rPr>
              <w:t>的人员保障</w:t>
            </w:r>
            <w:r>
              <w:rPr>
                <w:rFonts w:hint="eastAsia" w:ascii="宋体" w:hAnsi="宋体" w:eastAsia="宋体" w:cs="宋体"/>
                <w:color w:val="auto"/>
                <w:sz w:val="24"/>
                <w:szCs w:val="24"/>
                <w:highlight w:val="none"/>
              </w:rPr>
              <w:t>措施进行评分:</w:t>
            </w:r>
          </w:p>
          <w:p w14:paraId="6908604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能够全面性地描述本项目进度控制及</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保障措施,且满足本项目需求得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15347D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(2)虽阐述但未贴合项目实际情况进行论述，或内容中未包括具体实施细节及措施，得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5075BE1">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(3)未提供具体实施细节及措施得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0FE1A72B">
            <w:pPr>
              <w:spacing w:line="400" w:lineRule="exact"/>
              <w:rPr>
                <w:rFonts w:hint="eastAsia"/>
                <w:color w:val="auto"/>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4）未提供本项的0分。</w:t>
            </w:r>
          </w:p>
          <w:p w14:paraId="524DCE2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、后勤保障服务方案(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0CC37AC">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服化道管理方案合理，符合本项目实际情况，能够满足运营需求</w:t>
            </w:r>
            <w:r>
              <w:rPr>
                <w:rFonts w:hint="eastAsia" w:ascii="宋体" w:hAnsi="宋体" w:eastAsia="宋体" w:cs="宋体"/>
                <w:color w:val="auto"/>
                <w:sz w:val="24"/>
                <w:szCs w:val="24"/>
                <w:highlight w:val="none"/>
                <w:lang w:val="en-US" w:eastAsia="zh-CN"/>
              </w:rPr>
              <w:t>进行评分：</w:t>
            </w:r>
          </w:p>
          <w:p w14:paraId="47045D2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(1)能够全面性地阐述</w:t>
            </w:r>
            <w:r>
              <w:rPr>
                <w:rFonts w:hint="eastAsia" w:ascii="宋体" w:hAnsi="宋体" w:eastAsia="宋体" w:cs="宋体"/>
                <w:color w:val="auto"/>
                <w:sz w:val="24"/>
                <w:szCs w:val="24"/>
                <w:highlight w:val="none"/>
                <w:lang w:val="en-US" w:eastAsia="zh-CN"/>
              </w:rPr>
              <w:t>服化道管理方案</w:t>
            </w:r>
            <w:r>
              <w:rPr>
                <w:rFonts w:hint="eastAsia" w:ascii="宋体" w:hAnsi="宋体" w:eastAsia="宋体" w:cs="宋体"/>
                <w:color w:val="auto"/>
                <w:sz w:val="24"/>
                <w:szCs w:val="24"/>
                <w:highlight w:val="none"/>
              </w:rPr>
              <w:t>且满足本项目要求，得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7BFD1E8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(2)虽阐述但未贴合项目实际情况进行论述，或内容中未包括具体实施细节及措施，得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BD7CFC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(3)未提供具体实施细节及措施得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580BCFB">
            <w:pPr>
              <w:spacing w:line="400" w:lineRule="exact"/>
              <w:rPr>
                <w:rFonts w:hint="eastAsia"/>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4）未提供本项的0分。</w:t>
            </w:r>
          </w:p>
        </w:tc>
      </w:tr>
      <w:bookmarkEnd w:id="7"/>
    </w:tbl>
    <w:p w14:paraId="6AA37C84">
      <w:pPr>
        <w:adjustRightInd w:val="0"/>
        <w:snapToGrid w:val="0"/>
        <w:spacing w:before="240" w:line="360" w:lineRule="auto"/>
        <w:ind w:firstLine="482" w:firstLineChars="200"/>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u w:val="thick"/>
        </w:rPr>
        <w:t>特别提醒：技术标评分中所涉及相关资料等证明材料均须提供原件复印件或扫描件并加盖公章，同时将原件带至开标现场备查，</w:t>
      </w:r>
      <w:r>
        <w:rPr>
          <w:rFonts w:hint="eastAsia" w:ascii="宋体" w:hAnsi="宋体" w:eastAsia="宋体" w:cs="宋体"/>
          <w:b/>
          <w:bCs/>
          <w:color w:val="auto"/>
          <w:sz w:val="24"/>
          <w:highlight w:val="none"/>
          <w:u w:val="thick"/>
          <w:lang w:val="zh-TW"/>
        </w:rPr>
        <w:t>所提供的相关材料缺失、不符或不提供者，有关评分内容不得分，材料原件可用公证件原件替代，须与投标文件同时递交，不需密封。</w:t>
      </w:r>
      <w:r>
        <w:rPr>
          <w:rFonts w:hint="eastAsia" w:ascii="宋体" w:hAnsi="宋体" w:eastAsia="宋体" w:cs="宋体"/>
          <w:b/>
          <w:bCs/>
          <w:color w:val="auto"/>
          <w:sz w:val="24"/>
          <w:highlight w:val="none"/>
          <w:u w:val="thick"/>
        </w:rPr>
        <w:t>未携带原件或因携带原件不全所引起的后果由投标人自行承担。</w:t>
      </w:r>
      <w:r>
        <w:rPr>
          <w:rFonts w:hint="eastAsia" w:ascii="宋体" w:hAnsi="宋体" w:eastAsia="宋体" w:cs="宋体"/>
          <w:b/>
          <w:bCs/>
          <w:color w:val="auto"/>
          <w:sz w:val="24"/>
          <w:highlight w:val="none"/>
          <w:u w:val="thick"/>
          <w:lang w:val="zh-TW"/>
        </w:rPr>
        <w:t>评标未尽事宜由评标委员会根据有关规定讨论决定。</w:t>
      </w:r>
    </w:p>
    <w:p w14:paraId="1CECD728">
      <w:pPr>
        <w:adjustRightInd w:val="0"/>
        <w:snapToGrid w:val="0"/>
        <w:spacing w:line="480" w:lineRule="exact"/>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（二）商务标评分：（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26E24D3A">
      <w:pPr>
        <w:adjustRightInd w:val="0"/>
        <w:snapToGrid w:val="0"/>
        <w:spacing w:line="48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价格分统一采用低价优先法计算，即满足招标文件要求且投标价格最低的投标报价为评标基准价，其价格分为满分。其他投标人的价格分统一按照下列公式计算：</w:t>
      </w:r>
    </w:p>
    <w:p w14:paraId="59E57978">
      <w:pPr>
        <w:adjustRightInd w:val="0"/>
        <w:snapToGrid w:val="0"/>
        <w:spacing w:line="480" w:lineRule="exact"/>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投标报价得分=（评标基准价/投标报价）×价格权值×100</w:t>
      </w:r>
      <w:r>
        <w:rPr>
          <w:rFonts w:hint="eastAsia" w:ascii="宋体" w:hAnsi="宋体" w:eastAsia="宋体" w:cs="宋体"/>
          <w:color w:val="auto"/>
          <w:sz w:val="24"/>
          <w:szCs w:val="24"/>
          <w:highlight w:val="none"/>
          <w:lang w:val="en-US" w:eastAsia="zh-CN"/>
        </w:rPr>
        <w:t>%</w:t>
      </w:r>
    </w:p>
    <w:p w14:paraId="3F5A4655">
      <w:pPr>
        <w:adjustRightInd w:val="0"/>
        <w:snapToGrid w:val="0"/>
        <w:spacing w:line="480" w:lineRule="exact"/>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九、出现下列情形之一的，作无效投标处理</w:t>
      </w:r>
    </w:p>
    <w:p w14:paraId="0548F19D">
      <w:pPr>
        <w:adjustRightInd w:val="0"/>
        <w:snapToGrid w:val="0"/>
        <w:spacing w:line="48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1、投标响应文件未按规定要求装订、密封、签署、盖章的；</w:t>
      </w:r>
    </w:p>
    <w:p w14:paraId="5A69D97E">
      <w:pPr>
        <w:adjustRightInd w:val="0"/>
        <w:snapToGrid w:val="0"/>
        <w:spacing w:line="48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2、不具备招标文件规定的资格要求的；</w:t>
      </w:r>
    </w:p>
    <w:p w14:paraId="29C99F3A">
      <w:pPr>
        <w:adjustRightInd w:val="0"/>
        <w:snapToGrid w:val="0"/>
        <w:spacing w:line="48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3、不符合法律、法规和招标文件中规定的其他实质性要求的；</w:t>
      </w:r>
    </w:p>
    <w:p w14:paraId="36EE2F7D">
      <w:pPr>
        <w:adjustRightInd w:val="0"/>
        <w:snapToGrid w:val="0"/>
        <w:spacing w:line="48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4、没有按照招标文件要求提交响应文件，或者响应文件没有对招标文件作出实质性响应的；</w:t>
      </w:r>
    </w:p>
    <w:p w14:paraId="6AA0A9D2">
      <w:pPr>
        <w:adjustRightInd w:val="0"/>
        <w:snapToGrid w:val="0"/>
        <w:spacing w:line="48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5、投标报价超过或等于最高限价的；</w:t>
      </w:r>
    </w:p>
    <w:p w14:paraId="309FCE35">
      <w:pPr>
        <w:adjustRightInd w:val="0"/>
        <w:snapToGrid w:val="0"/>
        <w:spacing w:line="48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6、评标小组可以认定为无效投标的其他情况。</w:t>
      </w:r>
    </w:p>
    <w:p w14:paraId="7DB696D3">
      <w:pPr>
        <w:adjustRightInd w:val="0"/>
        <w:snapToGrid w:val="0"/>
        <w:spacing w:line="480" w:lineRule="exact"/>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十、出现下列情形之一的，作废标处理</w:t>
      </w:r>
    </w:p>
    <w:p w14:paraId="60C5191B">
      <w:pPr>
        <w:adjustRightInd w:val="0"/>
        <w:snapToGrid w:val="0"/>
        <w:spacing w:line="48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1、符合资格条件或者对招标文件作实质响应的投标人不足3家的；</w:t>
      </w:r>
    </w:p>
    <w:p w14:paraId="046115C7">
      <w:pPr>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2、出现影响招标公正的违法违规行为的；</w:t>
      </w:r>
    </w:p>
    <w:p w14:paraId="1B8D152A">
      <w:pPr>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3、因重大变故，招标任务被取消的；</w:t>
      </w:r>
    </w:p>
    <w:p w14:paraId="0E71A3A2">
      <w:pPr>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4、评标小组依据法律法规可以认定为废标的其他情况。</w:t>
      </w:r>
    </w:p>
    <w:p w14:paraId="389F3A3F">
      <w:pPr>
        <w:adjustRightInd w:val="0"/>
        <w:snapToGrid w:val="0"/>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十一、中标通知</w:t>
      </w:r>
    </w:p>
    <w:p w14:paraId="4F8A45CC">
      <w:pPr>
        <w:pStyle w:val="29"/>
        <w:numPr>
          <w:ilvl w:val="0"/>
          <w:numId w:val="2"/>
        </w:numPr>
        <w:adjustRightInd w:val="0"/>
        <w:snapToGrid w:val="0"/>
        <w:spacing w:line="480" w:lineRule="exact"/>
        <w:ind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开标结束后，招标人可在“南通市崇川区人民政府网</w:t>
      </w:r>
    </w:p>
    <w:p w14:paraId="06A484D2">
      <w:pPr>
        <w:adjustRightInd w:val="0"/>
        <w:snapToGrid w:val="0"/>
        <w:spacing w:line="480" w:lineRule="exact"/>
        <w:ind w:left="48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（http://www.chongchuan.gov.cn/）→我要看→公示公告栏”查询中标结果。</w:t>
      </w:r>
    </w:p>
    <w:p w14:paraId="70881A5E">
      <w:pPr>
        <w:adjustRightInd w:val="0"/>
        <w:snapToGrid w:val="0"/>
        <w:spacing w:line="48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2、中标公告期限为1个工作日，期限结束后向中标人发出《中标通知书》。</w:t>
      </w:r>
    </w:p>
    <w:p w14:paraId="30687D30">
      <w:pPr>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3、《中标通知书》一经发出，即具有法律效力。招标人、中标人依法承担法律责任。</w:t>
      </w:r>
    </w:p>
    <w:p w14:paraId="339769CA">
      <w:pPr>
        <w:pStyle w:val="8"/>
        <w:snapToGrid w:val="0"/>
        <w:spacing w:line="360" w:lineRule="auto"/>
        <w:rPr>
          <w:rFonts w:hint="eastAsia" w:ascii="宋体" w:hAnsi="宋体" w:eastAsia="宋体" w:cs="宋体"/>
          <w:color w:val="auto"/>
          <w:sz w:val="24"/>
          <w:szCs w:val="24"/>
          <w:highlight w:val="none"/>
          <w:u w:val="single"/>
        </w:rPr>
      </w:pPr>
      <w:bookmarkStart w:id="8" w:name="_Toc363573857"/>
    </w:p>
    <w:p w14:paraId="52C22B92">
      <w:pPr>
        <w:snapToGrid w:val="0"/>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w w:val="80"/>
          <w:kern w:val="44"/>
          <w:sz w:val="44"/>
          <w:szCs w:val="44"/>
          <w:highlight w:val="none"/>
        </w:rPr>
        <w:br w:type="page"/>
      </w:r>
      <w:r>
        <w:rPr>
          <w:rFonts w:hint="eastAsia" w:ascii="宋体" w:hAnsi="宋体" w:eastAsia="宋体" w:cs="宋体"/>
          <w:b/>
          <w:bCs/>
          <w:color w:val="auto"/>
          <w:w w:val="80"/>
          <w:kern w:val="44"/>
          <w:sz w:val="44"/>
          <w:szCs w:val="44"/>
          <w:highlight w:val="none"/>
        </w:rPr>
        <w:t>第五章  合同授予</w:t>
      </w:r>
      <w:bookmarkEnd w:id="8"/>
    </w:p>
    <w:p w14:paraId="7E0E5AEC">
      <w:pPr>
        <w:adjustRightInd w:val="0"/>
        <w:snapToGrid w:val="0"/>
        <w:spacing w:before="240" w:line="500" w:lineRule="exact"/>
        <w:ind w:firstLine="480" w:firstLineChars="200"/>
        <w:rPr>
          <w:rFonts w:hint="eastAsia" w:ascii="宋体" w:hAnsi="宋体" w:eastAsia="宋体" w:cs="宋体"/>
          <w:color w:val="auto"/>
          <w:sz w:val="24"/>
          <w:szCs w:val="24"/>
          <w:highlight w:val="none"/>
        </w:rPr>
      </w:pPr>
      <w:bookmarkStart w:id="9" w:name="_Toc363573859"/>
      <w:r>
        <w:rPr>
          <w:rFonts w:hint="eastAsia" w:ascii="宋体" w:hAnsi="宋体" w:eastAsia="宋体" w:cs="宋体"/>
          <w:color w:val="auto"/>
          <w:sz w:val="24"/>
          <w:szCs w:val="24"/>
          <w:highlight w:val="none"/>
        </w:rPr>
        <w:t>一、中标人凭中标通知书</w:t>
      </w:r>
      <w:r>
        <w:rPr>
          <w:rFonts w:hint="eastAsia" w:ascii="宋体" w:hAnsi="宋体" w:eastAsia="宋体" w:cs="宋体"/>
          <w:color w:val="auto"/>
          <w:sz w:val="24"/>
          <w:szCs w:val="24"/>
          <w:highlight w:val="none"/>
          <w:lang w:eastAsia="zh-CN"/>
        </w:rPr>
        <w:t>及履约保证金缴纳凭证</w:t>
      </w:r>
      <w:r>
        <w:rPr>
          <w:rFonts w:hint="eastAsia" w:ascii="宋体" w:hAnsi="宋体" w:eastAsia="宋体" w:cs="宋体"/>
          <w:color w:val="auto"/>
          <w:sz w:val="24"/>
          <w:szCs w:val="24"/>
          <w:highlight w:val="none"/>
        </w:rPr>
        <w:t>30日内与招标人签订合同。合同一式四份，招标人两份、中标人两份，所签合同不得对招、投标文件作实质性修改。招标人不得向中标人提出不合理的要求作为签订合同的条件，不得与中标单位私下订立背离招标文件实质性内容的协议。</w:t>
      </w:r>
    </w:p>
    <w:p w14:paraId="07C31C9A">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人按合同约定积极配合中标人履约，中标人履约到位后，请以书面形式向招标人提出验收申请，招标人接到申请后原则上在5个工作日内及时组织相关专业技术人员，必要时邀请政府相关部门共同参与验收，并出具验收报告。</w:t>
      </w:r>
    </w:p>
    <w:p w14:paraId="632D0600">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三、招标人故意推迟项目验收时间的，与中标人串通或要求中标人降低服务标准的，要求中标人出具虚假发票或任意更改销售发票的，谋取不正当利益的，承担相应的法律责任。</w:t>
      </w:r>
    </w:p>
    <w:p w14:paraId="514C27D5">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四、中标人出现违约情形，应当及时纠正或补偿；造成损失的，按合同约定追究违约责任。</w:t>
      </w:r>
    </w:p>
    <w:p w14:paraId="71A0FD8D">
      <w:pPr>
        <w:adjustRightInd w:val="0"/>
        <w:snapToGrid w:val="0"/>
        <w:spacing w:line="5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五、合同主要条款</w:t>
      </w:r>
      <w:r>
        <w:rPr>
          <w:rFonts w:hint="eastAsia" w:ascii="宋体" w:hAnsi="宋体" w:eastAsia="宋体" w:cs="宋体"/>
          <w:color w:val="auto"/>
          <w:sz w:val="24"/>
          <w:szCs w:val="24"/>
          <w:highlight w:val="none"/>
          <w:lang w:eastAsia="zh-CN"/>
        </w:rPr>
        <w:t>（如下）</w:t>
      </w:r>
    </w:p>
    <w:p w14:paraId="71F4C589">
      <w:pP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br w:type="page"/>
      </w:r>
    </w:p>
    <w:p w14:paraId="52BCD079">
      <w:pPr>
        <w:spacing w:line="360" w:lineRule="auto"/>
        <w:ind w:firstLine="2610" w:firstLineChars="500"/>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演出服务合同</w:t>
      </w:r>
    </w:p>
    <w:p w14:paraId="30968F65">
      <w:pPr>
        <w:spacing w:line="360" w:lineRule="auto"/>
        <w:rPr>
          <w:rFonts w:hint="eastAsia" w:ascii="宋体" w:hAnsi="宋体" w:eastAsia="宋体" w:cs="宋体"/>
          <w:color w:val="auto"/>
          <w:sz w:val="24"/>
          <w:szCs w:val="24"/>
          <w:highlight w:val="none"/>
        </w:rPr>
      </w:pPr>
    </w:p>
    <w:p w14:paraId="1B07DC93">
      <w:pPr>
        <w:spacing w:line="360" w:lineRule="auto"/>
        <w:rPr>
          <w:rFonts w:hint="eastAsia" w:ascii="宋体" w:hAnsi="宋体" w:eastAsia="宋体" w:cs="宋体"/>
          <w:color w:val="auto"/>
          <w:sz w:val="24"/>
          <w:szCs w:val="24"/>
          <w:highlight w:val="none"/>
        </w:rPr>
      </w:pPr>
    </w:p>
    <w:p w14:paraId="17A5C6CD">
      <w:pPr>
        <w:spacing w:line="360" w:lineRule="auto"/>
        <w:rPr>
          <w:rFonts w:hint="eastAsia" w:ascii="宋体" w:hAnsi="宋体" w:eastAsia="宋体" w:cs="宋体"/>
          <w:color w:val="auto"/>
          <w:sz w:val="24"/>
          <w:szCs w:val="24"/>
          <w:highlight w:val="none"/>
        </w:rPr>
      </w:pPr>
    </w:p>
    <w:p w14:paraId="4DC86051">
      <w:pPr>
        <w:spacing w:line="360" w:lineRule="auto"/>
        <w:rPr>
          <w:rFonts w:hint="eastAsia" w:ascii="宋体" w:hAnsi="宋体" w:eastAsia="宋体" w:cs="宋体"/>
          <w:color w:val="auto"/>
          <w:sz w:val="24"/>
          <w:szCs w:val="24"/>
          <w:highlight w:val="none"/>
        </w:rPr>
      </w:pPr>
    </w:p>
    <w:p w14:paraId="1B23E5F6">
      <w:pPr>
        <w:spacing w:line="360" w:lineRule="auto"/>
        <w:rPr>
          <w:rFonts w:hint="eastAsia" w:ascii="宋体" w:hAnsi="宋体" w:eastAsia="宋体" w:cs="宋体"/>
          <w:color w:val="auto"/>
          <w:sz w:val="32"/>
          <w:szCs w:val="32"/>
          <w:highlight w:val="none"/>
        </w:rPr>
      </w:pPr>
    </w:p>
    <w:p w14:paraId="4B39BC5F">
      <w:pPr>
        <w:spacing w:line="360" w:lineRule="auto"/>
        <w:rPr>
          <w:rFonts w:hint="eastAsia" w:ascii="宋体" w:hAnsi="宋体" w:eastAsia="宋体" w:cs="宋体"/>
          <w:color w:val="auto"/>
          <w:sz w:val="32"/>
          <w:szCs w:val="32"/>
          <w:highlight w:val="none"/>
        </w:rPr>
      </w:pPr>
    </w:p>
    <w:p w14:paraId="00FC7696">
      <w:pPr>
        <w:spacing w:line="360" w:lineRule="auto"/>
        <w:ind w:firstLine="1920" w:firstLineChars="600"/>
        <w:rPr>
          <w:rFonts w:hint="eastAsia" w:ascii="宋体" w:hAnsi="宋体" w:eastAsia="宋体" w:cs="宋体"/>
          <w:color w:val="auto"/>
          <w:sz w:val="32"/>
          <w:szCs w:val="32"/>
          <w:highlight w:val="none"/>
        </w:rPr>
      </w:pPr>
    </w:p>
    <w:p w14:paraId="705E0572">
      <w:pPr>
        <w:spacing w:line="360" w:lineRule="auto"/>
        <w:ind w:firstLine="1920" w:firstLineChars="600"/>
        <w:rPr>
          <w:rFonts w:hint="eastAsia" w:ascii="宋体" w:hAnsi="宋体" w:eastAsia="宋体" w:cs="宋体"/>
          <w:color w:val="auto"/>
          <w:sz w:val="32"/>
          <w:szCs w:val="32"/>
          <w:highlight w:val="none"/>
        </w:rPr>
      </w:pPr>
    </w:p>
    <w:p w14:paraId="6203E604">
      <w:pPr>
        <w:spacing w:line="360" w:lineRule="auto"/>
        <w:ind w:firstLine="1920" w:firstLineChars="6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甲方： </w:t>
      </w:r>
    </w:p>
    <w:p w14:paraId="4A9C19B8">
      <w:pPr>
        <w:spacing w:line="360" w:lineRule="auto"/>
        <w:ind w:firstLine="1920" w:firstLineChars="600"/>
        <w:rPr>
          <w:rFonts w:hint="eastAsia" w:ascii="宋体" w:hAnsi="宋体" w:eastAsia="宋体" w:cs="宋体"/>
          <w:color w:val="auto"/>
          <w:sz w:val="32"/>
          <w:szCs w:val="32"/>
          <w:highlight w:val="none"/>
        </w:rPr>
      </w:pPr>
    </w:p>
    <w:p w14:paraId="619381C2">
      <w:pPr>
        <w:spacing w:line="360" w:lineRule="auto"/>
        <w:ind w:firstLine="1920" w:firstLineChars="600"/>
        <w:rPr>
          <w:rFonts w:hint="eastAsia" w:ascii="宋体" w:hAnsi="宋体" w:eastAsia="宋体" w:cs="宋体"/>
          <w:color w:val="auto"/>
          <w:sz w:val="32"/>
          <w:szCs w:val="32"/>
          <w:highlight w:val="none"/>
        </w:rPr>
      </w:pPr>
    </w:p>
    <w:p w14:paraId="72E5C81D">
      <w:pPr>
        <w:spacing w:line="360" w:lineRule="auto"/>
        <w:ind w:firstLine="1920" w:firstLineChars="6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乙方： </w:t>
      </w:r>
    </w:p>
    <w:p w14:paraId="743AFC2A">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15E8CC60">
      <w:pPr>
        <w:spacing w:line="360" w:lineRule="auto"/>
        <w:ind w:firstLine="1920" w:firstLineChars="600"/>
        <w:rPr>
          <w:rFonts w:hint="eastAsia" w:ascii="宋体" w:hAnsi="宋体" w:eastAsia="宋体" w:cs="宋体"/>
          <w:color w:val="auto"/>
          <w:sz w:val="32"/>
          <w:szCs w:val="32"/>
          <w:highlight w:val="none"/>
        </w:rPr>
      </w:pPr>
    </w:p>
    <w:p w14:paraId="1EF52EC2">
      <w:pPr>
        <w:spacing w:line="360" w:lineRule="auto"/>
        <w:ind w:firstLine="1920" w:firstLineChars="6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签约地点： </w:t>
      </w:r>
    </w:p>
    <w:p w14:paraId="3F0F7E93">
      <w:pPr>
        <w:spacing w:line="360" w:lineRule="auto"/>
        <w:ind w:firstLine="1920" w:firstLineChars="600"/>
        <w:rPr>
          <w:rFonts w:hint="eastAsia" w:ascii="宋体" w:hAnsi="宋体" w:eastAsia="宋体" w:cs="宋体"/>
          <w:color w:val="auto"/>
          <w:sz w:val="32"/>
          <w:szCs w:val="32"/>
          <w:highlight w:val="none"/>
        </w:rPr>
      </w:pPr>
    </w:p>
    <w:p w14:paraId="5077ACC9">
      <w:pPr>
        <w:spacing w:line="360" w:lineRule="auto"/>
        <w:ind w:firstLine="1920" w:firstLineChars="6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签订日期：   年   月   日</w:t>
      </w:r>
    </w:p>
    <w:p w14:paraId="1A2C7DA1">
      <w:pPr>
        <w:spacing w:line="360" w:lineRule="auto"/>
        <w:rPr>
          <w:rFonts w:hint="eastAsia" w:ascii="宋体" w:hAnsi="宋体" w:eastAsia="宋体" w:cs="宋体"/>
          <w:color w:val="auto"/>
          <w:sz w:val="24"/>
          <w:szCs w:val="24"/>
          <w:highlight w:val="none"/>
        </w:rPr>
      </w:pPr>
    </w:p>
    <w:p w14:paraId="37DC3E77">
      <w:pPr>
        <w:pStyle w:val="16"/>
        <w:rPr>
          <w:rFonts w:hint="eastAsia" w:ascii="宋体" w:hAnsi="宋体" w:eastAsia="宋体" w:cs="宋体"/>
          <w:color w:val="auto"/>
          <w:highlight w:val="none"/>
        </w:rPr>
      </w:pPr>
    </w:p>
    <w:p w14:paraId="17551ED2">
      <w:pPr>
        <w:pStyle w:val="16"/>
        <w:rPr>
          <w:rFonts w:hint="eastAsia" w:ascii="宋体" w:hAnsi="宋体" w:eastAsia="宋体" w:cs="宋体"/>
          <w:color w:val="auto"/>
          <w:highlight w:val="none"/>
        </w:rPr>
      </w:pPr>
    </w:p>
    <w:p w14:paraId="0BC7F5CE">
      <w:pPr>
        <w:pStyle w:val="16"/>
        <w:rPr>
          <w:rFonts w:hint="eastAsia" w:ascii="宋体" w:hAnsi="宋体" w:eastAsia="宋体" w:cs="宋体"/>
          <w:color w:val="auto"/>
          <w:highlight w:val="none"/>
        </w:rPr>
      </w:pPr>
    </w:p>
    <w:p w14:paraId="38254ED7">
      <w:pPr>
        <w:pStyle w:val="16"/>
        <w:rPr>
          <w:rFonts w:hint="eastAsia" w:ascii="宋体" w:hAnsi="宋体" w:eastAsia="宋体" w:cs="宋体"/>
          <w:color w:val="auto"/>
          <w:highlight w:val="none"/>
        </w:rPr>
      </w:pPr>
    </w:p>
    <w:p w14:paraId="378C0B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 xml:space="preserve">甲方： </w:t>
      </w:r>
    </w:p>
    <w:p w14:paraId="12A6A8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通讯地址：</w:t>
      </w:r>
    </w:p>
    <w:p w14:paraId="1E9A48BC">
      <w:pPr>
        <w:spacing w:line="360" w:lineRule="auto"/>
        <w:rPr>
          <w:rFonts w:hint="eastAsia" w:ascii="宋体" w:hAnsi="宋体" w:eastAsia="宋体" w:cs="宋体"/>
          <w:color w:val="auto"/>
          <w:sz w:val="24"/>
          <w:szCs w:val="24"/>
          <w:highlight w:val="none"/>
          <w:lang w:eastAsia="zh-Hans"/>
        </w:rPr>
      </w:pPr>
    </w:p>
    <w:p w14:paraId="1FE503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14:paraId="2FCFAF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通讯地址：</w:t>
      </w:r>
      <w:r>
        <w:rPr>
          <w:rFonts w:hint="eastAsia" w:ascii="宋体" w:hAnsi="宋体" w:eastAsia="宋体" w:cs="宋体"/>
          <w:color w:val="auto"/>
          <w:sz w:val="24"/>
          <w:szCs w:val="24"/>
          <w:highlight w:val="none"/>
        </w:rPr>
        <w:t xml:space="preserve"> </w:t>
      </w:r>
    </w:p>
    <w:p w14:paraId="4D8AE9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根据《中华人民共和国民法典》及中华人民共和国有关法律、法规的规定，依据招、投标文件及其相关附件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甲、乙双方在平等、自愿、等价有偿、公平、诚实信用的基础上，经友好协商，就乙方</w:t>
      </w:r>
      <w:r>
        <w:rPr>
          <w:rFonts w:hint="eastAsia" w:ascii="宋体" w:hAnsi="宋体" w:eastAsia="宋体" w:cs="宋体"/>
          <w:color w:val="auto"/>
          <w:sz w:val="24"/>
          <w:szCs w:val="24"/>
          <w:highlight w:val="none"/>
          <w:lang w:eastAsia="zh-Hans"/>
        </w:rPr>
        <w:t>为甲方提供</w:t>
      </w:r>
      <w:r>
        <w:rPr>
          <w:rFonts w:hint="eastAsia" w:ascii="宋体" w:hAnsi="宋体" w:eastAsia="宋体" w:cs="宋体"/>
          <w:color w:val="auto"/>
          <w:sz w:val="24"/>
          <w:szCs w:val="24"/>
          <w:highlight w:val="none"/>
        </w:rPr>
        <w:t>演出</w:t>
      </w:r>
      <w:r>
        <w:rPr>
          <w:rFonts w:hint="eastAsia" w:ascii="宋体" w:hAnsi="宋体" w:eastAsia="宋体" w:cs="宋体"/>
          <w:color w:val="auto"/>
          <w:sz w:val="24"/>
          <w:szCs w:val="24"/>
          <w:highlight w:val="none"/>
          <w:lang w:eastAsia="zh-Hans"/>
        </w:rPr>
        <w:t>服务</w:t>
      </w:r>
      <w:r>
        <w:rPr>
          <w:rFonts w:hint="eastAsia" w:ascii="宋体" w:hAnsi="宋体" w:eastAsia="宋体" w:cs="宋体"/>
          <w:color w:val="auto"/>
          <w:sz w:val="24"/>
          <w:szCs w:val="24"/>
          <w:highlight w:val="none"/>
        </w:rPr>
        <w:t>达成如下协议。</w:t>
      </w:r>
    </w:p>
    <w:p w14:paraId="651E77B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合作内容</w:t>
      </w:r>
    </w:p>
    <w:p w14:paraId="5CE3BA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w:t>
      </w:r>
      <w:r>
        <w:rPr>
          <w:rFonts w:hint="eastAsia" w:ascii="宋体" w:hAnsi="宋体" w:eastAsia="宋体" w:cs="宋体"/>
          <w:color w:val="auto"/>
          <w:sz w:val="24"/>
          <w:szCs w:val="24"/>
          <w:highlight w:val="none"/>
          <w:lang w:eastAsia="zh-Hans"/>
        </w:rPr>
        <w:t>项目</w:t>
      </w:r>
      <w:r>
        <w:rPr>
          <w:rFonts w:hint="eastAsia" w:ascii="宋体" w:hAnsi="宋体" w:eastAsia="宋体" w:cs="宋体"/>
          <w:color w:val="auto"/>
          <w:sz w:val="24"/>
          <w:szCs w:val="24"/>
          <w:highlight w:val="none"/>
        </w:rPr>
        <w:t>名称：       （下称“</w:t>
      </w:r>
      <w:r>
        <w:rPr>
          <w:rFonts w:hint="eastAsia" w:ascii="宋体" w:hAnsi="宋体" w:eastAsia="宋体" w:cs="宋体"/>
          <w:color w:val="auto"/>
          <w:sz w:val="24"/>
          <w:szCs w:val="24"/>
          <w:highlight w:val="none"/>
          <w:lang w:eastAsia="zh-Hans"/>
        </w:rPr>
        <w:t>本项目</w:t>
      </w:r>
      <w:r>
        <w:rPr>
          <w:rFonts w:hint="eastAsia" w:ascii="宋体" w:hAnsi="宋体" w:eastAsia="宋体" w:cs="宋体"/>
          <w:color w:val="auto"/>
          <w:sz w:val="24"/>
          <w:szCs w:val="24"/>
          <w:highlight w:val="none"/>
        </w:rPr>
        <w:t>”）。</w:t>
      </w:r>
    </w:p>
    <w:p w14:paraId="2781B5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Hans"/>
        </w:rPr>
        <w:t>合作期限</w:t>
      </w:r>
      <w:r>
        <w:rPr>
          <w:rFonts w:hint="eastAsia" w:ascii="宋体" w:hAnsi="宋体" w:eastAsia="宋体" w:cs="宋体"/>
          <w:color w:val="auto"/>
          <w:sz w:val="24"/>
          <w:szCs w:val="24"/>
          <w:highlight w:val="none"/>
        </w:rPr>
        <w:t>：自    年    月    日起至   年   月   日</w:t>
      </w:r>
      <w:r>
        <w:rPr>
          <w:rFonts w:hint="eastAsia" w:ascii="宋体" w:hAnsi="宋体" w:eastAsia="宋体" w:cs="宋体"/>
          <w:color w:val="auto"/>
          <w:sz w:val="24"/>
          <w:szCs w:val="24"/>
          <w:highlight w:val="none"/>
          <w:lang w:eastAsia="zh-Hans"/>
        </w:rPr>
        <w:t>止</w:t>
      </w:r>
      <w:r>
        <w:rPr>
          <w:rFonts w:hint="eastAsia" w:ascii="宋体" w:hAnsi="宋体" w:eastAsia="宋体" w:cs="宋体"/>
          <w:color w:val="auto"/>
          <w:sz w:val="24"/>
          <w:szCs w:val="24"/>
          <w:highlight w:val="none"/>
        </w:rPr>
        <w:t>，期限   年，具体合作期限如有变更，以双方最终确认为准。</w:t>
      </w:r>
    </w:p>
    <w:p w14:paraId="3613E2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Hans"/>
        </w:rPr>
        <w:t>项目</w:t>
      </w:r>
      <w:r>
        <w:rPr>
          <w:rFonts w:hint="eastAsia" w:ascii="宋体" w:hAnsi="宋体" w:eastAsia="宋体" w:cs="宋体"/>
          <w:color w:val="auto"/>
          <w:sz w:val="24"/>
          <w:szCs w:val="24"/>
          <w:highlight w:val="none"/>
        </w:rPr>
        <w:t xml:space="preserve">地点：           </w:t>
      </w:r>
      <w:r>
        <w:rPr>
          <w:rFonts w:hint="eastAsia" w:ascii="宋体" w:hAnsi="宋体" w:eastAsia="宋体" w:cs="宋体"/>
          <w:color w:val="auto"/>
          <w:sz w:val="24"/>
          <w:szCs w:val="24"/>
          <w:highlight w:val="none"/>
          <w:lang w:eastAsia="zh-Hans"/>
        </w:rPr>
        <w:t>。</w:t>
      </w:r>
    </w:p>
    <w:p w14:paraId="33E11D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Hans"/>
        </w:rPr>
        <w:t>合作</w:t>
      </w:r>
      <w:r>
        <w:rPr>
          <w:rFonts w:hint="eastAsia" w:ascii="宋体" w:hAnsi="宋体" w:eastAsia="宋体" w:cs="宋体"/>
          <w:color w:val="auto"/>
          <w:sz w:val="24"/>
          <w:szCs w:val="24"/>
          <w:highlight w:val="none"/>
        </w:rPr>
        <w:t>内容：由乙方提供演员为甲方提供演出服务，甲方据此向乙方支付服务费。</w:t>
      </w:r>
    </w:p>
    <w:p w14:paraId="5E3E24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 xml:space="preserve">.4.1 </w:t>
      </w:r>
      <w:r>
        <w:rPr>
          <w:rFonts w:hint="eastAsia" w:ascii="宋体" w:hAnsi="宋体" w:eastAsia="宋体" w:cs="宋体"/>
          <w:color w:val="auto"/>
          <w:sz w:val="24"/>
          <w:szCs w:val="24"/>
          <w:highlight w:val="none"/>
        </w:rPr>
        <w:t>乙方按照甲方要求的专业演员标准，男不低于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CM，女不低于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CM；拥有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以上舞蹈专业培训或演出经验，普通演员须经历过形体、舞蹈基础等专业培训，女演员需形象气质佳（具体以甲方对演员的实际要求及招标文件为准，乙方应配合执行）。若在演出高峰期或演出淡季需要增加或减少演员，甲方提早5天告知乙方，乙方应根据甲方要求执行，双方根据实际人员数量结算服务费。</w:t>
      </w:r>
    </w:p>
    <w:p w14:paraId="11115B2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4.2考虑到演出运维一体化管理，便于提高人效与工作效率，降低运维成本。甲方需要乙方在演员中选定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名演员兼职舞台督导工作（该人员由乙方根据工作量，在保质保量完成工作的前提下，可自行安排人员，但须确保满足甲方演出及人员安排计划要求）。</w:t>
      </w:r>
    </w:p>
    <w:p w14:paraId="61E2FF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 xml:space="preserve">.4.3 </w:t>
      </w:r>
      <w:r>
        <w:rPr>
          <w:rFonts w:hint="eastAsia" w:ascii="宋体" w:hAnsi="宋体" w:eastAsia="宋体" w:cs="宋体"/>
          <w:color w:val="auto"/>
          <w:sz w:val="24"/>
          <w:szCs w:val="24"/>
          <w:highlight w:val="none"/>
        </w:rPr>
        <w:t>合作期内，乙方应保证上述人员的数量及质量，甲方有权要求补充、更换不合格人员，乙方应在7日内完成补充及更换。</w:t>
      </w:r>
    </w:p>
    <w:p w14:paraId="5C792F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 xml:space="preserve">.4.4 </w:t>
      </w:r>
      <w:r>
        <w:rPr>
          <w:rFonts w:hint="eastAsia" w:ascii="宋体" w:hAnsi="宋体" w:eastAsia="宋体" w:cs="宋体"/>
          <w:color w:val="auto"/>
          <w:sz w:val="24"/>
          <w:szCs w:val="24"/>
          <w:highlight w:val="none"/>
        </w:rPr>
        <w:t>合作期间，甲方根据项目需求，可以要求乙方提供临时演员人员，甲方应提前3天提出并明确具体岗位及人数，乙方应当按照甲方的要求提供相应的人员，并于演出前2日进行临时演员排练。甲方根据临时演员实际出勤天数和人数，按照本合同约定的同岗位演员日均费用标准，随当月演出费用一并支付给乙方。如甲方未按照本条约定提前通知乙方，乙方不承担未履行本约定带来的不利后果。</w:t>
      </w:r>
    </w:p>
    <w:p w14:paraId="3012C7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.4.5 合作期间，如有休演季，休演季期间甲方不支付乙方任何费用（包括但不限于演员的食宿费、交通费）。甲方需提前</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Hans"/>
        </w:rPr>
        <w:t>日书面通知乙方，乙方做提前安排。具体复演时间甲方需提前10日书面通知乙方进场时间，乙方保证在复演日前按甲方要求配齐演员参加恢复排练。</w:t>
      </w:r>
    </w:p>
    <w:p w14:paraId="5B8CCA5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费用计算及付款方式</w:t>
      </w:r>
    </w:p>
    <w:p w14:paraId="433BD72E">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Hans"/>
        </w:rPr>
        <w:t>甲方按乙方所提供演员的如下费用标准向乙方支付服务费：</w:t>
      </w:r>
    </w:p>
    <w:p w14:paraId="185A0136">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w:t>
      </w:r>
      <w:r>
        <w:rPr>
          <w:rFonts w:hint="eastAsia" w:ascii="宋体" w:hAnsi="宋体" w:eastAsia="宋体" w:cs="宋体"/>
          <w:color w:val="auto"/>
          <w:sz w:val="24"/>
          <w:szCs w:val="24"/>
          <w:highlight w:val="none"/>
          <w:lang w:eastAsia="zh-Hans"/>
        </w:rPr>
        <w:t>服务费暂估总价（含税）为：￥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Hans"/>
        </w:rPr>
        <w:t>元（人民币大写</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Hans"/>
        </w:rPr>
        <w:t>）。服务费用按1个月实际演出场次支付，每月结算。</w:t>
      </w:r>
      <w:r>
        <w:rPr>
          <w:rFonts w:hint="eastAsia" w:ascii="宋体" w:hAnsi="宋体" w:eastAsia="宋体" w:cs="宋体"/>
          <w:color w:val="auto"/>
          <w:sz w:val="24"/>
          <w:szCs w:val="24"/>
          <w:highlight w:val="none"/>
          <w:lang w:eastAsia="zh-CN"/>
        </w:rPr>
        <w:t>暂定</w:t>
      </w:r>
      <w:r>
        <w:rPr>
          <w:rFonts w:hint="eastAsia" w:ascii="宋体" w:hAnsi="宋体" w:eastAsia="宋体" w:cs="宋体"/>
          <w:bCs/>
          <w:color w:val="auto"/>
          <w:sz w:val="24"/>
          <w:szCs w:val="24"/>
          <w:highlight w:val="none"/>
          <w:lang w:val="en-US" w:eastAsia="zh-CN"/>
        </w:rPr>
        <w:t>2026年2-9月需要配备演员11人（专业演员6人、普通演员5人），2026年10月-2027年1月需配备演员8人（专业演员5人、普通演员3人），</w:t>
      </w:r>
      <w:r>
        <w:rPr>
          <w:rFonts w:hint="eastAsia" w:ascii="宋体" w:hAnsi="宋体" w:eastAsia="宋体" w:cs="宋体"/>
          <w:color w:val="auto"/>
          <w:sz w:val="24"/>
          <w:szCs w:val="24"/>
          <w:highlight w:val="none"/>
        </w:rPr>
        <w:t>淡旺季根据实际出勤人员据实结算。</w:t>
      </w:r>
    </w:p>
    <w:p w14:paraId="4FED2B77">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其中：</w:t>
      </w:r>
    </w:p>
    <w:p w14:paraId="5A3F94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Hans"/>
        </w:rPr>
        <w:t>.1</w:t>
      </w:r>
      <w:r>
        <w:rPr>
          <w:rFonts w:hint="eastAsia" w:ascii="宋体" w:hAnsi="宋体" w:eastAsia="宋体" w:cs="宋体"/>
          <w:color w:val="auto"/>
          <w:sz w:val="24"/>
          <w:szCs w:val="24"/>
          <w:highlight w:val="none"/>
        </w:rPr>
        <w:t>上述费用标准包括但不限于乙方所提供的人员的工资、法定节假日加班费（除春节以外）</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 xml:space="preserve">往返交通费用、每月餐费补助、住宿费、离职补偿金、商业保险与社会保险费用、公积金等全部费用，除此外，甲方不再因乙方、乙方人员为本项目所提供的服务再支付其他任何费用。每次付款前，乙方需先提供等额有效增值税专用发票。 </w:t>
      </w:r>
    </w:p>
    <w:p w14:paraId="1D9928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如有需要，在双方协定的演出排期之外另加演出及配合甲方关于“濠河夜画”的宣传推广活动，乙方应全力配合，且不另外收取甲方任何服务费用。若出现乙方演员旷工，罢演或突然离职并且无人替代的情况下对演出造成影响的，甲方可追究乙方赔偿责任，按2000元/人/次的标准在当月服务费总价中扣除。</w:t>
      </w:r>
    </w:p>
    <w:p w14:paraId="459D2C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费用核算：乙方所提供演员由乙方自行管理，甲方有权监督管理，乙方于次月3号向甲方提供乙方上月演员签到表，并经甲方签字确认后生效。（见附件）</w:t>
      </w:r>
    </w:p>
    <w:p w14:paraId="5CBC72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Hans"/>
        </w:rPr>
        <w:t xml:space="preserve">.4 </w:t>
      </w:r>
      <w:r>
        <w:rPr>
          <w:rFonts w:hint="eastAsia" w:ascii="宋体" w:hAnsi="宋体" w:eastAsia="宋体" w:cs="宋体"/>
          <w:color w:val="auto"/>
          <w:sz w:val="24"/>
          <w:szCs w:val="24"/>
          <w:highlight w:val="none"/>
        </w:rPr>
        <w:t>付款方式：乙方每月5日前向甲方开具税率为【</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的等额增值税专用发票，并向甲方提交演出费用清单核对演出费用，甲方每月15日以转账的方式向乙方结算上个月的</w:t>
      </w:r>
      <w:r>
        <w:rPr>
          <w:rFonts w:hint="eastAsia" w:ascii="宋体" w:hAnsi="宋体" w:eastAsia="宋体" w:cs="宋体"/>
          <w:color w:val="auto"/>
          <w:sz w:val="24"/>
          <w:szCs w:val="24"/>
          <w:highlight w:val="none"/>
          <w:lang w:eastAsia="zh-Hans"/>
        </w:rPr>
        <w:t>服务</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扣除考核扣款后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至乙方指定账户（如遇十一、春节等法定节假日，结算日期顺延）。</w:t>
      </w:r>
    </w:p>
    <w:p w14:paraId="71EAA7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Hans"/>
        </w:rPr>
        <w:t xml:space="preserve">.5 </w:t>
      </w:r>
      <w:r>
        <w:rPr>
          <w:rFonts w:hint="eastAsia" w:ascii="宋体" w:hAnsi="宋体" w:eastAsia="宋体" w:cs="宋体"/>
          <w:color w:val="auto"/>
          <w:sz w:val="24"/>
          <w:szCs w:val="24"/>
          <w:highlight w:val="none"/>
        </w:rPr>
        <w:t>甲方在支付每月款项之前，乙方应提前提供约定好的增值税专用发票，否则甲方有权延期付款</w:t>
      </w:r>
      <w:r>
        <w:rPr>
          <w:rFonts w:hint="eastAsia" w:ascii="宋体" w:hAnsi="宋体" w:eastAsia="宋体" w:cs="宋体"/>
          <w:color w:val="auto"/>
          <w:sz w:val="24"/>
          <w:szCs w:val="24"/>
          <w:highlight w:val="none"/>
          <w:lang w:eastAsia="zh-Hans"/>
        </w:rPr>
        <w:t>且无须承</w:t>
      </w:r>
      <w:r>
        <w:rPr>
          <w:rFonts w:hint="eastAsia" w:ascii="宋体" w:hAnsi="宋体" w:eastAsia="宋体" w:cs="宋体"/>
          <w:color w:val="auto"/>
          <w:sz w:val="24"/>
          <w:szCs w:val="24"/>
          <w:highlight w:val="none"/>
        </w:rPr>
        <w:t>担任何延迟付款责任。</w:t>
      </w:r>
    </w:p>
    <w:p w14:paraId="2842A8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2.6甲方依据本合同附件三：《演艺服务管理考核办法》对乙方人员的服务进行考核，具体服务费金额依据考核结果按月进行结算支付。</w:t>
      </w:r>
    </w:p>
    <w:p w14:paraId="24A3E1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2.7乙方指定收款账户如下：</w:t>
      </w:r>
    </w:p>
    <w:p w14:paraId="0D229E2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7F1EFC6E">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 户 行：</w:t>
      </w:r>
      <w:r>
        <w:rPr>
          <w:rFonts w:hint="eastAsia" w:ascii="宋体" w:hAnsi="宋体" w:eastAsia="宋体" w:cs="宋体"/>
          <w:color w:val="auto"/>
          <w:sz w:val="24"/>
          <w:szCs w:val="24"/>
          <w:highlight w:val="none"/>
          <w:u w:val="single"/>
        </w:rPr>
        <w:t xml:space="preserve">                         </w:t>
      </w:r>
    </w:p>
    <w:p w14:paraId="390CAE5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w:t>
      </w:r>
    </w:p>
    <w:p w14:paraId="47B382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甲方向以上账户付款，即完成本合同项下对乙方付款义务。</w:t>
      </w:r>
    </w:p>
    <w:p w14:paraId="32F582E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甲方权利及义务</w:t>
      </w:r>
    </w:p>
    <w:p w14:paraId="07FDFCF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eastAsia="zh-Hans"/>
        </w:rPr>
        <w:t xml:space="preserve">.1 </w:t>
      </w:r>
      <w:r>
        <w:rPr>
          <w:rFonts w:hint="eastAsia" w:ascii="宋体" w:hAnsi="宋体" w:eastAsia="宋体" w:cs="宋体"/>
          <w:color w:val="auto"/>
          <w:kern w:val="0"/>
          <w:sz w:val="24"/>
          <w:highlight w:val="none"/>
        </w:rPr>
        <w:t>甲方在安排乙方专业演员参演过程中，具有管理权、指导权、监督权；在排练、演出过程中有绝对的调配权、指挥权。但不得要求从事排练和演出之外的其他活动和工作。如确需乙方支持，应本着友好协商的原则事先征得乙方同意。</w:t>
      </w:r>
    </w:p>
    <w:p w14:paraId="57A5BC9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eastAsia="zh-Hans"/>
        </w:rPr>
        <w:t xml:space="preserve">.2 </w:t>
      </w:r>
      <w:r>
        <w:rPr>
          <w:rFonts w:hint="eastAsia" w:ascii="宋体" w:hAnsi="宋体" w:eastAsia="宋体" w:cs="宋体"/>
          <w:color w:val="auto"/>
          <w:kern w:val="0"/>
          <w:sz w:val="24"/>
          <w:highlight w:val="none"/>
        </w:rPr>
        <w:t>甲方指定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为联系管理部门，制定参演专业的挑选、培训、排练、合成及演出方案，并有调整方案的</w:t>
      </w:r>
      <w:r>
        <w:rPr>
          <w:rFonts w:hint="eastAsia" w:ascii="宋体" w:hAnsi="宋体" w:eastAsia="宋体" w:cs="宋体"/>
          <w:color w:val="auto"/>
          <w:kern w:val="0"/>
          <w:sz w:val="24"/>
          <w:highlight w:val="none"/>
          <w:lang w:eastAsia="zh-Hans"/>
        </w:rPr>
        <w:t>权利</w:t>
      </w:r>
      <w:r>
        <w:rPr>
          <w:rFonts w:hint="eastAsia" w:ascii="宋体" w:hAnsi="宋体" w:eastAsia="宋体" w:cs="宋体"/>
          <w:color w:val="auto"/>
          <w:kern w:val="0"/>
          <w:sz w:val="24"/>
          <w:highlight w:val="none"/>
        </w:rPr>
        <w:t>。同时该部门每月应统计并确认乙方人员的演出情况，包括各类人员的数量、演出场次及有无工作失误情况，作为每月服务费结算的依据，甲方据此确定每月服务费用金额。</w:t>
      </w:r>
    </w:p>
    <w:p w14:paraId="623C80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甲方有权对乙方的工作内容及工作质量进行监督和指导，乙方需服从甲方演出时段的管理安排。发现问题有权要求乙方</w:t>
      </w:r>
      <w:r>
        <w:rPr>
          <w:rFonts w:hint="eastAsia" w:ascii="宋体" w:hAnsi="宋体" w:eastAsia="宋体" w:cs="宋体"/>
          <w:color w:val="auto"/>
          <w:sz w:val="24"/>
          <w:szCs w:val="24"/>
          <w:highlight w:val="none"/>
          <w:lang w:eastAsia="zh-Hans"/>
        </w:rPr>
        <w:t>在</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Hans"/>
        </w:rPr>
        <w:t>日内按照甲方要求完成</w:t>
      </w:r>
      <w:r>
        <w:rPr>
          <w:rFonts w:hint="eastAsia" w:ascii="宋体" w:hAnsi="宋体" w:eastAsia="宋体" w:cs="宋体"/>
          <w:color w:val="auto"/>
          <w:sz w:val="24"/>
          <w:szCs w:val="24"/>
          <w:highlight w:val="none"/>
        </w:rPr>
        <w:t>整改，如</w:t>
      </w:r>
      <w:r>
        <w:rPr>
          <w:rFonts w:hint="eastAsia" w:ascii="宋体" w:hAnsi="宋体" w:eastAsia="宋体" w:cs="宋体"/>
          <w:color w:val="auto"/>
          <w:sz w:val="24"/>
          <w:szCs w:val="24"/>
          <w:highlight w:val="none"/>
          <w:lang w:eastAsia="zh-Hans"/>
        </w:rPr>
        <w:t>乙方未进行整改或</w:t>
      </w:r>
      <w:r>
        <w:rPr>
          <w:rFonts w:hint="eastAsia" w:ascii="宋体" w:hAnsi="宋体" w:eastAsia="宋体" w:cs="宋体"/>
          <w:color w:val="auto"/>
          <w:sz w:val="24"/>
          <w:szCs w:val="24"/>
          <w:highlight w:val="none"/>
        </w:rPr>
        <w:t>整改</w:t>
      </w:r>
      <w:r>
        <w:rPr>
          <w:rFonts w:hint="eastAsia" w:ascii="宋体" w:hAnsi="宋体" w:eastAsia="宋体" w:cs="宋体"/>
          <w:color w:val="auto"/>
          <w:sz w:val="24"/>
          <w:szCs w:val="24"/>
          <w:highlight w:val="none"/>
          <w:lang w:eastAsia="zh-Hans"/>
        </w:rPr>
        <w:t>后</w:t>
      </w:r>
      <w:r>
        <w:rPr>
          <w:rFonts w:hint="eastAsia" w:ascii="宋体" w:hAnsi="宋体" w:eastAsia="宋体" w:cs="宋体"/>
          <w:color w:val="auto"/>
          <w:sz w:val="24"/>
          <w:szCs w:val="24"/>
          <w:highlight w:val="none"/>
        </w:rPr>
        <w:t>仍未达到甲方需求，甲方有权扣除当月演出费用</w:t>
      </w:r>
      <w:r>
        <w:rPr>
          <w:rFonts w:hint="eastAsia" w:ascii="宋体" w:hAnsi="宋体" w:eastAsia="宋体" w:cs="宋体"/>
          <w:color w:val="auto"/>
          <w:sz w:val="24"/>
          <w:szCs w:val="24"/>
          <w:highlight w:val="none"/>
          <w:lang w:eastAsia="zh-Hans"/>
        </w:rPr>
        <w:t>总额</w:t>
      </w:r>
      <w:r>
        <w:rPr>
          <w:rFonts w:hint="eastAsia" w:ascii="宋体" w:hAnsi="宋体" w:eastAsia="宋体" w:cs="宋体"/>
          <w:color w:val="auto"/>
          <w:sz w:val="24"/>
          <w:szCs w:val="24"/>
          <w:highlight w:val="none"/>
        </w:rPr>
        <w:t>的10%作为</w:t>
      </w:r>
      <w:r>
        <w:rPr>
          <w:rFonts w:hint="eastAsia" w:ascii="宋体" w:hAnsi="宋体" w:eastAsia="宋体" w:cs="宋体"/>
          <w:color w:val="auto"/>
          <w:sz w:val="24"/>
          <w:szCs w:val="24"/>
          <w:highlight w:val="none"/>
          <w:lang w:eastAsia="zh-Hans"/>
        </w:rPr>
        <w:t>违约金</w:t>
      </w:r>
      <w:r>
        <w:rPr>
          <w:rFonts w:hint="eastAsia" w:ascii="宋体" w:hAnsi="宋体" w:eastAsia="宋体" w:cs="宋体"/>
          <w:color w:val="auto"/>
          <w:sz w:val="24"/>
          <w:szCs w:val="24"/>
          <w:highlight w:val="none"/>
        </w:rPr>
        <w:t>。</w:t>
      </w:r>
    </w:p>
    <w:p w14:paraId="1FC4CB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Hans"/>
        </w:rPr>
        <w:t xml:space="preserve">.4 </w:t>
      </w:r>
      <w:r>
        <w:rPr>
          <w:rFonts w:hint="eastAsia" w:ascii="宋体" w:hAnsi="宋体" w:eastAsia="宋体" w:cs="宋体"/>
          <w:color w:val="auto"/>
          <w:sz w:val="24"/>
          <w:szCs w:val="24"/>
          <w:highlight w:val="none"/>
        </w:rPr>
        <w:t>活动期间甲方有权对活动全程进行拍摄、录音、录像，制作摄影、文字作品、录音、录像制品并加以使用；甲方有权将前述摄影、录音、录像用于甲方企业宣传，在任何时候甲方均有权对参演过程和人物形象自主决定宣传方式，无需另付费用；乙方人员在任何时候不得以肖像权、名誉权等提出相应主张或要求。</w:t>
      </w:r>
    </w:p>
    <w:p w14:paraId="60BCBD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Hans"/>
        </w:rPr>
        <w:t xml:space="preserve">.5 </w:t>
      </w:r>
      <w:r>
        <w:rPr>
          <w:rFonts w:hint="eastAsia" w:ascii="宋体" w:hAnsi="宋体" w:eastAsia="宋体" w:cs="宋体"/>
          <w:color w:val="auto"/>
          <w:sz w:val="24"/>
          <w:szCs w:val="24"/>
          <w:highlight w:val="none"/>
        </w:rPr>
        <w:t>如因天气不佳、活动人流量不足、甲方场地协调问题、甲方设备调试故障等情况，甲方取消当天活动，责任由甲方承担，乙方对此不承担责任；另如甲方需变更前述约定好的常规演出时间</w:t>
      </w:r>
      <w:r>
        <w:rPr>
          <w:rFonts w:hint="eastAsia" w:ascii="宋体" w:hAnsi="宋体" w:eastAsia="宋体" w:cs="宋体"/>
          <w:color w:val="auto"/>
          <w:sz w:val="24"/>
          <w:szCs w:val="24"/>
          <w:highlight w:val="none"/>
          <w:lang w:eastAsia="zh-Hans"/>
        </w:rPr>
        <w:t>或决定整体停演</w:t>
      </w:r>
      <w:r>
        <w:rPr>
          <w:rFonts w:hint="eastAsia" w:ascii="宋体" w:hAnsi="宋体" w:eastAsia="宋体" w:cs="宋体"/>
          <w:color w:val="auto"/>
          <w:sz w:val="24"/>
          <w:szCs w:val="24"/>
          <w:highlight w:val="none"/>
        </w:rPr>
        <w:t>的，则需提前5天以书面形式</w:t>
      </w:r>
      <w:r>
        <w:rPr>
          <w:rFonts w:hint="eastAsia" w:ascii="宋体" w:hAnsi="宋体" w:eastAsia="宋体" w:cs="宋体"/>
          <w:color w:val="auto"/>
          <w:sz w:val="24"/>
          <w:szCs w:val="24"/>
          <w:highlight w:val="none"/>
          <w:lang w:eastAsia="zh-Hans"/>
        </w:rPr>
        <w:t>告知</w:t>
      </w:r>
      <w:r>
        <w:rPr>
          <w:rFonts w:hint="eastAsia" w:ascii="宋体" w:hAnsi="宋体" w:eastAsia="宋体" w:cs="宋体"/>
          <w:color w:val="auto"/>
          <w:sz w:val="24"/>
          <w:szCs w:val="24"/>
          <w:highlight w:val="none"/>
        </w:rPr>
        <w:t>乙方，乙方须配合甲方工作，甲方按照实际</w:t>
      </w:r>
      <w:r>
        <w:rPr>
          <w:rFonts w:hint="eastAsia" w:ascii="宋体" w:hAnsi="宋体" w:eastAsia="宋体" w:cs="宋体"/>
          <w:color w:val="auto"/>
          <w:sz w:val="24"/>
          <w:szCs w:val="24"/>
          <w:highlight w:val="none"/>
          <w:lang w:eastAsia="zh-Hans"/>
        </w:rPr>
        <w:t>演出</w:t>
      </w:r>
      <w:r>
        <w:rPr>
          <w:rFonts w:hint="eastAsia" w:ascii="宋体" w:hAnsi="宋体" w:eastAsia="宋体" w:cs="宋体"/>
          <w:color w:val="auto"/>
          <w:sz w:val="24"/>
          <w:szCs w:val="24"/>
          <w:highlight w:val="none"/>
        </w:rPr>
        <w:t>天数支付当月</w:t>
      </w:r>
      <w:r>
        <w:rPr>
          <w:rFonts w:hint="eastAsia" w:ascii="宋体" w:hAnsi="宋体" w:eastAsia="宋体" w:cs="宋体"/>
          <w:color w:val="auto"/>
          <w:sz w:val="24"/>
          <w:szCs w:val="24"/>
          <w:highlight w:val="none"/>
          <w:lang w:eastAsia="zh-Hans"/>
        </w:rPr>
        <w:t>费用</w:t>
      </w:r>
      <w:r>
        <w:rPr>
          <w:rFonts w:hint="eastAsia" w:ascii="宋体" w:hAnsi="宋体" w:eastAsia="宋体" w:cs="宋体"/>
          <w:color w:val="auto"/>
          <w:sz w:val="24"/>
          <w:szCs w:val="24"/>
          <w:highlight w:val="none"/>
        </w:rPr>
        <w:t>。</w:t>
      </w:r>
    </w:p>
    <w:p w14:paraId="19805E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Hans"/>
        </w:rPr>
        <w:t xml:space="preserve">.6 </w:t>
      </w:r>
      <w:r>
        <w:rPr>
          <w:rFonts w:hint="eastAsia" w:ascii="宋体" w:hAnsi="宋体" w:eastAsia="宋体" w:cs="宋体"/>
          <w:color w:val="auto"/>
          <w:sz w:val="24"/>
          <w:szCs w:val="24"/>
          <w:highlight w:val="none"/>
        </w:rPr>
        <w:t>活动期间乙方人员积极配合甲方日常演出，甲方如需临时增加或减少人员，须提前5天向乙方提出，并确定好人数、场次、演出时间、演出内容。新增或减少人员演出费用按照本协议约定的同岗位演出费用进行结算。乙方在演出时间内需配合甲方的市场活动和宣传。</w:t>
      </w:r>
    </w:p>
    <w:p w14:paraId="3324DF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3.7甲方有权随时对乙方演出质量进行检查，有权对违规或不符合要求人员提出整改、处罚或调换要求，乙方必须接受；如乙方人员违反甲方管理规定，甲方根据考核细则进行扣分。</w:t>
      </w:r>
    </w:p>
    <w:p w14:paraId="1DFD9EC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Hans"/>
        </w:rPr>
        <w:t>四</w:t>
      </w:r>
      <w:r>
        <w:rPr>
          <w:rFonts w:hint="eastAsia" w:ascii="宋体" w:hAnsi="宋体" w:eastAsia="宋体" w:cs="宋体"/>
          <w:b/>
          <w:bCs/>
          <w:color w:val="auto"/>
          <w:sz w:val="24"/>
          <w:szCs w:val="24"/>
          <w:highlight w:val="none"/>
        </w:rPr>
        <w:t xml:space="preserve">条  </w:t>
      </w:r>
      <w:r>
        <w:rPr>
          <w:rFonts w:hint="eastAsia" w:ascii="宋体" w:hAnsi="宋体" w:eastAsia="宋体" w:cs="宋体"/>
          <w:b/>
          <w:bCs/>
          <w:color w:val="auto"/>
          <w:sz w:val="24"/>
          <w:szCs w:val="24"/>
          <w:highlight w:val="none"/>
          <w:lang w:eastAsia="zh-Hans"/>
        </w:rPr>
        <w:t>乙</w:t>
      </w:r>
      <w:r>
        <w:rPr>
          <w:rFonts w:hint="eastAsia" w:ascii="宋体" w:hAnsi="宋体" w:eastAsia="宋体" w:cs="宋体"/>
          <w:b/>
          <w:bCs/>
          <w:color w:val="auto"/>
          <w:sz w:val="24"/>
          <w:szCs w:val="24"/>
          <w:highlight w:val="none"/>
        </w:rPr>
        <w:t>方权利及义务</w:t>
      </w:r>
    </w:p>
    <w:p w14:paraId="69E81B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4.1</w:t>
      </w:r>
      <w:r>
        <w:rPr>
          <w:rFonts w:hint="eastAsia" w:ascii="宋体" w:hAnsi="宋体" w:eastAsia="宋体" w:cs="宋体"/>
          <w:color w:val="auto"/>
          <w:sz w:val="24"/>
          <w:szCs w:val="24"/>
          <w:highlight w:val="none"/>
        </w:rPr>
        <w:t>乙方按照甲方要求到甲方演出地报到参加排练、演出，同时与甲方指定部门及时沟通合作事宜，保证组织管理好参加培训、排练、演出的演员队伍，严格遵守甲方的各项规章制度，保证培训、排练、演出工作的顺利进行。乙方指派</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作为乙方代表，专人负责合作期间其提供的演员的统筹对接及协调工作，乙方人员的任何问题由乙方代表负责解决，不得影响甲方演出正常进行。如</w:t>
      </w:r>
      <w:r>
        <w:rPr>
          <w:rFonts w:hint="eastAsia" w:ascii="宋体" w:hAnsi="宋体" w:eastAsia="宋体" w:cs="宋体"/>
          <w:color w:val="auto"/>
          <w:sz w:val="24"/>
          <w:szCs w:val="24"/>
          <w:highlight w:val="none"/>
          <w:lang w:eastAsia="zh-Hans"/>
        </w:rPr>
        <w:t>乙</w:t>
      </w:r>
      <w:r>
        <w:rPr>
          <w:rFonts w:hint="eastAsia" w:ascii="宋体" w:hAnsi="宋体" w:eastAsia="宋体" w:cs="宋体"/>
          <w:color w:val="auto"/>
          <w:sz w:val="24"/>
          <w:szCs w:val="24"/>
          <w:highlight w:val="none"/>
        </w:rPr>
        <w:t>方更改对接人，需以书面形式通知</w:t>
      </w:r>
      <w:r>
        <w:rPr>
          <w:rFonts w:hint="eastAsia" w:ascii="宋体" w:hAnsi="宋体" w:eastAsia="宋体" w:cs="宋体"/>
          <w:color w:val="auto"/>
          <w:sz w:val="24"/>
          <w:szCs w:val="24"/>
          <w:highlight w:val="none"/>
          <w:lang w:eastAsia="zh-Hans"/>
        </w:rPr>
        <w:t>甲</w:t>
      </w:r>
      <w:r>
        <w:rPr>
          <w:rFonts w:hint="eastAsia" w:ascii="宋体" w:hAnsi="宋体" w:eastAsia="宋体" w:cs="宋体"/>
          <w:color w:val="auto"/>
          <w:sz w:val="24"/>
          <w:szCs w:val="24"/>
          <w:highlight w:val="none"/>
        </w:rPr>
        <w:t>方。</w:t>
      </w:r>
    </w:p>
    <w:p w14:paraId="5F0FAA6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Hans"/>
        </w:rPr>
        <w:t xml:space="preserve">4.2 </w:t>
      </w:r>
      <w:r>
        <w:rPr>
          <w:rFonts w:hint="eastAsia" w:ascii="宋体" w:hAnsi="宋体" w:eastAsia="宋体" w:cs="宋体"/>
          <w:color w:val="auto"/>
          <w:kern w:val="0"/>
          <w:sz w:val="24"/>
          <w:highlight w:val="none"/>
        </w:rPr>
        <w:t>双方合作期间，乙方演员与甲方不存在劳动关系，乙方负责</w:t>
      </w:r>
      <w:r>
        <w:rPr>
          <w:rFonts w:hint="eastAsia" w:ascii="宋体" w:hAnsi="宋体" w:eastAsia="宋体" w:cs="宋体"/>
          <w:color w:val="auto"/>
          <w:kern w:val="0"/>
          <w:sz w:val="24"/>
          <w:highlight w:val="none"/>
          <w:lang w:eastAsia="zh-Hans"/>
        </w:rPr>
        <w:t>包括但不限于</w:t>
      </w:r>
      <w:r>
        <w:rPr>
          <w:rFonts w:hint="eastAsia" w:ascii="宋体" w:hAnsi="宋体" w:eastAsia="宋体" w:cs="宋体"/>
          <w:color w:val="auto"/>
          <w:kern w:val="0"/>
          <w:sz w:val="24"/>
          <w:highlight w:val="none"/>
        </w:rPr>
        <w:t>演员的薪资福利、住宿补贴、餐补、社会保险、法定假日加班费、传统节日福利、劳动管理，演出管理保障，工作安全等费用，</w:t>
      </w:r>
      <w:r>
        <w:rPr>
          <w:rFonts w:hint="eastAsia" w:ascii="宋体" w:hAnsi="宋体" w:eastAsia="宋体" w:cs="宋体"/>
          <w:color w:val="auto"/>
          <w:kern w:val="0"/>
          <w:sz w:val="24"/>
          <w:highlight w:val="none"/>
          <w:lang w:eastAsia="zh-Hans"/>
        </w:rPr>
        <w:t>以及</w:t>
      </w:r>
      <w:r>
        <w:rPr>
          <w:rFonts w:hint="eastAsia" w:ascii="宋体" w:hAnsi="宋体" w:eastAsia="宋体" w:cs="宋体"/>
          <w:color w:val="auto"/>
          <w:kern w:val="0"/>
          <w:sz w:val="24"/>
          <w:highlight w:val="none"/>
        </w:rPr>
        <w:t>可能产生的劳动纠纷赔偿金。</w:t>
      </w:r>
    </w:p>
    <w:p w14:paraId="6A08F69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Hans"/>
        </w:rPr>
        <w:t xml:space="preserve">4.3 </w:t>
      </w:r>
      <w:r>
        <w:rPr>
          <w:rFonts w:hint="eastAsia" w:ascii="宋体" w:hAnsi="宋体" w:eastAsia="宋体" w:cs="宋体"/>
          <w:color w:val="auto"/>
          <w:kern w:val="0"/>
          <w:sz w:val="24"/>
          <w:highlight w:val="none"/>
        </w:rPr>
        <w:t>乙方必须提供全部演员工伤、意外保险证明，其中意外险保险额度不得低于三十万/年，乙方保证所有演员、职员工伤、医疗保险和意外保险险期在本合同期内有效，因乙方未能购买保险导致演员在服务期内引起的相关后果均由乙方负责解决。对于一般演员出示学生证或是相关劳动、劳务合同，如与相关院校合作必须出示合作合同。若无效属于乙方违约，乙方须承担因此造成的一切责任以及相应违约责任，并不得进行排练试演。</w:t>
      </w:r>
    </w:p>
    <w:p w14:paraId="2146128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eastAsia="zh-Hans"/>
        </w:rPr>
        <w:t>.4 合作期内，经甲方提出补充人员或更换不合格人员后，乙方须严格按原合同所规定的标准进行调整，直至满足甲方要求。</w:t>
      </w:r>
    </w:p>
    <w:p w14:paraId="7F6EA8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4.</w:t>
      </w:r>
      <w:r>
        <w:rPr>
          <w:rFonts w:hint="eastAsia" w:ascii="宋体" w:hAnsi="宋体" w:eastAsia="宋体" w:cs="宋体"/>
          <w:color w:val="auto"/>
          <w:sz w:val="24"/>
          <w:szCs w:val="24"/>
          <w:highlight w:val="none"/>
        </w:rPr>
        <w:t>5 乙方人员</w:t>
      </w:r>
      <w:r>
        <w:rPr>
          <w:rFonts w:hint="eastAsia" w:ascii="宋体" w:hAnsi="宋体" w:eastAsia="宋体" w:cs="宋体"/>
          <w:color w:val="auto"/>
          <w:sz w:val="24"/>
          <w:szCs w:val="24"/>
          <w:highlight w:val="none"/>
          <w:lang w:eastAsia="zh-Hans"/>
        </w:rPr>
        <w:t>应</w:t>
      </w:r>
      <w:r>
        <w:rPr>
          <w:rFonts w:hint="eastAsia" w:ascii="宋体" w:hAnsi="宋体" w:eastAsia="宋体" w:cs="宋体"/>
          <w:color w:val="auto"/>
          <w:sz w:val="24"/>
          <w:szCs w:val="24"/>
          <w:highlight w:val="none"/>
        </w:rPr>
        <w:t>爱护甲方的相关设备设施及物品，乙方演员在日常演出过程中，自然损耗，由甲方负责维修和更换，故意损坏演出道具及演出设备或因操作不当导致甲方设备损坏的，由乙方负责修补修缮，恢复原样。乙方演员无法修补修缮的，由甲方负责处理，按实际发生费用的明细，在乙方服务费用中扣除。</w:t>
      </w:r>
    </w:p>
    <w:p w14:paraId="1BF515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4.</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Hans"/>
        </w:rPr>
        <w:t xml:space="preserve"> </w:t>
      </w:r>
      <w:r>
        <w:rPr>
          <w:rFonts w:hint="eastAsia" w:ascii="宋体" w:hAnsi="宋体" w:eastAsia="宋体" w:cs="宋体"/>
          <w:color w:val="auto"/>
          <w:sz w:val="24"/>
          <w:szCs w:val="24"/>
          <w:highlight w:val="none"/>
        </w:rPr>
        <w:t>在甲方不违约的情况下，</w:t>
      </w:r>
      <w:r>
        <w:rPr>
          <w:rFonts w:hint="eastAsia" w:ascii="宋体" w:hAnsi="宋体" w:eastAsia="宋体" w:cs="宋体"/>
          <w:color w:val="auto"/>
          <w:sz w:val="24"/>
          <w:szCs w:val="24"/>
          <w:highlight w:val="none"/>
          <w:lang w:eastAsia="zh-Hans"/>
        </w:rPr>
        <w:t>乙方须保证约束其所聘请的演员，不得发生任何投诉、讨薪行为或其他给甲方及项目造成不利影响的行为，否则每发生一起上述行为的，向甲方支付</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Hans"/>
        </w:rPr>
        <w:t>万元违约金</w:t>
      </w:r>
      <w:r>
        <w:rPr>
          <w:rFonts w:hint="eastAsia" w:ascii="宋体" w:hAnsi="宋体" w:eastAsia="宋体" w:cs="宋体"/>
          <w:color w:val="auto"/>
          <w:sz w:val="24"/>
          <w:szCs w:val="24"/>
          <w:highlight w:val="none"/>
        </w:rPr>
        <w:t>，甲方有权直接从服务费中扣除违约金</w:t>
      </w:r>
      <w:r>
        <w:rPr>
          <w:rFonts w:hint="eastAsia" w:ascii="宋体" w:hAnsi="宋体" w:eastAsia="宋体" w:cs="宋体"/>
          <w:color w:val="auto"/>
          <w:sz w:val="24"/>
          <w:szCs w:val="24"/>
          <w:highlight w:val="none"/>
          <w:lang w:eastAsia="zh-Hans"/>
        </w:rPr>
        <w:t>。</w:t>
      </w:r>
    </w:p>
    <w:p w14:paraId="564FAF8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Hans"/>
        </w:rPr>
        <w:t>五</w:t>
      </w:r>
      <w:r>
        <w:rPr>
          <w:rFonts w:hint="eastAsia" w:ascii="宋体" w:hAnsi="宋体" w:eastAsia="宋体" w:cs="宋体"/>
          <w:b/>
          <w:bCs/>
          <w:color w:val="auto"/>
          <w:sz w:val="24"/>
          <w:szCs w:val="24"/>
          <w:highlight w:val="none"/>
        </w:rPr>
        <w:t xml:space="preserve">条  </w:t>
      </w:r>
      <w:r>
        <w:rPr>
          <w:rFonts w:hint="eastAsia" w:ascii="宋体" w:hAnsi="宋体" w:eastAsia="宋体" w:cs="宋体"/>
          <w:b/>
          <w:bCs/>
          <w:color w:val="auto"/>
          <w:sz w:val="24"/>
          <w:szCs w:val="24"/>
          <w:highlight w:val="none"/>
          <w:lang w:eastAsia="zh-Hans"/>
        </w:rPr>
        <w:t>知识产权</w:t>
      </w:r>
    </w:p>
    <w:p w14:paraId="1947C7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5.1 合作过程中，所有由甲方提供的剧目之现场演出以及由演出衍生出的文本、图片、图形、照片、音频、视频等作品其知识产权归属于甲方。</w:t>
      </w:r>
    </w:p>
    <w:p w14:paraId="41D378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5.2 乙方对于甲方剧目之现场演出及其由演出衍生出的文本、图片、图形、照片、音频、视频等作品在非牟利情况下以书面形式向甲方申请，甲方书面批准同意后在甲方许可范围内使用。若未经甲方许可，乙方擅自使用上述资料，甲方有权追究乙方侵权责任。</w:t>
      </w:r>
    </w:p>
    <w:p w14:paraId="289306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5.3 乙方应确保合作期内甲方无偿使用乙方所提供演员的姓名权、肖像权，采取包括但不限于通过各类媒体、网络等途径进行本项目演出对外宣传使用，如乙方所提供演员向甲方主张侵权的，由乙方负责解决，甲方因此遭受损失的，由乙方承担全部赔偿责任。</w:t>
      </w:r>
    </w:p>
    <w:p w14:paraId="6352A3D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Hans"/>
        </w:rPr>
        <w:t>六</w:t>
      </w:r>
      <w:r>
        <w:rPr>
          <w:rFonts w:hint="eastAsia" w:ascii="宋体" w:hAnsi="宋体" w:eastAsia="宋体" w:cs="宋体"/>
          <w:b/>
          <w:bCs/>
          <w:color w:val="auto"/>
          <w:sz w:val="24"/>
          <w:szCs w:val="24"/>
          <w:highlight w:val="none"/>
        </w:rPr>
        <w:t xml:space="preserve">条  </w:t>
      </w:r>
      <w:r>
        <w:rPr>
          <w:rFonts w:hint="eastAsia" w:ascii="宋体" w:hAnsi="宋体" w:eastAsia="宋体" w:cs="宋体"/>
          <w:b/>
          <w:bCs/>
          <w:color w:val="auto"/>
          <w:sz w:val="24"/>
          <w:szCs w:val="24"/>
          <w:highlight w:val="none"/>
          <w:lang w:eastAsia="zh-Hans"/>
        </w:rPr>
        <w:t>保密</w:t>
      </w:r>
    </w:p>
    <w:p w14:paraId="33081E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6.1任何一方对于因签署或履行本协议而了解或接触到的对方商业秘密及其他机密资料和信息（以下简称“保密信息”）均应保守秘密；未经对方书面同意，任何一方不得向第三方泄露、给予或转让该等保密信息。</w:t>
      </w:r>
    </w:p>
    <w:p w14:paraId="405B72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6.2 除本合同规定之工作所需外，未经对方事先书面同意，不得擅自使用、复制对方的商标、标志、商业信息、技术及其他资料。</w:t>
      </w:r>
    </w:p>
    <w:p w14:paraId="30F239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6.3 乙方应对本协议内容及因双方合作而知悉的甲方、甲方关联方的信息严格保密，包括但不限于技术、财务、商业信息，及与本项目相关的其他信息和资料等。未经甲方书面同意，乙方不得向任何第三方披露。否则，乙方应向甲方支付违约金人民币</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Hans"/>
        </w:rPr>
        <w:t>万元，不足弥补甲方直接及间接损失的，乙方仍须补足。</w:t>
      </w:r>
    </w:p>
    <w:p w14:paraId="2A5EDF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6.4 本合同有效期内及终止后，本条第1款均具有法律效力。</w:t>
      </w:r>
    </w:p>
    <w:p w14:paraId="26408E5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Hans"/>
        </w:rPr>
        <w:t>七</w:t>
      </w:r>
      <w:r>
        <w:rPr>
          <w:rFonts w:hint="eastAsia" w:ascii="宋体" w:hAnsi="宋体" w:eastAsia="宋体" w:cs="宋体"/>
          <w:b/>
          <w:bCs/>
          <w:color w:val="auto"/>
          <w:sz w:val="24"/>
          <w:szCs w:val="24"/>
          <w:highlight w:val="none"/>
        </w:rPr>
        <w:t>条  违约责任</w:t>
      </w:r>
    </w:p>
    <w:p w14:paraId="0C44469C">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7.1 如甲方单方面需终</w:t>
      </w:r>
      <w:r>
        <w:rPr>
          <w:rFonts w:hint="eastAsia" w:ascii="宋体" w:hAnsi="宋体" w:eastAsia="宋体" w:cs="宋体"/>
          <w:color w:val="auto"/>
          <w:sz w:val="24"/>
          <w:szCs w:val="24"/>
          <w:highlight w:val="none"/>
          <w:lang w:val="en-US" w:eastAsia="zh-Hans"/>
        </w:rPr>
        <w:t>止</w:t>
      </w:r>
      <w:r>
        <w:rPr>
          <w:rFonts w:hint="eastAsia" w:ascii="宋体" w:hAnsi="宋体" w:eastAsia="宋体" w:cs="宋体"/>
          <w:color w:val="auto"/>
          <w:sz w:val="24"/>
          <w:szCs w:val="24"/>
          <w:highlight w:val="none"/>
          <w:lang w:eastAsia="zh-Hans"/>
        </w:rPr>
        <w:t>合同，应提前1个月向乙方书面提出并办理实时演出的结算。</w:t>
      </w:r>
    </w:p>
    <w:p w14:paraId="2ED2AEE0">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7.2 甲乙双方在合作过程中，如乙方的演员、工作人员存在态度懈怠、倦怠、态度散漫、消极怠工等问题，甲方应与乙方负责人当面沟通，乙方限时整改。如三次及以上出现相同、类似问题，甲方需书面告知乙方更换不合格人员，如更换后演员仍存在相同、类似问题，甲方有权随时解除合同，并要求乙方赔偿由此给甲方带来的全部损失，同时扣除履约保证金。解除合同后乙方必须完全配合甲方开展演出过渡工作，并在3年内履行保密义务。</w:t>
      </w:r>
    </w:p>
    <w:p w14:paraId="3DCC13B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7.3 乙方所提供的人员在演出过程中出现重大失误导致停演事故的，甲方有权解除本合同，并要求乙方支付停演损失。（损失核算标准：不高于月度费用的3倍金额）。</w:t>
      </w:r>
    </w:p>
    <w:p w14:paraId="6BEF1DC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Hans"/>
        </w:rPr>
        <w:t>八</w:t>
      </w:r>
      <w:r>
        <w:rPr>
          <w:rFonts w:hint="eastAsia" w:ascii="宋体" w:hAnsi="宋体" w:eastAsia="宋体" w:cs="宋体"/>
          <w:b/>
          <w:bCs/>
          <w:color w:val="auto"/>
          <w:sz w:val="24"/>
          <w:szCs w:val="24"/>
          <w:highlight w:val="none"/>
        </w:rPr>
        <w:t>条  争议的解决</w:t>
      </w:r>
    </w:p>
    <w:p w14:paraId="788710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Hans"/>
        </w:rPr>
        <w:t xml:space="preserve">.1 </w:t>
      </w:r>
      <w:r>
        <w:rPr>
          <w:rFonts w:hint="eastAsia" w:ascii="宋体" w:hAnsi="宋体" w:eastAsia="宋体" w:cs="宋体"/>
          <w:color w:val="auto"/>
          <w:sz w:val="24"/>
          <w:szCs w:val="24"/>
          <w:highlight w:val="none"/>
        </w:rPr>
        <w:t>本合同在履行过程中发生的争议，由双方协商解决，也可由有关部门调解；若协商或调解不成的，可依法向甲方</w:t>
      </w:r>
      <w:r>
        <w:rPr>
          <w:rFonts w:hint="eastAsia" w:ascii="宋体" w:hAnsi="宋体" w:eastAsia="宋体" w:cs="宋体"/>
          <w:color w:val="auto"/>
          <w:sz w:val="24"/>
          <w:szCs w:val="24"/>
          <w:highlight w:val="none"/>
          <w:lang w:eastAsia="zh-Hans"/>
        </w:rPr>
        <w:t>项目</w:t>
      </w:r>
      <w:r>
        <w:rPr>
          <w:rFonts w:hint="eastAsia" w:ascii="宋体" w:hAnsi="宋体" w:eastAsia="宋体" w:cs="宋体"/>
          <w:color w:val="auto"/>
          <w:sz w:val="24"/>
          <w:szCs w:val="24"/>
          <w:highlight w:val="none"/>
        </w:rPr>
        <w:t>所在地人民法院起诉。</w:t>
      </w:r>
    </w:p>
    <w:p w14:paraId="797183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 xml:space="preserve">8.2 </w:t>
      </w:r>
      <w:r>
        <w:rPr>
          <w:rFonts w:hint="eastAsia" w:ascii="宋体" w:hAnsi="宋体" w:eastAsia="宋体" w:cs="宋体"/>
          <w:color w:val="auto"/>
          <w:sz w:val="24"/>
          <w:szCs w:val="24"/>
          <w:highlight w:val="none"/>
        </w:rPr>
        <w:t>在协商或争议解决期间，对于本合同不涉及争议部分的条款，各方仍须履行。</w:t>
      </w:r>
    </w:p>
    <w:p w14:paraId="508EFF8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Hans"/>
        </w:rPr>
        <w:t>九</w:t>
      </w:r>
      <w:r>
        <w:rPr>
          <w:rFonts w:hint="eastAsia" w:ascii="宋体" w:hAnsi="宋体" w:eastAsia="宋体" w:cs="宋体"/>
          <w:b/>
          <w:bCs/>
          <w:color w:val="auto"/>
          <w:sz w:val="24"/>
          <w:szCs w:val="24"/>
          <w:highlight w:val="none"/>
        </w:rPr>
        <w:t>条  不可抗力</w:t>
      </w:r>
    </w:p>
    <w:p w14:paraId="1BB765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 xml:space="preserve">9.1 </w:t>
      </w:r>
      <w:r>
        <w:rPr>
          <w:rFonts w:hint="eastAsia" w:ascii="宋体" w:hAnsi="宋体" w:eastAsia="宋体" w:cs="宋体"/>
          <w:color w:val="auto"/>
          <w:sz w:val="24"/>
          <w:szCs w:val="24"/>
          <w:highlight w:val="none"/>
        </w:rPr>
        <w:t>“不可抗力”是指本合同双方不能合理控制、不可预见或即使预见亦无法避免的事件，该事件妨碍、影响或延误任何一方根据本合同履行其全部或部分义务。该事件包括但不限于疫情、政府行为、自然灾害、战争、黑客攻击、国家电信部门或其他主管部门政策限制或调整或任何其它类似事件。</w:t>
      </w:r>
    </w:p>
    <w:p w14:paraId="2F1B43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 xml:space="preserve">9.2 </w:t>
      </w:r>
      <w:r>
        <w:rPr>
          <w:rFonts w:hint="eastAsia" w:ascii="宋体" w:hAnsi="宋体" w:eastAsia="宋体" w:cs="宋体"/>
          <w:color w:val="auto"/>
          <w:sz w:val="24"/>
          <w:szCs w:val="24"/>
          <w:highlight w:val="none"/>
        </w:rPr>
        <w:t>出现不可抗力事件时，知情方应及时、充分地向对方以书面形式发出通知，并告知对方该类事件对本合同可能产生的影响，并应当在合理期限内提供相关证明。</w:t>
      </w:r>
    </w:p>
    <w:p w14:paraId="78F846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eastAsia="zh-Hans"/>
        </w:rPr>
        <w:t xml:space="preserve">.3 </w:t>
      </w:r>
      <w:r>
        <w:rPr>
          <w:rFonts w:hint="eastAsia" w:ascii="宋体" w:hAnsi="宋体" w:eastAsia="宋体" w:cs="宋体"/>
          <w:color w:val="auto"/>
          <w:sz w:val="24"/>
          <w:szCs w:val="24"/>
          <w:highlight w:val="none"/>
        </w:rPr>
        <w:t>因不可抗因素（如</w:t>
      </w:r>
      <w:r>
        <w:rPr>
          <w:rFonts w:hint="eastAsia" w:ascii="宋体" w:hAnsi="宋体" w:eastAsia="宋体" w:cs="宋体"/>
          <w:color w:val="auto"/>
          <w:sz w:val="24"/>
          <w:szCs w:val="24"/>
          <w:highlight w:val="none"/>
          <w:lang w:eastAsia="zh-Hans"/>
        </w:rPr>
        <w:t>自然灾害、政府要求等</w:t>
      </w:r>
      <w:r>
        <w:rPr>
          <w:rFonts w:hint="eastAsia" w:ascii="宋体" w:hAnsi="宋体" w:eastAsia="宋体" w:cs="宋体"/>
          <w:color w:val="auto"/>
          <w:sz w:val="24"/>
          <w:szCs w:val="24"/>
          <w:highlight w:val="none"/>
        </w:rPr>
        <w:t>）导致的停止演出，停演时间连续超过7个工作日以上</w:t>
      </w:r>
      <w:r>
        <w:rPr>
          <w:rFonts w:hint="eastAsia" w:ascii="宋体" w:hAnsi="宋体" w:eastAsia="宋体" w:cs="宋体"/>
          <w:color w:val="auto"/>
          <w:sz w:val="24"/>
          <w:szCs w:val="24"/>
          <w:highlight w:val="none"/>
          <w:lang w:eastAsia="zh-Hans"/>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Hans"/>
        </w:rPr>
        <w:t>乙方需保证</w:t>
      </w:r>
      <w:r>
        <w:rPr>
          <w:rFonts w:hint="eastAsia" w:ascii="宋体" w:hAnsi="宋体" w:eastAsia="宋体" w:cs="宋体"/>
          <w:color w:val="auto"/>
          <w:sz w:val="24"/>
          <w:szCs w:val="24"/>
          <w:highlight w:val="none"/>
        </w:rPr>
        <w:t>人员保留不解散，</w:t>
      </w:r>
      <w:r>
        <w:rPr>
          <w:rFonts w:hint="eastAsia" w:ascii="宋体" w:hAnsi="宋体" w:eastAsia="宋体" w:cs="宋体"/>
          <w:color w:val="auto"/>
          <w:sz w:val="24"/>
          <w:szCs w:val="24"/>
          <w:highlight w:val="none"/>
          <w:lang w:eastAsia="zh-Hans"/>
        </w:rPr>
        <w:t>停演时间在一个月以内（含一个月）的，甲方按照实际演出天数及场次进行结算；如停演时间超过一个月的，</w:t>
      </w:r>
      <w:r>
        <w:rPr>
          <w:rFonts w:hint="eastAsia" w:ascii="宋体" w:hAnsi="宋体" w:eastAsia="宋体" w:cs="宋体"/>
          <w:color w:val="auto"/>
          <w:sz w:val="24"/>
          <w:szCs w:val="24"/>
          <w:highlight w:val="none"/>
        </w:rPr>
        <w:t>甲方按照</w:t>
      </w:r>
      <w:r>
        <w:rPr>
          <w:rFonts w:hint="eastAsia" w:ascii="宋体" w:hAnsi="宋体" w:eastAsia="宋体" w:cs="宋体"/>
          <w:color w:val="auto"/>
          <w:sz w:val="24"/>
          <w:szCs w:val="24"/>
          <w:highlight w:val="none"/>
          <w:lang w:eastAsia="zh-Hans"/>
        </w:rPr>
        <w:t>当地最低工资标准结算演员服务费用。</w:t>
      </w:r>
    </w:p>
    <w:p w14:paraId="452042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 xml:space="preserve">9.4 </w:t>
      </w:r>
      <w:r>
        <w:rPr>
          <w:rFonts w:hint="eastAsia" w:ascii="宋体" w:hAnsi="宋体" w:eastAsia="宋体" w:cs="宋体"/>
          <w:color w:val="auto"/>
          <w:sz w:val="24"/>
          <w:szCs w:val="24"/>
          <w:highlight w:val="none"/>
        </w:rPr>
        <w:t>由于以上所述之不可抗力事件致使本合同的不能履行或延迟履行，则双方彼此间不承担任何违约责任。</w:t>
      </w:r>
    </w:p>
    <w:p w14:paraId="4AEE1DF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Hans"/>
        </w:rPr>
        <w:t>十</w:t>
      </w:r>
      <w:r>
        <w:rPr>
          <w:rFonts w:hint="eastAsia" w:ascii="宋体" w:hAnsi="宋体" w:eastAsia="宋体" w:cs="宋体"/>
          <w:b/>
          <w:bCs/>
          <w:color w:val="auto"/>
          <w:sz w:val="24"/>
          <w:szCs w:val="24"/>
          <w:highlight w:val="none"/>
        </w:rPr>
        <w:t>条  其他</w:t>
      </w:r>
    </w:p>
    <w:p w14:paraId="364C0E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10.1本</w:t>
      </w:r>
      <w:r>
        <w:rPr>
          <w:rFonts w:hint="eastAsia" w:ascii="宋体" w:hAnsi="宋体" w:eastAsia="宋体" w:cs="宋体"/>
          <w:color w:val="auto"/>
          <w:sz w:val="24"/>
          <w:szCs w:val="24"/>
          <w:highlight w:val="none"/>
        </w:rPr>
        <w:t>合同如有未尽事宜，经双方友好协商，可另行签订补充协议。</w:t>
      </w:r>
    </w:p>
    <w:p w14:paraId="365273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 xml:space="preserve">10.2 </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eastAsia="zh-Hans"/>
        </w:rPr>
        <w:t>肆</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lang w:eastAsia="zh-Hans"/>
        </w:rPr>
        <w:t>贰</w:t>
      </w:r>
      <w:r>
        <w:rPr>
          <w:rFonts w:hint="eastAsia" w:ascii="宋体" w:hAnsi="宋体" w:eastAsia="宋体" w:cs="宋体"/>
          <w:color w:val="auto"/>
          <w:sz w:val="24"/>
          <w:szCs w:val="24"/>
          <w:highlight w:val="none"/>
        </w:rPr>
        <w:t>份，每份均具同等法律效力。</w:t>
      </w:r>
    </w:p>
    <w:p w14:paraId="28DF46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 xml:space="preserve">10.3 </w:t>
      </w:r>
      <w:r>
        <w:rPr>
          <w:rFonts w:hint="eastAsia" w:ascii="宋体" w:hAnsi="宋体" w:eastAsia="宋体" w:cs="宋体"/>
          <w:color w:val="auto"/>
          <w:sz w:val="24"/>
          <w:szCs w:val="24"/>
          <w:highlight w:val="none"/>
        </w:rPr>
        <w:t>本合同自双方加盖公章后生效。除非双方协商一致，否则不得随意变更或解除合同。</w:t>
      </w:r>
    </w:p>
    <w:p w14:paraId="18A8CD20">
      <w:pPr>
        <w:spacing w:line="360" w:lineRule="auto"/>
        <w:rPr>
          <w:rFonts w:hint="eastAsia" w:ascii="宋体" w:hAnsi="宋体" w:eastAsia="宋体" w:cs="宋体"/>
          <w:color w:val="auto"/>
          <w:sz w:val="24"/>
          <w:szCs w:val="24"/>
          <w:highlight w:val="none"/>
        </w:rPr>
      </w:pPr>
    </w:p>
    <w:p w14:paraId="1ED1F4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乙方： </w:t>
      </w:r>
    </w:p>
    <w:p w14:paraId="77A395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公司盖章：　                          公司盖章：　</w:t>
      </w:r>
    </w:p>
    <w:p w14:paraId="599A84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法定代表人（或授权签约人）：          法定代表人（或授权人）：                           </w:t>
      </w:r>
    </w:p>
    <w:p w14:paraId="17D2FADC">
      <w:pPr>
        <w:spacing w:line="360" w:lineRule="auto"/>
        <w:ind w:left="4800" w:hanging="4800" w:hanging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13EE7ED3">
      <w:pPr>
        <w:spacing w:line="360" w:lineRule="auto"/>
        <w:ind w:firstLine="5280" w:firstLineChars="2200"/>
        <w:rPr>
          <w:rFonts w:hint="eastAsia" w:ascii="宋体" w:hAnsi="宋体" w:eastAsia="宋体" w:cs="宋体"/>
          <w:color w:val="auto"/>
          <w:sz w:val="24"/>
          <w:szCs w:val="24"/>
          <w:highlight w:val="none"/>
        </w:rPr>
      </w:pPr>
    </w:p>
    <w:p w14:paraId="3F8421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联系电话： </w:t>
      </w:r>
    </w:p>
    <w:p w14:paraId="4AFD2B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D8952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附件一：月费用明细</w:t>
      </w:r>
    </w:p>
    <w:tbl>
      <w:tblPr>
        <w:tblStyle w:val="17"/>
        <w:tblpPr w:leftFromText="180" w:rightFromText="180" w:vertAnchor="text" w:horzAnchor="margin" w:tblpXSpec="center" w:tblpY="162"/>
        <w:tblOverlap w:val="never"/>
        <w:tblW w:w="9228" w:type="dxa"/>
        <w:tblInd w:w="0" w:type="dxa"/>
        <w:tblLayout w:type="fixed"/>
        <w:tblCellMar>
          <w:top w:w="0" w:type="dxa"/>
          <w:left w:w="0" w:type="dxa"/>
          <w:bottom w:w="0" w:type="dxa"/>
          <w:right w:w="0" w:type="dxa"/>
        </w:tblCellMar>
      </w:tblPr>
      <w:tblGrid>
        <w:gridCol w:w="1132"/>
        <w:gridCol w:w="1132"/>
        <w:gridCol w:w="1132"/>
        <w:gridCol w:w="1132"/>
        <w:gridCol w:w="1132"/>
        <w:gridCol w:w="1132"/>
        <w:gridCol w:w="1132"/>
        <w:gridCol w:w="1304"/>
      </w:tblGrid>
      <w:tr w14:paraId="727D7EA2">
        <w:tblPrEx>
          <w:tblCellMar>
            <w:top w:w="0" w:type="dxa"/>
            <w:left w:w="0" w:type="dxa"/>
            <w:bottom w:w="0" w:type="dxa"/>
            <w:right w:w="0" w:type="dxa"/>
          </w:tblCellMar>
        </w:tblPrEx>
        <w:trPr>
          <w:trHeight w:val="400" w:hRule="atLeast"/>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482CB4F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场数</w:t>
            </w:r>
            <w:r>
              <w:rPr>
                <w:rStyle w:val="39"/>
                <w:rFonts w:hint="eastAsia" w:ascii="宋体" w:hAnsi="宋体" w:eastAsia="宋体" w:cs="宋体"/>
                <w:color w:val="auto"/>
                <w:sz w:val="21"/>
                <w:szCs w:val="21"/>
                <w:highlight w:val="none"/>
                <w:lang w:bidi="ar"/>
              </w:rPr>
              <w:t>/</w:t>
            </w:r>
            <w:r>
              <w:rPr>
                <w:rStyle w:val="40"/>
                <w:rFonts w:hint="eastAsia" w:ascii="宋体" w:hAnsi="宋体" w:eastAsia="宋体" w:cs="宋体"/>
                <w:color w:val="auto"/>
                <w:sz w:val="21"/>
                <w:szCs w:val="21"/>
                <w:highlight w:val="none"/>
                <w:lang w:bidi="ar"/>
              </w:rPr>
              <w:t>次</w:t>
            </w:r>
          </w:p>
        </w:tc>
        <w:tc>
          <w:tcPr>
            <w:tcW w:w="1132" w:type="dxa"/>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0EC80312">
            <w:pPr>
              <w:widowControl/>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日期</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2CFA5E7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 xml:space="preserve">   演员</w:t>
            </w:r>
          </w:p>
          <w:p w14:paraId="748E29E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
                <w:color w:val="auto"/>
                <w:sz w:val="21"/>
                <w:szCs w:val="21"/>
                <w:highlight w:val="none"/>
              </w:rPr>
            </w:pPr>
            <w:r>
              <w:rPr>
                <w:rStyle w:val="40"/>
                <w:rFonts w:hint="eastAsia" w:ascii="宋体" w:hAnsi="宋体" w:eastAsia="宋体" w:cs="宋体"/>
                <w:color w:val="auto"/>
                <w:sz w:val="21"/>
                <w:szCs w:val="21"/>
                <w:highlight w:val="none"/>
                <w:lang w:bidi="ar"/>
              </w:rPr>
              <w:t>（价格/月）</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07C611D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 xml:space="preserve">   演员</w:t>
            </w:r>
          </w:p>
          <w:p w14:paraId="0CE99A3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
                <w:color w:val="auto"/>
                <w:sz w:val="21"/>
                <w:szCs w:val="21"/>
                <w:highlight w:val="none"/>
              </w:rPr>
            </w:pPr>
            <w:r>
              <w:rPr>
                <w:rStyle w:val="40"/>
                <w:rFonts w:hint="eastAsia" w:ascii="宋体" w:hAnsi="宋体" w:eastAsia="宋体" w:cs="宋体"/>
                <w:color w:val="auto"/>
                <w:sz w:val="21"/>
                <w:szCs w:val="21"/>
                <w:highlight w:val="none"/>
                <w:lang w:bidi="ar"/>
              </w:rPr>
              <w:t>（价格/月）</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4DFAC75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演员</w:t>
            </w:r>
          </w:p>
          <w:p w14:paraId="78CF1FF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
                <w:color w:val="auto"/>
                <w:sz w:val="21"/>
                <w:szCs w:val="21"/>
                <w:highlight w:val="none"/>
              </w:rPr>
            </w:pPr>
            <w:r>
              <w:rPr>
                <w:rStyle w:val="40"/>
                <w:rFonts w:hint="eastAsia" w:ascii="宋体" w:hAnsi="宋体" w:eastAsia="宋体" w:cs="宋体"/>
                <w:color w:val="auto"/>
                <w:sz w:val="21"/>
                <w:szCs w:val="21"/>
                <w:highlight w:val="none"/>
                <w:lang w:bidi="ar"/>
              </w:rPr>
              <w:t>（价格/月）</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4509C9D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 xml:space="preserve">   演员</w:t>
            </w:r>
          </w:p>
          <w:p w14:paraId="3D09AEE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b/>
                <w:color w:val="auto"/>
                <w:sz w:val="21"/>
                <w:szCs w:val="21"/>
                <w:highlight w:val="none"/>
              </w:rPr>
            </w:pPr>
            <w:r>
              <w:rPr>
                <w:rStyle w:val="40"/>
                <w:rFonts w:hint="eastAsia" w:ascii="宋体" w:hAnsi="宋体" w:eastAsia="宋体" w:cs="宋体"/>
                <w:color w:val="auto"/>
                <w:sz w:val="21"/>
                <w:szCs w:val="21"/>
                <w:highlight w:val="none"/>
                <w:lang w:bidi="ar"/>
              </w:rPr>
              <w:t>（价格/月）</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3787B70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6C862D1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w:t>
            </w:r>
          </w:p>
        </w:tc>
      </w:tr>
      <w:tr w14:paraId="13414FDC">
        <w:tblPrEx>
          <w:tblCellMar>
            <w:top w:w="0" w:type="dxa"/>
            <w:left w:w="0" w:type="dxa"/>
            <w:bottom w:w="0" w:type="dxa"/>
            <w:right w:w="0" w:type="dxa"/>
          </w:tblCellMar>
        </w:tblPrEx>
        <w:trPr>
          <w:trHeight w:val="263" w:hRule="atLeast"/>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12900C51">
            <w:pPr>
              <w:spacing w:line="360" w:lineRule="auto"/>
              <w:jc w:val="center"/>
              <w:rPr>
                <w:rFonts w:hint="eastAsia" w:ascii="宋体" w:hAnsi="宋体" w:eastAsia="宋体" w:cs="宋体"/>
                <w:b/>
                <w:color w:val="auto"/>
                <w:sz w:val="21"/>
                <w:szCs w:val="21"/>
                <w:highlight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3B3527AA">
            <w:pPr>
              <w:widowControl/>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项目</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013F6CFE">
            <w:pPr>
              <w:spacing w:line="360" w:lineRule="auto"/>
              <w:jc w:val="center"/>
              <w:rPr>
                <w:rFonts w:hint="eastAsia" w:ascii="宋体" w:hAnsi="宋体" w:eastAsia="宋体" w:cs="宋体"/>
                <w:b/>
                <w:color w:val="auto"/>
                <w:sz w:val="21"/>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794503A4">
            <w:pPr>
              <w:spacing w:line="360" w:lineRule="auto"/>
              <w:jc w:val="center"/>
              <w:rPr>
                <w:rFonts w:hint="eastAsia" w:ascii="宋体" w:hAnsi="宋体" w:eastAsia="宋体" w:cs="宋体"/>
                <w:b/>
                <w:color w:val="auto"/>
                <w:sz w:val="21"/>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67A9B3B2">
            <w:pPr>
              <w:spacing w:line="360" w:lineRule="auto"/>
              <w:jc w:val="center"/>
              <w:rPr>
                <w:rFonts w:hint="eastAsia" w:ascii="宋体" w:hAnsi="宋体" w:eastAsia="宋体" w:cs="宋体"/>
                <w:b/>
                <w:color w:val="auto"/>
                <w:sz w:val="21"/>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745FA879">
            <w:pPr>
              <w:spacing w:line="360" w:lineRule="auto"/>
              <w:jc w:val="center"/>
              <w:rPr>
                <w:rFonts w:hint="eastAsia" w:ascii="宋体" w:hAnsi="宋体" w:eastAsia="宋体" w:cs="宋体"/>
                <w:b/>
                <w:color w:val="auto"/>
                <w:sz w:val="21"/>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14CF30FB">
            <w:pPr>
              <w:spacing w:line="360" w:lineRule="auto"/>
              <w:jc w:val="center"/>
              <w:rPr>
                <w:rFonts w:hint="eastAsia" w:ascii="宋体" w:hAnsi="宋体" w:eastAsia="宋体" w:cs="宋体"/>
                <w:b/>
                <w:color w:val="auto"/>
                <w:sz w:val="21"/>
                <w:szCs w:val="21"/>
                <w:highlight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BDC0BF"/>
            <w:tcMar>
              <w:top w:w="15" w:type="dxa"/>
              <w:left w:w="15" w:type="dxa"/>
              <w:right w:w="15" w:type="dxa"/>
            </w:tcMar>
            <w:vAlign w:val="center"/>
          </w:tcPr>
          <w:p w14:paraId="6B96CCF2">
            <w:pPr>
              <w:spacing w:line="360" w:lineRule="auto"/>
              <w:jc w:val="center"/>
              <w:rPr>
                <w:rFonts w:hint="eastAsia" w:ascii="宋体" w:hAnsi="宋体" w:eastAsia="宋体" w:cs="宋体"/>
                <w:b/>
                <w:color w:val="auto"/>
                <w:sz w:val="21"/>
                <w:szCs w:val="21"/>
                <w:highlight w:val="none"/>
              </w:rPr>
            </w:pPr>
          </w:p>
        </w:tc>
      </w:tr>
      <w:tr w14:paraId="1A9BDBF6">
        <w:tblPrEx>
          <w:tblCellMar>
            <w:top w:w="0" w:type="dxa"/>
            <w:left w:w="0" w:type="dxa"/>
            <w:bottom w:w="0" w:type="dxa"/>
            <w:right w:w="0" w:type="dxa"/>
          </w:tblCellMar>
        </w:tblPrEx>
        <w:trPr>
          <w:trHeight w:val="221" w:hRule="atLeast"/>
        </w:trPr>
        <w:tc>
          <w:tcPr>
            <w:tcW w:w="1132" w:type="dxa"/>
            <w:tcBorders>
              <w:top w:val="single" w:color="000000" w:sz="4" w:space="0"/>
              <w:left w:val="single" w:color="000000" w:sz="4" w:space="0"/>
              <w:bottom w:val="single" w:color="000000" w:sz="4" w:space="0"/>
              <w:right w:val="single" w:color="000000" w:sz="4" w:space="0"/>
            </w:tcBorders>
            <w:shd w:val="clear" w:color="auto" w:fill="DBDBDB"/>
            <w:tcMar>
              <w:top w:w="15" w:type="dxa"/>
              <w:left w:w="15" w:type="dxa"/>
              <w:right w:w="15" w:type="dxa"/>
            </w:tcMar>
            <w:vAlign w:val="center"/>
          </w:tcPr>
          <w:p w14:paraId="4BA16CC9">
            <w:pPr>
              <w:widowControl/>
              <w:spacing w:line="360" w:lineRule="auto"/>
              <w:jc w:val="center"/>
              <w:textAlignment w:val="center"/>
              <w:rPr>
                <w:rFonts w:hint="eastAsia" w:ascii="宋体" w:hAnsi="宋体" w:eastAsia="宋体" w:cs="宋体"/>
                <w:b/>
                <w:color w:val="auto"/>
                <w:sz w:val="21"/>
                <w:szCs w:val="21"/>
                <w:highlight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727E6">
            <w:pPr>
              <w:widowControl/>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月  日</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263F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张三</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1EA85">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李四</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EF0D1">
            <w:pPr>
              <w:spacing w:line="360" w:lineRule="auto"/>
              <w:jc w:val="center"/>
              <w:rPr>
                <w:rFonts w:hint="eastAsia" w:ascii="宋体" w:hAnsi="宋体" w:eastAsia="宋体" w:cs="宋体"/>
                <w:color w:val="auto"/>
                <w:sz w:val="21"/>
                <w:szCs w:val="21"/>
                <w:highlight w:val="none"/>
              </w:rPr>
            </w:pP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F196F8C">
            <w:pPr>
              <w:spacing w:line="360" w:lineRule="auto"/>
              <w:rPr>
                <w:rFonts w:hint="eastAsia" w:ascii="宋体" w:hAnsi="宋体" w:eastAsia="宋体" w:cs="宋体"/>
                <w:color w:val="auto"/>
                <w:sz w:val="21"/>
                <w:szCs w:val="21"/>
                <w:highlight w:val="none"/>
              </w:rPr>
            </w:pP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DD91DBB">
            <w:pPr>
              <w:spacing w:line="360" w:lineRule="auto"/>
              <w:rPr>
                <w:rFonts w:hint="eastAsia" w:ascii="宋体" w:hAnsi="宋体" w:eastAsia="宋体" w:cs="宋体"/>
                <w:color w:val="auto"/>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D5680E7">
            <w:pPr>
              <w:spacing w:line="360" w:lineRule="auto"/>
              <w:rPr>
                <w:rFonts w:hint="eastAsia" w:ascii="宋体" w:hAnsi="宋体" w:eastAsia="宋体" w:cs="宋体"/>
                <w:color w:val="auto"/>
                <w:sz w:val="21"/>
                <w:szCs w:val="21"/>
                <w:highlight w:val="none"/>
              </w:rPr>
            </w:pPr>
          </w:p>
        </w:tc>
      </w:tr>
      <w:tr w14:paraId="62FAAFEC">
        <w:tblPrEx>
          <w:tblCellMar>
            <w:top w:w="0" w:type="dxa"/>
            <w:left w:w="0" w:type="dxa"/>
            <w:bottom w:w="0" w:type="dxa"/>
            <w:right w:w="0" w:type="dxa"/>
          </w:tblCellMar>
        </w:tblPrEx>
        <w:trPr>
          <w:trHeight w:val="221" w:hRule="atLeast"/>
        </w:trPr>
        <w:tc>
          <w:tcPr>
            <w:tcW w:w="1132" w:type="dxa"/>
            <w:tcBorders>
              <w:top w:val="single" w:color="000000" w:sz="4" w:space="0"/>
              <w:left w:val="single" w:color="000000" w:sz="4" w:space="0"/>
              <w:bottom w:val="single" w:color="000000" w:sz="4" w:space="0"/>
              <w:right w:val="single" w:color="000000" w:sz="4" w:space="0"/>
            </w:tcBorders>
            <w:shd w:val="clear" w:color="auto" w:fill="DBDBDB"/>
            <w:tcMar>
              <w:top w:w="15" w:type="dxa"/>
              <w:left w:w="15" w:type="dxa"/>
              <w:right w:w="15" w:type="dxa"/>
            </w:tcMar>
            <w:vAlign w:val="center"/>
          </w:tcPr>
          <w:p w14:paraId="3AD57C05">
            <w:pPr>
              <w:widowControl/>
              <w:spacing w:line="360" w:lineRule="auto"/>
              <w:jc w:val="center"/>
              <w:textAlignment w:val="center"/>
              <w:rPr>
                <w:rFonts w:hint="eastAsia" w:ascii="宋体" w:hAnsi="宋体" w:eastAsia="宋体" w:cs="宋体"/>
                <w:b/>
                <w:color w:val="auto"/>
                <w:kern w:val="0"/>
                <w:sz w:val="21"/>
                <w:szCs w:val="21"/>
                <w:highlight w:val="none"/>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39FF6">
            <w:pPr>
              <w:widowControl/>
              <w:spacing w:line="360" w:lineRule="auto"/>
              <w:jc w:val="center"/>
              <w:textAlignment w:val="center"/>
              <w:rPr>
                <w:rFonts w:hint="eastAsia" w:ascii="宋体" w:hAnsi="宋体" w:eastAsia="宋体" w:cs="宋体"/>
                <w:b/>
                <w:color w:val="auto"/>
                <w:kern w:val="0"/>
                <w:sz w:val="21"/>
                <w:szCs w:val="21"/>
                <w:highlight w:val="none"/>
                <w:lang w:bidi="ar"/>
              </w:rPr>
            </w:pP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C7988">
            <w:pPr>
              <w:widowControl/>
              <w:spacing w:line="360" w:lineRule="auto"/>
              <w:jc w:val="center"/>
              <w:textAlignment w:val="center"/>
              <w:rPr>
                <w:rFonts w:hint="eastAsia" w:ascii="宋体" w:hAnsi="宋体" w:eastAsia="宋体" w:cs="宋体"/>
                <w:color w:val="auto"/>
                <w:kern w:val="0"/>
                <w:sz w:val="21"/>
                <w:szCs w:val="21"/>
                <w:highlight w:val="none"/>
                <w:lang w:bidi="ar"/>
              </w:rPr>
            </w:pP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F3616">
            <w:pPr>
              <w:widowControl/>
              <w:spacing w:line="360" w:lineRule="auto"/>
              <w:jc w:val="center"/>
              <w:textAlignment w:val="center"/>
              <w:rPr>
                <w:rFonts w:hint="eastAsia" w:ascii="宋体" w:hAnsi="宋体" w:eastAsia="宋体" w:cs="宋体"/>
                <w:color w:val="auto"/>
                <w:kern w:val="0"/>
                <w:sz w:val="21"/>
                <w:szCs w:val="21"/>
                <w:highlight w:val="none"/>
                <w:lang w:bidi="ar"/>
              </w:rPr>
            </w:pP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AE878">
            <w:pPr>
              <w:spacing w:line="360" w:lineRule="auto"/>
              <w:jc w:val="center"/>
              <w:rPr>
                <w:rFonts w:hint="eastAsia" w:ascii="宋体" w:hAnsi="宋体" w:eastAsia="宋体" w:cs="宋体"/>
                <w:color w:val="auto"/>
                <w:sz w:val="21"/>
                <w:szCs w:val="21"/>
                <w:highlight w:val="none"/>
              </w:rPr>
            </w:pP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73534D0">
            <w:pPr>
              <w:spacing w:line="360" w:lineRule="auto"/>
              <w:rPr>
                <w:rFonts w:hint="eastAsia" w:ascii="宋体" w:hAnsi="宋体" w:eastAsia="宋体" w:cs="宋体"/>
                <w:color w:val="auto"/>
                <w:sz w:val="21"/>
                <w:szCs w:val="21"/>
                <w:highlight w:val="none"/>
              </w:rPr>
            </w:pP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F37D4B9">
            <w:pPr>
              <w:spacing w:line="360" w:lineRule="auto"/>
              <w:rPr>
                <w:rFonts w:hint="eastAsia" w:ascii="宋体" w:hAnsi="宋体" w:eastAsia="宋体" w:cs="宋体"/>
                <w:color w:val="auto"/>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BE889C9">
            <w:pPr>
              <w:spacing w:line="360" w:lineRule="auto"/>
              <w:rPr>
                <w:rFonts w:hint="eastAsia" w:ascii="宋体" w:hAnsi="宋体" w:eastAsia="宋体" w:cs="宋体"/>
                <w:color w:val="auto"/>
                <w:sz w:val="21"/>
                <w:szCs w:val="21"/>
                <w:highlight w:val="none"/>
              </w:rPr>
            </w:pPr>
          </w:p>
        </w:tc>
      </w:tr>
      <w:tr w14:paraId="10488B30">
        <w:tblPrEx>
          <w:tblCellMar>
            <w:top w:w="0" w:type="dxa"/>
            <w:left w:w="0" w:type="dxa"/>
            <w:bottom w:w="0" w:type="dxa"/>
            <w:right w:w="0" w:type="dxa"/>
          </w:tblCellMar>
        </w:tblPrEx>
        <w:trPr>
          <w:trHeight w:val="244" w:hRule="atLeast"/>
        </w:trPr>
        <w:tc>
          <w:tcPr>
            <w:tcW w:w="1132" w:type="dxa"/>
            <w:tcBorders>
              <w:top w:val="single" w:color="000000" w:sz="4" w:space="0"/>
              <w:left w:val="single" w:color="000000" w:sz="4" w:space="0"/>
              <w:bottom w:val="single" w:color="000000" w:sz="4" w:space="0"/>
              <w:right w:val="single" w:color="000000" w:sz="4" w:space="0"/>
            </w:tcBorders>
            <w:shd w:val="clear" w:color="auto" w:fill="DBDBDB"/>
            <w:tcMar>
              <w:top w:w="15" w:type="dxa"/>
              <w:left w:w="15" w:type="dxa"/>
              <w:right w:w="15" w:type="dxa"/>
            </w:tcMar>
            <w:vAlign w:val="center"/>
          </w:tcPr>
          <w:p w14:paraId="463BCAA6">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考核得分</w:t>
            </w:r>
          </w:p>
        </w:tc>
        <w:tc>
          <w:tcPr>
            <w:tcW w:w="8096"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A1AF1">
            <w:pPr>
              <w:spacing w:line="360" w:lineRule="auto"/>
              <w:rPr>
                <w:rFonts w:hint="eastAsia" w:ascii="宋体" w:hAnsi="宋体" w:eastAsia="宋体" w:cs="宋体"/>
                <w:color w:val="auto"/>
                <w:sz w:val="21"/>
                <w:szCs w:val="21"/>
                <w:highlight w:val="none"/>
              </w:rPr>
            </w:pPr>
          </w:p>
        </w:tc>
      </w:tr>
      <w:tr w14:paraId="735789C8">
        <w:tblPrEx>
          <w:tblCellMar>
            <w:top w:w="0" w:type="dxa"/>
            <w:left w:w="0" w:type="dxa"/>
            <w:bottom w:w="0" w:type="dxa"/>
            <w:right w:w="0" w:type="dxa"/>
          </w:tblCellMar>
        </w:tblPrEx>
        <w:trPr>
          <w:trHeight w:val="244" w:hRule="atLeast"/>
        </w:trPr>
        <w:tc>
          <w:tcPr>
            <w:tcW w:w="1132" w:type="dxa"/>
            <w:tcBorders>
              <w:top w:val="single" w:color="000000" w:sz="4" w:space="0"/>
              <w:left w:val="single" w:color="000000" w:sz="4" w:space="0"/>
              <w:bottom w:val="single" w:color="000000" w:sz="4" w:space="0"/>
              <w:right w:val="single" w:color="000000" w:sz="4" w:space="0"/>
            </w:tcBorders>
            <w:shd w:val="clear" w:color="auto" w:fill="DBDBDB"/>
            <w:tcMar>
              <w:top w:w="15" w:type="dxa"/>
              <w:left w:w="15" w:type="dxa"/>
              <w:right w:w="15" w:type="dxa"/>
            </w:tcMar>
            <w:vAlign w:val="center"/>
          </w:tcPr>
          <w:p w14:paraId="4A1058D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费用小计</w:t>
            </w:r>
          </w:p>
        </w:tc>
        <w:tc>
          <w:tcPr>
            <w:tcW w:w="8096"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2C6CD1">
            <w:pPr>
              <w:spacing w:line="360" w:lineRule="auto"/>
              <w:rPr>
                <w:rFonts w:hint="eastAsia" w:ascii="宋体" w:hAnsi="宋体" w:eastAsia="宋体" w:cs="宋体"/>
                <w:color w:val="auto"/>
                <w:sz w:val="21"/>
                <w:szCs w:val="21"/>
                <w:highlight w:val="none"/>
              </w:rPr>
            </w:pPr>
          </w:p>
        </w:tc>
      </w:tr>
      <w:tr w14:paraId="5E1EE83F">
        <w:tblPrEx>
          <w:tblCellMar>
            <w:top w:w="0" w:type="dxa"/>
            <w:left w:w="0" w:type="dxa"/>
            <w:bottom w:w="0" w:type="dxa"/>
            <w:right w:w="0" w:type="dxa"/>
          </w:tblCellMar>
        </w:tblPrEx>
        <w:trPr>
          <w:trHeight w:val="244" w:hRule="atLeast"/>
        </w:trPr>
        <w:tc>
          <w:tcPr>
            <w:tcW w:w="1132" w:type="dxa"/>
            <w:tcBorders>
              <w:top w:val="single" w:color="000000" w:sz="4" w:space="0"/>
              <w:left w:val="single" w:color="000000" w:sz="4" w:space="0"/>
              <w:bottom w:val="single" w:color="000000" w:sz="4" w:space="0"/>
              <w:right w:val="single" w:color="000000" w:sz="4" w:space="0"/>
            </w:tcBorders>
            <w:shd w:val="clear" w:color="auto" w:fill="DBDBDB"/>
            <w:tcMar>
              <w:top w:w="15" w:type="dxa"/>
              <w:left w:w="15" w:type="dxa"/>
              <w:right w:w="15" w:type="dxa"/>
            </w:tcMar>
            <w:vAlign w:val="center"/>
          </w:tcPr>
          <w:p w14:paraId="004DA13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税</w:t>
            </w:r>
          </w:p>
        </w:tc>
        <w:tc>
          <w:tcPr>
            <w:tcW w:w="8096"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F6412">
            <w:pPr>
              <w:spacing w:line="360" w:lineRule="auto"/>
              <w:rPr>
                <w:rFonts w:hint="eastAsia" w:ascii="宋体" w:hAnsi="宋体" w:eastAsia="宋体" w:cs="宋体"/>
                <w:color w:val="auto"/>
                <w:sz w:val="21"/>
                <w:szCs w:val="21"/>
                <w:highlight w:val="none"/>
              </w:rPr>
            </w:pPr>
          </w:p>
        </w:tc>
      </w:tr>
      <w:tr w14:paraId="5722B5CB">
        <w:tblPrEx>
          <w:tblCellMar>
            <w:top w:w="0" w:type="dxa"/>
            <w:left w:w="0" w:type="dxa"/>
            <w:bottom w:w="0" w:type="dxa"/>
            <w:right w:w="0" w:type="dxa"/>
          </w:tblCellMar>
        </w:tblPrEx>
        <w:trPr>
          <w:trHeight w:val="244" w:hRule="atLeast"/>
        </w:trPr>
        <w:tc>
          <w:tcPr>
            <w:tcW w:w="1132" w:type="dxa"/>
            <w:tcBorders>
              <w:top w:val="single" w:color="000000" w:sz="4" w:space="0"/>
              <w:left w:val="single" w:color="000000" w:sz="4" w:space="0"/>
              <w:bottom w:val="single" w:color="000000" w:sz="4" w:space="0"/>
              <w:right w:val="single" w:color="000000" w:sz="4" w:space="0"/>
            </w:tcBorders>
            <w:shd w:val="clear" w:color="auto" w:fill="DBDBDB"/>
            <w:tcMar>
              <w:top w:w="15" w:type="dxa"/>
              <w:left w:w="15" w:type="dxa"/>
              <w:right w:w="15" w:type="dxa"/>
            </w:tcMar>
            <w:vAlign w:val="center"/>
          </w:tcPr>
          <w:p w14:paraId="62C09BB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8096"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2ABBA">
            <w:pPr>
              <w:spacing w:line="360" w:lineRule="auto"/>
              <w:rPr>
                <w:rFonts w:hint="eastAsia" w:ascii="宋体" w:hAnsi="宋体" w:eastAsia="宋体" w:cs="宋体"/>
                <w:color w:val="auto"/>
                <w:sz w:val="21"/>
                <w:szCs w:val="21"/>
                <w:highlight w:val="none"/>
              </w:rPr>
            </w:pPr>
          </w:p>
        </w:tc>
      </w:tr>
      <w:tr w14:paraId="19BFBFFA">
        <w:tblPrEx>
          <w:tblCellMar>
            <w:top w:w="0" w:type="dxa"/>
            <w:left w:w="0" w:type="dxa"/>
            <w:bottom w:w="0" w:type="dxa"/>
            <w:right w:w="0" w:type="dxa"/>
          </w:tblCellMar>
        </w:tblPrEx>
        <w:trPr>
          <w:trHeight w:val="244" w:hRule="atLeast"/>
        </w:trPr>
        <w:tc>
          <w:tcPr>
            <w:tcW w:w="1132" w:type="dxa"/>
            <w:tcBorders>
              <w:top w:val="single" w:color="000000" w:sz="4" w:space="0"/>
              <w:left w:val="single" w:color="000000" w:sz="4" w:space="0"/>
              <w:bottom w:val="single" w:color="000000" w:sz="4" w:space="0"/>
              <w:right w:val="single" w:color="000000" w:sz="4" w:space="0"/>
            </w:tcBorders>
            <w:shd w:val="clear" w:color="auto" w:fill="DBDBDB"/>
            <w:tcMar>
              <w:top w:w="15" w:type="dxa"/>
              <w:left w:w="15" w:type="dxa"/>
              <w:right w:w="15" w:type="dxa"/>
            </w:tcMar>
            <w:vAlign w:val="center"/>
          </w:tcPr>
          <w:p w14:paraId="69A50190">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费用总计</w:t>
            </w:r>
          </w:p>
        </w:tc>
        <w:tc>
          <w:tcPr>
            <w:tcW w:w="8096"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9E2D3">
            <w:pPr>
              <w:spacing w:line="360" w:lineRule="auto"/>
              <w:rPr>
                <w:rFonts w:hint="eastAsia" w:ascii="宋体" w:hAnsi="宋体" w:eastAsia="宋体" w:cs="宋体"/>
                <w:color w:val="auto"/>
                <w:sz w:val="21"/>
                <w:szCs w:val="21"/>
                <w:highlight w:val="none"/>
              </w:rPr>
            </w:pPr>
          </w:p>
        </w:tc>
      </w:tr>
      <w:tr w14:paraId="649ACCD3">
        <w:tblPrEx>
          <w:tblCellMar>
            <w:top w:w="0" w:type="dxa"/>
            <w:left w:w="0" w:type="dxa"/>
            <w:bottom w:w="0" w:type="dxa"/>
            <w:right w:w="0" w:type="dxa"/>
          </w:tblCellMar>
        </w:tblPrEx>
        <w:trPr>
          <w:trHeight w:val="468" w:hRule="atLeast"/>
        </w:trPr>
        <w:tc>
          <w:tcPr>
            <w:tcW w:w="11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48F1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制表人</w:t>
            </w:r>
          </w:p>
        </w:tc>
        <w:tc>
          <w:tcPr>
            <w:tcW w:w="11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26B2E">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color w:val="auto"/>
                <w:sz w:val="21"/>
                <w:szCs w:val="21"/>
                <w:highlight w:val="none"/>
              </w:rPr>
            </w:pPr>
          </w:p>
        </w:tc>
        <w:tc>
          <w:tcPr>
            <w:tcW w:w="11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6871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演艺公司负责人</w:t>
            </w:r>
          </w:p>
        </w:tc>
        <w:tc>
          <w:tcPr>
            <w:tcW w:w="11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668A2B1">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auto"/>
                <w:sz w:val="21"/>
                <w:szCs w:val="21"/>
                <w:highlight w:val="none"/>
              </w:rPr>
            </w:pPr>
          </w:p>
        </w:tc>
        <w:tc>
          <w:tcPr>
            <w:tcW w:w="11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6426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项目运营负责人</w:t>
            </w:r>
          </w:p>
        </w:tc>
        <w:tc>
          <w:tcPr>
            <w:tcW w:w="11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79D7A86">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auto"/>
                <w:sz w:val="21"/>
                <w:szCs w:val="21"/>
                <w:highlight w:val="none"/>
              </w:rPr>
            </w:pPr>
          </w:p>
        </w:tc>
        <w:tc>
          <w:tcPr>
            <w:tcW w:w="11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2471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综合办负责人</w:t>
            </w:r>
          </w:p>
        </w:tc>
        <w:tc>
          <w:tcPr>
            <w:tcW w:w="13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EF49B">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auto"/>
                <w:sz w:val="20"/>
                <w:szCs w:val="22"/>
                <w:highlight w:val="none"/>
              </w:rPr>
            </w:pPr>
          </w:p>
        </w:tc>
      </w:tr>
      <w:tr w14:paraId="3E61AC56">
        <w:tblPrEx>
          <w:tblCellMar>
            <w:top w:w="0" w:type="dxa"/>
            <w:left w:w="0" w:type="dxa"/>
            <w:bottom w:w="0" w:type="dxa"/>
            <w:right w:w="0" w:type="dxa"/>
          </w:tblCellMar>
        </w:tblPrEx>
        <w:trPr>
          <w:trHeight w:val="468" w:hRule="atLeast"/>
        </w:trPr>
        <w:tc>
          <w:tcPr>
            <w:tcW w:w="11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0B7C9">
            <w:pPr>
              <w:spacing w:line="360" w:lineRule="auto"/>
              <w:jc w:val="center"/>
              <w:rPr>
                <w:rFonts w:hint="eastAsia" w:ascii="宋体" w:hAnsi="宋体" w:eastAsia="宋体" w:cs="宋体"/>
                <w:b/>
                <w:color w:val="auto"/>
                <w:sz w:val="21"/>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75A89">
            <w:pPr>
              <w:spacing w:line="360" w:lineRule="auto"/>
              <w:jc w:val="center"/>
              <w:rPr>
                <w:rFonts w:hint="eastAsia" w:ascii="宋体" w:hAnsi="宋体" w:eastAsia="宋体" w:cs="宋体"/>
                <w:b/>
                <w:color w:val="auto"/>
                <w:sz w:val="21"/>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8FC4E">
            <w:pPr>
              <w:spacing w:line="360" w:lineRule="auto"/>
              <w:jc w:val="center"/>
              <w:rPr>
                <w:rFonts w:hint="eastAsia" w:ascii="宋体" w:hAnsi="宋体" w:eastAsia="宋体" w:cs="宋体"/>
                <w:b/>
                <w:color w:val="auto"/>
                <w:sz w:val="21"/>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FE42190">
            <w:pPr>
              <w:spacing w:line="360" w:lineRule="auto"/>
              <w:jc w:val="center"/>
              <w:rPr>
                <w:rFonts w:hint="eastAsia" w:ascii="宋体" w:hAnsi="宋体" w:eastAsia="宋体" w:cs="宋体"/>
                <w:color w:val="auto"/>
                <w:sz w:val="21"/>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87A5C">
            <w:pPr>
              <w:spacing w:line="360" w:lineRule="auto"/>
              <w:jc w:val="center"/>
              <w:rPr>
                <w:rFonts w:hint="eastAsia" w:ascii="宋体" w:hAnsi="宋体" w:eastAsia="宋体" w:cs="宋体"/>
                <w:b/>
                <w:color w:val="auto"/>
                <w:sz w:val="21"/>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AAB0E96">
            <w:pPr>
              <w:spacing w:line="360" w:lineRule="auto"/>
              <w:jc w:val="center"/>
              <w:rPr>
                <w:rFonts w:hint="eastAsia" w:ascii="宋体" w:hAnsi="宋体" w:eastAsia="宋体" w:cs="宋体"/>
                <w:color w:val="auto"/>
                <w:sz w:val="21"/>
                <w:szCs w:val="21"/>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B715F">
            <w:pPr>
              <w:spacing w:line="360" w:lineRule="auto"/>
              <w:jc w:val="center"/>
              <w:rPr>
                <w:rFonts w:hint="eastAsia" w:ascii="宋体" w:hAnsi="宋体" w:eastAsia="宋体" w:cs="宋体"/>
                <w:b/>
                <w:color w:val="auto"/>
                <w:sz w:val="21"/>
                <w:szCs w:val="21"/>
                <w:highlight w:val="none"/>
              </w:rPr>
            </w:pPr>
          </w:p>
        </w:tc>
        <w:tc>
          <w:tcPr>
            <w:tcW w:w="13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94465">
            <w:pPr>
              <w:spacing w:line="360" w:lineRule="auto"/>
              <w:jc w:val="center"/>
              <w:rPr>
                <w:rFonts w:hint="eastAsia" w:ascii="宋体" w:hAnsi="宋体" w:eastAsia="宋体" w:cs="宋体"/>
                <w:color w:val="auto"/>
                <w:sz w:val="20"/>
                <w:szCs w:val="22"/>
                <w:highlight w:val="none"/>
              </w:rPr>
            </w:pPr>
          </w:p>
        </w:tc>
      </w:tr>
    </w:tbl>
    <w:p w14:paraId="441D2A52">
      <w:pPr>
        <w:spacing w:line="360" w:lineRule="auto"/>
        <w:rPr>
          <w:rFonts w:hint="eastAsia" w:ascii="宋体" w:hAnsi="宋体" w:eastAsia="宋体" w:cs="宋体"/>
          <w:color w:val="auto"/>
          <w:sz w:val="24"/>
          <w:szCs w:val="24"/>
          <w:highlight w:val="none"/>
        </w:rPr>
      </w:pPr>
    </w:p>
    <w:p w14:paraId="2DED65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r>
        <w:rPr>
          <w:rFonts w:hint="eastAsia" w:ascii="宋体" w:hAnsi="宋体" w:eastAsia="宋体" w:cs="宋体"/>
          <w:color w:val="auto"/>
          <w:sz w:val="24"/>
          <w:szCs w:val="24"/>
          <w:highlight w:val="none"/>
          <w:lang w:eastAsia="zh-Hans"/>
        </w:rPr>
        <w:t>项目</w:t>
      </w:r>
      <w:r>
        <w:rPr>
          <w:rFonts w:hint="eastAsia" w:ascii="宋体" w:hAnsi="宋体" w:eastAsia="宋体" w:cs="宋体"/>
          <w:color w:val="auto"/>
          <w:sz w:val="24"/>
          <w:szCs w:val="24"/>
          <w:highlight w:val="none"/>
        </w:rPr>
        <w:t>演员签到表，同时附上当月考勤表</w:t>
      </w:r>
    </w:p>
    <w:tbl>
      <w:tblPr>
        <w:tblStyle w:val="1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372"/>
        <w:gridCol w:w="1150"/>
        <w:gridCol w:w="809"/>
        <w:gridCol w:w="810"/>
        <w:gridCol w:w="809"/>
        <w:gridCol w:w="809"/>
        <w:gridCol w:w="530"/>
        <w:gridCol w:w="861"/>
        <w:gridCol w:w="1223"/>
      </w:tblGrid>
      <w:tr w14:paraId="7DED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83" w:type="dxa"/>
            <w:gridSpan w:val="10"/>
            <w:noWrap/>
            <w:vAlign w:val="bottom"/>
          </w:tcPr>
          <w:p w14:paraId="076662E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20**年“濠河夜画”演职人员12月01日-12月31日考勤统计表</w:t>
            </w:r>
          </w:p>
        </w:tc>
      </w:tr>
      <w:tr w14:paraId="5229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10" w:type="dxa"/>
            <w:noWrap/>
            <w:vAlign w:val="center"/>
          </w:tcPr>
          <w:p w14:paraId="0981A027">
            <w:pPr>
              <w:widowControl/>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1372" w:type="dxa"/>
            <w:vAlign w:val="center"/>
          </w:tcPr>
          <w:p w14:paraId="4CE9BD07">
            <w:pPr>
              <w:widowControl/>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岗位</w:t>
            </w:r>
          </w:p>
        </w:tc>
        <w:tc>
          <w:tcPr>
            <w:tcW w:w="1150" w:type="dxa"/>
            <w:vAlign w:val="center"/>
          </w:tcPr>
          <w:p w14:paraId="3E058C9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61595</wp:posOffset>
                      </wp:positionV>
                      <wp:extent cx="501650" cy="139700"/>
                      <wp:effectExtent l="1270" t="4445" r="11430" b="8255"/>
                      <wp:wrapNone/>
                      <wp:docPr id="2" name="直接连接符 2"/>
                      <wp:cNvGraphicFramePr/>
                      <a:graphic xmlns:a="http://schemas.openxmlformats.org/drawingml/2006/main">
                        <a:graphicData uri="http://schemas.microsoft.com/office/word/2010/wordprocessingShape">
                          <wps:wsp>
                            <wps:cNvCnPr/>
                            <wps:spPr>
                              <a:xfrm>
                                <a:off x="0" y="0"/>
                                <a:ext cx="259080" cy="652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95pt;margin-top:4.85pt;height:11pt;width:39.5pt;z-index:251661312;mso-width-relative:page;mso-height-relative:page;" filled="f" stroked="t" coordsize="21600,21600" o:gfxdata="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HFsWzTAAAABgEAAA8AAAAAAAAAAQAgAAAAIgAAAGRycy9kb3ducmV2LnhtbFBLAQIUABQAAAAI&#10;AIdO4kBoQBtC8gEAANcDAAAOAAAAAAAAAAEAIAAAACIBAABkcnMvZTJvRG9jLnhtbFBLBQYAAAAA&#10;BgAGAFkBAACGBQAAAAA=&#10;">
                      <v:fill on="f" focussize="0,0"/>
                      <v:stroke color="#000000 [3200]" joinstyle="round"/>
                      <v:imagedata o:title=""/>
                      <o:lock v:ext="edit" aspectratio="f"/>
                    </v:line>
                  </w:pict>
                </mc:Fallback>
              </mc:AlternateContent>
            </w:r>
            <w:r>
              <w:rPr>
                <w:rFonts w:hint="eastAsia" w:ascii="宋体" w:hAnsi="宋体" w:eastAsia="宋体" w:cs="宋体"/>
                <w:b/>
                <w:bCs/>
                <w:color w:val="auto"/>
                <w:kern w:val="0"/>
                <w:sz w:val="18"/>
                <w:szCs w:val="18"/>
                <w:highlight w:val="none"/>
              </w:rPr>
              <w:t xml:space="preserve">              </w:t>
            </w:r>
          </w:p>
        </w:tc>
        <w:tc>
          <w:tcPr>
            <w:tcW w:w="809" w:type="dxa"/>
            <w:vAlign w:val="center"/>
          </w:tcPr>
          <w:p w14:paraId="75F0190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1</w:t>
            </w:r>
          </w:p>
        </w:tc>
        <w:tc>
          <w:tcPr>
            <w:tcW w:w="810" w:type="dxa"/>
            <w:vAlign w:val="center"/>
          </w:tcPr>
          <w:p w14:paraId="16FE2CD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2</w:t>
            </w:r>
          </w:p>
        </w:tc>
        <w:tc>
          <w:tcPr>
            <w:tcW w:w="809" w:type="dxa"/>
            <w:vAlign w:val="center"/>
          </w:tcPr>
          <w:p w14:paraId="300C0103">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w:t>
            </w:r>
          </w:p>
        </w:tc>
        <w:tc>
          <w:tcPr>
            <w:tcW w:w="809" w:type="dxa"/>
            <w:vAlign w:val="center"/>
          </w:tcPr>
          <w:p w14:paraId="578FAB0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30</w:t>
            </w:r>
          </w:p>
        </w:tc>
        <w:tc>
          <w:tcPr>
            <w:tcW w:w="530" w:type="dxa"/>
            <w:vAlign w:val="center"/>
          </w:tcPr>
          <w:p w14:paraId="3DA1FF3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31</w:t>
            </w:r>
          </w:p>
        </w:tc>
        <w:tc>
          <w:tcPr>
            <w:tcW w:w="861" w:type="dxa"/>
            <w:vAlign w:val="center"/>
          </w:tcPr>
          <w:p w14:paraId="0AC7E31B">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缺勤天数</w:t>
            </w:r>
          </w:p>
        </w:tc>
        <w:tc>
          <w:tcPr>
            <w:tcW w:w="1223" w:type="dxa"/>
            <w:vAlign w:val="center"/>
          </w:tcPr>
          <w:p w14:paraId="3160304B">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共计出勤天数</w:t>
            </w:r>
          </w:p>
        </w:tc>
      </w:tr>
      <w:tr w14:paraId="5AE7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810" w:type="dxa"/>
            <w:vMerge w:val="restart"/>
            <w:noWrap/>
            <w:vAlign w:val="center"/>
          </w:tcPr>
          <w:p w14:paraId="19E8F9F1">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w:t>
            </w:r>
          </w:p>
        </w:tc>
        <w:tc>
          <w:tcPr>
            <w:tcW w:w="1372" w:type="dxa"/>
            <w:vMerge w:val="restart"/>
            <w:shd w:val="clear" w:color="000000" w:fill="FFFFFF"/>
            <w:vAlign w:val="center"/>
          </w:tcPr>
          <w:p w14:paraId="19C942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专业演员</w:t>
            </w:r>
          </w:p>
        </w:tc>
        <w:tc>
          <w:tcPr>
            <w:tcW w:w="1150" w:type="dxa"/>
            <w:shd w:val="clear" w:color="000000" w:fill="FFFFFF"/>
            <w:vAlign w:val="center"/>
          </w:tcPr>
          <w:p w14:paraId="5914B1C6">
            <w:pPr>
              <w:widowControl/>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晚上</w:t>
            </w:r>
          </w:p>
        </w:tc>
        <w:tc>
          <w:tcPr>
            <w:tcW w:w="809" w:type="dxa"/>
            <w:vAlign w:val="center"/>
          </w:tcPr>
          <w:p w14:paraId="09F4EA13">
            <w:pPr>
              <w:widowControl/>
              <w:jc w:val="center"/>
              <w:rPr>
                <w:rFonts w:hint="eastAsia" w:ascii="宋体" w:hAnsi="宋体" w:eastAsia="宋体" w:cs="宋体"/>
                <w:color w:val="auto"/>
                <w:kern w:val="0"/>
                <w:sz w:val="24"/>
                <w:szCs w:val="24"/>
                <w:highlight w:val="none"/>
              </w:rPr>
            </w:pPr>
          </w:p>
        </w:tc>
        <w:tc>
          <w:tcPr>
            <w:tcW w:w="810" w:type="dxa"/>
            <w:vAlign w:val="center"/>
          </w:tcPr>
          <w:p w14:paraId="13C49905">
            <w:pPr>
              <w:widowControl/>
              <w:jc w:val="center"/>
              <w:rPr>
                <w:rFonts w:hint="eastAsia" w:ascii="宋体" w:hAnsi="宋体" w:eastAsia="宋体" w:cs="宋体"/>
                <w:color w:val="auto"/>
                <w:kern w:val="0"/>
                <w:sz w:val="24"/>
                <w:szCs w:val="24"/>
                <w:highlight w:val="none"/>
              </w:rPr>
            </w:pPr>
          </w:p>
        </w:tc>
        <w:tc>
          <w:tcPr>
            <w:tcW w:w="809" w:type="dxa"/>
            <w:vAlign w:val="center"/>
          </w:tcPr>
          <w:p w14:paraId="782F1E8B">
            <w:pPr>
              <w:widowControl/>
              <w:jc w:val="center"/>
              <w:rPr>
                <w:rFonts w:hint="eastAsia" w:ascii="宋体" w:hAnsi="宋体" w:eastAsia="宋体" w:cs="宋体"/>
                <w:color w:val="auto"/>
                <w:kern w:val="0"/>
                <w:sz w:val="24"/>
                <w:szCs w:val="24"/>
                <w:highlight w:val="none"/>
              </w:rPr>
            </w:pPr>
          </w:p>
        </w:tc>
        <w:tc>
          <w:tcPr>
            <w:tcW w:w="809" w:type="dxa"/>
            <w:vAlign w:val="center"/>
          </w:tcPr>
          <w:p w14:paraId="42B3B082">
            <w:pPr>
              <w:widowControl/>
              <w:jc w:val="center"/>
              <w:rPr>
                <w:rFonts w:hint="eastAsia" w:ascii="宋体" w:hAnsi="宋体" w:eastAsia="宋体" w:cs="宋体"/>
                <w:color w:val="auto"/>
                <w:kern w:val="0"/>
                <w:sz w:val="24"/>
                <w:szCs w:val="24"/>
                <w:highlight w:val="none"/>
              </w:rPr>
            </w:pPr>
          </w:p>
        </w:tc>
        <w:tc>
          <w:tcPr>
            <w:tcW w:w="530" w:type="dxa"/>
            <w:vAlign w:val="center"/>
          </w:tcPr>
          <w:p w14:paraId="0287485E">
            <w:pPr>
              <w:widowControl/>
              <w:jc w:val="center"/>
              <w:rPr>
                <w:rFonts w:hint="eastAsia" w:ascii="宋体" w:hAnsi="宋体" w:eastAsia="宋体" w:cs="宋体"/>
                <w:color w:val="auto"/>
                <w:kern w:val="0"/>
                <w:sz w:val="24"/>
                <w:szCs w:val="24"/>
                <w:highlight w:val="none"/>
              </w:rPr>
            </w:pPr>
          </w:p>
        </w:tc>
        <w:tc>
          <w:tcPr>
            <w:tcW w:w="861" w:type="dxa"/>
            <w:vMerge w:val="restart"/>
            <w:vAlign w:val="center"/>
          </w:tcPr>
          <w:p w14:paraId="1AEFE92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1223" w:type="dxa"/>
            <w:vMerge w:val="restart"/>
            <w:vAlign w:val="center"/>
          </w:tcPr>
          <w:p w14:paraId="00D0876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r>
      <w:tr w14:paraId="5153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0" w:type="dxa"/>
            <w:vMerge w:val="continue"/>
            <w:vAlign w:val="center"/>
          </w:tcPr>
          <w:p w14:paraId="0745051D">
            <w:pPr>
              <w:widowControl/>
              <w:jc w:val="left"/>
              <w:rPr>
                <w:rFonts w:hint="eastAsia" w:ascii="宋体" w:hAnsi="宋体" w:eastAsia="宋体" w:cs="宋体"/>
                <w:color w:val="auto"/>
                <w:kern w:val="0"/>
                <w:sz w:val="22"/>
                <w:highlight w:val="none"/>
              </w:rPr>
            </w:pPr>
          </w:p>
        </w:tc>
        <w:tc>
          <w:tcPr>
            <w:tcW w:w="1372" w:type="dxa"/>
            <w:vMerge w:val="continue"/>
            <w:vAlign w:val="center"/>
          </w:tcPr>
          <w:p w14:paraId="7DE1E985">
            <w:pPr>
              <w:widowControl/>
              <w:jc w:val="left"/>
              <w:rPr>
                <w:rFonts w:hint="eastAsia" w:ascii="宋体" w:hAnsi="宋体" w:eastAsia="宋体" w:cs="宋体"/>
                <w:color w:val="auto"/>
                <w:kern w:val="0"/>
                <w:sz w:val="20"/>
                <w:szCs w:val="20"/>
                <w:highlight w:val="none"/>
              </w:rPr>
            </w:pPr>
          </w:p>
        </w:tc>
        <w:tc>
          <w:tcPr>
            <w:tcW w:w="1150" w:type="dxa"/>
            <w:shd w:val="clear" w:color="000000" w:fill="FFFFFF"/>
            <w:vAlign w:val="center"/>
          </w:tcPr>
          <w:p w14:paraId="5EC8982A">
            <w:pPr>
              <w:widowControl/>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其他</w:t>
            </w:r>
          </w:p>
        </w:tc>
        <w:tc>
          <w:tcPr>
            <w:tcW w:w="809" w:type="dxa"/>
            <w:vAlign w:val="center"/>
          </w:tcPr>
          <w:p w14:paraId="50825F0B">
            <w:pPr>
              <w:widowControl/>
              <w:jc w:val="center"/>
              <w:rPr>
                <w:rFonts w:hint="eastAsia" w:ascii="宋体" w:hAnsi="宋体" w:eastAsia="宋体" w:cs="宋体"/>
                <w:color w:val="auto"/>
                <w:kern w:val="0"/>
                <w:sz w:val="24"/>
                <w:szCs w:val="24"/>
                <w:highlight w:val="none"/>
              </w:rPr>
            </w:pPr>
          </w:p>
        </w:tc>
        <w:tc>
          <w:tcPr>
            <w:tcW w:w="809" w:type="dxa"/>
            <w:vAlign w:val="center"/>
          </w:tcPr>
          <w:p w14:paraId="34851664">
            <w:pPr>
              <w:widowControl/>
              <w:jc w:val="center"/>
              <w:rPr>
                <w:rFonts w:hint="eastAsia" w:ascii="宋体" w:hAnsi="宋体" w:eastAsia="宋体" w:cs="宋体"/>
                <w:color w:val="auto"/>
                <w:kern w:val="0"/>
                <w:sz w:val="24"/>
                <w:szCs w:val="24"/>
                <w:highlight w:val="none"/>
              </w:rPr>
            </w:pPr>
          </w:p>
        </w:tc>
        <w:tc>
          <w:tcPr>
            <w:tcW w:w="809" w:type="dxa"/>
            <w:vAlign w:val="center"/>
          </w:tcPr>
          <w:p w14:paraId="70B8DBA8">
            <w:pPr>
              <w:widowControl/>
              <w:jc w:val="center"/>
              <w:rPr>
                <w:rFonts w:hint="eastAsia" w:ascii="宋体" w:hAnsi="宋体" w:eastAsia="宋体" w:cs="宋体"/>
                <w:color w:val="auto"/>
                <w:kern w:val="0"/>
                <w:sz w:val="24"/>
                <w:szCs w:val="24"/>
                <w:highlight w:val="none"/>
              </w:rPr>
            </w:pPr>
          </w:p>
        </w:tc>
        <w:tc>
          <w:tcPr>
            <w:tcW w:w="809" w:type="dxa"/>
            <w:vAlign w:val="center"/>
          </w:tcPr>
          <w:p w14:paraId="7ECFBA5B">
            <w:pPr>
              <w:widowControl/>
              <w:jc w:val="center"/>
              <w:rPr>
                <w:rFonts w:hint="eastAsia" w:ascii="宋体" w:hAnsi="宋体" w:eastAsia="宋体" w:cs="宋体"/>
                <w:color w:val="auto"/>
                <w:kern w:val="0"/>
                <w:sz w:val="24"/>
                <w:szCs w:val="24"/>
                <w:highlight w:val="none"/>
              </w:rPr>
            </w:pPr>
          </w:p>
        </w:tc>
        <w:tc>
          <w:tcPr>
            <w:tcW w:w="530" w:type="dxa"/>
            <w:vAlign w:val="center"/>
          </w:tcPr>
          <w:p w14:paraId="022D3EDB">
            <w:pPr>
              <w:widowControl/>
              <w:jc w:val="center"/>
              <w:rPr>
                <w:rFonts w:hint="eastAsia" w:ascii="宋体" w:hAnsi="宋体" w:eastAsia="宋体" w:cs="宋体"/>
                <w:color w:val="auto"/>
                <w:kern w:val="0"/>
                <w:sz w:val="24"/>
                <w:szCs w:val="24"/>
                <w:highlight w:val="none"/>
              </w:rPr>
            </w:pPr>
          </w:p>
        </w:tc>
        <w:tc>
          <w:tcPr>
            <w:tcW w:w="861" w:type="dxa"/>
            <w:vMerge w:val="continue"/>
            <w:vAlign w:val="center"/>
          </w:tcPr>
          <w:p w14:paraId="1CD10C89">
            <w:pPr>
              <w:widowControl/>
              <w:jc w:val="left"/>
              <w:rPr>
                <w:rFonts w:hint="eastAsia" w:ascii="宋体" w:hAnsi="宋体" w:eastAsia="宋体" w:cs="宋体"/>
                <w:color w:val="auto"/>
                <w:kern w:val="0"/>
                <w:sz w:val="24"/>
                <w:szCs w:val="24"/>
                <w:highlight w:val="none"/>
              </w:rPr>
            </w:pPr>
          </w:p>
        </w:tc>
        <w:tc>
          <w:tcPr>
            <w:tcW w:w="1220" w:type="dxa"/>
            <w:vMerge w:val="continue"/>
            <w:vAlign w:val="center"/>
          </w:tcPr>
          <w:p w14:paraId="1ADAA75C">
            <w:pPr>
              <w:widowControl/>
              <w:jc w:val="left"/>
              <w:rPr>
                <w:rFonts w:hint="eastAsia" w:ascii="宋体" w:hAnsi="宋体" w:eastAsia="宋体" w:cs="宋体"/>
                <w:color w:val="auto"/>
                <w:kern w:val="0"/>
                <w:sz w:val="24"/>
                <w:szCs w:val="24"/>
                <w:highlight w:val="none"/>
              </w:rPr>
            </w:pPr>
          </w:p>
        </w:tc>
      </w:tr>
      <w:tr w14:paraId="1213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810" w:type="dxa"/>
            <w:vMerge w:val="restart"/>
            <w:noWrap/>
            <w:vAlign w:val="center"/>
          </w:tcPr>
          <w:p w14:paraId="00B53722">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w:t>
            </w:r>
          </w:p>
        </w:tc>
        <w:tc>
          <w:tcPr>
            <w:tcW w:w="1372" w:type="dxa"/>
            <w:vMerge w:val="restart"/>
            <w:shd w:val="clear" w:color="000000" w:fill="FFFFFF"/>
            <w:vAlign w:val="center"/>
          </w:tcPr>
          <w:p w14:paraId="4310BFD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专业演员</w:t>
            </w:r>
          </w:p>
        </w:tc>
        <w:tc>
          <w:tcPr>
            <w:tcW w:w="1150" w:type="dxa"/>
            <w:shd w:val="clear" w:color="000000" w:fill="FFFFFF"/>
            <w:vAlign w:val="center"/>
          </w:tcPr>
          <w:p w14:paraId="749D30B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eastAsia="zh-CN"/>
              </w:rPr>
              <w:t>晚上</w:t>
            </w:r>
          </w:p>
        </w:tc>
        <w:tc>
          <w:tcPr>
            <w:tcW w:w="809" w:type="dxa"/>
            <w:vAlign w:val="center"/>
          </w:tcPr>
          <w:p w14:paraId="4D62C0F5">
            <w:pPr>
              <w:widowControl/>
              <w:jc w:val="center"/>
              <w:rPr>
                <w:rFonts w:hint="eastAsia" w:ascii="宋体" w:hAnsi="宋体" w:eastAsia="宋体" w:cs="宋体"/>
                <w:color w:val="auto"/>
                <w:kern w:val="0"/>
                <w:sz w:val="24"/>
                <w:szCs w:val="24"/>
                <w:highlight w:val="none"/>
              </w:rPr>
            </w:pPr>
          </w:p>
        </w:tc>
        <w:tc>
          <w:tcPr>
            <w:tcW w:w="809" w:type="dxa"/>
            <w:vAlign w:val="center"/>
          </w:tcPr>
          <w:p w14:paraId="6091672B">
            <w:pPr>
              <w:widowControl/>
              <w:jc w:val="center"/>
              <w:rPr>
                <w:rFonts w:hint="eastAsia" w:ascii="宋体" w:hAnsi="宋体" w:eastAsia="宋体" w:cs="宋体"/>
                <w:color w:val="auto"/>
                <w:kern w:val="0"/>
                <w:sz w:val="24"/>
                <w:szCs w:val="24"/>
                <w:highlight w:val="none"/>
              </w:rPr>
            </w:pPr>
          </w:p>
        </w:tc>
        <w:tc>
          <w:tcPr>
            <w:tcW w:w="809" w:type="dxa"/>
            <w:vAlign w:val="center"/>
          </w:tcPr>
          <w:p w14:paraId="452FD99A">
            <w:pPr>
              <w:widowControl/>
              <w:jc w:val="center"/>
              <w:rPr>
                <w:rFonts w:hint="eastAsia" w:ascii="宋体" w:hAnsi="宋体" w:eastAsia="宋体" w:cs="宋体"/>
                <w:color w:val="auto"/>
                <w:kern w:val="0"/>
                <w:sz w:val="24"/>
                <w:szCs w:val="24"/>
                <w:highlight w:val="none"/>
              </w:rPr>
            </w:pPr>
          </w:p>
        </w:tc>
        <w:tc>
          <w:tcPr>
            <w:tcW w:w="809" w:type="dxa"/>
            <w:vAlign w:val="center"/>
          </w:tcPr>
          <w:p w14:paraId="57BBC1E2">
            <w:pPr>
              <w:widowControl/>
              <w:jc w:val="center"/>
              <w:rPr>
                <w:rFonts w:hint="eastAsia" w:ascii="宋体" w:hAnsi="宋体" w:eastAsia="宋体" w:cs="宋体"/>
                <w:color w:val="auto"/>
                <w:kern w:val="0"/>
                <w:sz w:val="24"/>
                <w:szCs w:val="24"/>
                <w:highlight w:val="none"/>
              </w:rPr>
            </w:pPr>
          </w:p>
        </w:tc>
        <w:tc>
          <w:tcPr>
            <w:tcW w:w="530" w:type="dxa"/>
            <w:vAlign w:val="center"/>
          </w:tcPr>
          <w:p w14:paraId="5909EC3E">
            <w:pPr>
              <w:widowControl/>
              <w:jc w:val="center"/>
              <w:rPr>
                <w:rFonts w:hint="eastAsia" w:ascii="宋体" w:hAnsi="宋体" w:eastAsia="宋体" w:cs="宋体"/>
                <w:color w:val="auto"/>
                <w:kern w:val="0"/>
                <w:sz w:val="24"/>
                <w:szCs w:val="24"/>
                <w:highlight w:val="none"/>
              </w:rPr>
            </w:pPr>
          </w:p>
        </w:tc>
        <w:tc>
          <w:tcPr>
            <w:tcW w:w="861" w:type="dxa"/>
            <w:vMerge w:val="restart"/>
            <w:vAlign w:val="center"/>
          </w:tcPr>
          <w:p w14:paraId="6CB8EB0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1220" w:type="dxa"/>
            <w:vMerge w:val="restart"/>
            <w:vAlign w:val="center"/>
          </w:tcPr>
          <w:p w14:paraId="0D1C4F1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r>
      <w:tr w14:paraId="6553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10" w:type="dxa"/>
            <w:vMerge w:val="continue"/>
            <w:vAlign w:val="center"/>
          </w:tcPr>
          <w:p w14:paraId="020DC237">
            <w:pPr>
              <w:widowControl/>
              <w:jc w:val="left"/>
              <w:rPr>
                <w:rFonts w:hint="eastAsia" w:ascii="宋体" w:hAnsi="宋体" w:eastAsia="宋体" w:cs="宋体"/>
                <w:color w:val="auto"/>
                <w:kern w:val="0"/>
                <w:sz w:val="22"/>
                <w:highlight w:val="none"/>
              </w:rPr>
            </w:pPr>
          </w:p>
        </w:tc>
        <w:tc>
          <w:tcPr>
            <w:tcW w:w="1372" w:type="dxa"/>
            <w:vMerge w:val="continue"/>
            <w:vAlign w:val="center"/>
          </w:tcPr>
          <w:p w14:paraId="64E05C05">
            <w:pPr>
              <w:widowControl/>
              <w:jc w:val="left"/>
              <w:rPr>
                <w:rFonts w:hint="eastAsia" w:ascii="宋体" w:hAnsi="宋体" w:eastAsia="宋体" w:cs="宋体"/>
                <w:color w:val="auto"/>
                <w:kern w:val="0"/>
                <w:sz w:val="20"/>
                <w:szCs w:val="20"/>
                <w:highlight w:val="none"/>
              </w:rPr>
            </w:pPr>
          </w:p>
        </w:tc>
        <w:tc>
          <w:tcPr>
            <w:tcW w:w="1150" w:type="dxa"/>
            <w:shd w:val="clear" w:color="000000" w:fill="FFFFFF"/>
            <w:vAlign w:val="center"/>
          </w:tcPr>
          <w:p w14:paraId="0E3713D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eastAsia="zh-CN"/>
              </w:rPr>
              <w:t>其他</w:t>
            </w:r>
          </w:p>
        </w:tc>
        <w:tc>
          <w:tcPr>
            <w:tcW w:w="809" w:type="dxa"/>
            <w:vAlign w:val="center"/>
          </w:tcPr>
          <w:p w14:paraId="72002E43">
            <w:pPr>
              <w:widowControl/>
              <w:jc w:val="center"/>
              <w:rPr>
                <w:rFonts w:hint="eastAsia" w:ascii="宋体" w:hAnsi="宋体" w:eastAsia="宋体" w:cs="宋体"/>
                <w:color w:val="auto"/>
                <w:kern w:val="0"/>
                <w:sz w:val="24"/>
                <w:szCs w:val="24"/>
                <w:highlight w:val="none"/>
              </w:rPr>
            </w:pPr>
          </w:p>
        </w:tc>
        <w:tc>
          <w:tcPr>
            <w:tcW w:w="809" w:type="dxa"/>
            <w:vAlign w:val="center"/>
          </w:tcPr>
          <w:p w14:paraId="0BFBAB6A">
            <w:pPr>
              <w:widowControl/>
              <w:jc w:val="center"/>
              <w:rPr>
                <w:rFonts w:hint="eastAsia" w:ascii="宋体" w:hAnsi="宋体" w:eastAsia="宋体" w:cs="宋体"/>
                <w:color w:val="auto"/>
                <w:kern w:val="0"/>
                <w:sz w:val="24"/>
                <w:szCs w:val="24"/>
                <w:highlight w:val="none"/>
              </w:rPr>
            </w:pPr>
          </w:p>
        </w:tc>
        <w:tc>
          <w:tcPr>
            <w:tcW w:w="809" w:type="dxa"/>
            <w:vAlign w:val="center"/>
          </w:tcPr>
          <w:p w14:paraId="50EBCAB6">
            <w:pPr>
              <w:widowControl/>
              <w:jc w:val="center"/>
              <w:rPr>
                <w:rFonts w:hint="eastAsia" w:ascii="宋体" w:hAnsi="宋体" w:eastAsia="宋体" w:cs="宋体"/>
                <w:color w:val="auto"/>
                <w:kern w:val="0"/>
                <w:sz w:val="24"/>
                <w:szCs w:val="24"/>
                <w:highlight w:val="none"/>
              </w:rPr>
            </w:pPr>
          </w:p>
        </w:tc>
        <w:tc>
          <w:tcPr>
            <w:tcW w:w="809" w:type="dxa"/>
            <w:vAlign w:val="center"/>
          </w:tcPr>
          <w:p w14:paraId="00CC93B8">
            <w:pPr>
              <w:widowControl/>
              <w:jc w:val="center"/>
              <w:rPr>
                <w:rFonts w:hint="eastAsia" w:ascii="宋体" w:hAnsi="宋体" w:eastAsia="宋体" w:cs="宋体"/>
                <w:color w:val="auto"/>
                <w:kern w:val="0"/>
                <w:sz w:val="24"/>
                <w:szCs w:val="24"/>
                <w:highlight w:val="none"/>
              </w:rPr>
            </w:pPr>
          </w:p>
        </w:tc>
        <w:tc>
          <w:tcPr>
            <w:tcW w:w="530" w:type="dxa"/>
            <w:vAlign w:val="center"/>
          </w:tcPr>
          <w:p w14:paraId="434BA707">
            <w:pPr>
              <w:widowControl/>
              <w:jc w:val="center"/>
              <w:rPr>
                <w:rFonts w:hint="eastAsia" w:ascii="宋体" w:hAnsi="宋体" w:eastAsia="宋体" w:cs="宋体"/>
                <w:color w:val="auto"/>
                <w:kern w:val="0"/>
                <w:sz w:val="24"/>
                <w:szCs w:val="24"/>
                <w:highlight w:val="none"/>
              </w:rPr>
            </w:pPr>
          </w:p>
        </w:tc>
        <w:tc>
          <w:tcPr>
            <w:tcW w:w="861" w:type="dxa"/>
            <w:vMerge w:val="continue"/>
            <w:vAlign w:val="center"/>
          </w:tcPr>
          <w:p w14:paraId="48537F53">
            <w:pPr>
              <w:widowControl/>
              <w:jc w:val="left"/>
              <w:rPr>
                <w:rFonts w:hint="eastAsia" w:ascii="宋体" w:hAnsi="宋体" w:eastAsia="宋体" w:cs="宋体"/>
                <w:color w:val="auto"/>
                <w:kern w:val="0"/>
                <w:sz w:val="24"/>
                <w:szCs w:val="24"/>
                <w:highlight w:val="none"/>
              </w:rPr>
            </w:pPr>
          </w:p>
        </w:tc>
        <w:tc>
          <w:tcPr>
            <w:tcW w:w="1220" w:type="dxa"/>
            <w:vMerge w:val="continue"/>
            <w:vAlign w:val="center"/>
          </w:tcPr>
          <w:p w14:paraId="464878E8">
            <w:pPr>
              <w:widowControl/>
              <w:jc w:val="left"/>
              <w:rPr>
                <w:rFonts w:hint="eastAsia" w:ascii="宋体" w:hAnsi="宋体" w:eastAsia="宋体" w:cs="宋体"/>
                <w:color w:val="auto"/>
                <w:kern w:val="0"/>
                <w:sz w:val="24"/>
                <w:szCs w:val="24"/>
                <w:highlight w:val="none"/>
              </w:rPr>
            </w:pPr>
          </w:p>
        </w:tc>
      </w:tr>
      <w:tr w14:paraId="6E8F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10" w:type="dxa"/>
            <w:vMerge w:val="restart"/>
            <w:noWrap/>
            <w:vAlign w:val="center"/>
          </w:tcPr>
          <w:p w14:paraId="42676AEB">
            <w:pPr>
              <w:widowControl/>
              <w:jc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val="en-US" w:eastAsia="zh-CN"/>
              </w:rPr>
              <w:t>3</w:t>
            </w:r>
          </w:p>
        </w:tc>
        <w:tc>
          <w:tcPr>
            <w:tcW w:w="1372" w:type="dxa"/>
            <w:vMerge w:val="restart"/>
            <w:shd w:val="clear" w:color="000000" w:fill="FFFFFF"/>
            <w:vAlign w:val="center"/>
          </w:tcPr>
          <w:p w14:paraId="147D9CC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一般演员</w:t>
            </w:r>
          </w:p>
        </w:tc>
        <w:tc>
          <w:tcPr>
            <w:tcW w:w="1150" w:type="dxa"/>
            <w:vAlign w:val="center"/>
          </w:tcPr>
          <w:p w14:paraId="31F53FBD">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0"/>
                <w:szCs w:val="20"/>
                <w:highlight w:val="none"/>
                <w:lang w:eastAsia="zh-CN"/>
              </w:rPr>
              <w:t>晚上</w:t>
            </w:r>
          </w:p>
        </w:tc>
        <w:tc>
          <w:tcPr>
            <w:tcW w:w="809" w:type="dxa"/>
            <w:vAlign w:val="center"/>
          </w:tcPr>
          <w:p w14:paraId="289AF247">
            <w:pPr>
              <w:widowControl/>
              <w:jc w:val="center"/>
              <w:rPr>
                <w:rFonts w:hint="eastAsia" w:ascii="宋体" w:hAnsi="宋体" w:eastAsia="宋体" w:cs="宋体"/>
                <w:color w:val="auto"/>
                <w:kern w:val="0"/>
                <w:sz w:val="24"/>
                <w:szCs w:val="24"/>
                <w:highlight w:val="none"/>
              </w:rPr>
            </w:pPr>
          </w:p>
        </w:tc>
        <w:tc>
          <w:tcPr>
            <w:tcW w:w="809" w:type="dxa"/>
            <w:vAlign w:val="center"/>
          </w:tcPr>
          <w:p w14:paraId="5B4D659C">
            <w:pPr>
              <w:widowControl/>
              <w:jc w:val="center"/>
              <w:rPr>
                <w:rFonts w:hint="eastAsia" w:ascii="宋体" w:hAnsi="宋体" w:eastAsia="宋体" w:cs="宋体"/>
                <w:color w:val="auto"/>
                <w:kern w:val="0"/>
                <w:sz w:val="24"/>
                <w:szCs w:val="24"/>
                <w:highlight w:val="none"/>
              </w:rPr>
            </w:pPr>
          </w:p>
        </w:tc>
        <w:tc>
          <w:tcPr>
            <w:tcW w:w="809" w:type="dxa"/>
            <w:vAlign w:val="center"/>
          </w:tcPr>
          <w:p w14:paraId="433FE704">
            <w:pPr>
              <w:widowControl/>
              <w:jc w:val="center"/>
              <w:rPr>
                <w:rFonts w:hint="eastAsia" w:ascii="宋体" w:hAnsi="宋体" w:eastAsia="宋体" w:cs="宋体"/>
                <w:color w:val="auto"/>
                <w:kern w:val="0"/>
                <w:sz w:val="24"/>
                <w:szCs w:val="24"/>
                <w:highlight w:val="none"/>
              </w:rPr>
            </w:pPr>
          </w:p>
        </w:tc>
        <w:tc>
          <w:tcPr>
            <w:tcW w:w="809" w:type="dxa"/>
            <w:vAlign w:val="center"/>
          </w:tcPr>
          <w:p w14:paraId="058E5A06">
            <w:pPr>
              <w:widowControl/>
              <w:jc w:val="center"/>
              <w:rPr>
                <w:rFonts w:hint="eastAsia" w:ascii="宋体" w:hAnsi="宋体" w:eastAsia="宋体" w:cs="宋体"/>
                <w:color w:val="auto"/>
                <w:kern w:val="0"/>
                <w:sz w:val="24"/>
                <w:szCs w:val="24"/>
                <w:highlight w:val="none"/>
              </w:rPr>
            </w:pPr>
          </w:p>
        </w:tc>
        <w:tc>
          <w:tcPr>
            <w:tcW w:w="530" w:type="dxa"/>
            <w:vAlign w:val="center"/>
          </w:tcPr>
          <w:p w14:paraId="41205C4A">
            <w:pPr>
              <w:widowControl/>
              <w:jc w:val="center"/>
              <w:rPr>
                <w:rFonts w:hint="eastAsia" w:ascii="宋体" w:hAnsi="宋体" w:eastAsia="宋体" w:cs="宋体"/>
                <w:color w:val="auto"/>
                <w:kern w:val="0"/>
                <w:sz w:val="24"/>
                <w:szCs w:val="24"/>
                <w:highlight w:val="none"/>
              </w:rPr>
            </w:pPr>
          </w:p>
        </w:tc>
        <w:tc>
          <w:tcPr>
            <w:tcW w:w="861" w:type="dxa"/>
            <w:vMerge w:val="restart"/>
            <w:vAlign w:val="center"/>
          </w:tcPr>
          <w:p w14:paraId="118160F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1220" w:type="dxa"/>
            <w:vMerge w:val="restart"/>
            <w:vAlign w:val="center"/>
          </w:tcPr>
          <w:p w14:paraId="2B72CF8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r>
      <w:tr w14:paraId="3E34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810" w:type="dxa"/>
            <w:vMerge w:val="continue"/>
            <w:vAlign w:val="center"/>
          </w:tcPr>
          <w:p w14:paraId="129D6EC6">
            <w:pPr>
              <w:widowControl/>
              <w:jc w:val="left"/>
              <w:rPr>
                <w:rFonts w:hint="eastAsia" w:ascii="宋体" w:hAnsi="宋体" w:eastAsia="宋体" w:cs="宋体"/>
                <w:color w:val="auto"/>
                <w:kern w:val="0"/>
                <w:sz w:val="22"/>
                <w:highlight w:val="none"/>
              </w:rPr>
            </w:pPr>
          </w:p>
        </w:tc>
        <w:tc>
          <w:tcPr>
            <w:tcW w:w="1372" w:type="dxa"/>
            <w:vMerge w:val="continue"/>
            <w:vAlign w:val="center"/>
          </w:tcPr>
          <w:p w14:paraId="3CAF64D7">
            <w:pPr>
              <w:widowControl/>
              <w:jc w:val="left"/>
              <w:rPr>
                <w:rFonts w:hint="eastAsia" w:ascii="宋体" w:hAnsi="宋体" w:eastAsia="宋体" w:cs="宋体"/>
                <w:color w:val="auto"/>
                <w:kern w:val="0"/>
                <w:sz w:val="20"/>
                <w:szCs w:val="20"/>
                <w:highlight w:val="none"/>
              </w:rPr>
            </w:pPr>
          </w:p>
        </w:tc>
        <w:tc>
          <w:tcPr>
            <w:tcW w:w="1150" w:type="dxa"/>
            <w:vAlign w:val="center"/>
          </w:tcPr>
          <w:p w14:paraId="2FBC6DD0">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0"/>
                <w:szCs w:val="20"/>
                <w:highlight w:val="none"/>
                <w:lang w:eastAsia="zh-CN"/>
              </w:rPr>
              <w:t>其他</w:t>
            </w:r>
          </w:p>
        </w:tc>
        <w:tc>
          <w:tcPr>
            <w:tcW w:w="809" w:type="dxa"/>
            <w:vAlign w:val="center"/>
          </w:tcPr>
          <w:p w14:paraId="6ACD9901">
            <w:pPr>
              <w:widowControl/>
              <w:jc w:val="center"/>
              <w:rPr>
                <w:rFonts w:hint="eastAsia" w:ascii="宋体" w:hAnsi="宋体" w:eastAsia="宋体" w:cs="宋体"/>
                <w:color w:val="auto"/>
                <w:kern w:val="0"/>
                <w:sz w:val="24"/>
                <w:szCs w:val="24"/>
                <w:highlight w:val="none"/>
              </w:rPr>
            </w:pPr>
          </w:p>
        </w:tc>
        <w:tc>
          <w:tcPr>
            <w:tcW w:w="809" w:type="dxa"/>
            <w:vAlign w:val="center"/>
          </w:tcPr>
          <w:p w14:paraId="6C73B066">
            <w:pPr>
              <w:widowControl/>
              <w:jc w:val="center"/>
              <w:rPr>
                <w:rFonts w:hint="eastAsia" w:ascii="宋体" w:hAnsi="宋体" w:eastAsia="宋体" w:cs="宋体"/>
                <w:color w:val="auto"/>
                <w:kern w:val="0"/>
                <w:sz w:val="24"/>
                <w:szCs w:val="24"/>
                <w:highlight w:val="none"/>
              </w:rPr>
            </w:pPr>
          </w:p>
        </w:tc>
        <w:tc>
          <w:tcPr>
            <w:tcW w:w="809" w:type="dxa"/>
            <w:vAlign w:val="center"/>
          </w:tcPr>
          <w:p w14:paraId="2D432EC5">
            <w:pPr>
              <w:widowControl/>
              <w:jc w:val="center"/>
              <w:rPr>
                <w:rFonts w:hint="eastAsia" w:ascii="宋体" w:hAnsi="宋体" w:eastAsia="宋体" w:cs="宋体"/>
                <w:color w:val="auto"/>
                <w:kern w:val="0"/>
                <w:sz w:val="24"/>
                <w:szCs w:val="24"/>
                <w:highlight w:val="none"/>
              </w:rPr>
            </w:pPr>
          </w:p>
        </w:tc>
        <w:tc>
          <w:tcPr>
            <w:tcW w:w="809" w:type="dxa"/>
            <w:vAlign w:val="center"/>
          </w:tcPr>
          <w:p w14:paraId="0565FCD5">
            <w:pPr>
              <w:widowControl/>
              <w:jc w:val="center"/>
              <w:rPr>
                <w:rFonts w:hint="eastAsia" w:ascii="宋体" w:hAnsi="宋体" w:eastAsia="宋体" w:cs="宋体"/>
                <w:color w:val="auto"/>
                <w:kern w:val="0"/>
                <w:sz w:val="24"/>
                <w:szCs w:val="24"/>
                <w:highlight w:val="none"/>
              </w:rPr>
            </w:pPr>
          </w:p>
        </w:tc>
        <w:tc>
          <w:tcPr>
            <w:tcW w:w="530" w:type="dxa"/>
            <w:vAlign w:val="center"/>
          </w:tcPr>
          <w:p w14:paraId="34A132DF">
            <w:pPr>
              <w:widowControl/>
              <w:jc w:val="center"/>
              <w:rPr>
                <w:rFonts w:hint="eastAsia" w:ascii="宋体" w:hAnsi="宋体" w:eastAsia="宋体" w:cs="宋体"/>
                <w:color w:val="auto"/>
                <w:kern w:val="0"/>
                <w:sz w:val="24"/>
                <w:szCs w:val="24"/>
                <w:highlight w:val="none"/>
              </w:rPr>
            </w:pPr>
          </w:p>
        </w:tc>
        <w:tc>
          <w:tcPr>
            <w:tcW w:w="861" w:type="dxa"/>
            <w:vMerge w:val="continue"/>
            <w:vAlign w:val="center"/>
          </w:tcPr>
          <w:p w14:paraId="27297765">
            <w:pPr>
              <w:widowControl/>
              <w:jc w:val="left"/>
              <w:rPr>
                <w:rFonts w:hint="eastAsia" w:ascii="宋体" w:hAnsi="宋体" w:eastAsia="宋体" w:cs="宋体"/>
                <w:color w:val="auto"/>
                <w:kern w:val="0"/>
                <w:sz w:val="24"/>
                <w:szCs w:val="24"/>
                <w:highlight w:val="none"/>
              </w:rPr>
            </w:pPr>
          </w:p>
        </w:tc>
        <w:tc>
          <w:tcPr>
            <w:tcW w:w="1220" w:type="dxa"/>
            <w:vMerge w:val="continue"/>
            <w:vAlign w:val="center"/>
          </w:tcPr>
          <w:p w14:paraId="7CD6241F">
            <w:pPr>
              <w:widowControl/>
              <w:jc w:val="left"/>
              <w:rPr>
                <w:rFonts w:hint="eastAsia" w:ascii="宋体" w:hAnsi="宋体" w:eastAsia="宋体" w:cs="宋体"/>
                <w:color w:val="auto"/>
                <w:kern w:val="0"/>
                <w:sz w:val="24"/>
                <w:szCs w:val="24"/>
                <w:highlight w:val="none"/>
              </w:rPr>
            </w:pPr>
          </w:p>
        </w:tc>
      </w:tr>
      <w:tr w14:paraId="0A08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10" w:type="dxa"/>
            <w:vMerge w:val="restart"/>
            <w:noWrap/>
            <w:vAlign w:val="center"/>
          </w:tcPr>
          <w:p w14:paraId="06406D0D">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w:t>
            </w:r>
          </w:p>
        </w:tc>
        <w:tc>
          <w:tcPr>
            <w:tcW w:w="1372" w:type="dxa"/>
            <w:vMerge w:val="restart"/>
            <w:shd w:val="clear" w:color="000000" w:fill="FFFFFF"/>
            <w:vAlign w:val="center"/>
          </w:tcPr>
          <w:p w14:paraId="70A44C9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一般演员</w:t>
            </w:r>
          </w:p>
        </w:tc>
        <w:tc>
          <w:tcPr>
            <w:tcW w:w="1150" w:type="dxa"/>
            <w:vAlign w:val="center"/>
          </w:tcPr>
          <w:p w14:paraId="6A1BE20C">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0"/>
                <w:szCs w:val="20"/>
                <w:highlight w:val="none"/>
                <w:lang w:eastAsia="zh-CN"/>
              </w:rPr>
              <w:t>晚上</w:t>
            </w:r>
          </w:p>
        </w:tc>
        <w:tc>
          <w:tcPr>
            <w:tcW w:w="809" w:type="dxa"/>
            <w:vAlign w:val="center"/>
          </w:tcPr>
          <w:p w14:paraId="4ABBDD6C">
            <w:pPr>
              <w:widowControl/>
              <w:jc w:val="center"/>
              <w:rPr>
                <w:rFonts w:hint="eastAsia" w:ascii="宋体" w:hAnsi="宋体" w:eastAsia="宋体" w:cs="宋体"/>
                <w:color w:val="auto"/>
                <w:kern w:val="0"/>
                <w:sz w:val="24"/>
                <w:szCs w:val="24"/>
                <w:highlight w:val="none"/>
              </w:rPr>
            </w:pPr>
          </w:p>
        </w:tc>
        <w:tc>
          <w:tcPr>
            <w:tcW w:w="809" w:type="dxa"/>
            <w:vAlign w:val="center"/>
          </w:tcPr>
          <w:p w14:paraId="242A43C4">
            <w:pPr>
              <w:widowControl/>
              <w:jc w:val="center"/>
              <w:rPr>
                <w:rFonts w:hint="eastAsia" w:ascii="宋体" w:hAnsi="宋体" w:eastAsia="宋体" w:cs="宋体"/>
                <w:color w:val="auto"/>
                <w:kern w:val="0"/>
                <w:sz w:val="24"/>
                <w:szCs w:val="24"/>
                <w:highlight w:val="none"/>
              </w:rPr>
            </w:pPr>
          </w:p>
        </w:tc>
        <w:tc>
          <w:tcPr>
            <w:tcW w:w="809" w:type="dxa"/>
            <w:vAlign w:val="center"/>
          </w:tcPr>
          <w:p w14:paraId="04766D48">
            <w:pPr>
              <w:widowControl/>
              <w:jc w:val="center"/>
              <w:rPr>
                <w:rFonts w:hint="eastAsia" w:ascii="宋体" w:hAnsi="宋体" w:eastAsia="宋体" w:cs="宋体"/>
                <w:color w:val="auto"/>
                <w:kern w:val="0"/>
                <w:sz w:val="24"/>
                <w:szCs w:val="24"/>
                <w:highlight w:val="none"/>
              </w:rPr>
            </w:pPr>
          </w:p>
        </w:tc>
        <w:tc>
          <w:tcPr>
            <w:tcW w:w="809" w:type="dxa"/>
            <w:vAlign w:val="center"/>
          </w:tcPr>
          <w:p w14:paraId="4E4B03AD">
            <w:pPr>
              <w:widowControl/>
              <w:jc w:val="center"/>
              <w:rPr>
                <w:rFonts w:hint="eastAsia" w:ascii="宋体" w:hAnsi="宋体" w:eastAsia="宋体" w:cs="宋体"/>
                <w:color w:val="auto"/>
                <w:kern w:val="0"/>
                <w:sz w:val="24"/>
                <w:szCs w:val="24"/>
                <w:highlight w:val="none"/>
              </w:rPr>
            </w:pPr>
          </w:p>
        </w:tc>
        <w:tc>
          <w:tcPr>
            <w:tcW w:w="530" w:type="dxa"/>
            <w:vAlign w:val="center"/>
          </w:tcPr>
          <w:p w14:paraId="2ED8D73F">
            <w:pPr>
              <w:widowControl/>
              <w:jc w:val="center"/>
              <w:rPr>
                <w:rFonts w:hint="eastAsia" w:ascii="宋体" w:hAnsi="宋体" w:eastAsia="宋体" w:cs="宋体"/>
                <w:color w:val="auto"/>
                <w:kern w:val="0"/>
                <w:sz w:val="24"/>
                <w:szCs w:val="24"/>
                <w:highlight w:val="none"/>
              </w:rPr>
            </w:pPr>
          </w:p>
        </w:tc>
        <w:tc>
          <w:tcPr>
            <w:tcW w:w="861" w:type="dxa"/>
            <w:vMerge w:val="restart"/>
            <w:vAlign w:val="center"/>
          </w:tcPr>
          <w:p w14:paraId="4FC645B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1220" w:type="dxa"/>
            <w:vMerge w:val="restart"/>
            <w:vAlign w:val="center"/>
          </w:tcPr>
          <w:p w14:paraId="046DF97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r>
      <w:tr w14:paraId="18D0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810" w:type="dxa"/>
            <w:vMerge w:val="continue"/>
            <w:vAlign w:val="center"/>
          </w:tcPr>
          <w:p w14:paraId="748AC1A6">
            <w:pPr>
              <w:widowControl/>
              <w:jc w:val="left"/>
              <w:rPr>
                <w:rFonts w:hint="eastAsia" w:ascii="宋体" w:hAnsi="宋体" w:eastAsia="宋体" w:cs="宋体"/>
                <w:color w:val="auto"/>
                <w:kern w:val="0"/>
                <w:sz w:val="22"/>
                <w:highlight w:val="none"/>
              </w:rPr>
            </w:pPr>
          </w:p>
        </w:tc>
        <w:tc>
          <w:tcPr>
            <w:tcW w:w="1372" w:type="dxa"/>
            <w:vMerge w:val="continue"/>
            <w:vAlign w:val="center"/>
          </w:tcPr>
          <w:p w14:paraId="0A33F6FE">
            <w:pPr>
              <w:widowControl/>
              <w:jc w:val="left"/>
              <w:rPr>
                <w:rFonts w:hint="eastAsia" w:ascii="宋体" w:hAnsi="宋体" w:eastAsia="宋体" w:cs="宋体"/>
                <w:color w:val="auto"/>
                <w:kern w:val="0"/>
                <w:sz w:val="20"/>
                <w:szCs w:val="20"/>
                <w:highlight w:val="none"/>
              </w:rPr>
            </w:pPr>
          </w:p>
        </w:tc>
        <w:tc>
          <w:tcPr>
            <w:tcW w:w="1150" w:type="dxa"/>
            <w:vAlign w:val="center"/>
          </w:tcPr>
          <w:p w14:paraId="06972127">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0"/>
                <w:szCs w:val="20"/>
                <w:highlight w:val="none"/>
                <w:lang w:eastAsia="zh-CN"/>
              </w:rPr>
              <w:t>其他</w:t>
            </w:r>
          </w:p>
        </w:tc>
        <w:tc>
          <w:tcPr>
            <w:tcW w:w="809" w:type="dxa"/>
            <w:vAlign w:val="center"/>
          </w:tcPr>
          <w:p w14:paraId="6EDF9574">
            <w:pPr>
              <w:widowControl/>
              <w:jc w:val="center"/>
              <w:rPr>
                <w:rFonts w:hint="eastAsia" w:ascii="宋体" w:hAnsi="宋体" w:eastAsia="宋体" w:cs="宋体"/>
                <w:color w:val="auto"/>
                <w:kern w:val="0"/>
                <w:sz w:val="24"/>
                <w:szCs w:val="24"/>
                <w:highlight w:val="none"/>
              </w:rPr>
            </w:pPr>
          </w:p>
        </w:tc>
        <w:tc>
          <w:tcPr>
            <w:tcW w:w="809" w:type="dxa"/>
            <w:vAlign w:val="center"/>
          </w:tcPr>
          <w:p w14:paraId="12757D80">
            <w:pPr>
              <w:widowControl/>
              <w:jc w:val="center"/>
              <w:rPr>
                <w:rFonts w:hint="eastAsia" w:ascii="宋体" w:hAnsi="宋体" w:eastAsia="宋体" w:cs="宋体"/>
                <w:color w:val="auto"/>
                <w:kern w:val="0"/>
                <w:sz w:val="24"/>
                <w:szCs w:val="24"/>
                <w:highlight w:val="none"/>
              </w:rPr>
            </w:pPr>
          </w:p>
        </w:tc>
        <w:tc>
          <w:tcPr>
            <w:tcW w:w="809" w:type="dxa"/>
            <w:vAlign w:val="center"/>
          </w:tcPr>
          <w:p w14:paraId="405C62CE">
            <w:pPr>
              <w:widowControl/>
              <w:jc w:val="center"/>
              <w:rPr>
                <w:rFonts w:hint="eastAsia" w:ascii="宋体" w:hAnsi="宋体" w:eastAsia="宋体" w:cs="宋体"/>
                <w:color w:val="auto"/>
                <w:kern w:val="0"/>
                <w:sz w:val="24"/>
                <w:szCs w:val="24"/>
                <w:highlight w:val="none"/>
              </w:rPr>
            </w:pPr>
          </w:p>
        </w:tc>
        <w:tc>
          <w:tcPr>
            <w:tcW w:w="809" w:type="dxa"/>
            <w:vAlign w:val="center"/>
          </w:tcPr>
          <w:p w14:paraId="3347415E">
            <w:pPr>
              <w:widowControl/>
              <w:jc w:val="center"/>
              <w:rPr>
                <w:rFonts w:hint="eastAsia" w:ascii="宋体" w:hAnsi="宋体" w:eastAsia="宋体" w:cs="宋体"/>
                <w:color w:val="auto"/>
                <w:kern w:val="0"/>
                <w:sz w:val="24"/>
                <w:szCs w:val="24"/>
                <w:highlight w:val="none"/>
              </w:rPr>
            </w:pPr>
          </w:p>
        </w:tc>
        <w:tc>
          <w:tcPr>
            <w:tcW w:w="530" w:type="dxa"/>
            <w:vAlign w:val="center"/>
          </w:tcPr>
          <w:p w14:paraId="4FA38665">
            <w:pPr>
              <w:widowControl/>
              <w:jc w:val="center"/>
              <w:rPr>
                <w:rFonts w:hint="eastAsia" w:ascii="宋体" w:hAnsi="宋体" w:eastAsia="宋体" w:cs="宋体"/>
                <w:color w:val="auto"/>
                <w:kern w:val="0"/>
                <w:sz w:val="24"/>
                <w:szCs w:val="24"/>
                <w:highlight w:val="none"/>
              </w:rPr>
            </w:pPr>
          </w:p>
        </w:tc>
        <w:tc>
          <w:tcPr>
            <w:tcW w:w="861" w:type="dxa"/>
            <w:vMerge w:val="continue"/>
            <w:vAlign w:val="center"/>
          </w:tcPr>
          <w:p w14:paraId="4F67A2F6">
            <w:pPr>
              <w:widowControl/>
              <w:jc w:val="left"/>
              <w:rPr>
                <w:rFonts w:hint="eastAsia" w:ascii="宋体" w:hAnsi="宋体" w:eastAsia="宋体" w:cs="宋体"/>
                <w:color w:val="auto"/>
                <w:kern w:val="0"/>
                <w:sz w:val="24"/>
                <w:szCs w:val="24"/>
                <w:highlight w:val="none"/>
              </w:rPr>
            </w:pPr>
          </w:p>
        </w:tc>
        <w:tc>
          <w:tcPr>
            <w:tcW w:w="1220" w:type="dxa"/>
            <w:vMerge w:val="continue"/>
            <w:vAlign w:val="center"/>
          </w:tcPr>
          <w:p w14:paraId="55E3A224">
            <w:pPr>
              <w:widowControl/>
              <w:jc w:val="left"/>
              <w:rPr>
                <w:rFonts w:hint="eastAsia" w:ascii="宋体" w:hAnsi="宋体" w:eastAsia="宋体" w:cs="宋体"/>
                <w:color w:val="auto"/>
                <w:kern w:val="0"/>
                <w:sz w:val="24"/>
                <w:szCs w:val="24"/>
                <w:highlight w:val="none"/>
              </w:rPr>
            </w:pPr>
          </w:p>
        </w:tc>
      </w:tr>
      <w:tr w14:paraId="14B9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810" w:type="dxa"/>
            <w:noWrap/>
            <w:vAlign w:val="center"/>
          </w:tcPr>
          <w:p w14:paraId="016A2BC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出勤</w:t>
            </w:r>
          </w:p>
        </w:tc>
        <w:tc>
          <w:tcPr>
            <w:tcW w:w="1372" w:type="dxa"/>
            <w:noWrap/>
            <w:vAlign w:val="center"/>
          </w:tcPr>
          <w:p w14:paraId="611E477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病伤假</w:t>
            </w:r>
          </w:p>
        </w:tc>
        <w:tc>
          <w:tcPr>
            <w:tcW w:w="1150" w:type="dxa"/>
            <w:noWrap/>
            <w:vAlign w:val="center"/>
          </w:tcPr>
          <w:p w14:paraId="61A84F5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工伤假</w:t>
            </w:r>
          </w:p>
        </w:tc>
        <w:tc>
          <w:tcPr>
            <w:tcW w:w="809" w:type="dxa"/>
            <w:noWrap/>
            <w:vAlign w:val="center"/>
          </w:tcPr>
          <w:p w14:paraId="10F96B6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旷工</w:t>
            </w:r>
          </w:p>
        </w:tc>
        <w:tc>
          <w:tcPr>
            <w:tcW w:w="809" w:type="dxa"/>
            <w:noWrap/>
            <w:vAlign w:val="center"/>
          </w:tcPr>
          <w:p w14:paraId="4B99B58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休班</w:t>
            </w:r>
          </w:p>
        </w:tc>
        <w:tc>
          <w:tcPr>
            <w:tcW w:w="809" w:type="dxa"/>
            <w:noWrap/>
            <w:vAlign w:val="center"/>
          </w:tcPr>
          <w:p w14:paraId="62D663A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事假</w:t>
            </w:r>
          </w:p>
        </w:tc>
        <w:tc>
          <w:tcPr>
            <w:tcW w:w="809" w:type="dxa"/>
            <w:noWrap/>
            <w:vAlign w:val="center"/>
          </w:tcPr>
          <w:p w14:paraId="55B99C1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休班</w:t>
            </w:r>
          </w:p>
        </w:tc>
        <w:tc>
          <w:tcPr>
            <w:tcW w:w="2611" w:type="dxa"/>
            <w:gridSpan w:val="3"/>
            <w:noWrap/>
            <w:vAlign w:val="center"/>
          </w:tcPr>
          <w:p w14:paraId="4CA5EE7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迟到、早退、脱岗</w:t>
            </w:r>
          </w:p>
        </w:tc>
      </w:tr>
      <w:tr w14:paraId="0AEA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810" w:type="dxa"/>
            <w:vAlign w:val="center"/>
          </w:tcPr>
          <w:p w14:paraId="33ED905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372" w:type="dxa"/>
            <w:noWrap/>
            <w:vAlign w:val="center"/>
          </w:tcPr>
          <w:p w14:paraId="3BC76A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150" w:type="dxa"/>
            <w:noWrap/>
            <w:vAlign w:val="center"/>
          </w:tcPr>
          <w:p w14:paraId="6C42AF8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809" w:type="dxa"/>
            <w:noWrap/>
            <w:vAlign w:val="center"/>
          </w:tcPr>
          <w:p w14:paraId="5555797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809" w:type="dxa"/>
            <w:vAlign w:val="center"/>
          </w:tcPr>
          <w:p w14:paraId="4B21510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Ø</w:t>
            </w:r>
          </w:p>
        </w:tc>
        <w:tc>
          <w:tcPr>
            <w:tcW w:w="809" w:type="dxa"/>
            <w:vAlign w:val="center"/>
          </w:tcPr>
          <w:p w14:paraId="582F278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Ⅰ</w:t>
            </w:r>
          </w:p>
        </w:tc>
        <w:tc>
          <w:tcPr>
            <w:tcW w:w="809" w:type="dxa"/>
            <w:vAlign w:val="center"/>
          </w:tcPr>
          <w:p w14:paraId="240B5A2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Ø</w:t>
            </w:r>
          </w:p>
        </w:tc>
        <w:tc>
          <w:tcPr>
            <w:tcW w:w="2611" w:type="dxa"/>
            <w:gridSpan w:val="3"/>
            <w:vAlign w:val="center"/>
          </w:tcPr>
          <w:p w14:paraId="628E5F4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r>
      <w:tr w14:paraId="56D1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182" w:type="dxa"/>
            <w:gridSpan w:val="2"/>
            <w:noWrap/>
            <w:vAlign w:val="bottom"/>
          </w:tcPr>
          <w:p w14:paraId="5BA07D55">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***公司签确；</w:t>
            </w:r>
          </w:p>
        </w:tc>
        <w:tc>
          <w:tcPr>
            <w:tcW w:w="1150" w:type="dxa"/>
            <w:noWrap/>
            <w:vAlign w:val="bottom"/>
          </w:tcPr>
          <w:p w14:paraId="36F502DE">
            <w:pPr>
              <w:widowControl/>
              <w:jc w:val="left"/>
              <w:rPr>
                <w:rFonts w:hint="eastAsia" w:ascii="宋体" w:hAnsi="宋体" w:eastAsia="宋体" w:cs="宋体"/>
                <w:color w:val="auto"/>
                <w:kern w:val="0"/>
                <w:sz w:val="22"/>
                <w:highlight w:val="none"/>
              </w:rPr>
            </w:pPr>
          </w:p>
        </w:tc>
        <w:tc>
          <w:tcPr>
            <w:tcW w:w="5850" w:type="dxa"/>
            <w:gridSpan w:val="7"/>
            <w:noWrap/>
            <w:vAlign w:val="bottom"/>
          </w:tcPr>
          <w:p w14:paraId="707BC215">
            <w:pPr>
              <w:widowControl/>
              <w:ind w:firstLine="1980" w:firstLineChars="9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有限公司签确：</w:t>
            </w:r>
          </w:p>
        </w:tc>
      </w:tr>
      <w:tr w14:paraId="48D1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182" w:type="dxa"/>
            <w:gridSpan w:val="2"/>
            <w:noWrap/>
            <w:vAlign w:val="bottom"/>
          </w:tcPr>
          <w:p w14:paraId="3FEB22C9">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演绎负责人：</w:t>
            </w:r>
          </w:p>
        </w:tc>
        <w:tc>
          <w:tcPr>
            <w:tcW w:w="1150" w:type="dxa"/>
            <w:noWrap/>
            <w:vAlign w:val="bottom"/>
          </w:tcPr>
          <w:p w14:paraId="3AA25149">
            <w:pPr>
              <w:widowControl/>
              <w:jc w:val="left"/>
              <w:rPr>
                <w:rFonts w:hint="eastAsia" w:ascii="宋体" w:hAnsi="宋体" w:eastAsia="宋体" w:cs="宋体"/>
                <w:color w:val="auto"/>
                <w:kern w:val="0"/>
                <w:sz w:val="22"/>
                <w:highlight w:val="none"/>
              </w:rPr>
            </w:pPr>
          </w:p>
        </w:tc>
        <w:tc>
          <w:tcPr>
            <w:tcW w:w="5851" w:type="dxa"/>
            <w:gridSpan w:val="7"/>
            <w:noWrap/>
            <w:vAlign w:val="bottom"/>
          </w:tcPr>
          <w:p w14:paraId="0015365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highlight w:val="none"/>
              </w:rPr>
              <w:t>部门经理：</w:t>
            </w:r>
          </w:p>
        </w:tc>
      </w:tr>
      <w:tr w14:paraId="72A7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182" w:type="dxa"/>
            <w:gridSpan w:val="2"/>
            <w:noWrap/>
            <w:vAlign w:val="bottom"/>
          </w:tcPr>
          <w:p w14:paraId="222625A4">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w:t>
            </w:r>
          </w:p>
        </w:tc>
        <w:tc>
          <w:tcPr>
            <w:tcW w:w="1150" w:type="dxa"/>
            <w:noWrap/>
            <w:vAlign w:val="bottom"/>
          </w:tcPr>
          <w:p w14:paraId="2C7EDB32">
            <w:pPr>
              <w:widowControl/>
              <w:jc w:val="left"/>
              <w:rPr>
                <w:rFonts w:hint="eastAsia" w:ascii="宋体" w:hAnsi="宋体" w:eastAsia="宋体" w:cs="宋体"/>
                <w:color w:val="auto"/>
                <w:kern w:val="0"/>
                <w:sz w:val="22"/>
                <w:highlight w:val="none"/>
              </w:rPr>
            </w:pPr>
          </w:p>
        </w:tc>
        <w:tc>
          <w:tcPr>
            <w:tcW w:w="5851" w:type="dxa"/>
            <w:gridSpan w:val="7"/>
            <w:noWrap/>
            <w:vAlign w:val="bottom"/>
          </w:tcPr>
          <w:p w14:paraId="19ABE61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highlight w:val="none"/>
              </w:rPr>
              <w:t>日期：</w:t>
            </w:r>
          </w:p>
        </w:tc>
      </w:tr>
    </w:tbl>
    <w:p w14:paraId="60758B72">
      <w:pPr>
        <w:pStyle w:val="16"/>
        <w:ind w:left="0" w:leftChars="0" w:firstLine="0" w:firstLineChars="0"/>
        <w:rPr>
          <w:rFonts w:hint="eastAsia" w:ascii="宋体" w:hAnsi="宋体" w:eastAsia="宋体" w:cs="宋体"/>
          <w:color w:val="auto"/>
          <w:sz w:val="24"/>
          <w:szCs w:val="24"/>
          <w:highlight w:val="none"/>
        </w:rPr>
      </w:pPr>
    </w:p>
    <w:p w14:paraId="68B614F4">
      <w:pPr>
        <w:pStyle w:val="16"/>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t>附件三：《演艺服务管理考核办法》</w:t>
      </w:r>
    </w:p>
    <w:p w14:paraId="2C4ED3F2">
      <w:pPr>
        <w:jc w:val="center"/>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t>演艺团队管理考核办法</w:t>
      </w:r>
    </w:p>
    <w:p w14:paraId="6725B5B1">
      <w:pPr>
        <w:jc w:val="center"/>
        <w:rPr>
          <w:rFonts w:hint="eastAsia" w:ascii="宋体" w:hAnsi="宋体" w:eastAsia="宋体" w:cs="宋体"/>
          <w:b/>
          <w:bCs/>
          <w:color w:val="auto"/>
          <w:sz w:val="24"/>
          <w:szCs w:val="24"/>
          <w:highlight w:val="none"/>
        </w:rPr>
      </w:pPr>
    </w:p>
    <w:p w14:paraId="2CB82BC8">
      <w:pPr>
        <w:numPr>
          <w:ilvl w:val="0"/>
          <w:numId w:val="3"/>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目的</w:t>
      </w:r>
    </w:p>
    <w:p w14:paraId="30746163">
      <w:pPr>
        <w:numPr>
          <w:ilvl w:val="0"/>
          <w:numId w:val="4"/>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为规范“濠河夜画”项目演员的统一管理，确保演艺团队管理秩序有序进行开展，规范对外品牌演艺形象管理的整体性、统一性。</w:t>
      </w:r>
    </w:p>
    <w:p w14:paraId="7BC8E29C">
      <w:pPr>
        <w:numPr>
          <w:ilvl w:val="0"/>
          <w:numId w:val="4"/>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为使演艺单位管理规范化、标准化，帮助合作单位提高整体管理水平、提升演艺人员自身工作技巧及专业能力，从而有效提升合作单位的整体经营品牌形象。 </w:t>
      </w:r>
    </w:p>
    <w:p w14:paraId="64AA7E18">
      <w:pPr>
        <w:numPr>
          <w:ilvl w:val="0"/>
          <w:numId w:val="3"/>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适用范围</w:t>
      </w:r>
    </w:p>
    <w:p w14:paraId="7BB44FA2">
      <w:pP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适用于演艺合作单位</w:t>
      </w:r>
      <w:r>
        <w:rPr>
          <w:rFonts w:hint="eastAsia" w:ascii="宋体" w:hAnsi="宋体" w:eastAsia="宋体" w:cs="宋体"/>
          <w:color w:val="auto"/>
          <w:sz w:val="24"/>
          <w:szCs w:val="24"/>
          <w:highlight w:val="none"/>
          <w:lang w:eastAsia="zh-CN"/>
        </w:rPr>
        <w:t>及其参与本项目的</w:t>
      </w:r>
      <w:r>
        <w:rPr>
          <w:rFonts w:hint="eastAsia" w:ascii="宋体" w:hAnsi="宋体" w:eastAsia="宋体" w:cs="宋体"/>
          <w:color w:val="auto"/>
          <w:sz w:val="24"/>
          <w:szCs w:val="24"/>
          <w:highlight w:val="none"/>
        </w:rPr>
        <w:t>演艺团队</w:t>
      </w:r>
      <w:r>
        <w:rPr>
          <w:rFonts w:hint="eastAsia" w:ascii="宋体" w:hAnsi="宋体" w:eastAsia="宋体" w:cs="宋体"/>
          <w:color w:val="auto"/>
          <w:sz w:val="24"/>
          <w:szCs w:val="24"/>
          <w:highlight w:val="none"/>
          <w:lang w:eastAsia="zh-CN"/>
        </w:rPr>
        <w:t>成员</w:t>
      </w:r>
      <w:r>
        <w:rPr>
          <w:rFonts w:hint="eastAsia" w:ascii="宋体" w:hAnsi="宋体" w:eastAsia="宋体" w:cs="宋体"/>
          <w:color w:val="auto"/>
          <w:sz w:val="24"/>
          <w:szCs w:val="24"/>
          <w:highlight w:val="none"/>
        </w:rPr>
        <w:t>。</w:t>
      </w:r>
    </w:p>
    <w:p w14:paraId="4F5FEFCA">
      <w:pPr>
        <w:numPr>
          <w:ilvl w:val="0"/>
          <w:numId w:val="3"/>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管理办法</w:t>
      </w:r>
    </w:p>
    <w:p w14:paraId="2E7EEEA0">
      <w:pPr>
        <w:numPr>
          <w:ilvl w:val="0"/>
          <w:numId w:val="5"/>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制定考核标准：（详见附件）</w:t>
      </w:r>
    </w:p>
    <w:p w14:paraId="56954C96">
      <w:pPr>
        <w:numPr>
          <w:ilvl w:val="0"/>
          <w:numId w:val="5"/>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考核方式</w:t>
      </w:r>
    </w:p>
    <w:p w14:paraId="1E9074FC">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2.1成立合作单位管理小组（以下简称管理小组），专职负责演艺团队的演艺效果、服化道、安全以及日常排练管理工作的督导。</w:t>
      </w:r>
    </w:p>
    <w:p w14:paraId="26E49C8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2.1.1管理小组架构</w:t>
      </w:r>
    </w:p>
    <w:p w14:paraId="2B558444">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组长：</w:t>
      </w:r>
    </w:p>
    <w:p w14:paraId="0ABFF867">
      <w:pP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副组长：</w:t>
      </w:r>
    </w:p>
    <w:p w14:paraId="01A936C7">
      <w:pP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p>
    <w:p w14:paraId="53A71BFA">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2.1.2管理小组职责</w:t>
      </w:r>
    </w:p>
    <w:p w14:paraId="4CE91BB0">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管理小组组长</w:t>
      </w:r>
    </w:p>
    <w:p w14:paraId="25D81A63">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负责审核合作单位管理办法及考核结果的批示。</w:t>
      </w:r>
    </w:p>
    <w:p w14:paraId="6E790D92">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负责最终处理合作单位管理办法考核申诉。</w:t>
      </w:r>
    </w:p>
    <w:p w14:paraId="350A906D">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副组长</w:t>
      </w:r>
    </w:p>
    <w:p w14:paraId="71537F22">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负责对考核过程进行监督及检查。</w:t>
      </w:r>
    </w:p>
    <w:p w14:paraId="2B413DE1">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对考核过程中不规范行为进行纠正及处罚。</w:t>
      </w:r>
    </w:p>
    <w:p w14:paraId="00EFA467">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组织实施演艺合作单位管理办法考核工作。</w:t>
      </w:r>
    </w:p>
    <w:p w14:paraId="0482B7B9">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对各项考核进行指导，并为演艺合作单位提供相关咨询。</w:t>
      </w:r>
    </w:p>
    <w:p w14:paraId="25CEDF72">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小组成员</w:t>
      </w:r>
    </w:p>
    <w:p w14:paraId="0C5ECFF9">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负责制订考核细则并进行申报审批。</w:t>
      </w:r>
    </w:p>
    <w:p w14:paraId="2C5D3672">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对各项考核工作进行落实。</w:t>
      </w:r>
    </w:p>
    <w:p w14:paraId="0EFE9157">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对考核工作情况进行汇报及通报。</w:t>
      </w:r>
    </w:p>
    <w:p w14:paraId="571A713C">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统计汇总演艺合作单位考核评分结果。</w:t>
      </w:r>
    </w:p>
    <w:p w14:paraId="2C76FCF4">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2.2管理小组根据合作考核标准每周定时、不定时或者提前通知的形式对各合作单位进行检查，并根据检查结果填写考核记录表。</w:t>
      </w:r>
    </w:p>
    <w:p w14:paraId="6BD2D8E1">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2.3管理小组检查结果以书面整改通知书形式进行通报，合作单位根据整改通知书内容进行整改落实。</w:t>
      </w:r>
    </w:p>
    <w:p w14:paraId="12D73171">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2.3管理小组每月30日前根据考核记录表完成综合考核平均分数核算。</w:t>
      </w:r>
    </w:p>
    <w:p w14:paraId="64907FB6">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2.4管理小组于次月3日前完成考核结果的审批，并对合作单位进行公示。</w:t>
      </w:r>
    </w:p>
    <w:p w14:paraId="168043C9">
      <w:pPr>
        <w:numPr>
          <w:ilvl w:val="0"/>
          <w:numId w:val="5"/>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考核周期</w:t>
      </w:r>
    </w:p>
    <w:p w14:paraId="51B52141">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演艺合作单位考核为月度考核。</w:t>
      </w:r>
    </w:p>
    <w:p w14:paraId="2CC98D09">
      <w:pPr>
        <w:numPr>
          <w:ilvl w:val="0"/>
          <w:numId w:val="5"/>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考核指标</w:t>
      </w:r>
    </w:p>
    <w:p w14:paraId="4B34649E">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各合作单位考核内容包括排练室卫生管理、现场演艺安全管理、演艺质量、演艺团队服化道管理四个指标，具体考核指标及权重详见下表：</w:t>
      </w:r>
    </w:p>
    <w:tbl>
      <w:tblPr>
        <w:tblStyle w:val="18"/>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850"/>
        <w:gridCol w:w="2835"/>
        <w:gridCol w:w="2274"/>
        <w:gridCol w:w="1314"/>
      </w:tblGrid>
      <w:tr w14:paraId="0239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9" w:type="dxa"/>
            <w:vAlign w:val="center"/>
          </w:tcPr>
          <w:p w14:paraId="38AD064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w:t>
            </w:r>
          </w:p>
          <w:p w14:paraId="3404CCC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w:t>
            </w:r>
          </w:p>
        </w:tc>
        <w:tc>
          <w:tcPr>
            <w:tcW w:w="850" w:type="dxa"/>
            <w:vAlign w:val="center"/>
          </w:tcPr>
          <w:p w14:paraId="3730BDC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2835" w:type="dxa"/>
            <w:vAlign w:val="center"/>
          </w:tcPr>
          <w:p w14:paraId="63EDE3D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内容说明</w:t>
            </w:r>
          </w:p>
        </w:tc>
        <w:tc>
          <w:tcPr>
            <w:tcW w:w="2274" w:type="dxa"/>
            <w:vAlign w:val="center"/>
          </w:tcPr>
          <w:p w14:paraId="384BB4A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考核方式</w:t>
            </w:r>
          </w:p>
        </w:tc>
        <w:tc>
          <w:tcPr>
            <w:tcW w:w="1314" w:type="dxa"/>
            <w:vAlign w:val="center"/>
          </w:tcPr>
          <w:p w14:paraId="4B5E78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考核主体</w:t>
            </w:r>
          </w:p>
        </w:tc>
      </w:tr>
      <w:tr w14:paraId="4600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49" w:type="dxa"/>
            <w:vAlign w:val="center"/>
          </w:tcPr>
          <w:p w14:paraId="4FBA38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w:t>
            </w:r>
          </w:p>
          <w:p w14:paraId="6A7A23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w:t>
            </w:r>
          </w:p>
        </w:tc>
        <w:tc>
          <w:tcPr>
            <w:tcW w:w="850" w:type="dxa"/>
            <w:vAlign w:val="center"/>
          </w:tcPr>
          <w:p w14:paraId="6AAC9E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835" w:type="dxa"/>
            <w:vAlign w:val="center"/>
          </w:tcPr>
          <w:p w14:paraId="7B3FF5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员工的个人卫生情况；</w:t>
            </w:r>
          </w:p>
          <w:p w14:paraId="5FC5EA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排练室环境卫生的情况；</w:t>
            </w:r>
          </w:p>
          <w:p w14:paraId="46AF00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现场演艺点及服化道卫生情况。</w:t>
            </w:r>
          </w:p>
        </w:tc>
        <w:tc>
          <w:tcPr>
            <w:tcW w:w="2274" w:type="dxa"/>
            <w:vAlign w:val="center"/>
          </w:tcPr>
          <w:p w14:paraId="42A3DA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基础分10分：</w:t>
            </w:r>
          </w:p>
          <w:p w14:paraId="22F616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根据现场检查情况，参照考核标准进行相应扣分。</w:t>
            </w:r>
          </w:p>
        </w:tc>
        <w:tc>
          <w:tcPr>
            <w:tcW w:w="1314" w:type="dxa"/>
            <w:vMerge w:val="restart"/>
            <w:vAlign w:val="center"/>
          </w:tcPr>
          <w:p w14:paraId="55D420F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合作单位管理小组</w:t>
            </w:r>
          </w:p>
        </w:tc>
      </w:tr>
      <w:tr w14:paraId="3A69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49" w:type="dxa"/>
            <w:vAlign w:val="center"/>
          </w:tcPr>
          <w:p w14:paraId="34CE9F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w:t>
            </w:r>
          </w:p>
          <w:p w14:paraId="1B27DD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w:t>
            </w:r>
          </w:p>
        </w:tc>
        <w:tc>
          <w:tcPr>
            <w:tcW w:w="850" w:type="dxa"/>
            <w:vAlign w:val="center"/>
          </w:tcPr>
          <w:p w14:paraId="63737A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2835" w:type="dxa"/>
            <w:vAlign w:val="center"/>
          </w:tcPr>
          <w:p w14:paraId="60427D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工作人员的安全意识及现场演绎安全操作流程；</w:t>
            </w:r>
          </w:p>
          <w:p w14:paraId="71E1E4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消防安全管理。</w:t>
            </w:r>
          </w:p>
        </w:tc>
        <w:tc>
          <w:tcPr>
            <w:tcW w:w="2274" w:type="dxa"/>
            <w:vAlign w:val="center"/>
          </w:tcPr>
          <w:p w14:paraId="0212EA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基础分40分：</w:t>
            </w:r>
          </w:p>
          <w:p w14:paraId="2AC4D2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根据现场检查情况以及现场问答方式进行，参照考核标准进行相应扣分。</w:t>
            </w:r>
          </w:p>
        </w:tc>
        <w:tc>
          <w:tcPr>
            <w:tcW w:w="1314" w:type="dxa"/>
            <w:vMerge w:val="continue"/>
            <w:vAlign w:val="center"/>
          </w:tcPr>
          <w:p w14:paraId="5BBE9BBA">
            <w:pPr>
              <w:ind w:firstLine="480"/>
              <w:jc w:val="center"/>
              <w:rPr>
                <w:rFonts w:hint="eastAsia" w:ascii="宋体" w:hAnsi="宋体" w:eastAsia="宋体" w:cs="宋体"/>
                <w:color w:val="auto"/>
                <w:sz w:val="24"/>
                <w:szCs w:val="24"/>
                <w:highlight w:val="none"/>
              </w:rPr>
            </w:pPr>
          </w:p>
        </w:tc>
      </w:tr>
      <w:tr w14:paraId="511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49" w:type="dxa"/>
            <w:vAlign w:val="center"/>
          </w:tcPr>
          <w:p w14:paraId="5EFD30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演艺</w:t>
            </w:r>
          </w:p>
          <w:p w14:paraId="6A54D7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w:t>
            </w:r>
          </w:p>
        </w:tc>
        <w:tc>
          <w:tcPr>
            <w:tcW w:w="850" w:type="dxa"/>
            <w:vAlign w:val="center"/>
          </w:tcPr>
          <w:p w14:paraId="53D21F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2835" w:type="dxa"/>
            <w:vAlign w:val="center"/>
          </w:tcPr>
          <w:p w14:paraId="3F0FFB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演艺人员的工作态度；</w:t>
            </w:r>
          </w:p>
          <w:p w14:paraId="632D2A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演艺人员的演艺饱满度；</w:t>
            </w:r>
          </w:p>
          <w:p w14:paraId="56BEFA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演艺人员的工作纪律；</w:t>
            </w:r>
          </w:p>
          <w:p w14:paraId="7792E8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游客观感投诉反馈。</w:t>
            </w:r>
          </w:p>
        </w:tc>
        <w:tc>
          <w:tcPr>
            <w:tcW w:w="2274" w:type="dxa"/>
            <w:vAlign w:val="center"/>
          </w:tcPr>
          <w:p w14:paraId="59F9D6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基础分40分：</w:t>
            </w:r>
          </w:p>
          <w:p w14:paraId="60B4C6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根据现场检查情况以及现场问答方式进行，参照考核标准进行相应扣分。</w:t>
            </w:r>
          </w:p>
        </w:tc>
        <w:tc>
          <w:tcPr>
            <w:tcW w:w="1314" w:type="dxa"/>
            <w:vMerge w:val="continue"/>
            <w:vAlign w:val="center"/>
          </w:tcPr>
          <w:p w14:paraId="1239DE97">
            <w:pPr>
              <w:ind w:firstLine="480"/>
              <w:jc w:val="center"/>
              <w:rPr>
                <w:rFonts w:hint="eastAsia" w:ascii="宋体" w:hAnsi="宋体" w:eastAsia="宋体" w:cs="宋体"/>
                <w:color w:val="auto"/>
                <w:sz w:val="24"/>
                <w:szCs w:val="24"/>
                <w:highlight w:val="none"/>
              </w:rPr>
            </w:pPr>
          </w:p>
        </w:tc>
      </w:tr>
      <w:tr w14:paraId="0F0D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749" w:type="dxa"/>
            <w:vAlign w:val="center"/>
          </w:tcPr>
          <w:p w14:paraId="608B57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服化道</w:t>
            </w:r>
          </w:p>
          <w:p w14:paraId="5C9EA2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w:t>
            </w:r>
          </w:p>
        </w:tc>
        <w:tc>
          <w:tcPr>
            <w:tcW w:w="850" w:type="dxa"/>
            <w:vAlign w:val="center"/>
          </w:tcPr>
          <w:p w14:paraId="4CD615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835" w:type="dxa"/>
            <w:vAlign w:val="center"/>
          </w:tcPr>
          <w:p w14:paraId="4C1173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服装管理；</w:t>
            </w:r>
          </w:p>
          <w:p w14:paraId="548EF2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道具管理。</w:t>
            </w:r>
          </w:p>
          <w:p w14:paraId="0B0B95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化妆管理</w:t>
            </w:r>
          </w:p>
        </w:tc>
        <w:tc>
          <w:tcPr>
            <w:tcW w:w="2274" w:type="dxa"/>
            <w:vAlign w:val="center"/>
          </w:tcPr>
          <w:p w14:paraId="567993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基础分10分：</w:t>
            </w:r>
          </w:p>
          <w:p w14:paraId="11298D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根据现场检查情况以及现场抽查方式进行，参照考核标准进行相应扣分。</w:t>
            </w:r>
          </w:p>
        </w:tc>
        <w:tc>
          <w:tcPr>
            <w:tcW w:w="1314" w:type="dxa"/>
            <w:vMerge w:val="continue"/>
            <w:vAlign w:val="center"/>
          </w:tcPr>
          <w:p w14:paraId="021F8A6A">
            <w:pPr>
              <w:ind w:firstLine="480"/>
              <w:jc w:val="center"/>
              <w:rPr>
                <w:rFonts w:hint="eastAsia" w:ascii="宋体" w:hAnsi="宋体" w:eastAsia="宋体" w:cs="宋体"/>
                <w:color w:val="auto"/>
                <w:sz w:val="24"/>
                <w:szCs w:val="24"/>
                <w:highlight w:val="none"/>
              </w:rPr>
            </w:pPr>
          </w:p>
        </w:tc>
      </w:tr>
    </w:tbl>
    <w:p w14:paraId="1B04DF7C">
      <w:pPr>
        <w:rPr>
          <w:rFonts w:hint="eastAsia" w:ascii="宋体" w:hAnsi="宋体" w:eastAsia="宋体" w:cs="宋体"/>
          <w:color w:val="auto"/>
          <w:sz w:val="24"/>
          <w:szCs w:val="24"/>
          <w:highlight w:val="none"/>
        </w:rPr>
      </w:pPr>
    </w:p>
    <w:p w14:paraId="24FE55A4">
      <w:pPr>
        <w:numPr>
          <w:ilvl w:val="0"/>
          <w:numId w:val="5"/>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考核结果运用</w:t>
      </w:r>
    </w:p>
    <w:p w14:paraId="4C2833E4">
      <w:pPr>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5.1考核系数</w:t>
      </w:r>
    </w:p>
    <w:p w14:paraId="3D5B9E53">
      <w:pPr>
        <w:widowControl/>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5.1.1</w:t>
      </w:r>
      <w:r>
        <w:rPr>
          <w:rFonts w:hint="eastAsia" w:ascii="宋体" w:hAnsi="宋体" w:eastAsia="宋体" w:cs="宋体"/>
          <w:color w:val="auto"/>
          <w:kern w:val="0"/>
          <w:sz w:val="24"/>
          <w:szCs w:val="24"/>
          <w:highlight w:val="none"/>
          <w:lang w:bidi="ar"/>
        </w:rPr>
        <w:t>考核分数是考核结果的直接体现，演艺合作单位的考核结果均以考核分数的方式呈现。</w:t>
      </w:r>
    </w:p>
    <w:p w14:paraId="7ED5B096">
      <w:pPr>
        <w:widowControl/>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5.1.2考核分数对应不同的奖惩系数，并与演艺合作单位的各期奖惩金额挂钩。</w:t>
      </w:r>
    </w:p>
    <w:p w14:paraId="653F9094">
      <w:pPr>
        <w:widowControl/>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5.1.3考核分数、</w:t>
      </w:r>
      <w:r>
        <w:rPr>
          <w:rFonts w:hint="eastAsia" w:ascii="宋体" w:hAnsi="宋体" w:eastAsia="宋体" w:cs="宋体"/>
          <w:color w:val="auto"/>
          <w:sz w:val="24"/>
          <w:szCs w:val="24"/>
          <w:highlight w:val="none"/>
        </w:rPr>
        <w:t>罚扣</w:t>
      </w:r>
      <w:r>
        <w:rPr>
          <w:rFonts w:hint="eastAsia" w:ascii="宋体" w:hAnsi="宋体" w:eastAsia="宋体" w:cs="宋体"/>
          <w:color w:val="auto"/>
          <w:kern w:val="0"/>
          <w:sz w:val="24"/>
          <w:szCs w:val="24"/>
          <w:highlight w:val="none"/>
          <w:lang w:bidi="ar"/>
        </w:rPr>
        <w:t>金额系数关系详见《考核得分与奖惩金额对照表》</w:t>
      </w:r>
    </w:p>
    <w:p w14:paraId="529A5C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考核得分与奖惩金额对照表</w:t>
      </w:r>
    </w:p>
    <w:tbl>
      <w:tblPr>
        <w:tblStyle w:val="18"/>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2115"/>
        <w:gridCol w:w="2250"/>
        <w:gridCol w:w="2280"/>
      </w:tblGrid>
      <w:tr w14:paraId="294B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Align w:val="center"/>
          </w:tcPr>
          <w:p w14:paraId="06EBBDCD">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考核等级</w:t>
            </w:r>
          </w:p>
        </w:tc>
        <w:tc>
          <w:tcPr>
            <w:tcW w:w="2115" w:type="dxa"/>
            <w:vAlign w:val="center"/>
          </w:tcPr>
          <w:p w14:paraId="1CDD22D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C级-不合格</w:t>
            </w:r>
          </w:p>
        </w:tc>
        <w:tc>
          <w:tcPr>
            <w:tcW w:w="2250" w:type="dxa"/>
            <w:vAlign w:val="center"/>
          </w:tcPr>
          <w:p w14:paraId="6A8D48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B级-合格</w:t>
            </w:r>
          </w:p>
        </w:tc>
        <w:tc>
          <w:tcPr>
            <w:tcW w:w="2280" w:type="dxa"/>
            <w:vAlign w:val="center"/>
          </w:tcPr>
          <w:p w14:paraId="4910EC7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A级-优秀</w:t>
            </w:r>
          </w:p>
        </w:tc>
      </w:tr>
      <w:tr w14:paraId="6F5F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Align w:val="center"/>
          </w:tcPr>
          <w:p w14:paraId="4E5BD159">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考核得分</w:t>
            </w:r>
          </w:p>
        </w:tc>
        <w:tc>
          <w:tcPr>
            <w:tcW w:w="2115" w:type="dxa"/>
            <w:vAlign w:val="center"/>
          </w:tcPr>
          <w:p w14:paraId="337B27A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60分以下</w:t>
            </w:r>
          </w:p>
        </w:tc>
        <w:tc>
          <w:tcPr>
            <w:tcW w:w="2250" w:type="dxa"/>
            <w:vAlign w:val="center"/>
          </w:tcPr>
          <w:p w14:paraId="16AD608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r>
              <w:rPr>
                <w:rFonts w:hint="eastAsia" w:ascii="宋体" w:hAnsi="宋体" w:eastAsia="宋体" w:cs="宋体"/>
                <w:color w:val="auto"/>
                <w:sz w:val="24"/>
                <w:szCs w:val="24"/>
                <w:highlight w:val="none"/>
                <w:u w:val="single"/>
              </w:rPr>
              <w:t>&lt;</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u w:val="single"/>
              </w:rPr>
              <w:t>&lt;</w:t>
            </w:r>
            <w:r>
              <w:rPr>
                <w:rFonts w:hint="eastAsia" w:ascii="宋体" w:hAnsi="宋体" w:eastAsia="宋体" w:cs="宋体"/>
                <w:color w:val="auto"/>
                <w:sz w:val="24"/>
                <w:szCs w:val="24"/>
                <w:highlight w:val="none"/>
              </w:rPr>
              <w:t>85</w:t>
            </w:r>
          </w:p>
        </w:tc>
        <w:tc>
          <w:tcPr>
            <w:tcW w:w="2280" w:type="dxa"/>
            <w:vAlign w:val="center"/>
          </w:tcPr>
          <w:p w14:paraId="145DD91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w:t>
            </w:r>
            <w:r>
              <w:rPr>
                <w:rFonts w:hint="eastAsia" w:ascii="宋体" w:hAnsi="宋体" w:eastAsia="宋体" w:cs="宋体"/>
                <w:color w:val="auto"/>
                <w:sz w:val="24"/>
                <w:szCs w:val="24"/>
                <w:highlight w:val="none"/>
                <w:u w:val="single"/>
              </w:rPr>
              <w:t>&lt;</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u w:val="single"/>
              </w:rPr>
              <w:t>&lt;</w:t>
            </w:r>
            <w:r>
              <w:rPr>
                <w:rFonts w:hint="eastAsia" w:ascii="宋体" w:hAnsi="宋体" w:eastAsia="宋体" w:cs="宋体"/>
                <w:color w:val="auto"/>
                <w:sz w:val="24"/>
                <w:szCs w:val="24"/>
                <w:highlight w:val="none"/>
              </w:rPr>
              <w:t>95</w:t>
            </w:r>
          </w:p>
        </w:tc>
      </w:tr>
      <w:tr w14:paraId="7D7B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vAlign w:val="center"/>
          </w:tcPr>
          <w:p w14:paraId="2C099B48">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罚扣标准</w:t>
            </w:r>
          </w:p>
        </w:tc>
        <w:tc>
          <w:tcPr>
            <w:tcW w:w="2115" w:type="dxa"/>
            <w:vAlign w:val="center"/>
          </w:tcPr>
          <w:p w14:paraId="0796DDB8">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1000元</w:t>
            </w:r>
            <w:r>
              <w:rPr>
                <w:rFonts w:hint="eastAsia" w:ascii="宋体" w:hAnsi="宋体" w:eastAsia="宋体" w:cs="宋体"/>
                <w:color w:val="auto"/>
                <w:sz w:val="24"/>
                <w:szCs w:val="24"/>
                <w:highlight w:val="none"/>
                <w:lang w:val="en-US" w:eastAsia="zh-CN"/>
              </w:rPr>
              <w:t>/人/月</w:t>
            </w:r>
          </w:p>
        </w:tc>
        <w:tc>
          <w:tcPr>
            <w:tcW w:w="2250" w:type="dxa"/>
            <w:vAlign w:val="center"/>
          </w:tcPr>
          <w:p w14:paraId="41C497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500元</w:t>
            </w:r>
            <w:r>
              <w:rPr>
                <w:rFonts w:hint="eastAsia" w:ascii="宋体" w:hAnsi="宋体" w:eastAsia="宋体" w:cs="宋体"/>
                <w:color w:val="auto"/>
                <w:sz w:val="24"/>
                <w:szCs w:val="24"/>
                <w:highlight w:val="none"/>
                <w:lang w:val="en-US" w:eastAsia="zh-CN"/>
              </w:rPr>
              <w:t>/人/月</w:t>
            </w:r>
          </w:p>
        </w:tc>
        <w:tc>
          <w:tcPr>
            <w:tcW w:w="2280" w:type="dxa"/>
            <w:vAlign w:val="center"/>
          </w:tcPr>
          <w:p w14:paraId="2DE321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0元</w:t>
            </w:r>
            <w:r>
              <w:rPr>
                <w:rFonts w:hint="eastAsia" w:ascii="宋体" w:hAnsi="宋体" w:eastAsia="宋体" w:cs="宋体"/>
                <w:color w:val="auto"/>
                <w:sz w:val="24"/>
                <w:szCs w:val="24"/>
                <w:highlight w:val="none"/>
                <w:lang w:val="en-US" w:eastAsia="zh-CN"/>
              </w:rPr>
              <w:t>/人/月</w:t>
            </w:r>
          </w:p>
        </w:tc>
      </w:tr>
    </w:tbl>
    <w:p w14:paraId="7B465D15">
      <w:pP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5.2其他措施</w:t>
      </w:r>
    </w:p>
    <w:p w14:paraId="7678A73A">
      <w:pP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5.2.1连续两个月考核分数为“C级-不合格”者，公司将在原有的惩处标准的基础上再处以1000元罚金。</w:t>
      </w:r>
    </w:p>
    <w:p w14:paraId="572B8A74">
      <w:pP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5.2.2连续三个月考核分数为“C级-不合格”者，公司将在原有的惩处标准的基础上再处以2000元罚金并责令演员停演整顿。</w:t>
      </w:r>
    </w:p>
    <w:p w14:paraId="3C6B737C">
      <w:pPr>
        <w:ind w:left="692" w:left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w:t>
      </w:r>
      <w:r>
        <w:rPr>
          <w:rFonts w:hint="eastAsia" w:ascii="宋体" w:hAnsi="宋体" w:eastAsia="宋体" w:cs="宋体"/>
          <w:color w:val="auto"/>
          <w:sz w:val="24"/>
          <w:szCs w:val="24"/>
          <w:highlight w:val="none"/>
          <w:lang w:eastAsia="zh-CN"/>
        </w:rPr>
        <w:t>出现</w:t>
      </w:r>
      <w:r>
        <w:rPr>
          <w:rFonts w:hint="eastAsia" w:ascii="宋体" w:hAnsi="宋体" w:eastAsia="宋体" w:cs="宋体"/>
          <w:color w:val="auto"/>
          <w:sz w:val="24"/>
          <w:szCs w:val="24"/>
          <w:highlight w:val="none"/>
        </w:rPr>
        <w:t>连续4个月考核分数为“C级-不合格”者，公司有权与该演艺合作单位解除合作合同。</w:t>
      </w:r>
    </w:p>
    <w:p w14:paraId="013A32BE">
      <w:pPr>
        <w:numPr>
          <w:ilvl w:val="0"/>
          <w:numId w:val="3"/>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考核申诉</w:t>
      </w:r>
    </w:p>
    <w:p w14:paraId="30B95C92">
      <w:pPr>
        <w:numPr>
          <w:ilvl w:val="0"/>
          <w:numId w:val="6"/>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申诉的基础规定</w:t>
      </w:r>
    </w:p>
    <w:p w14:paraId="59FD8405">
      <w:pPr>
        <w:widowControl/>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在考核过程中，被考核单位如认为受不公平对待对考核结果存在争议，可在绩效考核结果公示后3个工作日内向组长进行申诉。</w:t>
      </w:r>
    </w:p>
    <w:p w14:paraId="6DBE88A2">
      <w:pPr>
        <w:widowControl/>
        <w:numPr>
          <w:ilvl w:val="0"/>
          <w:numId w:val="6"/>
        </w:numPr>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申诉处理及反馈</w:t>
      </w:r>
    </w:p>
    <w:p w14:paraId="418CA05E">
      <w:pPr>
        <w:widowControl/>
        <w:ind w:left="56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组长在收到申诉后，组织召开申诉单位、管理小组参加的考核评审会议，根据考核依据确认考核结果。</w:t>
      </w:r>
    </w:p>
    <w:p w14:paraId="4AF1172E">
      <w:pPr>
        <w:numPr>
          <w:ilvl w:val="0"/>
          <w:numId w:val="3"/>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附则</w:t>
      </w:r>
    </w:p>
    <w:p w14:paraId="1E13222B">
      <w:pPr>
        <w:widowControl/>
        <w:numPr>
          <w:ilvl w:val="0"/>
          <w:numId w:val="7"/>
        </w:numPr>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本管理办法由</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有限公司制订、修订及解释。</w:t>
      </w:r>
    </w:p>
    <w:p w14:paraId="5F129905">
      <w:pPr>
        <w:widowControl/>
        <w:numPr>
          <w:ilvl w:val="0"/>
          <w:numId w:val="7"/>
        </w:num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本办法自下发之日起试行半年，半年后根据需要进行调整，如无修订则延续。</w:t>
      </w:r>
    </w:p>
    <w:p w14:paraId="67854701">
      <w:pPr>
        <w:widowControl/>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p>
    <w:p w14:paraId="7F01EAAB">
      <w:pPr>
        <w:widowControl/>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附件1《合作单位考核表》</w:t>
      </w:r>
    </w:p>
    <w:p w14:paraId="0794A540">
      <w:pPr>
        <w:widowControl/>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附件2《合作单位考核标准》</w:t>
      </w:r>
    </w:p>
    <w:p w14:paraId="6C9436EE">
      <w:pPr>
        <w:widowControl/>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附件3《整改通知书》</w:t>
      </w:r>
    </w:p>
    <w:p w14:paraId="0D0C2886">
      <w:pPr>
        <w:widowControl/>
        <w:ind w:firstLine="560"/>
        <w:jc w:val="left"/>
        <w:rPr>
          <w:rFonts w:hint="eastAsia" w:ascii="宋体" w:hAnsi="宋体" w:eastAsia="宋体" w:cs="宋体"/>
          <w:color w:val="auto"/>
          <w:sz w:val="24"/>
          <w:szCs w:val="24"/>
          <w:highlight w:val="none"/>
        </w:rPr>
      </w:pPr>
    </w:p>
    <w:p w14:paraId="267B4B10">
      <w:pPr>
        <w:widowControl/>
        <w:ind w:firstLine="560"/>
        <w:jc w:val="left"/>
        <w:rPr>
          <w:rFonts w:hint="eastAsia" w:ascii="宋体" w:hAnsi="宋体" w:eastAsia="宋体" w:cs="宋体"/>
          <w:color w:val="auto"/>
          <w:sz w:val="24"/>
          <w:szCs w:val="24"/>
          <w:highlight w:val="none"/>
        </w:rPr>
      </w:pPr>
    </w:p>
    <w:p w14:paraId="62FB68FF">
      <w:pPr>
        <w:widowControl/>
        <w:ind w:firstLine="560"/>
        <w:jc w:val="left"/>
        <w:rPr>
          <w:rFonts w:hint="eastAsia" w:ascii="宋体" w:hAnsi="宋体" w:eastAsia="宋体" w:cs="宋体"/>
          <w:color w:val="auto"/>
          <w:sz w:val="24"/>
          <w:szCs w:val="24"/>
          <w:highlight w:val="none"/>
        </w:rPr>
      </w:pPr>
    </w:p>
    <w:p w14:paraId="61F7E3B7">
      <w:pPr>
        <w:widowControl/>
        <w:tabs>
          <w:tab w:val="left" w:pos="6001"/>
        </w:tabs>
        <w:ind w:firstLine="6148" w:firstLineChars="256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7DE7BE97">
      <w:pPr>
        <w:widowControl/>
        <w:ind w:firstLine="560"/>
        <w:jc w:val="left"/>
        <w:rPr>
          <w:rFonts w:hint="eastAsia" w:ascii="宋体" w:hAnsi="宋体" w:eastAsia="宋体" w:cs="宋体"/>
          <w:color w:val="auto"/>
          <w:sz w:val="24"/>
          <w:szCs w:val="24"/>
          <w:highlight w:val="none"/>
        </w:rPr>
      </w:pPr>
    </w:p>
    <w:p w14:paraId="3E87A243">
      <w:pPr>
        <w:widowControl/>
        <w:ind w:firstLine="560"/>
        <w:jc w:val="left"/>
        <w:rPr>
          <w:rFonts w:hint="eastAsia" w:ascii="宋体" w:hAnsi="宋体" w:eastAsia="宋体" w:cs="宋体"/>
          <w:color w:val="auto"/>
          <w:sz w:val="24"/>
          <w:szCs w:val="24"/>
          <w:highlight w:val="none"/>
        </w:rPr>
      </w:pPr>
    </w:p>
    <w:p w14:paraId="7468C478">
      <w:pPr>
        <w:widowControl/>
        <w:ind w:firstLine="560"/>
        <w:jc w:val="left"/>
        <w:rPr>
          <w:rFonts w:hint="eastAsia" w:ascii="宋体" w:hAnsi="宋体" w:eastAsia="宋体" w:cs="宋体"/>
          <w:color w:val="auto"/>
          <w:sz w:val="24"/>
          <w:szCs w:val="24"/>
          <w:highlight w:val="none"/>
        </w:rPr>
      </w:pPr>
    </w:p>
    <w:p w14:paraId="72463184">
      <w:pPr>
        <w:widowControl/>
        <w:ind w:firstLine="560"/>
        <w:jc w:val="left"/>
        <w:rPr>
          <w:rFonts w:hint="eastAsia" w:ascii="宋体" w:hAnsi="宋体" w:eastAsia="宋体" w:cs="宋体"/>
          <w:color w:val="auto"/>
          <w:sz w:val="24"/>
          <w:szCs w:val="24"/>
          <w:highlight w:val="none"/>
        </w:rPr>
      </w:pPr>
    </w:p>
    <w:p w14:paraId="09E693F6">
      <w:pPr>
        <w:widowControl/>
        <w:ind w:firstLine="560"/>
        <w:jc w:val="left"/>
        <w:rPr>
          <w:rFonts w:hint="eastAsia" w:ascii="宋体" w:hAnsi="宋体" w:eastAsia="宋体" w:cs="宋体"/>
          <w:color w:val="auto"/>
          <w:sz w:val="24"/>
          <w:szCs w:val="24"/>
          <w:highlight w:val="none"/>
        </w:rPr>
      </w:pPr>
    </w:p>
    <w:p w14:paraId="6DC6F358">
      <w:pPr>
        <w:widowControl/>
        <w:ind w:firstLine="560"/>
        <w:jc w:val="left"/>
        <w:rPr>
          <w:rFonts w:hint="eastAsia" w:ascii="宋体" w:hAnsi="宋体" w:eastAsia="宋体" w:cs="宋体"/>
          <w:color w:val="auto"/>
          <w:sz w:val="24"/>
          <w:szCs w:val="24"/>
          <w:highlight w:val="none"/>
        </w:rPr>
      </w:pPr>
    </w:p>
    <w:p w14:paraId="047272E7">
      <w:pPr>
        <w:rPr>
          <w:rFonts w:hint="eastAsia" w:ascii="宋体" w:hAnsi="宋体" w:eastAsia="宋体" w:cs="宋体"/>
          <w:b/>
          <w:bCs/>
          <w:color w:val="auto"/>
          <w:sz w:val="24"/>
          <w:szCs w:val="24"/>
          <w:highlight w:val="none"/>
        </w:rPr>
      </w:pPr>
    </w:p>
    <w:p w14:paraId="35AECC2E">
      <w:pPr>
        <w:pStyle w:val="16"/>
        <w:ind w:firstLine="482"/>
        <w:rPr>
          <w:rFonts w:hint="eastAsia" w:ascii="宋体" w:hAnsi="宋体" w:eastAsia="宋体" w:cs="宋体"/>
          <w:b/>
          <w:bCs/>
          <w:color w:val="auto"/>
          <w:sz w:val="24"/>
          <w:szCs w:val="24"/>
          <w:highlight w:val="none"/>
        </w:rPr>
      </w:pPr>
    </w:p>
    <w:p w14:paraId="36AD4D93">
      <w:pPr>
        <w:pStyle w:val="16"/>
        <w:ind w:firstLine="482"/>
        <w:rPr>
          <w:rFonts w:hint="eastAsia" w:ascii="宋体" w:hAnsi="宋体" w:eastAsia="宋体" w:cs="宋体"/>
          <w:b/>
          <w:bCs/>
          <w:color w:val="auto"/>
          <w:sz w:val="24"/>
          <w:szCs w:val="24"/>
          <w:highlight w:val="none"/>
        </w:rPr>
      </w:pPr>
    </w:p>
    <w:p w14:paraId="2897705C">
      <w:pPr>
        <w:rPr>
          <w:rFonts w:hint="eastAsia" w:ascii="宋体" w:hAnsi="宋体" w:eastAsia="宋体" w:cs="宋体"/>
          <w:b/>
          <w:bCs/>
          <w:color w:val="auto"/>
          <w:sz w:val="24"/>
          <w:szCs w:val="24"/>
          <w:highlight w:val="none"/>
        </w:rPr>
      </w:pPr>
    </w:p>
    <w:p w14:paraId="0318ED45">
      <w:pPr>
        <w:pStyle w:val="6"/>
        <w:rPr>
          <w:rFonts w:hint="eastAsia"/>
          <w:color w:val="auto"/>
          <w:highlight w:val="none"/>
        </w:rPr>
      </w:pPr>
    </w:p>
    <w:p w14:paraId="543E02CC">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0C16EBA">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附件四</w:t>
      </w:r>
    </w:p>
    <w:p w14:paraId="37C1947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演艺合作单位考核标准</w:t>
      </w:r>
    </w:p>
    <w:tbl>
      <w:tblPr>
        <w:tblStyle w:val="18"/>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072"/>
        <w:gridCol w:w="918"/>
        <w:gridCol w:w="4047"/>
        <w:gridCol w:w="1994"/>
      </w:tblGrid>
      <w:tr w14:paraId="5AB8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3" w:type="dxa"/>
            <w:vAlign w:val="center"/>
          </w:tcPr>
          <w:p w14:paraId="18684F60">
            <w:pPr>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考核</w:t>
            </w:r>
          </w:p>
          <w:p w14:paraId="74B9E2AC">
            <w:pPr>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内容</w:t>
            </w:r>
          </w:p>
        </w:tc>
        <w:tc>
          <w:tcPr>
            <w:tcW w:w="1072" w:type="dxa"/>
            <w:vAlign w:val="center"/>
          </w:tcPr>
          <w:p w14:paraId="1A39E7A8">
            <w:pPr>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考核</w:t>
            </w:r>
          </w:p>
          <w:p w14:paraId="3A78E595">
            <w:pPr>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分类</w:t>
            </w:r>
          </w:p>
        </w:tc>
        <w:tc>
          <w:tcPr>
            <w:tcW w:w="918" w:type="dxa"/>
            <w:vAlign w:val="center"/>
          </w:tcPr>
          <w:p w14:paraId="4B0C5EE5">
            <w:pPr>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分值</w:t>
            </w:r>
          </w:p>
        </w:tc>
        <w:tc>
          <w:tcPr>
            <w:tcW w:w="4047" w:type="dxa"/>
            <w:vAlign w:val="center"/>
          </w:tcPr>
          <w:p w14:paraId="34A141E5">
            <w:pPr>
              <w:ind w:firstLine="480"/>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评分标准</w:t>
            </w:r>
          </w:p>
        </w:tc>
        <w:tc>
          <w:tcPr>
            <w:tcW w:w="1994" w:type="dxa"/>
            <w:vAlign w:val="center"/>
          </w:tcPr>
          <w:p w14:paraId="2969CBB4">
            <w:pP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扣分标准</w:t>
            </w:r>
          </w:p>
        </w:tc>
      </w:tr>
      <w:tr w14:paraId="6D89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3" w:type="dxa"/>
            <w:vMerge w:val="restart"/>
            <w:vAlign w:val="center"/>
          </w:tcPr>
          <w:p w14:paraId="7402C7CB">
            <w:pPr>
              <w:rPr>
                <w:rFonts w:hint="eastAsia" w:ascii="宋体" w:hAnsi="宋体" w:eastAsia="宋体" w:cs="宋体"/>
                <w:color w:val="auto"/>
                <w:sz w:val="22"/>
                <w:highlight w:val="none"/>
              </w:rPr>
            </w:pPr>
            <w:r>
              <w:rPr>
                <w:rFonts w:hint="eastAsia" w:ascii="宋体" w:hAnsi="宋体" w:eastAsia="宋体" w:cs="宋体"/>
                <w:color w:val="auto"/>
                <w:sz w:val="22"/>
                <w:highlight w:val="none"/>
              </w:rPr>
              <w:t>卫生管理</w:t>
            </w:r>
          </w:p>
        </w:tc>
        <w:tc>
          <w:tcPr>
            <w:tcW w:w="1072" w:type="dxa"/>
            <w:vMerge w:val="restart"/>
            <w:vAlign w:val="center"/>
          </w:tcPr>
          <w:p w14:paraId="29B7BDB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个人</w:t>
            </w:r>
          </w:p>
          <w:p w14:paraId="08F50E63">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卫生</w:t>
            </w:r>
          </w:p>
        </w:tc>
        <w:tc>
          <w:tcPr>
            <w:tcW w:w="918" w:type="dxa"/>
            <w:vMerge w:val="restart"/>
            <w:vAlign w:val="center"/>
          </w:tcPr>
          <w:p w14:paraId="3C35B2B3">
            <w:pPr>
              <w:rPr>
                <w:rFonts w:hint="eastAsia" w:ascii="宋体" w:hAnsi="宋体" w:eastAsia="宋体" w:cs="宋体"/>
                <w:color w:val="auto"/>
                <w:sz w:val="22"/>
                <w:highlight w:val="none"/>
              </w:rPr>
            </w:pPr>
            <w:r>
              <w:rPr>
                <w:rFonts w:hint="eastAsia" w:ascii="宋体" w:hAnsi="宋体" w:eastAsia="宋体" w:cs="宋体"/>
                <w:color w:val="auto"/>
                <w:sz w:val="22"/>
                <w:highlight w:val="none"/>
              </w:rPr>
              <w:t>10分</w:t>
            </w:r>
          </w:p>
        </w:tc>
        <w:tc>
          <w:tcPr>
            <w:tcW w:w="4047" w:type="dxa"/>
            <w:vAlign w:val="center"/>
          </w:tcPr>
          <w:p w14:paraId="7315427C">
            <w:pPr>
              <w:rPr>
                <w:rFonts w:hint="eastAsia" w:ascii="宋体" w:hAnsi="宋体" w:eastAsia="宋体" w:cs="宋体"/>
                <w:color w:val="auto"/>
                <w:sz w:val="22"/>
                <w:highlight w:val="none"/>
              </w:rPr>
            </w:pPr>
            <w:r>
              <w:rPr>
                <w:rFonts w:hint="eastAsia" w:ascii="宋体" w:hAnsi="宋体" w:eastAsia="宋体" w:cs="宋体"/>
                <w:color w:val="auto"/>
                <w:sz w:val="22"/>
                <w:highlight w:val="none"/>
              </w:rPr>
              <w:t>1、演艺着装，衣着不工整，不干净。</w:t>
            </w:r>
          </w:p>
        </w:tc>
        <w:tc>
          <w:tcPr>
            <w:tcW w:w="1994" w:type="dxa"/>
            <w:vAlign w:val="center"/>
          </w:tcPr>
          <w:p w14:paraId="11A47780">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2分/次</w:t>
            </w:r>
          </w:p>
        </w:tc>
      </w:tr>
      <w:tr w14:paraId="05A6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3" w:type="dxa"/>
            <w:vMerge w:val="continue"/>
            <w:vAlign w:val="center"/>
          </w:tcPr>
          <w:p w14:paraId="415FE686">
            <w:pPr>
              <w:ind w:firstLine="480"/>
              <w:jc w:val="center"/>
              <w:rPr>
                <w:rFonts w:hint="eastAsia" w:ascii="宋体" w:hAnsi="宋体" w:eastAsia="宋体" w:cs="宋体"/>
                <w:color w:val="auto"/>
                <w:sz w:val="22"/>
                <w:highlight w:val="none"/>
              </w:rPr>
            </w:pPr>
          </w:p>
        </w:tc>
        <w:tc>
          <w:tcPr>
            <w:tcW w:w="1072" w:type="dxa"/>
            <w:vMerge w:val="continue"/>
            <w:vAlign w:val="center"/>
          </w:tcPr>
          <w:p w14:paraId="171B8B82">
            <w:pPr>
              <w:ind w:firstLine="480"/>
              <w:jc w:val="center"/>
              <w:rPr>
                <w:rFonts w:hint="eastAsia" w:ascii="宋体" w:hAnsi="宋体" w:eastAsia="宋体" w:cs="宋体"/>
                <w:color w:val="auto"/>
                <w:sz w:val="22"/>
                <w:highlight w:val="none"/>
              </w:rPr>
            </w:pPr>
          </w:p>
        </w:tc>
        <w:tc>
          <w:tcPr>
            <w:tcW w:w="918" w:type="dxa"/>
            <w:vMerge w:val="continue"/>
            <w:vAlign w:val="center"/>
          </w:tcPr>
          <w:p w14:paraId="16C3B220">
            <w:pPr>
              <w:ind w:firstLine="480"/>
              <w:jc w:val="center"/>
              <w:rPr>
                <w:rFonts w:hint="eastAsia" w:ascii="宋体" w:hAnsi="宋体" w:eastAsia="宋体" w:cs="宋体"/>
                <w:color w:val="auto"/>
                <w:sz w:val="22"/>
                <w:highlight w:val="none"/>
              </w:rPr>
            </w:pPr>
          </w:p>
        </w:tc>
        <w:tc>
          <w:tcPr>
            <w:tcW w:w="4047" w:type="dxa"/>
            <w:vAlign w:val="center"/>
          </w:tcPr>
          <w:p w14:paraId="6C953C6E">
            <w:pPr>
              <w:rPr>
                <w:rFonts w:hint="eastAsia" w:ascii="宋体" w:hAnsi="宋体" w:eastAsia="宋体" w:cs="宋体"/>
                <w:color w:val="auto"/>
                <w:sz w:val="22"/>
                <w:highlight w:val="none"/>
              </w:rPr>
            </w:pPr>
            <w:r>
              <w:rPr>
                <w:rFonts w:hint="eastAsia" w:ascii="宋体" w:hAnsi="宋体" w:eastAsia="宋体" w:cs="宋体"/>
                <w:color w:val="auto"/>
                <w:sz w:val="22"/>
                <w:highlight w:val="none"/>
              </w:rPr>
              <w:t>2、随地吐痰、随地抽烟、乱丢杂物及纸屑</w:t>
            </w:r>
          </w:p>
        </w:tc>
        <w:tc>
          <w:tcPr>
            <w:tcW w:w="1994" w:type="dxa"/>
            <w:vAlign w:val="center"/>
          </w:tcPr>
          <w:p w14:paraId="343C3AC1">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2分/次</w:t>
            </w:r>
          </w:p>
        </w:tc>
      </w:tr>
      <w:tr w14:paraId="1034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3" w:type="dxa"/>
            <w:vMerge w:val="continue"/>
            <w:vAlign w:val="center"/>
          </w:tcPr>
          <w:p w14:paraId="688A2D6B">
            <w:pPr>
              <w:ind w:firstLine="480"/>
              <w:jc w:val="center"/>
              <w:rPr>
                <w:rFonts w:hint="eastAsia" w:ascii="宋体" w:hAnsi="宋体" w:eastAsia="宋体" w:cs="宋体"/>
                <w:color w:val="auto"/>
                <w:sz w:val="22"/>
                <w:highlight w:val="none"/>
              </w:rPr>
            </w:pPr>
          </w:p>
        </w:tc>
        <w:tc>
          <w:tcPr>
            <w:tcW w:w="1072" w:type="dxa"/>
            <w:vMerge w:val="continue"/>
            <w:vAlign w:val="center"/>
          </w:tcPr>
          <w:p w14:paraId="17FD6021">
            <w:pPr>
              <w:ind w:firstLine="480"/>
              <w:jc w:val="center"/>
              <w:rPr>
                <w:rFonts w:hint="eastAsia" w:ascii="宋体" w:hAnsi="宋体" w:eastAsia="宋体" w:cs="宋体"/>
                <w:color w:val="auto"/>
                <w:sz w:val="22"/>
                <w:highlight w:val="none"/>
              </w:rPr>
            </w:pPr>
          </w:p>
        </w:tc>
        <w:tc>
          <w:tcPr>
            <w:tcW w:w="918" w:type="dxa"/>
            <w:vMerge w:val="continue"/>
            <w:vAlign w:val="center"/>
          </w:tcPr>
          <w:p w14:paraId="6E5D87EF">
            <w:pPr>
              <w:ind w:firstLine="480"/>
              <w:jc w:val="center"/>
              <w:rPr>
                <w:rFonts w:hint="eastAsia" w:ascii="宋体" w:hAnsi="宋体" w:eastAsia="宋体" w:cs="宋体"/>
                <w:color w:val="auto"/>
                <w:sz w:val="22"/>
                <w:highlight w:val="none"/>
              </w:rPr>
            </w:pPr>
          </w:p>
        </w:tc>
        <w:tc>
          <w:tcPr>
            <w:tcW w:w="4047" w:type="dxa"/>
            <w:vAlign w:val="center"/>
          </w:tcPr>
          <w:p w14:paraId="1534D3A3">
            <w:pPr>
              <w:rPr>
                <w:rFonts w:hint="eastAsia" w:ascii="宋体" w:hAnsi="宋体" w:eastAsia="宋体" w:cs="宋体"/>
                <w:color w:val="auto"/>
                <w:sz w:val="22"/>
                <w:highlight w:val="none"/>
              </w:rPr>
            </w:pPr>
            <w:r>
              <w:rPr>
                <w:rFonts w:hint="eastAsia" w:ascii="宋体" w:hAnsi="宋体" w:eastAsia="宋体" w:cs="宋体"/>
                <w:color w:val="auto"/>
                <w:sz w:val="22"/>
                <w:highlight w:val="none"/>
              </w:rPr>
              <w:t>3、头发凌乱、不按规定及标准进行演前化妆</w:t>
            </w:r>
          </w:p>
        </w:tc>
        <w:tc>
          <w:tcPr>
            <w:tcW w:w="1994" w:type="dxa"/>
            <w:vAlign w:val="center"/>
          </w:tcPr>
          <w:p w14:paraId="26A7D8C7">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3分/次</w:t>
            </w:r>
          </w:p>
        </w:tc>
      </w:tr>
      <w:tr w14:paraId="4612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3" w:type="dxa"/>
            <w:vMerge w:val="continue"/>
            <w:vAlign w:val="center"/>
          </w:tcPr>
          <w:p w14:paraId="36C352EB">
            <w:pPr>
              <w:ind w:firstLine="480"/>
              <w:jc w:val="center"/>
              <w:rPr>
                <w:rFonts w:hint="eastAsia" w:ascii="宋体" w:hAnsi="宋体" w:eastAsia="宋体" w:cs="宋体"/>
                <w:color w:val="auto"/>
                <w:sz w:val="22"/>
                <w:highlight w:val="none"/>
              </w:rPr>
            </w:pPr>
          </w:p>
        </w:tc>
        <w:tc>
          <w:tcPr>
            <w:tcW w:w="1072" w:type="dxa"/>
            <w:vMerge w:val="continue"/>
            <w:vAlign w:val="center"/>
          </w:tcPr>
          <w:p w14:paraId="7E50D849">
            <w:pPr>
              <w:ind w:firstLine="480"/>
              <w:jc w:val="center"/>
              <w:rPr>
                <w:rFonts w:hint="eastAsia" w:ascii="宋体" w:hAnsi="宋体" w:eastAsia="宋体" w:cs="宋体"/>
                <w:color w:val="auto"/>
                <w:sz w:val="22"/>
                <w:highlight w:val="none"/>
              </w:rPr>
            </w:pPr>
          </w:p>
        </w:tc>
        <w:tc>
          <w:tcPr>
            <w:tcW w:w="918" w:type="dxa"/>
            <w:vMerge w:val="continue"/>
            <w:vAlign w:val="center"/>
          </w:tcPr>
          <w:p w14:paraId="7E865D54">
            <w:pPr>
              <w:ind w:firstLine="480"/>
              <w:jc w:val="center"/>
              <w:rPr>
                <w:rFonts w:hint="eastAsia" w:ascii="宋体" w:hAnsi="宋体" w:eastAsia="宋体" w:cs="宋体"/>
                <w:color w:val="auto"/>
                <w:sz w:val="22"/>
                <w:highlight w:val="none"/>
              </w:rPr>
            </w:pPr>
          </w:p>
        </w:tc>
        <w:tc>
          <w:tcPr>
            <w:tcW w:w="4047" w:type="dxa"/>
            <w:vAlign w:val="center"/>
          </w:tcPr>
          <w:p w14:paraId="03B7669E">
            <w:pPr>
              <w:rPr>
                <w:rFonts w:hint="eastAsia" w:ascii="宋体" w:hAnsi="宋体" w:eastAsia="宋体" w:cs="宋体"/>
                <w:color w:val="auto"/>
                <w:sz w:val="22"/>
                <w:highlight w:val="none"/>
              </w:rPr>
            </w:pPr>
            <w:r>
              <w:rPr>
                <w:rFonts w:hint="eastAsia" w:ascii="宋体" w:hAnsi="宋体" w:eastAsia="宋体" w:cs="宋体"/>
                <w:color w:val="auto"/>
                <w:sz w:val="22"/>
                <w:highlight w:val="none"/>
              </w:rPr>
              <w:t>4、身上散发异味或气息。</w:t>
            </w:r>
          </w:p>
        </w:tc>
        <w:tc>
          <w:tcPr>
            <w:tcW w:w="1994" w:type="dxa"/>
            <w:vAlign w:val="center"/>
          </w:tcPr>
          <w:p w14:paraId="2DE85BB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3分/次</w:t>
            </w:r>
          </w:p>
        </w:tc>
      </w:tr>
      <w:tr w14:paraId="188B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3" w:type="dxa"/>
            <w:vMerge w:val="continue"/>
            <w:vAlign w:val="center"/>
          </w:tcPr>
          <w:p w14:paraId="4DE516BD">
            <w:pPr>
              <w:ind w:firstLine="480"/>
              <w:jc w:val="center"/>
              <w:rPr>
                <w:rFonts w:hint="eastAsia" w:ascii="宋体" w:hAnsi="宋体" w:eastAsia="宋体" w:cs="宋体"/>
                <w:color w:val="auto"/>
                <w:sz w:val="22"/>
                <w:highlight w:val="none"/>
              </w:rPr>
            </w:pPr>
          </w:p>
        </w:tc>
        <w:tc>
          <w:tcPr>
            <w:tcW w:w="1072" w:type="dxa"/>
            <w:vMerge w:val="restart"/>
            <w:vAlign w:val="center"/>
          </w:tcPr>
          <w:p w14:paraId="44458829">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排练厅环境</w:t>
            </w:r>
          </w:p>
          <w:p w14:paraId="68A63211">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卫生</w:t>
            </w:r>
          </w:p>
        </w:tc>
        <w:tc>
          <w:tcPr>
            <w:tcW w:w="918" w:type="dxa"/>
            <w:vMerge w:val="continue"/>
            <w:vAlign w:val="center"/>
          </w:tcPr>
          <w:p w14:paraId="4ADB951C">
            <w:pPr>
              <w:ind w:firstLine="480"/>
              <w:jc w:val="center"/>
              <w:rPr>
                <w:rFonts w:hint="eastAsia" w:ascii="宋体" w:hAnsi="宋体" w:eastAsia="宋体" w:cs="宋体"/>
                <w:color w:val="auto"/>
                <w:sz w:val="22"/>
                <w:highlight w:val="none"/>
              </w:rPr>
            </w:pPr>
          </w:p>
        </w:tc>
        <w:tc>
          <w:tcPr>
            <w:tcW w:w="4047" w:type="dxa"/>
            <w:vAlign w:val="center"/>
          </w:tcPr>
          <w:p w14:paraId="64F43254">
            <w:pPr>
              <w:rPr>
                <w:rFonts w:hint="eastAsia" w:ascii="宋体" w:hAnsi="宋体" w:eastAsia="宋体" w:cs="宋体"/>
                <w:color w:val="auto"/>
                <w:sz w:val="22"/>
                <w:highlight w:val="none"/>
              </w:rPr>
            </w:pPr>
            <w:r>
              <w:rPr>
                <w:rFonts w:hint="eastAsia" w:ascii="宋体" w:hAnsi="宋体" w:eastAsia="宋体" w:cs="宋体"/>
                <w:color w:val="auto"/>
                <w:sz w:val="22"/>
                <w:highlight w:val="none"/>
              </w:rPr>
              <w:t>5、地面保持清洁光亮，无脚印、杂物。</w:t>
            </w:r>
          </w:p>
        </w:tc>
        <w:tc>
          <w:tcPr>
            <w:tcW w:w="1994" w:type="dxa"/>
            <w:vAlign w:val="center"/>
          </w:tcPr>
          <w:p w14:paraId="073BB495">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3分/次</w:t>
            </w:r>
          </w:p>
        </w:tc>
      </w:tr>
      <w:tr w14:paraId="3664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3" w:type="dxa"/>
            <w:vMerge w:val="continue"/>
            <w:vAlign w:val="center"/>
          </w:tcPr>
          <w:p w14:paraId="39BFB30E">
            <w:pPr>
              <w:ind w:firstLine="480"/>
              <w:jc w:val="center"/>
              <w:rPr>
                <w:rFonts w:hint="eastAsia" w:ascii="宋体" w:hAnsi="宋体" w:eastAsia="宋体" w:cs="宋体"/>
                <w:color w:val="auto"/>
                <w:sz w:val="22"/>
                <w:highlight w:val="none"/>
              </w:rPr>
            </w:pPr>
          </w:p>
        </w:tc>
        <w:tc>
          <w:tcPr>
            <w:tcW w:w="1072" w:type="dxa"/>
            <w:vMerge w:val="continue"/>
            <w:vAlign w:val="center"/>
          </w:tcPr>
          <w:p w14:paraId="0A44FE59">
            <w:pPr>
              <w:ind w:firstLine="480"/>
              <w:jc w:val="center"/>
              <w:rPr>
                <w:rFonts w:hint="eastAsia" w:ascii="宋体" w:hAnsi="宋体" w:eastAsia="宋体" w:cs="宋体"/>
                <w:color w:val="auto"/>
                <w:sz w:val="22"/>
                <w:highlight w:val="none"/>
              </w:rPr>
            </w:pPr>
          </w:p>
        </w:tc>
        <w:tc>
          <w:tcPr>
            <w:tcW w:w="918" w:type="dxa"/>
            <w:vMerge w:val="continue"/>
            <w:vAlign w:val="center"/>
          </w:tcPr>
          <w:p w14:paraId="13DE6324">
            <w:pPr>
              <w:ind w:firstLine="480"/>
              <w:jc w:val="center"/>
              <w:rPr>
                <w:rFonts w:hint="eastAsia" w:ascii="宋体" w:hAnsi="宋体" w:eastAsia="宋体" w:cs="宋体"/>
                <w:color w:val="auto"/>
                <w:sz w:val="22"/>
                <w:highlight w:val="none"/>
              </w:rPr>
            </w:pPr>
          </w:p>
        </w:tc>
        <w:tc>
          <w:tcPr>
            <w:tcW w:w="4047" w:type="dxa"/>
            <w:vAlign w:val="center"/>
          </w:tcPr>
          <w:p w14:paraId="558E2881">
            <w:pPr>
              <w:rPr>
                <w:rFonts w:hint="eastAsia" w:ascii="宋体" w:hAnsi="宋体" w:eastAsia="宋体" w:cs="宋体"/>
                <w:color w:val="auto"/>
                <w:sz w:val="22"/>
                <w:highlight w:val="none"/>
              </w:rPr>
            </w:pPr>
            <w:r>
              <w:rPr>
                <w:rFonts w:hint="eastAsia" w:ascii="宋体" w:hAnsi="宋体" w:eastAsia="宋体" w:cs="宋体"/>
                <w:color w:val="auto"/>
                <w:sz w:val="22"/>
                <w:highlight w:val="none"/>
              </w:rPr>
              <w:t>6、桌椅无灰尘、无杂物、水渍，表面清洁光亮。</w:t>
            </w:r>
          </w:p>
        </w:tc>
        <w:tc>
          <w:tcPr>
            <w:tcW w:w="1994" w:type="dxa"/>
            <w:vAlign w:val="center"/>
          </w:tcPr>
          <w:p w14:paraId="49B4C131">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3分/次</w:t>
            </w:r>
          </w:p>
        </w:tc>
      </w:tr>
      <w:tr w14:paraId="64B7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3" w:type="dxa"/>
            <w:vMerge w:val="continue"/>
            <w:vAlign w:val="center"/>
          </w:tcPr>
          <w:p w14:paraId="4268CCE5">
            <w:pPr>
              <w:ind w:firstLine="480"/>
              <w:jc w:val="center"/>
              <w:rPr>
                <w:rFonts w:hint="eastAsia" w:ascii="宋体" w:hAnsi="宋体" w:eastAsia="宋体" w:cs="宋体"/>
                <w:color w:val="auto"/>
                <w:sz w:val="22"/>
                <w:highlight w:val="none"/>
              </w:rPr>
            </w:pPr>
          </w:p>
        </w:tc>
        <w:tc>
          <w:tcPr>
            <w:tcW w:w="1072" w:type="dxa"/>
            <w:vMerge w:val="continue"/>
            <w:vAlign w:val="center"/>
          </w:tcPr>
          <w:p w14:paraId="49894981">
            <w:pPr>
              <w:ind w:firstLine="480"/>
              <w:jc w:val="center"/>
              <w:rPr>
                <w:rFonts w:hint="eastAsia" w:ascii="宋体" w:hAnsi="宋体" w:eastAsia="宋体" w:cs="宋体"/>
                <w:color w:val="auto"/>
                <w:sz w:val="22"/>
                <w:highlight w:val="none"/>
              </w:rPr>
            </w:pPr>
          </w:p>
        </w:tc>
        <w:tc>
          <w:tcPr>
            <w:tcW w:w="918" w:type="dxa"/>
            <w:vMerge w:val="continue"/>
            <w:vAlign w:val="center"/>
          </w:tcPr>
          <w:p w14:paraId="32D5AB50">
            <w:pPr>
              <w:ind w:firstLine="480"/>
              <w:jc w:val="center"/>
              <w:rPr>
                <w:rFonts w:hint="eastAsia" w:ascii="宋体" w:hAnsi="宋体" w:eastAsia="宋体" w:cs="宋体"/>
                <w:color w:val="auto"/>
                <w:sz w:val="22"/>
                <w:highlight w:val="none"/>
              </w:rPr>
            </w:pPr>
          </w:p>
        </w:tc>
        <w:tc>
          <w:tcPr>
            <w:tcW w:w="4047" w:type="dxa"/>
            <w:vAlign w:val="center"/>
          </w:tcPr>
          <w:p w14:paraId="4A19E08C">
            <w:pPr>
              <w:rPr>
                <w:rFonts w:hint="eastAsia" w:ascii="宋体" w:hAnsi="宋体" w:eastAsia="宋体" w:cs="宋体"/>
                <w:color w:val="auto"/>
                <w:sz w:val="22"/>
                <w:highlight w:val="none"/>
              </w:rPr>
            </w:pPr>
            <w:r>
              <w:rPr>
                <w:rFonts w:hint="eastAsia" w:ascii="宋体" w:hAnsi="宋体" w:eastAsia="宋体" w:cs="宋体"/>
                <w:color w:val="auto"/>
                <w:sz w:val="22"/>
                <w:highlight w:val="none"/>
              </w:rPr>
              <w:t>7、玻璃台面无污渍、无手指印和水渍。</w:t>
            </w:r>
          </w:p>
        </w:tc>
        <w:tc>
          <w:tcPr>
            <w:tcW w:w="1994" w:type="dxa"/>
            <w:vAlign w:val="center"/>
          </w:tcPr>
          <w:p w14:paraId="5DC8357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3分/次</w:t>
            </w:r>
          </w:p>
        </w:tc>
      </w:tr>
      <w:tr w14:paraId="46BC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43" w:type="dxa"/>
            <w:vMerge w:val="continue"/>
            <w:vAlign w:val="center"/>
          </w:tcPr>
          <w:p w14:paraId="663B3752">
            <w:pPr>
              <w:ind w:firstLine="480"/>
              <w:jc w:val="center"/>
              <w:rPr>
                <w:rFonts w:hint="eastAsia" w:ascii="宋体" w:hAnsi="宋体" w:eastAsia="宋体" w:cs="宋体"/>
                <w:color w:val="auto"/>
                <w:sz w:val="22"/>
                <w:highlight w:val="none"/>
              </w:rPr>
            </w:pPr>
          </w:p>
        </w:tc>
        <w:tc>
          <w:tcPr>
            <w:tcW w:w="1072" w:type="dxa"/>
            <w:vMerge w:val="continue"/>
            <w:vAlign w:val="center"/>
          </w:tcPr>
          <w:p w14:paraId="08C63D21">
            <w:pPr>
              <w:ind w:firstLine="480"/>
              <w:jc w:val="center"/>
              <w:rPr>
                <w:rFonts w:hint="eastAsia" w:ascii="宋体" w:hAnsi="宋体" w:eastAsia="宋体" w:cs="宋体"/>
                <w:color w:val="auto"/>
                <w:sz w:val="22"/>
                <w:highlight w:val="none"/>
              </w:rPr>
            </w:pPr>
          </w:p>
        </w:tc>
        <w:tc>
          <w:tcPr>
            <w:tcW w:w="918" w:type="dxa"/>
            <w:vMerge w:val="continue"/>
            <w:vAlign w:val="center"/>
          </w:tcPr>
          <w:p w14:paraId="3823C386">
            <w:pPr>
              <w:ind w:firstLine="480"/>
              <w:jc w:val="center"/>
              <w:rPr>
                <w:rFonts w:hint="eastAsia" w:ascii="宋体" w:hAnsi="宋体" w:eastAsia="宋体" w:cs="宋体"/>
                <w:color w:val="auto"/>
                <w:sz w:val="22"/>
                <w:highlight w:val="none"/>
              </w:rPr>
            </w:pPr>
          </w:p>
        </w:tc>
        <w:tc>
          <w:tcPr>
            <w:tcW w:w="4047" w:type="dxa"/>
            <w:vAlign w:val="center"/>
          </w:tcPr>
          <w:p w14:paraId="4F10CFC9">
            <w:pPr>
              <w:rPr>
                <w:rFonts w:hint="eastAsia" w:ascii="宋体" w:hAnsi="宋体" w:eastAsia="宋体" w:cs="宋体"/>
                <w:color w:val="auto"/>
                <w:sz w:val="22"/>
                <w:highlight w:val="none"/>
              </w:rPr>
            </w:pPr>
            <w:r>
              <w:rPr>
                <w:rFonts w:hint="eastAsia" w:ascii="宋体" w:hAnsi="宋体" w:eastAsia="宋体" w:cs="宋体"/>
                <w:color w:val="auto"/>
                <w:sz w:val="22"/>
                <w:highlight w:val="none"/>
              </w:rPr>
              <w:t>8、厕所有异味</w:t>
            </w:r>
          </w:p>
        </w:tc>
        <w:tc>
          <w:tcPr>
            <w:tcW w:w="1994" w:type="dxa"/>
            <w:vAlign w:val="center"/>
          </w:tcPr>
          <w:p w14:paraId="53001F45">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3分/次</w:t>
            </w:r>
          </w:p>
        </w:tc>
      </w:tr>
      <w:tr w14:paraId="1E33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3" w:type="dxa"/>
            <w:vMerge w:val="restart"/>
            <w:vAlign w:val="center"/>
          </w:tcPr>
          <w:p w14:paraId="4846EAFA">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安全管理</w:t>
            </w:r>
          </w:p>
        </w:tc>
        <w:tc>
          <w:tcPr>
            <w:tcW w:w="1072" w:type="dxa"/>
            <w:vMerge w:val="restart"/>
            <w:vAlign w:val="center"/>
          </w:tcPr>
          <w:p w14:paraId="2B69C478">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演艺</w:t>
            </w:r>
          </w:p>
          <w:p w14:paraId="6F494908">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安全</w:t>
            </w:r>
          </w:p>
          <w:p w14:paraId="63B154D5">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管理</w:t>
            </w:r>
          </w:p>
        </w:tc>
        <w:tc>
          <w:tcPr>
            <w:tcW w:w="918" w:type="dxa"/>
            <w:vMerge w:val="restart"/>
            <w:vAlign w:val="center"/>
          </w:tcPr>
          <w:p w14:paraId="25104B51">
            <w:pPr>
              <w:rPr>
                <w:rFonts w:hint="eastAsia" w:ascii="宋体" w:hAnsi="宋体" w:eastAsia="宋体" w:cs="宋体"/>
                <w:color w:val="auto"/>
                <w:sz w:val="22"/>
                <w:highlight w:val="none"/>
              </w:rPr>
            </w:pPr>
            <w:r>
              <w:rPr>
                <w:rFonts w:hint="eastAsia" w:ascii="宋体" w:hAnsi="宋体" w:eastAsia="宋体" w:cs="宋体"/>
                <w:color w:val="auto"/>
                <w:sz w:val="22"/>
                <w:highlight w:val="none"/>
              </w:rPr>
              <w:t>40分</w:t>
            </w:r>
          </w:p>
        </w:tc>
        <w:tc>
          <w:tcPr>
            <w:tcW w:w="4047" w:type="dxa"/>
            <w:vAlign w:val="center"/>
          </w:tcPr>
          <w:p w14:paraId="7D263764">
            <w:pPr>
              <w:rPr>
                <w:rFonts w:hint="eastAsia" w:ascii="宋体" w:hAnsi="宋体" w:eastAsia="宋体" w:cs="宋体"/>
                <w:color w:val="auto"/>
                <w:sz w:val="22"/>
                <w:highlight w:val="none"/>
              </w:rPr>
            </w:pPr>
            <w:r>
              <w:rPr>
                <w:rFonts w:hint="eastAsia" w:ascii="宋体" w:hAnsi="宋体" w:eastAsia="宋体" w:cs="宋体"/>
                <w:color w:val="auto"/>
                <w:sz w:val="22"/>
                <w:highlight w:val="none"/>
              </w:rPr>
              <w:t>1、现场演艺期间无安全违规操作。</w:t>
            </w:r>
          </w:p>
        </w:tc>
        <w:tc>
          <w:tcPr>
            <w:tcW w:w="1994" w:type="dxa"/>
            <w:vAlign w:val="center"/>
          </w:tcPr>
          <w:p w14:paraId="3E27F6C8">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10分/次</w:t>
            </w:r>
          </w:p>
        </w:tc>
      </w:tr>
      <w:tr w14:paraId="3D9F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3" w:type="dxa"/>
            <w:vMerge w:val="continue"/>
            <w:vAlign w:val="center"/>
          </w:tcPr>
          <w:p w14:paraId="2CB00B9F">
            <w:pPr>
              <w:ind w:firstLine="480"/>
              <w:jc w:val="center"/>
              <w:rPr>
                <w:rFonts w:hint="eastAsia" w:ascii="宋体" w:hAnsi="宋体" w:eastAsia="宋体" w:cs="宋体"/>
                <w:color w:val="auto"/>
                <w:sz w:val="22"/>
                <w:highlight w:val="none"/>
              </w:rPr>
            </w:pPr>
          </w:p>
        </w:tc>
        <w:tc>
          <w:tcPr>
            <w:tcW w:w="1072" w:type="dxa"/>
            <w:vMerge w:val="continue"/>
            <w:vAlign w:val="center"/>
          </w:tcPr>
          <w:p w14:paraId="78BA991E">
            <w:pPr>
              <w:ind w:firstLine="480"/>
              <w:jc w:val="center"/>
              <w:rPr>
                <w:rFonts w:hint="eastAsia" w:ascii="宋体" w:hAnsi="宋体" w:eastAsia="宋体" w:cs="宋体"/>
                <w:color w:val="auto"/>
                <w:sz w:val="22"/>
                <w:highlight w:val="none"/>
              </w:rPr>
            </w:pPr>
          </w:p>
        </w:tc>
        <w:tc>
          <w:tcPr>
            <w:tcW w:w="918" w:type="dxa"/>
            <w:vMerge w:val="continue"/>
            <w:vAlign w:val="center"/>
          </w:tcPr>
          <w:p w14:paraId="2991033E">
            <w:pPr>
              <w:ind w:firstLine="480"/>
              <w:jc w:val="center"/>
              <w:rPr>
                <w:rFonts w:hint="eastAsia" w:ascii="宋体" w:hAnsi="宋体" w:eastAsia="宋体" w:cs="宋体"/>
                <w:color w:val="auto"/>
                <w:sz w:val="22"/>
                <w:highlight w:val="none"/>
              </w:rPr>
            </w:pPr>
          </w:p>
        </w:tc>
        <w:tc>
          <w:tcPr>
            <w:tcW w:w="4047" w:type="dxa"/>
            <w:vAlign w:val="center"/>
          </w:tcPr>
          <w:p w14:paraId="3B36385E">
            <w:pPr>
              <w:rPr>
                <w:rFonts w:hint="eastAsia" w:ascii="宋体" w:hAnsi="宋体" w:eastAsia="宋体" w:cs="宋体"/>
                <w:color w:val="auto"/>
                <w:sz w:val="22"/>
                <w:highlight w:val="none"/>
              </w:rPr>
            </w:pPr>
            <w:r>
              <w:rPr>
                <w:rFonts w:hint="eastAsia" w:ascii="宋体" w:hAnsi="宋体" w:eastAsia="宋体" w:cs="宋体"/>
                <w:color w:val="auto"/>
                <w:sz w:val="22"/>
                <w:highlight w:val="none"/>
              </w:rPr>
              <w:t>2、演艺人员安全知识、演艺流程、应急预案清楚明了</w:t>
            </w:r>
          </w:p>
        </w:tc>
        <w:tc>
          <w:tcPr>
            <w:tcW w:w="1994" w:type="dxa"/>
            <w:vAlign w:val="center"/>
          </w:tcPr>
          <w:p w14:paraId="2A1D35A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10分/次</w:t>
            </w:r>
          </w:p>
        </w:tc>
      </w:tr>
      <w:tr w14:paraId="050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43" w:type="dxa"/>
            <w:vMerge w:val="continue"/>
            <w:vAlign w:val="center"/>
          </w:tcPr>
          <w:p w14:paraId="2257844F">
            <w:pPr>
              <w:ind w:firstLine="480"/>
              <w:jc w:val="center"/>
              <w:rPr>
                <w:rFonts w:hint="eastAsia" w:ascii="宋体" w:hAnsi="宋体" w:eastAsia="宋体" w:cs="宋体"/>
                <w:color w:val="auto"/>
                <w:sz w:val="22"/>
                <w:highlight w:val="none"/>
              </w:rPr>
            </w:pPr>
          </w:p>
        </w:tc>
        <w:tc>
          <w:tcPr>
            <w:tcW w:w="1072" w:type="dxa"/>
            <w:vMerge w:val="continue"/>
            <w:vAlign w:val="center"/>
          </w:tcPr>
          <w:p w14:paraId="127B89DE">
            <w:pPr>
              <w:ind w:firstLine="480"/>
              <w:jc w:val="center"/>
              <w:rPr>
                <w:rFonts w:hint="eastAsia" w:ascii="宋体" w:hAnsi="宋体" w:eastAsia="宋体" w:cs="宋体"/>
                <w:color w:val="auto"/>
                <w:sz w:val="22"/>
                <w:highlight w:val="none"/>
              </w:rPr>
            </w:pPr>
          </w:p>
        </w:tc>
        <w:tc>
          <w:tcPr>
            <w:tcW w:w="918" w:type="dxa"/>
            <w:vMerge w:val="continue"/>
            <w:vAlign w:val="center"/>
          </w:tcPr>
          <w:p w14:paraId="2864C1D9">
            <w:pPr>
              <w:ind w:firstLine="480"/>
              <w:jc w:val="center"/>
              <w:rPr>
                <w:rFonts w:hint="eastAsia" w:ascii="宋体" w:hAnsi="宋体" w:eastAsia="宋体" w:cs="宋体"/>
                <w:color w:val="auto"/>
                <w:sz w:val="22"/>
                <w:highlight w:val="none"/>
              </w:rPr>
            </w:pPr>
          </w:p>
        </w:tc>
        <w:tc>
          <w:tcPr>
            <w:tcW w:w="4047" w:type="dxa"/>
            <w:vAlign w:val="center"/>
          </w:tcPr>
          <w:p w14:paraId="3C6D5E26">
            <w:pPr>
              <w:rPr>
                <w:rFonts w:hint="eastAsia" w:ascii="宋体" w:hAnsi="宋体" w:eastAsia="宋体" w:cs="宋体"/>
                <w:color w:val="auto"/>
                <w:sz w:val="22"/>
                <w:highlight w:val="none"/>
              </w:rPr>
            </w:pPr>
            <w:r>
              <w:rPr>
                <w:rFonts w:hint="eastAsia" w:ascii="宋体" w:hAnsi="宋体" w:eastAsia="宋体" w:cs="宋体"/>
                <w:color w:val="auto"/>
                <w:sz w:val="22"/>
                <w:highlight w:val="none"/>
              </w:rPr>
              <w:t>3、排练厅消防设施设备无遮挡，消防通道畅通，无易燃物及易爆物品，现场无安全隐患点。</w:t>
            </w:r>
          </w:p>
        </w:tc>
        <w:tc>
          <w:tcPr>
            <w:tcW w:w="1994" w:type="dxa"/>
            <w:vAlign w:val="center"/>
          </w:tcPr>
          <w:p w14:paraId="4AC1BA1C">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10分/次</w:t>
            </w:r>
          </w:p>
        </w:tc>
      </w:tr>
      <w:tr w14:paraId="265D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3" w:type="dxa"/>
            <w:vMerge w:val="continue"/>
            <w:vAlign w:val="center"/>
          </w:tcPr>
          <w:p w14:paraId="783F9611">
            <w:pPr>
              <w:ind w:firstLine="480"/>
              <w:jc w:val="center"/>
              <w:rPr>
                <w:rFonts w:hint="eastAsia" w:ascii="宋体" w:hAnsi="宋体" w:eastAsia="宋体" w:cs="宋体"/>
                <w:color w:val="auto"/>
                <w:sz w:val="22"/>
                <w:highlight w:val="none"/>
              </w:rPr>
            </w:pPr>
          </w:p>
        </w:tc>
        <w:tc>
          <w:tcPr>
            <w:tcW w:w="1072" w:type="dxa"/>
            <w:vMerge w:val="restart"/>
            <w:vAlign w:val="center"/>
          </w:tcPr>
          <w:p w14:paraId="794149B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人员</w:t>
            </w:r>
          </w:p>
          <w:p w14:paraId="3B69364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安全</w:t>
            </w:r>
          </w:p>
          <w:p w14:paraId="3A6D02BC">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管理</w:t>
            </w:r>
          </w:p>
        </w:tc>
        <w:tc>
          <w:tcPr>
            <w:tcW w:w="918" w:type="dxa"/>
            <w:vMerge w:val="continue"/>
            <w:vAlign w:val="center"/>
          </w:tcPr>
          <w:p w14:paraId="030ECA2E">
            <w:pPr>
              <w:ind w:firstLine="480"/>
              <w:jc w:val="center"/>
              <w:rPr>
                <w:rFonts w:hint="eastAsia" w:ascii="宋体" w:hAnsi="宋体" w:eastAsia="宋体" w:cs="宋体"/>
                <w:color w:val="auto"/>
                <w:sz w:val="22"/>
                <w:highlight w:val="none"/>
              </w:rPr>
            </w:pPr>
          </w:p>
        </w:tc>
        <w:tc>
          <w:tcPr>
            <w:tcW w:w="4047" w:type="dxa"/>
            <w:vAlign w:val="center"/>
          </w:tcPr>
          <w:p w14:paraId="696EFF0E">
            <w:pPr>
              <w:rPr>
                <w:rFonts w:hint="eastAsia" w:ascii="宋体" w:hAnsi="宋体" w:eastAsia="宋体" w:cs="宋体"/>
                <w:color w:val="auto"/>
                <w:sz w:val="22"/>
                <w:highlight w:val="none"/>
              </w:rPr>
            </w:pPr>
            <w:r>
              <w:rPr>
                <w:rFonts w:hint="eastAsia" w:ascii="宋体" w:hAnsi="宋体" w:eastAsia="宋体" w:cs="宋体"/>
                <w:color w:val="auto"/>
                <w:sz w:val="22"/>
                <w:highlight w:val="none"/>
              </w:rPr>
              <w:t>4、与现场游客及同事发生打架斗殴及辱骂。</w:t>
            </w:r>
          </w:p>
        </w:tc>
        <w:tc>
          <w:tcPr>
            <w:tcW w:w="1994" w:type="dxa"/>
            <w:vAlign w:val="center"/>
          </w:tcPr>
          <w:p w14:paraId="623BACB4">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10分/次</w:t>
            </w:r>
          </w:p>
        </w:tc>
      </w:tr>
      <w:tr w14:paraId="7417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3" w:type="dxa"/>
            <w:vMerge w:val="continue"/>
            <w:vAlign w:val="center"/>
          </w:tcPr>
          <w:p w14:paraId="68307403">
            <w:pPr>
              <w:ind w:firstLine="480"/>
              <w:jc w:val="center"/>
              <w:rPr>
                <w:rFonts w:hint="eastAsia" w:ascii="宋体" w:hAnsi="宋体" w:eastAsia="宋体" w:cs="宋体"/>
                <w:color w:val="auto"/>
                <w:sz w:val="22"/>
                <w:highlight w:val="none"/>
              </w:rPr>
            </w:pPr>
          </w:p>
        </w:tc>
        <w:tc>
          <w:tcPr>
            <w:tcW w:w="1072" w:type="dxa"/>
            <w:vMerge w:val="continue"/>
            <w:vAlign w:val="center"/>
          </w:tcPr>
          <w:p w14:paraId="25DF8B4E">
            <w:pPr>
              <w:ind w:firstLine="480"/>
              <w:jc w:val="center"/>
              <w:rPr>
                <w:rFonts w:hint="eastAsia" w:ascii="宋体" w:hAnsi="宋体" w:eastAsia="宋体" w:cs="宋体"/>
                <w:color w:val="auto"/>
                <w:sz w:val="22"/>
                <w:highlight w:val="none"/>
              </w:rPr>
            </w:pPr>
          </w:p>
        </w:tc>
        <w:tc>
          <w:tcPr>
            <w:tcW w:w="918" w:type="dxa"/>
            <w:vMerge w:val="continue"/>
            <w:vAlign w:val="center"/>
          </w:tcPr>
          <w:p w14:paraId="0BEFFE9D">
            <w:pPr>
              <w:ind w:firstLine="480"/>
              <w:jc w:val="center"/>
              <w:rPr>
                <w:rFonts w:hint="eastAsia" w:ascii="宋体" w:hAnsi="宋体" w:eastAsia="宋体" w:cs="宋体"/>
                <w:color w:val="auto"/>
                <w:sz w:val="22"/>
                <w:highlight w:val="none"/>
              </w:rPr>
            </w:pPr>
          </w:p>
        </w:tc>
        <w:tc>
          <w:tcPr>
            <w:tcW w:w="4047" w:type="dxa"/>
            <w:vAlign w:val="center"/>
          </w:tcPr>
          <w:p w14:paraId="11078742">
            <w:pPr>
              <w:rPr>
                <w:rFonts w:hint="eastAsia" w:ascii="宋体" w:hAnsi="宋体" w:eastAsia="宋体" w:cs="宋体"/>
                <w:color w:val="auto"/>
                <w:sz w:val="22"/>
                <w:highlight w:val="none"/>
              </w:rPr>
            </w:pPr>
            <w:r>
              <w:rPr>
                <w:rFonts w:hint="eastAsia" w:ascii="宋体" w:hAnsi="宋体" w:eastAsia="宋体" w:cs="宋体"/>
                <w:color w:val="auto"/>
                <w:sz w:val="22"/>
                <w:highlight w:val="none"/>
              </w:rPr>
              <w:t>5、演员酗酒打架、闹事，造成不良影响</w:t>
            </w:r>
          </w:p>
        </w:tc>
        <w:tc>
          <w:tcPr>
            <w:tcW w:w="1994" w:type="dxa"/>
            <w:vAlign w:val="center"/>
          </w:tcPr>
          <w:p w14:paraId="68DCA79F">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10分/次</w:t>
            </w:r>
          </w:p>
        </w:tc>
      </w:tr>
      <w:tr w14:paraId="7D33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3" w:type="dxa"/>
            <w:vMerge w:val="continue"/>
            <w:vAlign w:val="center"/>
          </w:tcPr>
          <w:p w14:paraId="40864868">
            <w:pPr>
              <w:ind w:firstLine="480"/>
              <w:jc w:val="center"/>
              <w:rPr>
                <w:rFonts w:hint="eastAsia" w:ascii="宋体" w:hAnsi="宋体" w:eastAsia="宋体" w:cs="宋体"/>
                <w:color w:val="auto"/>
                <w:sz w:val="22"/>
                <w:highlight w:val="none"/>
              </w:rPr>
            </w:pPr>
          </w:p>
        </w:tc>
        <w:tc>
          <w:tcPr>
            <w:tcW w:w="1072" w:type="dxa"/>
            <w:vMerge w:val="continue"/>
            <w:vAlign w:val="center"/>
          </w:tcPr>
          <w:p w14:paraId="7A94A601">
            <w:pPr>
              <w:ind w:firstLine="480"/>
              <w:jc w:val="center"/>
              <w:rPr>
                <w:rFonts w:hint="eastAsia" w:ascii="宋体" w:hAnsi="宋体" w:eastAsia="宋体" w:cs="宋体"/>
                <w:color w:val="auto"/>
                <w:sz w:val="22"/>
                <w:highlight w:val="none"/>
              </w:rPr>
            </w:pPr>
          </w:p>
        </w:tc>
        <w:tc>
          <w:tcPr>
            <w:tcW w:w="918" w:type="dxa"/>
            <w:vMerge w:val="continue"/>
            <w:vAlign w:val="center"/>
          </w:tcPr>
          <w:p w14:paraId="33B1679B">
            <w:pPr>
              <w:ind w:firstLine="480"/>
              <w:jc w:val="center"/>
              <w:rPr>
                <w:rFonts w:hint="eastAsia" w:ascii="宋体" w:hAnsi="宋体" w:eastAsia="宋体" w:cs="宋体"/>
                <w:color w:val="auto"/>
                <w:sz w:val="22"/>
                <w:highlight w:val="none"/>
              </w:rPr>
            </w:pPr>
          </w:p>
        </w:tc>
        <w:tc>
          <w:tcPr>
            <w:tcW w:w="4047" w:type="dxa"/>
            <w:vAlign w:val="center"/>
          </w:tcPr>
          <w:p w14:paraId="37E066DF">
            <w:pPr>
              <w:rPr>
                <w:rFonts w:hint="eastAsia" w:ascii="宋体" w:hAnsi="宋体" w:eastAsia="宋体" w:cs="宋体"/>
                <w:color w:val="auto"/>
                <w:sz w:val="22"/>
                <w:highlight w:val="none"/>
              </w:rPr>
            </w:pPr>
            <w:r>
              <w:rPr>
                <w:rFonts w:hint="eastAsia" w:ascii="宋体" w:hAnsi="宋体" w:eastAsia="宋体" w:cs="宋体"/>
                <w:color w:val="auto"/>
                <w:sz w:val="22"/>
                <w:highlight w:val="none"/>
              </w:rPr>
              <w:t>6、违规操作，违反演艺安全标准</w:t>
            </w:r>
          </w:p>
        </w:tc>
        <w:tc>
          <w:tcPr>
            <w:tcW w:w="1994" w:type="dxa"/>
            <w:vAlign w:val="center"/>
          </w:tcPr>
          <w:p w14:paraId="36D75061">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10分/次</w:t>
            </w:r>
          </w:p>
        </w:tc>
      </w:tr>
      <w:tr w14:paraId="7625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3" w:type="dxa"/>
            <w:vMerge w:val="continue"/>
            <w:vAlign w:val="center"/>
          </w:tcPr>
          <w:p w14:paraId="38A1E5A6">
            <w:pPr>
              <w:ind w:firstLine="480"/>
              <w:jc w:val="center"/>
              <w:rPr>
                <w:rFonts w:hint="eastAsia" w:ascii="宋体" w:hAnsi="宋体" w:eastAsia="宋体" w:cs="宋体"/>
                <w:color w:val="auto"/>
                <w:sz w:val="22"/>
                <w:highlight w:val="none"/>
              </w:rPr>
            </w:pPr>
          </w:p>
        </w:tc>
        <w:tc>
          <w:tcPr>
            <w:tcW w:w="1072" w:type="dxa"/>
            <w:vMerge w:val="continue"/>
            <w:vAlign w:val="center"/>
          </w:tcPr>
          <w:p w14:paraId="35F3D32B">
            <w:pPr>
              <w:ind w:firstLine="480"/>
              <w:jc w:val="center"/>
              <w:rPr>
                <w:rFonts w:hint="eastAsia" w:ascii="宋体" w:hAnsi="宋体" w:eastAsia="宋体" w:cs="宋体"/>
                <w:color w:val="auto"/>
                <w:sz w:val="22"/>
                <w:highlight w:val="none"/>
              </w:rPr>
            </w:pPr>
          </w:p>
        </w:tc>
        <w:tc>
          <w:tcPr>
            <w:tcW w:w="918" w:type="dxa"/>
            <w:vMerge w:val="continue"/>
            <w:vAlign w:val="center"/>
          </w:tcPr>
          <w:p w14:paraId="65F8E57F">
            <w:pPr>
              <w:ind w:firstLine="480"/>
              <w:jc w:val="center"/>
              <w:rPr>
                <w:rFonts w:hint="eastAsia" w:ascii="宋体" w:hAnsi="宋体" w:eastAsia="宋体" w:cs="宋体"/>
                <w:color w:val="auto"/>
                <w:sz w:val="22"/>
                <w:highlight w:val="none"/>
              </w:rPr>
            </w:pPr>
          </w:p>
        </w:tc>
        <w:tc>
          <w:tcPr>
            <w:tcW w:w="4047" w:type="dxa"/>
            <w:vAlign w:val="center"/>
          </w:tcPr>
          <w:p w14:paraId="188920EA">
            <w:pPr>
              <w:rPr>
                <w:rFonts w:hint="eastAsia" w:ascii="宋体" w:hAnsi="宋体" w:eastAsia="宋体" w:cs="宋体"/>
                <w:color w:val="auto"/>
                <w:sz w:val="22"/>
                <w:highlight w:val="none"/>
              </w:rPr>
            </w:pPr>
            <w:r>
              <w:rPr>
                <w:rFonts w:hint="eastAsia" w:ascii="宋体" w:hAnsi="宋体" w:eastAsia="宋体" w:cs="宋体"/>
                <w:color w:val="auto"/>
                <w:sz w:val="22"/>
                <w:highlight w:val="none"/>
              </w:rPr>
              <w:t>7、违反人员安全管理</w:t>
            </w:r>
          </w:p>
        </w:tc>
        <w:tc>
          <w:tcPr>
            <w:tcW w:w="1994" w:type="dxa"/>
            <w:vAlign w:val="center"/>
          </w:tcPr>
          <w:p w14:paraId="5FC07A70">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10分/次</w:t>
            </w:r>
          </w:p>
        </w:tc>
      </w:tr>
      <w:tr w14:paraId="007A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3" w:type="dxa"/>
            <w:vMerge w:val="restart"/>
            <w:vAlign w:val="center"/>
          </w:tcPr>
          <w:p w14:paraId="292E3033">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演艺质量</w:t>
            </w:r>
          </w:p>
        </w:tc>
        <w:tc>
          <w:tcPr>
            <w:tcW w:w="1072" w:type="dxa"/>
            <w:vMerge w:val="restart"/>
            <w:vAlign w:val="center"/>
          </w:tcPr>
          <w:p w14:paraId="6BFBDD94">
            <w:pPr>
              <w:ind w:firstLine="480"/>
              <w:jc w:val="center"/>
              <w:rPr>
                <w:rFonts w:hint="eastAsia" w:ascii="宋体" w:hAnsi="宋体" w:eastAsia="宋体" w:cs="宋体"/>
                <w:color w:val="auto"/>
                <w:sz w:val="22"/>
                <w:highlight w:val="none"/>
              </w:rPr>
            </w:pPr>
          </w:p>
        </w:tc>
        <w:tc>
          <w:tcPr>
            <w:tcW w:w="918" w:type="dxa"/>
            <w:vMerge w:val="restart"/>
            <w:vAlign w:val="center"/>
          </w:tcPr>
          <w:p w14:paraId="38707ACA">
            <w:pPr>
              <w:rPr>
                <w:rFonts w:hint="eastAsia" w:ascii="宋体" w:hAnsi="宋体" w:eastAsia="宋体" w:cs="宋体"/>
                <w:color w:val="auto"/>
                <w:sz w:val="22"/>
                <w:highlight w:val="none"/>
              </w:rPr>
            </w:pPr>
            <w:r>
              <w:rPr>
                <w:rFonts w:hint="eastAsia" w:ascii="宋体" w:hAnsi="宋体" w:eastAsia="宋体" w:cs="宋体"/>
                <w:color w:val="auto"/>
                <w:sz w:val="22"/>
                <w:highlight w:val="none"/>
              </w:rPr>
              <w:t>40分</w:t>
            </w:r>
          </w:p>
        </w:tc>
        <w:tc>
          <w:tcPr>
            <w:tcW w:w="4047" w:type="dxa"/>
            <w:vAlign w:val="center"/>
          </w:tcPr>
          <w:p w14:paraId="4E237352">
            <w:pPr>
              <w:rPr>
                <w:rFonts w:hint="eastAsia" w:ascii="宋体" w:hAnsi="宋体" w:eastAsia="宋体" w:cs="宋体"/>
                <w:color w:val="auto"/>
                <w:sz w:val="22"/>
                <w:highlight w:val="none"/>
              </w:rPr>
            </w:pPr>
            <w:r>
              <w:rPr>
                <w:rFonts w:hint="eastAsia" w:ascii="宋体" w:hAnsi="宋体" w:eastAsia="宋体" w:cs="宋体"/>
                <w:color w:val="auto"/>
                <w:sz w:val="22"/>
                <w:highlight w:val="none"/>
              </w:rPr>
              <w:t>1、动作生硬、队列懒散。</w:t>
            </w:r>
          </w:p>
        </w:tc>
        <w:tc>
          <w:tcPr>
            <w:tcW w:w="1994" w:type="dxa"/>
            <w:vAlign w:val="center"/>
          </w:tcPr>
          <w:p w14:paraId="410BE5C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5分/次</w:t>
            </w:r>
          </w:p>
        </w:tc>
      </w:tr>
      <w:tr w14:paraId="63E5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3" w:type="dxa"/>
            <w:vMerge w:val="continue"/>
            <w:vAlign w:val="center"/>
          </w:tcPr>
          <w:p w14:paraId="67A6BF64">
            <w:pPr>
              <w:ind w:firstLine="480"/>
              <w:jc w:val="center"/>
              <w:rPr>
                <w:rFonts w:hint="eastAsia" w:ascii="宋体" w:hAnsi="宋体" w:eastAsia="宋体" w:cs="宋体"/>
                <w:color w:val="auto"/>
                <w:sz w:val="22"/>
                <w:highlight w:val="none"/>
              </w:rPr>
            </w:pPr>
          </w:p>
        </w:tc>
        <w:tc>
          <w:tcPr>
            <w:tcW w:w="1072" w:type="dxa"/>
            <w:vMerge w:val="continue"/>
            <w:vAlign w:val="center"/>
          </w:tcPr>
          <w:p w14:paraId="03093B92">
            <w:pPr>
              <w:ind w:firstLine="480"/>
              <w:jc w:val="center"/>
              <w:rPr>
                <w:rFonts w:hint="eastAsia" w:ascii="宋体" w:hAnsi="宋体" w:eastAsia="宋体" w:cs="宋体"/>
                <w:color w:val="auto"/>
                <w:sz w:val="22"/>
                <w:highlight w:val="none"/>
              </w:rPr>
            </w:pPr>
          </w:p>
        </w:tc>
        <w:tc>
          <w:tcPr>
            <w:tcW w:w="918" w:type="dxa"/>
            <w:vMerge w:val="continue"/>
            <w:vAlign w:val="center"/>
          </w:tcPr>
          <w:p w14:paraId="143EFF9F">
            <w:pPr>
              <w:ind w:firstLine="480"/>
              <w:jc w:val="center"/>
              <w:rPr>
                <w:rFonts w:hint="eastAsia" w:ascii="宋体" w:hAnsi="宋体" w:eastAsia="宋体" w:cs="宋体"/>
                <w:color w:val="auto"/>
                <w:sz w:val="22"/>
                <w:highlight w:val="none"/>
              </w:rPr>
            </w:pPr>
          </w:p>
        </w:tc>
        <w:tc>
          <w:tcPr>
            <w:tcW w:w="4047" w:type="dxa"/>
            <w:vAlign w:val="center"/>
          </w:tcPr>
          <w:p w14:paraId="4FE1375A">
            <w:pPr>
              <w:rPr>
                <w:rFonts w:hint="eastAsia" w:ascii="宋体" w:hAnsi="宋体" w:eastAsia="宋体" w:cs="宋体"/>
                <w:color w:val="auto"/>
                <w:sz w:val="22"/>
                <w:highlight w:val="none"/>
              </w:rPr>
            </w:pPr>
            <w:r>
              <w:rPr>
                <w:rFonts w:hint="eastAsia" w:ascii="宋体" w:hAnsi="宋体" w:eastAsia="宋体" w:cs="宋体"/>
                <w:color w:val="auto"/>
                <w:sz w:val="22"/>
                <w:highlight w:val="none"/>
              </w:rPr>
              <w:t>2、不按要求规范道具摆放。</w:t>
            </w:r>
          </w:p>
        </w:tc>
        <w:tc>
          <w:tcPr>
            <w:tcW w:w="1994" w:type="dxa"/>
            <w:vAlign w:val="center"/>
          </w:tcPr>
          <w:p w14:paraId="0E155835">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5分/次</w:t>
            </w:r>
          </w:p>
        </w:tc>
      </w:tr>
      <w:tr w14:paraId="6718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3" w:type="dxa"/>
            <w:vMerge w:val="continue"/>
            <w:vAlign w:val="center"/>
          </w:tcPr>
          <w:p w14:paraId="7A7586B5">
            <w:pPr>
              <w:ind w:firstLine="480"/>
              <w:jc w:val="center"/>
              <w:rPr>
                <w:rFonts w:hint="eastAsia" w:ascii="宋体" w:hAnsi="宋体" w:eastAsia="宋体" w:cs="宋体"/>
                <w:color w:val="auto"/>
                <w:sz w:val="22"/>
                <w:highlight w:val="none"/>
              </w:rPr>
            </w:pPr>
          </w:p>
        </w:tc>
        <w:tc>
          <w:tcPr>
            <w:tcW w:w="1072" w:type="dxa"/>
            <w:vMerge w:val="continue"/>
            <w:vAlign w:val="center"/>
          </w:tcPr>
          <w:p w14:paraId="09BDBD53">
            <w:pPr>
              <w:ind w:firstLine="480"/>
              <w:jc w:val="center"/>
              <w:rPr>
                <w:rFonts w:hint="eastAsia" w:ascii="宋体" w:hAnsi="宋体" w:eastAsia="宋体" w:cs="宋体"/>
                <w:color w:val="auto"/>
                <w:sz w:val="22"/>
                <w:highlight w:val="none"/>
              </w:rPr>
            </w:pPr>
          </w:p>
        </w:tc>
        <w:tc>
          <w:tcPr>
            <w:tcW w:w="918" w:type="dxa"/>
            <w:vMerge w:val="continue"/>
            <w:vAlign w:val="center"/>
          </w:tcPr>
          <w:p w14:paraId="4F14DE76">
            <w:pPr>
              <w:ind w:firstLine="480"/>
              <w:jc w:val="center"/>
              <w:rPr>
                <w:rFonts w:hint="eastAsia" w:ascii="宋体" w:hAnsi="宋体" w:eastAsia="宋体" w:cs="宋体"/>
                <w:color w:val="auto"/>
                <w:sz w:val="22"/>
                <w:highlight w:val="none"/>
              </w:rPr>
            </w:pPr>
          </w:p>
        </w:tc>
        <w:tc>
          <w:tcPr>
            <w:tcW w:w="4047" w:type="dxa"/>
            <w:vAlign w:val="center"/>
          </w:tcPr>
          <w:p w14:paraId="6EA72F61">
            <w:pPr>
              <w:rPr>
                <w:rFonts w:hint="eastAsia" w:ascii="宋体" w:hAnsi="宋体" w:eastAsia="宋体" w:cs="宋体"/>
                <w:color w:val="auto"/>
                <w:sz w:val="22"/>
                <w:highlight w:val="none"/>
              </w:rPr>
            </w:pPr>
            <w:r>
              <w:rPr>
                <w:rFonts w:hint="eastAsia" w:ascii="宋体" w:hAnsi="宋体" w:eastAsia="宋体" w:cs="宋体"/>
                <w:color w:val="auto"/>
                <w:sz w:val="22"/>
                <w:highlight w:val="none"/>
              </w:rPr>
              <w:t>3、演出期间笑场、场上聊天</w:t>
            </w:r>
          </w:p>
        </w:tc>
        <w:tc>
          <w:tcPr>
            <w:tcW w:w="1994" w:type="dxa"/>
            <w:vAlign w:val="center"/>
          </w:tcPr>
          <w:p w14:paraId="1ED18644">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5分/次</w:t>
            </w:r>
          </w:p>
        </w:tc>
      </w:tr>
      <w:tr w14:paraId="12DD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3" w:type="dxa"/>
            <w:vMerge w:val="continue"/>
            <w:vAlign w:val="center"/>
          </w:tcPr>
          <w:p w14:paraId="34CF3ED5">
            <w:pPr>
              <w:ind w:firstLine="480"/>
              <w:jc w:val="center"/>
              <w:rPr>
                <w:rFonts w:hint="eastAsia" w:ascii="宋体" w:hAnsi="宋体" w:eastAsia="宋体" w:cs="宋体"/>
                <w:color w:val="auto"/>
                <w:sz w:val="22"/>
                <w:highlight w:val="none"/>
              </w:rPr>
            </w:pPr>
          </w:p>
        </w:tc>
        <w:tc>
          <w:tcPr>
            <w:tcW w:w="1072" w:type="dxa"/>
            <w:vMerge w:val="continue"/>
            <w:vAlign w:val="center"/>
          </w:tcPr>
          <w:p w14:paraId="0DAA3FAF">
            <w:pPr>
              <w:ind w:firstLine="480"/>
              <w:jc w:val="center"/>
              <w:rPr>
                <w:rFonts w:hint="eastAsia" w:ascii="宋体" w:hAnsi="宋体" w:eastAsia="宋体" w:cs="宋体"/>
                <w:color w:val="auto"/>
                <w:sz w:val="22"/>
                <w:highlight w:val="none"/>
              </w:rPr>
            </w:pPr>
          </w:p>
        </w:tc>
        <w:tc>
          <w:tcPr>
            <w:tcW w:w="918" w:type="dxa"/>
            <w:vMerge w:val="continue"/>
            <w:vAlign w:val="center"/>
          </w:tcPr>
          <w:p w14:paraId="5759C8EE">
            <w:pPr>
              <w:ind w:firstLine="480"/>
              <w:jc w:val="center"/>
              <w:rPr>
                <w:rFonts w:hint="eastAsia" w:ascii="宋体" w:hAnsi="宋体" w:eastAsia="宋体" w:cs="宋体"/>
                <w:color w:val="auto"/>
                <w:sz w:val="22"/>
                <w:highlight w:val="none"/>
              </w:rPr>
            </w:pPr>
          </w:p>
        </w:tc>
        <w:tc>
          <w:tcPr>
            <w:tcW w:w="4047" w:type="dxa"/>
            <w:vAlign w:val="center"/>
          </w:tcPr>
          <w:p w14:paraId="2A7E40AF">
            <w:pPr>
              <w:rPr>
                <w:rFonts w:hint="eastAsia" w:ascii="宋体" w:hAnsi="宋体" w:eastAsia="宋体" w:cs="宋体"/>
                <w:color w:val="auto"/>
                <w:sz w:val="22"/>
                <w:highlight w:val="none"/>
              </w:rPr>
            </w:pPr>
            <w:r>
              <w:rPr>
                <w:rFonts w:hint="eastAsia" w:ascii="宋体" w:hAnsi="宋体" w:eastAsia="宋体" w:cs="宋体"/>
                <w:color w:val="auto"/>
                <w:sz w:val="22"/>
                <w:highlight w:val="none"/>
              </w:rPr>
              <w:t>4、未在30分钟前检查服装道具及提前五分钟静场</w:t>
            </w:r>
          </w:p>
        </w:tc>
        <w:tc>
          <w:tcPr>
            <w:tcW w:w="1994" w:type="dxa"/>
            <w:vAlign w:val="center"/>
          </w:tcPr>
          <w:p w14:paraId="48843478">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5分/次</w:t>
            </w:r>
          </w:p>
        </w:tc>
      </w:tr>
      <w:tr w14:paraId="3941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743" w:type="dxa"/>
            <w:vMerge w:val="continue"/>
            <w:vAlign w:val="center"/>
          </w:tcPr>
          <w:p w14:paraId="5DCC7841">
            <w:pPr>
              <w:ind w:firstLine="480"/>
              <w:jc w:val="center"/>
              <w:rPr>
                <w:rFonts w:hint="eastAsia" w:ascii="宋体" w:hAnsi="宋体" w:eastAsia="宋体" w:cs="宋体"/>
                <w:color w:val="auto"/>
                <w:sz w:val="22"/>
                <w:highlight w:val="none"/>
              </w:rPr>
            </w:pPr>
          </w:p>
        </w:tc>
        <w:tc>
          <w:tcPr>
            <w:tcW w:w="1072" w:type="dxa"/>
            <w:vMerge w:val="continue"/>
            <w:vAlign w:val="center"/>
          </w:tcPr>
          <w:p w14:paraId="082E48EF">
            <w:pPr>
              <w:ind w:firstLine="480"/>
              <w:jc w:val="center"/>
              <w:rPr>
                <w:rFonts w:hint="eastAsia" w:ascii="宋体" w:hAnsi="宋体" w:eastAsia="宋体" w:cs="宋体"/>
                <w:color w:val="auto"/>
                <w:sz w:val="22"/>
                <w:highlight w:val="none"/>
              </w:rPr>
            </w:pPr>
          </w:p>
        </w:tc>
        <w:tc>
          <w:tcPr>
            <w:tcW w:w="918" w:type="dxa"/>
            <w:vMerge w:val="continue"/>
            <w:vAlign w:val="center"/>
          </w:tcPr>
          <w:p w14:paraId="72B09AD7">
            <w:pPr>
              <w:ind w:firstLine="480"/>
              <w:jc w:val="center"/>
              <w:rPr>
                <w:rFonts w:hint="eastAsia" w:ascii="宋体" w:hAnsi="宋体" w:eastAsia="宋体" w:cs="宋体"/>
                <w:color w:val="auto"/>
                <w:sz w:val="22"/>
                <w:highlight w:val="none"/>
              </w:rPr>
            </w:pPr>
          </w:p>
        </w:tc>
        <w:tc>
          <w:tcPr>
            <w:tcW w:w="4047" w:type="dxa"/>
            <w:vAlign w:val="center"/>
          </w:tcPr>
          <w:p w14:paraId="7C3115C6">
            <w:pPr>
              <w:rPr>
                <w:rFonts w:hint="eastAsia" w:ascii="宋体" w:hAnsi="宋体" w:eastAsia="宋体" w:cs="宋体"/>
                <w:color w:val="auto"/>
                <w:sz w:val="22"/>
                <w:highlight w:val="none"/>
              </w:rPr>
            </w:pPr>
            <w:r>
              <w:rPr>
                <w:rFonts w:hint="eastAsia" w:ascii="宋体" w:hAnsi="宋体" w:eastAsia="宋体" w:cs="宋体"/>
                <w:color w:val="auto"/>
                <w:sz w:val="22"/>
                <w:highlight w:val="none"/>
              </w:rPr>
              <w:t>5、表情、动作、串场严重及现场演艺情绪不满者</w:t>
            </w:r>
          </w:p>
        </w:tc>
        <w:tc>
          <w:tcPr>
            <w:tcW w:w="1994" w:type="dxa"/>
            <w:vAlign w:val="center"/>
          </w:tcPr>
          <w:p w14:paraId="021D4DE3">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较轻10分/次，情节严重的20分/次，并另处罚金。</w:t>
            </w:r>
          </w:p>
        </w:tc>
      </w:tr>
      <w:tr w14:paraId="5EFF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3" w:type="dxa"/>
            <w:vMerge w:val="continue"/>
            <w:vAlign w:val="center"/>
          </w:tcPr>
          <w:p w14:paraId="25E9395A">
            <w:pPr>
              <w:ind w:firstLine="480"/>
              <w:jc w:val="center"/>
              <w:rPr>
                <w:rFonts w:hint="eastAsia" w:ascii="宋体" w:hAnsi="宋体" w:eastAsia="宋体" w:cs="宋体"/>
                <w:color w:val="auto"/>
                <w:sz w:val="22"/>
                <w:highlight w:val="none"/>
              </w:rPr>
            </w:pPr>
          </w:p>
        </w:tc>
        <w:tc>
          <w:tcPr>
            <w:tcW w:w="1072" w:type="dxa"/>
            <w:vMerge w:val="continue"/>
            <w:vAlign w:val="center"/>
          </w:tcPr>
          <w:p w14:paraId="7F49F02F">
            <w:pPr>
              <w:ind w:firstLine="480"/>
              <w:jc w:val="center"/>
              <w:rPr>
                <w:rFonts w:hint="eastAsia" w:ascii="宋体" w:hAnsi="宋体" w:eastAsia="宋体" w:cs="宋体"/>
                <w:color w:val="auto"/>
                <w:sz w:val="22"/>
                <w:highlight w:val="none"/>
              </w:rPr>
            </w:pPr>
          </w:p>
        </w:tc>
        <w:tc>
          <w:tcPr>
            <w:tcW w:w="918" w:type="dxa"/>
            <w:vMerge w:val="continue"/>
            <w:vAlign w:val="center"/>
          </w:tcPr>
          <w:p w14:paraId="529027A5">
            <w:pPr>
              <w:ind w:firstLine="480"/>
              <w:jc w:val="center"/>
              <w:rPr>
                <w:rFonts w:hint="eastAsia" w:ascii="宋体" w:hAnsi="宋体" w:eastAsia="宋体" w:cs="宋体"/>
                <w:color w:val="auto"/>
                <w:sz w:val="22"/>
                <w:highlight w:val="none"/>
              </w:rPr>
            </w:pPr>
          </w:p>
        </w:tc>
        <w:tc>
          <w:tcPr>
            <w:tcW w:w="4047" w:type="dxa"/>
            <w:vAlign w:val="center"/>
          </w:tcPr>
          <w:p w14:paraId="7F4DC66B">
            <w:pPr>
              <w:rPr>
                <w:rFonts w:hint="eastAsia" w:ascii="宋体" w:hAnsi="宋体" w:eastAsia="宋体" w:cs="宋体"/>
                <w:color w:val="auto"/>
                <w:sz w:val="22"/>
                <w:highlight w:val="none"/>
              </w:rPr>
            </w:pPr>
            <w:r>
              <w:rPr>
                <w:rFonts w:hint="eastAsia" w:ascii="宋体" w:hAnsi="宋体" w:eastAsia="宋体" w:cs="宋体"/>
                <w:color w:val="auto"/>
                <w:sz w:val="22"/>
                <w:highlight w:val="none"/>
              </w:rPr>
              <w:t>6、因演艺团队原因误场</w:t>
            </w:r>
          </w:p>
        </w:tc>
        <w:tc>
          <w:tcPr>
            <w:tcW w:w="1994" w:type="dxa"/>
            <w:vAlign w:val="center"/>
          </w:tcPr>
          <w:p w14:paraId="65C20323">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40分一次，并另处罚金</w:t>
            </w:r>
          </w:p>
        </w:tc>
      </w:tr>
      <w:tr w14:paraId="2473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3" w:type="dxa"/>
            <w:vMerge w:val="restart"/>
            <w:vAlign w:val="center"/>
          </w:tcPr>
          <w:p w14:paraId="7EFE2A2F">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服化道</w:t>
            </w:r>
          </w:p>
          <w:p w14:paraId="77A5579D">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管理</w:t>
            </w:r>
          </w:p>
        </w:tc>
        <w:tc>
          <w:tcPr>
            <w:tcW w:w="1072" w:type="dxa"/>
            <w:vMerge w:val="restart"/>
            <w:vAlign w:val="center"/>
          </w:tcPr>
          <w:p w14:paraId="1D1F1CB2">
            <w:pPr>
              <w:ind w:firstLine="480"/>
              <w:jc w:val="center"/>
              <w:rPr>
                <w:rFonts w:hint="eastAsia" w:ascii="宋体" w:hAnsi="宋体" w:eastAsia="宋体" w:cs="宋体"/>
                <w:color w:val="auto"/>
                <w:sz w:val="22"/>
                <w:highlight w:val="none"/>
              </w:rPr>
            </w:pPr>
          </w:p>
        </w:tc>
        <w:tc>
          <w:tcPr>
            <w:tcW w:w="918" w:type="dxa"/>
            <w:vMerge w:val="restart"/>
            <w:vAlign w:val="center"/>
          </w:tcPr>
          <w:p w14:paraId="4D9C997A">
            <w:pPr>
              <w:rPr>
                <w:rFonts w:hint="eastAsia" w:ascii="宋体" w:hAnsi="宋体" w:eastAsia="宋体" w:cs="宋体"/>
                <w:color w:val="auto"/>
                <w:sz w:val="22"/>
                <w:highlight w:val="none"/>
              </w:rPr>
            </w:pPr>
            <w:r>
              <w:rPr>
                <w:rFonts w:hint="eastAsia" w:ascii="宋体" w:hAnsi="宋体" w:eastAsia="宋体" w:cs="宋体"/>
                <w:color w:val="auto"/>
                <w:sz w:val="22"/>
                <w:highlight w:val="none"/>
              </w:rPr>
              <w:t>10分</w:t>
            </w:r>
          </w:p>
        </w:tc>
        <w:tc>
          <w:tcPr>
            <w:tcW w:w="4047" w:type="dxa"/>
            <w:vAlign w:val="center"/>
          </w:tcPr>
          <w:p w14:paraId="0BB8BBBC">
            <w:pPr>
              <w:rPr>
                <w:rFonts w:hint="eastAsia" w:ascii="宋体" w:hAnsi="宋体" w:eastAsia="宋体" w:cs="宋体"/>
                <w:color w:val="auto"/>
                <w:sz w:val="22"/>
                <w:highlight w:val="none"/>
              </w:rPr>
            </w:pPr>
            <w:r>
              <w:rPr>
                <w:rFonts w:hint="eastAsia" w:ascii="宋体" w:hAnsi="宋体" w:eastAsia="宋体" w:cs="宋体"/>
                <w:color w:val="auto"/>
                <w:sz w:val="22"/>
                <w:highlight w:val="none"/>
              </w:rPr>
              <w:t>1、服装、头饰、道具，未按原始规定要求进行着装佩戴和使用。</w:t>
            </w:r>
          </w:p>
        </w:tc>
        <w:tc>
          <w:tcPr>
            <w:tcW w:w="1994" w:type="dxa"/>
            <w:vAlign w:val="center"/>
          </w:tcPr>
          <w:p w14:paraId="4906C9AD">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10分/次</w:t>
            </w:r>
          </w:p>
        </w:tc>
      </w:tr>
      <w:tr w14:paraId="1A24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3" w:type="dxa"/>
            <w:vMerge w:val="continue"/>
            <w:vAlign w:val="center"/>
          </w:tcPr>
          <w:p w14:paraId="0BDAF3C6">
            <w:pPr>
              <w:ind w:firstLine="480"/>
              <w:jc w:val="center"/>
              <w:rPr>
                <w:rFonts w:hint="eastAsia" w:ascii="宋体" w:hAnsi="宋体" w:eastAsia="宋体" w:cs="宋体"/>
                <w:color w:val="auto"/>
                <w:sz w:val="22"/>
                <w:highlight w:val="none"/>
              </w:rPr>
            </w:pPr>
          </w:p>
        </w:tc>
        <w:tc>
          <w:tcPr>
            <w:tcW w:w="1072" w:type="dxa"/>
            <w:vMerge w:val="continue"/>
            <w:vAlign w:val="center"/>
          </w:tcPr>
          <w:p w14:paraId="69C6A7AD">
            <w:pPr>
              <w:ind w:firstLine="480"/>
              <w:jc w:val="center"/>
              <w:rPr>
                <w:rFonts w:hint="eastAsia" w:ascii="宋体" w:hAnsi="宋体" w:eastAsia="宋体" w:cs="宋体"/>
                <w:color w:val="auto"/>
                <w:sz w:val="22"/>
                <w:highlight w:val="none"/>
              </w:rPr>
            </w:pPr>
          </w:p>
        </w:tc>
        <w:tc>
          <w:tcPr>
            <w:tcW w:w="918" w:type="dxa"/>
            <w:vMerge w:val="continue"/>
            <w:vAlign w:val="center"/>
          </w:tcPr>
          <w:p w14:paraId="051B9342">
            <w:pPr>
              <w:ind w:firstLine="480"/>
              <w:jc w:val="center"/>
              <w:rPr>
                <w:rFonts w:hint="eastAsia" w:ascii="宋体" w:hAnsi="宋体" w:eastAsia="宋体" w:cs="宋体"/>
                <w:color w:val="auto"/>
                <w:sz w:val="22"/>
                <w:highlight w:val="none"/>
              </w:rPr>
            </w:pPr>
          </w:p>
        </w:tc>
        <w:tc>
          <w:tcPr>
            <w:tcW w:w="4047" w:type="dxa"/>
            <w:vAlign w:val="center"/>
          </w:tcPr>
          <w:p w14:paraId="0DED04AD">
            <w:pPr>
              <w:rPr>
                <w:rFonts w:hint="eastAsia" w:ascii="宋体" w:hAnsi="宋体" w:eastAsia="宋体" w:cs="宋体"/>
                <w:color w:val="auto"/>
                <w:sz w:val="22"/>
                <w:highlight w:val="none"/>
              </w:rPr>
            </w:pPr>
            <w:r>
              <w:rPr>
                <w:rFonts w:hint="eastAsia" w:ascii="宋体" w:hAnsi="宋体" w:eastAsia="宋体" w:cs="宋体"/>
                <w:color w:val="auto"/>
                <w:sz w:val="22"/>
                <w:highlight w:val="none"/>
              </w:rPr>
              <w:t>2、演出前及演出后不按要求摆放道具及返仓，随处摆放</w:t>
            </w:r>
          </w:p>
        </w:tc>
        <w:tc>
          <w:tcPr>
            <w:tcW w:w="1994" w:type="dxa"/>
            <w:vAlign w:val="center"/>
          </w:tcPr>
          <w:p w14:paraId="58D90F14">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5分/次</w:t>
            </w:r>
          </w:p>
        </w:tc>
      </w:tr>
      <w:tr w14:paraId="15D3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3" w:type="dxa"/>
            <w:vMerge w:val="continue"/>
            <w:vAlign w:val="center"/>
          </w:tcPr>
          <w:p w14:paraId="7DF2D4B1">
            <w:pPr>
              <w:ind w:firstLine="480"/>
              <w:jc w:val="center"/>
              <w:rPr>
                <w:rFonts w:hint="eastAsia" w:ascii="宋体" w:hAnsi="宋体" w:eastAsia="宋体" w:cs="宋体"/>
                <w:color w:val="auto"/>
                <w:sz w:val="22"/>
                <w:highlight w:val="none"/>
              </w:rPr>
            </w:pPr>
          </w:p>
        </w:tc>
        <w:tc>
          <w:tcPr>
            <w:tcW w:w="1072" w:type="dxa"/>
            <w:vMerge w:val="continue"/>
            <w:vAlign w:val="center"/>
          </w:tcPr>
          <w:p w14:paraId="67D68B07">
            <w:pPr>
              <w:ind w:firstLine="480"/>
              <w:jc w:val="center"/>
              <w:rPr>
                <w:rFonts w:hint="eastAsia" w:ascii="宋体" w:hAnsi="宋体" w:eastAsia="宋体" w:cs="宋体"/>
                <w:color w:val="auto"/>
                <w:sz w:val="22"/>
                <w:highlight w:val="none"/>
              </w:rPr>
            </w:pPr>
          </w:p>
        </w:tc>
        <w:tc>
          <w:tcPr>
            <w:tcW w:w="918" w:type="dxa"/>
            <w:vMerge w:val="continue"/>
            <w:vAlign w:val="center"/>
          </w:tcPr>
          <w:p w14:paraId="2CA067C8">
            <w:pPr>
              <w:ind w:firstLine="480"/>
              <w:jc w:val="center"/>
              <w:rPr>
                <w:rFonts w:hint="eastAsia" w:ascii="宋体" w:hAnsi="宋体" w:eastAsia="宋体" w:cs="宋体"/>
                <w:color w:val="auto"/>
                <w:sz w:val="22"/>
                <w:highlight w:val="none"/>
              </w:rPr>
            </w:pPr>
          </w:p>
        </w:tc>
        <w:tc>
          <w:tcPr>
            <w:tcW w:w="4047" w:type="dxa"/>
            <w:vAlign w:val="center"/>
          </w:tcPr>
          <w:p w14:paraId="20BA2E23">
            <w:pPr>
              <w:rPr>
                <w:rFonts w:hint="eastAsia" w:ascii="宋体" w:hAnsi="宋体" w:eastAsia="宋体" w:cs="宋体"/>
                <w:color w:val="auto"/>
                <w:sz w:val="22"/>
                <w:highlight w:val="none"/>
              </w:rPr>
            </w:pPr>
            <w:r>
              <w:rPr>
                <w:rFonts w:hint="eastAsia" w:ascii="宋体" w:hAnsi="宋体" w:eastAsia="宋体" w:cs="宋体"/>
                <w:color w:val="auto"/>
                <w:sz w:val="22"/>
                <w:highlight w:val="none"/>
              </w:rPr>
              <w:t>3、身穿演出服随地坐卧及卧躺，举止文雅者</w:t>
            </w:r>
          </w:p>
        </w:tc>
        <w:tc>
          <w:tcPr>
            <w:tcW w:w="1994" w:type="dxa"/>
            <w:vAlign w:val="center"/>
          </w:tcPr>
          <w:p w14:paraId="2188BD53">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5分/次</w:t>
            </w:r>
          </w:p>
        </w:tc>
      </w:tr>
      <w:tr w14:paraId="6D6A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3" w:type="dxa"/>
            <w:vMerge w:val="continue"/>
            <w:vAlign w:val="center"/>
          </w:tcPr>
          <w:p w14:paraId="796C6D83">
            <w:pPr>
              <w:ind w:firstLine="480"/>
              <w:jc w:val="center"/>
              <w:rPr>
                <w:rFonts w:hint="eastAsia" w:ascii="宋体" w:hAnsi="宋体" w:eastAsia="宋体" w:cs="宋体"/>
                <w:color w:val="auto"/>
                <w:sz w:val="22"/>
                <w:highlight w:val="none"/>
              </w:rPr>
            </w:pPr>
          </w:p>
        </w:tc>
        <w:tc>
          <w:tcPr>
            <w:tcW w:w="1072" w:type="dxa"/>
            <w:vMerge w:val="continue"/>
            <w:vAlign w:val="center"/>
          </w:tcPr>
          <w:p w14:paraId="4FB225BD">
            <w:pPr>
              <w:ind w:firstLine="480"/>
              <w:jc w:val="center"/>
              <w:rPr>
                <w:rFonts w:hint="eastAsia" w:ascii="宋体" w:hAnsi="宋体" w:eastAsia="宋体" w:cs="宋体"/>
                <w:color w:val="auto"/>
                <w:sz w:val="22"/>
                <w:highlight w:val="none"/>
              </w:rPr>
            </w:pPr>
          </w:p>
        </w:tc>
        <w:tc>
          <w:tcPr>
            <w:tcW w:w="918" w:type="dxa"/>
            <w:vMerge w:val="continue"/>
            <w:vAlign w:val="center"/>
          </w:tcPr>
          <w:p w14:paraId="005E93EA">
            <w:pPr>
              <w:ind w:firstLine="480"/>
              <w:jc w:val="center"/>
              <w:rPr>
                <w:rFonts w:hint="eastAsia" w:ascii="宋体" w:hAnsi="宋体" w:eastAsia="宋体" w:cs="宋体"/>
                <w:color w:val="auto"/>
                <w:sz w:val="22"/>
                <w:highlight w:val="none"/>
              </w:rPr>
            </w:pPr>
          </w:p>
        </w:tc>
        <w:tc>
          <w:tcPr>
            <w:tcW w:w="4047" w:type="dxa"/>
            <w:vAlign w:val="center"/>
          </w:tcPr>
          <w:p w14:paraId="475D19BA">
            <w:pPr>
              <w:rPr>
                <w:rFonts w:hint="eastAsia" w:ascii="宋体" w:hAnsi="宋体" w:eastAsia="宋体" w:cs="宋体"/>
                <w:color w:val="auto"/>
                <w:sz w:val="22"/>
                <w:highlight w:val="none"/>
              </w:rPr>
            </w:pPr>
            <w:r>
              <w:rPr>
                <w:rFonts w:hint="eastAsia" w:ascii="宋体" w:hAnsi="宋体" w:eastAsia="宋体" w:cs="宋体"/>
                <w:color w:val="auto"/>
                <w:sz w:val="22"/>
                <w:highlight w:val="none"/>
              </w:rPr>
              <w:t>4、衣衫不整随处走动，未在指定区域待命者</w:t>
            </w:r>
          </w:p>
        </w:tc>
        <w:tc>
          <w:tcPr>
            <w:tcW w:w="1994" w:type="dxa"/>
            <w:vAlign w:val="center"/>
          </w:tcPr>
          <w:p w14:paraId="59B0C45F">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10分/次</w:t>
            </w:r>
          </w:p>
        </w:tc>
      </w:tr>
      <w:tr w14:paraId="569F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3" w:type="dxa"/>
            <w:vMerge w:val="continue"/>
            <w:vAlign w:val="center"/>
          </w:tcPr>
          <w:p w14:paraId="20AD9C23">
            <w:pPr>
              <w:ind w:firstLine="480"/>
              <w:jc w:val="center"/>
              <w:rPr>
                <w:rFonts w:hint="eastAsia" w:ascii="宋体" w:hAnsi="宋体" w:eastAsia="宋体" w:cs="宋体"/>
                <w:color w:val="auto"/>
                <w:sz w:val="22"/>
                <w:highlight w:val="none"/>
              </w:rPr>
            </w:pPr>
          </w:p>
        </w:tc>
        <w:tc>
          <w:tcPr>
            <w:tcW w:w="1072" w:type="dxa"/>
            <w:vMerge w:val="continue"/>
            <w:vAlign w:val="center"/>
          </w:tcPr>
          <w:p w14:paraId="3F4BBB90">
            <w:pPr>
              <w:ind w:firstLine="480"/>
              <w:jc w:val="center"/>
              <w:rPr>
                <w:rFonts w:hint="eastAsia" w:ascii="宋体" w:hAnsi="宋体" w:eastAsia="宋体" w:cs="宋体"/>
                <w:color w:val="auto"/>
                <w:sz w:val="22"/>
                <w:highlight w:val="none"/>
              </w:rPr>
            </w:pPr>
          </w:p>
        </w:tc>
        <w:tc>
          <w:tcPr>
            <w:tcW w:w="918" w:type="dxa"/>
            <w:vMerge w:val="continue"/>
            <w:vAlign w:val="center"/>
          </w:tcPr>
          <w:p w14:paraId="57675CC7">
            <w:pPr>
              <w:ind w:firstLine="480"/>
              <w:jc w:val="center"/>
              <w:rPr>
                <w:rFonts w:hint="eastAsia" w:ascii="宋体" w:hAnsi="宋体" w:eastAsia="宋体" w:cs="宋体"/>
                <w:color w:val="auto"/>
                <w:sz w:val="22"/>
                <w:highlight w:val="none"/>
              </w:rPr>
            </w:pPr>
          </w:p>
        </w:tc>
        <w:tc>
          <w:tcPr>
            <w:tcW w:w="4047" w:type="dxa"/>
            <w:vAlign w:val="center"/>
          </w:tcPr>
          <w:p w14:paraId="335F137D">
            <w:pPr>
              <w:rPr>
                <w:rFonts w:hint="eastAsia" w:ascii="宋体" w:hAnsi="宋体" w:eastAsia="宋体" w:cs="宋体"/>
                <w:color w:val="auto"/>
                <w:sz w:val="22"/>
                <w:highlight w:val="none"/>
              </w:rPr>
            </w:pPr>
            <w:r>
              <w:rPr>
                <w:rFonts w:hint="eastAsia" w:ascii="宋体" w:hAnsi="宋体" w:eastAsia="宋体" w:cs="宋体"/>
                <w:color w:val="auto"/>
                <w:sz w:val="22"/>
                <w:highlight w:val="none"/>
              </w:rPr>
              <w:t>5、梳妆台化妆品、饰品凌乱混杂</w:t>
            </w:r>
          </w:p>
        </w:tc>
        <w:tc>
          <w:tcPr>
            <w:tcW w:w="1994" w:type="dxa"/>
            <w:vAlign w:val="center"/>
          </w:tcPr>
          <w:p w14:paraId="617B6A0A">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5分/次</w:t>
            </w:r>
          </w:p>
        </w:tc>
      </w:tr>
      <w:tr w14:paraId="1487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3" w:type="dxa"/>
            <w:vMerge w:val="continue"/>
            <w:vAlign w:val="center"/>
          </w:tcPr>
          <w:p w14:paraId="516DD7B1">
            <w:pPr>
              <w:ind w:firstLine="480"/>
              <w:jc w:val="center"/>
              <w:rPr>
                <w:rFonts w:hint="eastAsia" w:ascii="宋体" w:hAnsi="宋体" w:eastAsia="宋体" w:cs="宋体"/>
                <w:color w:val="auto"/>
                <w:sz w:val="22"/>
                <w:highlight w:val="none"/>
              </w:rPr>
            </w:pPr>
          </w:p>
        </w:tc>
        <w:tc>
          <w:tcPr>
            <w:tcW w:w="1072" w:type="dxa"/>
            <w:vMerge w:val="continue"/>
            <w:vAlign w:val="center"/>
          </w:tcPr>
          <w:p w14:paraId="7DF88793">
            <w:pPr>
              <w:ind w:firstLine="480"/>
              <w:jc w:val="center"/>
              <w:rPr>
                <w:rFonts w:hint="eastAsia" w:ascii="宋体" w:hAnsi="宋体" w:eastAsia="宋体" w:cs="宋体"/>
                <w:color w:val="auto"/>
                <w:sz w:val="22"/>
                <w:highlight w:val="none"/>
              </w:rPr>
            </w:pPr>
          </w:p>
        </w:tc>
        <w:tc>
          <w:tcPr>
            <w:tcW w:w="918" w:type="dxa"/>
            <w:vMerge w:val="continue"/>
            <w:vAlign w:val="center"/>
          </w:tcPr>
          <w:p w14:paraId="42761048">
            <w:pPr>
              <w:ind w:firstLine="480"/>
              <w:jc w:val="center"/>
              <w:rPr>
                <w:rFonts w:hint="eastAsia" w:ascii="宋体" w:hAnsi="宋体" w:eastAsia="宋体" w:cs="宋体"/>
                <w:color w:val="auto"/>
                <w:sz w:val="22"/>
                <w:highlight w:val="none"/>
              </w:rPr>
            </w:pPr>
          </w:p>
        </w:tc>
        <w:tc>
          <w:tcPr>
            <w:tcW w:w="4047" w:type="dxa"/>
            <w:vAlign w:val="center"/>
          </w:tcPr>
          <w:p w14:paraId="465B79FD">
            <w:pPr>
              <w:rPr>
                <w:rFonts w:hint="eastAsia" w:ascii="宋体" w:hAnsi="宋体" w:eastAsia="宋体" w:cs="宋体"/>
                <w:color w:val="auto"/>
                <w:sz w:val="22"/>
                <w:highlight w:val="none"/>
              </w:rPr>
            </w:pPr>
            <w:r>
              <w:rPr>
                <w:rFonts w:hint="eastAsia" w:ascii="宋体" w:hAnsi="宋体" w:eastAsia="宋体" w:cs="宋体"/>
                <w:color w:val="auto"/>
                <w:sz w:val="22"/>
                <w:highlight w:val="none"/>
              </w:rPr>
              <w:t>6、未按固定妆容及首饰进行化妆和佩戴者</w:t>
            </w:r>
          </w:p>
        </w:tc>
        <w:tc>
          <w:tcPr>
            <w:tcW w:w="1994" w:type="dxa"/>
            <w:vAlign w:val="center"/>
          </w:tcPr>
          <w:p w14:paraId="3E63C4F7">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10分/次</w:t>
            </w:r>
          </w:p>
        </w:tc>
      </w:tr>
      <w:tr w14:paraId="291C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43" w:type="dxa"/>
            <w:vMerge w:val="continue"/>
            <w:vAlign w:val="center"/>
          </w:tcPr>
          <w:p w14:paraId="3F9BC7CD">
            <w:pPr>
              <w:ind w:firstLine="480"/>
              <w:jc w:val="center"/>
              <w:rPr>
                <w:rFonts w:hint="eastAsia" w:ascii="宋体" w:hAnsi="宋体" w:eastAsia="宋体" w:cs="宋体"/>
                <w:color w:val="auto"/>
                <w:sz w:val="22"/>
                <w:highlight w:val="none"/>
              </w:rPr>
            </w:pPr>
          </w:p>
        </w:tc>
        <w:tc>
          <w:tcPr>
            <w:tcW w:w="1072" w:type="dxa"/>
            <w:vMerge w:val="continue"/>
            <w:vAlign w:val="center"/>
          </w:tcPr>
          <w:p w14:paraId="564CE866">
            <w:pPr>
              <w:ind w:firstLine="480"/>
              <w:jc w:val="center"/>
              <w:rPr>
                <w:rFonts w:hint="eastAsia" w:ascii="宋体" w:hAnsi="宋体" w:eastAsia="宋体" w:cs="宋体"/>
                <w:color w:val="auto"/>
                <w:sz w:val="22"/>
                <w:highlight w:val="none"/>
              </w:rPr>
            </w:pPr>
          </w:p>
        </w:tc>
        <w:tc>
          <w:tcPr>
            <w:tcW w:w="918" w:type="dxa"/>
            <w:vMerge w:val="continue"/>
            <w:vAlign w:val="center"/>
          </w:tcPr>
          <w:p w14:paraId="5F7C8498">
            <w:pPr>
              <w:ind w:firstLine="480"/>
              <w:jc w:val="center"/>
              <w:rPr>
                <w:rFonts w:hint="eastAsia" w:ascii="宋体" w:hAnsi="宋体" w:eastAsia="宋体" w:cs="宋体"/>
                <w:color w:val="auto"/>
                <w:sz w:val="22"/>
                <w:highlight w:val="none"/>
              </w:rPr>
            </w:pPr>
          </w:p>
        </w:tc>
        <w:tc>
          <w:tcPr>
            <w:tcW w:w="4047" w:type="dxa"/>
            <w:vAlign w:val="center"/>
          </w:tcPr>
          <w:p w14:paraId="46F79881">
            <w:pPr>
              <w:rPr>
                <w:rFonts w:hint="eastAsia" w:ascii="宋体" w:hAnsi="宋体" w:eastAsia="宋体" w:cs="宋体"/>
                <w:color w:val="auto"/>
                <w:sz w:val="22"/>
                <w:highlight w:val="none"/>
              </w:rPr>
            </w:pPr>
            <w:r>
              <w:rPr>
                <w:rFonts w:hint="eastAsia" w:ascii="宋体" w:hAnsi="宋体" w:eastAsia="宋体" w:cs="宋体"/>
                <w:color w:val="auto"/>
                <w:sz w:val="22"/>
                <w:highlight w:val="none"/>
              </w:rPr>
              <w:t>7、服装、化妆品、道具未按演出后归还仓库及私自带回宿舍</w:t>
            </w:r>
          </w:p>
        </w:tc>
        <w:tc>
          <w:tcPr>
            <w:tcW w:w="1994" w:type="dxa"/>
            <w:vAlign w:val="center"/>
          </w:tcPr>
          <w:p w14:paraId="23A26C2D">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10分/次</w:t>
            </w:r>
          </w:p>
        </w:tc>
      </w:tr>
    </w:tbl>
    <w:p w14:paraId="4C8A4638">
      <w:pPr>
        <w:rPr>
          <w:rFonts w:hint="eastAsia" w:ascii="宋体" w:hAnsi="宋体" w:eastAsia="宋体" w:cs="宋体"/>
          <w:color w:val="auto"/>
          <w:sz w:val="24"/>
          <w:szCs w:val="24"/>
          <w:highlight w:val="none"/>
        </w:rPr>
      </w:pPr>
    </w:p>
    <w:p w14:paraId="6FB4BBEA">
      <w:pPr>
        <w:rPr>
          <w:rFonts w:hint="eastAsia" w:ascii="宋体" w:hAnsi="宋体" w:eastAsia="宋体" w:cs="宋体"/>
          <w:b/>
          <w:bCs/>
          <w:color w:val="auto"/>
          <w:sz w:val="24"/>
          <w:szCs w:val="24"/>
          <w:highlight w:val="none"/>
        </w:rPr>
      </w:pPr>
    </w:p>
    <w:p w14:paraId="0399FD97">
      <w:pPr>
        <w:rPr>
          <w:rFonts w:hint="eastAsia" w:ascii="宋体" w:hAnsi="宋体" w:eastAsia="宋体" w:cs="宋体"/>
          <w:b/>
          <w:bCs/>
          <w:color w:val="auto"/>
          <w:sz w:val="24"/>
          <w:szCs w:val="24"/>
          <w:highlight w:val="none"/>
        </w:rPr>
      </w:pPr>
    </w:p>
    <w:p w14:paraId="45A24DD1">
      <w:pPr>
        <w:rPr>
          <w:rFonts w:hint="eastAsia" w:ascii="宋体" w:hAnsi="宋体" w:eastAsia="宋体" w:cs="宋体"/>
          <w:b/>
          <w:bCs/>
          <w:color w:val="auto"/>
          <w:sz w:val="24"/>
          <w:szCs w:val="24"/>
          <w:highlight w:val="none"/>
        </w:rPr>
      </w:pPr>
    </w:p>
    <w:p w14:paraId="7E901B18">
      <w:pPr>
        <w:rPr>
          <w:rFonts w:hint="eastAsia" w:ascii="宋体" w:hAnsi="宋体" w:eastAsia="宋体" w:cs="宋体"/>
          <w:b/>
          <w:bCs/>
          <w:color w:val="auto"/>
          <w:sz w:val="24"/>
          <w:szCs w:val="24"/>
          <w:highlight w:val="none"/>
        </w:rPr>
      </w:pPr>
    </w:p>
    <w:p w14:paraId="796C758E">
      <w:pPr>
        <w:rPr>
          <w:rFonts w:hint="eastAsia" w:ascii="宋体" w:hAnsi="宋体" w:eastAsia="宋体" w:cs="宋体"/>
          <w:b/>
          <w:bCs/>
          <w:color w:val="auto"/>
          <w:sz w:val="24"/>
          <w:szCs w:val="24"/>
          <w:highlight w:val="none"/>
        </w:rPr>
      </w:pPr>
    </w:p>
    <w:p w14:paraId="50E6C2F1">
      <w:pPr>
        <w:rPr>
          <w:rFonts w:hint="eastAsia" w:ascii="宋体" w:hAnsi="宋体" w:eastAsia="宋体" w:cs="宋体"/>
          <w:b/>
          <w:bCs/>
          <w:color w:val="auto"/>
          <w:sz w:val="24"/>
          <w:szCs w:val="24"/>
          <w:highlight w:val="none"/>
        </w:rPr>
      </w:pPr>
    </w:p>
    <w:p w14:paraId="3FD18938">
      <w:pPr>
        <w:rPr>
          <w:rFonts w:hint="eastAsia" w:ascii="宋体" w:hAnsi="宋体" w:eastAsia="宋体" w:cs="宋体"/>
          <w:b/>
          <w:bCs/>
          <w:color w:val="auto"/>
          <w:sz w:val="24"/>
          <w:szCs w:val="24"/>
          <w:highlight w:val="none"/>
        </w:rPr>
      </w:pPr>
    </w:p>
    <w:p w14:paraId="6489F1DF">
      <w:pPr>
        <w:rPr>
          <w:rFonts w:hint="eastAsia" w:ascii="宋体" w:hAnsi="宋体" w:eastAsia="宋体" w:cs="宋体"/>
          <w:b/>
          <w:bCs/>
          <w:color w:val="auto"/>
          <w:sz w:val="24"/>
          <w:szCs w:val="24"/>
          <w:highlight w:val="none"/>
        </w:rPr>
      </w:pPr>
    </w:p>
    <w:p w14:paraId="1B10F19F">
      <w:pPr>
        <w:rPr>
          <w:rFonts w:hint="eastAsia" w:ascii="宋体" w:hAnsi="宋体" w:eastAsia="宋体" w:cs="宋体"/>
          <w:b/>
          <w:bCs/>
          <w:color w:val="auto"/>
          <w:sz w:val="24"/>
          <w:szCs w:val="24"/>
          <w:highlight w:val="none"/>
        </w:rPr>
      </w:pPr>
    </w:p>
    <w:p w14:paraId="74123308">
      <w:pPr>
        <w:rPr>
          <w:rFonts w:hint="eastAsia" w:ascii="宋体" w:hAnsi="宋体" w:eastAsia="宋体" w:cs="宋体"/>
          <w:b/>
          <w:bCs/>
          <w:color w:val="auto"/>
          <w:sz w:val="24"/>
          <w:szCs w:val="24"/>
          <w:highlight w:val="none"/>
        </w:rPr>
      </w:pPr>
    </w:p>
    <w:p w14:paraId="793CA4AD">
      <w:pPr>
        <w:rPr>
          <w:rFonts w:hint="eastAsia" w:ascii="宋体" w:hAnsi="宋体" w:eastAsia="宋体" w:cs="宋体"/>
          <w:b/>
          <w:bCs/>
          <w:color w:val="auto"/>
          <w:sz w:val="24"/>
          <w:szCs w:val="24"/>
          <w:highlight w:val="none"/>
        </w:rPr>
      </w:pPr>
    </w:p>
    <w:p w14:paraId="26867AE8">
      <w:pPr>
        <w:rPr>
          <w:rFonts w:hint="eastAsia" w:ascii="宋体" w:hAnsi="宋体" w:eastAsia="宋体" w:cs="宋体"/>
          <w:b/>
          <w:bCs/>
          <w:color w:val="auto"/>
          <w:sz w:val="24"/>
          <w:szCs w:val="24"/>
          <w:highlight w:val="none"/>
        </w:rPr>
      </w:pPr>
    </w:p>
    <w:p w14:paraId="1025EC14">
      <w:pPr>
        <w:rPr>
          <w:rFonts w:hint="eastAsia" w:ascii="宋体" w:hAnsi="宋体" w:eastAsia="宋体" w:cs="宋体"/>
          <w:b/>
          <w:bCs/>
          <w:color w:val="auto"/>
          <w:sz w:val="24"/>
          <w:szCs w:val="24"/>
          <w:highlight w:val="none"/>
        </w:rPr>
      </w:pPr>
    </w:p>
    <w:p w14:paraId="19DE6DEB">
      <w:pPr>
        <w:rPr>
          <w:rFonts w:hint="eastAsia" w:ascii="宋体" w:hAnsi="宋体" w:eastAsia="宋体" w:cs="宋体"/>
          <w:b/>
          <w:bCs/>
          <w:color w:val="auto"/>
          <w:sz w:val="24"/>
          <w:szCs w:val="24"/>
          <w:highlight w:val="none"/>
        </w:rPr>
      </w:pPr>
    </w:p>
    <w:p w14:paraId="052BA21F">
      <w:pPr>
        <w:rPr>
          <w:rFonts w:hint="eastAsia" w:ascii="宋体" w:hAnsi="宋体" w:eastAsia="宋体" w:cs="宋体"/>
          <w:b/>
          <w:bCs/>
          <w:color w:val="auto"/>
          <w:sz w:val="24"/>
          <w:szCs w:val="24"/>
          <w:highlight w:val="none"/>
        </w:rPr>
      </w:pPr>
    </w:p>
    <w:p w14:paraId="75F73941">
      <w:pPr>
        <w:rPr>
          <w:rFonts w:hint="eastAsia" w:ascii="宋体" w:hAnsi="宋体" w:eastAsia="宋体" w:cs="宋体"/>
          <w:b/>
          <w:bCs/>
          <w:color w:val="auto"/>
          <w:sz w:val="24"/>
          <w:szCs w:val="24"/>
          <w:highlight w:val="none"/>
        </w:rPr>
      </w:pPr>
    </w:p>
    <w:p w14:paraId="285C6315">
      <w:pPr>
        <w:rPr>
          <w:rFonts w:hint="eastAsia" w:ascii="宋体" w:hAnsi="宋体" w:eastAsia="宋体" w:cs="宋体"/>
          <w:b/>
          <w:bCs/>
          <w:color w:val="auto"/>
          <w:sz w:val="24"/>
          <w:szCs w:val="24"/>
          <w:highlight w:val="none"/>
        </w:rPr>
      </w:pPr>
    </w:p>
    <w:p w14:paraId="7B51E8D4">
      <w:pPr>
        <w:rPr>
          <w:rFonts w:hint="eastAsia" w:ascii="宋体" w:hAnsi="宋体" w:eastAsia="宋体" w:cs="宋体"/>
          <w:b/>
          <w:bCs/>
          <w:color w:val="auto"/>
          <w:sz w:val="24"/>
          <w:szCs w:val="24"/>
          <w:highlight w:val="none"/>
        </w:rPr>
      </w:pPr>
    </w:p>
    <w:p w14:paraId="105E02CE">
      <w:pPr>
        <w:rPr>
          <w:rFonts w:hint="eastAsia" w:ascii="宋体" w:hAnsi="宋体" w:eastAsia="宋体" w:cs="宋体"/>
          <w:b/>
          <w:bCs/>
          <w:color w:val="auto"/>
          <w:sz w:val="24"/>
          <w:szCs w:val="24"/>
          <w:highlight w:val="none"/>
        </w:rPr>
      </w:pPr>
    </w:p>
    <w:p w14:paraId="019E60FF">
      <w:pPr>
        <w:rPr>
          <w:rFonts w:hint="eastAsia" w:ascii="宋体" w:hAnsi="宋体" w:eastAsia="宋体" w:cs="宋体"/>
          <w:b/>
          <w:bCs/>
          <w:color w:val="auto"/>
          <w:sz w:val="24"/>
          <w:szCs w:val="24"/>
          <w:highlight w:val="none"/>
        </w:rPr>
      </w:pPr>
    </w:p>
    <w:p w14:paraId="33FBC70B">
      <w:pPr>
        <w:rPr>
          <w:rFonts w:hint="eastAsia" w:ascii="宋体" w:hAnsi="宋体" w:eastAsia="宋体" w:cs="宋体"/>
          <w:b/>
          <w:bCs/>
          <w:color w:val="auto"/>
          <w:sz w:val="24"/>
          <w:szCs w:val="24"/>
          <w:highlight w:val="none"/>
        </w:rPr>
      </w:pPr>
    </w:p>
    <w:p w14:paraId="5D0FB182">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8CA8B86">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附件五</w:t>
      </w:r>
    </w:p>
    <w:p w14:paraId="0D5788F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合作单位考核表</w:t>
      </w:r>
    </w:p>
    <w:p w14:paraId="722D69BA">
      <w:pP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日期：</w:t>
      </w:r>
    </w:p>
    <w:tbl>
      <w:tblPr>
        <w:tblStyle w:val="18"/>
        <w:tblW w:w="7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3099"/>
        <w:gridCol w:w="1365"/>
        <w:gridCol w:w="1610"/>
      </w:tblGrid>
      <w:tr w14:paraId="2482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887" w:type="dxa"/>
            <w:vAlign w:val="center"/>
          </w:tcPr>
          <w:p w14:paraId="533DFF2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检查项目</w:t>
            </w:r>
          </w:p>
        </w:tc>
        <w:tc>
          <w:tcPr>
            <w:tcW w:w="3099" w:type="dxa"/>
            <w:vAlign w:val="center"/>
          </w:tcPr>
          <w:p w14:paraId="0C725B4E">
            <w:pPr>
              <w:ind w:firstLine="48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检查内容</w:t>
            </w:r>
          </w:p>
        </w:tc>
        <w:tc>
          <w:tcPr>
            <w:tcW w:w="1365" w:type="dxa"/>
            <w:vAlign w:val="center"/>
          </w:tcPr>
          <w:p w14:paraId="1A25748A">
            <w:pPr>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分数</w:t>
            </w:r>
          </w:p>
        </w:tc>
        <w:tc>
          <w:tcPr>
            <w:tcW w:w="1610" w:type="dxa"/>
            <w:vAlign w:val="center"/>
          </w:tcPr>
          <w:p w14:paraId="29F48443">
            <w:pPr>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检查人</w:t>
            </w:r>
          </w:p>
        </w:tc>
      </w:tr>
      <w:tr w14:paraId="4242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87" w:type="dxa"/>
            <w:vAlign w:val="center"/>
          </w:tcPr>
          <w:p w14:paraId="47E62E5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卫生管理</w:t>
            </w:r>
          </w:p>
        </w:tc>
        <w:tc>
          <w:tcPr>
            <w:tcW w:w="3099" w:type="dxa"/>
            <w:vAlign w:val="center"/>
          </w:tcPr>
          <w:p w14:paraId="648C13FF">
            <w:pPr>
              <w:ind w:firstLine="480"/>
              <w:jc w:val="center"/>
              <w:rPr>
                <w:rFonts w:hint="eastAsia" w:ascii="宋体" w:hAnsi="宋体" w:eastAsia="宋体" w:cs="宋体"/>
                <w:b/>
                <w:bCs/>
                <w:color w:val="auto"/>
                <w:sz w:val="24"/>
                <w:szCs w:val="24"/>
                <w:highlight w:val="none"/>
              </w:rPr>
            </w:pPr>
          </w:p>
          <w:p w14:paraId="6CE8026A">
            <w:pPr>
              <w:ind w:firstLine="480"/>
              <w:jc w:val="center"/>
              <w:rPr>
                <w:rFonts w:hint="eastAsia" w:ascii="宋体" w:hAnsi="宋体" w:eastAsia="宋体" w:cs="宋体"/>
                <w:b/>
                <w:bCs/>
                <w:color w:val="auto"/>
                <w:sz w:val="24"/>
                <w:szCs w:val="24"/>
                <w:highlight w:val="none"/>
              </w:rPr>
            </w:pPr>
          </w:p>
          <w:p w14:paraId="1BB1821D">
            <w:pPr>
              <w:ind w:firstLine="480"/>
              <w:jc w:val="center"/>
              <w:rPr>
                <w:rFonts w:hint="eastAsia" w:ascii="宋体" w:hAnsi="宋体" w:eastAsia="宋体" w:cs="宋体"/>
                <w:b/>
                <w:bCs/>
                <w:color w:val="auto"/>
                <w:sz w:val="24"/>
                <w:szCs w:val="24"/>
                <w:highlight w:val="none"/>
              </w:rPr>
            </w:pPr>
          </w:p>
        </w:tc>
        <w:tc>
          <w:tcPr>
            <w:tcW w:w="1365" w:type="dxa"/>
            <w:vAlign w:val="center"/>
          </w:tcPr>
          <w:p w14:paraId="03D951B4">
            <w:pPr>
              <w:ind w:firstLine="480"/>
              <w:jc w:val="center"/>
              <w:rPr>
                <w:rFonts w:hint="eastAsia" w:ascii="宋体" w:hAnsi="宋体" w:eastAsia="宋体" w:cs="宋体"/>
                <w:b/>
                <w:bCs/>
                <w:color w:val="auto"/>
                <w:sz w:val="24"/>
                <w:szCs w:val="24"/>
                <w:highlight w:val="none"/>
              </w:rPr>
            </w:pPr>
          </w:p>
        </w:tc>
        <w:tc>
          <w:tcPr>
            <w:tcW w:w="1610" w:type="dxa"/>
            <w:vAlign w:val="center"/>
          </w:tcPr>
          <w:p w14:paraId="43201E96">
            <w:pPr>
              <w:ind w:firstLine="480"/>
              <w:jc w:val="center"/>
              <w:rPr>
                <w:rFonts w:hint="eastAsia" w:ascii="宋体" w:hAnsi="宋体" w:eastAsia="宋体" w:cs="宋体"/>
                <w:b/>
                <w:bCs/>
                <w:color w:val="auto"/>
                <w:sz w:val="24"/>
                <w:szCs w:val="24"/>
                <w:highlight w:val="none"/>
              </w:rPr>
            </w:pPr>
          </w:p>
        </w:tc>
      </w:tr>
      <w:tr w14:paraId="0E9D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87" w:type="dxa"/>
            <w:vAlign w:val="center"/>
          </w:tcPr>
          <w:p w14:paraId="0317D14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tc>
        <w:tc>
          <w:tcPr>
            <w:tcW w:w="3099" w:type="dxa"/>
            <w:vAlign w:val="center"/>
          </w:tcPr>
          <w:p w14:paraId="43C4E9B6">
            <w:pPr>
              <w:ind w:firstLine="480"/>
              <w:jc w:val="center"/>
              <w:rPr>
                <w:rFonts w:hint="eastAsia" w:ascii="宋体" w:hAnsi="宋体" w:eastAsia="宋体" w:cs="宋体"/>
                <w:b/>
                <w:bCs/>
                <w:color w:val="auto"/>
                <w:sz w:val="24"/>
                <w:szCs w:val="24"/>
                <w:highlight w:val="none"/>
              </w:rPr>
            </w:pPr>
          </w:p>
          <w:p w14:paraId="7446BF30">
            <w:pPr>
              <w:ind w:firstLine="480"/>
              <w:jc w:val="center"/>
              <w:rPr>
                <w:rFonts w:hint="eastAsia" w:ascii="宋体" w:hAnsi="宋体" w:eastAsia="宋体" w:cs="宋体"/>
                <w:b/>
                <w:bCs/>
                <w:color w:val="auto"/>
                <w:sz w:val="24"/>
                <w:szCs w:val="24"/>
                <w:highlight w:val="none"/>
              </w:rPr>
            </w:pPr>
          </w:p>
          <w:p w14:paraId="59217DA3">
            <w:pPr>
              <w:ind w:firstLine="480"/>
              <w:jc w:val="center"/>
              <w:rPr>
                <w:rFonts w:hint="eastAsia" w:ascii="宋体" w:hAnsi="宋体" w:eastAsia="宋体" w:cs="宋体"/>
                <w:b/>
                <w:bCs/>
                <w:color w:val="auto"/>
                <w:sz w:val="24"/>
                <w:szCs w:val="24"/>
                <w:highlight w:val="none"/>
              </w:rPr>
            </w:pPr>
          </w:p>
        </w:tc>
        <w:tc>
          <w:tcPr>
            <w:tcW w:w="1365" w:type="dxa"/>
            <w:vAlign w:val="center"/>
          </w:tcPr>
          <w:p w14:paraId="74DDB0F3">
            <w:pPr>
              <w:ind w:firstLine="480"/>
              <w:jc w:val="center"/>
              <w:rPr>
                <w:rFonts w:hint="eastAsia" w:ascii="宋体" w:hAnsi="宋体" w:eastAsia="宋体" w:cs="宋体"/>
                <w:b/>
                <w:bCs/>
                <w:color w:val="auto"/>
                <w:sz w:val="24"/>
                <w:szCs w:val="24"/>
                <w:highlight w:val="none"/>
              </w:rPr>
            </w:pPr>
          </w:p>
        </w:tc>
        <w:tc>
          <w:tcPr>
            <w:tcW w:w="1610" w:type="dxa"/>
            <w:vAlign w:val="center"/>
          </w:tcPr>
          <w:p w14:paraId="77DA5934">
            <w:pPr>
              <w:ind w:firstLine="480"/>
              <w:jc w:val="center"/>
              <w:rPr>
                <w:rFonts w:hint="eastAsia" w:ascii="宋体" w:hAnsi="宋体" w:eastAsia="宋体" w:cs="宋体"/>
                <w:b/>
                <w:bCs/>
                <w:color w:val="auto"/>
                <w:sz w:val="24"/>
                <w:szCs w:val="24"/>
                <w:highlight w:val="none"/>
              </w:rPr>
            </w:pPr>
          </w:p>
        </w:tc>
      </w:tr>
      <w:tr w14:paraId="5781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87" w:type="dxa"/>
            <w:vAlign w:val="center"/>
          </w:tcPr>
          <w:p w14:paraId="3B301E2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演绎质量</w:t>
            </w:r>
          </w:p>
        </w:tc>
        <w:tc>
          <w:tcPr>
            <w:tcW w:w="3099" w:type="dxa"/>
            <w:vAlign w:val="center"/>
          </w:tcPr>
          <w:p w14:paraId="40007835">
            <w:pPr>
              <w:ind w:firstLine="480"/>
              <w:jc w:val="center"/>
              <w:rPr>
                <w:rFonts w:hint="eastAsia" w:ascii="宋体" w:hAnsi="宋体" w:eastAsia="宋体" w:cs="宋体"/>
                <w:b/>
                <w:bCs/>
                <w:color w:val="auto"/>
                <w:sz w:val="24"/>
                <w:szCs w:val="24"/>
                <w:highlight w:val="none"/>
              </w:rPr>
            </w:pPr>
          </w:p>
          <w:p w14:paraId="6D106723">
            <w:pPr>
              <w:ind w:firstLine="480"/>
              <w:jc w:val="center"/>
              <w:rPr>
                <w:rFonts w:hint="eastAsia" w:ascii="宋体" w:hAnsi="宋体" w:eastAsia="宋体" w:cs="宋体"/>
                <w:b/>
                <w:bCs/>
                <w:color w:val="auto"/>
                <w:sz w:val="24"/>
                <w:szCs w:val="24"/>
                <w:highlight w:val="none"/>
              </w:rPr>
            </w:pPr>
          </w:p>
          <w:p w14:paraId="29519A69">
            <w:pPr>
              <w:ind w:firstLine="480"/>
              <w:jc w:val="center"/>
              <w:rPr>
                <w:rFonts w:hint="eastAsia" w:ascii="宋体" w:hAnsi="宋体" w:eastAsia="宋体" w:cs="宋体"/>
                <w:b/>
                <w:bCs/>
                <w:color w:val="auto"/>
                <w:sz w:val="24"/>
                <w:szCs w:val="24"/>
                <w:highlight w:val="none"/>
              </w:rPr>
            </w:pPr>
          </w:p>
        </w:tc>
        <w:tc>
          <w:tcPr>
            <w:tcW w:w="1365" w:type="dxa"/>
            <w:vAlign w:val="center"/>
          </w:tcPr>
          <w:p w14:paraId="3A9D68D0">
            <w:pPr>
              <w:ind w:firstLine="480"/>
              <w:jc w:val="center"/>
              <w:rPr>
                <w:rFonts w:hint="eastAsia" w:ascii="宋体" w:hAnsi="宋体" w:eastAsia="宋体" w:cs="宋体"/>
                <w:b/>
                <w:bCs/>
                <w:color w:val="auto"/>
                <w:sz w:val="24"/>
                <w:szCs w:val="24"/>
                <w:highlight w:val="none"/>
              </w:rPr>
            </w:pPr>
          </w:p>
        </w:tc>
        <w:tc>
          <w:tcPr>
            <w:tcW w:w="1610" w:type="dxa"/>
            <w:vAlign w:val="center"/>
          </w:tcPr>
          <w:p w14:paraId="43CAD605">
            <w:pPr>
              <w:ind w:firstLine="480"/>
              <w:jc w:val="center"/>
              <w:rPr>
                <w:rFonts w:hint="eastAsia" w:ascii="宋体" w:hAnsi="宋体" w:eastAsia="宋体" w:cs="宋体"/>
                <w:b/>
                <w:bCs/>
                <w:color w:val="auto"/>
                <w:sz w:val="24"/>
                <w:szCs w:val="24"/>
                <w:highlight w:val="none"/>
              </w:rPr>
            </w:pPr>
          </w:p>
        </w:tc>
      </w:tr>
      <w:tr w14:paraId="016F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87" w:type="dxa"/>
            <w:vAlign w:val="center"/>
          </w:tcPr>
          <w:p w14:paraId="162F6F2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服化道管理</w:t>
            </w:r>
          </w:p>
        </w:tc>
        <w:tc>
          <w:tcPr>
            <w:tcW w:w="3099" w:type="dxa"/>
            <w:vAlign w:val="center"/>
          </w:tcPr>
          <w:p w14:paraId="34C8BDEE">
            <w:pPr>
              <w:ind w:firstLine="480"/>
              <w:jc w:val="center"/>
              <w:rPr>
                <w:rFonts w:hint="eastAsia" w:ascii="宋体" w:hAnsi="宋体" w:eastAsia="宋体" w:cs="宋体"/>
                <w:b/>
                <w:bCs/>
                <w:color w:val="auto"/>
                <w:sz w:val="24"/>
                <w:szCs w:val="24"/>
                <w:highlight w:val="none"/>
              </w:rPr>
            </w:pPr>
          </w:p>
          <w:p w14:paraId="142B303A">
            <w:pPr>
              <w:ind w:firstLine="480"/>
              <w:jc w:val="center"/>
              <w:rPr>
                <w:rFonts w:hint="eastAsia" w:ascii="宋体" w:hAnsi="宋体" w:eastAsia="宋体" w:cs="宋体"/>
                <w:b/>
                <w:bCs/>
                <w:color w:val="auto"/>
                <w:sz w:val="24"/>
                <w:szCs w:val="24"/>
                <w:highlight w:val="none"/>
              </w:rPr>
            </w:pPr>
          </w:p>
          <w:p w14:paraId="57E5CF9A">
            <w:pPr>
              <w:ind w:firstLine="480"/>
              <w:jc w:val="center"/>
              <w:rPr>
                <w:rFonts w:hint="eastAsia" w:ascii="宋体" w:hAnsi="宋体" w:eastAsia="宋体" w:cs="宋体"/>
                <w:b/>
                <w:bCs/>
                <w:color w:val="auto"/>
                <w:sz w:val="24"/>
                <w:szCs w:val="24"/>
                <w:highlight w:val="none"/>
              </w:rPr>
            </w:pPr>
          </w:p>
        </w:tc>
        <w:tc>
          <w:tcPr>
            <w:tcW w:w="1365" w:type="dxa"/>
            <w:vAlign w:val="center"/>
          </w:tcPr>
          <w:p w14:paraId="265A1912">
            <w:pPr>
              <w:ind w:firstLine="480"/>
              <w:jc w:val="center"/>
              <w:rPr>
                <w:rFonts w:hint="eastAsia" w:ascii="宋体" w:hAnsi="宋体" w:eastAsia="宋体" w:cs="宋体"/>
                <w:b/>
                <w:bCs/>
                <w:color w:val="auto"/>
                <w:sz w:val="24"/>
                <w:szCs w:val="24"/>
                <w:highlight w:val="none"/>
              </w:rPr>
            </w:pPr>
          </w:p>
        </w:tc>
        <w:tc>
          <w:tcPr>
            <w:tcW w:w="1610" w:type="dxa"/>
            <w:vAlign w:val="center"/>
          </w:tcPr>
          <w:p w14:paraId="69807E02">
            <w:pPr>
              <w:ind w:firstLine="480"/>
              <w:jc w:val="center"/>
              <w:rPr>
                <w:rFonts w:hint="eastAsia" w:ascii="宋体" w:hAnsi="宋体" w:eastAsia="宋体" w:cs="宋体"/>
                <w:b/>
                <w:bCs/>
                <w:color w:val="auto"/>
                <w:sz w:val="24"/>
                <w:szCs w:val="24"/>
                <w:highlight w:val="none"/>
              </w:rPr>
            </w:pPr>
          </w:p>
        </w:tc>
      </w:tr>
    </w:tbl>
    <w:p w14:paraId="1D83A2A5">
      <w:pPr>
        <w:rPr>
          <w:rFonts w:hint="eastAsia" w:ascii="宋体" w:hAnsi="宋体" w:eastAsia="宋体" w:cs="宋体"/>
          <w:b/>
          <w:bCs/>
          <w:color w:val="auto"/>
          <w:sz w:val="24"/>
          <w:szCs w:val="24"/>
          <w:highlight w:val="none"/>
        </w:rPr>
      </w:pPr>
    </w:p>
    <w:p w14:paraId="5E034ACA">
      <w:pPr>
        <w:rPr>
          <w:rFonts w:hint="eastAsia" w:ascii="宋体" w:hAnsi="宋体" w:eastAsia="宋体" w:cs="宋体"/>
          <w:b/>
          <w:bCs/>
          <w:color w:val="auto"/>
          <w:sz w:val="24"/>
          <w:szCs w:val="24"/>
          <w:highlight w:val="none"/>
        </w:rPr>
      </w:pPr>
    </w:p>
    <w:p w14:paraId="50DE3FF7">
      <w:pPr>
        <w:rPr>
          <w:rFonts w:hint="eastAsia" w:ascii="宋体" w:hAnsi="宋体" w:eastAsia="宋体" w:cs="宋体"/>
          <w:b/>
          <w:bCs/>
          <w:color w:val="auto"/>
          <w:sz w:val="24"/>
          <w:szCs w:val="24"/>
          <w:highlight w:val="none"/>
        </w:rPr>
      </w:pPr>
    </w:p>
    <w:p w14:paraId="0DAD0646">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948D1BA">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附件六</w:t>
      </w:r>
    </w:p>
    <w:p w14:paraId="79A2B518">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整改通知书</w:t>
      </w:r>
    </w:p>
    <w:p w14:paraId="720A428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A7ACD6">
      <w:pPr>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日对你单位现场进行检查，发现你单位存在以下问题：</w:t>
      </w:r>
    </w:p>
    <w:p w14:paraId="519E353B">
      <w:pPr>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3D6CE7B5">
      <w:pPr>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1601EB57">
      <w:pPr>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62AE2140">
      <w:pPr>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4D3E7A60">
      <w:pPr>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70E9A4D1">
      <w:pPr>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4E64CE00">
      <w:pPr>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0C3FBB6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请接到此通知后于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日前整改完毕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有限公司将于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日进行复查，对于整改问题不重视、不落实，公司将根据问题的严重性予以现金处罚。</w:t>
      </w:r>
    </w:p>
    <w:p w14:paraId="040448D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特此通知！</w:t>
      </w:r>
    </w:p>
    <w:p w14:paraId="336C0AD8">
      <w:pPr>
        <w:widowControl/>
        <w:tabs>
          <w:tab w:val="left" w:pos="6001"/>
        </w:tabs>
        <w:ind w:firstLine="5520" w:firstLineChars="2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2E8E206">
      <w:pPr>
        <w:pStyle w:val="16"/>
        <w:ind w:firstLine="480"/>
        <w:rPr>
          <w:rFonts w:hint="eastAsia" w:ascii="宋体" w:hAnsi="宋体" w:eastAsia="宋体" w:cs="宋体"/>
          <w:color w:val="auto"/>
          <w:sz w:val="24"/>
          <w:szCs w:val="24"/>
          <w:highlight w:val="none"/>
        </w:rPr>
      </w:pPr>
    </w:p>
    <w:p w14:paraId="4B33ED0D">
      <w:pPr>
        <w:pStyle w:val="16"/>
        <w:ind w:firstLine="480"/>
        <w:rPr>
          <w:rFonts w:hint="eastAsia" w:ascii="宋体" w:hAnsi="宋体" w:eastAsia="宋体" w:cs="宋体"/>
          <w:color w:val="auto"/>
          <w:sz w:val="24"/>
          <w:szCs w:val="24"/>
          <w:highlight w:val="none"/>
        </w:rPr>
      </w:pPr>
    </w:p>
    <w:p w14:paraId="446E2EA3">
      <w:pPr>
        <w:widowControl/>
        <w:jc w:val="center"/>
        <w:rPr>
          <w:rFonts w:hint="eastAsia" w:ascii="宋体" w:hAnsi="宋体" w:eastAsia="宋体" w:cs="宋体"/>
          <w:b/>
          <w:bCs/>
          <w:color w:val="auto"/>
          <w:kern w:val="44"/>
          <w:sz w:val="44"/>
          <w:szCs w:val="44"/>
          <w:highlight w:val="none"/>
        </w:rPr>
      </w:pPr>
      <w:r>
        <w:rPr>
          <w:rFonts w:hint="eastAsia" w:ascii="宋体" w:hAnsi="宋体" w:eastAsia="宋体" w:cs="宋体"/>
          <w:b/>
          <w:bCs/>
          <w:color w:val="auto"/>
          <w:w w:val="80"/>
          <w:kern w:val="44"/>
          <w:sz w:val="24"/>
          <w:szCs w:val="24"/>
          <w:highlight w:val="none"/>
        </w:rPr>
        <w:br w:type="page"/>
      </w:r>
      <w:bookmarkEnd w:id="9"/>
      <w:bookmarkStart w:id="10" w:name="_Toc363573860"/>
      <w:r>
        <w:rPr>
          <w:rFonts w:hint="eastAsia" w:ascii="宋体" w:hAnsi="宋体" w:eastAsia="宋体" w:cs="宋体"/>
          <w:b/>
          <w:bCs/>
          <w:color w:val="auto"/>
          <w:w w:val="80"/>
          <w:kern w:val="44"/>
          <w:sz w:val="44"/>
          <w:szCs w:val="44"/>
          <w:highlight w:val="none"/>
        </w:rPr>
        <w:t>第六章</w:t>
      </w:r>
      <w:r>
        <w:rPr>
          <w:rFonts w:hint="eastAsia" w:ascii="宋体" w:hAnsi="宋体" w:eastAsia="宋体" w:cs="宋体"/>
          <w:b/>
          <w:bCs/>
          <w:color w:val="auto"/>
          <w:kern w:val="44"/>
          <w:sz w:val="44"/>
          <w:szCs w:val="44"/>
          <w:highlight w:val="none"/>
        </w:rPr>
        <w:t xml:space="preserve">  </w:t>
      </w:r>
      <w:r>
        <w:rPr>
          <w:rFonts w:hint="eastAsia" w:ascii="宋体" w:hAnsi="宋体" w:eastAsia="宋体" w:cs="宋体"/>
          <w:b/>
          <w:bCs/>
          <w:color w:val="auto"/>
          <w:w w:val="80"/>
          <w:kern w:val="44"/>
          <w:sz w:val="44"/>
          <w:szCs w:val="44"/>
          <w:highlight w:val="none"/>
        </w:rPr>
        <w:t>投标响应文件组成及格式</w:t>
      </w:r>
      <w:bookmarkEnd w:id="10"/>
    </w:p>
    <w:p w14:paraId="51FFF20A">
      <w:pPr>
        <w:adjustRightInd w:val="0"/>
        <w:snapToGrid w:val="0"/>
        <w:spacing w:before="24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投标响应文件由资格审查文件、技术标、商务标三部分组成。本次招标采用资格后审方式，投标人须将资格审查文件作为响应文件组成部分，按招标文件要求装订密封后一起递交。</w:t>
      </w:r>
    </w:p>
    <w:p w14:paraId="62F546C4">
      <w:pPr>
        <w:adjustRightInd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一、资格审查文件（不得出现报价）</w:t>
      </w:r>
    </w:p>
    <w:p w14:paraId="76A8C4EF">
      <w:pPr>
        <w:numPr>
          <w:ilvl w:val="0"/>
          <w:numId w:val="8"/>
        </w:numPr>
        <w:adjustRightInd w:val="0"/>
        <w:snapToGrid w:val="0"/>
        <w:spacing w:line="360" w:lineRule="auto"/>
        <w:ind w:firstLine="470" w:firstLineChars="196"/>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投标人必须有能力按本招标文件规定的要求提供相关服务，须提供有效的营业执照的复印件或扫描件。</w:t>
      </w:r>
    </w:p>
    <w:p w14:paraId="43980F11">
      <w:pPr>
        <w:shd w:val="clear" w:color="auto" w:fill="FFFFFF"/>
        <w:adjustRightInd w:val="0"/>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2、投标人</w:t>
      </w:r>
      <w:r>
        <w:rPr>
          <w:rFonts w:hint="eastAsia" w:ascii="宋体" w:hAnsi="宋体" w:eastAsia="宋体" w:cs="宋体"/>
          <w:color w:val="auto"/>
          <w:kern w:val="0"/>
          <w:sz w:val="24"/>
          <w:szCs w:val="24"/>
          <w:highlight w:val="none"/>
        </w:rPr>
        <w:t>法定代表人参加的，必须提供法定代表人身份证明（格式附后）；</w:t>
      </w:r>
    </w:p>
    <w:p w14:paraId="3B86DDF6">
      <w:pPr>
        <w:shd w:val="clear" w:color="auto" w:fill="FFFFFF"/>
        <w:adjustRightInd w:val="0"/>
        <w:snapToGrid w:val="0"/>
        <w:spacing w:line="360" w:lineRule="auto"/>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4"/>
          <w:highlight w:val="none"/>
        </w:rPr>
        <w:t>非法定代表人参加的，必须提供①法定代表人身份证明（格式附后）、②法定代表人签字或盖章的授权委托书（格式附后）。</w:t>
      </w:r>
    </w:p>
    <w:p w14:paraId="7661CE72">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3、未被最高人民法院在“信用中国”网站中列入失信被执行人名单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提供网站截图</w:t>
      </w:r>
      <w:r>
        <w:rPr>
          <w:rFonts w:hint="eastAsia" w:ascii="宋体" w:hAnsi="宋体" w:eastAsia="宋体" w:cs="宋体"/>
          <w:bCs/>
          <w:color w:val="auto"/>
          <w:sz w:val="24"/>
          <w:szCs w:val="24"/>
          <w:highlight w:val="none"/>
        </w:rPr>
        <w:t>。</w:t>
      </w:r>
    </w:p>
    <w:p w14:paraId="2F5B0C07">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4、中国裁判文书网行贿记录查询，没有行贿记录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提供网站截图</w:t>
      </w:r>
      <w:r>
        <w:rPr>
          <w:rFonts w:hint="eastAsia" w:ascii="宋体" w:hAnsi="宋体" w:eastAsia="宋体" w:cs="宋体"/>
          <w:bCs/>
          <w:color w:val="auto"/>
          <w:sz w:val="24"/>
          <w:szCs w:val="24"/>
          <w:highlight w:val="none"/>
        </w:rPr>
        <w:t>。</w:t>
      </w:r>
    </w:p>
    <w:p w14:paraId="0E764276">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提供</w:t>
      </w:r>
      <w:r>
        <w:rPr>
          <w:rFonts w:hint="eastAsia" w:ascii="宋体" w:hAnsi="宋体" w:eastAsia="宋体" w:cs="宋体"/>
          <w:bCs/>
          <w:color w:val="auto"/>
          <w:sz w:val="24"/>
          <w:szCs w:val="24"/>
          <w:highlight w:val="none"/>
        </w:rPr>
        <w:t>劳务派遣经营许可证或人力资源服务许可证</w:t>
      </w:r>
      <w:r>
        <w:rPr>
          <w:rFonts w:hint="eastAsia" w:ascii="宋体" w:hAnsi="宋体" w:eastAsia="宋体" w:cs="宋体"/>
          <w:bCs/>
          <w:color w:val="auto"/>
          <w:sz w:val="24"/>
          <w:szCs w:val="24"/>
          <w:highlight w:val="none"/>
          <w:lang w:val="en-US" w:eastAsia="zh-CN"/>
        </w:rPr>
        <w:t>复印件</w:t>
      </w:r>
      <w:r>
        <w:rPr>
          <w:rFonts w:hint="eastAsia" w:ascii="宋体" w:hAnsi="宋体" w:eastAsia="宋体" w:cs="宋体"/>
          <w:bCs/>
          <w:color w:val="auto"/>
          <w:sz w:val="24"/>
          <w:szCs w:val="24"/>
          <w:highlight w:val="none"/>
        </w:rPr>
        <w:t>。</w:t>
      </w:r>
    </w:p>
    <w:p w14:paraId="0D1031CD">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、投标人为在中华人民共和国境内注册的具有</w:t>
      </w:r>
      <w:r>
        <w:rPr>
          <w:rFonts w:hint="eastAsia" w:ascii="宋体" w:hAnsi="宋体" w:eastAsia="宋体" w:cs="宋体"/>
          <w:color w:val="auto"/>
          <w:sz w:val="24"/>
          <w:szCs w:val="24"/>
          <w:highlight w:val="none"/>
          <w:lang w:eastAsia="zh-CN"/>
        </w:rPr>
        <w:t>法定资格的人力资源或演艺经纪公司</w:t>
      </w:r>
      <w:r>
        <w:rPr>
          <w:rFonts w:hint="eastAsia" w:ascii="宋体" w:hAnsi="宋体" w:eastAsia="宋体" w:cs="宋体"/>
          <w:color w:val="auto"/>
          <w:sz w:val="24"/>
          <w:szCs w:val="24"/>
          <w:highlight w:val="none"/>
        </w:rPr>
        <w:t>，具有独立承担民事责任的能力；具有良好的商业信誉和健全的财务会计制度；具有履行合同所必需的设备和专业技术能力；参加采购活动前三年内，</w:t>
      </w:r>
      <w:r>
        <w:rPr>
          <w:rFonts w:hint="eastAsia" w:ascii="宋体" w:hAnsi="宋体" w:eastAsia="宋体" w:cs="宋体"/>
          <w:color w:val="auto"/>
          <w:sz w:val="24"/>
          <w:szCs w:val="24"/>
          <w:highlight w:val="none"/>
          <w:lang w:eastAsia="zh-CN"/>
        </w:rPr>
        <w:t>没有重大违法记录</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须提供：承诺函（格式附后）。</w:t>
      </w:r>
    </w:p>
    <w:p w14:paraId="41534610">
      <w:pPr>
        <w:widowControl/>
        <w:adjustRightInd w:val="0"/>
        <w:snapToGrid w:val="0"/>
        <w:spacing w:line="360" w:lineRule="auto"/>
        <w:ind w:firstLine="470" w:firstLineChars="196"/>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、关于资格文件的声明函（</w:t>
      </w:r>
      <w:r>
        <w:rPr>
          <w:rFonts w:hint="eastAsia" w:ascii="宋体" w:hAnsi="宋体" w:eastAsia="宋体" w:cs="宋体"/>
          <w:snapToGrid w:val="0"/>
          <w:color w:val="auto"/>
          <w:sz w:val="24"/>
          <w:szCs w:val="24"/>
          <w:highlight w:val="none"/>
        </w:rPr>
        <w:t>格式附后</w:t>
      </w:r>
      <w:r>
        <w:rPr>
          <w:rFonts w:hint="eastAsia" w:ascii="宋体" w:hAnsi="宋体" w:eastAsia="宋体" w:cs="宋体"/>
          <w:color w:val="auto"/>
          <w:sz w:val="24"/>
          <w:szCs w:val="24"/>
          <w:highlight w:val="none"/>
        </w:rPr>
        <w:t>）。</w:t>
      </w:r>
    </w:p>
    <w:p w14:paraId="32B39D51">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thick" w:color="FF0000"/>
        </w:rPr>
        <w:t>注：以上材料如为复印件或扫描件的，均须加盖投标人公章</w:t>
      </w:r>
      <w:r>
        <w:rPr>
          <w:rFonts w:hint="eastAsia" w:ascii="宋体" w:hAnsi="宋体" w:eastAsia="宋体" w:cs="宋体"/>
          <w:b/>
          <w:bCs/>
          <w:color w:val="auto"/>
          <w:sz w:val="24"/>
          <w:szCs w:val="24"/>
          <w:highlight w:val="none"/>
        </w:rPr>
        <w:t>。</w:t>
      </w:r>
    </w:p>
    <w:p w14:paraId="2FA70D89">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二、技术标（不得出现报价）</w:t>
      </w:r>
    </w:p>
    <w:p w14:paraId="36BF03D5">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1、投标响应函（</w:t>
      </w:r>
      <w:r>
        <w:rPr>
          <w:rFonts w:hint="eastAsia" w:ascii="宋体" w:hAnsi="宋体" w:eastAsia="宋体" w:cs="宋体"/>
          <w:snapToGrid w:val="0"/>
          <w:color w:val="auto"/>
          <w:kern w:val="0"/>
          <w:sz w:val="24"/>
          <w:szCs w:val="21"/>
          <w:highlight w:val="none"/>
        </w:rPr>
        <w:t>格式附后</w:t>
      </w:r>
      <w:r>
        <w:rPr>
          <w:rFonts w:hint="eastAsia" w:ascii="宋体" w:hAnsi="宋体" w:eastAsia="宋体" w:cs="宋体"/>
          <w:color w:val="auto"/>
          <w:sz w:val="24"/>
          <w:szCs w:val="24"/>
          <w:highlight w:val="none"/>
        </w:rPr>
        <w:t>）。</w:t>
      </w:r>
    </w:p>
    <w:p w14:paraId="5902CBA8">
      <w:pPr>
        <w:widowControl/>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2、评审评分项技术响应评分中所涉及的事项需提供的所有资料。</w:t>
      </w:r>
    </w:p>
    <w:p w14:paraId="5B4BDE98">
      <w:pPr>
        <w:widowControl/>
        <w:adjustRightInd w:val="0"/>
        <w:snapToGrid w:val="0"/>
        <w:spacing w:line="360" w:lineRule="auto"/>
        <w:ind w:firstLine="480" w:firstLineChars="200"/>
        <w:rPr>
          <w:rFonts w:hint="eastAsia" w:ascii="宋体" w:hAnsi="宋体" w:eastAsia="宋体" w:cs="宋体"/>
          <w:b/>
          <w:bCs/>
          <w:color w:val="auto"/>
          <w:sz w:val="24"/>
          <w:szCs w:val="24"/>
          <w:highlight w:val="none"/>
          <w:u w:val="thick" w:color="FF0000"/>
        </w:rPr>
      </w:pPr>
      <w:r>
        <w:rPr>
          <w:rFonts w:hint="eastAsia" w:ascii="宋体" w:hAnsi="宋体" w:eastAsia="宋体" w:cs="宋体"/>
          <w:color w:val="auto"/>
          <w:sz w:val="24"/>
          <w:szCs w:val="24"/>
          <w:highlight w:val="none"/>
        </w:rPr>
        <w:t>注：</w:t>
      </w:r>
      <w:r>
        <w:rPr>
          <w:rFonts w:hint="eastAsia" w:ascii="宋体" w:hAnsi="宋体" w:eastAsia="宋体" w:cs="宋体"/>
          <w:b/>
          <w:bCs/>
          <w:color w:val="auto"/>
          <w:sz w:val="24"/>
          <w:szCs w:val="24"/>
          <w:highlight w:val="none"/>
          <w:u w:val="thick" w:color="FF0000"/>
        </w:rPr>
        <w:t>以上材料如为复印件或扫描件的，均须加盖投标人公章。为方便评委评审，请投标人按评审评分项中所涉及的事项顺序进行编制，可以补充相关材料。</w:t>
      </w:r>
    </w:p>
    <w:p w14:paraId="08A76302">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特别提醒：“资格审查文件” 、“技术标”涉及的相关原件请带至开标现场备查。未携带原件或因携带原件不全所引起的后果由投标人自行承担。 </w:t>
      </w:r>
    </w:p>
    <w:p w14:paraId="188E0BE3">
      <w:pPr>
        <w:widowControl/>
        <w:adjustRightInd w:val="0"/>
        <w:snapToGrid w:val="0"/>
        <w:spacing w:line="360" w:lineRule="auto"/>
        <w:ind w:firstLine="48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三、商务标</w:t>
      </w:r>
    </w:p>
    <w:p w14:paraId="6890CB38">
      <w:pPr>
        <w:widowControl/>
        <w:adjustRightInd w:val="0"/>
        <w:snapToGrid w:val="0"/>
        <w:spacing w:line="360" w:lineRule="auto"/>
        <w:ind w:firstLine="481"/>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1、投标报价</w:t>
      </w:r>
      <w:r>
        <w:rPr>
          <w:rFonts w:hint="eastAsia" w:ascii="宋体" w:hAnsi="宋体" w:eastAsia="宋体" w:cs="宋体"/>
          <w:snapToGrid w:val="0"/>
          <w:color w:val="auto"/>
          <w:kern w:val="0"/>
          <w:sz w:val="24"/>
          <w:szCs w:val="24"/>
          <w:highlight w:val="none"/>
          <w:lang w:eastAsia="zh-CN"/>
        </w:rPr>
        <w:t>总</w:t>
      </w:r>
      <w:r>
        <w:rPr>
          <w:rFonts w:hint="eastAsia" w:ascii="宋体" w:hAnsi="宋体" w:eastAsia="宋体" w:cs="宋体"/>
          <w:snapToGrid w:val="0"/>
          <w:color w:val="auto"/>
          <w:kern w:val="0"/>
          <w:sz w:val="24"/>
          <w:szCs w:val="24"/>
          <w:highlight w:val="none"/>
        </w:rPr>
        <w:t>表（格式附后）</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 xml:space="preserve"> </w:t>
      </w:r>
    </w:p>
    <w:p w14:paraId="1C6AB3DF">
      <w:pPr>
        <w:widowControl/>
        <w:adjustRightInd w:val="0"/>
        <w:snapToGrid w:val="0"/>
        <w:spacing w:line="360" w:lineRule="auto"/>
        <w:ind w:firstLine="481"/>
        <w:rPr>
          <w:rFonts w:hint="eastAsia" w:ascii="宋体" w:hAnsi="宋体" w:eastAsia="宋体" w:cs="宋体"/>
          <w:b/>
          <w:bCs/>
          <w:color w:val="auto"/>
          <w:sz w:val="28"/>
          <w:szCs w:val="28"/>
          <w:highlight w:val="none"/>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分项报价明细表（格式附后）</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附件：</w:t>
      </w:r>
    </w:p>
    <w:p w14:paraId="44833286">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1、法定代表人身份证明</w:t>
      </w:r>
    </w:p>
    <w:p w14:paraId="78362794">
      <w:pPr>
        <w:spacing w:line="360" w:lineRule="auto"/>
        <w:rPr>
          <w:rFonts w:hint="eastAsia" w:ascii="宋体" w:hAnsi="宋体" w:eastAsia="宋体" w:cs="宋体"/>
          <w:color w:val="auto"/>
          <w:sz w:val="24"/>
          <w:szCs w:val="24"/>
          <w:highlight w:val="none"/>
        </w:rPr>
      </w:pPr>
    </w:p>
    <w:p w14:paraId="50993DF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南通濠河良辰滨水运营管理有限公司</w:t>
      </w:r>
      <w:r>
        <w:rPr>
          <w:rFonts w:hint="eastAsia" w:ascii="宋体" w:hAnsi="宋体" w:eastAsia="宋体" w:cs="宋体"/>
          <w:color w:val="auto"/>
          <w:sz w:val="24"/>
          <w:szCs w:val="24"/>
          <w:highlight w:val="none"/>
        </w:rPr>
        <w:t>：</w:t>
      </w:r>
    </w:p>
    <w:p w14:paraId="21EC2266">
      <w:pPr>
        <w:snapToGrid w:val="0"/>
        <w:spacing w:line="360" w:lineRule="auto"/>
        <w:ind w:left="239" w:leftChars="92" w:firstLine="276" w:firstLineChars="1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参加贵单位组织的</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（招标项目名称及项目编号）的项目投标活动，全权代表我公司处理投标的有关事宜。</w:t>
      </w:r>
    </w:p>
    <w:p w14:paraId="7AF076D2">
      <w:pPr>
        <w:snapToGrid w:val="0"/>
        <w:spacing w:line="360" w:lineRule="auto"/>
        <w:ind w:firstLine="560"/>
        <w:rPr>
          <w:rFonts w:hint="eastAsia" w:ascii="宋体" w:hAnsi="宋体" w:eastAsia="宋体" w:cs="宋体"/>
          <w:color w:val="auto"/>
          <w:sz w:val="24"/>
          <w:szCs w:val="24"/>
          <w:highlight w:val="none"/>
        </w:rPr>
      </w:pPr>
    </w:p>
    <w:p w14:paraId="760B5956">
      <w:pPr>
        <w:snapToGrid w:val="0"/>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附：法定代表人情况：</w:t>
      </w:r>
    </w:p>
    <w:p w14:paraId="2C6F2C9B">
      <w:pPr>
        <w:snapToGrid w:val="0"/>
        <w:spacing w:line="360" w:lineRule="auto"/>
        <w:ind w:firstLine="484" w:firstLineChars="20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00F1398">
      <w:pPr>
        <w:snapToGrid w:val="0"/>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1D6F8D88">
      <w:pPr>
        <w:snapToGrid w:val="0"/>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5B954FAE">
      <w:pPr>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A1EA5AC">
      <w:pPr>
        <w:snapToGrid w:val="0"/>
        <w:spacing w:line="360" w:lineRule="auto"/>
        <w:ind w:firstLine="560"/>
        <w:rPr>
          <w:rFonts w:hint="eastAsia" w:ascii="宋体" w:hAnsi="宋体" w:eastAsia="宋体" w:cs="宋体"/>
          <w:color w:val="auto"/>
          <w:sz w:val="24"/>
          <w:szCs w:val="24"/>
          <w:highlight w:val="none"/>
        </w:rPr>
      </w:pPr>
    </w:p>
    <w:p w14:paraId="54C67AB2">
      <w:pPr>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                   法定代表人（签字或盖章）</w:t>
      </w:r>
    </w:p>
    <w:p w14:paraId="5D5DD5E1">
      <w:pPr>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年   月    日   </w:t>
      </w:r>
    </w:p>
    <w:p w14:paraId="73E303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6F94C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column">
                  <wp:posOffset>72390</wp:posOffset>
                </wp:positionH>
                <wp:positionV relativeFrom="paragraph">
                  <wp:posOffset>183515</wp:posOffset>
                </wp:positionV>
                <wp:extent cx="5524500" cy="1752600"/>
                <wp:effectExtent l="5715" t="12065" r="13335" b="698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524500" cy="1752600"/>
                        </a:xfrm>
                        <a:prstGeom prst="rect">
                          <a:avLst/>
                        </a:prstGeom>
                        <a:solidFill>
                          <a:srgbClr val="FFFFFF"/>
                        </a:solidFill>
                        <a:ln w="9525">
                          <a:solidFill>
                            <a:srgbClr val="000000"/>
                          </a:solidFill>
                          <a:miter lim="800000"/>
                        </a:ln>
                      </wps:spPr>
                      <wps:txbx>
                        <w:txbxContent>
                          <w:p w14:paraId="4AA31398"/>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7pt;margin-top:14.45pt;height:138pt;width:435pt;z-index:-251657216;mso-width-relative:page;mso-height-relative:page;" fillcolor="#FFFFFF" filled="t" stroked="t" coordsize="21600,21600" o:gfxdata="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A7bKPWAAAACQEAAA8AAAAAAAAAAQAgAAAAIgAAAGRycy9kb3ducmV2&#10;LnhtbFBLAQIUABQAAAAIAIdO4kCm2RCBNwIAAHsEAAAOAAAAAAAAAAEAIAAAACUBAABkcnMvZTJv&#10;RG9jLnhtbFBLBQYAAAAABgAGAFkBAADOBQAAAAA=&#10;">
                <v:fill on="t" focussize="0,0"/>
                <v:stroke color="#000000" miterlimit="8" joinstyle="miter"/>
                <v:imagedata o:title=""/>
                <o:lock v:ext="edit" aspectratio="f"/>
                <v:textbox>
                  <w:txbxContent>
                    <w:p w14:paraId="4AA31398"/>
                  </w:txbxContent>
                </v:textbox>
              </v:rect>
            </w:pict>
          </mc:Fallback>
        </mc:AlternateContent>
      </w:r>
      <w:r>
        <w:rPr>
          <w:rFonts w:hint="eastAsia" w:ascii="宋体" w:hAnsi="宋体" w:eastAsia="宋体" w:cs="宋体"/>
          <w:color w:val="auto"/>
          <w:sz w:val="24"/>
          <w:szCs w:val="24"/>
          <w:highlight w:val="none"/>
        </w:rPr>
        <w:t xml:space="preserve"> </w:t>
      </w:r>
    </w:p>
    <w:p w14:paraId="050B472D">
      <w:pPr>
        <w:spacing w:line="360" w:lineRule="auto"/>
        <w:rPr>
          <w:rFonts w:hint="eastAsia" w:ascii="宋体" w:hAnsi="宋体" w:eastAsia="宋体" w:cs="宋体"/>
          <w:color w:val="auto"/>
          <w:sz w:val="24"/>
          <w:szCs w:val="24"/>
          <w:highlight w:val="none"/>
        </w:rPr>
      </w:pPr>
    </w:p>
    <w:p w14:paraId="1CB644D8">
      <w:pPr>
        <w:spacing w:line="360" w:lineRule="auto"/>
        <w:rPr>
          <w:rFonts w:hint="eastAsia" w:ascii="宋体" w:hAnsi="宋体" w:eastAsia="宋体" w:cs="宋体"/>
          <w:color w:val="auto"/>
          <w:sz w:val="24"/>
          <w:szCs w:val="24"/>
          <w:highlight w:val="none"/>
        </w:rPr>
      </w:pPr>
    </w:p>
    <w:p w14:paraId="177BCE7D">
      <w:pPr>
        <w:spacing w:line="360" w:lineRule="auto"/>
        <w:ind w:firstLine="3000" w:firstLineChars="1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法定代表人身份证复印件或扫描件</w:t>
      </w:r>
    </w:p>
    <w:p w14:paraId="03AD57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C0FC96B">
      <w:pPr>
        <w:spacing w:line="360" w:lineRule="auto"/>
        <w:ind w:firstLine="2289" w:firstLineChars="950"/>
        <w:rPr>
          <w:rFonts w:hint="eastAsia" w:ascii="宋体" w:hAnsi="宋体" w:eastAsia="宋体" w:cs="宋体"/>
          <w:b/>
          <w:bCs/>
          <w:color w:val="auto"/>
          <w:sz w:val="24"/>
          <w:szCs w:val="24"/>
          <w:highlight w:val="none"/>
        </w:rPr>
      </w:pPr>
    </w:p>
    <w:p w14:paraId="74AEE070">
      <w:pPr>
        <w:spacing w:line="360" w:lineRule="auto"/>
        <w:rPr>
          <w:rFonts w:hint="eastAsia" w:ascii="宋体" w:hAnsi="宋体" w:eastAsia="宋体" w:cs="宋体"/>
          <w:b/>
          <w:bCs/>
          <w:color w:val="auto"/>
          <w:sz w:val="24"/>
          <w:szCs w:val="24"/>
          <w:highlight w:val="none"/>
        </w:rPr>
      </w:pPr>
    </w:p>
    <w:p w14:paraId="73E52F55">
      <w:pPr>
        <w:spacing w:line="360" w:lineRule="auto"/>
        <w:rPr>
          <w:rFonts w:hint="eastAsia" w:ascii="宋体" w:hAnsi="宋体" w:eastAsia="宋体" w:cs="宋体"/>
          <w:color w:val="auto"/>
          <w:sz w:val="21"/>
          <w:szCs w:val="24"/>
          <w:highlight w:val="none"/>
        </w:rPr>
      </w:pPr>
    </w:p>
    <w:p w14:paraId="3A55B97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5B86E7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2、授权委托书</w:t>
      </w:r>
    </w:p>
    <w:p w14:paraId="0F716341">
      <w:pPr>
        <w:snapToGrid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（被授权人参加投标时，须出示此证明）</w:t>
      </w:r>
    </w:p>
    <w:p w14:paraId="0BF980AB">
      <w:pPr>
        <w:snapToGrid w:val="0"/>
        <w:spacing w:line="360" w:lineRule="auto"/>
        <w:rPr>
          <w:rFonts w:hint="eastAsia" w:ascii="宋体" w:hAnsi="宋体" w:eastAsia="宋体" w:cs="宋体"/>
          <w:bCs/>
          <w:color w:val="auto"/>
          <w:sz w:val="24"/>
          <w:szCs w:val="24"/>
          <w:highlight w:val="none"/>
        </w:rPr>
      </w:pPr>
    </w:p>
    <w:p w14:paraId="7DC9E19B">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南通濠河良辰滨水运营管理有限公司</w:t>
      </w:r>
      <w:r>
        <w:rPr>
          <w:rFonts w:hint="eastAsia" w:ascii="宋体" w:hAnsi="宋体" w:eastAsia="宋体" w:cs="宋体"/>
          <w:color w:val="auto"/>
          <w:sz w:val="24"/>
          <w:szCs w:val="24"/>
          <w:highlight w:val="none"/>
        </w:rPr>
        <w:t>：</w:t>
      </w:r>
    </w:p>
    <w:p w14:paraId="44E0EE1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被授权人的姓名）代表我公司参加</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24"/>
          <w:szCs w:val="24"/>
          <w:highlight w:val="none"/>
        </w:rPr>
        <w:t>（招标项目名称及项目编号）项目的招标活动，全权处理一切与该项目公开招标有关的事务。其在办理上述事宜过程中所签署的所有文件我公司均予以承认。</w:t>
      </w:r>
    </w:p>
    <w:p w14:paraId="0419FEA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744A5B6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63A059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附：被授权人情况：</w:t>
      </w:r>
    </w:p>
    <w:p w14:paraId="1996656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39BE16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4C6ABD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5EFDC33">
      <w:pPr>
        <w:spacing w:line="360" w:lineRule="auto"/>
        <w:rPr>
          <w:rFonts w:hint="eastAsia" w:ascii="宋体" w:hAnsi="宋体" w:eastAsia="宋体" w:cs="宋体"/>
          <w:color w:val="auto"/>
          <w:sz w:val="24"/>
          <w:szCs w:val="24"/>
          <w:highlight w:val="none"/>
        </w:rPr>
      </w:pPr>
    </w:p>
    <w:p w14:paraId="4DDF5F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             法定代表人（签字或盖章）</w:t>
      </w:r>
    </w:p>
    <w:p w14:paraId="0D627C72">
      <w:pPr>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年   月    日  </w:t>
      </w:r>
    </w:p>
    <w:p w14:paraId="164CE6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F30A2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column">
                  <wp:posOffset>-3810</wp:posOffset>
                </wp:positionH>
                <wp:positionV relativeFrom="paragraph">
                  <wp:posOffset>154305</wp:posOffset>
                </wp:positionV>
                <wp:extent cx="5692140" cy="1844040"/>
                <wp:effectExtent l="5715" t="11430" r="7620" b="1143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692140" cy="1844040"/>
                        </a:xfrm>
                        <a:prstGeom prst="rect">
                          <a:avLst/>
                        </a:prstGeom>
                        <a:solidFill>
                          <a:srgbClr val="FFFFFF"/>
                        </a:solidFill>
                        <a:ln w="9525">
                          <a:solidFill>
                            <a:srgbClr val="000000"/>
                          </a:solidFill>
                          <a:miter lim="800000"/>
                        </a:ln>
                      </wps:spPr>
                      <wps:txbx>
                        <w:txbxContent>
                          <w:p w14:paraId="6B8D496A"/>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3pt;margin-top:12.15pt;height:145.2pt;width:448.2pt;z-index:-251656192;mso-width-relative:page;mso-height-relative:page;" fillcolor="#FFFFFF" filled="t" stroked="t" coordsize="21600,21600" o:gfxdata="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mBs33YAAAACAEAAA8AAAAAAAAAAQAgAAAAIgAAAGRycy9kb3du&#10;cmV2LnhtbFBLAQIUABQAAAAIAIdO4kDNz5rIOAIAAHsEAAAOAAAAAAAAAAEAIAAAACcBAABkcnMv&#10;ZTJvRG9jLnhtbFBLBQYAAAAABgAGAFkBAADRBQAAAAA=&#10;">
                <v:fill on="t" focussize="0,0"/>
                <v:stroke color="#000000" miterlimit="8" joinstyle="miter"/>
                <v:imagedata o:title=""/>
                <o:lock v:ext="edit" aspectratio="f"/>
                <v:textbox>
                  <w:txbxContent>
                    <w:p w14:paraId="6B8D496A"/>
                  </w:txbxContent>
                </v:textbox>
              </v:rect>
            </w:pict>
          </mc:Fallback>
        </mc:AlternateContent>
      </w:r>
    </w:p>
    <w:p w14:paraId="27CCD24E">
      <w:pPr>
        <w:spacing w:line="360" w:lineRule="auto"/>
        <w:rPr>
          <w:rFonts w:hint="eastAsia" w:ascii="宋体" w:hAnsi="宋体" w:eastAsia="宋体" w:cs="宋体"/>
          <w:color w:val="auto"/>
          <w:sz w:val="24"/>
          <w:szCs w:val="24"/>
          <w:highlight w:val="none"/>
        </w:rPr>
      </w:pPr>
    </w:p>
    <w:p w14:paraId="77ACD37F">
      <w:pPr>
        <w:spacing w:line="360" w:lineRule="auto"/>
        <w:ind w:firstLine="3000" w:firstLineChars="1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被授权人身份证复印件或扫描件</w:t>
      </w:r>
    </w:p>
    <w:p w14:paraId="3C3AB52F">
      <w:pPr>
        <w:spacing w:line="360" w:lineRule="auto"/>
        <w:rPr>
          <w:rFonts w:hint="eastAsia" w:ascii="宋体" w:hAnsi="宋体" w:eastAsia="宋体" w:cs="宋体"/>
          <w:color w:val="auto"/>
          <w:sz w:val="24"/>
          <w:szCs w:val="24"/>
          <w:highlight w:val="none"/>
        </w:rPr>
      </w:pPr>
    </w:p>
    <w:p w14:paraId="3345A444">
      <w:pPr>
        <w:spacing w:line="360" w:lineRule="auto"/>
        <w:ind w:firstLine="2280" w:firstLineChars="950"/>
        <w:rPr>
          <w:rFonts w:hint="eastAsia" w:ascii="宋体" w:hAnsi="宋体" w:eastAsia="宋体" w:cs="宋体"/>
          <w:color w:val="auto"/>
          <w:sz w:val="24"/>
          <w:szCs w:val="24"/>
          <w:highlight w:val="none"/>
        </w:rPr>
      </w:pPr>
    </w:p>
    <w:p w14:paraId="11BB9687">
      <w:pPr>
        <w:spacing w:line="360" w:lineRule="auto"/>
        <w:ind w:firstLine="2289" w:firstLineChars="950"/>
        <w:rPr>
          <w:rFonts w:hint="eastAsia" w:ascii="宋体" w:hAnsi="宋体" w:eastAsia="宋体" w:cs="宋体"/>
          <w:b/>
          <w:bCs/>
          <w:color w:val="auto"/>
          <w:sz w:val="24"/>
          <w:szCs w:val="24"/>
          <w:highlight w:val="none"/>
        </w:rPr>
      </w:pPr>
    </w:p>
    <w:p w14:paraId="648A7A01">
      <w:pPr>
        <w:spacing w:line="360" w:lineRule="auto"/>
        <w:rPr>
          <w:rFonts w:hint="eastAsia" w:ascii="宋体" w:hAnsi="宋体" w:eastAsia="宋体" w:cs="宋体"/>
          <w:b/>
          <w:bCs/>
          <w:color w:val="auto"/>
          <w:sz w:val="24"/>
          <w:szCs w:val="24"/>
          <w:highlight w:val="none"/>
        </w:rPr>
      </w:pPr>
    </w:p>
    <w:p w14:paraId="2F7764B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4"/>
          <w:szCs w:val="24"/>
          <w:highlight w:val="none"/>
        </w:rPr>
        <w:t>如为被授权人参加投标时，须将身份证原件带至开标现场备查</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4"/>
          <w:szCs w:val="24"/>
          <w:highlight w:val="none"/>
        </w:rPr>
        <w:br w:type="page"/>
      </w:r>
    </w:p>
    <w:p w14:paraId="125F669F">
      <w:pPr>
        <w:snapToGrid w:val="0"/>
        <w:spacing w:line="520" w:lineRule="exact"/>
        <w:jc w:val="center"/>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8"/>
          <w:szCs w:val="28"/>
          <w:highlight w:val="none"/>
        </w:rPr>
        <w:t>承诺函</w:t>
      </w:r>
    </w:p>
    <w:p w14:paraId="70F0A6B1">
      <w:pPr>
        <w:snapToGrid w:val="0"/>
        <w:spacing w:before="240" w:line="520" w:lineRule="exact"/>
        <w:ind w:firstLine="480" w:firstLineChars="200"/>
        <w:jc w:val="left"/>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我单位参加</w:t>
      </w:r>
      <w:r>
        <w:rPr>
          <w:rFonts w:hint="eastAsia" w:ascii="宋体" w:hAnsi="宋体" w:eastAsia="宋体" w:cs="宋体"/>
          <w:b/>
          <w:color w:val="auto"/>
          <w:sz w:val="24"/>
          <w:szCs w:val="24"/>
          <w:highlight w:val="none"/>
          <w:u w:val="single"/>
          <w:lang w:eastAsia="zh-CN"/>
        </w:rPr>
        <w:t>濠河夜画2026年演员服务项目</w:t>
      </w:r>
      <w:r>
        <w:rPr>
          <w:rFonts w:hint="eastAsia" w:ascii="宋体" w:hAnsi="宋体" w:eastAsia="宋体" w:cs="宋体"/>
          <w:bCs/>
          <w:color w:val="auto"/>
          <w:sz w:val="24"/>
          <w:szCs w:val="24"/>
          <w:highlight w:val="none"/>
        </w:rPr>
        <w:t>（项目名称）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项目编号）投标活动。做出如下声明：</w:t>
      </w:r>
    </w:p>
    <w:p w14:paraId="5B37D8B3">
      <w:pPr>
        <w:snapToGrid w:val="0"/>
        <w:spacing w:line="520" w:lineRule="exact"/>
        <w:ind w:firstLine="480" w:firstLineChars="200"/>
        <w:jc w:val="left"/>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1、我单位</w:t>
      </w:r>
      <w:r>
        <w:rPr>
          <w:rFonts w:hint="eastAsia" w:ascii="宋体" w:hAnsi="宋体" w:eastAsia="宋体" w:cs="宋体"/>
          <w:color w:val="auto"/>
          <w:sz w:val="24"/>
          <w:szCs w:val="24"/>
          <w:highlight w:val="none"/>
        </w:rPr>
        <w:t>为在中华人民共和国境内注册的具有</w:t>
      </w:r>
      <w:r>
        <w:rPr>
          <w:rFonts w:hint="eastAsia" w:ascii="宋体" w:hAnsi="宋体" w:eastAsia="宋体" w:cs="宋体"/>
          <w:color w:val="auto"/>
          <w:sz w:val="24"/>
          <w:szCs w:val="24"/>
          <w:highlight w:val="none"/>
          <w:lang w:eastAsia="zh-CN"/>
        </w:rPr>
        <w:t>法定资格的人力资源或演艺经纪公司</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具有独立承担民事责任的能力；</w:t>
      </w:r>
    </w:p>
    <w:p w14:paraId="0881235F">
      <w:pPr>
        <w:snapToGrid w:val="0"/>
        <w:spacing w:line="520" w:lineRule="exact"/>
        <w:ind w:firstLine="480" w:firstLineChars="200"/>
        <w:jc w:val="left"/>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2、我单位具有良好的商业信誉和健全的财务会计制度；</w:t>
      </w:r>
    </w:p>
    <w:p w14:paraId="5D36ACE8">
      <w:pPr>
        <w:snapToGrid w:val="0"/>
        <w:spacing w:line="520" w:lineRule="exact"/>
        <w:ind w:firstLine="480" w:firstLineChars="200"/>
        <w:jc w:val="left"/>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3、我单位具有履行合同所必需的设备和专业技术能力；</w:t>
      </w:r>
    </w:p>
    <w:p w14:paraId="15941F5E">
      <w:pPr>
        <w:snapToGrid w:val="0"/>
        <w:spacing w:line="520" w:lineRule="exact"/>
        <w:ind w:firstLine="480" w:firstLineChars="200"/>
        <w:jc w:val="left"/>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4、我单位有依法缴纳税收和社会保障资金的良好记录；</w:t>
      </w:r>
    </w:p>
    <w:p w14:paraId="6E841FE1">
      <w:pPr>
        <w:tabs>
          <w:tab w:val="left" w:pos="6300"/>
        </w:tabs>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5、我单位在</w:t>
      </w:r>
      <w:r>
        <w:rPr>
          <w:rFonts w:hint="eastAsia" w:ascii="宋体" w:hAnsi="宋体" w:eastAsia="宋体" w:cs="宋体"/>
          <w:color w:val="auto"/>
          <w:sz w:val="24"/>
          <w:szCs w:val="24"/>
          <w:highlight w:val="none"/>
        </w:rPr>
        <w:t>参加采购活动前三年内，</w:t>
      </w:r>
      <w:r>
        <w:rPr>
          <w:rFonts w:hint="eastAsia" w:ascii="宋体" w:hAnsi="宋体" w:eastAsia="宋体" w:cs="宋体"/>
          <w:color w:val="auto"/>
          <w:sz w:val="24"/>
          <w:szCs w:val="24"/>
          <w:highlight w:val="none"/>
          <w:lang w:eastAsia="zh-CN"/>
        </w:rPr>
        <w:t>没有重大违法记录</w:t>
      </w:r>
      <w:r>
        <w:rPr>
          <w:rFonts w:hint="eastAsia" w:ascii="宋体" w:hAnsi="宋体" w:eastAsia="宋体" w:cs="宋体"/>
          <w:color w:val="auto"/>
          <w:sz w:val="24"/>
          <w:szCs w:val="24"/>
          <w:highlight w:val="none"/>
        </w:rPr>
        <w:t>。</w:t>
      </w:r>
    </w:p>
    <w:p w14:paraId="5DC7E68F">
      <w:pPr>
        <w:snapToGrid w:val="0"/>
        <w:spacing w:line="520" w:lineRule="exact"/>
        <w:ind w:firstLine="480" w:firstLineChars="200"/>
        <w:jc w:val="left"/>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6、我单位满足法律、行政法规规定的其他条件。</w:t>
      </w:r>
    </w:p>
    <w:p w14:paraId="58E4E479">
      <w:pPr>
        <w:snapToGrid w:val="0"/>
        <w:spacing w:line="520" w:lineRule="exact"/>
        <w:jc w:val="center"/>
        <w:outlineLvl w:val="2"/>
        <w:rPr>
          <w:rFonts w:hint="eastAsia" w:ascii="宋体" w:hAnsi="宋体" w:eastAsia="宋体" w:cs="宋体"/>
          <w:bCs/>
          <w:color w:val="auto"/>
          <w:sz w:val="24"/>
          <w:szCs w:val="24"/>
          <w:highlight w:val="none"/>
        </w:rPr>
      </w:pPr>
    </w:p>
    <w:p w14:paraId="601DDEB5">
      <w:pPr>
        <w:snapToGrid w:val="0"/>
        <w:spacing w:line="520" w:lineRule="exact"/>
        <w:jc w:val="center"/>
        <w:outlineLvl w:val="2"/>
        <w:rPr>
          <w:rFonts w:hint="eastAsia" w:ascii="宋体" w:hAnsi="宋体" w:eastAsia="宋体" w:cs="宋体"/>
          <w:bCs/>
          <w:color w:val="auto"/>
          <w:sz w:val="24"/>
          <w:szCs w:val="24"/>
          <w:highlight w:val="none"/>
        </w:rPr>
      </w:pPr>
    </w:p>
    <w:p w14:paraId="74F59D0B">
      <w:pPr>
        <w:snapToGrid w:val="0"/>
        <w:spacing w:line="520" w:lineRule="exact"/>
        <w:jc w:val="center"/>
        <w:outlineLvl w:val="2"/>
        <w:rPr>
          <w:rFonts w:hint="eastAsia" w:ascii="宋体" w:hAnsi="宋体" w:eastAsia="宋体" w:cs="宋体"/>
          <w:bCs/>
          <w:color w:val="auto"/>
          <w:sz w:val="24"/>
          <w:szCs w:val="24"/>
          <w:highlight w:val="none"/>
        </w:rPr>
      </w:pPr>
    </w:p>
    <w:p w14:paraId="0D96A04B">
      <w:pPr>
        <w:snapToGrid w:val="0"/>
        <w:spacing w:line="520" w:lineRule="exact"/>
        <w:jc w:val="center"/>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声明人：（公章）</w:t>
      </w:r>
    </w:p>
    <w:p w14:paraId="669002EF">
      <w:pPr>
        <w:snapToGrid w:val="0"/>
        <w:spacing w:line="520" w:lineRule="exact"/>
        <w:jc w:val="center"/>
        <w:outlineLvl w:val="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日期：     年     月     日</w:t>
      </w:r>
    </w:p>
    <w:p w14:paraId="3DCD72AD">
      <w:pPr>
        <w:snapToGrid w:val="0"/>
        <w:spacing w:line="360" w:lineRule="auto"/>
        <w:ind w:left="520" w:leftChars="200"/>
        <w:jc w:val="center"/>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DB52740">
      <w:pPr>
        <w:snapToGrid w:val="0"/>
        <w:spacing w:line="360" w:lineRule="auto"/>
        <w:jc w:val="center"/>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4、关于资格文件的声明函</w:t>
      </w:r>
    </w:p>
    <w:p w14:paraId="79AF71E7">
      <w:pPr>
        <w:adjustRightInd w:val="0"/>
        <w:snapToGrid w:val="0"/>
        <w:spacing w:line="360" w:lineRule="auto"/>
        <w:jc w:val="left"/>
        <w:rPr>
          <w:rFonts w:hint="eastAsia" w:ascii="宋体" w:hAnsi="宋体" w:eastAsia="宋体" w:cs="宋体"/>
          <w:color w:val="auto"/>
          <w:sz w:val="24"/>
          <w:szCs w:val="24"/>
          <w:highlight w:val="none"/>
        </w:rPr>
      </w:pPr>
    </w:p>
    <w:p w14:paraId="5AB198D6">
      <w:pPr>
        <w:overflowPunct w:val="0"/>
        <w:adjustRightInd w:val="0"/>
        <w:spacing w:line="360" w:lineRule="auto"/>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南通濠河良辰滨水运营管理有限公司</w:t>
      </w:r>
      <w:r>
        <w:rPr>
          <w:rFonts w:hint="eastAsia" w:ascii="宋体" w:hAnsi="宋体" w:eastAsia="宋体" w:cs="宋体"/>
          <w:color w:val="auto"/>
          <w:sz w:val="24"/>
          <w:szCs w:val="24"/>
          <w:highlight w:val="none"/>
          <w:u w:val="single"/>
        </w:rPr>
        <w:t>：</w:t>
      </w:r>
    </w:p>
    <w:p w14:paraId="6A413590">
      <w:pPr>
        <w:overflowPunct w:val="0"/>
        <w:adjustRightIn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本公司愿就由贵单位组织实施的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（招标项目名称及项目编号）的招标活动进行投标。本公司所提交的投标文件中所有关于投标资格的文件、证明和陈述均是真实的、准确的。若与真实情况不符，本公司愿意承担由此而产生的一切后果。</w:t>
      </w:r>
    </w:p>
    <w:p w14:paraId="62B0BDC3">
      <w:pPr>
        <w:overflowPunct w:val="0"/>
        <w:adjustRightInd w:val="0"/>
        <w:spacing w:line="360" w:lineRule="auto"/>
        <w:ind w:firstLine="420"/>
        <w:jc w:val="left"/>
        <w:textAlignment w:val="baseline"/>
        <w:rPr>
          <w:rFonts w:hint="eastAsia" w:ascii="宋体" w:hAnsi="宋体" w:eastAsia="宋体" w:cs="宋体"/>
          <w:color w:val="auto"/>
          <w:sz w:val="24"/>
          <w:szCs w:val="24"/>
          <w:highlight w:val="none"/>
        </w:rPr>
      </w:pPr>
    </w:p>
    <w:p w14:paraId="316CC39F">
      <w:pPr>
        <w:overflowPunct w:val="0"/>
        <w:adjustRightInd w:val="0"/>
        <w:spacing w:line="360" w:lineRule="auto"/>
        <w:ind w:firstLine="420"/>
        <w:jc w:val="left"/>
        <w:textAlignment w:val="baseline"/>
        <w:rPr>
          <w:rFonts w:hint="eastAsia" w:ascii="宋体" w:hAnsi="宋体" w:eastAsia="宋体" w:cs="宋体"/>
          <w:color w:val="auto"/>
          <w:sz w:val="24"/>
          <w:szCs w:val="24"/>
          <w:highlight w:val="none"/>
        </w:rPr>
      </w:pPr>
    </w:p>
    <w:p w14:paraId="3499862D">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（加盖公章）</w:t>
      </w:r>
    </w:p>
    <w:p w14:paraId="00BD36E8">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75F00B7D">
      <w:pPr>
        <w:spacing w:line="360" w:lineRule="auto"/>
        <w:ind w:firstLine="3818" w:firstLineChars="159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4F5B6DF">
      <w:pPr>
        <w:snapToGrid w:val="0"/>
        <w:spacing w:line="520" w:lineRule="exact"/>
        <w:jc w:val="center"/>
        <w:rPr>
          <w:rFonts w:hint="eastAsia" w:ascii="宋体" w:hAnsi="宋体" w:eastAsia="宋体" w:cs="宋体"/>
          <w:b/>
          <w:bCs/>
          <w:color w:val="auto"/>
          <w:sz w:val="28"/>
          <w:szCs w:val="28"/>
          <w:highlight w:val="none"/>
        </w:rPr>
      </w:pPr>
    </w:p>
    <w:p w14:paraId="31753CCA">
      <w:pPr>
        <w:snapToGrid w:val="0"/>
        <w:spacing w:line="520" w:lineRule="exac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9A9D890">
      <w:pPr>
        <w:snapToGrid w:val="0"/>
        <w:spacing w:line="520" w:lineRule="exact"/>
        <w:jc w:val="center"/>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5、投标响应函</w:t>
      </w:r>
    </w:p>
    <w:p w14:paraId="03E5FB96">
      <w:pPr>
        <w:pStyle w:val="4"/>
        <w:overflowPunct w:val="0"/>
        <w:spacing w:line="44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28F152EE">
      <w:pPr>
        <w:pStyle w:val="4"/>
        <w:overflowPunct w:val="0"/>
        <w:spacing w:line="44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lang w:eastAsia="zh-CN"/>
        </w:rPr>
        <w:t>南通濠河良辰滨水运营管理有限公司</w:t>
      </w:r>
      <w:r>
        <w:rPr>
          <w:rFonts w:hint="eastAsia" w:ascii="宋体" w:hAnsi="宋体" w:eastAsia="宋体" w:cs="宋体"/>
          <w:color w:val="auto"/>
          <w:szCs w:val="24"/>
          <w:highlight w:val="none"/>
        </w:rPr>
        <w:t>：</w:t>
      </w:r>
    </w:p>
    <w:p w14:paraId="4D073918">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依据贵单位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（招标项目名称及项目编号）的公开招标的邀请，我方授权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（职务）为全权代表参加该项目的投标工作，全权处理本次投标的有关事宜。同时，我公司声明如下：</w:t>
      </w:r>
    </w:p>
    <w:p w14:paraId="2926363F">
      <w:pPr>
        <w:snapToGrid w:val="0"/>
        <w:spacing w:line="48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1、我方愿意按照招标文件的一切要求，提供完成该项目的全部内容，我方的投标报价包含完成本次项目所发生的全部费用以及企业利润、税金和政策性文件规定及合同包含的所有风险、责任等各项应有费用。</w:t>
      </w:r>
    </w:p>
    <w:p w14:paraId="39FBD146">
      <w:pPr>
        <w:snapToGrid w:val="0"/>
        <w:spacing w:line="48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2、我方已经详细审查了全部招标文件，我方已完全清晰理解招标文件的要求，不存在任何含糊不清和误解之处，同意放弃对这些文件所提出的异议和质疑的权利。</w:t>
      </w:r>
    </w:p>
    <w:p w14:paraId="0C9841BA">
      <w:pPr>
        <w:snapToGrid w:val="0"/>
        <w:spacing w:line="48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3、我方愿意提供招标人在招标文件中要求的所有资料。</w:t>
      </w:r>
    </w:p>
    <w:p w14:paraId="481E2123">
      <w:pPr>
        <w:snapToGrid w:val="0"/>
        <w:spacing w:line="48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4、我方承诺在本次招标响应中提供的一切文件，无论是原件还是复印件均真实有效，绝无任何虚假、伪造和夸大的成份。否则，愿承担相应的后果和法律责任。</w:t>
      </w:r>
    </w:p>
    <w:p w14:paraId="46EA07C4">
      <w:pPr>
        <w:snapToGrid w:val="0"/>
        <w:spacing w:line="48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5、我方尊重评标小组所作的评定结果，同时也清楚理解到投标报价最低并非意味着必定获得中标资格。</w:t>
      </w:r>
    </w:p>
    <w:p w14:paraId="1B38D20E">
      <w:pPr>
        <w:snapToGrid w:val="0"/>
        <w:spacing w:line="48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6、一旦我方中标，我方将根据招标文件的规定，严格履行招标文件中规定的每一项要求，按期、按质、按量履行合同的义务。 </w:t>
      </w:r>
    </w:p>
    <w:p w14:paraId="6DDF337B">
      <w:pPr>
        <w:snapToGrid w:val="0"/>
        <w:spacing w:line="440" w:lineRule="exact"/>
        <w:ind w:firstLine="2400" w:firstLineChars="1000"/>
        <w:jc w:val="right"/>
        <w:rPr>
          <w:rFonts w:hint="eastAsia" w:ascii="宋体" w:hAnsi="宋体" w:eastAsia="宋体" w:cs="宋体"/>
          <w:color w:val="auto"/>
          <w:sz w:val="24"/>
          <w:szCs w:val="24"/>
          <w:highlight w:val="none"/>
        </w:rPr>
      </w:pPr>
    </w:p>
    <w:p w14:paraId="26C6F211">
      <w:pPr>
        <w:snapToGrid w:val="0"/>
        <w:spacing w:line="440" w:lineRule="exact"/>
        <w:ind w:firstLine="2400" w:firstLineChars="1000"/>
        <w:jc w:val="right"/>
        <w:rPr>
          <w:rFonts w:hint="eastAsia" w:ascii="宋体" w:hAnsi="宋体" w:eastAsia="宋体" w:cs="宋体"/>
          <w:color w:val="auto"/>
          <w:sz w:val="24"/>
          <w:szCs w:val="24"/>
          <w:highlight w:val="none"/>
        </w:rPr>
      </w:pPr>
    </w:p>
    <w:p w14:paraId="39413DBC">
      <w:pPr>
        <w:snapToGrid w:val="0"/>
        <w:spacing w:line="440" w:lineRule="exact"/>
        <w:ind w:firstLine="2400" w:firstLineChars="10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（加盖公章）</w:t>
      </w:r>
    </w:p>
    <w:p w14:paraId="16EA1AAF">
      <w:pPr>
        <w:snapToGrid w:val="0"/>
        <w:spacing w:line="440" w:lineRule="exact"/>
        <w:ind w:firstLine="2400" w:firstLineChars="10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E0E66B2">
      <w:pPr>
        <w:snapToGrid w:val="0"/>
        <w:spacing w:line="3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9867A33">
      <w:pPr>
        <w:snapToGrid w:val="0"/>
        <w:spacing w:line="520" w:lineRule="exact"/>
        <w:jc w:val="center"/>
        <w:rPr>
          <w:rFonts w:hint="eastAsia" w:ascii="宋体" w:hAnsi="宋体" w:eastAsia="宋体" w:cs="宋体"/>
          <w:b/>
          <w:bCs/>
          <w:color w:val="auto"/>
          <w:sz w:val="24"/>
          <w:szCs w:val="24"/>
          <w:highlight w:val="none"/>
        </w:rPr>
      </w:pPr>
    </w:p>
    <w:p w14:paraId="370AF7EE">
      <w:pPr>
        <w:snapToGrid w:val="0"/>
        <w:spacing w:after="177" w:afterLines="50" w:line="5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6、投标报价</w:t>
      </w:r>
      <w:r>
        <w:rPr>
          <w:rFonts w:hint="eastAsia" w:ascii="宋体" w:hAnsi="宋体" w:eastAsia="宋体" w:cs="宋体"/>
          <w:b/>
          <w:bCs/>
          <w:color w:val="auto"/>
          <w:sz w:val="28"/>
          <w:szCs w:val="28"/>
          <w:highlight w:val="none"/>
          <w:lang w:eastAsia="zh-CN"/>
        </w:rPr>
        <w:t>总</w:t>
      </w:r>
      <w:r>
        <w:rPr>
          <w:rFonts w:hint="eastAsia" w:ascii="宋体" w:hAnsi="宋体" w:eastAsia="宋体" w:cs="宋体"/>
          <w:b/>
          <w:bCs/>
          <w:color w:val="auto"/>
          <w:sz w:val="28"/>
          <w:szCs w:val="28"/>
          <w:highlight w:val="none"/>
        </w:rPr>
        <w:t>表</w:t>
      </w:r>
    </w:p>
    <w:tbl>
      <w:tblPr>
        <w:tblStyle w:val="17"/>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124"/>
      </w:tblGrid>
      <w:tr w14:paraId="23C6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14:paraId="3AD6339D">
            <w:pPr>
              <w:spacing w:line="480" w:lineRule="exact"/>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项目名称</w:t>
            </w:r>
          </w:p>
        </w:tc>
        <w:tc>
          <w:tcPr>
            <w:tcW w:w="7124" w:type="dxa"/>
            <w:tcBorders>
              <w:top w:val="single" w:color="auto" w:sz="4" w:space="0"/>
              <w:left w:val="single" w:color="auto" w:sz="4" w:space="0"/>
              <w:bottom w:val="single" w:color="auto" w:sz="4" w:space="0"/>
              <w:right w:val="single" w:color="auto" w:sz="4" w:space="0"/>
            </w:tcBorders>
            <w:vAlign w:val="center"/>
          </w:tcPr>
          <w:p w14:paraId="0FAA3D77">
            <w:pPr>
              <w:spacing w:line="480" w:lineRule="exact"/>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濠河夜画2026年演员服务项目</w:t>
            </w:r>
          </w:p>
        </w:tc>
      </w:tr>
      <w:tr w14:paraId="3C89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14:paraId="1AD2BA00">
            <w:pPr>
              <w:spacing w:line="480" w:lineRule="exact"/>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项目编号</w:t>
            </w:r>
          </w:p>
        </w:tc>
        <w:tc>
          <w:tcPr>
            <w:tcW w:w="7124" w:type="dxa"/>
            <w:tcBorders>
              <w:top w:val="single" w:color="auto" w:sz="4" w:space="0"/>
              <w:left w:val="single" w:color="auto" w:sz="4" w:space="0"/>
              <w:bottom w:val="single" w:color="auto" w:sz="4" w:space="0"/>
              <w:right w:val="single" w:color="auto" w:sz="4" w:space="0"/>
            </w:tcBorders>
            <w:vAlign w:val="center"/>
          </w:tcPr>
          <w:p w14:paraId="213655E3">
            <w:pPr>
              <w:spacing w:line="480" w:lineRule="exact"/>
              <w:jc w:val="center"/>
              <w:rPr>
                <w:rFonts w:hint="eastAsia" w:ascii="宋体" w:hAnsi="宋体" w:eastAsia="宋体" w:cs="宋体"/>
                <w:color w:val="auto"/>
                <w:sz w:val="24"/>
                <w:szCs w:val="24"/>
                <w:highlight w:val="none"/>
              </w:rPr>
            </w:pPr>
          </w:p>
        </w:tc>
      </w:tr>
      <w:tr w14:paraId="1DB5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14:paraId="08FEC1B9">
            <w:pPr>
              <w:spacing w:line="480" w:lineRule="exact"/>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p w14:paraId="305A8364">
            <w:pPr>
              <w:spacing w:line="480" w:lineRule="exact"/>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元</w:t>
            </w:r>
            <w:r>
              <w:rPr>
                <w:rFonts w:hint="eastAsia" w:ascii="宋体" w:hAnsi="宋体" w:eastAsia="宋体" w:cs="宋体"/>
                <w:color w:val="auto"/>
                <w:sz w:val="24"/>
                <w:szCs w:val="28"/>
                <w:highlight w:val="none"/>
              </w:rPr>
              <w:t>）</w:t>
            </w:r>
          </w:p>
        </w:tc>
        <w:tc>
          <w:tcPr>
            <w:tcW w:w="7124" w:type="dxa"/>
            <w:tcBorders>
              <w:top w:val="single" w:color="auto" w:sz="4" w:space="0"/>
              <w:left w:val="single" w:color="auto" w:sz="4" w:space="0"/>
              <w:bottom w:val="single" w:color="auto" w:sz="4" w:space="0"/>
              <w:right w:val="single" w:color="auto" w:sz="4" w:space="0"/>
            </w:tcBorders>
            <w:vAlign w:val="center"/>
          </w:tcPr>
          <w:p w14:paraId="3396D1DC">
            <w:pPr>
              <w:spacing w:line="4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p>
          <w:p w14:paraId="1A071B77">
            <w:pPr>
              <w:spacing w:line="480" w:lineRule="exact"/>
              <w:jc w:val="left"/>
              <w:rPr>
                <w:rFonts w:hint="eastAsia" w:ascii="宋体" w:hAnsi="宋体" w:eastAsia="宋体" w:cs="宋体"/>
                <w:color w:val="auto"/>
                <w:sz w:val="24"/>
                <w:szCs w:val="28"/>
                <w:highlight w:val="none"/>
              </w:rPr>
            </w:pPr>
            <w:r>
              <w:rPr>
                <w:rFonts w:hint="eastAsia" w:ascii="宋体" w:hAnsi="宋体" w:eastAsia="宋体" w:cs="宋体"/>
                <w:b/>
                <w:color w:val="auto"/>
                <w:sz w:val="24"/>
                <w:szCs w:val="24"/>
                <w:highlight w:val="none"/>
                <w:lang w:val="en-US" w:eastAsia="zh-CN"/>
              </w:rPr>
              <w:t>小写：</w:t>
            </w:r>
          </w:p>
        </w:tc>
      </w:tr>
    </w:tbl>
    <w:p w14:paraId="503D7493">
      <w:pPr>
        <w:kinsoku w:val="0"/>
        <w:topLinePunct/>
        <w:snapToGrid w:val="0"/>
        <w:spacing w:line="520" w:lineRule="exact"/>
        <w:rPr>
          <w:rFonts w:hint="eastAsia" w:ascii="宋体" w:hAnsi="宋体" w:eastAsia="宋体" w:cs="宋体"/>
          <w:color w:val="auto"/>
          <w:sz w:val="28"/>
          <w:szCs w:val="28"/>
          <w:highlight w:val="none"/>
        </w:rPr>
      </w:pPr>
    </w:p>
    <w:p w14:paraId="60ADFBE0">
      <w:pPr>
        <w:kinsoku w:val="0"/>
        <w:topLinePunct/>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r>
        <w:rPr>
          <w:rFonts w:hint="eastAsia" w:ascii="宋体" w:hAnsi="宋体" w:eastAsia="宋体" w:cs="宋体"/>
          <w:color w:val="auto"/>
          <w:sz w:val="24"/>
          <w:szCs w:val="24"/>
          <w:highlight w:val="none"/>
          <w:u w:val="single"/>
        </w:rPr>
        <w:t xml:space="preserve">               </w:t>
      </w:r>
    </w:p>
    <w:p w14:paraId="0DA49D5D">
      <w:pPr>
        <w:kinsoku w:val="0"/>
        <w:topLinePunct/>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color w:val="auto"/>
          <w:sz w:val="24"/>
          <w:szCs w:val="24"/>
          <w:highlight w:val="none"/>
          <w:u w:val="single"/>
        </w:rPr>
        <w:t xml:space="preserve">               </w:t>
      </w:r>
    </w:p>
    <w:p w14:paraId="7F35BC38">
      <w:pPr>
        <w:kinsoku w:val="0"/>
        <w:topLinePunct/>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4B829C77">
      <w:pPr>
        <w:snapToGrid w:val="0"/>
        <w:spacing w:line="520" w:lineRule="exact"/>
        <w:rPr>
          <w:rFonts w:hint="eastAsia" w:ascii="宋体" w:hAnsi="宋体" w:eastAsia="宋体" w:cs="宋体"/>
          <w:b/>
          <w:bCs/>
          <w:color w:val="auto"/>
          <w:sz w:val="24"/>
          <w:szCs w:val="24"/>
          <w:highlight w:val="none"/>
        </w:rPr>
      </w:pPr>
    </w:p>
    <w:p w14:paraId="6CB95F43">
      <w:pPr>
        <w:pStyle w:val="28"/>
        <w:ind w:left="0" w:leftChars="0" w:firstLine="0" w:firstLineChars="0"/>
        <w:rPr>
          <w:rFonts w:hint="eastAsia" w:ascii="宋体" w:hAnsi="宋体" w:eastAsia="宋体" w:cs="宋体"/>
          <w:color w:val="auto"/>
          <w:highlight w:val="none"/>
        </w:rPr>
      </w:pPr>
    </w:p>
    <w:p w14:paraId="1E888BF9">
      <w:pPr>
        <w:rPr>
          <w:rFonts w:hint="eastAsia" w:ascii="宋体" w:hAnsi="宋体" w:eastAsia="宋体" w:cs="宋体"/>
          <w:color w:val="auto"/>
          <w:highlight w:val="none"/>
        </w:rPr>
      </w:pPr>
    </w:p>
    <w:p w14:paraId="05D623E4">
      <w:pPr>
        <w:pStyle w:val="6"/>
        <w:rPr>
          <w:rFonts w:hint="eastAsia" w:ascii="宋体" w:hAnsi="宋体" w:eastAsia="宋体" w:cs="宋体"/>
          <w:color w:val="auto"/>
          <w:highlight w:val="none"/>
        </w:rPr>
      </w:pPr>
    </w:p>
    <w:p w14:paraId="0505382F">
      <w:pPr>
        <w:pStyle w:val="6"/>
        <w:rPr>
          <w:rFonts w:hint="eastAsia" w:ascii="宋体" w:hAnsi="宋体" w:eastAsia="宋体" w:cs="宋体"/>
          <w:color w:val="auto"/>
          <w:highlight w:val="none"/>
        </w:rPr>
      </w:pPr>
    </w:p>
    <w:p w14:paraId="649EDB8B">
      <w:pPr>
        <w:pStyle w:val="6"/>
        <w:rPr>
          <w:rFonts w:hint="eastAsia" w:ascii="宋体" w:hAnsi="宋体" w:eastAsia="宋体" w:cs="宋体"/>
          <w:color w:val="auto"/>
          <w:highlight w:val="none"/>
        </w:rPr>
      </w:pPr>
    </w:p>
    <w:p w14:paraId="12AD387E">
      <w:pPr>
        <w:pStyle w:val="6"/>
        <w:rPr>
          <w:rFonts w:hint="eastAsia" w:ascii="宋体" w:hAnsi="宋体" w:eastAsia="宋体" w:cs="宋体"/>
          <w:color w:val="auto"/>
          <w:highlight w:val="none"/>
        </w:rPr>
      </w:pPr>
    </w:p>
    <w:p w14:paraId="5D0EE86E">
      <w:pPr>
        <w:pStyle w:val="6"/>
        <w:rPr>
          <w:rFonts w:hint="eastAsia" w:ascii="宋体" w:hAnsi="宋体" w:eastAsia="宋体" w:cs="宋体"/>
          <w:color w:val="auto"/>
          <w:highlight w:val="none"/>
        </w:rPr>
      </w:pPr>
    </w:p>
    <w:p w14:paraId="77BB1F8B">
      <w:pPr>
        <w:pStyle w:val="6"/>
        <w:rPr>
          <w:rFonts w:hint="eastAsia" w:ascii="宋体" w:hAnsi="宋体" w:eastAsia="宋体" w:cs="宋体"/>
          <w:color w:val="auto"/>
          <w:highlight w:val="none"/>
        </w:rPr>
      </w:pPr>
    </w:p>
    <w:p w14:paraId="0B7AE8F3">
      <w:pPr>
        <w:pStyle w:val="6"/>
        <w:rPr>
          <w:rFonts w:hint="eastAsia" w:ascii="宋体" w:hAnsi="宋体" w:eastAsia="宋体" w:cs="宋体"/>
          <w:color w:val="auto"/>
          <w:highlight w:val="none"/>
        </w:rPr>
      </w:pPr>
    </w:p>
    <w:p w14:paraId="0249CABD">
      <w:pPr>
        <w:pStyle w:val="6"/>
        <w:rPr>
          <w:rFonts w:hint="eastAsia" w:ascii="宋体" w:hAnsi="宋体" w:eastAsia="宋体" w:cs="宋体"/>
          <w:color w:val="auto"/>
          <w:highlight w:val="none"/>
        </w:rPr>
      </w:pPr>
    </w:p>
    <w:p w14:paraId="08B7C644">
      <w:pPr>
        <w:pStyle w:val="6"/>
        <w:rPr>
          <w:rFonts w:hint="eastAsia" w:ascii="宋体" w:hAnsi="宋体" w:eastAsia="宋体" w:cs="宋体"/>
          <w:color w:val="auto"/>
          <w:highlight w:val="none"/>
        </w:rPr>
      </w:pPr>
    </w:p>
    <w:p w14:paraId="03D4F66D">
      <w:pPr>
        <w:pStyle w:val="6"/>
        <w:rPr>
          <w:rFonts w:hint="eastAsia" w:ascii="宋体" w:hAnsi="宋体" w:eastAsia="宋体" w:cs="宋体"/>
          <w:color w:val="auto"/>
          <w:highlight w:val="none"/>
        </w:rPr>
      </w:pPr>
    </w:p>
    <w:p w14:paraId="504E0120">
      <w:pPr>
        <w:pStyle w:val="6"/>
        <w:rPr>
          <w:rFonts w:hint="eastAsia" w:ascii="宋体" w:hAnsi="宋体" w:eastAsia="宋体" w:cs="宋体"/>
          <w:color w:val="auto"/>
          <w:highlight w:val="none"/>
        </w:rPr>
      </w:pPr>
    </w:p>
    <w:p w14:paraId="7C6C1BDF">
      <w:pPr>
        <w:pStyle w:val="6"/>
        <w:rPr>
          <w:rFonts w:hint="eastAsia" w:ascii="宋体" w:hAnsi="宋体" w:eastAsia="宋体" w:cs="宋体"/>
          <w:color w:val="auto"/>
          <w:highlight w:val="none"/>
        </w:rPr>
      </w:pPr>
    </w:p>
    <w:p w14:paraId="607DD0FC">
      <w:pPr>
        <w:pStyle w:val="6"/>
        <w:rPr>
          <w:rFonts w:hint="eastAsia" w:ascii="宋体" w:hAnsi="宋体" w:eastAsia="宋体" w:cs="宋体"/>
          <w:color w:val="auto"/>
          <w:highlight w:val="none"/>
        </w:rPr>
      </w:pPr>
    </w:p>
    <w:p w14:paraId="7F71135D">
      <w:pPr>
        <w:pStyle w:val="6"/>
        <w:rPr>
          <w:rFonts w:hint="eastAsia" w:ascii="宋体" w:hAnsi="宋体" w:eastAsia="宋体" w:cs="宋体"/>
          <w:color w:val="auto"/>
          <w:highlight w:val="none"/>
        </w:rPr>
      </w:pPr>
    </w:p>
    <w:p w14:paraId="61DF2B65">
      <w:pPr>
        <w:pStyle w:val="6"/>
        <w:rPr>
          <w:rFonts w:hint="eastAsia" w:ascii="宋体" w:hAnsi="宋体" w:eastAsia="宋体" w:cs="宋体"/>
          <w:color w:val="auto"/>
          <w:highlight w:val="none"/>
        </w:rPr>
      </w:pPr>
    </w:p>
    <w:p w14:paraId="26842356">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highlight w:val="none"/>
          <w:lang w:val="en-US" w:eastAsia="zh-CN"/>
        </w:rPr>
        <w:t>7</w:t>
      </w:r>
      <w:r>
        <w:rPr>
          <w:rFonts w:hint="eastAsia" w:ascii="宋体" w:hAnsi="宋体" w:eastAsia="宋体" w:cs="宋体"/>
          <w:b/>
          <w:bCs/>
          <w:color w:val="auto"/>
          <w:sz w:val="24"/>
          <w:szCs w:val="24"/>
          <w:highlight w:val="none"/>
        </w:rPr>
        <w:t xml:space="preserve"> 分项报价明细表（服务类）</w:t>
      </w:r>
    </w:p>
    <w:p w14:paraId="41C8A6D2">
      <w:pPr>
        <w:pStyle w:val="6"/>
        <w:tabs>
          <w:tab w:val="left" w:pos="5250"/>
        </w:tabs>
        <w:rPr>
          <w:rFonts w:hint="eastAsia" w:ascii="宋体" w:hAnsi="宋体" w:eastAsia="宋体" w:cs="宋体"/>
          <w:b/>
          <w:bCs/>
          <w:color w:val="auto"/>
          <w:sz w:val="24"/>
          <w:highlight w:val="none"/>
        </w:rPr>
      </w:pPr>
    </w:p>
    <w:p w14:paraId="68908692">
      <w:pPr>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tbl>
      <w:tblPr>
        <w:tblStyle w:val="17"/>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3"/>
        <w:gridCol w:w="1526"/>
        <w:gridCol w:w="1417"/>
        <w:gridCol w:w="1275"/>
        <w:gridCol w:w="1650"/>
        <w:gridCol w:w="1028"/>
        <w:gridCol w:w="1638"/>
      </w:tblGrid>
      <w:tr w14:paraId="53706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6" w:hRule="exact"/>
          <w:jc w:val="center"/>
        </w:trPr>
        <w:tc>
          <w:tcPr>
            <w:tcW w:w="763" w:type="dxa"/>
            <w:noWrap w:val="0"/>
            <w:vAlign w:val="center"/>
          </w:tcPr>
          <w:p w14:paraId="17DD1166">
            <w:pPr>
              <w:spacing w:line="360" w:lineRule="auto"/>
              <w:jc w:val="center"/>
              <w:rPr>
                <w:rFonts w:ascii="宋体" w:hAnsi="宋体" w:cs="宋体"/>
                <w:b/>
                <w:color w:val="auto"/>
                <w:sz w:val="24"/>
                <w:szCs w:val="18"/>
                <w:highlight w:val="none"/>
              </w:rPr>
            </w:pPr>
            <w:r>
              <w:rPr>
                <w:rFonts w:hint="eastAsia" w:ascii="宋体" w:hAnsi="宋体" w:cs="宋体"/>
                <w:b/>
                <w:color w:val="auto"/>
                <w:sz w:val="24"/>
                <w:szCs w:val="18"/>
                <w:highlight w:val="none"/>
              </w:rPr>
              <w:t>序号</w:t>
            </w:r>
          </w:p>
        </w:tc>
        <w:tc>
          <w:tcPr>
            <w:tcW w:w="1529" w:type="dxa"/>
            <w:gridSpan w:val="2"/>
            <w:noWrap w:val="0"/>
            <w:vAlign w:val="center"/>
          </w:tcPr>
          <w:p w14:paraId="051CA2FC">
            <w:pPr>
              <w:spacing w:line="360" w:lineRule="auto"/>
              <w:jc w:val="center"/>
              <w:rPr>
                <w:rFonts w:hint="eastAsia" w:ascii="宋体" w:hAnsi="宋体" w:eastAsia="楷体_GB2312" w:cs="宋体"/>
                <w:b/>
                <w:color w:val="auto"/>
                <w:sz w:val="24"/>
                <w:szCs w:val="18"/>
                <w:highlight w:val="none"/>
                <w:lang w:eastAsia="zh-CN"/>
              </w:rPr>
            </w:pPr>
            <w:r>
              <w:rPr>
                <w:rFonts w:hint="eastAsia" w:ascii="宋体" w:hAnsi="宋体" w:cs="宋体"/>
                <w:b/>
                <w:color w:val="auto"/>
                <w:sz w:val="24"/>
                <w:szCs w:val="18"/>
                <w:highlight w:val="none"/>
                <w:lang w:eastAsia="zh-CN"/>
              </w:rPr>
              <w:t>演员类型</w:t>
            </w:r>
          </w:p>
        </w:tc>
        <w:tc>
          <w:tcPr>
            <w:tcW w:w="1417" w:type="dxa"/>
            <w:noWrap w:val="0"/>
            <w:vAlign w:val="center"/>
          </w:tcPr>
          <w:p w14:paraId="45449269">
            <w:pPr>
              <w:spacing w:line="360" w:lineRule="auto"/>
              <w:jc w:val="center"/>
              <w:rPr>
                <w:rFonts w:hint="eastAsia" w:ascii="宋体" w:hAnsi="宋体" w:eastAsia="楷体_GB2312" w:cs="宋体"/>
                <w:b/>
                <w:color w:val="auto"/>
                <w:sz w:val="24"/>
                <w:szCs w:val="18"/>
                <w:highlight w:val="none"/>
                <w:lang w:eastAsia="zh-CN"/>
              </w:rPr>
            </w:pPr>
            <w:r>
              <w:rPr>
                <w:rFonts w:hint="eastAsia" w:ascii="宋体" w:hAnsi="宋体" w:cs="宋体"/>
                <w:b/>
                <w:color w:val="auto"/>
                <w:sz w:val="24"/>
                <w:szCs w:val="18"/>
                <w:highlight w:val="none"/>
                <w:lang w:eastAsia="zh-CN"/>
              </w:rPr>
              <w:t>①数量</w:t>
            </w:r>
          </w:p>
        </w:tc>
        <w:tc>
          <w:tcPr>
            <w:tcW w:w="1275" w:type="dxa"/>
            <w:noWrap w:val="0"/>
            <w:vAlign w:val="center"/>
          </w:tcPr>
          <w:p w14:paraId="03DE1564">
            <w:pPr>
              <w:spacing w:line="360" w:lineRule="auto"/>
              <w:jc w:val="center"/>
              <w:rPr>
                <w:rFonts w:ascii="宋体" w:hAnsi="宋体" w:cs="宋体"/>
                <w:b/>
                <w:color w:val="auto"/>
                <w:sz w:val="24"/>
                <w:szCs w:val="18"/>
                <w:highlight w:val="none"/>
              </w:rPr>
            </w:pPr>
            <w:r>
              <w:rPr>
                <w:rFonts w:hint="eastAsia" w:ascii="宋体" w:hAnsi="宋体" w:cs="宋体"/>
                <w:b/>
                <w:color w:val="auto"/>
                <w:sz w:val="24"/>
                <w:szCs w:val="18"/>
                <w:highlight w:val="none"/>
                <w:lang w:eastAsia="zh-CN"/>
              </w:rPr>
              <w:t>②</w:t>
            </w:r>
            <w:r>
              <w:rPr>
                <w:rFonts w:hint="eastAsia" w:ascii="宋体" w:hAnsi="宋体" w:cs="宋体"/>
                <w:b/>
                <w:color w:val="auto"/>
                <w:sz w:val="24"/>
                <w:szCs w:val="18"/>
                <w:highlight w:val="none"/>
              </w:rPr>
              <w:t>服务时间</w:t>
            </w:r>
          </w:p>
        </w:tc>
        <w:tc>
          <w:tcPr>
            <w:tcW w:w="1650" w:type="dxa"/>
            <w:noWrap w:val="0"/>
            <w:vAlign w:val="center"/>
          </w:tcPr>
          <w:p w14:paraId="05FF4F2D">
            <w:pPr>
              <w:spacing w:line="360" w:lineRule="auto"/>
              <w:jc w:val="center"/>
              <w:rPr>
                <w:rFonts w:hint="default" w:ascii="宋体" w:hAnsi="宋体" w:eastAsia="楷体_GB2312" w:cs="宋体"/>
                <w:b/>
                <w:color w:val="auto"/>
                <w:sz w:val="24"/>
                <w:szCs w:val="18"/>
                <w:highlight w:val="none"/>
                <w:lang w:val="en-US" w:eastAsia="zh-CN"/>
              </w:rPr>
            </w:pPr>
            <w:r>
              <w:rPr>
                <w:rFonts w:hint="eastAsia" w:ascii="宋体" w:hAnsi="宋体" w:cs="宋体"/>
                <w:b/>
                <w:color w:val="auto"/>
                <w:sz w:val="24"/>
                <w:szCs w:val="18"/>
                <w:highlight w:val="none"/>
                <w:lang w:eastAsia="zh-CN"/>
              </w:rPr>
              <w:t>③投标单价（元</w:t>
            </w:r>
            <w:r>
              <w:rPr>
                <w:rFonts w:hint="eastAsia" w:ascii="宋体" w:hAnsi="宋体" w:cs="宋体"/>
                <w:b/>
                <w:color w:val="auto"/>
                <w:sz w:val="24"/>
                <w:szCs w:val="18"/>
                <w:highlight w:val="none"/>
                <w:lang w:val="en-US" w:eastAsia="zh-CN"/>
              </w:rPr>
              <w:t>/人/月）</w:t>
            </w:r>
          </w:p>
        </w:tc>
        <w:tc>
          <w:tcPr>
            <w:tcW w:w="1028" w:type="dxa"/>
            <w:noWrap w:val="0"/>
            <w:vAlign w:val="center"/>
          </w:tcPr>
          <w:p w14:paraId="4E894A8E">
            <w:pPr>
              <w:spacing w:line="360" w:lineRule="auto"/>
              <w:jc w:val="center"/>
              <w:rPr>
                <w:rFonts w:hint="eastAsia" w:ascii="宋体" w:hAnsi="宋体" w:cs="宋体"/>
                <w:b/>
                <w:color w:val="auto"/>
                <w:sz w:val="24"/>
                <w:szCs w:val="18"/>
                <w:highlight w:val="none"/>
              </w:rPr>
            </w:pPr>
            <w:r>
              <w:rPr>
                <w:rFonts w:hint="eastAsia" w:ascii="宋体" w:hAnsi="宋体" w:cs="宋体"/>
                <w:b/>
                <w:color w:val="auto"/>
                <w:sz w:val="24"/>
                <w:szCs w:val="18"/>
                <w:highlight w:val="none"/>
                <w:lang w:eastAsia="zh-CN"/>
              </w:rPr>
              <w:t>④</w:t>
            </w:r>
            <w:r>
              <w:rPr>
                <w:rFonts w:hint="eastAsia" w:ascii="宋体" w:hAnsi="宋体" w:cs="宋体"/>
                <w:b/>
                <w:color w:val="auto"/>
                <w:sz w:val="24"/>
                <w:szCs w:val="18"/>
                <w:highlight w:val="none"/>
              </w:rPr>
              <w:t>金额</w:t>
            </w:r>
          </w:p>
          <w:p w14:paraId="16FBBBB3">
            <w:pPr>
              <w:spacing w:line="360" w:lineRule="auto"/>
              <w:jc w:val="center"/>
              <w:rPr>
                <w:rFonts w:hint="default" w:ascii="宋体" w:hAnsi="宋体" w:eastAsia="楷体_GB2312" w:cs="宋体"/>
                <w:b/>
                <w:color w:val="auto"/>
                <w:sz w:val="24"/>
                <w:szCs w:val="18"/>
                <w:highlight w:val="none"/>
                <w:lang w:val="en-US" w:eastAsia="zh-CN"/>
              </w:rPr>
            </w:pPr>
            <w:r>
              <w:rPr>
                <w:rFonts w:hint="eastAsia" w:ascii="宋体" w:hAnsi="宋体" w:cs="宋体"/>
                <w:b/>
                <w:color w:val="auto"/>
                <w:sz w:val="24"/>
                <w:szCs w:val="18"/>
                <w:highlight w:val="none"/>
                <w:lang w:eastAsia="zh-CN"/>
              </w:rPr>
              <w:t>（元</w:t>
            </w:r>
            <w:r>
              <w:rPr>
                <w:rFonts w:hint="eastAsia" w:ascii="宋体" w:hAnsi="宋体" w:cs="宋体"/>
                <w:b/>
                <w:color w:val="auto"/>
                <w:sz w:val="24"/>
                <w:szCs w:val="18"/>
                <w:highlight w:val="none"/>
                <w:lang w:val="en-US" w:eastAsia="zh-CN"/>
              </w:rPr>
              <w:t>）</w:t>
            </w:r>
          </w:p>
        </w:tc>
        <w:tc>
          <w:tcPr>
            <w:tcW w:w="1638" w:type="dxa"/>
            <w:noWrap w:val="0"/>
            <w:vAlign w:val="center"/>
          </w:tcPr>
          <w:p w14:paraId="2F8777E9">
            <w:pPr>
              <w:spacing w:line="360" w:lineRule="auto"/>
              <w:ind w:firstLine="105"/>
              <w:jc w:val="center"/>
              <w:rPr>
                <w:rFonts w:hint="eastAsia" w:ascii="宋体" w:hAnsi="宋体" w:cs="宋体"/>
                <w:b/>
                <w:color w:val="auto"/>
                <w:sz w:val="24"/>
                <w:szCs w:val="18"/>
                <w:highlight w:val="none"/>
                <w:lang w:eastAsia="zh-CN"/>
              </w:rPr>
            </w:pPr>
            <w:r>
              <w:rPr>
                <w:rFonts w:hint="eastAsia" w:ascii="宋体" w:hAnsi="宋体" w:cs="宋体"/>
                <w:b/>
                <w:color w:val="auto"/>
                <w:sz w:val="24"/>
                <w:szCs w:val="18"/>
                <w:highlight w:val="none"/>
              </w:rPr>
              <w:t>备注</w:t>
            </w:r>
            <w:r>
              <w:rPr>
                <w:rFonts w:hint="eastAsia" w:ascii="宋体" w:hAnsi="宋体" w:cs="宋体"/>
                <w:b/>
                <w:color w:val="auto"/>
                <w:sz w:val="24"/>
                <w:szCs w:val="18"/>
                <w:highlight w:val="none"/>
                <w:lang w:eastAsia="zh-CN"/>
              </w:rPr>
              <w:t>：</w:t>
            </w:r>
          </w:p>
          <w:p w14:paraId="202C4A23">
            <w:pPr>
              <w:spacing w:line="360" w:lineRule="auto"/>
              <w:jc w:val="both"/>
              <w:rPr>
                <w:rFonts w:ascii="宋体" w:hAnsi="宋体" w:cs="宋体"/>
                <w:b/>
                <w:color w:val="auto"/>
                <w:sz w:val="24"/>
                <w:szCs w:val="18"/>
                <w:highlight w:val="none"/>
              </w:rPr>
            </w:pPr>
            <w:r>
              <w:rPr>
                <w:rFonts w:hint="eastAsia" w:ascii="宋体" w:hAnsi="宋体" w:cs="宋体"/>
                <w:color w:val="auto"/>
                <w:sz w:val="24"/>
                <w:highlight w:val="none"/>
                <w:lang w:val="en-US" w:eastAsia="zh-CN"/>
              </w:rPr>
              <w:t>④=①</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②</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③</w:t>
            </w:r>
          </w:p>
        </w:tc>
      </w:tr>
      <w:tr w14:paraId="44A70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exact"/>
          <w:jc w:val="center"/>
        </w:trPr>
        <w:tc>
          <w:tcPr>
            <w:tcW w:w="763" w:type="dxa"/>
            <w:noWrap w:val="0"/>
            <w:vAlign w:val="center"/>
          </w:tcPr>
          <w:p w14:paraId="028307F8">
            <w:pPr>
              <w:spacing w:line="360" w:lineRule="auto"/>
              <w:jc w:val="center"/>
              <w:rPr>
                <w:rFonts w:hint="eastAsia" w:ascii="宋体" w:hAnsi="宋体" w:eastAsia="楷体_GB2312" w:cs="宋体"/>
                <w:b/>
                <w:color w:val="auto"/>
                <w:sz w:val="24"/>
                <w:szCs w:val="18"/>
                <w:highlight w:val="none"/>
                <w:lang w:eastAsia="zh-CN"/>
              </w:rPr>
            </w:pPr>
            <w:r>
              <w:rPr>
                <w:rFonts w:hint="eastAsia" w:ascii="宋体" w:hAnsi="宋体" w:cs="宋体"/>
                <w:b/>
                <w:color w:val="auto"/>
                <w:sz w:val="24"/>
                <w:szCs w:val="18"/>
                <w:highlight w:val="none"/>
                <w:lang w:eastAsia="zh-CN"/>
              </w:rPr>
              <w:t>一</w:t>
            </w:r>
          </w:p>
        </w:tc>
        <w:tc>
          <w:tcPr>
            <w:tcW w:w="8537" w:type="dxa"/>
            <w:gridSpan w:val="7"/>
            <w:noWrap w:val="0"/>
            <w:vAlign w:val="center"/>
          </w:tcPr>
          <w:p w14:paraId="067197AB">
            <w:pPr>
              <w:spacing w:line="360" w:lineRule="auto"/>
              <w:ind w:firstLine="105"/>
              <w:jc w:val="left"/>
              <w:rPr>
                <w:rFonts w:hint="eastAsia" w:ascii="宋体" w:hAnsi="宋体" w:cs="宋体"/>
                <w:b/>
                <w:color w:val="auto"/>
                <w:sz w:val="24"/>
                <w:szCs w:val="18"/>
                <w:highlight w:val="none"/>
              </w:rPr>
            </w:pPr>
            <w:r>
              <w:rPr>
                <w:rFonts w:hint="eastAsia" w:ascii="宋体" w:hAnsi="宋体" w:cs="宋体"/>
                <w:b/>
                <w:color w:val="auto"/>
                <w:sz w:val="24"/>
                <w:szCs w:val="18"/>
                <w:highlight w:val="none"/>
                <w:lang w:val="en-US" w:eastAsia="zh-CN"/>
              </w:rPr>
              <w:t>2026年2月至9月</w:t>
            </w:r>
          </w:p>
        </w:tc>
      </w:tr>
      <w:tr w14:paraId="34D68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763" w:type="dxa"/>
            <w:noWrap w:val="0"/>
            <w:vAlign w:val="center"/>
          </w:tcPr>
          <w:p w14:paraId="6F425DD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529" w:type="dxa"/>
            <w:gridSpan w:val="2"/>
            <w:noWrap w:val="0"/>
            <w:vAlign w:val="center"/>
          </w:tcPr>
          <w:p w14:paraId="1F5A32EE">
            <w:pPr>
              <w:spacing w:line="360" w:lineRule="auto"/>
              <w:jc w:val="center"/>
              <w:rPr>
                <w:rFonts w:hint="eastAsia" w:ascii="宋体" w:hAnsi="宋体" w:eastAsia="楷体_GB2312" w:cs="宋体"/>
                <w:color w:val="auto"/>
                <w:sz w:val="24"/>
                <w:highlight w:val="none"/>
                <w:lang w:eastAsia="zh-CN"/>
              </w:rPr>
            </w:pPr>
            <w:r>
              <w:rPr>
                <w:rFonts w:hint="eastAsia" w:ascii="宋体" w:hAnsi="宋体" w:cs="宋体"/>
                <w:color w:val="auto"/>
                <w:sz w:val="24"/>
                <w:highlight w:val="none"/>
                <w:lang w:eastAsia="zh-CN"/>
              </w:rPr>
              <w:t>普通演员</w:t>
            </w:r>
          </w:p>
        </w:tc>
        <w:tc>
          <w:tcPr>
            <w:tcW w:w="1417" w:type="dxa"/>
            <w:noWrap w:val="0"/>
            <w:vAlign w:val="center"/>
          </w:tcPr>
          <w:p w14:paraId="3DB162FC">
            <w:pPr>
              <w:spacing w:line="360" w:lineRule="auto"/>
              <w:jc w:val="center"/>
              <w:rPr>
                <w:rFonts w:hint="eastAsia" w:ascii="宋体" w:hAnsi="宋体" w:eastAsia="楷体_GB2312" w:cs="宋体"/>
                <w:color w:val="auto"/>
                <w:sz w:val="24"/>
                <w:highlight w:val="none"/>
                <w:lang w:val="en-US" w:eastAsia="zh-CN"/>
              </w:rPr>
            </w:pPr>
            <w:r>
              <w:rPr>
                <w:rFonts w:hint="eastAsia" w:ascii="宋体" w:hAnsi="宋体" w:cs="宋体"/>
                <w:color w:val="auto"/>
                <w:sz w:val="24"/>
                <w:highlight w:val="none"/>
                <w:lang w:val="en-US" w:eastAsia="zh-CN"/>
              </w:rPr>
              <w:t>5人</w:t>
            </w:r>
          </w:p>
        </w:tc>
        <w:tc>
          <w:tcPr>
            <w:tcW w:w="1275" w:type="dxa"/>
            <w:noWrap w:val="0"/>
            <w:vAlign w:val="center"/>
          </w:tcPr>
          <w:p w14:paraId="50975E81">
            <w:pPr>
              <w:spacing w:line="360" w:lineRule="auto"/>
              <w:jc w:val="center"/>
              <w:rPr>
                <w:rFonts w:hint="default" w:ascii="宋体" w:hAnsi="宋体" w:eastAsia="楷体_GB2312" w:cs="宋体"/>
                <w:color w:val="auto"/>
                <w:sz w:val="24"/>
                <w:highlight w:val="none"/>
                <w:lang w:val="en-US" w:eastAsia="zh-CN"/>
              </w:rPr>
            </w:pPr>
            <w:r>
              <w:rPr>
                <w:rFonts w:hint="eastAsia" w:ascii="宋体" w:hAnsi="宋体" w:cs="宋体"/>
                <w:color w:val="auto"/>
                <w:sz w:val="24"/>
                <w:highlight w:val="none"/>
                <w:lang w:val="en-US" w:eastAsia="zh-CN"/>
              </w:rPr>
              <w:t>8个月</w:t>
            </w:r>
          </w:p>
        </w:tc>
        <w:tc>
          <w:tcPr>
            <w:tcW w:w="1650" w:type="dxa"/>
            <w:noWrap w:val="0"/>
            <w:vAlign w:val="center"/>
          </w:tcPr>
          <w:p w14:paraId="7DF48D1A">
            <w:pPr>
              <w:spacing w:line="360" w:lineRule="auto"/>
              <w:jc w:val="center"/>
              <w:rPr>
                <w:rFonts w:ascii="宋体" w:hAnsi="宋体" w:cs="宋体"/>
                <w:color w:val="auto"/>
                <w:sz w:val="24"/>
                <w:highlight w:val="none"/>
              </w:rPr>
            </w:pPr>
          </w:p>
        </w:tc>
        <w:tc>
          <w:tcPr>
            <w:tcW w:w="1028" w:type="dxa"/>
            <w:noWrap w:val="0"/>
            <w:vAlign w:val="center"/>
          </w:tcPr>
          <w:p w14:paraId="6E245514">
            <w:pPr>
              <w:spacing w:line="360" w:lineRule="auto"/>
              <w:jc w:val="center"/>
              <w:rPr>
                <w:rFonts w:ascii="宋体" w:hAnsi="宋体" w:cs="宋体"/>
                <w:color w:val="auto"/>
                <w:sz w:val="24"/>
                <w:highlight w:val="none"/>
              </w:rPr>
            </w:pPr>
          </w:p>
        </w:tc>
        <w:tc>
          <w:tcPr>
            <w:tcW w:w="1638" w:type="dxa"/>
            <w:noWrap w:val="0"/>
            <w:vAlign w:val="center"/>
          </w:tcPr>
          <w:p w14:paraId="6C95BC3C">
            <w:pPr>
              <w:spacing w:line="360" w:lineRule="auto"/>
              <w:jc w:val="center"/>
              <w:rPr>
                <w:rFonts w:hint="default" w:ascii="宋体" w:hAnsi="宋体" w:eastAsia="楷体_GB2312" w:cs="宋体"/>
                <w:color w:val="auto"/>
                <w:sz w:val="24"/>
                <w:highlight w:val="none"/>
                <w:lang w:val="en-US" w:eastAsia="zh-CN"/>
              </w:rPr>
            </w:pPr>
          </w:p>
        </w:tc>
      </w:tr>
      <w:tr w14:paraId="5A74E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763" w:type="dxa"/>
            <w:noWrap w:val="0"/>
            <w:vAlign w:val="center"/>
          </w:tcPr>
          <w:p w14:paraId="4752ED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529" w:type="dxa"/>
            <w:gridSpan w:val="2"/>
            <w:noWrap w:val="0"/>
            <w:vAlign w:val="center"/>
          </w:tcPr>
          <w:p w14:paraId="1192848A">
            <w:pPr>
              <w:spacing w:line="360" w:lineRule="auto"/>
              <w:jc w:val="center"/>
              <w:rPr>
                <w:rFonts w:hint="eastAsia" w:ascii="宋体" w:hAnsi="宋体" w:eastAsia="楷体_GB2312" w:cs="宋体"/>
                <w:color w:val="auto"/>
                <w:sz w:val="24"/>
                <w:highlight w:val="none"/>
                <w:lang w:eastAsia="zh-CN"/>
              </w:rPr>
            </w:pPr>
            <w:r>
              <w:rPr>
                <w:rFonts w:hint="eastAsia" w:ascii="宋体" w:hAnsi="宋体" w:cs="宋体"/>
                <w:color w:val="auto"/>
                <w:sz w:val="24"/>
                <w:highlight w:val="none"/>
                <w:lang w:eastAsia="zh-CN"/>
              </w:rPr>
              <w:t>专业演员</w:t>
            </w:r>
          </w:p>
        </w:tc>
        <w:tc>
          <w:tcPr>
            <w:tcW w:w="1417" w:type="dxa"/>
            <w:noWrap w:val="0"/>
            <w:vAlign w:val="center"/>
          </w:tcPr>
          <w:p w14:paraId="4627F644">
            <w:pPr>
              <w:spacing w:line="360" w:lineRule="auto"/>
              <w:jc w:val="center"/>
              <w:rPr>
                <w:rFonts w:hint="eastAsia" w:ascii="宋体" w:hAnsi="宋体" w:eastAsia="楷体_GB2312" w:cs="宋体"/>
                <w:color w:val="auto"/>
                <w:sz w:val="24"/>
                <w:highlight w:val="none"/>
                <w:lang w:val="en-US" w:eastAsia="zh-CN"/>
              </w:rPr>
            </w:pPr>
            <w:r>
              <w:rPr>
                <w:rFonts w:hint="eastAsia" w:ascii="宋体" w:hAnsi="宋体" w:cs="宋体"/>
                <w:color w:val="auto"/>
                <w:sz w:val="24"/>
                <w:highlight w:val="none"/>
                <w:lang w:val="en-US" w:eastAsia="zh-CN"/>
              </w:rPr>
              <w:t>6人</w:t>
            </w:r>
          </w:p>
        </w:tc>
        <w:tc>
          <w:tcPr>
            <w:tcW w:w="1275" w:type="dxa"/>
            <w:noWrap w:val="0"/>
            <w:vAlign w:val="center"/>
          </w:tcPr>
          <w:p w14:paraId="0A7A9A3A">
            <w:pPr>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8个月</w:t>
            </w:r>
          </w:p>
        </w:tc>
        <w:tc>
          <w:tcPr>
            <w:tcW w:w="1650" w:type="dxa"/>
            <w:noWrap w:val="0"/>
            <w:vAlign w:val="center"/>
          </w:tcPr>
          <w:p w14:paraId="5D426A0E">
            <w:pPr>
              <w:spacing w:line="360" w:lineRule="auto"/>
              <w:jc w:val="center"/>
              <w:rPr>
                <w:rFonts w:ascii="宋体" w:hAnsi="宋体" w:cs="宋体"/>
                <w:color w:val="auto"/>
                <w:sz w:val="24"/>
                <w:highlight w:val="none"/>
              </w:rPr>
            </w:pPr>
          </w:p>
        </w:tc>
        <w:tc>
          <w:tcPr>
            <w:tcW w:w="1028" w:type="dxa"/>
            <w:noWrap w:val="0"/>
            <w:vAlign w:val="center"/>
          </w:tcPr>
          <w:p w14:paraId="10EF1C4A">
            <w:pPr>
              <w:spacing w:line="360" w:lineRule="auto"/>
              <w:jc w:val="center"/>
              <w:rPr>
                <w:rFonts w:ascii="宋体" w:hAnsi="宋体" w:cs="宋体"/>
                <w:color w:val="auto"/>
                <w:sz w:val="24"/>
                <w:highlight w:val="none"/>
              </w:rPr>
            </w:pPr>
          </w:p>
        </w:tc>
        <w:tc>
          <w:tcPr>
            <w:tcW w:w="1638" w:type="dxa"/>
            <w:noWrap w:val="0"/>
            <w:vAlign w:val="center"/>
          </w:tcPr>
          <w:p w14:paraId="41178392">
            <w:pPr>
              <w:spacing w:line="360" w:lineRule="auto"/>
              <w:jc w:val="center"/>
              <w:rPr>
                <w:rFonts w:hint="eastAsia" w:ascii="宋体" w:hAnsi="宋体" w:eastAsia="楷体_GB2312" w:cs="宋体"/>
                <w:color w:val="auto"/>
                <w:sz w:val="24"/>
                <w:highlight w:val="none"/>
                <w:lang w:eastAsia="zh-CN"/>
              </w:rPr>
            </w:pPr>
          </w:p>
        </w:tc>
      </w:tr>
      <w:tr w14:paraId="247DA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763" w:type="dxa"/>
            <w:noWrap w:val="0"/>
            <w:vAlign w:val="center"/>
          </w:tcPr>
          <w:p w14:paraId="3947A751">
            <w:pPr>
              <w:spacing w:line="360" w:lineRule="auto"/>
              <w:jc w:val="center"/>
              <w:rPr>
                <w:rFonts w:hint="eastAsia" w:ascii="宋体" w:hAnsi="宋体" w:eastAsia="楷体_GB2312" w:cs="宋体"/>
                <w:color w:val="auto"/>
                <w:sz w:val="24"/>
                <w:highlight w:val="none"/>
                <w:lang w:eastAsia="zh-CN"/>
              </w:rPr>
            </w:pPr>
            <w:r>
              <w:rPr>
                <w:rFonts w:hint="eastAsia" w:ascii="宋体" w:hAnsi="宋体" w:cs="宋体"/>
                <w:color w:val="auto"/>
                <w:sz w:val="24"/>
                <w:highlight w:val="none"/>
                <w:lang w:eastAsia="zh-CN"/>
              </w:rPr>
              <w:t>二</w:t>
            </w:r>
          </w:p>
        </w:tc>
        <w:tc>
          <w:tcPr>
            <w:tcW w:w="8537" w:type="dxa"/>
            <w:gridSpan w:val="7"/>
            <w:noWrap w:val="0"/>
            <w:vAlign w:val="center"/>
          </w:tcPr>
          <w:p w14:paraId="3EC0FEEE">
            <w:pPr>
              <w:spacing w:line="360" w:lineRule="auto"/>
              <w:jc w:val="left"/>
              <w:rPr>
                <w:rFonts w:ascii="宋体" w:hAnsi="宋体" w:cs="宋体"/>
                <w:color w:val="auto"/>
                <w:sz w:val="24"/>
                <w:highlight w:val="none"/>
              </w:rPr>
            </w:pPr>
            <w:r>
              <w:rPr>
                <w:rFonts w:hint="eastAsia" w:ascii="宋体" w:hAnsi="宋体" w:cs="宋体"/>
                <w:b/>
                <w:color w:val="auto"/>
                <w:sz w:val="24"/>
                <w:szCs w:val="18"/>
                <w:highlight w:val="none"/>
                <w:lang w:val="en-US" w:eastAsia="zh-CN"/>
              </w:rPr>
              <w:t>2026年10月至2027年1月</w:t>
            </w:r>
          </w:p>
        </w:tc>
      </w:tr>
      <w:tr w14:paraId="07217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763" w:type="dxa"/>
            <w:noWrap w:val="0"/>
            <w:vAlign w:val="center"/>
          </w:tcPr>
          <w:p w14:paraId="2DDACCA1">
            <w:pPr>
              <w:spacing w:line="360" w:lineRule="auto"/>
              <w:jc w:val="center"/>
              <w:rPr>
                <w:rFonts w:hint="eastAsia" w:ascii="宋体" w:hAnsi="宋体" w:eastAsia="楷体_GB2312" w:cs="宋体"/>
                <w:color w:val="auto"/>
                <w:sz w:val="24"/>
                <w:highlight w:val="none"/>
                <w:lang w:eastAsia="zh-CN"/>
              </w:rPr>
            </w:pPr>
            <w:r>
              <w:rPr>
                <w:rFonts w:hint="eastAsia" w:ascii="宋体" w:hAnsi="宋体" w:cs="宋体"/>
                <w:color w:val="auto"/>
                <w:sz w:val="24"/>
                <w:highlight w:val="none"/>
                <w:lang w:val="en-US" w:eastAsia="zh-CN"/>
              </w:rPr>
              <w:t>3</w:t>
            </w:r>
          </w:p>
        </w:tc>
        <w:tc>
          <w:tcPr>
            <w:tcW w:w="1529" w:type="dxa"/>
            <w:gridSpan w:val="2"/>
            <w:noWrap w:val="0"/>
            <w:vAlign w:val="center"/>
          </w:tcPr>
          <w:p w14:paraId="349E3ED4">
            <w:pPr>
              <w:spacing w:line="360" w:lineRule="auto"/>
              <w:jc w:val="center"/>
              <w:rPr>
                <w:rFonts w:hint="eastAsia" w:ascii="宋体" w:hAnsi="宋体" w:cs="宋体"/>
                <w:b/>
                <w:color w:val="auto"/>
                <w:sz w:val="24"/>
                <w:szCs w:val="18"/>
                <w:highlight w:val="none"/>
                <w:lang w:val="en-US" w:eastAsia="zh-CN"/>
              </w:rPr>
            </w:pPr>
            <w:r>
              <w:rPr>
                <w:rFonts w:hint="eastAsia" w:ascii="宋体" w:hAnsi="宋体" w:cs="宋体"/>
                <w:color w:val="auto"/>
                <w:sz w:val="24"/>
                <w:highlight w:val="none"/>
                <w:lang w:eastAsia="zh-CN"/>
              </w:rPr>
              <w:t>普通演员</w:t>
            </w:r>
          </w:p>
        </w:tc>
        <w:tc>
          <w:tcPr>
            <w:tcW w:w="1417" w:type="dxa"/>
            <w:noWrap w:val="0"/>
            <w:vAlign w:val="center"/>
          </w:tcPr>
          <w:p w14:paraId="38B937F8">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3人</w:t>
            </w:r>
          </w:p>
        </w:tc>
        <w:tc>
          <w:tcPr>
            <w:tcW w:w="1275" w:type="dxa"/>
            <w:noWrap w:val="0"/>
            <w:vAlign w:val="center"/>
          </w:tcPr>
          <w:p w14:paraId="58691F67">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4个月</w:t>
            </w:r>
          </w:p>
        </w:tc>
        <w:tc>
          <w:tcPr>
            <w:tcW w:w="1650" w:type="dxa"/>
            <w:noWrap w:val="0"/>
            <w:vAlign w:val="center"/>
          </w:tcPr>
          <w:p w14:paraId="01403EBF">
            <w:pPr>
              <w:spacing w:line="360" w:lineRule="auto"/>
              <w:jc w:val="center"/>
              <w:rPr>
                <w:rFonts w:ascii="宋体" w:hAnsi="宋体" w:cs="宋体"/>
                <w:color w:val="auto"/>
                <w:sz w:val="24"/>
                <w:highlight w:val="none"/>
              </w:rPr>
            </w:pPr>
          </w:p>
        </w:tc>
        <w:tc>
          <w:tcPr>
            <w:tcW w:w="1028" w:type="dxa"/>
            <w:noWrap w:val="0"/>
            <w:vAlign w:val="center"/>
          </w:tcPr>
          <w:p w14:paraId="0EB8BE7D">
            <w:pPr>
              <w:spacing w:line="360" w:lineRule="auto"/>
              <w:jc w:val="center"/>
              <w:rPr>
                <w:rFonts w:ascii="宋体" w:hAnsi="宋体" w:cs="宋体"/>
                <w:color w:val="auto"/>
                <w:sz w:val="24"/>
                <w:highlight w:val="none"/>
              </w:rPr>
            </w:pPr>
          </w:p>
        </w:tc>
        <w:tc>
          <w:tcPr>
            <w:tcW w:w="1638" w:type="dxa"/>
            <w:noWrap w:val="0"/>
            <w:vAlign w:val="center"/>
          </w:tcPr>
          <w:p w14:paraId="1458675A">
            <w:pPr>
              <w:spacing w:line="360" w:lineRule="auto"/>
              <w:jc w:val="center"/>
              <w:rPr>
                <w:rFonts w:hint="eastAsia" w:ascii="宋体" w:hAnsi="宋体" w:eastAsia="楷体_GB2312" w:cs="宋体"/>
                <w:color w:val="auto"/>
                <w:sz w:val="24"/>
                <w:highlight w:val="none"/>
                <w:lang w:eastAsia="zh-CN"/>
              </w:rPr>
            </w:pPr>
          </w:p>
        </w:tc>
      </w:tr>
      <w:tr w14:paraId="568D2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763" w:type="dxa"/>
            <w:noWrap w:val="0"/>
            <w:vAlign w:val="center"/>
          </w:tcPr>
          <w:p w14:paraId="28815AF7">
            <w:pPr>
              <w:spacing w:line="360" w:lineRule="auto"/>
              <w:jc w:val="center"/>
              <w:rPr>
                <w:rFonts w:hint="eastAsia" w:ascii="宋体" w:hAnsi="宋体" w:eastAsia="楷体_GB2312" w:cs="宋体"/>
                <w:color w:val="auto"/>
                <w:sz w:val="24"/>
                <w:highlight w:val="none"/>
                <w:lang w:eastAsia="zh-CN"/>
              </w:rPr>
            </w:pPr>
            <w:r>
              <w:rPr>
                <w:rFonts w:hint="eastAsia" w:ascii="宋体" w:hAnsi="宋体" w:cs="宋体"/>
                <w:color w:val="auto"/>
                <w:sz w:val="24"/>
                <w:highlight w:val="none"/>
                <w:lang w:val="en-US" w:eastAsia="zh-CN"/>
              </w:rPr>
              <w:t>4</w:t>
            </w:r>
          </w:p>
        </w:tc>
        <w:tc>
          <w:tcPr>
            <w:tcW w:w="1529" w:type="dxa"/>
            <w:gridSpan w:val="2"/>
            <w:noWrap w:val="0"/>
            <w:vAlign w:val="center"/>
          </w:tcPr>
          <w:p w14:paraId="24B9A27B">
            <w:pPr>
              <w:spacing w:line="360" w:lineRule="auto"/>
              <w:jc w:val="center"/>
              <w:rPr>
                <w:rFonts w:hint="eastAsia" w:ascii="宋体" w:hAnsi="宋体" w:cs="宋体"/>
                <w:b/>
                <w:color w:val="auto"/>
                <w:sz w:val="24"/>
                <w:szCs w:val="18"/>
                <w:highlight w:val="none"/>
                <w:lang w:val="en-US" w:eastAsia="zh-CN"/>
              </w:rPr>
            </w:pPr>
            <w:r>
              <w:rPr>
                <w:rFonts w:hint="eastAsia" w:ascii="宋体" w:hAnsi="宋体" w:cs="宋体"/>
                <w:color w:val="auto"/>
                <w:sz w:val="24"/>
                <w:highlight w:val="none"/>
                <w:lang w:eastAsia="zh-CN"/>
              </w:rPr>
              <w:t>专业演员</w:t>
            </w:r>
          </w:p>
        </w:tc>
        <w:tc>
          <w:tcPr>
            <w:tcW w:w="1417" w:type="dxa"/>
            <w:noWrap w:val="0"/>
            <w:vAlign w:val="center"/>
          </w:tcPr>
          <w:p w14:paraId="57F456AA">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5人</w:t>
            </w:r>
          </w:p>
        </w:tc>
        <w:tc>
          <w:tcPr>
            <w:tcW w:w="1275" w:type="dxa"/>
            <w:noWrap w:val="0"/>
            <w:vAlign w:val="center"/>
          </w:tcPr>
          <w:p w14:paraId="0C3C1B0C">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4个月</w:t>
            </w:r>
          </w:p>
        </w:tc>
        <w:tc>
          <w:tcPr>
            <w:tcW w:w="1650" w:type="dxa"/>
            <w:noWrap w:val="0"/>
            <w:vAlign w:val="center"/>
          </w:tcPr>
          <w:p w14:paraId="38C439FA">
            <w:pPr>
              <w:spacing w:line="360" w:lineRule="auto"/>
              <w:jc w:val="center"/>
              <w:rPr>
                <w:rFonts w:ascii="宋体" w:hAnsi="宋体" w:cs="宋体"/>
                <w:color w:val="auto"/>
                <w:sz w:val="24"/>
                <w:highlight w:val="none"/>
              </w:rPr>
            </w:pPr>
          </w:p>
        </w:tc>
        <w:tc>
          <w:tcPr>
            <w:tcW w:w="1028" w:type="dxa"/>
            <w:noWrap w:val="0"/>
            <w:vAlign w:val="center"/>
          </w:tcPr>
          <w:p w14:paraId="540581E8">
            <w:pPr>
              <w:spacing w:line="360" w:lineRule="auto"/>
              <w:jc w:val="center"/>
              <w:rPr>
                <w:rFonts w:ascii="宋体" w:hAnsi="宋体" w:cs="宋体"/>
                <w:color w:val="auto"/>
                <w:sz w:val="24"/>
                <w:highlight w:val="none"/>
              </w:rPr>
            </w:pPr>
          </w:p>
        </w:tc>
        <w:tc>
          <w:tcPr>
            <w:tcW w:w="1638" w:type="dxa"/>
            <w:noWrap w:val="0"/>
            <w:vAlign w:val="center"/>
          </w:tcPr>
          <w:p w14:paraId="1DF5BAE7">
            <w:pPr>
              <w:spacing w:line="360" w:lineRule="auto"/>
              <w:jc w:val="center"/>
              <w:rPr>
                <w:rFonts w:hint="eastAsia" w:ascii="宋体" w:hAnsi="宋体" w:eastAsia="楷体_GB2312" w:cs="宋体"/>
                <w:color w:val="auto"/>
                <w:sz w:val="24"/>
                <w:highlight w:val="none"/>
                <w:lang w:eastAsia="zh-CN"/>
              </w:rPr>
            </w:pPr>
          </w:p>
        </w:tc>
      </w:tr>
      <w:tr w14:paraId="08A2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766" w:type="dxa"/>
            <w:gridSpan w:val="2"/>
            <w:tcBorders>
              <w:right w:val="single" w:color="auto" w:sz="4" w:space="0"/>
            </w:tcBorders>
            <w:noWrap w:val="0"/>
            <w:vAlign w:val="center"/>
          </w:tcPr>
          <w:p w14:paraId="2B9E29B3">
            <w:pPr>
              <w:spacing w:line="360" w:lineRule="auto"/>
              <w:jc w:val="center"/>
              <w:rPr>
                <w:rFonts w:hint="eastAsia" w:ascii="宋体" w:hAnsi="宋体" w:eastAsia="楷体_GB2312" w:cs="宋体"/>
                <w:color w:val="auto"/>
                <w:sz w:val="24"/>
                <w:highlight w:val="none"/>
                <w:lang w:val="en-US" w:eastAsia="zh-CN"/>
              </w:rPr>
            </w:pPr>
            <w:r>
              <w:rPr>
                <w:rFonts w:hint="eastAsia" w:ascii="宋体" w:hAnsi="宋体" w:cs="宋体"/>
                <w:color w:val="auto"/>
                <w:sz w:val="24"/>
                <w:highlight w:val="none"/>
                <w:lang w:val="en-US" w:eastAsia="zh-CN"/>
              </w:rPr>
              <w:t>三</w:t>
            </w:r>
          </w:p>
        </w:tc>
        <w:tc>
          <w:tcPr>
            <w:tcW w:w="5868" w:type="dxa"/>
            <w:gridSpan w:val="4"/>
            <w:tcBorders>
              <w:left w:val="single" w:color="auto" w:sz="4" w:space="0"/>
            </w:tcBorders>
            <w:noWrap w:val="0"/>
            <w:vAlign w:val="center"/>
          </w:tcPr>
          <w:p w14:paraId="5A53A4A1">
            <w:pPr>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合计（元）</w:t>
            </w:r>
          </w:p>
        </w:tc>
        <w:tc>
          <w:tcPr>
            <w:tcW w:w="1028" w:type="dxa"/>
            <w:noWrap w:val="0"/>
            <w:vAlign w:val="center"/>
          </w:tcPr>
          <w:p w14:paraId="07B2BEC2">
            <w:pPr>
              <w:spacing w:line="360" w:lineRule="auto"/>
              <w:jc w:val="center"/>
              <w:rPr>
                <w:rFonts w:ascii="宋体" w:hAnsi="宋体" w:cs="宋体"/>
                <w:color w:val="auto"/>
                <w:sz w:val="24"/>
                <w:highlight w:val="none"/>
              </w:rPr>
            </w:pPr>
          </w:p>
        </w:tc>
        <w:tc>
          <w:tcPr>
            <w:tcW w:w="1638" w:type="dxa"/>
            <w:noWrap w:val="0"/>
            <w:vAlign w:val="center"/>
          </w:tcPr>
          <w:p w14:paraId="3B2F98AB">
            <w:pPr>
              <w:spacing w:line="360" w:lineRule="auto"/>
              <w:jc w:val="center"/>
              <w:rPr>
                <w:rFonts w:ascii="宋体" w:hAnsi="宋体" w:cs="宋体"/>
                <w:color w:val="auto"/>
                <w:sz w:val="24"/>
                <w:highlight w:val="none"/>
              </w:rPr>
            </w:pPr>
          </w:p>
        </w:tc>
      </w:tr>
    </w:tbl>
    <w:p w14:paraId="10C6C8A2">
      <w:pPr>
        <w:spacing w:line="400" w:lineRule="exact"/>
        <w:rPr>
          <w:rFonts w:hint="eastAsia" w:ascii="宋体" w:hAnsi="宋体" w:eastAsia="宋体" w:cs="宋体"/>
          <w:color w:val="auto"/>
          <w:sz w:val="24"/>
          <w:szCs w:val="24"/>
          <w:highlight w:val="none"/>
          <w:lang w:val="zh-CN"/>
        </w:rPr>
      </w:pPr>
    </w:p>
    <w:p w14:paraId="71DE0B96">
      <w:pPr>
        <w:spacing w:line="300" w:lineRule="auto"/>
        <w:outlineLvl w:val="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注：</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val="zh-CN"/>
        </w:rPr>
        <w:t>本表各分项报价合计应当与报价总表投标报价相等。请各投标人务必按照以上要求填报，否则作为无效响应处理。</w:t>
      </w:r>
    </w:p>
    <w:p w14:paraId="43CCD1C7">
      <w:pPr>
        <w:pStyle w:val="6"/>
        <w:numPr>
          <w:ilvl w:val="0"/>
          <w:numId w:val="0"/>
        </w:numPr>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2.上表序号1和序号3普通演员投标单价金额必须一致、序号2和序号4专业演员投标单价金额必须一致，不一致的按无效标处理。</w:t>
      </w:r>
    </w:p>
    <w:p w14:paraId="35172648">
      <w:pPr>
        <w:pStyle w:val="6"/>
        <w:numPr>
          <w:ilvl w:val="0"/>
          <w:numId w:val="0"/>
        </w:numPr>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3.本表数量为暂估量，结算时按实际投入的演员类型、对应的中标单价和实际服务时长计算。</w:t>
      </w:r>
    </w:p>
    <w:p w14:paraId="707DEEF0">
      <w:pPr>
        <w:pStyle w:val="6"/>
        <w:numPr>
          <w:ilvl w:val="0"/>
          <w:numId w:val="0"/>
        </w:numPr>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4.本项目总价最高限价151.96万元，单价最高限价：普通演员11700元/人/月；专业演员13400元/人/月；投标报价超过或等于最高限价的作无效标处理。</w:t>
      </w:r>
    </w:p>
    <w:p w14:paraId="4F24802F">
      <w:pPr>
        <w:pStyle w:val="6"/>
        <w:rPr>
          <w:rFonts w:hint="eastAsia" w:ascii="宋体" w:hAnsi="宋体" w:eastAsia="宋体" w:cs="宋体"/>
          <w:color w:val="auto"/>
          <w:highlight w:val="none"/>
          <w:lang w:val="en-US" w:eastAsia="zh-CN"/>
        </w:rPr>
      </w:pPr>
    </w:p>
    <w:bookmarkEnd w:id="11"/>
    <w:sectPr>
      <w:pgSz w:w="11906" w:h="16838"/>
      <w:pgMar w:top="1361" w:right="1361" w:bottom="1361" w:left="1361" w:header="709" w:footer="470" w:gutter="0"/>
      <w:cols w:space="425" w:num="1"/>
      <w:docGrid w:type="lines" w:linePitch="3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921D1">
    <w:pPr>
      <w:pStyle w:val="10"/>
      <w:jc w:val="right"/>
    </w:pPr>
  </w:p>
  <w:p w14:paraId="02931A1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355038"/>
    </w:sdtPr>
    <w:sdtContent>
      <w:p w14:paraId="3AAD06B0">
        <w:pPr>
          <w:pStyle w:val="10"/>
          <w:jc w:val="center"/>
        </w:pPr>
        <w:r>
          <w:fldChar w:fldCharType="begin"/>
        </w:r>
        <w:r>
          <w:instrText xml:space="preserve">PAGE   \* MERGEFORMAT</w:instrText>
        </w:r>
        <w:r>
          <w:fldChar w:fldCharType="separate"/>
        </w:r>
        <w:r>
          <w:rPr>
            <w:lang w:val="zh-CN"/>
          </w:rPr>
          <w:t>28</w:t>
        </w:r>
        <w:r>
          <w:fldChar w:fldCharType="end"/>
        </w:r>
      </w:p>
    </w:sdtContent>
  </w:sdt>
  <w:p w14:paraId="1AE6653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B30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C4269"/>
    <w:multiLevelType w:val="singleLevel"/>
    <w:tmpl w:val="847C4269"/>
    <w:lvl w:ilvl="0" w:tentative="0">
      <w:start w:val="1"/>
      <w:numFmt w:val="decimal"/>
      <w:suff w:val="nothing"/>
      <w:lvlText w:val="%1、"/>
      <w:lvlJc w:val="left"/>
      <w:pPr>
        <w:ind w:left="560" w:firstLine="0"/>
      </w:pPr>
    </w:lvl>
  </w:abstractNum>
  <w:abstractNum w:abstractNumId="1">
    <w:nsid w:val="8E23262D"/>
    <w:multiLevelType w:val="singleLevel"/>
    <w:tmpl w:val="8E23262D"/>
    <w:lvl w:ilvl="0" w:tentative="0">
      <w:start w:val="1"/>
      <w:numFmt w:val="decimal"/>
      <w:suff w:val="nothing"/>
      <w:lvlText w:val="%1、"/>
      <w:lvlJc w:val="left"/>
      <w:pPr>
        <w:ind w:left="560" w:firstLine="0"/>
      </w:pPr>
    </w:lvl>
  </w:abstractNum>
  <w:abstractNum w:abstractNumId="2">
    <w:nsid w:val="AEB2B819"/>
    <w:multiLevelType w:val="singleLevel"/>
    <w:tmpl w:val="AEB2B819"/>
    <w:lvl w:ilvl="0" w:tentative="0">
      <w:start w:val="1"/>
      <w:numFmt w:val="chineseCounting"/>
      <w:suff w:val="nothing"/>
      <w:lvlText w:val="%1、"/>
      <w:lvlJc w:val="left"/>
      <w:rPr>
        <w:rFonts w:hint="eastAsia"/>
      </w:rPr>
    </w:lvl>
  </w:abstractNum>
  <w:abstractNum w:abstractNumId="3">
    <w:nsid w:val="D59E2216"/>
    <w:multiLevelType w:val="singleLevel"/>
    <w:tmpl w:val="D59E2216"/>
    <w:lvl w:ilvl="0" w:tentative="0">
      <w:start w:val="1"/>
      <w:numFmt w:val="decimal"/>
      <w:suff w:val="nothing"/>
      <w:lvlText w:val="%1、"/>
      <w:lvlJc w:val="left"/>
      <w:pPr>
        <w:ind w:left="560" w:firstLine="0"/>
      </w:pPr>
    </w:lvl>
  </w:abstractNum>
  <w:abstractNum w:abstractNumId="4">
    <w:nsid w:val="F987E0F1"/>
    <w:multiLevelType w:val="singleLevel"/>
    <w:tmpl w:val="F987E0F1"/>
    <w:lvl w:ilvl="0" w:tentative="0">
      <w:start w:val="1"/>
      <w:numFmt w:val="decimal"/>
      <w:suff w:val="nothing"/>
      <w:lvlText w:val="%1、"/>
      <w:lvlJc w:val="left"/>
    </w:lvl>
  </w:abstractNum>
  <w:abstractNum w:abstractNumId="5">
    <w:nsid w:val="3F1C545F"/>
    <w:multiLevelType w:val="multilevel"/>
    <w:tmpl w:val="3F1C545F"/>
    <w:lvl w:ilvl="0" w:tentative="0">
      <w:start w:val="1"/>
      <w:numFmt w:val="decimal"/>
      <w:lvlText w:val="%1、"/>
      <w:lvlJc w:val="left"/>
      <w:pPr>
        <w:ind w:left="845" w:hanging="36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6">
    <w:nsid w:val="7E096650"/>
    <w:multiLevelType w:val="singleLevel"/>
    <w:tmpl w:val="7E096650"/>
    <w:lvl w:ilvl="0" w:tentative="0">
      <w:start w:val="8"/>
      <w:numFmt w:val="chineseCounting"/>
      <w:suff w:val="nothing"/>
      <w:lvlText w:val="%1、"/>
      <w:lvlJc w:val="left"/>
      <w:rPr>
        <w:rFonts w:hint="eastAsia"/>
      </w:rPr>
    </w:lvl>
  </w:abstractNum>
  <w:abstractNum w:abstractNumId="7">
    <w:nsid w:val="7E267560"/>
    <w:multiLevelType w:val="singleLevel"/>
    <w:tmpl w:val="7E267560"/>
    <w:lvl w:ilvl="0" w:tentative="0">
      <w:start w:val="1"/>
      <w:numFmt w:val="decimal"/>
      <w:suff w:val="nothing"/>
      <w:lvlText w:val="%1、"/>
      <w:lvlJc w:val="left"/>
    </w:lvl>
  </w:abstractNum>
  <w:num w:numId="1">
    <w:abstractNumId w:val="6"/>
  </w:num>
  <w:num w:numId="2">
    <w:abstractNumId w:val="5"/>
  </w:num>
  <w:num w:numId="3">
    <w:abstractNumId w:val="2"/>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30"/>
  <w:drawingGridVerticalSpacing w:val="17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NjkxNmM1NWIxYWQ3ZWRlNDM3ZmYxZTFmZjdjN2YifQ=="/>
  </w:docVars>
  <w:rsids>
    <w:rsidRoot w:val="0075785A"/>
    <w:rsid w:val="000049D6"/>
    <w:rsid w:val="000141F0"/>
    <w:rsid w:val="00033E57"/>
    <w:rsid w:val="00034841"/>
    <w:rsid w:val="00057791"/>
    <w:rsid w:val="0006118B"/>
    <w:rsid w:val="00070419"/>
    <w:rsid w:val="000715BE"/>
    <w:rsid w:val="00071E06"/>
    <w:rsid w:val="000730F4"/>
    <w:rsid w:val="00075965"/>
    <w:rsid w:val="0008278F"/>
    <w:rsid w:val="00090758"/>
    <w:rsid w:val="00093EAE"/>
    <w:rsid w:val="00094A95"/>
    <w:rsid w:val="0009609F"/>
    <w:rsid w:val="00097D7D"/>
    <w:rsid w:val="000A7553"/>
    <w:rsid w:val="000B1646"/>
    <w:rsid w:val="000B44F8"/>
    <w:rsid w:val="000C0ADE"/>
    <w:rsid w:val="000C5C78"/>
    <w:rsid w:val="000D30EE"/>
    <w:rsid w:val="000D66A6"/>
    <w:rsid w:val="000F1847"/>
    <w:rsid w:val="00101CA0"/>
    <w:rsid w:val="00102710"/>
    <w:rsid w:val="00102BF5"/>
    <w:rsid w:val="0011013B"/>
    <w:rsid w:val="00125AD4"/>
    <w:rsid w:val="00137595"/>
    <w:rsid w:val="00157734"/>
    <w:rsid w:val="001623E2"/>
    <w:rsid w:val="001679CB"/>
    <w:rsid w:val="00174195"/>
    <w:rsid w:val="001772B7"/>
    <w:rsid w:val="001855B9"/>
    <w:rsid w:val="00185873"/>
    <w:rsid w:val="00190517"/>
    <w:rsid w:val="001949DC"/>
    <w:rsid w:val="001A43C9"/>
    <w:rsid w:val="001A72FB"/>
    <w:rsid w:val="001D2166"/>
    <w:rsid w:val="001D3FDD"/>
    <w:rsid w:val="001D494D"/>
    <w:rsid w:val="001E41C4"/>
    <w:rsid w:val="001F6316"/>
    <w:rsid w:val="00224AA6"/>
    <w:rsid w:val="0022648D"/>
    <w:rsid w:val="0023161F"/>
    <w:rsid w:val="00242872"/>
    <w:rsid w:val="00250276"/>
    <w:rsid w:val="00253467"/>
    <w:rsid w:val="0026183E"/>
    <w:rsid w:val="002626A6"/>
    <w:rsid w:val="00264417"/>
    <w:rsid w:val="00266348"/>
    <w:rsid w:val="002737B4"/>
    <w:rsid w:val="00274E86"/>
    <w:rsid w:val="00280167"/>
    <w:rsid w:val="0029297E"/>
    <w:rsid w:val="002A4348"/>
    <w:rsid w:val="002C4E7D"/>
    <w:rsid w:val="002C5357"/>
    <w:rsid w:val="002C5BDB"/>
    <w:rsid w:val="002E11BF"/>
    <w:rsid w:val="002E53F4"/>
    <w:rsid w:val="002E5BB3"/>
    <w:rsid w:val="002F1312"/>
    <w:rsid w:val="002F5158"/>
    <w:rsid w:val="00303FA2"/>
    <w:rsid w:val="00310F60"/>
    <w:rsid w:val="00313DF1"/>
    <w:rsid w:val="0032460D"/>
    <w:rsid w:val="003509F7"/>
    <w:rsid w:val="00352F5F"/>
    <w:rsid w:val="00371A95"/>
    <w:rsid w:val="003802DE"/>
    <w:rsid w:val="003A2C2D"/>
    <w:rsid w:val="003B4226"/>
    <w:rsid w:val="003C1B3E"/>
    <w:rsid w:val="003C6F57"/>
    <w:rsid w:val="003C7924"/>
    <w:rsid w:val="003F25E1"/>
    <w:rsid w:val="003F6844"/>
    <w:rsid w:val="003F74CF"/>
    <w:rsid w:val="004015F7"/>
    <w:rsid w:val="00405474"/>
    <w:rsid w:val="004136C9"/>
    <w:rsid w:val="00415A4B"/>
    <w:rsid w:val="004163C6"/>
    <w:rsid w:val="00426CC6"/>
    <w:rsid w:val="0043752A"/>
    <w:rsid w:val="0045026A"/>
    <w:rsid w:val="00460B04"/>
    <w:rsid w:val="0047119D"/>
    <w:rsid w:val="004861AD"/>
    <w:rsid w:val="00490802"/>
    <w:rsid w:val="004940C7"/>
    <w:rsid w:val="004A7F77"/>
    <w:rsid w:val="004E4F82"/>
    <w:rsid w:val="004E4FF6"/>
    <w:rsid w:val="004F610D"/>
    <w:rsid w:val="00515D6C"/>
    <w:rsid w:val="00520E4A"/>
    <w:rsid w:val="0052180C"/>
    <w:rsid w:val="00523351"/>
    <w:rsid w:val="00532F51"/>
    <w:rsid w:val="00547D73"/>
    <w:rsid w:val="0055031E"/>
    <w:rsid w:val="00550F5D"/>
    <w:rsid w:val="00574695"/>
    <w:rsid w:val="00575B92"/>
    <w:rsid w:val="00577B29"/>
    <w:rsid w:val="005803AC"/>
    <w:rsid w:val="005A23D5"/>
    <w:rsid w:val="005A5D0A"/>
    <w:rsid w:val="005A76AD"/>
    <w:rsid w:val="005C2A26"/>
    <w:rsid w:val="005C3821"/>
    <w:rsid w:val="005C6EB1"/>
    <w:rsid w:val="005D1EAB"/>
    <w:rsid w:val="005D2E2D"/>
    <w:rsid w:val="005E1E5A"/>
    <w:rsid w:val="005E2229"/>
    <w:rsid w:val="005E3213"/>
    <w:rsid w:val="005E3BB9"/>
    <w:rsid w:val="006021C0"/>
    <w:rsid w:val="006110C4"/>
    <w:rsid w:val="00616186"/>
    <w:rsid w:val="0062405E"/>
    <w:rsid w:val="00627597"/>
    <w:rsid w:val="006354D5"/>
    <w:rsid w:val="00646486"/>
    <w:rsid w:val="0064692F"/>
    <w:rsid w:val="0064768D"/>
    <w:rsid w:val="00657C35"/>
    <w:rsid w:val="00662E85"/>
    <w:rsid w:val="0066514A"/>
    <w:rsid w:val="00665F09"/>
    <w:rsid w:val="00671CBE"/>
    <w:rsid w:val="00692882"/>
    <w:rsid w:val="00692D51"/>
    <w:rsid w:val="006950CF"/>
    <w:rsid w:val="00696E97"/>
    <w:rsid w:val="006B0BE9"/>
    <w:rsid w:val="006B2749"/>
    <w:rsid w:val="006B34BB"/>
    <w:rsid w:val="006C2DA4"/>
    <w:rsid w:val="006D0791"/>
    <w:rsid w:val="006D1255"/>
    <w:rsid w:val="006E12AF"/>
    <w:rsid w:val="006E1959"/>
    <w:rsid w:val="006F57EC"/>
    <w:rsid w:val="00704953"/>
    <w:rsid w:val="00716654"/>
    <w:rsid w:val="00724114"/>
    <w:rsid w:val="00744345"/>
    <w:rsid w:val="00744F70"/>
    <w:rsid w:val="0075200F"/>
    <w:rsid w:val="00753D3C"/>
    <w:rsid w:val="00755740"/>
    <w:rsid w:val="0075785A"/>
    <w:rsid w:val="00771EB8"/>
    <w:rsid w:val="00786E22"/>
    <w:rsid w:val="00791402"/>
    <w:rsid w:val="007A58DB"/>
    <w:rsid w:val="007B05DC"/>
    <w:rsid w:val="007B1A7A"/>
    <w:rsid w:val="007D1D1F"/>
    <w:rsid w:val="007D7FD8"/>
    <w:rsid w:val="007E01EF"/>
    <w:rsid w:val="007F4D75"/>
    <w:rsid w:val="008049C0"/>
    <w:rsid w:val="00805064"/>
    <w:rsid w:val="00805109"/>
    <w:rsid w:val="00807286"/>
    <w:rsid w:val="00820249"/>
    <w:rsid w:val="00837AB7"/>
    <w:rsid w:val="008529EF"/>
    <w:rsid w:val="00854EE2"/>
    <w:rsid w:val="00855462"/>
    <w:rsid w:val="00860A34"/>
    <w:rsid w:val="008663FD"/>
    <w:rsid w:val="008735D2"/>
    <w:rsid w:val="008919D1"/>
    <w:rsid w:val="008A1C90"/>
    <w:rsid w:val="008A2CE3"/>
    <w:rsid w:val="008A3D8A"/>
    <w:rsid w:val="008A7614"/>
    <w:rsid w:val="008C18F3"/>
    <w:rsid w:val="008C602F"/>
    <w:rsid w:val="008E64A8"/>
    <w:rsid w:val="008F4E9D"/>
    <w:rsid w:val="00902A18"/>
    <w:rsid w:val="00903583"/>
    <w:rsid w:val="00904F56"/>
    <w:rsid w:val="009148BB"/>
    <w:rsid w:val="00941BED"/>
    <w:rsid w:val="009611C4"/>
    <w:rsid w:val="00972647"/>
    <w:rsid w:val="0098309A"/>
    <w:rsid w:val="009B7099"/>
    <w:rsid w:val="009B7EB8"/>
    <w:rsid w:val="009C0AB0"/>
    <w:rsid w:val="009E7EFF"/>
    <w:rsid w:val="00A2370A"/>
    <w:rsid w:val="00A35D22"/>
    <w:rsid w:val="00A3635E"/>
    <w:rsid w:val="00A36C89"/>
    <w:rsid w:val="00A37A6A"/>
    <w:rsid w:val="00A44C72"/>
    <w:rsid w:val="00A511CC"/>
    <w:rsid w:val="00A5343C"/>
    <w:rsid w:val="00A74496"/>
    <w:rsid w:val="00A91E6E"/>
    <w:rsid w:val="00A9566C"/>
    <w:rsid w:val="00AB1202"/>
    <w:rsid w:val="00AB669C"/>
    <w:rsid w:val="00AC4CE6"/>
    <w:rsid w:val="00AC4E6E"/>
    <w:rsid w:val="00AE1A9F"/>
    <w:rsid w:val="00AE510A"/>
    <w:rsid w:val="00AF371D"/>
    <w:rsid w:val="00AF7714"/>
    <w:rsid w:val="00B00518"/>
    <w:rsid w:val="00B01876"/>
    <w:rsid w:val="00B03349"/>
    <w:rsid w:val="00B12F09"/>
    <w:rsid w:val="00B13D89"/>
    <w:rsid w:val="00B170C5"/>
    <w:rsid w:val="00B24B53"/>
    <w:rsid w:val="00B33A5D"/>
    <w:rsid w:val="00B53346"/>
    <w:rsid w:val="00B57F93"/>
    <w:rsid w:val="00B7161B"/>
    <w:rsid w:val="00B72CF2"/>
    <w:rsid w:val="00B8707D"/>
    <w:rsid w:val="00B94608"/>
    <w:rsid w:val="00BA1548"/>
    <w:rsid w:val="00BA1C67"/>
    <w:rsid w:val="00BA2021"/>
    <w:rsid w:val="00BA2DCB"/>
    <w:rsid w:val="00BA784D"/>
    <w:rsid w:val="00BB288A"/>
    <w:rsid w:val="00BB6A38"/>
    <w:rsid w:val="00BC2FE2"/>
    <w:rsid w:val="00BD23D2"/>
    <w:rsid w:val="00BE1EB9"/>
    <w:rsid w:val="00BF3AF2"/>
    <w:rsid w:val="00BF5327"/>
    <w:rsid w:val="00C0106F"/>
    <w:rsid w:val="00C074BF"/>
    <w:rsid w:val="00C232ED"/>
    <w:rsid w:val="00C24FB7"/>
    <w:rsid w:val="00C33B4B"/>
    <w:rsid w:val="00C34075"/>
    <w:rsid w:val="00C44C65"/>
    <w:rsid w:val="00C44D0D"/>
    <w:rsid w:val="00C513A5"/>
    <w:rsid w:val="00C6457F"/>
    <w:rsid w:val="00C71789"/>
    <w:rsid w:val="00C7222C"/>
    <w:rsid w:val="00C859D0"/>
    <w:rsid w:val="00CA30BB"/>
    <w:rsid w:val="00CC0882"/>
    <w:rsid w:val="00CC2A18"/>
    <w:rsid w:val="00CC41B0"/>
    <w:rsid w:val="00CC5B2A"/>
    <w:rsid w:val="00CF7E5E"/>
    <w:rsid w:val="00D1344B"/>
    <w:rsid w:val="00D17841"/>
    <w:rsid w:val="00D21ACF"/>
    <w:rsid w:val="00D25E64"/>
    <w:rsid w:val="00D501DF"/>
    <w:rsid w:val="00D72AFC"/>
    <w:rsid w:val="00D740F8"/>
    <w:rsid w:val="00D77EDF"/>
    <w:rsid w:val="00D80E8F"/>
    <w:rsid w:val="00D83E61"/>
    <w:rsid w:val="00DA706D"/>
    <w:rsid w:val="00DB0E6F"/>
    <w:rsid w:val="00DB1FB9"/>
    <w:rsid w:val="00DD7F4F"/>
    <w:rsid w:val="00DE4EE0"/>
    <w:rsid w:val="00DF20D7"/>
    <w:rsid w:val="00E018D0"/>
    <w:rsid w:val="00E05936"/>
    <w:rsid w:val="00E13425"/>
    <w:rsid w:val="00E17959"/>
    <w:rsid w:val="00E21928"/>
    <w:rsid w:val="00E332D3"/>
    <w:rsid w:val="00E334CE"/>
    <w:rsid w:val="00E374B2"/>
    <w:rsid w:val="00E43830"/>
    <w:rsid w:val="00E447C6"/>
    <w:rsid w:val="00E52D64"/>
    <w:rsid w:val="00E56500"/>
    <w:rsid w:val="00E664CE"/>
    <w:rsid w:val="00E67235"/>
    <w:rsid w:val="00E74157"/>
    <w:rsid w:val="00E80DD9"/>
    <w:rsid w:val="00E850FD"/>
    <w:rsid w:val="00EA4AB3"/>
    <w:rsid w:val="00EB4505"/>
    <w:rsid w:val="00EC3375"/>
    <w:rsid w:val="00EF012C"/>
    <w:rsid w:val="00F027F7"/>
    <w:rsid w:val="00F03DA1"/>
    <w:rsid w:val="00F13D0E"/>
    <w:rsid w:val="00F205AC"/>
    <w:rsid w:val="00F24C04"/>
    <w:rsid w:val="00F25E2B"/>
    <w:rsid w:val="00F30132"/>
    <w:rsid w:val="00F36C4A"/>
    <w:rsid w:val="00F45B0A"/>
    <w:rsid w:val="00F470B0"/>
    <w:rsid w:val="00F47129"/>
    <w:rsid w:val="00F5190D"/>
    <w:rsid w:val="00F55C1A"/>
    <w:rsid w:val="00F6690B"/>
    <w:rsid w:val="00F67550"/>
    <w:rsid w:val="00F76DC5"/>
    <w:rsid w:val="00F77EE2"/>
    <w:rsid w:val="00F808BB"/>
    <w:rsid w:val="00F85094"/>
    <w:rsid w:val="00F87F96"/>
    <w:rsid w:val="00FA3DAA"/>
    <w:rsid w:val="00FB6C81"/>
    <w:rsid w:val="00FD0282"/>
    <w:rsid w:val="00FD5F2B"/>
    <w:rsid w:val="00FD74CF"/>
    <w:rsid w:val="00FF3788"/>
    <w:rsid w:val="00FF4AF2"/>
    <w:rsid w:val="00FF5908"/>
    <w:rsid w:val="00FF6929"/>
    <w:rsid w:val="00FF7098"/>
    <w:rsid w:val="01607E44"/>
    <w:rsid w:val="03196F07"/>
    <w:rsid w:val="035809D3"/>
    <w:rsid w:val="039B5B6E"/>
    <w:rsid w:val="06176AF7"/>
    <w:rsid w:val="086A7D6F"/>
    <w:rsid w:val="09151F1E"/>
    <w:rsid w:val="0DE45533"/>
    <w:rsid w:val="14FC2A55"/>
    <w:rsid w:val="180338A7"/>
    <w:rsid w:val="19CC17D4"/>
    <w:rsid w:val="1D831DFD"/>
    <w:rsid w:val="206C6470"/>
    <w:rsid w:val="255E0351"/>
    <w:rsid w:val="26E5446D"/>
    <w:rsid w:val="27D04958"/>
    <w:rsid w:val="28292E99"/>
    <w:rsid w:val="2A8A2314"/>
    <w:rsid w:val="2B625000"/>
    <w:rsid w:val="2B792F80"/>
    <w:rsid w:val="2F3D57EC"/>
    <w:rsid w:val="2F8877A3"/>
    <w:rsid w:val="307C26FF"/>
    <w:rsid w:val="31815AF3"/>
    <w:rsid w:val="31CA2B4D"/>
    <w:rsid w:val="344C063B"/>
    <w:rsid w:val="345C0152"/>
    <w:rsid w:val="357716E7"/>
    <w:rsid w:val="3725298E"/>
    <w:rsid w:val="37A60062"/>
    <w:rsid w:val="399F51B0"/>
    <w:rsid w:val="3FE9B8E2"/>
    <w:rsid w:val="40AA1D04"/>
    <w:rsid w:val="433B1FA6"/>
    <w:rsid w:val="48670DAC"/>
    <w:rsid w:val="48D77ACA"/>
    <w:rsid w:val="495878B4"/>
    <w:rsid w:val="4ACD4765"/>
    <w:rsid w:val="51AA7A7C"/>
    <w:rsid w:val="524413E7"/>
    <w:rsid w:val="54751090"/>
    <w:rsid w:val="56292261"/>
    <w:rsid w:val="57C20801"/>
    <w:rsid w:val="58600D3E"/>
    <w:rsid w:val="5B9C59B2"/>
    <w:rsid w:val="5BEE33C6"/>
    <w:rsid w:val="5D2473B1"/>
    <w:rsid w:val="5EDF3CD6"/>
    <w:rsid w:val="5F05038C"/>
    <w:rsid w:val="6421269A"/>
    <w:rsid w:val="64972557"/>
    <w:rsid w:val="65FA5E5E"/>
    <w:rsid w:val="6D2B1EBB"/>
    <w:rsid w:val="6E171FB1"/>
    <w:rsid w:val="6E4D0958"/>
    <w:rsid w:val="7119081A"/>
    <w:rsid w:val="75736003"/>
    <w:rsid w:val="75CB1375"/>
    <w:rsid w:val="76E45D41"/>
    <w:rsid w:val="78D12489"/>
    <w:rsid w:val="79152D37"/>
    <w:rsid w:val="7BFA3AA5"/>
    <w:rsid w:val="7E6F089A"/>
    <w:rsid w:val="7EAE6F16"/>
    <w:rsid w:val="7F0F7867"/>
    <w:rsid w:val="E3F52A6C"/>
    <w:rsid w:val="EA9FD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szCs w:val="26"/>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semiHidden/>
    <w:unhideWhenUsed/>
    <w:qFormat/>
    <w:uiPriority w:val="9"/>
    <w:pPr>
      <w:keepNext/>
      <w:keepLines/>
      <w:overflowPunct w:val="0"/>
      <w:adjustRightInd w:val="0"/>
      <w:jc w:val="left"/>
      <w:outlineLvl w:val="1"/>
    </w:pPr>
    <w:rPr>
      <w:rFonts w:ascii="Cambria" w:hAnsi="Cambria" w:eastAsia="宋体" w:cs="宋体"/>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adjustRightInd w:val="0"/>
      <w:ind w:firstLine="420"/>
      <w:jc w:val="left"/>
    </w:pPr>
    <w:rPr>
      <w:sz w:val="24"/>
      <w:szCs w:val="20"/>
    </w:rPr>
  </w:style>
  <w:style w:type="paragraph" w:styleId="5">
    <w:name w:val="annotation text"/>
    <w:basedOn w:val="1"/>
    <w:link w:val="33"/>
    <w:unhideWhenUsed/>
    <w:qFormat/>
    <w:uiPriority w:val="0"/>
    <w:pPr>
      <w:jc w:val="left"/>
    </w:pPr>
  </w:style>
  <w:style w:type="paragraph" w:styleId="6">
    <w:name w:val="Body Text"/>
    <w:basedOn w:val="1"/>
    <w:link w:val="35"/>
    <w:semiHidden/>
    <w:unhideWhenUsed/>
    <w:qFormat/>
    <w:uiPriority w:val="99"/>
    <w:pPr>
      <w:spacing w:after="120"/>
    </w:pPr>
  </w:style>
  <w:style w:type="paragraph" w:styleId="7">
    <w:name w:val="Body Text Indent"/>
    <w:basedOn w:val="1"/>
    <w:next w:val="1"/>
    <w:link w:val="25"/>
    <w:semiHidden/>
    <w:unhideWhenUsed/>
    <w:qFormat/>
    <w:uiPriority w:val="99"/>
    <w:pPr>
      <w:spacing w:after="120"/>
      <w:ind w:left="420" w:leftChars="200"/>
    </w:pPr>
  </w:style>
  <w:style w:type="paragraph" w:styleId="8">
    <w:name w:val="Plain Text"/>
    <w:basedOn w:val="1"/>
    <w:link w:val="27"/>
    <w:semiHidden/>
    <w:unhideWhenUsed/>
    <w:qFormat/>
    <w:uiPriority w:val="99"/>
    <w:rPr>
      <w:rFonts w:ascii="宋体" w:hAnsi="Courier New" w:eastAsia="宋体"/>
      <w:kern w:val="0"/>
      <w:sz w:val="20"/>
      <w:szCs w:val="21"/>
    </w:r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envelope return"/>
    <w:basedOn w:val="1"/>
    <w:qFormat/>
    <w:uiPriority w:val="99"/>
    <w:pPr>
      <w:snapToGrid w:val="0"/>
    </w:pPr>
    <w:rPr>
      <w:rFonts w:ascii="Arial" w:hAnsi="Arial"/>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99"/>
    <w:pPr>
      <w:adjustRightInd w:val="0"/>
      <w:jc w:val="left"/>
    </w:pPr>
    <w:rPr>
      <w:sz w:val="24"/>
      <w:szCs w:val="24"/>
    </w:rPr>
  </w:style>
  <w:style w:type="paragraph" w:styleId="14">
    <w:name w:val="Body Text Indent 3"/>
    <w:basedOn w:val="1"/>
    <w:qFormat/>
    <w:uiPriority w:val="0"/>
    <w:pPr>
      <w:spacing w:after="120"/>
      <w:ind w:left="420" w:leftChars="200"/>
    </w:pPr>
    <w:rPr>
      <w:sz w:val="16"/>
    </w:rPr>
  </w:style>
  <w:style w:type="paragraph" w:styleId="15">
    <w:name w:val="annotation subject"/>
    <w:basedOn w:val="5"/>
    <w:next w:val="5"/>
    <w:link w:val="34"/>
    <w:semiHidden/>
    <w:unhideWhenUsed/>
    <w:qFormat/>
    <w:uiPriority w:val="99"/>
    <w:rPr>
      <w:b/>
      <w:bCs/>
    </w:rPr>
  </w:style>
  <w:style w:type="paragraph" w:styleId="16">
    <w:name w:val="Body Text First Indent 2"/>
    <w:basedOn w:val="7"/>
    <w:link w:val="26"/>
    <w:semiHidden/>
    <w:unhideWhenUsed/>
    <w:qFormat/>
    <w:uiPriority w:val="99"/>
    <w:pPr>
      <w:ind w:firstLine="200" w:firstLineChars="200"/>
    </w:pPr>
    <w:rPr>
      <w:rFonts w:ascii="Calibri" w:hAnsi="Calibri"/>
      <w:kern w:val="0"/>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2"/>
    <w:qFormat/>
    <w:uiPriority w:val="99"/>
    <w:rPr>
      <w:sz w:val="18"/>
      <w:szCs w:val="18"/>
    </w:rPr>
  </w:style>
  <w:style w:type="character" w:customStyle="1" w:styleId="23">
    <w:name w:val="页脚 字符"/>
    <w:basedOn w:val="19"/>
    <w:link w:val="10"/>
    <w:qFormat/>
    <w:uiPriority w:val="99"/>
    <w:rPr>
      <w:sz w:val="18"/>
      <w:szCs w:val="18"/>
    </w:rPr>
  </w:style>
  <w:style w:type="character" w:customStyle="1" w:styleId="24">
    <w:name w:val="标题 2 字符"/>
    <w:basedOn w:val="19"/>
    <w:link w:val="3"/>
    <w:semiHidden/>
    <w:qFormat/>
    <w:uiPriority w:val="9"/>
    <w:rPr>
      <w:rFonts w:ascii="Cambria" w:hAnsi="Cambria" w:eastAsia="宋体" w:cs="宋体"/>
      <w:b/>
      <w:bCs/>
      <w:kern w:val="0"/>
      <w:sz w:val="32"/>
      <w:szCs w:val="32"/>
    </w:rPr>
  </w:style>
  <w:style w:type="character" w:customStyle="1" w:styleId="25">
    <w:name w:val="正文文本缩进 字符"/>
    <w:basedOn w:val="19"/>
    <w:link w:val="7"/>
    <w:semiHidden/>
    <w:qFormat/>
    <w:uiPriority w:val="99"/>
    <w:rPr>
      <w:rFonts w:ascii="Times New Roman" w:hAnsi="Times New Roman" w:eastAsia="楷体_GB2312" w:cs="Times New Roman"/>
      <w:sz w:val="26"/>
      <w:szCs w:val="26"/>
    </w:rPr>
  </w:style>
  <w:style w:type="character" w:customStyle="1" w:styleId="26">
    <w:name w:val="正文文本首行缩进 2 字符"/>
    <w:basedOn w:val="25"/>
    <w:link w:val="16"/>
    <w:semiHidden/>
    <w:qFormat/>
    <w:uiPriority w:val="99"/>
    <w:rPr>
      <w:rFonts w:ascii="Calibri" w:hAnsi="Calibri" w:eastAsia="楷体_GB2312" w:cs="Times New Roman"/>
      <w:kern w:val="0"/>
      <w:sz w:val="26"/>
      <w:szCs w:val="26"/>
    </w:rPr>
  </w:style>
  <w:style w:type="character" w:customStyle="1" w:styleId="27">
    <w:name w:val="纯文本 字符"/>
    <w:basedOn w:val="19"/>
    <w:link w:val="8"/>
    <w:semiHidden/>
    <w:qFormat/>
    <w:uiPriority w:val="99"/>
    <w:rPr>
      <w:rFonts w:ascii="宋体" w:hAnsi="Courier New" w:eastAsia="宋体" w:cs="Times New Roman"/>
      <w:kern w:val="0"/>
      <w:sz w:val="20"/>
      <w:szCs w:val="21"/>
    </w:rPr>
  </w:style>
  <w:style w:type="paragraph" w:customStyle="1" w:styleId="28">
    <w:name w:val="正文文本首行缩进 21"/>
    <w:basedOn w:val="7"/>
    <w:qFormat/>
    <w:uiPriority w:val="99"/>
    <w:pPr>
      <w:spacing w:after="0"/>
      <w:ind w:firstLine="420" w:firstLineChars="200"/>
    </w:pPr>
    <w:rPr>
      <w:rFonts w:ascii="Calibri" w:hAnsi="Calibri"/>
      <w:kern w:val="0"/>
    </w:rPr>
  </w:style>
  <w:style w:type="paragraph" w:styleId="29">
    <w:name w:val="List Paragraph"/>
    <w:basedOn w:val="1"/>
    <w:qFormat/>
    <w:uiPriority w:val="34"/>
    <w:pPr>
      <w:ind w:firstLine="420" w:firstLineChars="200"/>
    </w:pPr>
  </w:style>
  <w:style w:type="character" w:customStyle="1" w:styleId="30">
    <w:name w:val="批注框文本 字符"/>
    <w:basedOn w:val="19"/>
    <w:link w:val="9"/>
    <w:semiHidden/>
    <w:qFormat/>
    <w:uiPriority w:val="99"/>
    <w:rPr>
      <w:rFonts w:ascii="Times New Roman" w:hAnsi="Times New Roman" w:eastAsia="楷体_GB2312" w:cs="Times New Roman"/>
      <w:sz w:val="18"/>
      <w:szCs w:val="18"/>
    </w:rPr>
  </w:style>
  <w:style w:type="paragraph" w:customStyle="1" w:styleId="31">
    <w:name w:val="样式 标题 1 + 宋体 段前: 0 磅 段后: 0 磅 行距: 单倍行距"/>
    <w:basedOn w:val="2"/>
    <w:next w:val="1"/>
    <w:qFormat/>
    <w:uiPriority w:val="0"/>
    <w:pPr>
      <w:spacing w:before="0" w:beforeLines="100" w:after="0" w:afterLines="100" w:line="240" w:lineRule="auto"/>
      <w:jc w:val="center"/>
    </w:pPr>
    <w:rPr>
      <w:rFonts w:ascii="仿宋_GB2312" w:hAnsi="宋体" w:eastAsia="仿宋_GB2312" w:cs="宋体"/>
    </w:rPr>
  </w:style>
  <w:style w:type="character" w:customStyle="1" w:styleId="32">
    <w:name w:val="标题 1 字符"/>
    <w:basedOn w:val="19"/>
    <w:link w:val="2"/>
    <w:qFormat/>
    <w:uiPriority w:val="9"/>
    <w:rPr>
      <w:rFonts w:ascii="Times New Roman" w:hAnsi="Times New Roman" w:eastAsia="楷体_GB2312" w:cs="Times New Roman"/>
      <w:b/>
      <w:bCs/>
      <w:kern w:val="44"/>
      <w:sz w:val="44"/>
      <w:szCs w:val="44"/>
    </w:rPr>
  </w:style>
  <w:style w:type="character" w:customStyle="1" w:styleId="33">
    <w:name w:val="批注文字 字符"/>
    <w:basedOn w:val="19"/>
    <w:link w:val="5"/>
    <w:qFormat/>
    <w:uiPriority w:val="0"/>
    <w:rPr>
      <w:rFonts w:ascii="Times New Roman" w:hAnsi="Times New Roman" w:eastAsia="楷体_GB2312" w:cs="Times New Roman"/>
      <w:kern w:val="2"/>
      <w:sz w:val="26"/>
      <w:szCs w:val="26"/>
    </w:rPr>
  </w:style>
  <w:style w:type="character" w:customStyle="1" w:styleId="34">
    <w:name w:val="批注主题 字符"/>
    <w:basedOn w:val="33"/>
    <w:link w:val="15"/>
    <w:semiHidden/>
    <w:qFormat/>
    <w:uiPriority w:val="99"/>
    <w:rPr>
      <w:rFonts w:ascii="Times New Roman" w:hAnsi="Times New Roman" w:eastAsia="楷体_GB2312" w:cs="Times New Roman"/>
      <w:b/>
      <w:bCs/>
      <w:kern w:val="2"/>
      <w:sz w:val="26"/>
      <w:szCs w:val="26"/>
    </w:rPr>
  </w:style>
  <w:style w:type="character" w:customStyle="1" w:styleId="35">
    <w:name w:val="正文文本 字符"/>
    <w:basedOn w:val="19"/>
    <w:link w:val="6"/>
    <w:semiHidden/>
    <w:qFormat/>
    <w:uiPriority w:val="99"/>
    <w:rPr>
      <w:rFonts w:ascii="Times New Roman" w:hAnsi="Times New Roman" w:eastAsia="楷体_GB2312" w:cs="Times New Roman"/>
      <w:kern w:val="2"/>
      <w:sz w:val="26"/>
      <w:szCs w:val="26"/>
    </w:rPr>
  </w:style>
  <w:style w:type="paragraph" w:customStyle="1" w:styleId="36">
    <w:name w:val="修订1"/>
    <w:hidden/>
    <w:semiHidden/>
    <w:qFormat/>
    <w:uiPriority w:val="99"/>
    <w:rPr>
      <w:rFonts w:ascii="Times New Roman" w:hAnsi="Times New Roman" w:eastAsia="楷体_GB2312" w:cs="Times New Roman"/>
      <w:kern w:val="2"/>
      <w:sz w:val="26"/>
      <w:szCs w:val="26"/>
      <w:lang w:val="en-US" w:eastAsia="zh-CN" w:bidi="ar-SA"/>
    </w:rPr>
  </w:style>
  <w:style w:type="paragraph" w:customStyle="1" w:styleId="37">
    <w:name w:val="正文1"/>
    <w:basedOn w:val="1"/>
    <w:qFormat/>
    <w:uiPriority w:val="0"/>
    <w:pPr>
      <w:spacing w:line="360" w:lineRule="auto"/>
      <w:ind w:firstLine="361"/>
    </w:pPr>
    <w:rPr>
      <w:rFonts w:ascii="宋体" w:hAnsi="宋体"/>
    </w:rPr>
  </w:style>
  <w:style w:type="paragraph" w:customStyle="1" w:styleId="38">
    <w:name w:val="标题1"/>
    <w:basedOn w:val="1"/>
    <w:next w:val="1"/>
    <w:qFormat/>
    <w:uiPriority w:val="99"/>
    <w:pPr>
      <w:tabs>
        <w:tab w:val="left" w:pos="9193"/>
        <w:tab w:val="left" w:pos="9827"/>
      </w:tabs>
      <w:autoSpaceDE w:val="0"/>
      <w:autoSpaceDN w:val="0"/>
      <w:snapToGrid w:val="0"/>
      <w:spacing w:line="700" w:lineRule="atLeast"/>
      <w:jc w:val="center"/>
    </w:pPr>
    <w:rPr>
      <w:rFonts w:eastAsia="方正小标宋_GBK"/>
      <w:kern w:val="0"/>
      <w:sz w:val="44"/>
      <w:szCs w:val="44"/>
    </w:rPr>
  </w:style>
  <w:style w:type="character" w:customStyle="1" w:styleId="39">
    <w:name w:val="font11"/>
    <w:qFormat/>
    <w:uiPriority w:val="0"/>
    <w:rPr>
      <w:rFonts w:ascii="Helvetica Neue" w:hAnsi="Helvetica Neue" w:eastAsia="Helvetica Neue" w:cs="Helvetica Neue"/>
      <w:b/>
      <w:color w:val="000000"/>
      <w:sz w:val="24"/>
      <w:szCs w:val="24"/>
      <w:u w:val="none"/>
    </w:rPr>
  </w:style>
  <w:style w:type="character" w:customStyle="1" w:styleId="40">
    <w:name w:val="font31"/>
    <w:qFormat/>
    <w:uiPriority w:val="0"/>
    <w:rPr>
      <w:rFonts w:hint="eastAsia" w:ascii="宋体" w:hAnsi="宋体" w:eastAsia="宋体" w:cs="宋体"/>
      <w:b/>
      <w:color w:val="000000"/>
      <w:sz w:val="24"/>
      <w:szCs w:val="24"/>
      <w:u w:val="none"/>
    </w:rPr>
  </w:style>
  <w:style w:type="paragraph" w:customStyle="1" w:styleId="41">
    <w:name w:val="Table Text"/>
    <w:basedOn w:val="1"/>
    <w:semiHidden/>
    <w:qFormat/>
    <w:uiPriority w:val="0"/>
    <w:rPr>
      <w:rFonts w:ascii="宋体" w:hAnsi="宋体" w:eastAsia="宋体" w:cs="宋体"/>
      <w:sz w:val="24"/>
      <w:szCs w:val="24"/>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6F5EA-8FCF-43DA-B199-8C3C4A1B9ED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17861</Words>
  <Characters>18484</Characters>
  <Lines>134</Lines>
  <Paragraphs>38</Paragraphs>
  <TotalTime>10</TotalTime>
  <ScaleCrop>false</ScaleCrop>
  <LinksUpToDate>false</LinksUpToDate>
  <CharactersWithSpaces>19015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2023-12-15T17:08:00Z</dcterms:created>
  <dc:creator>_x0002_</dc:creator>
  <cp:lastModifiedBy>曼生活</cp:lastModifiedBy>
  <dcterms:modified xsi:type="dcterms:W3CDTF">2026-01-09T08:39:26Z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6E3DA7BAAFD7417487EAF170329848F7_13</vt:lpwstr>
  </property>
  <property fmtid="{D5CDD505-2E9C-101B-9397-08002B2CF9AE}" pid="4" name="KSOTemplateDocerSaveRecord">
    <vt:lpwstr>eyJoZGlkIjoiMDMzZmM3YWZkYTAyYTNjMDA4YzNmODg2YzFmMGUxZjEiLCJ1c2VySWQiOiI1MDU4OTMyMzEifQ==</vt:lpwstr>
  </property>
</Properties>
</file>