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jc w:val="center"/>
        <w:rPr>
          <w:rFonts w:hint="eastAsia"/>
          <w:b/>
          <w:sz w:val="52"/>
          <w:szCs w:val="52"/>
        </w:rPr>
      </w:pPr>
      <w:r>
        <w:rPr>
          <w:rFonts w:hint="eastAsia"/>
          <w:b/>
          <w:sz w:val="52"/>
          <w:szCs w:val="52"/>
        </w:rPr>
        <w:t>南通市崇川区应急管理局</w:t>
      </w:r>
    </w:p>
    <w:p>
      <w:pPr>
        <w:tabs>
          <w:tab w:val="left" w:pos="6300"/>
        </w:tabs>
        <w:snapToGrid w:val="0"/>
        <w:spacing w:line="300" w:lineRule="auto"/>
        <w:jc w:val="center"/>
        <w:rPr>
          <w:b/>
          <w:sz w:val="52"/>
          <w:szCs w:val="52"/>
        </w:rPr>
      </w:pPr>
      <w:bookmarkStart w:id="9" w:name="_GoBack"/>
      <w:bookmarkEnd w:id="9"/>
      <w:r>
        <w:rPr>
          <w:rFonts w:hint="eastAsia"/>
          <w:b/>
          <w:sz w:val="52"/>
          <w:szCs w:val="52"/>
        </w:rPr>
        <w:t>远程视频会议室建设项目</w:t>
      </w:r>
    </w:p>
    <w:p>
      <w:pPr>
        <w:pStyle w:val="14"/>
      </w:pPr>
    </w:p>
    <w:p>
      <w:pPr>
        <w:pStyle w:val="14"/>
      </w:pPr>
    </w:p>
    <w:p>
      <w:pPr>
        <w:pStyle w:val="14"/>
      </w:pPr>
    </w:p>
    <w:p>
      <w:pPr>
        <w:pStyle w:val="14"/>
      </w:pPr>
    </w:p>
    <w:p>
      <w:pPr>
        <w:pStyle w:val="14"/>
      </w:pPr>
    </w:p>
    <w:p>
      <w:pPr>
        <w:pStyle w:val="14"/>
      </w:pPr>
    </w:p>
    <w:p>
      <w:pPr>
        <w:pStyle w:val="14"/>
      </w:pPr>
    </w:p>
    <w:p>
      <w:pPr>
        <w:spacing w:line="1400" w:lineRule="exact"/>
        <w:jc w:val="center"/>
        <w:rPr>
          <w:b/>
          <w:bCs/>
          <w:sz w:val="72"/>
          <w:szCs w:val="72"/>
        </w:rPr>
      </w:pPr>
      <w:r>
        <w:rPr>
          <w:b/>
          <w:bCs/>
          <w:sz w:val="72"/>
          <w:szCs w:val="72"/>
        </w:rPr>
        <w:t>采购询价文件</w:t>
      </w:r>
    </w:p>
    <w:p>
      <w:pPr>
        <w:spacing w:line="720" w:lineRule="auto"/>
        <w:jc w:val="center"/>
        <w:rPr>
          <w:b/>
          <w:bCs/>
          <w:sz w:val="44"/>
          <w:szCs w:val="44"/>
        </w:rPr>
      </w:pPr>
      <w:r>
        <w:rPr>
          <w:b/>
          <w:bCs/>
          <w:sz w:val="44"/>
          <w:szCs w:val="44"/>
        </w:rPr>
        <w:t>（资格后审）</w:t>
      </w:r>
    </w:p>
    <w:p>
      <w:pPr>
        <w:snapToGrid w:val="0"/>
        <w:spacing w:line="360" w:lineRule="auto"/>
        <w:rPr>
          <w:b/>
          <w:bCs/>
          <w:sz w:val="36"/>
          <w:szCs w:val="36"/>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ind w:left="0" w:leftChars="0" w:firstLine="0" w:firstLineChars="0"/>
      </w:pPr>
    </w:p>
    <w:p>
      <w:pPr>
        <w:adjustRightInd w:val="0"/>
        <w:snapToGrid w:val="0"/>
        <w:spacing w:line="360" w:lineRule="auto"/>
        <w:ind w:left="1807" w:hanging="1807" w:hangingChars="600"/>
        <w:rPr>
          <w:b/>
          <w:bCs/>
          <w:sz w:val="30"/>
          <w:szCs w:val="30"/>
        </w:rPr>
      </w:pPr>
      <w:r>
        <w:rPr>
          <w:b/>
          <w:bCs/>
          <w:sz w:val="30"/>
          <w:szCs w:val="30"/>
        </w:rPr>
        <w:t xml:space="preserve">          采购单位：</w:t>
      </w:r>
      <w:r>
        <w:rPr>
          <w:rFonts w:hint="eastAsia"/>
          <w:b/>
          <w:bCs/>
          <w:sz w:val="30"/>
          <w:szCs w:val="30"/>
        </w:rPr>
        <w:t>南通市崇川区应急管理局</w:t>
      </w:r>
    </w:p>
    <w:p>
      <w:pPr>
        <w:adjustRightInd w:val="0"/>
        <w:snapToGrid w:val="0"/>
        <w:spacing w:line="360" w:lineRule="auto"/>
        <w:ind w:firstLine="1506" w:firstLineChars="500"/>
        <w:rPr>
          <w:b/>
          <w:bCs/>
          <w:sz w:val="30"/>
          <w:szCs w:val="30"/>
        </w:rPr>
      </w:pPr>
      <w:r>
        <w:rPr>
          <w:b/>
          <w:bCs/>
          <w:sz w:val="30"/>
          <w:szCs w:val="30"/>
        </w:rPr>
        <w:t>代理机构：</w:t>
      </w:r>
      <w:r>
        <w:rPr>
          <w:rFonts w:hint="eastAsia"/>
          <w:b/>
          <w:bCs/>
          <w:sz w:val="30"/>
          <w:szCs w:val="30"/>
        </w:rPr>
        <w:t>南通通城建设工程项目管理有限公司</w:t>
      </w:r>
    </w:p>
    <w:p>
      <w:pPr>
        <w:adjustRightInd w:val="0"/>
        <w:snapToGrid w:val="0"/>
        <w:spacing w:line="360" w:lineRule="auto"/>
        <w:ind w:firstLine="1506" w:firstLineChars="500"/>
        <w:rPr>
          <w:b/>
          <w:bCs/>
          <w:sz w:val="30"/>
          <w:szCs w:val="30"/>
        </w:rPr>
      </w:pPr>
      <w:r>
        <w:rPr>
          <w:b/>
          <w:bCs/>
          <w:sz w:val="30"/>
          <w:szCs w:val="30"/>
        </w:rPr>
        <w:t>日    期：二〇二</w:t>
      </w:r>
      <w:r>
        <w:rPr>
          <w:rFonts w:hint="eastAsia"/>
          <w:b/>
          <w:bCs/>
          <w:sz w:val="30"/>
          <w:szCs w:val="30"/>
        </w:rPr>
        <w:t>一</w:t>
      </w:r>
      <w:r>
        <w:rPr>
          <w:b/>
          <w:bCs/>
          <w:sz w:val="30"/>
          <w:szCs w:val="30"/>
        </w:rPr>
        <w:t>年</w:t>
      </w:r>
      <w:r>
        <w:rPr>
          <w:rFonts w:hint="eastAsia"/>
          <w:b/>
          <w:bCs/>
          <w:sz w:val="30"/>
          <w:szCs w:val="30"/>
        </w:rPr>
        <w:t>十</w:t>
      </w:r>
      <w:r>
        <w:rPr>
          <w:b/>
          <w:bCs/>
          <w:sz w:val="30"/>
          <w:szCs w:val="30"/>
        </w:rPr>
        <w:t>月</w:t>
      </w:r>
      <w:r>
        <w:rPr>
          <w:rFonts w:hint="eastAsia"/>
          <w:b/>
          <w:bCs/>
          <w:sz w:val="30"/>
          <w:szCs w:val="30"/>
        </w:rPr>
        <w:t>十一</w:t>
      </w:r>
      <w:r>
        <w:rPr>
          <w:b/>
          <w:bCs/>
          <w:sz w:val="30"/>
          <w:szCs w:val="30"/>
        </w:rPr>
        <w:t>日</w:t>
      </w:r>
    </w:p>
    <w:p>
      <w:pPr>
        <w:pStyle w:val="4"/>
        <w:overflowPunct w:val="0"/>
        <w:rPr>
          <w:b/>
          <w:bCs/>
          <w:sz w:val="28"/>
          <w:szCs w:val="28"/>
        </w:rPr>
      </w:pPr>
      <w:r>
        <w:rPr>
          <w:b/>
          <w:bCs/>
          <w:sz w:val="30"/>
          <w:szCs w:val="30"/>
        </w:rPr>
        <w:br w:type="page"/>
      </w:r>
    </w:p>
    <w:p>
      <w:pPr>
        <w:pStyle w:val="4"/>
        <w:overflowPunct w:val="0"/>
        <w:jc w:val="center"/>
        <w:rPr>
          <w:b/>
          <w:bCs/>
          <w:w w:val="80"/>
          <w:kern w:val="44"/>
          <w:sz w:val="32"/>
          <w:szCs w:val="32"/>
        </w:rPr>
      </w:pPr>
      <w:r>
        <w:rPr>
          <w:b/>
          <w:bCs/>
          <w:w w:val="80"/>
          <w:kern w:val="44"/>
          <w:sz w:val="32"/>
          <w:szCs w:val="32"/>
        </w:rPr>
        <w:t>目  录</w:t>
      </w:r>
    </w:p>
    <w:p>
      <w:pPr>
        <w:pStyle w:val="3"/>
        <w:tabs>
          <w:tab w:val="right" w:leader="dot" w:pos="9528"/>
        </w:tabs>
        <w:spacing w:line="1200" w:lineRule="exact"/>
        <w:rPr>
          <w:rFonts w:eastAsia="宋体"/>
          <w:sz w:val="28"/>
          <w:szCs w:val="28"/>
        </w:rPr>
      </w:pPr>
      <w:r>
        <w:rPr>
          <w:rFonts w:eastAsia="宋体"/>
          <w:b/>
          <w:bCs/>
          <w:sz w:val="28"/>
          <w:szCs w:val="28"/>
        </w:rPr>
        <w:fldChar w:fldCharType="begin"/>
      </w:r>
      <w:r>
        <w:rPr>
          <w:rFonts w:eastAsia="宋体"/>
          <w:b/>
          <w:bCs/>
          <w:sz w:val="28"/>
          <w:szCs w:val="28"/>
        </w:rPr>
        <w:instrText xml:space="preserve"> TOC \o "1-1"</w:instrText>
      </w:r>
      <w:r>
        <w:rPr>
          <w:rFonts w:eastAsia="宋体"/>
          <w:b/>
          <w:bCs/>
          <w:sz w:val="28"/>
          <w:szCs w:val="28"/>
        </w:rPr>
        <w:fldChar w:fldCharType="separate"/>
      </w:r>
      <w:r>
        <w:rPr>
          <w:rFonts w:eastAsia="宋体"/>
          <w:sz w:val="28"/>
          <w:szCs w:val="28"/>
        </w:rPr>
        <w:t>第一章 询价公告</w:t>
      </w:r>
    </w:p>
    <w:p>
      <w:pPr>
        <w:pStyle w:val="3"/>
        <w:tabs>
          <w:tab w:val="right" w:leader="dot" w:pos="9528"/>
        </w:tabs>
        <w:spacing w:line="1200" w:lineRule="exact"/>
        <w:rPr>
          <w:rFonts w:eastAsia="宋体"/>
          <w:sz w:val="28"/>
          <w:szCs w:val="28"/>
        </w:rPr>
      </w:pPr>
      <w:r>
        <w:rPr>
          <w:rFonts w:eastAsia="宋体"/>
          <w:sz w:val="28"/>
          <w:szCs w:val="28"/>
        </w:rPr>
        <w:t>第二章 供应商须知</w:t>
      </w:r>
    </w:p>
    <w:p>
      <w:pPr>
        <w:pStyle w:val="3"/>
        <w:tabs>
          <w:tab w:val="right" w:leader="dot" w:pos="9528"/>
        </w:tabs>
        <w:spacing w:line="1200" w:lineRule="exact"/>
        <w:rPr>
          <w:rFonts w:eastAsia="宋体"/>
          <w:sz w:val="28"/>
          <w:szCs w:val="28"/>
        </w:rPr>
      </w:pPr>
      <w:r>
        <w:rPr>
          <w:rFonts w:eastAsia="宋体"/>
          <w:sz w:val="28"/>
          <w:szCs w:val="28"/>
        </w:rPr>
        <w:t>第三章 项目需求</w:t>
      </w:r>
    </w:p>
    <w:p>
      <w:pPr>
        <w:pStyle w:val="3"/>
        <w:tabs>
          <w:tab w:val="right" w:leader="dot" w:pos="9528"/>
        </w:tabs>
        <w:spacing w:line="1200" w:lineRule="exact"/>
        <w:rPr>
          <w:rFonts w:eastAsia="宋体"/>
          <w:sz w:val="28"/>
          <w:szCs w:val="28"/>
        </w:rPr>
      </w:pPr>
      <w:r>
        <w:rPr>
          <w:rFonts w:eastAsia="宋体"/>
          <w:sz w:val="28"/>
          <w:szCs w:val="28"/>
        </w:rPr>
        <w:t>第四章 合同签订与验收付款</w:t>
      </w:r>
    </w:p>
    <w:p>
      <w:pPr>
        <w:pStyle w:val="3"/>
        <w:tabs>
          <w:tab w:val="right" w:leader="dot" w:pos="9528"/>
        </w:tabs>
        <w:spacing w:line="1200" w:lineRule="exact"/>
        <w:rPr>
          <w:rFonts w:eastAsia="宋体"/>
          <w:sz w:val="28"/>
          <w:szCs w:val="28"/>
        </w:rPr>
      </w:pPr>
      <w:r>
        <w:rPr>
          <w:rFonts w:eastAsia="宋体"/>
          <w:sz w:val="28"/>
          <w:szCs w:val="28"/>
        </w:rPr>
        <w:t>第五章 质疑提出和处理</w:t>
      </w:r>
    </w:p>
    <w:p>
      <w:pPr>
        <w:pStyle w:val="3"/>
        <w:tabs>
          <w:tab w:val="right" w:leader="dot" w:pos="9528"/>
        </w:tabs>
        <w:spacing w:line="1200" w:lineRule="exact"/>
        <w:rPr>
          <w:rFonts w:eastAsia="宋体"/>
          <w:sz w:val="28"/>
          <w:szCs w:val="28"/>
        </w:rPr>
      </w:pPr>
      <w:r>
        <w:rPr>
          <w:rFonts w:eastAsia="宋体"/>
          <w:sz w:val="28"/>
          <w:szCs w:val="28"/>
        </w:rPr>
        <w:t>第六章 响应文件格式</w:t>
      </w:r>
    </w:p>
    <w:p>
      <w:pPr>
        <w:spacing w:line="1200" w:lineRule="exact"/>
        <w:rPr>
          <w:sz w:val="28"/>
          <w:szCs w:val="28"/>
        </w:rPr>
      </w:pPr>
    </w:p>
    <w:p>
      <w:pPr>
        <w:rPr>
          <w:b/>
          <w:bCs/>
          <w:sz w:val="36"/>
          <w:szCs w:val="36"/>
        </w:rPr>
      </w:pPr>
      <w:r>
        <w:rPr>
          <w:b/>
          <w:bCs/>
          <w:sz w:val="28"/>
          <w:szCs w:val="28"/>
        </w:rPr>
        <w:fldChar w:fldCharType="end"/>
      </w:r>
    </w:p>
    <w:p>
      <w:pPr>
        <w:pStyle w:val="2"/>
        <w:keepNext w:val="0"/>
        <w:keepLines w:val="0"/>
        <w:adjustRightInd w:val="0"/>
        <w:snapToGrid w:val="0"/>
        <w:spacing w:before="0" w:after="0" w:line="360" w:lineRule="auto"/>
        <w:jc w:val="center"/>
        <w:textAlignment w:val="baseline"/>
        <w:rPr>
          <w:rFonts w:eastAsia="宋体"/>
          <w:w w:val="80"/>
          <w:sz w:val="32"/>
          <w:szCs w:val="32"/>
        </w:rPr>
      </w:pPr>
      <w:r>
        <w:rPr>
          <w:rFonts w:eastAsia="宋体"/>
          <w:w w:val="80"/>
          <w:sz w:val="32"/>
          <w:szCs w:val="32"/>
        </w:rPr>
        <w:br w:type="page"/>
      </w:r>
    </w:p>
    <w:p>
      <w:pPr>
        <w:snapToGrid w:val="0"/>
        <w:spacing w:line="420" w:lineRule="atLeas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尊敬的询价响应供应商：</w:t>
      </w:r>
    </w:p>
    <w:p>
      <w:pPr>
        <w:snapToGrid w:val="0"/>
        <w:spacing w:line="420" w:lineRule="atLeast"/>
        <w:ind w:firstLine="482" w:firstLineChars="200"/>
        <w:rPr>
          <w:b/>
          <w:bCs/>
          <w:w w:val="80"/>
          <w:sz w:val="24"/>
          <w:szCs w:val="24"/>
        </w:rPr>
      </w:pPr>
      <w:r>
        <w:rPr>
          <w:rFonts w:hint="eastAsia" w:asciiTheme="minorEastAsia" w:hAnsiTheme="minorEastAsia" w:eastAsiaTheme="minorEastAsia" w:cstheme="minorEastAsia"/>
          <w:b/>
          <w:bCs/>
          <w:sz w:val="24"/>
          <w:szCs w:val="24"/>
        </w:rPr>
        <w:t>欢迎参加本采购项目的询价。为了保证本次项目询价顺利进行，请在制作询价响应文件之前，仔细阅读本询价文件的各项条款，并按要求制作和递交询价响应文件。谢谢合作！</w:t>
      </w:r>
    </w:p>
    <w:p>
      <w:pPr>
        <w:pStyle w:val="2"/>
        <w:keepNext w:val="0"/>
        <w:keepLines w:val="0"/>
        <w:adjustRightInd w:val="0"/>
        <w:snapToGrid w:val="0"/>
        <w:spacing w:before="0" w:after="0" w:line="360" w:lineRule="auto"/>
        <w:jc w:val="center"/>
        <w:textAlignment w:val="baseline"/>
        <w:rPr>
          <w:rFonts w:eastAsia="宋体"/>
          <w:w w:val="80"/>
          <w:sz w:val="32"/>
          <w:szCs w:val="32"/>
        </w:rPr>
      </w:pPr>
    </w:p>
    <w:p>
      <w:pPr>
        <w:pStyle w:val="2"/>
        <w:keepNext w:val="0"/>
        <w:keepLines w:val="0"/>
        <w:adjustRightInd w:val="0"/>
        <w:snapToGrid w:val="0"/>
        <w:spacing w:before="0" w:after="0" w:line="360" w:lineRule="auto"/>
        <w:jc w:val="center"/>
        <w:textAlignment w:val="baseline"/>
        <w:rPr>
          <w:rFonts w:eastAsia="宋体"/>
          <w:w w:val="80"/>
          <w:sz w:val="32"/>
          <w:szCs w:val="32"/>
        </w:rPr>
      </w:pPr>
      <w:r>
        <w:rPr>
          <w:rFonts w:eastAsia="宋体"/>
          <w:w w:val="80"/>
          <w:sz w:val="32"/>
          <w:szCs w:val="32"/>
        </w:rPr>
        <w:t>第一章  询价公告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Pr>
          <w:p>
            <w:pPr>
              <w:snapToGrid w:val="0"/>
              <w:spacing w:line="440" w:lineRule="exact"/>
              <w:rPr>
                <w:rFonts w:ascii="宋体" w:hAnsi="宋体"/>
                <w:b/>
                <w:sz w:val="24"/>
                <w:szCs w:val="24"/>
              </w:rPr>
            </w:pPr>
            <w:bookmarkStart w:id="0" w:name="_Hlk12355071"/>
            <w:r>
              <w:rPr>
                <w:rFonts w:hint="eastAsia" w:ascii="宋体" w:hAnsi="宋体"/>
                <w:b/>
                <w:sz w:val="24"/>
                <w:szCs w:val="24"/>
              </w:rPr>
              <w:t>项目概况</w:t>
            </w:r>
          </w:p>
          <w:p>
            <w:pPr>
              <w:snapToGrid w:val="0"/>
              <w:spacing w:line="440" w:lineRule="exact"/>
              <w:ind w:firstLine="482" w:firstLineChars="200"/>
              <w:rPr>
                <w:rFonts w:ascii="宋体" w:hAnsi="宋体"/>
                <w:sz w:val="24"/>
                <w:szCs w:val="24"/>
              </w:rPr>
            </w:pPr>
            <w:r>
              <w:rPr>
                <w:rFonts w:hint="eastAsia" w:ascii="宋体" w:hAnsi="宋体"/>
                <w:b/>
                <w:sz w:val="24"/>
                <w:szCs w:val="24"/>
                <w:u w:val="single"/>
              </w:rPr>
              <w:t>南通市崇川区应急管理局远程视频会议室建设项目</w:t>
            </w:r>
            <w:r>
              <w:rPr>
                <w:rFonts w:hint="eastAsia" w:ascii="宋体" w:hAnsi="宋体"/>
                <w:sz w:val="24"/>
                <w:szCs w:val="24"/>
              </w:rPr>
              <w:t>的潜在供应商登陆</w:t>
            </w:r>
            <w:r>
              <w:rPr>
                <w:sz w:val="24"/>
                <w:szCs w:val="24"/>
              </w:rPr>
              <w:t>南通市崇川区人民政府(</w:t>
            </w:r>
            <w:r>
              <w:fldChar w:fldCharType="begin"/>
            </w:r>
            <w:r>
              <w:instrText xml:space="preserve"> HYPERLINK "http://www.chongchuan.gov.cn/" </w:instrText>
            </w:r>
            <w:r>
              <w:fldChar w:fldCharType="separate"/>
            </w:r>
            <w:r>
              <w:rPr>
                <w:sz w:val="24"/>
                <w:szCs w:val="24"/>
              </w:rPr>
              <w:t>www.chongchuan.gov.cn</w:t>
            </w:r>
            <w:r>
              <w:rPr>
                <w:sz w:val="24"/>
                <w:szCs w:val="24"/>
              </w:rPr>
              <w:fldChar w:fldCharType="end"/>
            </w:r>
            <w:r>
              <w:rPr>
                <w:sz w:val="24"/>
                <w:szCs w:val="24"/>
              </w:rPr>
              <w:t>)</w:t>
            </w:r>
            <w:r>
              <w:rPr>
                <w:rFonts w:hint="eastAsia" w:ascii="宋体" w:hAnsi="宋体"/>
                <w:sz w:val="24"/>
                <w:szCs w:val="24"/>
              </w:rPr>
              <w:t>，在网站</w:t>
            </w:r>
            <w:r>
              <w:rPr>
                <w:sz w:val="24"/>
                <w:szCs w:val="24"/>
              </w:rPr>
              <w:t>公告公示栏</w:t>
            </w:r>
            <w:r>
              <w:rPr>
                <w:rFonts w:hint="eastAsia" w:ascii="宋体" w:hAnsi="宋体"/>
                <w:sz w:val="24"/>
                <w:szCs w:val="24"/>
              </w:rPr>
              <w:t>点击下载招标文件，并于</w:t>
            </w:r>
            <w:r>
              <w:rPr>
                <w:rFonts w:hint="eastAsia" w:ascii="宋体" w:hAnsi="宋体"/>
                <w:b/>
                <w:sz w:val="24"/>
                <w:szCs w:val="24"/>
                <w:u w:val="single"/>
              </w:rPr>
              <w:t>2021年10月15日14点30分</w:t>
            </w:r>
            <w:r>
              <w:rPr>
                <w:rFonts w:hint="eastAsia" w:ascii="宋体" w:hAnsi="宋体"/>
                <w:sz w:val="24"/>
                <w:szCs w:val="24"/>
              </w:rPr>
              <w:t>（北京时间）前提交响应文件。</w:t>
            </w:r>
          </w:p>
        </w:tc>
      </w:tr>
    </w:tbl>
    <w:p>
      <w:pPr>
        <w:snapToGrid w:val="0"/>
        <w:spacing w:line="440" w:lineRule="exact"/>
        <w:ind w:firstLine="555"/>
        <w:rPr>
          <w:rFonts w:ascii="宋体" w:hAnsi="宋体"/>
          <w:b/>
          <w:sz w:val="24"/>
          <w:szCs w:val="24"/>
        </w:rPr>
      </w:pPr>
    </w:p>
    <w:p>
      <w:pPr>
        <w:snapToGrid w:val="0"/>
        <w:spacing w:line="440" w:lineRule="exact"/>
        <w:ind w:firstLine="482" w:firstLineChars="200"/>
        <w:rPr>
          <w:rFonts w:ascii="宋体" w:hAnsi="宋体"/>
          <w:b/>
          <w:sz w:val="24"/>
          <w:szCs w:val="24"/>
        </w:rPr>
      </w:pPr>
      <w:r>
        <w:rPr>
          <w:rFonts w:hint="eastAsia" w:ascii="宋体" w:hAnsi="宋体"/>
          <w:b/>
          <w:sz w:val="24"/>
          <w:szCs w:val="24"/>
        </w:rPr>
        <w:t>一、项目基本情况</w:t>
      </w:r>
    </w:p>
    <w:p>
      <w:pPr>
        <w:snapToGrid w:val="0"/>
        <w:spacing w:line="440" w:lineRule="exact"/>
        <w:ind w:firstLine="480" w:firstLineChars="200"/>
        <w:rPr>
          <w:rFonts w:ascii="宋体" w:hAnsi="宋体"/>
          <w:sz w:val="24"/>
          <w:szCs w:val="24"/>
        </w:rPr>
      </w:pPr>
      <w:r>
        <w:rPr>
          <w:rFonts w:hint="eastAsia" w:ascii="宋体" w:hAnsi="宋体"/>
          <w:sz w:val="24"/>
          <w:szCs w:val="24"/>
        </w:rPr>
        <w:t>项目名称：南通市崇川区应急管理局远程视频会议室建设项目</w:t>
      </w:r>
    </w:p>
    <w:p>
      <w:pPr>
        <w:snapToGrid w:val="0"/>
        <w:spacing w:line="440" w:lineRule="exact"/>
        <w:ind w:firstLine="480" w:firstLineChars="200"/>
        <w:rPr>
          <w:rFonts w:ascii="宋体" w:hAnsi="宋体"/>
          <w:sz w:val="24"/>
          <w:szCs w:val="24"/>
        </w:rPr>
      </w:pPr>
      <w:r>
        <w:rPr>
          <w:rFonts w:hint="eastAsia" w:ascii="宋体" w:hAnsi="宋体"/>
          <w:sz w:val="24"/>
          <w:szCs w:val="24"/>
        </w:rPr>
        <w:t>预算金额：人民币壹拾玖万玖仟玖佰伍拾元整（￥19.995万元）</w:t>
      </w:r>
    </w:p>
    <w:p>
      <w:pPr>
        <w:snapToGrid w:val="0"/>
        <w:spacing w:line="440" w:lineRule="exact"/>
        <w:ind w:firstLine="480" w:firstLineChars="200"/>
        <w:rPr>
          <w:rFonts w:ascii="宋体" w:hAnsi="宋体"/>
          <w:sz w:val="24"/>
          <w:szCs w:val="24"/>
        </w:rPr>
      </w:pPr>
      <w:r>
        <w:rPr>
          <w:rFonts w:hint="eastAsia" w:ascii="宋体" w:hAnsi="宋体"/>
          <w:sz w:val="24"/>
          <w:szCs w:val="24"/>
        </w:rPr>
        <w:t>项目需求：详见采购文件，请仔细研究</w:t>
      </w:r>
    </w:p>
    <w:p>
      <w:pPr>
        <w:snapToGrid w:val="0"/>
        <w:spacing w:line="440" w:lineRule="exact"/>
        <w:ind w:firstLine="480" w:firstLineChars="200"/>
        <w:rPr>
          <w:rFonts w:ascii="宋体" w:hAnsi="宋体"/>
          <w:sz w:val="24"/>
          <w:szCs w:val="24"/>
        </w:rPr>
      </w:pPr>
      <w:r>
        <w:rPr>
          <w:rFonts w:hint="eastAsia" w:ascii="宋体" w:hAnsi="宋体"/>
          <w:sz w:val="24"/>
          <w:szCs w:val="24"/>
        </w:rPr>
        <w:t>本项目不接受联合体。</w:t>
      </w:r>
    </w:p>
    <w:p>
      <w:pPr>
        <w:snapToGrid w:val="0"/>
        <w:spacing w:line="440" w:lineRule="exact"/>
        <w:ind w:firstLine="482" w:firstLineChars="200"/>
        <w:rPr>
          <w:rFonts w:ascii="宋体" w:hAnsi="宋体"/>
          <w:b/>
          <w:sz w:val="24"/>
          <w:szCs w:val="24"/>
        </w:rPr>
      </w:pPr>
      <w:r>
        <w:rPr>
          <w:rFonts w:hint="eastAsia" w:ascii="宋体" w:hAnsi="宋体"/>
          <w:b/>
          <w:sz w:val="24"/>
          <w:szCs w:val="24"/>
        </w:rPr>
        <w:t>二、询价供应商的资格要求：</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40" w:lineRule="exact"/>
        <w:ind w:firstLine="480" w:firstLineChars="200"/>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法定代表人为同一个人的两个及两个以上法人，母公司、全资子公司及其控股公司，都不得在同一采购项目相同标段中同时参加询价，一经发现，将视同围标处理。</w:t>
      </w:r>
    </w:p>
    <w:p>
      <w:pPr>
        <w:snapToGrid w:val="0"/>
        <w:spacing w:line="440" w:lineRule="exact"/>
        <w:ind w:firstLine="480" w:firstLineChars="200"/>
        <w:jc w:val="left"/>
        <w:rPr>
          <w:sz w:val="24"/>
          <w:szCs w:val="24"/>
        </w:rPr>
      </w:pPr>
      <w:r>
        <w:rPr>
          <w:sz w:val="24"/>
          <w:szCs w:val="24"/>
        </w:rPr>
        <w:t>3</w:t>
      </w:r>
      <w:r>
        <w:rPr>
          <w:rFonts w:hint="eastAsia"/>
          <w:sz w:val="24"/>
          <w:szCs w:val="24"/>
        </w:rPr>
        <w:t>.</w:t>
      </w:r>
      <w:r>
        <w:rPr>
          <w:sz w:val="24"/>
          <w:szCs w:val="24"/>
        </w:rPr>
        <w:t>供应商</w:t>
      </w:r>
      <w:r>
        <w:rPr>
          <w:rFonts w:hint="eastAsia"/>
          <w:sz w:val="24"/>
          <w:szCs w:val="24"/>
        </w:rPr>
        <w:t>必须</w:t>
      </w:r>
      <w:r>
        <w:rPr>
          <w:sz w:val="24"/>
          <w:szCs w:val="24"/>
        </w:rPr>
        <w:t>具有</w:t>
      </w:r>
      <w:r>
        <w:rPr>
          <w:rFonts w:hint="eastAsia"/>
          <w:sz w:val="24"/>
          <w:szCs w:val="24"/>
        </w:rPr>
        <w:t>有效的营业执照</w:t>
      </w:r>
      <w:r>
        <w:rPr>
          <w:sz w:val="24"/>
          <w:szCs w:val="24"/>
        </w:rPr>
        <w:t>。</w:t>
      </w:r>
    </w:p>
    <w:p>
      <w:pPr>
        <w:snapToGrid w:val="0"/>
        <w:spacing w:line="440" w:lineRule="exact"/>
        <w:ind w:firstLine="480" w:firstLineChars="200"/>
        <w:jc w:val="left"/>
        <w:rPr>
          <w:sz w:val="24"/>
          <w:szCs w:val="24"/>
        </w:rPr>
      </w:pPr>
      <w:r>
        <w:rPr>
          <w:rFonts w:hint="eastAsia"/>
          <w:sz w:val="24"/>
          <w:szCs w:val="24"/>
        </w:rPr>
        <w:t>4.</w:t>
      </w:r>
      <w:r>
        <w:rPr>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被授权人为供应商正式人员证明材料【提供①与供应商签订的有效劳动合同复印件；②社保机构出具并盖章的供应商为其缴纳202</w:t>
      </w:r>
      <w:r>
        <w:rPr>
          <w:rFonts w:hint="eastAsia"/>
          <w:sz w:val="24"/>
          <w:szCs w:val="24"/>
        </w:rPr>
        <w:t>1</w:t>
      </w:r>
      <w:r>
        <w:rPr>
          <w:sz w:val="24"/>
          <w:szCs w:val="24"/>
        </w:rPr>
        <w:t>年</w:t>
      </w:r>
      <w:r>
        <w:rPr>
          <w:rFonts w:hint="eastAsia"/>
          <w:sz w:val="24"/>
          <w:szCs w:val="24"/>
        </w:rPr>
        <w:t>3</w:t>
      </w:r>
      <w:r>
        <w:rPr>
          <w:sz w:val="24"/>
          <w:szCs w:val="24"/>
        </w:rPr>
        <w:t>月-202</w:t>
      </w:r>
      <w:r>
        <w:rPr>
          <w:rFonts w:hint="eastAsia"/>
          <w:sz w:val="24"/>
          <w:szCs w:val="24"/>
        </w:rPr>
        <w:t>1</w:t>
      </w:r>
      <w:r>
        <w:rPr>
          <w:sz w:val="24"/>
          <w:szCs w:val="24"/>
        </w:rPr>
        <w:t>年</w:t>
      </w:r>
      <w:r>
        <w:rPr>
          <w:rFonts w:hint="eastAsia"/>
          <w:sz w:val="24"/>
          <w:szCs w:val="24"/>
        </w:rPr>
        <w:t>8</w:t>
      </w:r>
      <w:r>
        <w:rPr>
          <w:sz w:val="24"/>
          <w:szCs w:val="24"/>
        </w:rPr>
        <w:t>月连续六个月的养老保险缴费清单复印件】（格式参见第六章）。</w:t>
      </w:r>
    </w:p>
    <w:p>
      <w:pPr>
        <w:snapToGrid w:val="0"/>
        <w:spacing w:line="440" w:lineRule="exact"/>
        <w:ind w:firstLine="480" w:firstLineChars="200"/>
        <w:jc w:val="left"/>
        <w:rPr>
          <w:sz w:val="24"/>
          <w:szCs w:val="24"/>
        </w:rPr>
      </w:pPr>
      <w:r>
        <w:rPr>
          <w:rFonts w:hint="eastAsia"/>
          <w:sz w:val="24"/>
          <w:szCs w:val="24"/>
        </w:rPr>
        <w:t>5.</w:t>
      </w:r>
      <w:r>
        <w:rPr>
          <w:sz w:val="24"/>
          <w:szCs w:val="24"/>
        </w:rPr>
        <w:t>供应商须提供参与本次项目采购活动前三年内，在经营活动中没有重大违法记录的《无重大违法记录声明函》（格式参见第六章）。</w:t>
      </w:r>
    </w:p>
    <w:p>
      <w:pPr>
        <w:snapToGrid w:val="0"/>
        <w:spacing w:line="440" w:lineRule="exact"/>
        <w:ind w:firstLine="480" w:firstLineChars="200"/>
        <w:jc w:val="left"/>
        <w:rPr>
          <w:sz w:val="24"/>
          <w:szCs w:val="24"/>
        </w:rPr>
      </w:pPr>
      <w:r>
        <w:rPr>
          <w:rFonts w:hint="eastAsia"/>
          <w:sz w:val="24"/>
          <w:szCs w:val="24"/>
        </w:rPr>
        <w:t>6.</w:t>
      </w:r>
      <w:r>
        <w:rPr>
          <w:sz w:val="24"/>
          <w:szCs w:val="24"/>
        </w:rPr>
        <w:t>关于资格文件的声明函（格式参见第六章）。</w:t>
      </w:r>
    </w:p>
    <w:p>
      <w:pPr>
        <w:snapToGrid w:val="0"/>
        <w:spacing w:line="440" w:lineRule="exact"/>
        <w:ind w:firstLine="480" w:firstLineChars="200"/>
        <w:jc w:val="left"/>
        <w:rPr>
          <w:sz w:val="24"/>
          <w:szCs w:val="24"/>
        </w:rPr>
      </w:pPr>
      <w:r>
        <w:rPr>
          <w:rFonts w:hint="eastAsia"/>
          <w:sz w:val="24"/>
          <w:szCs w:val="24"/>
        </w:rPr>
        <w:t>7.</w:t>
      </w:r>
      <w:r>
        <w:rPr>
          <w:sz w:val="24"/>
          <w:szCs w:val="24"/>
        </w:rPr>
        <w:t>本项目不接受任何形式的联合体询价。</w:t>
      </w:r>
    </w:p>
    <w:p>
      <w:pPr>
        <w:snapToGrid w:val="0"/>
        <w:spacing w:line="440" w:lineRule="exact"/>
        <w:ind w:firstLine="482" w:firstLineChars="200"/>
        <w:rPr>
          <w:rFonts w:ascii="宋体" w:hAnsi="宋体"/>
          <w:b/>
          <w:sz w:val="24"/>
          <w:szCs w:val="24"/>
        </w:rPr>
      </w:pPr>
      <w:r>
        <w:rPr>
          <w:rFonts w:hint="eastAsia" w:ascii="宋体" w:hAnsi="宋体"/>
          <w:b/>
          <w:sz w:val="24"/>
          <w:szCs w:val="24"/>
        </w:rPr>
        <w:t>三、获取采购文件</w:t>
      </w:r>
    </w:p>
    <w:p>
      <w:pPr>
        <w:snapToGrid w:val="0"/>
        <w:spacing w:line="440" w:lineRule="exact"/>
        <w:ind w:firstLine="480" w:firstLineChars="200"/>
        <w:rPr>
          <w:rFonts w:ascii="宋体" w:hAnsi="宋体"/>
          <w:kern w:val="0"/>
          <w:sz w:val="24"/>
          <w:szCs w:val="24"/>
        </w:rPr>
      </w:pPr>
      <w:r>
        <w:rPr>
          <w:rFonts w:ascii="宋体" w:hAnsi="宋体"/>
          <w:kern w:val="0"/>
          <w:sz w:val="24"/>
          <w:szCs w:val="24"/>
        </w:rPr>
        <w:t>1</w:t>
      </w:r>
      <w:r>
        <w:rPr>
          <w:rFonts w:hint="eastAsia" w:ascii="宋体" w:hAnsi="宋体"/>
          <w:kern w:val="0"/>
          <w:sz w:val="24"/>
          <w:szCs w:val="24"/>
        </w:rPr>
        <w:t>、获取时间：自本询价公告发布之日起至</w:t>
      </w:r>
      <w:r>
        <w:rPr>
          <w:rFonts w:ascii="宋体" w:hAnsi="宋体"/>
          <w:kern w:val="0"/>
          <w:sz w:val="24"/>
          <w:szCs w:val="24"/>
        </w:rPr>
        <w:t>2021年</w:t>
      </w:r>
      <w:r>
        <w:rPr>
          <w:rFonts w:hint="eastAsia" w:ascii="宋体" w:hAnsi="宋体"/>
          <w:kern w:val="0"/>
          <w:sz w:val="24"/>
          <w:szCs w:val="24"/>
        </w:rPr>
        <w:t>10</w:t>
      </w:r>
      <w:r>
        <w:rPr>
          <w:rFonts w:ascii="宋体" w:hAnsi="宋体"/>
          <w:kern w:val="0"/>
          <w:sz w:val="24"/>
          <w:szCs w:val="24"/>
        </w:rPr>
        <w:t>月</w:t>
      </w:r>
      <w:r>
        <w:rPr>
          <w:rFonts w:hint="eastAsia" w:ascii="宋体" w:hAnsi="宋体"/>
          <w:kern w:val="0"/>
          <w:sz w:val="24"/>
          <w:szCs w:val="24"/>
        </w:rPr>
        <w:t>15</w:t>
      </w:r>
      <w:r>
        <w:rPr>
          <w:rFonts w:ascii="宋体" w:hAnsi="宋体"/>
          <w:kern w:val="0"/>
          <w:sz w:val="24"/>
          <w:szCs w:val="24"/>
        </w:rPr>
        <w:t>日</w:t>
      </w:r>
      <w:r>
        <w:rPr>
          <w:rFonts w:hint="eastAsia" w:ascii="宋体" w:hAnsi="宋体"/>
          <w:kern w:val="0"/>
          <w:sz w:val="24"/>
          <w:szCs w:val="24"/>
        </w:rPr>
        <w:t>14</w:t>
      </w:r>
      <w:r>
        <w:rPr>
          <w:rFonts w:ascii="宋体" w:hAnsi="宋体"/>
          <w:kern w:val="0"/>
          <w:sz w:val="24"/>
          <w:szCs w:val="24"/>
        </w:rPr>
        <w:t>时</w:t>
      </w:r>
      <w:r>
        <w:rPr>
          <w:rFonts w:hint="eastAsia" w:ascii="宋体" w:hAnsi="宋体"/>
          <w:kern w:val="0"/>
          <w:sz w:val="24"/>
          <w:szCs w:val="24"/>
        </w:rPr>
        <w:t>30</w:t>
      </w:r>
      <w:r>
        <w:rPr>
          <w:rFonts w:ascii="宋体" w:hAnsi="宋体"/>
          <w:kern w:val="0"/>
          <w:sz w:val="24"/>
          <w:szCs w:val="24"/>
        </w:rPr>
        <w:t>分</w:t>
      </w:r>
      <w:r>
        <w:rPr>
          <w:rFonts w:hint="eastAsia" w:ascii="宋体" w:hAnsi="宋体"/>
          <w:kern w:val="0"/>
          <w:sz w:val="24"/>
          <w:szCs w:val="24"/>
        </w:rPr>
        <w:t>。</w:t>
      </w:r>
    </w:p>
    <w:p>
      <w:pPr>
        <w:snapToGrid w:val="0"/>
        <w:spacing w:line="440" w:lineRule="exact"/>
        <w:ind w:firstLine="480" w:firstLineChars="200"/>
        <w:rPr>
          <w:rFonts w:ascii="宋体" w:hAnsi="宋体"/>
          <w:kern w:val="0"/>
          <w:sz w:val="24"/>
          <w:szCs w:val="24"/>
        </w:rPr>
      </w:pPr>
      <w:r>
        <w:rPr>
          <w:rFonts w:ascii="宋体" w:hAnsi="宋体"/>
          <w:kern w:val="0"/>
          <w:sz w:val="24"/>
          <w:szCs w:val="24"/>
        </w:rPr>
        <w:t>2</w:t>
      </w:r>
      <w:r>
        <w:rPr>
          <w:rFonts w:hint="eastAsia" w:ascii="宋体" w:hAnsi="宋体"/>
          <w:kern w:val="0"/>
          <w:sz w:val="24"/>
          <w:szCs w:val="24"/>
        </w:rPr>
        <w:t>、获取方式：凡有意参与本次采购投标的，请于投标文件递交截止时间前直接通过本公告附件自行下载询价文件、答疑等资料。</w:t>
      </w:r>
    </w:p>
    <w:bookmarkEnd w:id="0"/>
    <w:p>
      <w:pPr>
        <w:snapToGrid w:val="0"/>
        <w:spacing w:line="440" w:lineRule="exact"/>
        <w:ind w:firstLine="482" w:firstLineChars="200"/>
        <w:rPr>
          <w:rFonts w:ascii="宋体" w:hAnsi="宋体"/>
          <w:b/>
          <w:sz w:val="24"/>
          <w:szCs w:val="24"/>
        </w:rPr>
      </w:pPr>
      <w:r>
        <w:rPr>
          <w:rFonts w:hint="eastAsia" w:ascii="宋体" w:hAnsi="宋体"/>
          <w:b/>
          <w:sz w:val="24"/>
          <w:szCs w:val="24"/>
        </w:rPr>
        <w:t>四、响应文件提交</w:t>
      </w:r>
    </w:p>
    <w:p>
      <w:pPr>
        <w:spacing w:line="44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递交响应文件截止时间</w:t>
      </w:r>
      <w:r>
        <w:rPr>
          <w:rFonts w:hint="eastAsia" w:ascii="宋体" w:hAnsi="宋体"/>
          <w:kern w:val="0"/>
          <w:sz w:val="24"/>
          <w:szCs w:val="24"/>
        </w:rPr>
        <w:t>及开标时间</w:t>
      </w:r>
      <w:r>
        <w:rPr>
          <w:rFonts w:ascii="宋体" w:hAnsi="宋体"/>
          <w:kern w:val="0"/>
          <w:sz w:val="24"/>
          <w:szCs w:val="24"/>
        </w:rPr>
        <w:t>为</w:t>
      </w:r>
      <w:r>
        <w:rPr>
          <w:rFonts w:ascii="宋体" w:hAnsi="宋体"/>
          <w:b/>
          <w:kern w:val="0"/>
          <w:sz w:val="24"/>
          <w:szCs w:val="24"/>
          <w:u w:val="single"/>
        </w:rPr>
        <w:t xml:space="preserve"> 2021年</w:t>
      </w:r>
      <w:r>
        <w:rPr>
          <w:rFonts w:hint="eastAsia" w:ascii="宋体" w:hAnsi="宋体"/>
          <w:b/>
          <w:kern w:val="0"/>
          <w:sz w:val="24"/>
          <w:szCs w:val="24"/>
          <w:u w:val="single"/>
        </w:rPr>
        <w:t>10</w:t>
      </w:r>
      <w:r>
        <w:rPr>
          <w:rFonts w:ascii="宋体" w:hAnsi="宋体"/>
          <w:b/>
          <w:kern w:val="0"/>
          <w:sz w:val="24"/>
          <w:szCs w:val="24"/>
          <w:u w:val="single"/>
        </w:rPr>
        <w:t>月</w:t>
      </w:r>
      <w:r>
        <w:rPr>
          <w:rFonts w:hint="eastAsia" w:ascii="宋体" w:hAnsi="宋体"/>
          <w:b/>
          <w:kern w:val="0"/>
          <w:sz w:val="24"/>
          <w:szCs w:val="24"/>
          <w:u w:val="single"/>
        </w:rPr>
        <w:t>15</w:t>
      </w:r>
      <w:r>
        <w:rPr>
          <w:rFonts w:ascii="宋体" w:hAnsi="宋体"/>
          <w:b/>
          <w:kern w:val="0"/>
          <w:sz w:val="24"/>
          <w:szCs w:val="24"/>
          <w:u w:val="single"/>
        </w:rPr>
        <w:t>日</w:t>
      </w:r>
      <w:r>
        <w:rPr>
          <w:rFonts w:hint="eastAsia" w:ascii="宋体" w:hAnsi="宋体"/>
          <w:b/>
          <w:kern w:val="0"/>
          <w:sz w:val="24"/>
          <w:szCs w:val="24"/>
          <w:u w:val="single"/>
        </w:rPr>
        <w:t xml:space="preserve">14 </w:t>
      </w:r>
      <w:r>
        <w:rPr>
          <w:rFonts w:ascii="宋体" w:hAnsi="宋体"/>
          <w:b/>
          <w:kern w:val="0"/>
          <w:sz w:val="24"/>
          <w:szCs w:val="24"/>
          <w:u w:val="single"/>
        </w:rPr>
        <w:t>时</w:t>
      </w:r>
      <w:r>
        <w:rPr>
          <w:rFonts w:hint="eastAsia" w:ascii="宋体" w:hAnsi="宋体"/>
          <w:b/>
          <w:kern w:val="0"/>
          <w:sz w:val="24"/>
          <w:szCs w:val="24"/>
          <w:u w:val="single"/>
        </w:rPr>
        <w:t>30</w:t>
      </w:r>
      <w:r>
        <w:rPr>
          <w:rFonts w:ascii="宋体" w:hAnsi="宋体"/>
          <w:b/>
          <w:kern w:val="0"/>
          <w:sz w:val="24"/>
          <w:szCs w:val="24"/>
          <w:u w:val="single"/>
        </w:rPr>
        <w:t>分</w:t>
      </w:r>
      <w:r>
        <w:rPr>
          <w:rFonts w:ascii="宋体" w:hAnsi="宋体"/>
          <w:kern w:val="0"/>
          <w:sz w:val="24"/>
          <w:szCs w:val="24"/>
        </w:rPr>
        <w:t>，地点为</w:t>
      </w:r>
      <w:r>
        <w:rPr>
          <w:rFonts w:hint="eastAsia"/>
          <w:sz w:val="24"/>
          <w:szCs w:val="24"/>
        </w:rPr>
        <w:t>：</w:t>
      </w:r>
      <w:r>
        <w:rPr>
          <w:rFonts w:hint="eastAsia" w:ascii="宋体" w:hAnsi="宋体"/>
          <w:b/>
          <w:kern w:val="0"/>
          <w:sz w:val="24"/>
          <w:szCs w:val="24"/>
          <w:u w:val="single"/>
        </w:rPr>
        <w:t>南通市城港路56号（原南通市港闸公证处）413会议室，如有变动另行通知</w:t>
      </w:r>
      <w:r>
        <w:rPr>
          <w:rFonts w:hint="eastAsia" w:ascii="宋体" w:hAnsi="宋体"/>
          <w:kern w:val="0"/>
          <w:sz w:val="24"/>
          <w:szCs w:val="24"/>
        </w:rPr>
        <w:t>。</w:t>
      </w:r>
    </w:p>
    <w:p>
      <w:pPr>
        <w:widowControl/>
        <w:spacing w:line="440" w:lineRule="exact"/>
        <w:ind w:firstLine="480" w:firstLineChars="200"/>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逾期送达或者未送达指定地点的响应文件，采购单位不予受理。</w:t>
      </w:r>
    </w:p>
    <w:p>
      <w:pPr>
        <w:snapToGrid w:val="0"/>
        <w:spacing w:line="440" w:lineRule="exact"/>
        <w:ind w:firstLine="482" w:firstLineChars="200"/>
        <w:rPr>
          <w:rFonts w:ascii="宋体" w:hAnsi="宋体"/>
          <w:b/>
          <w:sz w:val="24"/>
          <w:szCs w:val="24"/>
        </w:rPr>
      </w:pPr>
      <w:r>
        <w:rPr>
          <w:rFonts w:hint="eastAsia" w:ascii="宋体" w:hAnsi="宋体"/>
          <w:b/>
          <w:sz w:val="24"/>
          <w:szCs w:val="24"/>
        </w:rPr>
        <w:t>五、开启</w:t>
      </w:r>
    </w:p>
    <w:p>
      <w:pPr>
        <w:snapToGrid w:val="0"/>
        <w:spacing w:line="440" w:lineRule="exact"/>
        <w:ind w:firstLine="480" w:firstLineChars="200"/>
        <w:rPr>
          <w:rFonts w:ascii="宋体" w:hAnsi="宋体"/>
          <w:sz w:val="24"/>
          <w:szCs w:val="24"/>
        </w:rPr>
      </w:pPr>
      <w:r>
        <w:rPr>
          <w:rFonts w:hint="eastAsia" w:ascii="宋体" w:hAnsi="宋体"/>
          <w:sz w:val="24"/>
          <w:szCs w:val="24"/>
        </w:rPr>
        <w:t>时间：2021年10月15日14点30分（北京时间）</w:t>
      </w:r>
    </w:p>
    <w:p>
      <w:pPr>
        <w:snapToGrid w:val="0"/>
        <w:spacing w:line="440" w:lineRule="exact"/>
        <w:ind w:firstLine="480" w:firstLineChars="200"/>
        <w:rPr>
          <w:rFonts w:ascii="宋体" w:hAnsi="宋体"/>
          <w:sz w:val="24"/>
          <w:szCs w:val="24"/>
        </w:rPr>
      </w:pPr>
      <w:r>
        <w:rPr>
          <w:rFonts w:hint="eastAsia" w:ascii="宋体" w:hAnsi="宋体"/>
          <w:sz w:val="24"/>
          <w:szCs w:val="24"/>
        </w:rPr>
        <w:t>地点：南通市城港路56号（原南通市港闸公证处）413会议室，如有变动另行通知。</w:t>
      </w:r>
    </w:p>
    <w:p>
      <w:pPr>
        <w:spacing w:line="440" w:lineRule="exact"/>
        <w:ind w:firstLine="482" w:firstLineChars="200"/>
        <w:rPr>
          <w:rFonts w:ascii="宋体" w:hAnsi="宋体"/>
          <w:b/>
          <w:kern w:val="0"/>
          <w:sz w:val="24"/>
          <w:szCs w:val="24"/>
        </w:rPr>
      </w:pPr>
      <w:r>
        <w:rPr>
          <w:rFonts w:ascii="宋体" w:hAnsi="宋体"/>
          <w:b/>
          <w:kern w:val="0"/>
          <w:sz w:val="24"/>
          <w:szCs w:val="24"/>
        </w:rPr>
        <w:t>六、公告期限</w:t>
      </w:r>
    </w:p>
    <w:p>
      <w:pPr>
        <w:spacing w:line="440" w:lineRule="exact"/>
        <w:ind w:firstLine="480" w:firstLineChars="200"/>
        <w:rPr>
          <w:rFonts w:ascii="宋体" w:hAnsi="宋体"/>
          <w:sz w:val="24"/>
          <w:szCs w:val="24"/>
        </w:rPr>
      </w:pPr>
      <w:r>
        <w:rPr>
          <w:rFonts w:hint="eastAsia" w:ascii="宋体" w:hAnsi="宋体"/>
          <w:kern w:val="0"/>
          <w:sz w:val="24"/>
          <w:szCs w:val="24"/>
        </w:rPr>
        <w:t>自本公告发布之日起3个工作日。</w:t>
      </w:r>
    </w:p>
    <w:p>
      <w:pPr>
        <w:snapToGrid w:val="0"/>
        <w:spacing w:line="440" w:lineRule="exact"/>
        <w:ind w:firstLine="482" w:firstLineChars="200"/>
        <w:rPr>
          <w:rFonts w:ascii="宋体" w:hAnsi="宋体"/>
          <w:b/>
          <w:sz w:val="24"/>
          <w:szCs w:val="24"/>
        </w:rPr>
      </w:pPr>
      <w:r>
        <w:rPr>
          <w:rFonts w:hint="eastAsia" w:ascii="宋体" w:hAnsi="宋体"/>
          <w:b/>
          <w:sz w:val="24"/>
          <w:szCs w:val="24"/>
        </w:rPr>
        <w:t>七、其他补充事宜</w:t>
      </w:r>
    </w:p>
    <w:p>
      <w:pPr>
        <w:spacing w:line="440" w:lineRule="exact"/>
        <w:ind w:firstLine="525" w:firstLineChars="250"/>
        <w:jc w:val="left"/>
        <w:rPr>
          <w:sz w:val="24"/>
          <w:szCs w:val="24"/>
        </w:rPr>
      </w:pPr>
      <w:r>
        <w:rPr>
          <w:rFonts w:hint="eastAsia"/>
        </w:rPr>
        <w:t>1、</w:t>
      </w:r>
      <w:r>
        <w:rPr>
          <w:sz w:val="24"/>
          <w:szCs w:val="24"/>
        </w:rPr>
        <w:t>履约保证金</w:t>
      </w:r>
    </w:p>
    <w:p>
      <w:pPr>
        <w:snapToGrid w:val="0"/>
        <w:spacing w:line="440" w:lineRule="exact"/>
        <w:ind w:firstLine="480" w:firstLineChars="200"/>
        <w:jc w:val="left"/>
        <w:outlineLvl w:val="1"/>
        <w:rPr>
          <w:sz w:val="24"/>
          <w:szCs w:val="24"/>
        </w:rPr>
      </w:pPr>
      <w:r>
        <w:rPr>
          <w:sz w:val="24"/>
          <w:szCs w:val="24"/>
        </w:rPr>
        <w:t>(1)本项目成交后的履约保证金为项目成交价的</w:t>
      </w:r>
      <w:r>
        <w:rPr>
          <w:rFonts w:hint="eastAsia"/>
          <w:sz w:val="24"/>
          <w:szCs w:val="24"/>
          <w:u w:val="single"/>
        </w:rPr>
        <w:t>5</w:t>
      </w:r>
      <w:r>
        <w:rPr>
          <w:sz w:val="24"/>
          <w:szCs w:val="24"/>
          <w:u w:val="single"/>
        </w:rPr>
        <w:t xml:space="preserve">% </w:t>
      </w:r>
      <w:r>
        <w:rPr>
          <w:sz w:val="24"/>
          <w:szCs w:val="24"/>
        </w:rPr>
        <w:t xml:space="preserve">。 </w:t>
      </w:r>
    </w:p>
    <w:p>
      <w:pPr>
        <w:snapToGrid w:val="0"/>
        <w:spacing w:line="440" w:lineRule="exact"/>
        <w:ind w:firstLine="480" w:firstLineChars="200"/>
        <w:jc w:val="left"/>
        <w:outlineLvl w:val="1"/>
        <w:rPr>
          <w:sz w:val="24"/>
          <w:szCs w:val="24"/>
        </w:rPr>
      </w:pPr>
      <w:r>
        <w:rPr>
          <w:sz w:val="24"/>
          <w:szCs w:val="24"/>
        </w:rPr>
        <w:t>(2)</w:t>
      </w:r>
      <w:r>
        <w:rPr>
          <w:bCs/>
          <w:sz w:val="24"/>
          <w:szCs w:val="24"/>
        </w:rPr>
        <w:t>成交供应商的履约保证金须在成交通知书发出</w:t>
      </w:r>
      <w:r>
        <w:rPr>
          <w:rFonts w:hint="eastAsia"/>
          <w:bCs/>
          <w:sz w:val="24"/>
          <w:szCs w:val="24"/>
        </w:rPr>
        <w:t>3</w:t>
      </w:r>
      <w:r>
        <w:rPr>
          <w:bCs/>
          <w:sz w:val="24"/>
          <w:szCs w:val="24"/>
        </w:rPr>
        <w:t>日内汇入采购单位账户，成交供应商凭“成交通知书”和已经汇至采购单位账上的“履约保证金”凭证</w:t>
      </w:r>
      <w:r>
        <w:rPr>
          <w:rFonts w:hint="eastAsia"/>
          <w:bCs/>
          <w:sz w:val="24"/>
          <w:szCs w:val="24"/>
        </w:rPr>
        <w:t>15</w:t>
      </w:r>
      <w:r>
        <w:rPr>
          <w:bCs/>
          <w:sz w:val="24"/>
          <w:szCs w:val="24"/>
        </w:rPr>
        <w:t>日内与采购单位签订合同。超期或未有协商，则视为自动放弃成交资格。</w:t>
      </w:r>
    </w:p>
    <w:p>
      <w:pPr>
        <w:snapToGrid w:val="0"/>
        <w:spacing w:line="440" w:lineRule="exact"/>
        <w:ind w:firstLine="494" w:firstLineChars="206"/>
        <w:jc w:val="left"/>
        <w:outlineLvl w:val="1"/>
        <w:rPr>
          <w:sz w:val="24"/>
          <w:szCs w:val="24"/>
        </w:rPr>
      </w:pPr>
      <w:r>
        <w:rPr>
          <w:sz w:val="24"/>
          <w:szCs w:val="24"/>
        </w:rPr>
        <w:t>(3)成交供应商在按要求保质保量的完成该项目合同并通过验收后，采购单位凭成交供应商提交的申请，一次性无息退还该合同项目的履约保证金。</w:t>
      </w:r>
    </w:p>
    <w:p>
      <w:pPr>
        <w:spacing w:line="440" w:lineRule="exact"/>
        <w:ind w:firstLine="480" w:firstLineChars="200"/>
        <w:rPr>
          <w:sz w:val="24"/>
          <w:szCs w:val="24"/>
        </w:rPr>
      </w:pPr>
      <w:r>
        <w:rPr>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pPr>
        <w:spacing w:line="440" w:lineRule="exact"/>
        <w:ind w:firstLine="482" w:firstLineChars="200"/>
        <w:rPr>
          <w:b/>
          <w:bCs/>
          <w:sz w:val="24"/>
          <w:szCs w:val="24"/>
        </w:rPr>
      </w:pPr>
      <w:r>
        <w:rPr>
          <w:rFonts w:hint="eastAsia"/>
          <w:b/>
          <w:bCs/>
          <w:sz w:val="24"/>
          <w:szCs w:val="24"/>
        </w:rPr>
        <w:t>2、在疫情防控期间严格执行登记问询制度，请参与现场交易活动的人员，携带有效身份证件，规范佩戴口罩，接受体温检测和轨迹问询，自觉服从和配合现场工作人员调度安排，并在交易活动现场注意与他人保持安全距离、减少逗留时间。</w:t>
      </w:r>
    </w:p>
    <w:p>
      <w:pPr>
        <w:snapToGrid w:val="0"/>
        <w:spacing w:line="440" w:lineRule="exact"/>
        <w:ind w:firstLine="482" w:firstLineChars="200"/>
        <w:rPr>
          <w:b/>
          <w:bCs/>
          <w:sz w:val="24"/>
          <w:szCs w:val="24"/>
        </w:rPr>
      </w:pPr>
      <w:r>
        <w:rPr>
          <w:rFonts w:hint="eastAsia"/>
          <w:b/>
          <w:sz w:val="24"/>
          <w:szCs w:val="24"/>
        </w:rPr>
        <w:t>3、</w:t>
      </w:r>
      <w:r>
        <w:rPr>
          <w:b/>
          <w:sz w:val="24"/>
          <w:szCs w:val="24"/>
        </w:rPr>
        <w:t>供应商</w:t>
      </w:r>
      <w:r>
        <w:rPr>
          <w:b/>
          <w:bCs/>
          <w:sz w:val="24"/>
          <w:szCs w:val="24"/>
        </w:rPr>
        <w:t>递交响应文件时，其法定代表人（或其授权代理人）必须携带本人身份证准时参加询价会议。否则，其</w:t>
      </w:r>
      <w:r>
        <w:rPr>
          <w:b/>
          <w:bCs/>
          <w:kern w:val="0"/>
          <w:sz w:val="24"/>
          <w:szCs w:val="24"/>
        </w:rPr>
        <w:t>响应文件</w:t>
      </w:r>
      <w:r>
        <w:rPr>
          <w:b/>
          <w:bCs/>
          <w:sz w:val="24"/>
          <w:szCs w:val="24"/>
        </w:rPr>
        <w:t>不予受理。</w:t>
      </w:r>
    </w:p>
    <w:p>
      <w:pPr>
        <w:snapToGrid w:val="0"/>
        <w:spacing w:line="440" w:lineRule="exact"/>
        <w:ind w:firstLine="482" w:firstLineChars="200"/>
        <w:rPr>
          <w:rFonts w:ascii="宋体" w:hAnsi="宋体"/>
          <w:b/>
          <w:sz w:val="24"/>
          <w:szCs w:val="24"/>
        </w:rPr>
      </w:pPr>
      <w:r>
        <w:rPr>
          <w:rFonts w:hint="eastAsia" w:ascii="宋体" w:hAnsi="宋体"/>
          <w:b/>
          <w:sz w:val="24"/>
          <w:szCs w:val="24"/>
        </w:rPr>
        <w:t>八、凡对本次采购提出询问，请按以下方式联系。</w:t>
      </w:r>
    </w:p>
    <w:p>
      <w:pPr>
        <w:snapToGrid w:val="0"/>
        <w:spacing w:line="440" w:lineRule="exact"/>
        <w:ind w:firstLine="480" w:firstLineChars="200"/>
        <w:rPr>
          <w:rFonts w:ascii="宋体" w:hAnsi="宋体"/>
          <w:sz w:val="24"/>
          <w:szCs w:val="24"/>
        </w:rPr>
      </w:pPr>
      <w:r>
        <w:rPr>
          <w:rFonts w:hint="eastAsia" w:ascii="宋体" w:hAnsi="宋体"/>
          <w:sz w:val="24"/>
          <w:szCs w:val="24"/>
        </w:rPr>
        <w:t>1.采购人信息</w:t>
      </w:r>
    </w:p>
    <w:p>
      <w:pPr>
        <w:snapToGrid w:val="0"/>
        <w:spacing w:line="440" w:lineRule="exact"/>
        <w:ind w:firstLine="480" w:firstLineChars="200"/>
        <w:rPr>
          <w:sz w:val="24"/>
          <w:szCs w:val="24"/>
        </w:rPr>
      </w:pPr>
      <w:r>
        <w:rPr>
          <w:rFonts w:hint="eastAsia" w:ascii="宋体" w:hAnsi="宋体"/>
          <w:sz w:val="24"/>
          <w:szCs w:val="24"/>
        </w:rPr>
        <w:t>采购人</w:t>
      </w:r>
      <w:r>
        <w:rPr>
          <w:rFonts w:hint="eastAsia"/>
          <w:sz w:val="24"/>
          <w:szCs w:val="24"/>
        </w:rPr>
        <w:t>：南通市崇川区应急管理局</w:t>
      </w:r>
    </w:p>
    <w:p>
      <w:pPr>
        <w:snapToGrid w:val="0"/>
        <w:spacing w:line="440" w:lineRule="exact"/>
        <w:ind w:firstLine="480" w:firstLineChars="200"/>
        <w:rPr>
          <w:rFonts w:ascii="宋体" w:hAnsi="宋体"/>
          <w:sz w:val="24"/>
          <w:szCs w:val="24"/>
        </w:rPr>
      </w:pPr>
      <w:r>
        <w:rPr>
          <w:rFonts w:hint="eastAsia" w:ascii="宋体" w:hAnsi="宋体"/>
          <w:sz w:val="24"/>
          <w:szCs w:val="24"/>
        </w:rPr>
        <w:t>采购人联系人：</w:t>
      </w:r>
      <w:r>
        <w:rPr>
          <w:rFonts w:hint="eastAsia"/>
          <w:sz w:val="24"/>
          <w:szCs w:val="24"/>
        </w:rPr>
        <w:t>夏先生</w:t>
      </w:r>
      <w:r>
        <w:rPr>
          <w:rFonts w:hint="eastAsia" w:ascii="宋体" w:hAnsi="宋体"/>
          <w:sz w:val="24"/>
          <w:szCs w:val="24"/>
        </w:rPr>
        <w:t>  联系电话：</w:t>
      </w:r>
      <w:r>
        <w:rPr>
          <w:rFonts w:hint="eastAsia"/>
          <w:sz w:val="24"/>
          <w:szCs w:val="24"/>
        </w:rPr>
        <w:t>18136521992</w:t>
      </w:r>
    </w:p>
    <w:p>
      <w:pPr>
        <w:snapToGrid w:val="0"/>
        <w:spacing w:line="440" w:lineRule="exact"/>
        <w:ind w:firstLine="480" w:firstLineChars="200"/>
        <w:rPr>
          <w:rFonts w:ascii="宋体" w:hAnsi="宋体"/>
          <w:sz w:val="24"/>
          <w:szCs w:val="24"/>
        </w:rPr>
      </w:pPr>
      <w:r>
        <w:rPr>
          <w:rFonts w:hint="eastAsia" w:ascii="宋体" w:hAnsi="宋体"/>
          <w:sz w:val="24"/>
          <w:szCs w:val="24"/>
        </w:rPr>
        <w:t>2.采购代理机构信息</w:t>
      </w:r>
    </w:p>
    <w:p>
      <w:pPr>
        <w:snapToGrid w:val="0"/>
        <w:spacing w:line="440" w:lineRule="exact"/>
        <w:ind w:firstLine="480" w:firstLineChars="200"/>
        <w:rPr>
          <w:rFonts w:ascii="宋体" w:hAnsi="宋体"/>
          <w:sz w:val="24"/>
          <w:szCs w:val="24"/>
        </w:rPr>
      </w:pPr>
      <w:r>
        <w:rPr>
          <w:rFonts w:hint="eastAsia" w:ascii="宋体" w:hAnsi="宋体"/>
          <w:sz w:val="24"/>
          <w:szCs w:val="24"/>
        </w:rPr>
        <w:t>名称：</w:t>
      </w:r>
      <w:r>
        <w:rPr>
          <w:rFonts w:ascii="宋体" w:hAnsi="宋体"/>
          <w:sz w:val="24"/>
          <w:szCs w:val="24"/>
        </w:rPr>
        <w:t>南通通城建设工程项目管理有限公司</w:t>
      </w:r>
    </w:p>
    <w:p>
      <w:pPr>
        <w:snapToGrid w:val="0"/>
        <w:spacing w:line="440" w:lineRule="exact"/>
        <w:ind w:firstLine="480" w:firstLineChars="200"/>
        <w:rPr>
          <w:rFonts w:ascii="宋体" w:hAnsi="宋体"/>
          <w:sz w:val="24"/>
          <w:szCs w:val="24"/>
        </w:rPr>
      </w:pPr>
      <w:r>
        <w:rPr>
          <w:rFonts w:ascii="宋体" w:hAnsi="宋体"/>
          <w:sz w:val="24"/>
          <w:szCs w:val="24"/>
        </w:rPr>
        <w:t>地址：南通市</w:t>
      </w:r>
      <w:r>
        <w:rPr>
          <w:rFonts w:hint="eastAsia" w:ascii="宋体" w:hAnsi="宋体"/>
          <w:sz w:val="24"/>
          <w:szCs w:val="24"/>
        </w:rPr>
        <w:t>工农南路156号鑫乾国际广场A座22楼</w:t>
      </w:r>
    </w:p>
    <w:p>
      <w:pPr>
        <w:snapToGrid w:val="0"/>
        <w:spacing w:line="440" w:lineRule="exact"/>
        <w:ind w:firstLine="480" w:firstLineChars="200"/>
        <w:rPr>
          <w:rFonts w:ascii="宋体" w:hAnsi="宋体"/>
          <w:sz w:val="24"/>
          <w:szCs w:val="24"/>
        </w:rPr>
      </w:pPr>
      <w:r>
        <w:rPr>
          <w:rFonts w:ascii="宋体" w:hAnsi="宋体"/>
          <w:sz w:val="24"/>
          <w:szCs w:val="24"/>
        </w:rPr>
        <w:t>联系人：</w:t>
      </w:r>
      <w:r>
        <w:rPr>
          <w:rFonts w:hint="eastAsia" w:ascii="宋体" w:hAnsi="宋体"/>
          <w:sz w:val="24"/>
          <w:szCs w:val="24"/>
        </w:rPr>
        <w:t>尹女士</w:t>
      </w:r>
    </w:p>
    <w:p>
      <w:pPr>
        <w:widowControl/>
        <w:spacing w:line="440" w:lineRule="exact"/>
        <w:ind w:firstLine="480" w:firstLineChars="200"/>
        <w:rPr>
          <w:rFonts w:ascii="宋体" w:hAnsi="宋体" w:cs="宋体"/>
          <w:kern w:val="0"/>
          <w:sz w:val="24"/>
          <w:szCs w:val="24"/>
        </w:rPr>
      </w:pPr>
      <w:r>
        <w:rPr>
          <w:rFonts w:ascii="宋体" w:hAnsi="宋体" w:cs="宋体"/>
          <w:kern w:val="0"/>
          <w:sz w:val="24"/>
          <w:szCs w:val="24"/>
        </w:rPr>
        <w:t>电话：</w:t>
      </w:r>
      <w:r>
        <w:rPr>
          <w:rFonts w:hint="eastAsia" w:ascii="宋体" w:hAnsi="宋体" w:cs="宋体"/>
          <w:kern w:val="0"/>
          <w:sz w:val="24"/>
          <w:szCs w:val="24"/>
        </w:rPr>
        <w:t>18906296216</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电子邮箱：</w:t>
      </w:r>
      <w:r>
        <w:fldChar w:fldCharType="begin"/>
      </w:r>
      <w:r>
        <w:instrText xml:space="preserve"> HYPERLINK "mailto:310971290@qq.com" </w:instrText>
      </w:r>
      <w:r>
        <w:fldChar w:fldCharType="separate"/>
      </w:r>
      <w:r>
        <w:rPr>
          <w:rFonts w:hint="eastAsia" w:ascii="宋体" w:hAnsi="宋体" w:cs="宋体"/>
          <w:kern w:val="0"/>
          <w:sz w:val="24"/>
          <w:szCs w:val="24"/>
        </w:rPr>
        <w:t>310971290@qq.com</w:t>
      </w:r>
      <w:r>
        <w:rPr>
          <w:rFonts w:hint="eastAsia" w:ascii="宋体" w:hAnsi="宋体" w:cs="宋体"/>
          <w:kern w:val="0"/>
          <w:sz w:val="24"/>
          <w:szCs w:val="24"/>
        </w:rPr>
        <w:fldChar w:fldCharType="end"/>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2"/>
        <w:keepNext w:val="0"/>
        <w:keepLines w:val="0"/>
        <w:adjustRightInd w:val="0"/>
        <w:snapToGrid w:val="0"/>
        <w:spacing w:before="0" w:after="0" w:line="480" w:lineRule="exact"/>
        <w:jc w:val="center"/>
        <w:textAlignment w:val="baseline"/>
        <w:rPr>
          <w:rFonts w:eastAsia="宋体"/>
          <w:w w:val="80"/>
          <w:sz w:val="32"/>
          <w:szCs w:val="32"/>
        </w:rPr>
      </w:pPr>
      <w:r>
        <w:rPr>
          <w:rFonts w:eastAsia="宋体"/>
          <w:w w:val="80"/>
          <w:sz w:val="32"/>
          <w:szCs w:val="32"/>
        </w:rPr>
        <w:t>第二章  供应商须知</w:t>
      </w:r>
    </w:p>
    <w:p>
      <w:pPr>
        <w:snapToGrid w:val="0"/>
        <w:spacing w:line="440" w:lineRule="exact"/>
        <w:ind w:firstLine="482" w:firstLineChars="200"/>
        <w:jc w:val="left"/>
        <w:outlineLvl w:val="1"/>
        <w:rPr>
          <w:b/>
          <w:bCs/>
          <w:sz w:val="24"/>
          <w:szCs w:val="24"/>
        </w:rPr>
      </w:pPr>
      <w:r>
        <w:rPr>
          <w:b/>
          <w:bCs/>
          <w:sz w:val="24"/>
          <w:szCs w:val="24"/>
        </w:rPr>
        <w:t>一、采购单位委托代理机构组织开标</w:t>
      </w:r>
    </w:p>
    <w:p>
      <w:pPr>
        <w:adjustRightInd w:val="0"/>
        <w:snapToGrid w:val="0"/>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成立询价小组，由采购单位代表和有关专家依法组成。</w:t>
      </w:r>
    </w:p>
    <w:p>
      <w:pPr>
        <w:spacing w:line="440" w:lineRule="exact"/>
        <w:ind w:firstLine="480" w:firstLineChars="200"/>
        <w:jc w:val="left"/>
        <w:rPr>
          <w:b/>
          <w:bCs/>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供应商的法定代表人或被授权人须持身份证准时参加询价会议。</w:t>
      </w:r>
    </w:p>
    <w:p>
      <w:pPr>
        <w:spacing w:line="440" w:lineRule="exact"/>
        <w:ind w:firstLine="482" w:firstLineChars="200"/>
        <w:jc w:val="left"/>
        <w:rPr>
          <w:b/>
          <w:bCs/>
          <w:sz w:val="24"/>
          <w:szCs w:val="24"/>
        </w:rPr>
      </w:pPr>
      <w:r>
        <w:rPr>
          <w:b/>
          <w:bCs/>
          <w:sz w:val="24"/>
          <w:szCs w:val="24"/>
        </w:rPr>
        <w:t>二、询价报价</w:t>
      </w:r>
    </w:p>
    <w:p>
      <w:pPr>
        <w:snapToGrid w:val="0"/>
        <w:spacing w:line="440" w:lineRule="exact"/>
        <w:ind w:firstLine="494" w:firstLineChars="206"/>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本项目不接受任何有选择的报价。</w:t>
      </w:r>
    </w:p>
    <w:p>
      <w:pPr>
        <w:snapToGrid w:val="0"/>
        <w:spacing w:line="440" w:lineRule="exact"/>
        <w:ind w:firstLine="494" w:firstLineChars="206"/>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报价均以人民币为报价的币种。</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rFonts w:hint="eastAsia"/>
          <w:sz w:val="24"/>
          <w:szCs w:val="24"/>
        </w:rPr>
        <w:t>报价超过该最高限价的视为无效响应文件。</w:t>
      </w:r>
    </w:p>
    <w:p>
      <w:pPr>
        <w:snapToGrid w:val="0"/>
        <w:spacing w:line="440" w:lineRule="exact"/>
        <w:ind w:firstLine="480" w:firstLineChars="200"/>
        <w:jc w:val="left"/>
        <w:rPr>
          <w:rFonts w:ascii="宋体" w:hAnsi="宋体" w:cs="宋体"/>
          <w:sz w:val="24"/>
          <w:szCs w:val="24"/>
        </w:rPr>
      </w:pPr>
      <w:r>
        <w:rPr>
          <w:rFonts w:hint="eastAsia"/>
          <w:sz w:val="24"/>
          <w:szCs w:val="24"/>
        </w:rPr>
        <w:t>4</w:t>
      </w:r>
      <w:r>
        <w:rPr>
          <w:rFonts w:hint="eastAsia" w:asciiTheme="minorEastAsia" w:hAnsiTheme="minorEastAsia" w:eastAsiaTheme="minorEastAsia" w:cstheme="minorEastAsia"/>
          <w:sz w:val="24"/>
          <w:szCs w:val="24"/>
        </w:rPr>
        <w:t>.</w:t>
      </w:r>
      <w:r>
        <w:rPr>
          <w:sz w:val="24"/>
          <w:szCs w:val="24"/>
        </w:rPr>
        <w:t>报价表必须加盖公章且必须经法定代表人或被授权人签字或盖章。报价表中的大写金额与小写金额、总价金额与按单价汇总金额，若有差异，</w:t>
      </w:r>
      <w:r>
        <w:rPr>
          <w:rFonts w:hint="eastAsia" w:ascii="宋体" w:hAnsi="宋体" w:cs="宋体"/>
          <w:sz w:val="24"/>
          <w:szCs w:val="24"/>
        </w:rPr>
        <w:t>按照下列规定修正：</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（1）报价表内容与技术响应中内容明确不一致的，以报价表为准；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（2）涉及大写金额和小写金额不一致的，以大写金额为准；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（3）单价金额小数点或者百分比有明显错位的，以报价表（开标一览表）的总价为准，并修改单价；</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（4）总价金额与单价汇总金额不一致的，以单价金额计算结果为准。</w:t>
      </w:r>
    </w:p>
    <w:p>
      <w:pPr>
        <w:snapToGrid w:val="0"/>
        <w:spacing w:line="440" w:lineRule="exact"/>
        <w:ind w:firstLine="480" w:firstLineChars="200"/>
      </w:pPr>
      <w:r>
        <w:rPr>
          <w:rFonts w:hint="eastAsia" w:ascii="宋体" w:hAnsi="宋体" w:cs="宋体"/>
          <w:sz w:val="24"/>
          <w:szCs w:val="24"/>
        </w:rPr>
        <w:t>同时出现两种以上不一致的，按照前款规定的顺序修正。修正后的报价应当由投标人的法定代表人或其授权的代表签字确认后产生约束力，投标人不确认的，其投标无效。</w:t>
      </w:r>
    </w:p>
    <w:p>
      <w:pPr>
        <w:snapToGrid w:val="0"/>
        <w:spacing w:line="440" w:lineRule="exact"/>
        <w:ind w:firstLine="480" w:firstLineChars="200"/>
        <w:jc w:val="left"/>
        <w:rPr>
          <w:sz w:val="24"/>
          <w:szCs w:val="24"/>
        </w:rPr>
      </w:pPr>
      <w:r>
        <w:rPr>
          <w:rFonts w:hint="eastAsia"/>
          <w:bCs/>
          <w:sz w:val="24"/>
          <w:szCs w:val="24"/>
        </w:rPr>
        <w:t>5</w:t>
      </w:r>
      <w:r>
        <w:rPr>
          <w:rFonts w:hint="eastAsia" w:asciiTheme="minorEastAsia" w:hAnsiTheme="minorEastAsia" w:eastAsiaTheme="minorEastAsia" w:cstheme="minorEastAsia"/>
          <w:sz w:val="24"/>
          <w:szCs w:val="24"/>
        </w:rPr>
        <w:t>.</w:t>
      </w:r>
      <w:r>
        <w:rPr>
          <w:rFonts w:hint="eastAsia" w:ascii="宋体" w:hAnsi="宋体"/>
          <w:b/>
          <w:sz w:val="24"/>
        </w:rPr>
        <w:t xml:space="preserve"> 本项目为固定总价报价方式</w:t>
      </w:r>
      <w:r>
        <w:rPr>
          <w:rFonts w:hint="eastAsia" w:ascii="宋体" w:hAnsi="宋体"/>
          <w:sz w:val="24"/>
        </w:rPr>
        <w:t>。</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40" w:lineRule="exact"/>
        <w:ind w:firstLine="494" w:firstLineChars="206"/>
        <w:jc w:val="left"/>
        <w:rPr>
          <w:b/>
          <w:sz w:val="24"/>
          <w:szCs w:val="24"/>
        </w:rPr>
      </w:pPr>
      <w:r>
        <w:rPr>
          <w:rFonts w:hint="eastAsia"/>
          <w:sz w:val="24"/>
          <w:szCs w:val="24"/>
        </w:rPr>
        <w:t>6</w:t>
      </w:r>
      <w:r>
        <w:rPr>
          <w:rFonts w:hint="eastAsia" w:asciiTheme="minorEastAsia" w:hAnsiTheme="minorEastAsia" w:eastAsiaTheme="minorEastAsia" w:cstheme="minorEastAsia"/>
          <w:sz w:val="24"/>
          <w:szCs w:val="24"/>
        </w:rPr>
        <w:t>.</w:t>
      </w:r>
      <w:r>
        <w:rPr>
          <w:sz w:val="24"/>
          <w:szCs w:val="24"/>
        </w:rPr>
        <w:t>一次报定的报价为成交价。成交供应商的成交价在合同实施期间不因市场变化因素而变动。</w:t>
      </w:r>
    </w:p>
    <w:p>
      <w:pPr>
        <w:snapToGrid w:val="0"/>
        <w:spacing w:line="440" w:lineRule="exact"/>
        <w:ind w:firstLine="494" w:firstLineChars="206"/>
        <w:jc w:val="left"/>
        <w:rPr>
          <w:sz w:val="24"/>
          <w:szCs w:val="24"/>
        </w:rPr>
      </w:pPr>
      <w:r>
        <w:rPr>
          <w:rFonts w:hint="eastAsia"/>
          <w:sz w:val="24"/>
          <w:szCs w:val="24"/>
        </w:rPr>
        <w:t>7</w:t>
      </w:r>
      <w:r>
        <w:rPr>
          <w:rFonts w:hint="eastAsia" w:asciiTheme="minorEastAsia" w:hAnsiTheme="minorEastAsia" w:eastAsiaTheme="minorEastAsia" w:cstheme="minorEastAsia"/>
          <w:sz w:val="24"/>
          <w:szCs w:val="24"/>
        </w:rPr>
        <w:t>.</w:t>
      </w:r>
      <w:r>
        <w:rPr>
          <w:sz w:val="24"/>
          <w:szCs w:val="24"/>
        </w:rPr>
        <w:t>供应商应详细阅读询价文件的全部内容，根据采购项目需求，准确制定相关工作方案等，必须对本采购项目全部进行报价，如有漏项，视同对本项目的优惠。不按询价文件的要求提供响应文件，导致报价无效，按无效响应处理。</w:t>
      </w:r>
    </w:p>
    <w:p>
      <w:pPr>
        <w:snapToGrid w:val="0"/>
        <w:spacing w:line="440" w:lineRule="exact"/>
        <w:ind w:firstLine="482" w:firstLineChars="200"/>
        <w:jc w:val="left"/>
        <w:outlineLvl w:val="1"/>
        <w:rPr>
          <w:b/>
          <w:bCs/>
          <w:sz w:val="24"/>
          <w:szCs w:val="24"/>
          <w:lang w:val="zh-CN"/>
        </w:rPr>
      </w:pPr>
      <w:r>
        <w:rPr>
          <w:b/>
          <w:bCs/>
          <w:sz w:val="24"/>
          <w:szCs w:val="24"/>
          <w:lang w:val="zh-CN"/>
        </w:rPr>
        <w:t>三、询价费用</w:t>
      </w:r>
    </w:p>
    <w:p>
      <w:pPr>
        <w:snapToGrid w:val="0"/>
        <w:spacing w:line="440" w:lineRule="exact"/>
        <w:ind w:firstLine="494" w:firstLineChars="206"/>
        <w:jc w:val="left"/>
        <w:rPr>
          <w:sz w:val="24"/>
          <w:szCs w:val="24"/>
        </w:rPr>
      </w:pPr>
      <w:r>
        <w:rPr>
          <w:rFonts w:hint="eastAsia"/>
          <w:sz w:val="24"/>
          <w:szCs w:val="24"/>
        </w:rPr>
        <w:t>1.</w:t>
      </w:r>
      <w:r>
        <w:rPr>
          <w:sz w:val="24"/>
          <w:szCs w:val="24"/>
        </w:rPr>
        <w:t>无论询价过程和结果如何，参加询价的响应人自行承担与本次项目询价有关的全部费用。</w:t>
      </w:r>
    </w:p>
    <w:p>
      <w:pPr>
        <w:snapToGrid w:val="0"/>
        <w:spacing w:line="440" w:lineRule="exact"/>
        <w:ind w:firstLine="494" w:firstLineChars="206"/>
        <w:jc w:val="left"/>
        <w:rPr>
          <w:rFonts w:ascii="宋体" w:hAnsi="宋体"/>
          <w:sz w:val="24"/>
          <w:szCs w:val="24"/>
        </w:rPr>
      </w:pPr>
      <w:r>
        <w:rPr>
          <w:rFonts w:hint="eastAsia"/>
          <w:sz w:val="24"/>
          <w:szCs w:val="24"/>
        </w:rPr>
        <w:t>2. 成交人须缴纳代理服务费，代理服务费按中标价的1.5%计取不足2000元按2000元计取。</w:t>
      </w:r>
      <w:r>
        <w:rPr>
          <w:rFonts w:hint="eastAsia" w:ascii="宋体" w:hAnsi="宋体"/>
          <w:sz w:val="24"/>
          <w:szCs w:val="24"/>
        </w:rPr>
        <w:t>供应商自行考虑包含在投标总价内的该项费用及风险并将其综合在单价内，不得单列。</w:t>
      </w:r>
    </w:p>
    <w:p>
      <w:pPr>
        <w:snapToGrid w:val="0"/>
        <w:spacing w:line="440" w:lineRule="exact"/>
        <w:ind w:firstLine="494" w:firstLineChars="206"/>
        <w:rPr>
          <w:rFonts w:ascii="宋体" w:hAnsi="宋体"/>
          <w:sz w:val="24"/>
          <w:szCs w:val="24"/>
        </w:rPr>
      </w:pPr>
      <w:r>
        <w:rPr>
          <w:rFonts w:hint="eastAsia" w:ascii="宋体" w:hAnsi="宋体"/>
          <w:sz w:val="24"/>
          <w:szCs w:val="24"/>
        </w:rPr>
        <w:t>3.代理服务费应在领取成交通知书前一次性付清。</w:t>
      </w:r>
    </w:p>
    <w:p>
      <w:pPr>
        <w:snapToGrid w:val="0"/>
        <w:spacing w:line="440" w:lineRule="exact"/>
        <w:ind w:firstLine="482" w:firstLineChars="200"/>
        <w:jc w:val="left"/>
        <w:outlineLvl w:val="1"/>
        <w:rPr>
          <w:sz w:val="24"/>
          <w:szCs w:val="24"/>
        </w:rPr>
      </w:pPr>
      <w:r>
        <w:rPr>
          <w:rFonts w:hint="eastAsia"/>
          <w:b/>
          <w:bCs/>
          <w:sz w:val="24"/>
          <w:szCs w:val="24"/>
        </w:rPr>
        <w:t>四</w:t>
      </w:r>
      <w:r>
        <w:rPr>
          <w:b/>
          <w:bCs/>
          <w:sz w:val="24"/>
          <w:szCs w:val="24"/>
        </w:rPr>
        <w:t>、响应文件的编写及装订</w:t>
      </w:r>
    </w:p>
    <w:p>
      <w:pPr>
        <w:spacing w:line="440" w:lineRule="exact"/>
        <w:ind w:firstLine="482" w:firstLineChars="200"/>
        <w:jc w:val="left"/>
        <w:rPr>
          <w:b/>
          <w:bCs/>
          <w:sz w:val="24"/>
          <w:szCs w:val="24"/>
        </w:rPr>
      </w:pPr>
      <w:r>
        <w:rPr>
          <w:b/>
          <w:bCs/>
          <w:sz w:val="24"/>
          <w:szCs w:val="24"/>
        </w:rPr>
        <w:t>（一）响应文件应包括下列内容：</w:t>
      </w:r>
    </w:p>
    <w:p>
      <w:pPr>
        <w:numPr>
          <w:ilvl w:val="0"/>
          <w:numId w:val="1"/>
        </w:numPr>
        <w:spacing w:line="440" w:lineRule="exact"/>
        <w:ind w:firstLine="482" w:firstLineChars="200"/>
        <w:jc w:val="left"/>
        <w:rPr>
          <w:b/>
          <w:bCs/>
          <w:sz w:val="24"/>
          <w:szCs w:val="24"/>
        </w:rPr>
      </w:pPr>
      <w:r>
        <w:rPr>
          <w:b/>
          <w:bCs/>
          <w:sz w:val="24"/>
          <w:szCs w:val="24"/>
        </w:rPr>
        <w:t>资格审查文件：</w:t>
      </w:r>
    </w:p>
    <w:p>
      <w:pPr>
        <w:adjustRightInd w:val="0"/>
        <w:snapToGrid w:val="0"/>
        <w:spacing w:line="440" w:lineRule="exact"/>
        <w:ind w:firstLine="480" w:firstLineChars="200"/>
        <w:jc w:val="left"/>
        <w:rPr>
          <w:strike/>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提供</w:t>
      </w:r>
      <w:r>
        <w:rPr>
          <w:rFonts w:hint="eastAsia"/>
          <w:sz w:val="24"/>
          <w:szCs w:val="24"/>
        </w:rPr>
        <w:t>供应商</w:t>
      </w:r>
      <w:r>
        <w:rPr>
          <w:sz w:val="24"/>
          <w:szCs w:val="24"/>
        </w:rPr>
        <w:t>有效的营业执照复印件。</w:t>
      </w:r>
    </w:p>
    <w:p>
      <w:pPr>
        <w:adjustRightInd w:val="0"/>
        <w:snapToGrid w:val="0"/>
        <w:spacing w:line="440" w:lineRule="exact"/>
        <w:ind w:firstLine="480" w:firstLineChars="200"/>
        <w:jc w:val="left"/>
        <w:rPr>
          <w:sz w:val="24"/>
          <w:szCs w:val="24"/>
        </w:rPr>
      </w:pPr>
      <w:r>
        <w:rPr>
          <w:rFonts w:hint="eastAsia"/>
          <w:sz w:val="24"/>
          <w:szCs w:val="24"/>
        </w:rPr>
        <w:t>2</w:t>
      </w:r>
      <w:r>
        <w:rPr>
          <w:rFonts w:hint="eastAsia" w:asciiTheme="minorEastAsia" w:hAnsiTheme="minorEastAsia" w:eastAsiaTheme="minorEastAsia" w:cstheme="minorEastAsia"/>
          <w:sz w:val="24"/>
          <w:szCs w:val="24"/>
        </w:rPr>
        <w:t>.</w:t>
      </w:r>
      <w:r>
        <w:rPr>
          <w:sz w:val="24"/>
          <w:szCs w:val="24"/>
        </w:rPr>
        <w:t>供应商法定代表人参加询价的，必须提供法定代表人身份证明及法定代表人本人身份证复印件；非法定代表人参加询价的，必须提供法定代表人签字或盖章的授权委托书及法定代表人、被授权人的两人身份证的复印件，被授权人为供应商正式人员证明材料【提供</w:t>
      </w:r>
      <w:r>
        <w:rPr>
          <w:rFonts w:hint="eastAsia" w:ascii="宋体" w:hAnsi="宋体" w:cs="宋体"/>
          <w:sz w:val="24"/>
          <w:szCs w:val="24"/>
        </w:rPr>
        <w:t>①</w:t>
      </w:r>
      <w:r>
        <w:rPr>
          <w:sz w:val="24"/>
          <w:szCs w:val="24"/>
        </w:rPr>
        <w:t>与供应商签订的有效劳动合同复印件；</w:t>
      </w:r>
      <w:r>
        <w:rPr>
          <w:rFonts w:hint="eastAsia" w:ascii="宋体" w:hAnsi="宋体" w:cs="宋体"/>
          <w:sz w:val="24"/>
          <w:szCs w:val="24"/>
        </w:rPr>
        <w:t>②</w:t>
      </w:r>
      <w:r>
        <w:rPr>
          <w:sz w:val="24"/>
          <w:szCs w:val="24"/>
        </w:rPr>
        <w:t>社保机构出具并盖章的供应商为其缴纳</w:t>
      </w:r>
      <w:r>
        <w:rPr>
          <w:rFonts w:hint="eastAsia"/>
          <w:sz w:val="24"/>
          <w:szCs w:val="24"/>
        </w:rPr>
        <w:t>2021年3月-2021年8月</w:t>
      </w:r>
      <w:r>
        <w:rPr>
          <w:sz w:val="24"/>
          <w:szCs w:val="24"/>
        </w:rPr>
        <w:t>连续六个月的养老保险缴费清单复印件】（格式参见第六章）</w:t>
      </w:r>
      <w:r>
        <w:rPr>
          <w:rFonts w:hint="eastAsia"/>
          <w:sz w:val="24"/>
          <w:szCs w:val="24"/>
        </w:rPr>
        <w:t>。</w:t>
      </w:r>
    </w:p>
    <w:p>
      <w:pPr>
        <w:adjustRightInd w:val="0"/>
        <w:snapToGrid w:val="0"/>
        <w:spacing w:line="440" w:lineRule="exact"/>
        <w:ind w:firstLine="480" w:firstLineChars="200"/>
        <w:jc w:val="left"/>
        <w:rPr>
          <w:sz w:val="24"/>
          <w:szCs w:val="24"/>
        </w:rPr>
      </w:pPr>
      <w:r>
        <w:rPr>
          <w:rFonts w:hint="eastAsia" w:asciiTheme="minorEastAsia" w:hAnsiTheme="minorEastAsia" w:eastAsiaTheme="minorEastAsia" w:cstheme="minorEastAsia"/>
          <w:sz w:val="24"/>
          <w:szCs w:val="24"/>
        </w:rPr>
        <w:t>3.</w:t>
      </w:r>
      <w:r>
        <w:rPr>
          <w:sz w:val="24"/>
          <w:szCs w:val="24"/>
        </w:rPr>
        <w:t>供应商须提供参与本次项目采购活动前三年内，在经营活动中没有重大违法记录的《无重大违法记录声明函》（格式参见第六章）。</w:t>
      </w:r>
    </w:p>
    <w:p>
      <w:pPr>
        <w:adjustRightInd w:val="0"/>
        <w:snapToGrid w:val="0"/>
        <w:spacing w:line="440" w:lineRule="exact"/>
        <w:ind w:firstLine="480" w:firstLineChars="200"/>
        <w:jc w:val="left"/>
        <w:rPr>
          <w:sz w:val="24"/>
          <w:szCs w:val="24"/>
        </w:rPr>
      </w:pPr>
      <w:r>
        <w:rPr>
          <w:rFonts w:hint="eastAsia"/>
          <w:sz w:val="24"/>
          <w:szCs w:val="24"/>
        </w:rPr>
        <w:t>4</w:t>
      </w:r>
      <w:r>
        <w:rPr>
          <w:sz w:val="24"/>
          <w:szCs w:val="24"/>
        </w:rPr>
        <w:t>关于资格文件的声明函（格式参见第六章）。</w:t>
      </w:r>
    </w:p>
    <w:p>
      <w:pPr>
        <w:spacing w:line="440" w:lineRule="exact"/>
        <w:ind w:firstLine="482" w:firstLineChars="200"/>
        <w:jc w:val="left"/>
        <w:rPr>
          <w:b/>
          <w:bCs/>
          <w:sz w:val="24"/>
          <w:szCs w:val="24"/>
        </w:rPr>
      </w:pPr>
      <w:r>
        <w:rPr>
          <w:b/>
          <w:bCs/>
          <w:sz w:val="24"/>
          <w:szCs w:val="24"/>
        </w:rPr>
        <w:t>以上材料如为复印件均需加盖供应商公章。</w:t>
      </w:r>
    </w:p>
    <w:p>
      <w:pPr>
        <w:spacing w:line="440" w:lineRule="exact"/>
        <w:ind w:firstLine="482" w:firstLineChars="200"/>
        <w:jc w:val="left"/>
        <w:rPr>
          <w:b/>
          <w:bCs/>
          <w:sz w:val="24"/>
          <w:szCs w:val="24"/>
        </w:rPr>
      </w:pPr>
      <w:r>
        <w:rPr>
          <w:b/>
          <w:bCs/>
          <w:sz w:val="24"/>
          <w:szCs w:val="24"/>
        </w:rPr>
        <w:t>B、技术响应文件：</w:t>
      </w:r>
    </w:p>
    <w:p>
      <w:pPr>
        <w:spacing w:line="440" w:lineRule="exact"/>
        <w:ind w:firstLine="487" w:firstLineChars="202"/>
        <w:jc w:val="left"/>
        <w:rPr>
          <w:b/>
          <w:bCs/>
          <w:sz w:val="24"/>
          <w:szCs w:val="24"/>
          <w:u w:val="single"/>
        </w:rPr>
      </w:pPr>
      <w:r>
        <w:rPr>
          <w:b/>
          <w:bCs/>
          <w:sz w:val="24"/>
          <w:szCs w:val="24"/>
        </w:rPr>
        <w:t>【特别提醒】</w:t>
      </w:r>
      <w:r>
        <w:rPr>
          <w:b/>
          <w:bCs/>
          <w:sz w:val="24"/>
          <w:szCs w:val="24"/>
          <w:u w:val="single"/>
        </w:rPr>
        <w:t>以下技术响应文件的内容，不得有缺项或漏项。否则将被视为未实质性响应询价文件要求而作无效响应处理。</w:t>
      </w:r>
    </w:p>
    <w:p>
      <w:pPr>
        <w:spacing w:line="440" w:lineRule="exact"/>
        <w:ind w:firstLine="480" w:firstLineChars="200"/>
        <w:rPr>
          <w:sz w:val="24"/>
          <w:szCs w:val="24"/>
        </w:rPr>
      </w:pPr>
      <w:r>
        <w:rPr>
          <w:sz w:val="24"/>
          <w:szCs w:val="24"/>
        </w:rPr>
        <w:t>（1）询价响应函（格式参见第六章） ；</w:t>
      </w:r>
    </w:p>
    <w:p>
      <w:pPr>
        <w:adjustRightInd w:val="0"/>
        <w:snapToGrid w:val="0"/>
        <w:spacing w:line="440" w:lineRule="exact"/>
        <w:ind w:firstLine="480" w:firstLineChars="200"/>
        <w:jc w:val="left"/>
        <w:rPr>
          <w:sz w:val="24"/>
          <w:szCs w:val="24"/>
          <w:lang w:val="zh-CN"/>
        </w:rPr>
      </w:pPr>
      <w:r>
        <w:rPr>
          <w:sz w:val="24"/>
          <w:szCs w:val="24"/>
          <w:lang w:val="zh-CN"/>
        </w:rPr>
        <w:t xml:space="preserve">（2）供应商一般情况表（格式参见第六章）； </w:t>
      </w:r>
    </w:p>
    <w:p>
      <w:pPr>
        <w:spacing w:line="440" w:lineRule="exact"/>
        <w:ind w:firstLine="480" w:firstLineChars="200"/>
        <w:rPr>
          <w:sz w:val="24"/>
          <w:szCs w:val="24"/>
        </w:rPr>
      </w:pPr>
      <w:r>
        <w:rPr>
          <w:sz w:val="24"/>
          <w:szCs w:val="24"/>
        </w:rPr>
        <w:t>（3）技术条款响应一览表（格式参见第六章）；</w:t>
      </w:r>
    </w:p>
    <w:p>
      <w:pPr>
        <w:spacing w:line="440" w:lineRule="exact"/>
        <w:ind w:firstLine="480" w:firstLineChars="200"/>
        <w:rPr>
          <w:sz w:val="24"/>
          <w:szCs w:val="24"/>
        </w:rPr>
      </w:pPr>
      <w:r>
        <w:rPr>
          <w:sz w:val="24"/>
          <w:szCs w:val="24"/>
        </w:rPr>
        <w:t>（4）</w:t>
      </w:r>
      <w:r>
        <w:rPr>
          <w:rFonts w:hint="eastAsia"/>
          <w:sz w:val="24"/>
          <w:szCs w:val="24"/>
        </w:rPr>
        <w:t>提供售中、售后质量服务承诺：包括免费质保期承诺、交货安装期说明等</w:t>
      </w:r>
      <w:r>
        <w:rPr>
          <w:sz w:val="24"/>
          <w:szCs w:val="24"/>
        </w:rPr>
        <w:t>；</w:t>
      </w:r>
    </w:p>
    <w:p>
      <w:pPr>
        <w:spacing w:line="440" w:lineRule="exact"/>
        <w:ind w:firstLine="480" w:firstLineChars="200"/>
        <w:rPr>
          <w:sz w:val="24"/>
          <w:szCs w:val="24"/>
        </w:rPr>
      </w:pPr>
      <w:r>
        <w:rPr>
          <w:rFonts w:hint="eastAsia"/>
          <w:sz w:val="24"/>
          <w:szCs w:val="24"/>
        </w:rPr>
        <w:t>（5）项目需求中要求提供的检测报告、证书等相关资料；</w:t>
      </w:r>
    </w:p>
    <w:p>
      <w:pPr>
        <w:spacing w:line="440" w:lineRule="exact"/>
        <w:ind w:firstLine="480" w:firstLineChars="200"/>
        <w:rPr>
          <w:sz w:val="24"/>
          <w:szCs w:val="24"/>
        </w:rPr>
      </w:pPr>
      <w:r>
        <w:rPr>
          <w:sz w:val="24"/>
          <w:szCs w:val="24"/>
        </w:rPr>
        <w:t>（</w:t>
      </w:r>
      <w:r>
        <w:rPr>
          <w:rFonts w:hint="eastAsia"/>
          <w:sz w:val="24"/>
          <w:szCs w:val="24"/>
        </w:rPr>
        <w:t>6</w:t>
      </w:r>
      <w:r>
        <w:rPr>
          <w:sz w:val="24"/>
          <w:szCs w:val="24"/>
        </w:rPr>
        <w:t>）询价文件中要求提供的其他材料；</w:t>
      </w:r>
    </w:p>
    <w:p>
      <w:pPr>
        <w:spacing w:line="440" w:lineRule="exact"/>
        <w:ind w:firstLine="487" w:firstLineChars="202"/>
        <w:jc w:val="left"/>
        <w:outlineLvl w:val="4"/>
        <w:rPr>
          <w:b/>
          <w:bCs/>
          <w:sz w:val="24"/>
          <w:szCs w:val="24"/>
        </w:rPr>
      </w:pPr>
      <w:r>
        <w:rPr>
          <w:b/>
          <w:bCs/>
          <w:sz w:val="24"/>
          <w:szCs w:val="24"/>
        </w:rPr>
        <w:t>特别提醒：“资格审查文件”、“技术响应文件”所须提供的材料（须加盖供应商公章）按询价文件要求装订，密封，递交。“资格审查文件”、“技术响应文件”所涉的相关证明材料原件请带至现场备查。未携带原件或因携带原件不全所引起的后果由供应商自行承担。</w:t>
      </w:r>
    </w:p>
    <w:p>
      <w:pPr>
        <w:spacing w:line="440" w:lineRule="exact"/>
        <w:ind w:firstLine="487" w:firstLineChars="202"/>
        <w:jc w:val="left"/>
        <w:rPr>
          <w:b/>
          <w:sz w:val="24"/>
          <w:szCs w:val="24"/>
        </w:rPr>
      </w:pPr>
      <w:r>
        <w:rPr>
          <w:b/>
          <w:sz w:val="24"/>
          <w:szCs w:val="24"/>
        </w:rPr>
        <w:t>C、商务报价响应文件：</w:t>
      </w:r>
    </w:p>
    <w:p>
      <w:pPr>
        <w:spacing w:line="440" w:lineRule="exact"/>
        <w:ind w:firstLine="484" w:firstLineChars="202"/>
        <w:jc w:val="left"/>
        <w:rPr>
          <w:sz w:val="24"/>
          <w:szCs w:val="24"/>
        </w:rPr>
      </w:pPr>
      <w:r>
        <w:rPr>
          <w:sz w:val="24"/>
          <w:szCs w:val="24"/>
        </w:rPr>
        <w:t>商务报价应包括询价文件所确定的全部范围及相应说明的全部内容，包括本次项目实施中的所有费用。</w:t>
      </w:r>
    </w:p>
    <w:p>
      <w:pPr>
        <w:spacing w:line="440" w:lineRule="exact"/>
        <w:ind w:firstLine="484" w:firstLineChars="202"/>
        <w:jc w:val="left"/>
        <w:outlineLvl w:val="4"/>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询价响应报价总表；（格式参见第六章）</w:t>
      </w:r>
    </w:p>
    <w:p>
      <w:pPr>
        <w:spacing w:line="440" w:lineRule="exact"/>
        <w:ind w:firstLine="484" w:firstLineChars="202"/>
        <w:jc w:val="left"/>
        <w:outlineLvl w:val="4"/>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询价响应报价明细表</w:t>
      </w:r>
      <w:r>
        <w:rPr>
          <w:rFonts w:hint="eastAsia"/>
          <w:sz w:val="24"/>
          <w:szCs w:val="24"/>
        </w:rPr>
        <w:t>；</w:t>
      </w:r>
      <w:r>
        <w:rPr>
          <w:sz w:val="24"/>
          <w:szCs w:val="24"/>
        </w:rPr>
        <w:t>（格式参见第六章）</w:t>
      </w:r>
    </w:p>
    <w:p>
      <w:pPr>
        <w:snapToGrid w:val="0"/>
        <w:spacing w:line="440" w:lineRule="exact"/>
        <w:ind w:firstLine="480" w:firstLineChars="200"/>
        <w:jc w:val="left"/>
        <w:outlineLvl w:val="1"/>
        <w:rPr>
          <w:b/>
          <w:bCs/>
          <w:sz w:val="24"/>
          <w:szCs w:val="24"/>
        </w:rPr>
      </w:pPr>
      <w:r>
        <w:rPr>
          <w:rFonts w:hint="eastAsia"/>
          <w:sz w:val="24"/>
          <w:szCs w:val="24"/>
        </w:rPr>
        <w:t>3</w:t>
      </w:r>
      <w:r>
        <w:rPr>
          <w:rFonts w:hint="eastAsia" w:asciiTheme="minorEastAsia" w:hAnsiTheme="minorEastAsia" w:eastAsiaTheme="minorEastAsia" w:cstheme="minorEastAsia"/>
          <w:sz w:val="24"/>
          <w:szCs w:val="24"/>
        </w:rPr>
        <w:t>.</w:t>
      </w:r>
      <w:r>
        <w:rPr>
          <w:rFonts w:hint="eastAsia"/>
          <w:sz w:val="24"/>
          <w:szCs w:val="24"/>
        </w:rPr>
        <w:t>《小型、微型企业声明函》等。（如有，格式自拟）</w:t>
      </w:r>
    </w:p>
    <w:p>
      <w:pPr>
        <w:snapToGrid w:val="0"/>
        <w:spacing w:line="440" w:lineRule="exact"/>
        <w:ind w:firstLine="241" w:firstLineChars="100"/>
        <w:jc w:val="left"/>
        <w:outlineLvl w:val="1"/>
        <w:rPr>
          <w:b/>
          <w:bCs/>
          <w:sz w:val="24"/>
          <w:szCs w:val="24"/>
        </w:rPr>
      </w:pPr>
      <w:r>
        <w:rPr>
          <w:rFonts w:hint="eastAsia"/>
          <w:b/>
          <w:bCs/>
          <w:sz w:val="24"/>
          <w:szCs w:val="24"/>
        </w:rPr>
        <w:t>（</w:t>
      </w:r>
      <w:r>
        <w:rPr>
          <w:b/>
          <w:bCs/>
          <w:sz w:val="24"/>
          <w:szCs w:val="24"/>
        </w:rPr>
        <w:t>二）响应文件的编制及装订</w:t>
      </w:r>
    </w:p>
    <w:p>
      <w:pPr>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响应文件由：①资格审查文件、②技术响应文件、③商务报价响应文件共三部分组成（以下由文件序号代称）。</w:t>
      </w:r>
    </w:p>
    <w:p>
      <w:pPr>
        <w:spacing w:line="440" w:lineRule="exact"/>
        <w:ind w:firstLine="484" w:firstLineChars="202"/>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按询价文件组成顺序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440" w:lineRule="exact"/>
        <w:ind w:firstLine="484" w:firstLineChars="202"/>
        <w:jc w:val="left"/>
        <w:rPr>
          <w:strike/>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响应文件的 “资格审查文件”、“技术响应文件”、“商务报价响应文件”各自装订成册。特别提示：“商务报价响应文件”必须单独装订和封装，不得出现在“资格审查文件”和“技术响应文件”之中</w:t>
      </w:r>
      <w:r>
        <w:rPr>
          <w:b/>
          <w:sz w:val="24"/>
          <w:szCs w:val="24"/>
        </w:rPr>
        <w:t>。</w:t>
      </w:r>
    </w:p>
    <w:p>
      <w:pPr>
        <w:snapToGrid w:val="0"/>
        <w:spacing w:line="440" w:lineRule="exact"/>
        <w:ind w:firstLine="482" w:firstLineChars="200"/>
        <w:jc w:val="left"/>
        <w:outlineLvl w:val="1"/>
        <w:rPr>
          <w:b/>
          <w:bCs/>
          <w:sz w:val="24"/>
          <w:szCs w:val="24"/>
        </w:rPr>
      </w:pPr>
      <w:r>
        <w:rPr>
          <w:b/>
          <w:bCs/>
          <w:sz w:val="24"/>
          <w:szCs w:val="24"/>
        </w:rPr>
        <w:t>（三）响应文件的份数、签署</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 xml:space="preserve">供应商应准备 </w:t>
      </w:r>
      <w:r>
        <w:rPr>
          <w:b/>
          <w:sz w:val="24"/>
          <w:szCs w:val="24"/>
          <w:u w:val="single"/>
        </w:rPr>
        <w:t>叁</w:t>
      </w:r>
      <w:r>
        <w:rPr>
          <w:sz w:val="24"/>
          <w:szCs w:val="24"/>
        </w:rPr>
        <w:t xml:space="preserve">份完整的响应文件，其中正本 </w:t>
      </w:r>
      <w:r>
        <w:rPr>
          <w:b/>
          <w:sz w:val="24"/>
          <w:szCs w:val="24"/>
        </w:rPr>
        <w:t xml:space="preserve">壹 </w:t>
      </w:r>
      <w:r>
        <w:rPr>
          <w:sz w:val="24"/>
          <w:szCs w:val="24"/>
        </w:rPr>
        <w:t>份，副本</w:t>
      </w:r>
      <w:r>
        <w:rPr>
          <w:b/>
          <w:sz w:val="24"/>
          <w:szCs w:val="24"/>
        </w:rPr>
        <w:t>贰</w:t>
      </w:r>
      <w:r>
        <w:rPr>
          <w:sz w:val="24"/>
          <w:szCs w:val="24"/>
        </w:rPr>
        <w:t>份，并标明“正本”或“副本”字样，若有差异，概以“正本”为准。</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响应文件分三册密封。第一册为“资格审查文件”，第二册为“技术响应文件”，第三册为“商务报价响应文件”，响应文件的第一册、第二册、第三册应分别密封，并在封袋上标明“第一册资格审查文件”、“第二册技术响应文件”、“第三册商务报价响应文件”。</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供应商可将响应文件正副本统一密封或分别密封，如正本和副本分别密封的，应在封袋上标明正、副本字样。</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响应文件正本须按询价文件要求由法定代表人或被授权人签字或盖章并加盖单位印章。副本可复印，但须加盖单位印章。</w:t>
      </w:r>
    </w:p>
    <w:p>
      <w:pPr>
        <w:snapToGrid w:val="0"/>
        <w:spacing w:line="440" w:lineRule="exact"/>
        <w:ind w:firstLine="472" w:firstLineChars="196"/>
        <w:jc w:val="left"/>
        <w:outlineLvl w:val="1"/>
        <w:rPr>
          <w:b/>
          <w:bCs/>
          <w:sz w:val="24"/>
          <w:szCs w:val="24"/>
        </w:rPr>
      </w:pPr>
      <w:r>
        <w:rPr>
          <w:b/>
          <w:bCs/>
          <w:sz w:val="24"/>
          <w:szCs w:val="24"/>
        </w:rPr>
        <w:t>（四）响应文件的密封及标记</w:t>
      </w:r>
    </w:p>
    <w:p>
      <w:pPr>
        <w:snapToGrid w:val="0"/>
        <w:spacing w:line="440" w:lineRule="exact"/>
        <w:ind w:firstLine="470" w:firstLineChars="196"/>
        <w:jc w:val="left"/>
        <w:outlineLvl w:val="1"/>
        <w:rPr>
          <w:sz w:val="24"/>
          <w:szCs w:val="24"/>
        </w:rPr>
      </w:pPr>
      <w:r>
        <w:rPr>
          <w:sz w:val="24"/>
          <w:szCs w:val="24"/>
        </w:rPr>
        <w:t>密封后应标明响应文件项目名称、供应商名称、响应文件各自对应的名称、边缝处加盖单位骑缝章或骑缝签字。</w:t>
      </w:r>
    </w:p>
    <w:p>
      <w:pPr>
        <w:spacing w:line="440" w:lineRule="exact"/>
        <w:ind w:firstLine="602" w:firstLineChars="250"/>
        <w:jc w:val="left"/>
        <w:rPr>
          <w:b/>
          <w:bCs/>
          <w:sz w:val="24"/>
          <w:szCs w:val="24"/>
        </w:rPr>
      </w:pPr>
      <w:r>
        <w:rPr>
          <w:rFonts w:hint="eastAsia"/>
          <w:b/>
          <w:bCs/>
          <w:sz w:val="24"/>
          <w:szCs w:val="24"/>
        </w:rPr>
        <w:t>五</w:t>
      </w:r>
      <w:r>
        <w:rPr>
          <w:b/>
          <w:bCs/>
          <w:sz w:val="24"/>
          <w:szCs w:val="24"/>
        </w:rPr>
        <w:t>、本询价文件由采购单位解释。</w:t>
      </w:r>
    </w:p>
    <w:p>
      <w:pPr>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供应商下载询价文件后，应仔细检查询价文件的所有内容，如有内容或页码残缺、资格要求和技术参数含有倾向性或排他性等表述的，</w:t>
      </w:r>
      <w:r>
        <w:rPr>
          <w:b/>
          <w:bCs/>
          <w:sz w:val="24"/>
          <w:szCs w:val="24"/>
        </w:rPr>
        <w:t>请在询价文件发布后2个工作日内，以书面形式提出询问或疑问</w:t>
      </w:r>
      <w:r>
        <w:rPr>
          <w:sz w:val="24"/>
          <w:szCs w:val="24"/>
        </w:rPr>
        <w:t>，未在规定时间内提出询问或疑问的，视同供应商理解并接受本询价文件所有内容，并由此引起的损失自负。供应商不得在响应结束后针对询价文件所有内容提出质疑事项。</w:t>
      </w:r>
      <w:r>
        <w:rPr>
          <w:b/>
          <w:bCs/>
          <w:sz w:val="24"/>
          <w:szCs w:val="24"/>
        </w:rPr>
        <w:t>非书面形式的不作为日后质疑提出的依据。</w:t>
      </w:r>
    </w:p>
    <w:p>
      <w:pPr>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w:t>
      </w:r>
    </w:p>
    <w:p>
      <w:pPr>
        <w:spacing w:line="440" w:lineRule="exact"/>
        <w:ind w:firstLine="480" w:firstLineChars="200"/>
        <w:jc w:val="left"/>
        <w:rPr>
          <w:sz w:val="24"/>
          <w:szCs w:val="24"/>
        </w:rPr>
      </w:pPr>
      <w:r>
        <w:rPr>
          <w:rFonts w:hint="eastAsia"/>
          <w:sz w:val="24"/>
          <w:szCs w:val="24"/>
        </w:rPr>
        <w:t>4.</w:t>
      </w:r>
      <w:r>
        <w:rPr>
          <w:sz w:val="24"/>
          <w:szCs w:val="24"/>
        </w:rPr>
        <w:t>供应商由于对询价文件的任何推论和误解以及采购单位、采购代理机构对有关问题的口头解释所造成的后果，均由供应商自负。</w:t>
      </w:r>
    </w:p>
    <w:p>
      <w:pPr>
        <w:spacing w:line="440" w:lineRule="exact"/>
        <w:ind w:firstLine="480" w:firstLineChars="200"/>
        <w:jc w:val="left"/>
        <w:rPr>
          <w:sz w:val="24"/>
          <w:szCs w:val="24"/>
        </w:rPr>
      </w:pPr>
      <w:r>
        <w:rPr>
          <w:rFonts w:hint="eastAsia"/>
          <w:sz w:val="24"/>
          <w:szCs w:val="24"/>
        </w:rPr>
        <w:t>5.</w:t>
      </w:r>
      <w:r>
        <w:rPr>
          <w:sz w:val="24"/>
          <w:szCs w:val="24"/>
        </w:rPr>
        <w:t>采购单位、采购代理机构可视情组织答疑会。</w:t>
      </w:r>
    </w:p>
    <w:p>
      <w:pPr>
        <w:adjustRightInd w:val="0"/>
        <w:snapToGrid w:val="0"/>
        <w:spacing w:line="440" w:lineRule="exact"/>
        <w:ind w:firstLine="487" w:firstLineChars="202"/>
        <w:jc w:val="left"/>
        <w:outlineLvl w:val="1"/>
        <w:rPr>
          <w:b/>
          <w:bCs/>
          <w:sz w:val="24"/>
          <w:szCs w:val="24"/>
        </w:rPr>
      </w:pPr>
      <w:r>
        <w:rPr>
          <w:rFonts w:hint="eastAsia"/>
          <w:b/>
          <w:bCs/>
          <w:sz w:val="24"/>
          <w:szCs w:val="24"/>
        </w:rPr>
        <w:t>六</w:t>
      </w:r>
      <w:r>
        <w:rPr>
          <w:b/>
          <w:bCs/>
          <w:sz w:val="24"/>
          <w:szCs w:val="24"/>
        </w:rPr>
        <w:t>、评审原则及方法</w:t>
      </w:r>
    </w:p>
    <w:p>
      <w:pPr>
        <w:adjustRightInd w:val="0"/>
        <w:snapToGrid w:val="0"/>
        <w:spacing w:line="440" w:lineRule="exact"/>
        <w:ind w:firstLine="482" w:firstLineChars="200"/>
        <w:jc w:val="left"/>
        <w:outlineLvl w:val="1"/>
        <w:rPr>
          <w:b/>
          <w:sz w:val="24"/>
          <w:szCs w:val="24"/>
          <w:u w:val="single"/>
        </w:rPr>
      </w:pPr>
      <w:r>
        <w:rPr>
          <w:rFonts w:hint="eastAsia"/>
          <w:b/>
          <w:sz w:val="24"/>
          <w:szCs w:val="24"/>
          <w:u w:val="single"/>
        </w:rPr>
        <w:t>1</w:t>
      </w:r>
      <w:r>
        <w:rPr>
          <w:rFonts w:hint="eastAsia" w:asciiTheme="minorEastAsia" w:hAnsiTheme="minorEastAsia" w:eastAsiaTheme="minorEastAsia" w:cstheme="minorEastAsia"/>
          <w:sz w:val="24"/>
          <w:szCs w:val="24"/>
          <w:u w:val="single"/>
        </w:rPr>
        <w:t>.</w:t>
      </w:r>
      <w:r>
        <w:rPr>
          <w:b/>
          <w:sz w:val="24"/>
          <w:szCs w:val="24"/>
          <w:u w:val="single"/>
        </w:rPr>
        <w:t>本项目采用最低评标价法。即指以价格为主要因素确定成交候选人的评标方法。原则即为：在全部满足询价文件实质性要求前提下，本着“公平、公正、诚信”的原则：依据 “符合采购需求、质量和服务相等且</w:t>
      </w:r>
      <w:r>
        <w:rPr>
          <w:rFonts w:hint="eastAsia"/>
          <w:b/>
          <w:sz w:val="24"/>
          <w:szCs w:val="24"/>
          <w:u w:val="single"/>
        </w:rPr>
        <w:t>总</w:t>
      </w:r>
      <w:r>
        <w:rPr>
          <w:b/>
          <w:sz w:val="24"/>
          <w:szCs w:val="24"/>
          <w:u w:val="single"/>
        </w:rPr>
        <w:t>报价最低的原则”，确定</w:t>
      </w:r>
      <w:r>
        <w:rPr>
          <w:rFonts w:hint="eastAsia"/>
          <w:b/>
          <w:sz w:val="24"/>
          <w:szCs w:val="24"/>
          <w:u w:val="single"/>
        </w:rPr>
        <w:t>第一</w:t>
      </w:r>
      <w:r>
        <w:rPr>
          <w:b/>
          <w:sz w:val="24"/>
          <w:szCs w:val="24"/>
          <w:u w:val="single"/>
        </w:rPr>
        <w:t>成交供应商。（注：1、本项目最高限</w:t>
      </w:r>
      <w:r>
        <w:rPr>
          <w:rFonts w:hint="eastAsia"/>
          <w:b/>
          <w:sz w:val="24"/>
          <w:szCs w:val="24"/>
          <w:u w:val="single"/>
        </w:rPr>
        <w:t>价19.995万</w:t>
      </w:r>
      <w:r>
        <w:rPr>
          <w:b/>
          <w:sz w:val="24"/>
          <w:szCs w:val="24"/>
          <w:u w:val="single"/>
        </w:rPr>
        <w:t>元，超过此报价者，为无效报价；2、供应商所提供的产品必须完全符合清单中关于品牌、规格、数量等方面的要求，不接受负偏离。）</w:t>
      </w:r>
    </w:p>
    <w:p>
      <w:pPr>
        <w:adjustRightInd w:val="0"/>
        <w:snapToGrid w:val="0"/>
        <w:spacing w:line="440" w:lineRule="exact"/>
        <w:ind w:firstLine="482" w:firstLineChars="200"/>
        <w:jc w:val="left"/>
        <w:outlineLvl w:val="1"/>
        <w:rPr>
          <w:b/>
          <w:sz w:val="24"/>
          <w:szCs w:val="24"/>
          <w:u w:val="single"/>
        </w:rPr>
      </w:pPr>
      <w:r>
        <w:rPr>
          <w:rFonts w:hint="eastAsia"/>
          <w:b/>
          <w:sz w:val="24"/>
          <w:szCs w:val="24"/>
          <w:u w:val="single"/>
        </w:rPr>
        <w:t>2. 本项目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pacing w:line="440" w:lineRule="exact"/>
        <w:ind w:firstLine="482" w:firstLineChars="200"/>
        <w:textAlignment w:val="baseline"/>
        <w:rPr>
          <w:rFonts w:ascii="宋体" w:hAnsi="宋体"/>
          <w:b/>
          <w:sz w:val="24"/>
          <w:szCs w:val="24"/>
        </w:rPr>
      </w:pPr>
      <w:r>
        <w:rPr>
          <w:rFonts w:hint="eastAsia"/>
          <w:b/>
          <w:sz w:val="24"/>
        </w:rPr>
        <w:t>3</w:t>
      </w:r>
      <w:r>
        <w:rPr>
          <w:rFonts w:hint="eastAsia" w:asciiTheme="minorEastAsia" w:hAnsiTheme="minorEastAsia" w:eastAsiaTheme="minorEastAsia" w:cstheme="minorEastAsia"/>
          <w:sz w:val="24"/>
        </w:rPr>
        <w:t>.</w:t>
      </w:r>
      <w:r>
        <w:rPr>
          <w:rFonts w:hint="eastAsia" w:ascii="宋体" w:hAnsi="宋体"/>
          <w:b/>
          <w:sz w:val="24"/>
          <w:szCs w:val="24"/>
        </w:rPr>
        <w:t xml:space="preserve"> 政府采购政策功能落实</w:t>
      </w:r>
    </w:p>
    <w:p>
      <w:pPr>
        <w:snapToGrid w:val="0"/>
        <w:spacing w:line="440" w:lineRule="exact"/>
        <w:ind w:firstLine="480" w:firstLineChars="200"/>
        <w:rPr>
          <w:rFonts w:ascii="宋体" w:hAnsi="宋体"/>
          <w:sz w:val="24"/>
          <w:szCs w:val="24"/>
        </w:rPr>
      </w:pPr>
      <w:r>
        <w:rPr>
          <w:rFonts w:hint="eastAsia" w:ascii="宋体" w:hAnsi="宋体"/>
          <w:sz w:val="24"/>
          <w:szCs w:val="24"/>
        </w:rPr>
        <w:t>1、小微型企业价格扣除</w:t>
      </w:r>
    </w:p>
    <w:p>
      <w:pPr>
        <w:snapToGrid w:val="0"/>
        <w:spacing w:line="440" w:lineRule="exact"/>
        <w:ind w:firstLine="480" w:firstLineChars="200"/>
        <w:rPr>
          <w:rFonts w:ascii="宋体" w:hAnsi="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w:t>
      </w:r>
      <w:r>
        <w:rPr>
          <w:rFonts w:ascii="宋体" w:hAnsi="宋体"/>
          <w:sz w:val="24"/>
          <w:szCs w:val="24"/>
        </w:rPr>
        <w:t>、江苏省财政厅《关于新冠肺炎疫情防控期间加大政府采购支持中小微企业力度的通知》（苏财购【2020】19号）文件精神，对于非专门面向中小企业的项目，对小型和微型企业产品的价格给予10%的扣除，用扣除后的价格参与价格分的评审。（即所投品目号产品属于小型和微型企业产品的，按其品目号的合计投标价格的10%进行扣除，若所提供的属于小型和微型企业产品仅是构成投标产品的部件、组件或零件的，则该投标产品不享受该政策）。</w:t>
      </w:r>
    </w:p>
    <w:p>
      <w:pPr>
        <w:snapToGrid w:val="0"/>
        <w:spacing w:line="440" w:lineRule="exact"/>
        <w:ind w:firstLine="480" w:firstLineChars="200"/>
        <w:rPr>
          <w:rFonts w:ascii="宋体" w:hAnsi="宋体"/>
          <w:sz w:val="24"/>
          <w:szCs w:val="24"/>
        </w:rPr>
      </w:pPr>
      <w:r>
        <w:rPr>
          <w:rFonts w:hint="eastAsia" w:ascii="宋体" w:hAnsi="宋体"/>
          <w:sz w:val="24"/>
          <w:szCs w:val="24"/>
        </w:rPr>
        <w:t>（1）本项目对小型和微型企业产品给予10%的扣除价格，用扣除后的价格参与评审。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（2）供应商需按照采购文件的要求提供相应的《小型、微型企业声明函》。</w:t>
      </w:r>
    </w:p>
    <w:p>
      <w:pPr>
        <w:snapToGrid w:val="0"/>
        <w:spacing w:line="440" w:lineRule="exact"/>
        <w:ind w:firstLine="480" w:firstLineChars="200"/>
        <w:rPr>
          <w:rFonts w:ascii="宋体" w:hAnsi="宋体"/>
          <w:sz w:val="24"/>
          <w:szCs w:val="24"/>
        </w:rPr>
      </w:pPr>
      <w:r>
        <w:rPr>
          <w:rFonts w:hint="eastAsia" w:ascii="宋体" w:hAnsi="宋体"/>
          <w:sz w:val="24"/>
          <w:szCs w:val="24"/>
        </w:rPr>
        <w:t>（3）企业标准请参照《关于印发中小企业划型标准规定的通知》（工信部联企业[2011]300号）文件规定自行填写。</w:t>
      </w:r>
    </w:p>
    <w:p>
      <w:pPr>
        <w:snapToGrid w:val="0"/>
        <w:spacing w:line="440" w:lineRule="exact"/>
        <w:ind w:firstLine="480" w:firstLineChars="200"/>
        <w:rPr>
          <w:rFonts w:ascii="宋体" w:hAnsi="宋体"/>
          <w:sz w:val="24"/>
          <w:szCs w:val="24"/>
        </w:rPr>
      </w:pPr>
      <w:r>
        <w:rPr>
          <w:rFonts w:hint="eastAsia" w:ascii="宋体" w:hAnsi="宋体"/>
          <w:sz w:val="24"/>
          <w:szCs w:val="24"/>
        </w:rPr>
        <w:t>2、残疾人福利单位价格扣除</w:t>
      </w:r>
    </w:p>
    <w:p>
      <w:pPr>
        <w:snapToGrid w:val="0"/>
        <w:spacing w:line="440" w:lineRule="exact"/>
        <w:ind w:firstLine="480" w:firstLineChars="200"/>
        <w:rPr>
          <w:rFonts w:ascii="宋体" w:hAnsi="宋体"/>
          <w:sz w:val="24"/>
          <w:szCs w:val="24"/>
        </w:rPr>
      </w:pPr>
      <w:r>
        <w:rPr>
          <w:rFonts w:hint="eastAsia" w:ascii="宋体" w:hAnsi="宋体"/>
          <w:sz w:val="24"/>
          <w:szCs w:val="24"/>
        </w:rPr>
        <w:t>（1）本项目对残疾人福利性单位视同小型、微型企业，给予6%的价格扣除，用扣除后的价格参与评审。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（2）残疾人福利单位需按照采购文件的要求提供《残疾人福利性单位声明函》。</w:t>
      </w:r>
    </w:p>
    <w:p>
      <w:pPr>
        <w:snapToGrid w:val="0"/>
        <w:spacing w:line="440" w:lineRule="exact"/>
        <w:ind w:firstLine="480" w:firstLineChars="200"/>
        <w:rPr>
          <w:rFonts w:ascii="宋体" w:hAnsi="宋体"/>
          <w:sz w:val="24"/>
          <w:szCs w:val="24"/>
        </w:rPr>
      </w:pPr>
      <w:r>
        <w:rPr>
          <w:rFonts w:hint="eastAsia" w:ascii="宋体" w:hAnsi="宋体"/>
          <w:sz w:val="24"/>
          <w:szCs w:val="24"/>
        </w:rPr>
        <w:t>（3）残疾人福利单位标准请参照《关于促进残疾人就业政府采购政策的通知》（财库〔2017〕141号）。</w:t>
      </w:r>
    </w:p>
    <w:p>
      <w:pPr>
        <w:snapToGrid w:val="0"/>
        <w:spacing w:line="440" w:lineRule="exact"/>
        <w:ind w:firstLine="480" w:firstLineChars="200"/>
        <w:rPr>
          <w:rFonts w:ascii="宋体" w:hAnsi="宋体"/>
          <w:sz w:val="24"/>
          <w:szCs w:val="24"/>
        </w:rPr>
      </w:pPr>
      <w:r>
        <w:rPr>
          <w:rFonts w:hint="eastAsia" w:ascii="宋体" w:hAnsi="宋体"/>
          <w:sz w:val="24"/>
          <w:szCs w:val="24"/>
        </w:rPr>
        <w:t>3、监狱和戒毒企业价格扣除</w:t>
      </w:r>
    </w:p>
    <w:p>
      <w:pPr>
        <w:snapToGrid w:val="0"/>
        <w:spacing w:line="440" w:lineRule="exact"/>
        <w:ind w:firstLine="480" w:firstLineChars="200"/>
        <w:rPr>
          <w:rFonts w:ascii="宋体" w:hAnsi="宋体"/>
          <w:sz w:val="24"/>
          <w:szCs w:val="24"/>
        </w:rPr>
      </w:pPr>
      <w:r>
        <w:rPr>
          <w:rFonts w:hint="eastAsia" w:ascii="宋体" w:hAnsi="宋体"/>
          <w:sz w:val="24"/>
          <w:szCs w:val="24"/>
        </w:rPr>
        <w:t>（1）本项目对监狱和戒毒企业（简称监狱企业）视同小型、微型企业，给予6%的价格扣除，用扣除后的价格参与评审。</w:t>
      </w:r>
    </w:p>
    <w:p>
      <w:pPr>
        <w:snapToGrid w:val="0"/>
        <w:spacing w:line="440" w:lineRule="exact"/>
        <w:ind w:firstLine="480" w:firstLineChars="200"/>
        <w:rPr>
          <w:rFonts w:ascii="宋体" w:hAnsi="宋体"/>
          <w:sz w:val="24"/>
          <w:szCs w:val="24"/>
        </w:rPr>
      </w:pPr>
      <w:r>
        <w:rPr>
          <w:rFonts w:hint="eastAsia" w:ascii="宋体" w:hAnsi="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40" w:lineRule="exact"/>
        <w:ind w:firstLine="480" w:firstLineChars="200"/>
        <w:rPr>
          <w:rFonts w:ascii="宋体" w:hAnsi="宋体"/>
          <w:sz w:val="24"/>
          <w:szCs w:val="24"/>
        </w:rPr>
      </w:pPr>
      <w:r>
        <w:rPr>
          <w:rFonts w:hint="eastAsia" w:ascii="宋体" w:hAnsi="宋体"/>
          <w:sz w:val="24"/>
          <w:szCs w:val="24"/>
        </w:rPr>
        <w:t>（3）监狱企业标准请参照《关于政府采购支持监狱企业发展有关问题的通知》（</w:t>
      </w:r>
      <w:r>
        <w:rPr>
          <w:rFonts w:ascii="宋体" w:hAnsi="宋体"/>
          <w:sz w:val="24"/>
          <w:szCs w:val="24"/>
        </w:rPr>
        <w:t>财库[2014]68号</w:t>
      </w:r>
      <w:r>
        <w:rPr>
          <w:rFonts w:hint="eastAsia" w:ascii="宋体" w:hAnsi="宋体"/>
          <w:sz w:val="24"/>
          <w:szCs w:val="24"/>
        </w:rPr>
        <w:t>）。</w:t>
      </w:r>
    </w:p>
    <w:p>
      <w:pPr>
        <w:snapToGrid w:val="0"/>
        <w:spacing w:line="440" w:lineRule="exact"/>
        <w:ind w:firstLine="480" w:firstLineChars="200"/>
        <w:rPr>
          <w:rFonts w:ascii="宋体" w:hAnsi="宋体"/>
          <w:sz w:val="24"/>
          <w:szCs w:val="24"/>
        </w:rPr>
      </w:pPr>
      <w:r>
        <w:rPr>
          <w:rFonts w:hint="eastAsia" w:ascii="宋体" w:hAnsi="宋体"/>
          <w:sz w:val="24"/>
          <w:szCs w:val="24"/>
        </w:rPr>
        <w:t>4、残疾人福利单位、监狱企业属于小型、微型企业的，不重复享受政策。</w:t>
      </w:r>
    </w:p>
    <w:p>
      <w:pPr>
        <w:snapToGrid w:val="0"/>
        <w:spacing w:line="440" w:lineRule="exact"/>
        <w:ind w:firstLine="480" w:firstLineChars="200"/>
        <w:rPr>
          <w:rFonts w:ascii="宋体" w:hAnsi="宋体"/>
          <w:sz w:val="24"/>
          <w:szCs w:val="24"/>
        </w:rPr>
      </w:pPr>
      <w:r>
        <w:rPr>
          <w:rFonts w:hint="eastAsia" w:ascii="宋体" w:hAnsi="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440" w:lineRule="exact"/>
        <w:ind w:firstLine="480" w:firstLineChars="200"/>
        <w:rPr>
          <w:rFonts w:ascii="宋体" w:hAnsi="宋体"/>
          <w:sz w:val="24"/>
          <w:szCs w:val="24"/>
        </w:rPr>
      </w:pPr>
      <w:r>
        <w:rPr>
          <w:rFonts w:hint="eastAsia" w:ascii="宋体" w:hAnsi="宋体"/>
          <w:sz w:val="24"/>
          <w:szCs w:val="24"/>
        </w:rPr>
        <w:t>6、联合体各方均为小型、微型企业（残疾人福利单位、监狱企业）的，联合体享受6%价格扣除，用扣除后的价格参与评审。</w:t>
      </w:r>
    </w:p>
    <w:p>
      <w:pPr>
        <w:pStyle w:val="14"/>
        <w:spacing w:after="0" w:line="440" w:lineRule="exact"/>
        <w:ind w:left="0" w:leftChars="0" w:firstLine="480"/>
        <w:rPr>
          <w:b/>
          <w:sz w:val="24"/>
        </w:rPr>
      </w:pPr>
      <w:r>
        <w:rPr>
          <w:rFonts w:hint="eastAsia" w:ascii="宋体" w:hAnsi="宋体"/>
          <w:sz w:val="24"/>
        </w:rPr>
        <w:t>7、根据《江苏省政府采购信用管理暂行办法》的规定，对有失信行为的供应商将根据信用评价结果按规定予以扣分或价格加成。</w:t>
      </w:r>
    </w:p>
    <w:p>
      <w:pPr>
        <w:spacing w:line="440" w:lineRule="exact"/>
        <w:ind w:firstLine="482" w:firstLineChars="200"/>
        <w:jc w:val="left"/>
        <w:rPr>
          <w:b/>
          <w:bCs/>
          <w:sz w:val="24"/>
          <w:szCs w:val="24"/>
        </w:rPr>
      </w:pPr>
      <w:r>
        <w:rPr>
          <w:rFonts w:hint="eastAsia"/>
          <w:b/>
          <w:bCs/>
          <w:sz w:val="24"/>
          <w:szCs w:val="24"/>
        </w:rPr>
        <w:t>七</w:t>
      </w:r>
      <w:r>
        <w:rPr>
          <w:b/>
          <w:bCs/>
          <w:sz w:val="24"/>
          <w:szCs w:val="24"/>
        </w:rPr>
        <w:t>、合同的签订与付款</w:t>
      </w:r>
    </w:p>
    <w:p>
      <w:pPr>
        <w:snapToGrid w:val="0"/>
        <w:spacing w:line="440" w:lineRule="exact"/>
        <w:ind w:firstLine="484" w:firstLineChars="202"/>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询价采购结果将在南通市崇川区人民政府(</w:t>
      </w:r>
      <w:r>
        <w:fldChar w:fldCharType="begin"/>
      </w:r>
      <w:r>
        <w:instrText xml:space="preserve"> HYPERLINK "http://www.chongchuan.gov.cn/" </w:instrText>
      </w:r>
      <w:r>
        <w:fldChar w:fldCharType="separate"/>
      </w:r>
      <w:r>
        <w:rPr>
          <w:sz w:val="24"/>
          <w:szCs w:val="24"/>
        </w:rPr>
        <w:t>www.chongchuan.gov.cn</w:t>
      </w:r>
      <w:r>
        <w:rPr>
          <w:sz w:val="24"/>
          <w:szCs w:val="24"/>
        </w:rPr>
        <w:fldChar w:fldCharType="end"/>
      </w:r>
      <w:r>
        <w:rPr>
          <w:sz w:val="24"/>
          <w:szCs w:val="24"/>
        </w:rPr>
        <w:t>)公示。成交供应商在成交通知书发出后</w:t>
      </w:r>
      <w:r>
        <w:rPr>
          <w:rFonts w:hint="eastAsia"/>
          <w:sz w:val="24"/>
          <w:szCs w:val="24"/>
        </w:rPr>
        <w:t>15</w:t>
      </w:r>
      <w:r>
        <w:rPr>
          <w:sz w:val="24"/>
          <w:szCs w:val="24"/>
        </w:rPr>
        <w:t>日内与采购单位签订合同。合同一式四份，</w:t>
      </w:r>
      <w:r>
        <w:rPr>
          <w:rFonts w:hint="eastAsia"/>
          <w:sz w:val="24"/>
          <w:szCs w:val="24"/>
        </w:rPr>
        <w:t>采购单位</w:t>
      </w:r>
      <w:r>
        <w:rPr>
          <w:sz w:val="24"/>
          <w:szCs w:val="24"/>
        </w:rPr>
        <w:t>、供应商各</w:t>
      </w:r>
      <w:r>
        <w:rPr>
          <w:rFonts w:hint="eastAsia"/>
          <w:sz w:val="24"/>
          <w:szCs w:val="24"/>
        </w:rPr>
        <w:t>贰</w:t>
      </w:r>
      <w:r>
        <w:rPr>
          <w:sz w:val="24"/>
          <w:szCs w:val="24"/>
        </w:rPr>
        <w:t>份。</w:t>
      </w:r>
    </w:p>
    <w:p>
      <w:pPr>
        <w:snapToGrid w:val="0"/>
        <w:spacing w:line="440" w:lineRule="exact"/>
        <w:ind w:firstLine="484" w:firstLineChars="202"/>
        <w:jc w:val="left"/>
        <w:rPr>
          <w:sz w:val="24"/>
          <w:szCs w:val="24"/>
        </w:rPr>
      </w:pPr>
      <w:r>
        <w:rPr>
          <w:sz w:val="24"/>
          <w:szCs w:val="24"/>
        </w:rPr>
        <w:t>2</w:t>
      </w:r>
      <w:r>
        <w:rPr>
          <w:rFonts w:hint="eastAsia" w:asciiTheme="minorEastAsia" w:hAnsiTheme="minorEastAsia" w:eastAsiaTheme="minorEastAsia" w:cstheme="minorEastAsia"/>
          <w:sz w:val="24"/>
          <w:szCs w:val="24"/>
        </w:rPr>
        <w:t>.</w:t>
      </w:r>
      <w:r>
        <w:rPr>
          <w:rFonts w:hint="eastAsia"/>
          <w:sz w:val="24"/>
          <w:szCs w:val="24"/>
        </w:rPr>
        <w:t xml:space="preserve"> 产品交付安装</w:t>
      </w:r>
      <w:r>
        <w:rPr>
          <w:sz w:val="24"/>
          <w:szCs w:val="24"/>
        </w:rPr>
        <w:t>：</w:t>
      </w:r>
      <w:r>
        <w:rPr>
          <w:rFonts w:hint="eastAsia"/>
          <w:sz w:val="24"/>
          <w:szCs w:val="24"/>
        </w:rPr>
        <w:t>合同签订生效后</w:t>
      </w:r>
      <w:r>
        <w:rPr>
          <w:rFonts w:hint="eastAsia"/>
          <w:sz w:val="24"/>
          <w:szCs w:val="24"/>
          <w:u w:val="single"/>
        </w:rPr>
        <w:t>10</w:t>
      </w:r>
      <w:r>
        <w:rPr>
          <w:rFonts w:hint="eastAsia"/>
          <w:sz w:val="24"/>
          <w:szCs w:val="24"/>
        </w:rPr>
        <w:t>日历天（含节假日和夜间施工）内供货并安装、调试完毕。</w:t>
      </w:r>
    </w:p>
    <w:p>
      <w:pPr>
        <w:snapToGrid w:val="0"/>
        <w:spacing w:line="440" w:lineRule="exact"/>
        <w:ind w:firstLine="484" w:firstLineChars="202"/>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付款方式：</w:t>
      </w:r>
    </w:p>
    <w:p>
      <w:pPr>
        <w:snapToGrid w:val="0"/>
        <w:spacing w:line="440" w:lineRule="exact"/>
        <w:ind w:firstLine="484" w:firstLineChars="202"/>
        <w:jc w:val="left"/>
        <w:rPr>
          <w:sz w:val="24"/>
          <w:szCs w:val="24"/>
        </w:rPr>
      </w:pPr>
      <w:r>
        <w:rPr>
          <w:rFonts w:hint="eastAsia"/>
          <w:sz w:val="24"/>
          <w:szCs w:val="24"/>
        </w:rPr>
        <w:t>(1)自合同签订生效后支付合同金额的30%，货物安装调试完成且验收合格后支付至合同金额的95%，余款待质保期满后一次性付清。</w:t>
      </w:r>
    </w:p>
    <w:p>
      <w:pPr>
        <w:snapToGrid w:val="0"/>
        <w:spacing w:line="440" w:lineRule="exact"/>
        <w:ind w:firstLine="480" w:firstLineChars="200"/>
        <w:jc w:val="left"/>
        <w:rPr>
          <w:sz w:val="24"/>
          <w:szCs w:val="24"/>
        </w:rPr>
      </w:pPr>
      <w:r>
        <w:rPr>
          <w:rFonts w:hint="eastAsia"/>
          <w:sz w:val="24"/>
          <w:szCs w:val="24"/>
        </w:rPr>
        <w:t xml:space="preserve"> (2)甲方凭乙方提供的各阶段应付金额的合格销售发票，在10个工作日内付款。</w:t>
      </w:r>
    </w:p>
    <w:p>
      <w:pPr>
        <w:snapToGrid w:val="0"/>
        <w:spacing w:line="440" w:lineRule="exact"/>
        <w:ind w:firstLine="484" w:firstLineChars="202"/>
        <w:jc w:val="left"/>
        <w:rPr>
          <w:sz w:val="24"/>
          <w:szCs w:val="24"/>
        </w:rPr>
      </w:pPr>
      <w:r>
        <w:rPr>
          <w:rFonts w:hint="eastAsia"/>
          <w:sz w:val="24"/>
          <w:szCs w:val="24"/>
        </w:rPr>
        <w:t>(3)最终以双方签订的采购合同内确定的条款为准执行</w:t>
      </w:r>
      <w:r>
        <w:rPr>
          <w:sz w:val="24"/>
          <w:szCs w:val="24"/>
        </w:rPr>
        <w:t>。</w:t>
      </w:r>
    </w:p>
    <w:p>
      <w:pPr>
        <w:spacing w:line="440" w:lineRule="exact"/>
        <w:ind w:firstLine="436" w:firstLineChars="181"/>
        <w:jc w:val="left"/>
        <w:rPr>
          <w:b/>
          <w:bCs/>
          <w:sz w:val="24"/>
          <w:szCs w:val="24"/>
        </w:rPr>
      </w:pPr>
      <w:r>
        <w:rPr>
          <w:rFonts w:hint="eastAsia"/>
          <w:b/>
          <w:bCs/>
          <w:sz w:val="24"/>
          <w:szCs w:val="24"/>
        </w:rPr>
        <w:t>八</w:t>
      </w:r>
      <w:r>
        <w:rPr>
          <w:b/>
          <w:bCs/>
          <w:sz w:val="24"/>
          <w:szCs w:val="24"/>
        </w:rPr>
        <w:t>、出现下列情形之一的，作无效询价响应处理</w:t>
      </w:r>
    </w:p>
    <w:p>
      <w:pPr>
        <w:snapToGrid w:val="0"/>
        <w:spacing w:line="440" w:lineRule="exact"/>
        <w:ind w:firstLine="484" w:firstLineChars="202"/>
        <w:jc w:val="left"/>
        <w:rPr>
          <w:sz w:val="24"/>
          <w:szCs w:val="24"/>
        </w:rPr>
      </w:pPr>
      <w:r>
        <w:rPr>
          <w:rFonts w:hint="eastAsia"/>
          <w:sz w:val="24"/>
          <w:szCs w:val="24"/>
        </w:rPr>
        <w:t>1.</w:t>
      </w:r>
      <w:r>
        <w:rPr>
          <w:sz w:val="24"/>
          <w:szCs w:val="24"/>
        </w:rPr>
        <w:t>响应文件未按规定要求装订、密封、签署、盖章的；</w:t>
      </w:r>
    </w:p>
    <w:p>
      <w:pPr>
        <w:snapToGrid w:val="0"/>
        <w:spacing w:line="440" w:lineRule="exact"/>
        <w:ind w:firstLine="484" w:firstLineChars="202"/>
        <w:jc w:val="left"/>
        <w:rPr>
          <w:sz w:val="24"/>
          <w:szCs w:val="24"/>
        </w:rPr>
      </w:pPr>
      <w:r>
        <w:rPr>
          <w:rFonts w:hint="eastAsia"/>
          <w:sz w:val="24"/>
          <w:szCs w:val="24"/>
        </w:rPr>
        <w:t>2</w:t>
      </w:r>
      <w:r>
        <w:rPr>
          <w:rFonts w:hint="eastAsia" w:asciiTheme="minorEastAsia" w:hAnsiTheme="minorEastAsia" w:eastAsiaTheme="minorEastAsia" w:cstheme="minorEastAsia"/>
          <w:sz w:val="24"/>
          <w:szCs w:val="24"/>
        </w:rPr>
        <w:t>.</w:t>
      </w:r>
      <w:r>
        <w:rPr>
          <w:sz w:val="24"/>
          <w:szCs w:val="24"/>
        </w:rPr>
        <w:t>响应文件资格审查文件、技术响应文件部分出现商务报价的内容；</w:t>
      </w:r>
    </w:p>
    <w:p>
      <w:pPr>
        <w:snapToGrid w:val="0"/>
        <w:spacing w:line="440" w:lineRule="exact"/>
        <w:ind w:firstLine="484" w:firstLineChars="202"/>
        <w:jc w:val="left"/>
        <w:rPr>
          <w:sz w:val="24"/>
          <w:szCs w:val="24"/>
        </w:rPr>
      </w:pPr>
      <w:r>
        <w:rPr>
          <w:rFonts w:hint="eastAsia"/>
          <w:sz w:val="24"/>
          <w:szCs w:val="24"/>
        </w:rPr>
        <w:t>3</w:t>
      </w:r>
      <w:r>
        <w:rPr>
          <w:rFonts w:hint="eastAsia" w:asciiTheme="minorEastAsia" w:hAnsiTheme="minorEastAsia" w:eastAsiaTheme="minorEastAsia" w:cstheme="minorEastAsia"/>
          <w:sz w:val="24"/>
          <w:szCs w:val="24"/>
        </w:rPr>
        <w:t>.</w:t>
      </w:r>
      <w:r>
        <w:rPr>
          <w:sz w:val="24"/>
          <w:szCs w:val="24"/>
        </w:rPr>
        <w:t>不具备询价文件规定的资格要求的；</w:t>
      </w:r>
    </w:p>
    <w:p>
      <w:pPr>
        <w:snapToGrid w:val="0"/>
        <w:spacing w:line="440" w:lineRule="exact"/>
        <w:ind w:firstLine="484" w:firstLineChars="202"/>
        <w:jc w:val="left"/>
        <w:rPr>
          <w:sz w:val="24"/>
          <w:szCs w:val="24"/>
        </w:rPr>
      </w:pPr>
      <w:r>
        <w:rPr>
          <w:rFonts w:hint="eastAsia"/>
          <w:sz w:val="24"/>
          <w:szCs w:val="24"/>
        </w:rPr>
        <w:t>4</w:t>
      </w:r>
      <w:r>
        <w:rPr>
          <w:rFonts w:hint="eastAsia" w:asciiTheme="minorEastAsia" w:hAnsiTheme="minorEastAsia" w:eastAsiaTheme="minorEastAsia" w:cstheme="minorEastAsia"/>
          <w:sz w:val="24"/>
          <w:szCs w:val="24"/>
        </w:rPr>
        <w:t>.</w:t>
      </w:r>
      <w:r>
        <w:rPr>
          <w:sz w:val="24"/>
          <w:szCs w:val="24"/>
        </w:rPr>
        <w:t>不符合法律、法规和询价文件中规定的其他实质性要求的；</w:t>
      </w:r>
    </w:p>
    <w:p>
      <w:pPr>
        <w:snapToGrid w:val="0"/>
        <w:spacing w:line="440" w:lineRule="exact"/>
        <w:ind w:firstLine="480" w:firstLineChars="200"/>
        <w:jc w:val="left"/>
        <w:rPr>
          <w:sz w:val="24"/>
          <w:szCs w:val="24"/>
        </w:rPr>
      </w:pPr>
      <w:r>
        <w:rPr>
          <w:rFonts w:hint="eastAsia"/>
          <w:sz w:val="24"/>
          <w:szCs w:val="24"/>
        </w:rPr>
        <w:t>5</w:t>
      </w:r>
      <w:r>
        <w:rPr>
          <w:rFonts w:hint="eastAsia" w:asciiTheme="minorEastAsia" w:hAnsiTheme="minorEastAsia" w:eastAsiaTheme="minorEastAsia" w:cstheme="minorEastAsia"/>
          <w:sz w:val="24"/>
          <w:szCs w:val="24"/>
        </w:rPr>
        <w:t>.</w:t>
      </w:r>
      <w:r>
        <w:rPr>
          <w:sz w:val="24"/>
          <w:szCs w:val="24"/>
        </w:rPr>
        <w:t>询价评审小组可以认定为无效询价响应的其他情况。</w:t>
      </w:r>
    </w:p>
    <w:p>
      <w:pPr>
        <w:snapToGrid w:val="0"/>
        <w:spacing w:line="440" w:lineRule="exact"/>
        <w:ind w:firstLine="482" w:firstLineChars="200"/>
        <w:jc w:val="left"/>
        <w:outlineLvl w:val="1"/>
        <w:rPr>
          <w:b/>
          <w:bCs/>
          <w:sz w:val="24"/>
          <w:szCs w:val="24"/>
        </w:rPr>
      </w:pPr>
      <w:r>
        <w:rPr>
          <w:rFonts w:hint="eastAsia"/>
          <w:b/>
          <w:bCs/>
          <w:sz w:val="24"/>
          <w:szCs w:val="24"/>
        </w:rPr>
        <w:t>九</w:t>
      </w:r>
      <w:r>
        <w:rPr>
          <w:b/>
          <w:bCs/>
          <w:sz w:val="24"/>
          <w:szCs w:val="24"/>
        </w:rPr>
        <w:t xml:space="preserve">、出现下列情形之一的，作废标处理  </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符合资格条件或者对询价文件作实质响应的单位不足3家的；</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出现影响采购公正的违法违规行为的；</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因重大变故，采购任务被取消的；</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供应商的报价均超出了采购</w:t>
      </w:r>
      <w:r>
        <w:rPr>
          <w:rFonts w:hint="eastAsia"/>
          <w:sz w:val="24"/>
          <w:szCs w:val="24"/>
        </w:rPr>
        <w:t>总</w:t>
      </w:r>
      <w:r>
        <w:rPr>
          <w:sz w:val="24"/>
          <w:szCs w:val="24"/>
        </w:rPr>
        <w:t>预算</w:t>
      </w:r>
      <w:r>
        <w:rPr>
          <w:rFonts w:hint="eastAsia"/>
          <w:sz w:val="24"/>
          <w:szCs w:val="24"/>
        </w:rPr>
        <w:t>的或者超出各采购单位采购预算的，</w:t>
      </w:r>
      <w:r>
        <w:rPr>
          <w:sz w:val="24"/>
          <w:szCs w:val="24"/>
        </w:rPr>
        <w:t>采购单位不能支付的；</w:t>
      </w:r>
    </w:p>
    <w:p>
      <w:pPr>
        <w:pStyle w:val="14"/>
        <w:spacing w:after="0" w:line="440" w:lineRule="exact"/>
        <w:ind w:left="0" w:leftChars="0" w:firstLine="480"/>
        <w:rPr>
          <w:b/>
          <w:bCs/>
          <w:w w:val="80"/>
          <w:kern w:val="44"/>
          <w:sz w:val="36"/>
          <w:szCs w:val="36"/>
        </w:rPr>
        <w:sectPr>
          <w:headerReference r:id="rId3" w:type="default"/>
          <w:footerReference r:id="rId4" w:type="default"/>
          <w:pgSz w:w="11906" w:h="16838"/>
          <w:pgMar w:top="1361" w:right="1361" w:bottom="1361" w:left="1361" w:header="851" w:footer="992" w:gutter="0"/>
          <w:cols w:space="720" w:num="1"/>
          <w:docGrid w:linePitch="328" w:charSpace="733"/>
        </w:sectPr>
      </w:pPr>
      <w:r>
        <w:rPr>
          <w:sz w:val="24"/>
        </w:rPr>
        <w:t>5</w:t>
      </w:r>
      <w:r>
        <w:rPr>
          <w:rFonts w:hint="eastAsia" w:asciiTheme="minorEastAsia" w:hAnsiTheme="minorEastAsia" w:eastAsiaTheme="minorEastAsia" w:cstheme="minorEastAsia"/>
          <w:sz w:val="24"/>
        </w:rPr>
        <w:t>.</w:t>
      </w:r>
      <w:r>
        <w:rPr>
          <w:sz w:val="24"/>
        </w:rPr>
        <w:t>询价评审小组可以认定为废标的其他情况</w:t>
      </w:r>
      <w:r>
        <w:rPr>
          <w:rFonts w:hint="eastAsia"/>
          <w:sz w:val="24"/>
        </w:rPr>
        <w:t>。</w:t>
      </w:r>
    </w:p>
    <w:p>
      <w:pPr>
        <w:pStyle w:val="14"/>
        <w:ind w:left="0" w:leftChars="0" w:firstLine="0" w:firstLineChars="0"/>
        <w:jc w:val="center"/>
        <w:rPr>
          <w:b/>
          <w:bCs/>
          <w:w w:val="80"/>
          <w:kern w:val="44"/>
          <w:sz w:val="36"/>
          <w:szCs w:val="36"/>
        </w:rPr>
      </w:pPr>
      <w:r>
        <w:rPr>
          <w:rFonts w:hint="eastAsia"/>
          <w:b/>
          <w:bCs/>
          <w:w w:val="80"/>
          <w:kern w:val="44"/>
          <w:sz w:val="36"/>
          <w:szCs w:val="36"/>
        </w:rPr>
        <w:t xml:space="preserve">第三章  </w:t>
      </w:r>
      <w:r>
        <w:rPr>
          <w:b/>
          <w:bCs/>
          <w:w w:val="80"/>
          <w:kern w:val="44"/>
          <w:sz w:val="36"/>
          <w:szCs w:val="36"/>
        </w:rPr>
        <w:t>项目需求</w:t>
      </w:r>
    </w:p>
    <w:p>
      <w:pPr>
        <w:tabs>
          <w:tab w:val="left" w:pos="5325"/>
        </w:tabs>
        <w:snapToGrid w:val="0"/>
        <w:spacing w:line="440" w:lineRule="exact"/>
        <w:ind w:firstLine="482" w:firstLineChars="200"/>
        <w:rPr>
          <w:rFonts w:cs="仿宋_GB2312" w:asciiTheme="minorEastAsia" w:hAnsiTheme="minorEastAsia" w:eastAsiaTheme="minorEastAsia"/>
          <w:sz w:val="24"/>
          <w:szCs w:val="24"/>
        </w:rPr>
      </w:pPr>
      <w:r>
        <w:rPr>
          <w:rFonts w:cs="仿宋_GB2312" w:asciiTheme="minorEastAsia" w:hAnsiTheme="minorEastAsia" w:eastAsiaTheme="minorEastAsia"/>
          <w:b/>
          <w:sz w:val="24"/>
          <w:szCs w:val="24"/>
        </w:rPr>
        <w:t>特别提醒：请供应商制作询价响应文件时仔细研究项目需求说明。</w:t>
      </w:r>
      <w:r>
        <w:rPr>
          <w:rFonts w:cs="仿宋_GB2312" w:asciiTheme="minorEastAsia" w:hAnsiTheme="minorEastAsia" w:eastAsiaTheme="minorEastAsia"/>
          <w:sz w:val="24"/>
          <w:szCs w:val="24"/>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numPr>
          <w:ilvl w:val="0"/>
          <w:numId w:val="2"/>
        </w:numPr>
        <w:tabs>
          <w:tab w:val="left" w:pos="5325"/>
        </w:tabs>
        <w:snapToGrid w:val="0"/>
        <w:spacing w:line="440" w:lineRule="exact"/>
        <w:ind w:firstLine="482"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b/>
          <w:color w:val="000000"/>
          <w:kern w:val="0"/>
          <w:sz w:val="24"/>
          <w:szCs w:val="24"/>
          <w:lang w:val="zh-CN"/>
        </w:rPr>
        <w:t>采购内容：</w:t>
      </w:r>
      <w:r>
        <w:rPr>
          <w:rFonts w:hint="eastAsia" w:cs="仿宋_GB2312" w:asciiTheme="minorEastAsia" w:hAnsiTheme="minorEastAsia" w:eastAsiaTheme="minorEastAsia"/>
          <w:color w:val="000000"/>
          <w:kern w:val="0"/>
          <w:sz w:val="24"/>
          <w:szCs w:val="24"/>
          <w:lang w:val="zh-CN"/>
        </w:rPr>
        <w:t>86寸智能交互会议平板设备、平</w:t>
      </w:r>
      <w:r>
        <w:rPr>
          <w:rFonts w:hint="eastAsia" w:cs="仿宋_GB2312" w:asciiTheme="minorEastAsia" w:hAnsiTheme="minorEastAsia" w:eastAsiaTheme="minorEastAsia"/>
          <w:sz w:val="24"/>
          <w:szCs w:val="24"/>
        </w:rPr>
        <w:t>板电脑、视频会议终端设备、会议扩声等</w:t>
      </w:r>
      <w:r>
        <w:rPr>
          <w:rFonts w:hint="eastAsia" w:cs="仿宋_GB2312" w:asciiTheme="minorEastAsia" w:hAnsiTheme="minorEastAsia" w:eastAsiaTheme="minorEastAsia"/>
          <w:color w:val="000000"/>
          <w:kern w:val="0"/>
          <w:sz w:val="24"/>
          <w:szCs w:val="24"/>
          <w:lang w:val="zh-CN"/>
        </w:rPr>
        <w:t>设备采购、安装、调试，</w:t>
      </w:r>
      <w:r>
        <w:rPr>
          <w:rFonts w:hint="eastAsia" w:cs="仿宋_GB2312" w:asciiTheme="minorEastAsia" w:hAnsiTheme="minorEastAsia" w:eastAsiaTheme="minorEastAsia"/>
          <w:color w:val="000000"/>
          <w:kern w:val="0"/>
          <w:sz w:val="24"/>
          <w:szCs w:val="24"/>
        </w:rPr>
        <w:t>会议室背景墙，</w:t>
      </w:r>
      <w:r>
        <w:rPr>
          <w:rFonts w:hint="eastAsia" w:cs="仿宋_GB2312" w:asciiTheme="minorEastAsia" w:hAnsiTheme="minorEastAsia" w:eastAsiaTheme="minorEastAsia"/>
          <w:color w:val="000000"/>
          <w:kern w:val="0"/>
          <w:sz w:val="24"/>
          <w:szCs w:val="24"/>
          <w:lang w:val="zh-CN"/>
        </w:rPr>
        <w:t>后期</w:t>
      </w:r>
      <w:r>
        <w:rPr>
          <w:rFonts w:hint="eastAsia" w:cs="仿宋_GB2312" w:asciiTheme="minorEastAsia" w:hAnsiTheme="minorEastAsia" w:eastAsiaTheme="minorEastAsia"/>
          <w:color w:val="000000"/>
          <w:kern w:val="0"/>
          <w:sz w:val="24"/>
          <w:szCs w:val="24"/>
        </w:rPr>
        <w:t>三年</w:t>
      </w:r>
      <w:r>
        <w:rPr>
          <w:rFonts w:hint="eastAsia" w:cs="仿宋_GB2312" w:asciiTheme="minorEastAsia" w:hAnsiTheme="minorEastAsia" w:eastAsiaTheme="minorEastAsia"/>
          <w:color w:val="000000"/>
          <w:kern w:val="0"/>
          <w:sz w:val="24"/>
          <w:szCs w:val="24"/>
          <w:lang w:val="zh-CN"/>
        </w:rPr>
        <w:t>维保运维服务等全部费用。</w:t>
      </w:r>
    </w:p>
    <w:p>
      <w:pPr>
        <w:numPr>
          <w:ilvl w:val="0"/>
          <w:numId w:val="2"/>
        </w:numPr>
        <w:tabs>
          <w:tab w:val="left" w:pos="5325"/>
        </w:tabs>
        <w:snapToGrid w:val="0"/>
        <w:spacing w:line="44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背景概述及要求</w:t>
      </w:r>
    </w:p>
    <w:p>
      <w:pPr>
        <w:tabs>
          <w:tab w:val="left" w:pos="5325"/>
        </w:tabs>
        <w:snapToGrid w:val="0"/>
        <w:spacing w:line="440" w:lineRule="exact"/>
        <w:ind w:firstLine="480" w:firstLineChars="200"/>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1、项目目标</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为进一步提升崇川区应急管理局组织召开各种远程视频会议、培训学习、上级工作部署等信息化水平，提高工作效率，节约行政成本，满足特殊情况下同时开展两场应急视频会议的需求，拟扩建一套新的高清视频会议系统。</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本项目完成后，能在南通市应急管理局各会议点之间实现交互式会议、远程培训、应急指挥等功能。</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该视频会议系统应该是一个技术先进、成熟可靠、性能优秀、扩展灵活、标准开放的系统，并且能够综合考虑到该系统的中长期发展计划，在网络结构、网络应用、网络管理、系统性能等各个方面适应未来视频会议和多媒体应用的发展，最大程度地保护已有的投资。</w:t>
      </w:r>
      <w:bookmarkStart w:id="1" w:name="_Toc9943320"/>
      <w:bookmarkStart w:id="2" w:name="_Toc262917042"/>
      <w:bookmarkStart w:id="3" w:name="_Toc331460870"/>
    </w:p>
    <w:p>
      <w:pPr>
        <w:tabs>
          <w:tab w:val="left" w:pos="5325"/>
        </w:tabs>
        <w:snapToGrid w:val="0"/>
        <w:spacing w:line="440" w:lineRule="exact"/>
        <w:ind w:firstLine="480" w:firstLineChars="200"/>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2、</w:t>
      </w:r>
      <w:bookmarkEnd w:id="1"/>
      <w:r>
        <w:rPr>
          <w:rFonts w:hint="eastAsia" w:cs="楷体_GB2312" w:asciiTheme="minorEastAsia" w:hAnsiTheme="minorEastAsia" w:eastAsiaTheme="minorEastAsia"/>
          <w:sz w:val="24"/>
          <w:szCs w:val="24"/>
        </w:rPr>
        <w:t>项目说明</w:t>
      </w:r>
      <w:bookmarkEnd w:id="2"/>
      <w:bookmarkEnd w:id="3"/>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为保证崇川区应急管理局高清视频会议系统与网络中的其他相关设备的协作能力，方便扩展应用，视频会议系统须符合国际电联ITU-T H.323协议标准，同时支持IETF SIP协议标准，并且视频会议系统应能够支持H.323和SIP两种协议同时接入组会。</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次建设的高清视频会议系统，终端采用1080P设计。与南通市应急管理局现有视频会议系统无缝对接，此次项目对系统的稳定性、可靠性和音视频效果有着严格的要求，必须保证无缝数字级联，实现视频、音频、双流互通。</w:t>
      </w:r>
      <w:bookmarkStart w:id="4" w:name="_Toc305168195"/>
      <w:bookmarkStart w:id="5" w:name="_Toc331460873"/>
      <w:bookmarkStart w:id="6" w:name="_Toc331460872"/>
    </w:p>
    <w:p>
      <w:pPr>
        <w:tabs>
          <w:tab w:val="left" w:pos="5325"/>
        </w:tabs>
        <w:snapToGrid w:val="0"/>
        <w:spacing w:line="440" w:lineRule="exact"/>
        <w:ind w:firstLine="480" w:firstLineChars="200"/>
        <w:rPr>
          <w:rFonts w:cs="楷体_GB2312" w:asciiTheme="minorEastAsia" w:hAnsiTheme="minorEastAsia" w:eastAsiaTheme="minorEastAsia"/>
          <w:sz w:val="24"/>
          <w:szCs w:val="24"/>
        </w:rPr>
      </w:pPr>
      <w:r>
        <w:rPr>
          <w:rFonts w:hint="eastAsia" w:cs="楷体_GB2312" w:asciiTheme="minorEastAsia" w:hAnsiTheme="minorEastAsia" w:eastAsiaTheme="minorEastAsia"/>
          <w:sz w:val="24"/>
          <w:szCs w:val="24"/>
        </w:rPr>
        <w:t>3、</w:t>
      </w:r>
      <w:bookmarkEnd w:id="4"/>
      <w:bookmarkEnd w:id="5"/>
      <w:r>
        <w:rPr>
          <w:rFonts w:hint="eastAsia" w:cs="楷体_GB2312" w:asciiTheme="minorEastAsia" w:hAnsiTheme="minorEastAsia" w:eastAsiaTheme="minorEastAsia"/>
          <w:sz w:val="24"/>
          <w:szCs w:val="24"/>
        </w:rPr>
        <w:t xml:space="preserve">系统要求 </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本次投标高清视频会议系统可实现与市局、省厅、国家应急管理部无缝数字级联，视频、音频、双流能够互通，级联时设备不会无故断线，甲方保留投标前后测试的权利。</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崇川区应急管理局建设的远程视频会议系统要求主要有：</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1）系统全面支持1080P30fps的高清效果；</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2）各会场无噪声、回声，会议声音、图像时延小，保证唇音同步；</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3）支持双流技术，使得使用视频会议进行培训更加方便、高效；</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4）采用的设备专业，能够保证稳定的运行，支持多种的冗余备份手段，可以保证会议正常进行；</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5）系统与南通市应急管理局现有视频会议系统能够无缝数字级联（音频、视频、双流等）；</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6）在带宽有限情况下1Mbps能实现高清1080P 16分屏全网会议的能力；</w:t>
      </w:r>
    </w:p>
    <w:p>
      <w:pPr>
        <w:tabs>
          <w:tab w:val="left" w:pos="5325"/>
        </w:tabs>
        <w:snapToGrid w:val="0"/>
        <w:spacing w:line="44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7）针对网络质量差的地方，具有优秀的丢包恢复技术，保障音视频流畅；</w:t>
      </w:r>
    </w:p>
    <w:bookmarkEnd w:id="6"/>
    <w:p>
      <w:pPr>
        <w:tabs>
          <w:tab w:val="left" w:pos="5325"/>
        </w:tabs>
        <w:snapToGrid w:val="0"/>
        <w:spacing w:line="440" w:lineRule="exact"/>
        <w:ind w:firstLine="480" w:firstLineChars="200"/>
        <w:rPr>
          <w:rFonts w:cs="楷体_GB2312" w:asciiTheme="minorEastAsia" w:hAnsiTheme="minorEastAsia" w:eastAsiaTheme="minorEastAsia"/>
          <w:sz w:val="24"/>
          <w:szCs w:val="24"/>
        </w:rPr>
      </w:pPr>
      <w:bookmarkStart w:id="7" w:name="_Toc72304952"/>
      <w:bookmarkStart w:id="8" w:name="_Toc73331776"/>
      <w:r>
        <w:rPr>
          <w:rFonts w:hint="eastAsia" w:cs="楷体_GB2312" w:asciiTheme="minorEastAsia" w:hAnsiTheme="minorEastAsia" w:eastAsiaTheme="minorEastAsia"/>
          <w:sz w:val="24"/>
          <w:szCs w:val="24"/>
        </w:rPr>
        <w:t>4、系统网络连接示意图</w:t>
      </w:r>
    </w:p>
    <w:bookmarkEnd w:id="7"/>
    <w:bookmarkEnd w:id="8"/>
    <w:p>
      <w:pPr>
        <w:tabs>
          <w:tab w:val="left" w:pos="5325"/>
        </w:tabs>
        <w:snapToGrid w:val="0"/>
        <w:rPr>
          <w:rFonts w:ascii="仿宋_GB2312" w:hAnsi="宋体" w:eastAsia="仿宋_GB2312" w:cs="宋体"/>
          <w:sz w:val="28"/>
          <w:szCs w:val="28"/>
        </w:rPr>
      </w:pPr>
      <w:r>
        <w:rPr>
          <w:rFonts w:hint="eastAsia" w:ascii="仿宋_GB2312" w:hAnsi="宋体" w:eastAsia="仿宋_GB2312" w:cs="宋体"/>
          <w:sz w:val="28"/>
          <w:szCs w:val="28"/>
        </w:rPr>
        <w:drawing>
          <wp:inline distT="0" distB="0" distL="0" distR="0">
            <wp:extent cx="5610225" cy="5162550"/>
            <wp:effectExtent l="19050" t="0" r="9525" b="0"/>
            <wp:docPr id="6" name="图片 1" descr="备用视频会议室网络图--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备用视频会议室网络图--改1"/>
                    <pic:cNvPicPr>
                      <a:picLocks noChangeAspect="1" noChangeArrowheads="1"/>
                    </pic:cNvPicPr>
                  </pic:nvPicPr>
                  <pic:blipFill>
                    <a:blip r:embed="rId6"/>
                    <a:srcRect/>
                    <a:stretch>
                      <a:fillRect/>
                    </a:stretch>
                  </pic:blipFill>
                  <pic:spPr>
                    <a:xfrm>
                      <a:off x="0" y="0"/>
                      <a:ext cx="5610225" cy="5162550"/>
                    </a:xfrm>
                    <a:prstGeom prst="rect">
                      <a:avLst/>
                    </a:prstGeom>
                    <a:noFill/>
                    <a:ln w="9525" cmpd="sng">
                      <a:noFill/>
                      <a:miter lim="800000"/>
                      <a:headEnd/>
                      <a:tailEnd/>
                    </a:ln>
                  </pic:spPr>
                </pic:pic>
              </a:graphicData>
            </a:graphic>
          </wp:inline>
        </w:drawing>
      </w:r>
    </w:p>
    <w:p>
      <w:pPr>
        <w:tabs>
          <w:tab w:val="left" w:pos="5325"/>
        </w:tabs>
        <w:snapToGrid w:val="0"/>
        <w:rPr>
          <w:rFonts w:cs="宋体" w:asciiTheme="minorEastAsia" w:hAnsiTheme="minorEastAsia" w:eastAsiaTheme="minorEastAsia"/>
          <w:sz w:val="24"/>
          <w:szCs w:val="24"/>
        </w:rPr>
      </w:pPr>
    </w:p>
    <w:p>
      <w:pPr>
        <w:tabs>
          <w:tab w:val="left" w:pos="5325"/>
        </w:tabs>
        <w:snapToGrid w:val="0"/>
        <w:rPr>
          <w:rFonts w:cs="宋体" w:asciiTheme="minorEastAsia" w:hAnsiTheme="minorEastAsia" w:eastAsiaTheme="minorEastAsia"/>
          <w:sz w:val="24"/>
          <w:szCs w:val="24"/>
        </w:rPr>
      </w:pPr>
    </w:p>
    <w:p>
      <w:pPr>
        <w:tabs>
          <w:tab w:val="left" w:pos="5325"/>
        </w:tabs>
        <w:snapToGrid w:val="0"/>
        <w:rPr>
          <w:rFonts w:cs="宋体" w:asciiTheme="minorEastAsia" w:hAnsiTheme="minorEastAsia" w:eastAsiaTheme="minorEastAsia"/>
          <w:sz w:val="24"/>
          <w:szCs w:val="24"/>
        </w:rPr>
      </w:pPr>
    </w:p>
    <w:p>
      <w:pPr>
        <w:snapToGrid w:val="0"/>
        <w:spacing w:line="420" w:lineRule="exact"/>
        <w:ind w:firstLine="482" w:firstLineChars="200"/>
        <w:outlineLvl w:val="1"/>
        <w:rPr>
          <w:rFonts w:ascii="宋体" w:hAnsi="宋体"/>
          <w:b/>
          <w:sz w:val="24"/>
          <w:szCs w:val="24"/>
        </w:rPr>
      </w:pPr>
      <w:r>
        <w:rPr>
          <w:rFonts w:hint="eastAsia" w:ascii="宋体" w:hAnsi="宋体"/>
          <w:b/>
          <w:sz w:val="24"/>
          <w:szCs w:val="24"/>
        </w:rPr>
        <w:t>三、项目清单</w:t>
      </w:r>
    </w:p>
    <w:tbl>
      <w:tblPr>
        <w:tblStyle w:val="15"/>
        <w:tblpPr w:leftFromText="180" w:rightFromText="180" w:vertAnchor="text" w:horzAnchor="margin" w:tblpXSpec="center" w:tblpY="486"/>
        <w:tblW w:w="13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8222"/>
        <w:gridCol w:w="709"/>
        <w:gridCol w:w="85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9" w:type="dxa"/>
            <w:vAlign w:val="center"/>
          </w:tcPr>
          <w:p>
            <w:pPr>
              <w:spacing w:before="157"/>
              <w:jc w:val="center"/>
              <w:rPr>
                <w:rFonts w:ascii="宋体" w:hAnsi="宋体" w:cs="宋体"/>
                <w:b/>
                <w:bCs/>
                <w:sz w:val="24"/>
              </w:rPr>
            </w:pPr>
            <w:r>
              <w:rPr>
                <w:rFonts w:hint="eastAsia" w:ascii="宋体" w:hAnsi="宋体" w:cs="宋体"/>
                <w:b/>
                <w:bCs/>
                <w:sz w:val="24"/>
              </w:rPr>
              <w:t>序号</w:t>
            </w:r>
          </w:p>
        </w:tc>
        <w:tc>
          <w:tcPr>
            <w:tcW w:w="1417" w:type="dxa"/>
            <w:vAlign w:val="center"/>
          </w:tcPr>
          <w:p>
            <w:pPr>
              <w:spacing w:before="157"/>
              <w:jc w:val="center"/>
              <w:rPr>
                <w:rFonts w:ascii="宋体" w:hAnsi="宋体" w:cs="宋体"/>
                <w:b/>
                <w:bCs/>
                <w:sz w:val="24"/>
              </w:rPr>
            </w:pPr>
            <w:r>
              <w:rPr>
                <w:rFonts w:hint="eastAsia" w:ascii="宋体" w:hAnsi="宋体" w:cs="宋体"/>
                <w:b/>
                <w:bCs/>
                <w:sz w:val="24"/>
              </w:rPr>
              <w:t>货物名称</w:t>
            </w:r>
          </w:p>
        </w:tc>
        <w:tc>
          <w:tcPr>
            <w:tcW w:w="8222" w:type="dxa"/>
            <w:vAlign w:val="center"/>
          </w:tcPr>
          <w:p>
            <w:pPr>
              <w:spacing w:before="157"/>
              <w:jc w:val="center"/>
              <w:rPr>
                <w:rFonts w:ascii="宋体" w:hAnsi="宋体" w:cs="宋体"/>
                <w:b/>
                <w:bCs/>
                <w:sz w:val="24"/>
              </w:rPr>
            </w:pPr>
            <w:r>
              <w:rPr>
                <w:rFonts w:hint="eastAsia" w:ascii="宋体" w:hAnsi="宋体" w:cs="宋体"/>
                <w:b/>
                <w:bCs/>
                <w:sz w:val="24"/>
              </w:rPr>
              <w:t>基本参数</w:t>
            </w:r>
          </w:p>
        </w:tc>
        <w:tc>
          <w:tcPr>
            <w:tcW w:w="709" w:type="dxa"/>
            <w:vAlign w:val="center"/>
          </w:tcPr>
          <w:p>
            <w:pPr>
              <w:spacing w:before="157"/>
              <w:jc w:val="center"/>
              <w:rPr>
                <w:rFonts w:ascii="宋体" w:hAnsi="宋体" w:cs="宋体"/>
                <w:b/>
                <w:bCs/>
                <w:sz w:val="24"/>
              </w:rPr>
            </w:pPr>
            <w:r>
              <w:rPr>
                <w:rFonts w:hint="eastAsia" w:ascii="宋体" w:hAnsi="宋体" w:cs="宋体"/>
                <w:b/>
                <w:bCs/>
                <w:sz w:val="24"/>
              </w:rPr>
              <w:t>数量</w:t>
            </w:r>
          </w:p>
        </w:tc>
        <w:tc>
          <w:tcPr>
            <w:tcW w:w="850" w:type="dxa"/>
            <w:vAlign w:val="center"/>
          </w:tcPr>
          <w:p>
            <w:pPr>
              <w:spacing w:before="157"/>
              <w:jc w:val="center"/>
              <w:rPr>
                <w:rFonts w:ascii="宋体" w:hAnsi="宋体" w:cs="宋体"/>
                <w:b/>
                <w:bCs/>
                <w:sz w:val="24"/>
              </w:rPr>
            </w:pPr>
            <w:r>
              <w:rPr>
                <w:rFonts w:hint="eastAsia" w:ascii="宋体" w:hAnsi="宋体" w:cs="宋体"/>
                <w:b/>
                <w:bCs/>
                <w:sz w:val="24"/>
              </w:rPr>
              <w:t>单位</w:t>
            </w:r>
          </w:p>
        </w:tc>
        <w:tc>
          <w:tcPr>
            <w:tcW w:w="1804" w:type="dxa"/>
            <w:vAlign w:val="center"/>
          </w:tcPr>
          <w:p>
            <w:pPr>
              <w:spacing w:before="157"/>
              <w:jc w:val="center"/>
              <w:rPr>
                <w:rFonts w:ascii="宋体" w:hAnsi="宋体" w:cs="宋体"/>
                <w:b/>
                <w:bCs/>
                <w:sz w:val="24"/>
              </w:rPr>
            </w:pPr>
            <w:r>
              <w:rPr>
                <w:rFonts w:hint="eastAsia" w:ascii="宋体" w:hAnsi="宋体" w:cs="宋体"/>
                <w:b/>
                <w:bCs/>
                <w:sz w:val="24"/>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9" w:type="dxa"/>
            <w:vAlign w:val="center"/>
          </w:tcPr>
          <w:p>
            <w:pPr>
              <w:numPr>
                <w:ilvl w:val="0"/>
                <w:numId w:val="3"/>
              </w:numPr>
              <w:spacing w:before="157" w:line="360" w:lineRule="auto"/>
              <w:contextualSpacing/>
              <w:jc w:val="left"/>
              <w:rPr>
                <w:rFonts w:ascii="宋体" w:hAnsi="宋体" w:cs="宋体"/>
                <w:kern w:val="0"/>
                <w:sz w:val="24"/>
                <w:szCs w:val="24"/>
              </w:rPr>
            </w:pP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86寸智能交互会议平板</w:t>
            </w:r>
          </w:p>
        </w:tc>
        <w:tc>
          <w:tcPr>
            <w:tcW w:w="8222" w:type="dxa"/>
            <w:vAlign w:val="center"/>
          </w:tcPr>
          <w:p>
            <w:pPr>
              <w:jc w:val="left"/>
              <w:rPr>
                <w:rFonts w:ascii="宋体" w:hAnsi="宋体" w:cs="宋体"/>
                <w:kern w:val="0"/>
                <w:sz w:val="24"/>
                <w:szCs w:val="24"/>
              </w:rPr>
            </w:pPr>
            <w:r>
              <w:rPr>
                <w:rFonts w:hint="eastAsia" w:ascii="宋体" w:hAnsi="宋体" w:cs="宋体"/>
                <w:kern w:val="0"/>
                <w:sz w:val="24"/>
                <w:szCs w:val="24"/>
              </w:rPr>
              <w:t>内置800W摄像头，6阵列麦克风，让画面更清晰，“声”临其境。</w:t>
            </w:r>
          </w:p>
          <w:p>
            <w:pPr>
              <w:jc w:val="left"/>
              <w:rPr>
                <w:rFonts w:ascii="宋体" w:hAnsi="宋体" w:cs="宋体"/>
                <w:kern w:val="0"/>
                <w:sz w:val="24"/>
                <w:szCs w:val="24"/>
              </w:rPr>
            </w:pPr>
            <w:r>
              <w:rPr>
                <w:rFonts w:hint="eastAsia" w:ascii="宋体" w:hAnsi="宋体" w:cs="宋体"/>
                <w:kern w:val="0"/>
                <w:sz w:val="24"/>
                <w:szCs w:val="24"/>
              </w:rPr>
              <w:t>• 协同办公，沟通零距离：支持软、硬件视频会议，远程协作零距离；大型场景多屏互动，触摸书写大屏同步显示；</w:t>
            </w:r>
          </w:p>
          <w:p>
            <w:pPr>
              <w:jc w:val="left"/>
              <w:rPr>
                <w:rFonts w:ascii="宋体" w:hAnsi="宋体" w:cs="宋体"/>
                <w:kern w:val="0"/>
                <w:sz w:val="24"/>
                <w:szCs w:val="24"/>
              </w:rPr>
            </w:pPr>
            <w:r>
              <w:rPr>
                <w:rFonts w:hint="eastAsia" w:ascii="宋体" w:hAnsi="宋体" w:cs="宋体"/>
                <w:kern w:val="0"/>
                <w:sz w:val="24"/>
                <w:szCs w:val="24"/>
              </w:rPr>
              <w:t>• 无线投屏， 展示无“线”制：笔记本/台式机/手机/pad无线投屏，接线困扰统统不再；支持二分屏/四分屏，方案对比更直观</w:t>
            </w:r>
          </w:p>
          <w:p>
            <w:pPr>
              <w:jc w:val="left"/>
              <w:rPr>
                <w:rFonts w:ascii="宋体" w:hAnsi="宋体" w:cs="宋体"/>
                <w:kern w:val="0"/>
                <w:sz w:val="24"/>
                <w:szCs w:val="24"/>
              </w:rPr>
            </w:pPr>
            <w:r>
              <w:rPr>
                <w:rFonts w:hint="eastAsia" w:ascii="宋体" w:hAnsi="宋体" w:cs="宋体"/>
                <w:kern w:val="0"/>
                <w:sz w:val="24"/>
                <w:szCs w:val="24"/>
              </w:rPr>
              <w:t>• 自由批注，书写无边界：任意界面随心批注，百变灵感一键记录；白板支持20人同时书写，思维交汇绽放无限精彩；</w:t>
            </w:r>
          </w:p>
          <w:p>
            <w:pPr>
              <w:jc w:val="left"/>
              <w:rPr>
                <w:rFonts w:ascii="宋体" w:hAnsi="宋体" w:cs="宋体"/>
                <w:kern w:val="0"/>
                <w:sz w:val="24"/>
                <w:szCs w:val="24"/>
              </w:rPr>
            </w:pPr>
            <w:r>
              <w:rPr>
                <w:rFonts w:hint="eastAsia" w:ascii="宋体" w:hAnsi="宋体" w:cs="宋体"/>
                <w:kern w:val="0"/>
                <w:sz w:val="24"/>
                <w:szCs w:val="24"/>
              </w:rPr>
              <w:t>• 会议内容，一键分享：书写内容可通过扫码、邮件分享，精力集中于会议内容，提升效率；</w:t>
            </w:r>
          </w:p>
          <w:p>
            <w:pPr>
              <w:jc w:val="left"/>
              <w:rPr>
                <w:rFonts w:ascii="宋体" w:hAnsi="宋体" w:cs="宋体"/>
                <w:kern w:val="0"/>
                <w:sz w:val="24"/>
                <w:szCs w:val="24"/>
              </w:rPr>
            </w:pPr>
            <w:r>
              <w:rPr>
                <w:rFonts w:hint="eastAsia" w:ascii="宋体" w:hAnsi="宋体" w:cs="宋体"/>
                <w:kern w:val="0"/>
                <w:sz w:val="24"/>
                <w:szCs w:val="24"/>
              </w:rPr>
              <w:t>• 高速书写 ,“锋”芒毕露：1mm触摸精度，书写自然流畅；智能笔锋优化，起承转合间让字迹返璞归真；</w:t>
            </w:r>
          </w:p>
          <w:p>
            <w:pPr>
              <w:jc w:val="left"/>
              <w:rPr>
                <w:rFonts w:ascii="宋体" w:hAnsi="宋体" w:cs="宋体"/>
                <w:kern w:val="0"/>
                <w:sz w:val="24"/>
                <w:szCs w:val="24"/>
              </w:rPr>
            </w:pPr>
            <w:r>
              <w:rPr>
                <w:rFonts w:hint="eastAsia" w:ascii="宋体" w:hAnsi="宋体" w:cs="宋体"/>
                <w:kern w:val="0"/>
                <w:sz w:val="24"/>
                <w:szCs w:val="24"/>
              </w:rPr>
              <w:t>• 4K显示，纤毫毕现：4K分辨率，画面细节纤毫可见；防眩光抗指纹，不惧强光。</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2</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华为、海康威视、  MAXHUB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959" w:type="dxa"/>
            <w:vAlign w:val="center"/>
          </w:tcPr>
          <w:p>
            <w:pPr>
              <w:numPr>
                <w:ilvl w:val="0"/>
                <w:numId w:val="3"/>
              </w:numPr>
              <w:spacing w:before="157" w:line="360" w:lineRule="auto"/>
              <w:contextualSpacing/>
              <w:jc w:val="left"/>
              <w:rPr>
                <w:rFonts w:ascii="宋体" w:hAnsi="宋体" w:cs="宋体"/>
                <w:kern w:val="0"/>
                <w:sz w:val="24"/>
                <w:szCs w:val="24"/>
              </w:rPr>
            </w:pPr>
          </w:p>
        </w:tc>
        <w:tc>
          <w:tcPr>
            <w:tcW w:w="1417" w:type="dxa"/>
            <w:vAlign w:val="center"/>
          </w:tcPr>
          <w:p>
            <w:pPr>
              <w:jc w:val="center"/>
              <w:rPr>
                <w:rFonts w:ascii="宋体" w:hAnsi="宋体" w:cs="宋体"/>
                <w:kern w:val="0"/>
                <w:sz w:val="24"/>
                <w:szCs w:val="24"/>
              </w:rPr>
            </w:pPr>
            <w:r>
              <w:rPr>
                <w:rFonts w:hint="eastAsia" w:ascii="宋体" w:hAnsi="宋体" w:cs="宋体"/>
                <w:kern w:val="0"/>
                <w:sz w:val="24"/>
                <w:szCs w:val="24"/>
              </w:rPr>
              <w:t>86寸智能交互会议平板PC模块</w:t>
            </w:r>
          </w:p>
        </w:tc>
        <w:tc>
          <w:tcPr>
            <w:tcW w:w="8222" w:type="dxa"/>
            <w:vAlign w:val="center"/>
          </w:tcPr>
          <w:p>
            <w:pPr>
              <w:jc w:val="left"/>
              <w:rPr>
                <w:rFonts w:ascii="宋体" w:hAnsi="宋体" w:cs="宋体"/>
                <w:kern w:val="0"/>
                <w:sz w:val="24"/>
                <w:szCs w:val="24"/>
              </w:rPr>
            </w:pPr>
            <w:r>
              <w:rPr>
                <w:rFonts w:hint="eastAsia" w:ascii="宋体" w:hAnsi="宋体" w:cs="宋体"/>
                <w:kern w:val="0"/>
                <w:sz w:val="24"/>
                <w:szCs w:val="24"/>
              </w:rPr>
              <w:t>交互会议平板OPS系列按照采用(Open Pluggable Specifications 开放式可插拔规范)标准设计，是X86架构的迷你PC主机，采用intel处理器，配有内存、硬盘、多种输入输出接口。OPS主机和交互会议平板通过OPS标准的80pin接口插拔式安装，可根据具体硬件配置需求灵活选用OPS主机。</w:t>
            </w:r>
          </w:p>
          <w:p>
            <w:pPr>
              <w:jc w:val="left"/>
              <w:rPr>
                <w:rFonts w:ascii="宋体" w:hAnsi="宋体" w:cs="宋体"/>
                <w:kern w:val="0"/>
                <w:sz w:val="24"/>
                <w:szCs w:val="24"/>
              </w:rPr>
            </w:pPr>
            <w:r>
              <w:rPr>
                <w:rFonts w:hint="eastAsia" w:ascii="宋体" w:hAnsi="宋体" w:cs="宋体"/>
                <w:kern w:val="0"/>
                <w:sz w:val="24"/>
                <w:szCs w:val="24"/>
              </w:rPr>
              <w:t>采用第6代 Intel® desktop Core™ i3处理器</w:t>
            </w:r>
          </w:p>
          <w:p>
            <w:pPr>
              <w:jc w:val="left"/>
              <w:rPr>
                <w:rFonts w:ascii="宋体" w:hAnsi="宋体" w:cs="宋体"/>
                <w:kern w:val="0"/>
                <w:sz w:val="24"/>
                <w:szCs w:val="24"/>
              </w:rPr>
            </w:pPr>
            <w:r>
              <w:rPr>
                <w:rFonts w:hint="eastAsia" w:ascii="宋体" w:hAnsi="宋体" w:cs="宋体"/>
                <w:kern w:val="0"/>
                <w:sz w:val="24"/>
                <w:szCs w:val="24"/>
              </w:rPr>
              <w:t>标配Intel® HD Graphics 500集成显卡，支持 H.265，支持4K</w:t>
            </w:r>
          </w:p>
          <w:p>
            <w:pPr>
              <w:jc w:val="left"/>
              <w:rPr>
                <w:rFonts w:ascii="宋体" w:hAnsi="宋体" w:cs="宋体"/>
                <w:kern w:val="0"/>
                <w:sz w:val="24"/>
                <w:szCs w:val="24"/>
              </w:rPr>
            </w:pPr>
            <w:r>
              <w:rPr>
                <w:rFonts w:hint="eastAsia" w:ascii="宋体" w:hAnsi="宋体" w:cs="宋体"/>
                <w:kern w:val="0"/>
                <w:sz w:val="24"/>
                <w:szCs w:val="24"/>
              </w:rPr>
              <w:t>支持MSATA系统盘快速启动，一键还原，增强用户体验</w:t>
            </w:r>
          </w:p>
          <w:p>
            <w:pPr>
              <w:jc w:val="left"/>
              <w:rPr>
                <w:rFonts w:ascii="宋体" w:hAnsi="宋体" w:cs="宋体"/>
                <w:kern w:val="0"/>
                <w:sz w:val="24"/>
                <w:szCs w:val="24"/>
              </w:rPr>
            </w:pPr>
            <w:r>
              <w:rPr>
                <w:rFonts w:hint="eastAsia" w:ascii="宋体" w:hAnsi="宋体" w:cs="宋体"/>
                <w:kern w:val="0"/>
                <w:sz w:val="24"/>
                <w:szCs w:val="24"/>
              </w:rPr>
              <w:t>支持6个 USB 3.0 端口，1个 HDMI端口，1个DP接口</w:t>
            </w:r>
          </w:p>
          <w:p>
            <w:pPr>
              <w:jc w:val="left"/>
              <w:rPr>
                <w:rFonts w:ascii="宋体" w:hAnsi="宋体" w:cs="宋体"/>
                <w:kern w:val="0"/>
                <w:sz w:val="24"/>
                <w:szCs w:val="24"/>
              </w:rPr>
            </w:pPr>
            <w:r>
              <w:rPr>
                <w:rFonts w:hint="eastAsia" w:ascii="宋体" w:hAnsi="宋体" w:cs="宋体"/>
                <w:kern w:val="0"/>
                <w:sz w:val="24"/>
                <w:szCs w:val="24"/>
              </w:rPr>
              <w:t>单／双天线802.11a/b/g/n Wi-Fi 支持高速无线传输</w:t>
            </w:r>
          </w:p>
          <w:p>
            <w:pPr>
              <w:jc w:val="left"/>
              <w:rPr>
                <w:rFonts w:ascii="宋体" w:hAnsi="宋体" w:cs="宋体"/>
                <w:kern w:val="0"/>
                <w:sz w:val="24"/>
                <w:szCs w:val="24"/>
              </w:rPr>
            </w:pPr>
            <w:r>
              <w:rPr>
                <w:rFonts w:hint="eastAsia" w:ascii="宋体" w:hAnsi="宋体" w:cs="宋体"/>
                <w:kern w:val="0"/>
                <w:sz w:val="24"/>
                <w:szCs w:val="24"/>
              </w:rPr>
              <w:t>支持基于英特尔®酷睿™博锐™处理器技术和Intel®Unite™软件打造一款智能会议系统</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2</w:t>
            </w:r>
          </w:p>
        </w:tc>
        <w:tc>
          <w:tcPr>
            <w:tcW w:w="850" w:type="dxa"/>
            <w:vAlign w:val="center"/>
          </w:tcPr>
          <w:p>
            <w:pPr>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华为、海康威视、  MAXHUB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959" w:type="dxa"/>
            <w:vAlign w:val="center"/>
          </w:tcPr>
          <w:p>
            <w:pPr>
              <w:numPr>
                <w:ilvl w:val="0"/>
                <w:numId w:val="3"/>
              </w:numPr>
              <w:spacing w:before="157" w:line="360" w:lineRule="auto"/>
              <w:contextualSpacing/>
              <w:rPr>
                <w:rFonts w:ascii="宋体" w:hAnsi="宋体" w:cs="宋体"/>
                <w:sz w:val="24"/>
                <w:szCs w:val="24"/>
              </w:rPr>
            </w:pPr>
          </w:p>
        </w:tc>
        <w:tc>
          <w:tcPr>
            <w:tcW w:w="1417" w:type="dxa"/>
            <w:vAlign w:val="center"/>
          </w:tcPr>
          <w:p>
            <w:pPr>
              <w:spacing w:before="157"/>
              <w:jc w:val="center"/>
              <w:rPr>
                <w:rFonts w:ascii="宋体" w:hAnsi="宋体" w:cs="宋体"/>
                <w:sz w:val="24"/>
              </w:rPr>
            </w:pPr>
            <w:r>
              <w:rPr>
                <w:rFonts w:hint="eastAsia" w:ascii="宋体" w:hAnsi="宋体" w:cs="宋体"/>
                <w:kern w:val="0"/>
                <w:sz w:val="24"/>
                <w:szCs w:val="24"/>
              </w:rPr>
              <w:t>无线投屏器</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海康威视无线投屏器，支持将 Windows、 Mac 等不同系统终端上当前的操作内容即时同步地显示到海康威视会议平板上， 并支持双向控制， 无需连接线缆， 免配置，免安装，自动连接， 操作便捷。</w:t>
            </w:r>
          </w:p>
          <w:p>
            <w:pPr>
              <w:spacing w:before="157"/>
              <w:jc w:val="left"/>
              <w:rPr>
                <w:rFonts w:ascii="宋体" w:hAnsi="宋体" w:cs="宋体"/>
                <w:kern w:val="0"/>
                <w:sz w:val="24"/>
                <w:szCs w:val="24"/>
              </w:rPr>
            </w:pPr>
            <w:r>
              <w:rPr>
                <w:rFonts w:hint="eastAsia" w:ascii="宋体" w:hAnsi="宋体" w:cs="宋体"/>
                <w:kern w:val="0"/>
                <w:sz w:val="24"/>
                <w:szCs w:val="24"/>
              </w:rPr>
              <w:t>功能特性</w:t>
            </w:r>
          </w:p>
          <w:p>
            <w:pPr>
              <w:spacing w:before="157"/>
              <w:jc w:val="left"/>
              <w:rPr>
                <w:rFonts w:ascii="宋体" w:hAnsi="宋体" w:cs="宋体"/>
                <w:kern w:val="0"/>
                <w:sz w:val="24"/>
                <w:szCs w:val="24"/>
              </w:rPr>
            </w:pPr>
            <w:r>
              <w:rPr>
                <w:rFonts w:hint="eastAsia" w:ascii="宋体" w:hAnsi="宋体" w:cs="宋体"/>
                <w:kern w:val="0"/>
                <w:sz w:val="24"/>
                <w:szCs w:val="24"/>
              </w:rPr>
              <w:t>免配置，免安装，自动连接</w:t>
            </w:r>
          </w:p>
          <w:p>
            <w:pPr>
              <w:spacing w:before="157"/>
              <w:jc w:val="left"/>
              <w:rPr>
                <w:rFonts w:ascii="宋体" w:hAnsi="宋体" w:cs="宋体"/>
                <w:kern w:val="0"/>
                <w:sz w:val="24"/>
                <w:szCs w:val="24"/>
              </w:rPr>
            </w:pPr>
            <w:r>
              <w:rPr>
                <w:rFonts w:hint="eastAsia" w:ascii="宋体" w:hAnsi="宋体" w:cs="宋体"/>
                <w:kern w:val="0"/>
                <w:sz w:val="24"/>
                <w:szCs w:val="24"/>
              </w:rPr>
              <w:t>USB 接口即插即用</w:t>
            </w:r>
          </w:p>
          <w:p>
            <w:pPr>
              <w:spacing w:before="157"/>
              <w:jc w:val="left"/>
              <w:rPr>
                <w:rFonts w:ascii="宋体" w:hAnsi="宋体" w:cs="宋体"/>
                <w:kern w:val="0"/>
                <w:sz w:val="24"/>
                <w:szCs w:val="24"/>
              </w:rPr>
            </w:pPr>
            <w:r>
              <w:rPr>
                <w:rFonts w:hint="eastAsia" w:ascii="宋体" w:hAnsi="宋体" w:cs="宋体"/>
                <w:kern w:val="0"/>
                <w:sz w:val="24"/>
                <w:szCs w:val="24"/>
              </w:rPr>
              <w:t>支持 Windows， Mac</w:t>
            </w:r>
          </w:p>
          <w:p>
            <w:pPr>
              <w:spacing w:before="157"/>
              <w:jc w:val="left"/>
              <w:rPr>
                <w:rFonts w:ascii="宋体" w:hAnsi="宋体" w:cs="宋体"/>
                <w:kern w:val="0"/>
                <w:sz w:val="24"/>
                <w:szCs w:val="24"/>
              </w:rPr>
            </w:pPr>
            <w:r>
              <w:rPr>
                <w:rFonts w:hint="eastAsia" w:ascii="宋体" w:hAnsi="宋体" w:cs="宋体"/>
                <w:kern w:val="0"/>
                <w:sz w:val="24"/>
                <w:szCs w:val="24"/>
              </w:rPr>
              <w:t>WiFi 2.4G/5G 双频</w:t>
            </w:r>
          </w:p>
          <w:p>
            <w:pPr>
              <w:spacing w:before="157"/>
              <w:jc w:val="left"/>
              <w:rPr>
                <w:rFonts w:ascii="宋体" w:hAnsi="宋体" w:cs="宋体"/>
                <w:kern w:val="0"/>
                <w:sz w:val="24"/>
                <w:szCs w:val="24"/>
              </w:rPr>
            </w:pPr>
            <w:r>
              <w:rPr>
                <w:rFonts w:hint="eastAsia" w:ascii="宋体" w:hAnsi="宋体" w:cs="宋体"/>
                <w:kern w:val="0"/>
                <w:sz w:val="24"/>
                <w:szCs w:val="24"/>
              </w:rPr>
              <w:t>1080P 30fps</w:t>
            </w:r>
          </w:p>
          <w:p>
            <w:pPr>
              <w:spacing w:before="157"/>
              <w:jc w:val="left"/>
              <w:rPr>
                <w:rFonts w:ascii="宋体" w:hAnsi="宋体" w:cs="宋体"/>
                <w:sz w:val="24"/>
              </w:rPr>
            </w:pPr>
            <w:r>
              <w:rPr>
                <w:rFonts w:hint="eastAsia" w:ascii="宋体" w:hAnsi="宋体" w:cs="宋体"/>
                <w:kern w:val="0"/>
                <w:sz w:val="24"/>
                <w:szCs w:val="24"/>
              </w:rPr>
              <w:t>超低功耗</w:t>
            </w:r>
          </w:p>
        </w:tc>
        <w:tc>
          <w:tcPr>
            <w:tcW w:w="709" w:type="dxa"/>
            <w:vAlign w:val="center"/>
          </w:tcPr>
          <w:p>
            <w:pPr>
              <w:spacing w:before="157"/>
              <w:jc w:val="center"/>
              <w:rPr>
                <w:rFonts w:ascii="宋体" w:hAnsi="宋体" w:cs="宋体"/>
                <w:sz w:val="24"/>
              </w:rPr>
            </w:pPr>
            <w:r>
              <w:rPr>
                <w:rFonts w:hint="eastAsia" w:ascii="宋体" w:hAnsi="宋体" w:cs="宋体"/>
                <w:sz w:val="24"/>
              </w:rPr>
              <w:t>2</w:t>
            </w:r>
          </w:p>
        </w:tc>
        <w:tc>
          <w:tcPr>
            <w:tcW w:w="850" w:type="dxa"/>
            <w:vAlign w:val="center"/>
          </w:tcPr>
          <w:p>
            <w:pPr>
              <w:spacing w:before="157"/>
              <w:jc w:val="center"/>
              <w:rPr>
                <w:rFonts w:ascii="宋体" w:hAnsi="宋体" w:cs="宋体"/>
                <w:sz w:val="24"/>
              </w:rPr>
            </w:pPr>
            <w:r>
              <w:rPr>
                <w:rFonts w:hint="eastAsia" w:ascii="宋体" w:hAnsi="宋体" w:cs="宋体"/>
                <w:sz w:val="24"/>
              </w:rPr>
              <w:t>台</w:t>
            </w:r>
          </w:p>
        </w:tc>
        <w:tc>
          <w:tcPr>
            <w:tcW w:w="1804" w:type="dxa"/>
            <w:vAlign w:val="cente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华为、海康威视、  MAXHUB</w:t>
            </w:r>
          </w:p>
          <w:p>
            <w:pPr>
              <w:spacing w:before="157"/>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4.</w:t>
            </w: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移动式支架</w:t>
            </w:r>
          </w:p>
        </w:tc>
        <w:tc>
          <w:tcPr>
            <w:tcW w:w="8222" w:type="dxa"/>
            <w:vAlign w:val="center"/>
          </w:tcPr>
          <w:p>
            <w:pPr>
              <w:spacing w:before="157"/>
              <w:rPr>
                <w:rFonts w:ascii="宋体" w:hAnsi="宋体" w:cs="宋体"/>
                <w:kern w:val="0"/>
                <w:sz w:val="24"/>
                <w:szCs w:val="24"/>
              </w:rPr>
            </w:pPr>
            <w:r>
              <w:rPr>
                <w:rFonts w:hint="eastAsia" w:ascii="宋体" w:hAnsi="宋体" w:cs="宋体"/>
                <w:kern w:val="0"/>
                <w:sz w:val="24"/>
                <w:szCs w:val="24"/>
              </w:rPr>
              <w:t>移动支架精选冷轧板，非凡工艺质感，采用有序走线设计，稳固双立柱，一体式的大底座，多用途托盘，360°转向滚轮可任意移动，调节简单只需按下连接碰珠即可上下调节高度。适用于各种类型办公室、会议室、多媒体教室、教育培训、商务会展、展馆展厅、医疗会诊，以及远程视频会议等多重场景需求。</w:t>
            </w:r>
          </w:p>
        </w:tc>
        <w:tc>
          <w:tcPr>
            <w:tcW w:w="709" w:type="dxa"/>
            <w:vAlign w:val="center"/>
          </w:tcPr>
          <w:p>
            <w:pPr>
              <w:jc w:val="center"/>
              <w:rPr>
                <w:rFonts w:ascii="宋体" w:hAnsi="宋体" w:cs="宋体"/>
                <w:kern w:val="0"/>
                <w:sz w:val="24"/>
              </w:rPr>
            </w:pPr>
            <w:r>
              <w:rPr>
                <w:rFonts w:hint="eastAsia" w:ascii="宋体" w:hAnsi="宋体" w:cs="宋体"/>
                <w:kern w:val="0"/>
                <w:sz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rPr>
                <w:rFonts w:ascii="宋体" w:hAnsi="宋体" w:cs="宋体"/>
                <w:kern w:val="0"/>
                <w:sz w:val="24"/>
                <w:szCs w:val="24"/>
              </w:rPr>
            </w:pPr>
            <w:r>
              <w:rPr>
                <w:rFonts w:hint="eastAsia" w:ascii="宋体" w:hAnsi="宋体" w:cs="宋体"/>
                <w:kern w:val="0"/>
                <w:sz w:val="24"/>
                <w:szCs w:val="24"/>
              </w:rPr>
              <w:t>国产定制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5.</w:t>
            </w: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平板电脑</w:t>
            </w:r>
          </w:p>
        </w:tc>
        <w:tc>
          <w:tcPr>
            <w:tcW w:w="8222" w:type="dxa"/>
            <w:vAlign w:val="center"/>
          </w:tcPr>
          <w:p>
            <w:pPr>
              <w:spacing w:before="157"/>
              <w:rPr>
                <w:rFonts w:ascii="宋体" w:hAnsi="宋体" w:cs="宋体"/>
                <w:kern w:val="0"/>
                <w:sz w:val="24"/>
                <w:szCs w:val="24"/>
              </w:rPr>
            </w:pPr>
            <w:r>
              <w:rPr>
                <w:rFonts w:hint="eastAsia" w:ascii="宋体" w:hAnsi="宋体" w:cs="宋体"/>
                <w:kern w:val="0"/>
                <w:sz w:val="24"/>
                <w:szCs w:val="24"/>
              </w:rPr>
              <w:t>i3 4G+128G 典雅黑键盘、鼠标 12.3英寸触屏 二合一平板 轻薄本 高色域 WiFi版，出厂Windows操作系统，无缝对接执法平台使用。</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2</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rPr>
                <w:rFonts w:ascii="宋体" w:hAnsi="宋体" w:cs="宋体"/>
                <w:kern w:val="0"/>
                <w:sz w:val="24"/>
                <w:szCs w:val="24"/>
              </w:rPr>
            </w:pPr>
            <w:r>
              <w:rPr>
                <w:rFonts w:hint="eastAsia" w:ascii="宋体" w:hAnsi="宋体" w:cs="宋体"/>
                <w:kern w:val="0"/>
                <w:sz w:val="24"/>
                <w:szCs w:val="24"/>
              </w:rPr>
              <w:t>微软、华为、联想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6.</w:t>
            </w: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视频会议一体式终端</w:t>
            </w:r>
          </w:p>
        </w:tc>
        <w:tc>
          <w:tcPr>
            <w:tcW w:w="8222" w:type="dxa"/>
            <w:vAlign w:val="center"/>
          </w:tcPr>
          <w:p>
            <w:pPr>
              <w:spacing w:before="157"/>
              <w:jc w:val="left"/>
              <w:rPr>
                <w:rFonts w:ascii="宋体" w:hAnsi="宋体" w:cs="宋体"/>
                <w:kern w:val="0"/>
                <w:sz w:val="24"/>
                <w:szCs w:val="24"/>
              </w:rPr>
            </w:pPr>
            <w:r>
              <w:rPr>
                <w:rFonts w:ascii="宋体" w:hAnsi="宋体" w:cs="宋体"/>
                <w:kern w:val="0"/>
                <w:sz w:val="24"/>
                <w:szCs w:val="24"/>
              </w:rPr>
              <w:t>终端采用一体化集成架构，嵌入式操作系统。</w:t>
            </w:r>
          </w:p>
          <w:p>
            <w:pPr>
              <w:spacing w:before="157"/>
              <w:jc w:val="left"/>
              <w:rPr>
                <w:rFonts w:ascii="宋体" w:hAnsi="宋体" w:cs="宋体"/>
                <w:kern w:val="0"/>
                <w:sz w:val="24"/>
                <w:szCs w:val="24"/>
              </w:rPr>
            </w:pPr>
            <w:r>
              <w:rPr>
                <w:rFonts w:ascii="宋体" w:hAnsi="宋体" w:cs="宋体"/>
                <w:kern w:val="0"/>
                <w:sz w:val="24"/>
                <w:szCs w:val="24"/>
              </w:rPr>
              <w:t>内置1路800W像素12倍光学变焦云台相机，1路800W像素全景相机</w:t>
            </w:r>
          </w:p>
          <w:p>
            <w:pPr>
              <w:spacing w:before="157"/>
              <w:jc w:val="left"/>
              <w:rPr>
                <w:rFonts w:ascii="宋体" w:hAnsi="宋体" w:cs="宋体"/>
                <w:kern w:val="0"/>
                <w:sz w:val="24"/>
                <w:szCs w:val="24"/>
              </w:rPr>
            </w:pPr>
            <w:r>
              <w:rPr>
                <w:rFonts w:ascii="宋体" w:hAnsi="宋体" w:cs="宋体"/>
                <w:kern w:val="0"/>
                <w:sz w:val="24"/>
                <w:szCs w:val="24"/>
              </w:rPr>
              <w:t>★内置相机均支持4KP60帧图像采集和输出。（提供封面具有CNAS和CMA标志的权威检测机构的报告复印件加盖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支持ITU-T H.323和IETF SIP通信标准。</w:t>
            </w:r>
          </w:p>
          <w:p>
            <w:pPr>
              <w:spacing w:before="157"/>
              <w:jc w:val="left"/>
              <w:rPr>
                <w:rFonts w:ascii="宋体" w:hAnsi="宋体" w:cs="宋体"/>
                <w:kern w:val="0"/>
                <w:sz w:val="24"/>
                <w:szCs w:val="24"/>
              </w:rPr>
            </w:pPr>
            <w:r>
              <w:rPr>
                <w:rFonts w:ascii="宋体" w:hAnsi="宋体" w:cs="宋体"/>
                <w:kern w:val="0"/>
                <w:sz w:val="24"/>
                <w:szCs w:val="24"/>
              </w:rPr>
              <w:t>支持H.263、H.264 BP、H.264 HP、H.264 SVC、H.265、MPEG-4等视频编解码协议选项。</w:t>
            </w:r>
          </w:p>
          <w:p>
            <w:pPr>
              <w:spacing w:before="157"/>
              <w:jc w:val="left"/>
              <w:rPr>
                <w:rFonts w:ascii="宋体" w:hAnsi="宋体" w:cs="宋体"/>
                <w:kern w:val="0"/>
                <w:sz w:val="24"/>
                <w:szCs w:val="24"/>
              </w:rPr>
            </w:pPr>
            <w:r>
              <w:rPr>
                <w:rFonts w:ascii="宋体" w:hAnsi="宋体" w:cs="宋体"/>
                <w:kern w:val="0"/>
                <w:sz w:val="24"/>
                <w:szCs w:val="24"/>
              </w:rPr>
              <w:t>支持G.711alaw、G.711ulaw、G.722.1、G.722.1.C、G.728、G.729、G.719、Opus、AAC-LC、AAC-LD、MP3等音频编解码协议,支持最大160KHz采样率。</w:t>
            </w:r>
          </w:p>
          <w:p>
            <w:pPr>
              <w:spacing w:before="157"/>
              <w:jc w:val="left"/>
              <w:rPr>
                <w:rFonts w:ascii="宋体" w:hAnsi="宋体" w:cs="宋体"/>
                <w:kern w:val="0"/>
                <w:sz w:val="24"/>
                <w:szCs w:val="24"/>
              </w:rPr>
            </w:pPr>
            <w:r>
              <w:rPr>
                <w:rFonts w:ascii="宋体" w:hAnsi="宋体" w:cs="宋体"/>
                <w:kern w:val="0"/>
                <w:sz w:val="24"/>
                <w:szCs w:val="24"/>
              </w:rPr>
              <w:t>具有≥3路高清视频输入接口，具备≥2路高清视频输出接口。</w:t>
            </w:r>
          </w:p>
          <w:p>
            <w:pPr>
              <w:spacing w:before="157"/>
              <w:jc w:val="left"/>
              <w:rPr>
                <w:rFonts w:ascii="宋体" w:hAnsi="宋体" w:cs="宋体"/>
                <w:kern w:val="0"/>
                <w:sz w:val="24"/>
                <w:szCs w:val="24"/>
              </w:rPr>
            </w:pPr>
            <w:r>
              <w:rPr>
                <w:rFonts w:ascii="宋体" w:hAnsi="宋体" w:cs="宋体"/>
                <w:kern w:val="0"/>
                <w:sz w:val="24"/>
                <w:szCs w:val="24"/>
              </w:rPr>
              <w:t>具有≥5路音频输入接口，具有≥4路音频输出接口。</w:t>
            </w:r>
          </w:p>
          <w:p>
            <w:pPr>
              <w:spacing w:before="157"/>
              <w:jc w:val="left"/>
              <w:rPr>
                <w:rFonts w:ascii="宋体" w:hAnsi="宋体" w:cs="宋体"/>
                <w:kern w:val="0"/>
                <w:sz w:val="24"/>
                <w:szCs w:val="24"/>
              </w:rPr>
            </w:pPr>
            <w:r>
              <w:rPr>
                <w:rFonts w:ascii="宋体" w:hAnsi="宋体" w:cs="宋体"/>
                <w:kern w:val="0"/>
                <w:sz w:val="24"/>
                <w:szCs w:val="24"/>
              </w:rPr>
              <w:t>具有≥ 2个千兆自适应网口、 ≥2个 USB2.0 接口、≥ 1个 RS232/485 串口。</w:t>
            </w:r>
          </w:p>
          <w:p>
            <w:pPr>
              <w:spacing w:before="157"/>
              <w:jc w:val="left"/>
              <w:rPr>
                <w:rFonts w:ascii="宋体" w:hAnsi="宋体" w:cs="宋体"/>
                <w:kern w:val="0"/>
                <w:sz w:val="24"/>
                <w:szCs w:val="24"/>
              </w:rPr>
            </w:pPr>
            <w:r>
              <w:rPr>
                <w:rFonts w:ascii="宋体" w:hAnsi="宋体" w:cs="宋体"/>
                <w:kern w:val="0"/>
                <w:sz w:val="24"/>
                <w:szCs w:val="24"/>
              </w:rPr>
              <w:t>具备3840 × 2160 （60/30/15fps）、1920 ×1080 （25/30/50/60fps ）、 1280 × 720 （ 25/30/50/60fps ）、 704 × 576 （25fps ）、352 ×288 （25fps25fps ）等分辨率编解码和输入输出能力。</w:t>
            </w:r>
          </w:p>
          <w:p>
            <w:pPr>
              <w:spacing w:before="157"/>
              <w:jc w:val="left"/>
              <w:rPr>
                <w:rFonts w:ascii="宋体" w:hAnsi="宋体" w:cs="宋体"/>
                <w:kern w:val="0"/>
                <w:sz w:val="24"/>
                <w:szCs w:val="24"/>
              </w:rPr>
            </w:pPr>
            <w:r>
              <w:rPr>
                <w:rFonts w:ascii="宋体" w:hAnsi="宋体" w:cs="宋体"/>
                <w:kern w:val="0"/>
                <w:sz w:val="24"/>
                <w:szCs w:val="24"/>
              </w:rPr>
              <w:t>★具备4K双流能力，满足主流视频4kp60fps，辅视频流支持4kp30fps。（提供封面具有CNAS和CMA标志的权威检测机构的报告复印件加盖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★终端内置8阵列麦克风，拾音距离≥8米，支持外接阵列麦克风。（提供封面具有CNAS和CMA标志的权威检测机构的报告复印件加盖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★在不增加第三方设备或网关情况下，把内置摄像机的画面作为RTSP监控码流发送给监控系统，会议和监控功能同时使用，实现一机两用（提供封面具有CNAS和CMA标志的权威检测机构的报告复印件加盖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在不增加第三方设备或网关情况下，支持同网段的高清监控摄像头通过IP网络将监控图像发送给视频会议终端，可作为主流图像源或辅流图像源或直接输出到显示器。（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支持辅流双流发送功能，会议中支持辅流音视频输入即插即发送双流支持即插即发功能。支持在空闲时支持音视频输入即插即显示在本地显示器上，无需切换显示器视频源。（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★支持会议平板/触摸屏等反控终端，实现终端配置，会议操作等相关操作。（提供封面具有CNAS和CMA标志的权威检测机构的报告复印件加盖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★支持温湿度接入，画面可大家温湿度OSD信息，OSD信息位置可调。（提供封面具有CNAS和CMA标志的权威检测机构的报告复印件加盖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★支持自动取景，通过内置人脸识别算法判断会场人数智能抓取全景，可将全部与会人员拍摄入画面，并能根据与会人员的变动动态调节全景画面。（提供封面具有CNAS和CMA标志的权威检测机构的报告复印件加盖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w:t>
            </w:r>
          </w:p>
          <w:p>
            <w:pPr>
              <w:spacing w:before="157"/>
              <w:jc w:val="left"/>
              <w:rPr>
                <w:rFonts w:ascii="宋体" w:hAnsi="宋体" w:cs="宋体"/>
                <w:kern w:val="0"/>
                <w:sz w:val="24"/>
                <w:szCs w:val="24"/>
              </w:rPr>
            </w:pPr>
            <w:r>
              <w:rPr>
                <w:rFonts w:ascii="宋体" w:hAnsi="宋体" w:cs="宋体"/>
                <w:kern w:val="0"/>
                <w:sz w:val="24"/>
                <w:szCs w:val="24"/>
              </w:rPr>
              <w:t>★在不增加第三方设备或话筒情况下，终端可实现发言人自动跟踪功能，且跟踪灵敏度可调，最快持续发言≤2秒即可完成跟踪。（提供封面具有CNAS和CMA标志的权威检测机构的报告复印件加盖</w:t>
            </w:r>
            <w:r>
              <w:rPr>
                <w:rFonts w:hint="eastAsia" w:ascii="宋体" w:hAnsi="宋体" w:cs="宋体"/>
                <w:kern w:val="0"/>
                <w:sz w:val="24"/>
                <w:szCs w:val="24"/>
              </w:rPr>
              <w:t>原厂</w:t>
            </w:r>
            <w:r>
              <w:rPr>
                <w:rFonts w:ascii="宋体" w:hAnsi="宋体" w:cs="宋体"/>
                <w:kern w:val="0"/>
                <w:sz w:val="24"/>
                <w:szCs w:val="24"/>
              </w:rPr>
              <w:t>公章）具备超强抗丢包能力，IP网络丢包达到35%时，会议音视频不受影响，会议仍可进行；IP网络丢包达到80%时，会议音频可识别</w:t>
            </w:r>
            <w:r>
              <w:rPr>
                <w:rFonts w:hint="eastAsia" w:ascii="宋体" w:hAnsi="宋体" w:cs="宋体"/>
                <w:kern w:val="0"/>
                <w:sz w:val="24"/>
                <w:szCs w:val="24"/>
              </w:rPr>
              <w:t>。</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华为、海康威视、科达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7.</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主扩声全频扬声器</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1、箱体采用15mm高质量中纤板制作，高质量耐磨黑色油性漆处理，内贴防尘吸音网棉</w:t>
            </w:r>
          </w:p>
          <w:p>
            <w:pPr>
              <w:spacing w:before="157"/>
              <w:jc w:val="left"/>
              <w:rPr>
                <w:rFonts w:ascii="宋体" w:hAnsi="宋体" w:cs="宋体"/>
                <w:kern w:val="0"/>
                <w:sz w:val="24"/>
                <w:szCs w:val="24"/>
              </w:rPr>
            </w:pPr>
            <w:r>
              <w:rPr>
                <w:rFonts w:hint="eastAsia" w:ascii="宋体" w:hAnsi="宋体" w:cs="宋体"/>
                <w:kern w:val="0"/>
                <w:sz w:val="24"/>
                <w:szCs w:val="24"/>
              </w:rPr>
              <w:t>2、内置精确分频器优化人声中频部分的表现力，有效提高人声还原；</w:t>
            </w:r>
          </w:p>
          <w:p>
            <w:pPr>
              <w:spacing w:before="157"/>
              <w:jc w:val="left"/>
              <w:rPr>
                <w:rFonts w:ascii="宋体" w:hAnsi="宋体" w:cs="宋体"/>
                <w:kern w:val="0"/>
                <w:sz w:val="24"/>
                <w:szCs w:val="24"/>
              </w:rPr>
            </w:pPr>
            <w:r>
              <w:rPr>
                <w:rFonts w:hint="eastAsia" w:ascii="宋体" w:hAnsi="宋体" w:cs="宋体"/>
                <w:kern w:val="0"/>
                <w:sz w:val="24"/>
                <w:szCs w:val="24"/>
              </w:rPr>
              <w:t>★3、内置8寸全频专业音箱，配置LFunit1*8英寸，HFdriver1*3英寸钛PK复合膜压缩高音单元，为保证会议系统整体兼容性，设备需与音频处理器相同品牌；</w:t>
            </w:r>
          </w:p>
          <w:p>
            <w:pPr>
              <w:spacing w:before="157"/>
              <w:jc w:val="left"/>
              <w:rPr>
                <w:rFonts w:ascii="宋体" w:hAnsi="宋体" w:cs="宋体"/>
                <w:kern w:val="0"/>
                <w:sz w:val="24"/>
                <w:szCs w:val="24"/>
              </w:rPr>
            </w:pPr>
            <w:r>
              <w:rPr>
                <w:rFonts w:hint="eastAsia" w:ascii="宋体" w:hAnsi="宋体" w:cs="宋体"/>
                <w:kern w:val="0"/>
                <w:sz w:val="24"/>
                <w:szCs w:val="24"/>
              </w:rPr>
              <w:t>4、流水线条形长度410mm，厚度170mm，宽度270mm设计，覆盖范围110°H×110°VCMD；</w:t>
            </w:r>
          </w:p>
          <w:p>
            <w:pPr>
              <w:spacing w:before="157"/>
              <w:jc w:val="left"/>
              <w:rPr>
                <w:rFonts w:ascii="宋体" w:hAnsi="宋体" w:cs="宋体"/>
                <w:kern w:val="0"/>
                <w:sz w:val="24"/>
                <w:szCs w:val="24"/>
              </w:rPr>
            </w:pPr>
            <w:r>
              <w:rPr>
                <w:rFonts w:hint="eastAsia" w:ascii="宋体" w:hAnsi="宋体" w:cs="宋体"/>
                <w:kern w:val="0"/>
                <w:sz w:val="24"/>
                <w:szCs w:val="24"/>
              </w:rPr>
              <w:t>5、内置双NL4+音箱接头，可多音箱级联。</w:t>
            </w:r>
          </w:p>
          <w:p>
            <w:pPr>
              <w:spacing w:before="157"/>
              <w:jc w:val="left"/>
              <w:rPr>
                <w:rFonts w:ascii="宋体" w:hAnsi="宋体" w:cs="宋体"/>
                <w:kern w:val="0"/>
                <w:sz w:val="24"/>
                <w:szCs w:val="24"/>
              </w:rPr>
            </w:pPr>
            <w:r>
              <w:rPr>
                <w:rFonts w:hint="eastAsia" w:ascii="宋体" w:hAnsi="宋体" w:cs="宋体"/>
                <w:kern w:val="0"/>
                <w:sz w:val="24"/>
                <w:szCs w:val="24"/>
              </w:rPr>
              <w:t>6、频率响应(±10dB)：50Hz-20KHz；</w:t>
            </w:r>
          </w:p>
          <w:p>
            <w:pPr>
              <w:spacing w:before="157"/>
              <w:jc w:val="left"/>
              <w:rPr>
                <w:rFonts w:ascii="宋体" w:hAnsi="宋体" w:cs="宋体"/>
                <w:kern w:val="0"/>
                <w:sz w:val="24"/>
                <w:szCs w:val="24"/>
              </w:rPr>
            </w:pPr>
            <w:r>
              <w:rPr>
                <w:rFonts w:hint="eastAsia" w:ascii="宋体" w:hAnsi="宋体" w:cs="宋体"/>
                <w:kern w:val="0"/>
                <w:sz w:val="24"/>
                <w:szCs w:val="24"/>
              </w:rPr>
              <w:t>7、灵敏度(1W/1m)：95dB/1W,峰值声压级：122dB,阻抗：8Ω；</w:t>
            </w:r>
          </w:p>
          <w:p>
            <w:pPr>
              <w:spacing w:before="157"/>
              <w:jc w:val="left"/>
              <w:rPr>
                <w:rFonts w:ascii="宋体" w:hAnsi="宋体" w:cs="宋体"/>
                <w:kern w:val="0"/>
                <w:sz w:val="24"/>
                <w:szCs w:val="24"/>
              </w:rPr>
            </w:pPr>
            <w:r>
              <w:rPr>
                <w:rFonts w:hint="eastAsia" w:ascii="宋体" w:hAnsi="宋体" w:cs="宋体"/>
                <w:kern w:val="0"/>
                <w:sz w:val="24"/>
                <w:szCs w:val="24"/>
              </w:rPr>
              <w:t>★8、输入功率：峰值300W；</w:t>
            </w:r>
          </w:p>
          <w:p>
            <w:pPr>
              <w:spacing w:before="157"/>
              <w:jc w:val="left"/>
              <w:rPr>
                <w:rFonts w:ascii="宋体" w:hAnsi="宋体" w:cs="宋体"/>
                <w:kern w:val="0"/>
                <w:sz w:val="24"/>
                <w:szCs w:val="24"/>
              </w:rPr>
            </w:pPr>
            <w:r>
              <w:rPr>
                <w:rFonts w:hint="eastAsia" w:ascii="宋体" w:hAnsi="宋体" w:cs="宋体"/>
                <w:kern w:val="0"/>
                <w:sz w:val="24"/>
                <w:szCs w:val="24"/>
              </w:rPr>
              <w:t>9、分频点：2.5KHz；</w:t>
            </w:r>
          </w:p>
          <w:p>
            <w:pPr>
              <w:spacing w:before="157"/>
              <w:jc w:val="left"/>
              <w:rPr>
                <w:rFonts w:ascii="宋体" w:hAnsi="宋体" w:cs="宋体"/>
                <w:kern w:val="0"/>
                <w:sz w:val="24"/>
                <w:szCs w:val="24"/>
              </w:rPr>
            </w:pPr>
            <w:r>
              <w:rPr>
                <w:rFonts w:hint="eastAsia" w:ascii="宋体" w:hAnsi="宋体" w:cs="宋体"/>
                <w:kern w:val="0"/>
                <w:sz w:val="24"/>
                <w:szCs w:val="24"/>
              </w:rPr>
              <w:t>10、安装方式：2个M8吊装螺丝孔位；1个背部挂孔；</w:t>
            </w:r>
          </w:p>
          <w:p>
            <w:pPr>
              <w:spacing w:before="157"/>
              <w:jc w:val="left"/>
              <w:rPr>
                <w:rFonts w:ascii="宋体" w:hAnsi="宋体" w:cs="宋体"/>
                <w:kern w:val="0"/>
                <w:sz w:val="24"/>
                <w:szCs w:val="24"/>
              </w:rPr>
            </w:pPr>
            <w:r>
              <w:rPr>
                <w:rFonts w:hint="eastAsia" w:ascii="宋体" w:hAnsi="宋体" w:cs="宋体"/>
                <w:kern w:val="0"/>
                <w:sz w:val="24"/>
                <w:szCs w:val="24"/>
              </w:rPr>
              <w:t>★投标时提供针对专业音箱依据GB8898-2011安全要求质量检验报告复印件，并加盖原厂公章；</w:t>
            </w:r>
          </w:p>
          <w:p>
            <w:pPr>
              <w:spacing w:before="157"/>
              <w:jc w:val="left"/>
              <w:rPr>
                <w:rFonts w:ascii="宋体" w:hAnsi="宋体" w:cs="宋体"/>
                <w:kern w:val="0"/>
                <w:sz w:val="24"/>
                <w:szCs w:val="24"/>
              </w:rPr>
            </w:pPr>
            <w:r>
              <w:rPr>
                <w:rFonts w:hint="eastAsia" w:ascii="宋体" w:hAnsi="宋体" w:cs="宋体"/>
                <w:kern w:val="0"/>
                <w:sz w:val="24"/>
                <w:szCs w:val="24"/>
              </w:rPr>
              <w:t>★为体现设备可靠性，投标时需提供加盖原厂公章的CFQC颁发全国产品质量公证十佳品牌证书复印件。</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2</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ONITER、SOCDR、      C-MARK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8.</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主扩声功率放大器</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★1、应用PFC技术设计，有效的抑制电源谐波，达到国家绿色电源标准,有MONO、V-BRIDGE、I-SHARE、QUAD4种输出方式供调节选择链接音箱，为保证会议系统整体兼容性，设备需与音频处理器相同品牌；</w:t>
            </w:r>
          </w:p>
          <w:p>
            <w:pPr>
              <w:spacing w:before="157"/>
              <w:jc w:val="left"/>
              <w:rPr>
                <w:rFonts w:ascii="宋体" w:hAnsi="宋体" w:cs="宋体"/>
                <w:kern w:val="0"/>
                <w:sz w:val="24"/>
                <w:szCs w:val="24"/>
              </w:rPr>
            </w:pPr>
            <w:r>
              <w:rPr>
                <w:rFonts w:hint="eastAsia" w:ascii="宋体" w:hAnsi="宋体" w:cs="宋体"/>
                <w:kern w:val="0"/>
                <w:sz w:val="24"/>
                <w:szCs w:val="24"/>
              </w:rPr>
              <w:t>2、功放开机自动软启动，无音源输入时功放自动切换为待机状态；</w:t>
            </w:r>
          </w:p>
          <w:p>
            <w:pPr>
              <w:spacing w:before="157"/>
              <w:jc w:val="left"/>
              <w:rPr>
                <w:rFonts w:ascii="宋体" w:hAnsi="宋体" w:cs="宋体"/>
                <w:kern w:val="0"/>
                <w:sz w:val="24"/>
                <w:szCs w:val="24"/>
              </w:rPr>
            </w:pPr>
            <w:r>
              <w:rPr>
                <w:rFonts w:hint="eastAsia" w:ascii="宋体" w:hAnsi="宋体" w:cs="宋体"/>
                <w:kern w:val="0"/>
                <w:sz w:val="24"/>
                <w:szCs w:val="24"/>
              </w:rPr>
              <w:t>★3、配备LED工作状态指示具有短路保护、直流保护、电源通断多种保护和告警功能；</w:t>
            </w:r>
          </w:p>
          <w:p>
            <w:pPr>
              <w:spacing w:before="157"/>
              <w:jc w:val="left"/>
              <w:rPr>
                <w:rFonts w:ascii="宋体" w:hAnsi="宋体" w:cs="宋体"/>
                <w:kern w:val="0"/>
                <w:sz w:val="24"/>
                <w:szCs w:val="24"/>
              </w:rPr>
            </w:pPr>
            <w:r>
              <w:rPr>
                <w:rFonts w:hint="eastAsia" w:ascii="宋体" w:hAnsi="宋体" w:cs="宋体"/>
                <w:kern w:val="0"/>
                <w:sz w:val="24"/>
                <w:szCs w:val="24"/>
              </w:rPr>
              <w:t>4、内设输入浪涌限制，输出短路、直流、过载保护，主保险丝保护，开关机哑音保护，射频干扰保护；</w:t>
            </w:r>
          </w:p>
          <w:p>
            <w:pPr>
              <w:spacing w:before="157"/>
              <w:jc w:val="left"/>
              <w:rPr>
                <w:rFonts w:ascii="宋体" w:hAnsi="宋体" w:cs="宋体"/>
                <w:kern w:val="0"/>
                <w:sz w:val="24"/>
                <w:szCs w:val="24"/>
              </w:rPr>
            </w:pPr>
            <w:r>
              <w:rPr>
                <w:rFonts w:hint="eastAsia" w:ascii="宋体" w:hAnsi="宋体" w:cs="宋体"/>
                <w:kern w:val="0"/>
                <w:sz w:val="24"/>
                <w:szCs w:val="24"/>
              </w:rPr>
              <w:t>5、QUAD模式：4Ω1KHz0.1%900W；</w:t>
            </w:r>
          </w:p>
          <w:p>
            <w:pPr>
              <w:spacing w:before="157"/>
              <w:jc w:val="left"/>
              <w:rPr>
                <w:rFonts w:ascii="宋体" w:hAnsi="宋体" w:cs="宋体"/>
                <w:kern w:val="0"/>
                <w:sz w:val="24"/>
                <w:szCs w:val="24"/>
              </w:rPr>
            </w:pPr>
            <w:r>
              <w:rPr>
                <w:rFonts w:hint="eastAsia" w:ascii="宋体" w:hAnsi="宋体" w:cs="宋体"/>
                <w:kern w:val="0"/>
                <w:sz w:val="24"/>
                <w:szCs w:val="24"/>
              </w:rPr>
              <w:t>6、总谐波失真：＜0.05%；</w:t>
            </w:r>
          </w:p>
          <w:p>
            <w:pPr>
              <w:spacing w:before="157"/>
              <w:jc w:val="left"/>
              <w:rPr>
                <w:rFonts w:ascii="宋体" w:hAnsi="宋体" w:cs="宋体"/>
                <w:kern w:val="0"/>
                <w:sz w:val="24"/>
                <w:szCs w:val="24"/>
              </w:rPr>
            </w:pPr>
            <w:r>
              <w:rPr>
                <w:rFonts w:hint="eastAsia" w:ascii="宋体" w:hAnsi="宋体" w:cs="宋体"/>
                <w:kern w:val="0"/>
                <w:sz w:val="24"/>
                <w:szCs w:val="24"/>
              </w:rPr>
              <w:t>7、互调失真：＜0.05%；</w:t>
            </w:r>
          </w:p>
          <w:p>
            <w:pPr>
              <w:spacing w:before="157"/>
              <w:jc w:val="left"/>
              <w:rPr>
                <w:rFonts w:ascii="宋体" w:hAnsi="宋体" w:cs="宋体"/>
                <w:kern w:val="0"/>
                <w:sz w:val="24"/>
                <w:szCs w:val="24"/>
              </w:rPr>
            </w:pPr>
            <w:r>
              <w:rPr>
                <w:rFonts w:hint="eastAsia" w:ascii="宋体" w:hAnsi="宋体" w:cs="宋体"/>
                <w:kern w:val="0"/>
                <w:sz w:val="24"/>
                <w:szCs w:val="24"/>
              </w:rPr>
              <w:t>8、信噪比S/N：&gt;102dB,转换速率：40V/us；</w:t>
            </w:r>
          </w:p>
          <w:p>
            <w:pPr>
              <w:spacing w:before="157"/>
              <w:jc w:val="left"/>
              <w:rPr>
                <w:rFonts w:ascii="宋体" w:hAnsi="宋体" w:cs="宋体"/>
                <w:kern w:val="0"/>
                <w:sz w:val="24"/>
                <w:szCs w:val="24"/>
              </w:rPr>
            </w:pPr>
            <w:r>
              <w:rPr>
                <w:rFonts w:hint="eastAsia" w:ascii="宋体" w:hAnsi="宋体" w:cs="宋体"/>
                <w:kern w:val="0"/>
                <w:sz w:val="24"/>
                <w:szCs w:val="24"/>
              </w:rPr>
              <w:t>★为保证设备安全稳定性，投标需提供针对功率放大器关于防触电绝缘功能检测的中国赛宝实验室测试报告复印件并加盖原厂公章，测试报告内无体现防触电绝缘功能检测将视为无效投标处理。</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ONITER、SOCDR、      C-MARK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9.</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音频处理器</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1、采用360°全方位蓝底白字LCD液晶显示；</w:t>
            </w:r>
          </w:p>
          <w:p>
            <w:pPr>
              <w:spacing w:before="157"/>
              <w:jc w:val="left"/>
              <w:rPr>
                <w:rFonts w:ascii="宋体" w:hAnsi="宋体" w:cs="宋体"/>
                <w:kern w:val="0"/>
                <w:sz w:val="24"/>
                <w:szCs w:val="24"/>
              </w:rPr>
            </w:pPr>
            <w:r>
              <w:rPr>
                <w:rFonts w:hint="eastAsia" w:ascii="宋体" w:hAnsi="宋体" w:cs="宋体"/>
                <w:kern w:val="0"/>
                <w:sz w:val="24"/>
                <w:szCs w:val="24"/>
              </w:rPr>
              <w:t>2、MIC,MUSIC,EFF音量配备3个旋钮独立调节；MIC、MUSIC音量可实现最大84级调节，EFF音量可实现最大70级调节；</w:t>
            </w:r>
          </w:p>
          <w:p>
            <w:pPr>
              <w:spacing w:before="157"/>
              <w:jc w:val="left"/>
              <w:rPr>
                <w:rFonts w:ascii="宋体" w:hAnsi="宋体" w:cs="宋体"/>
                <w:kern w:val="0"/>
                <w:sz w:val="24"/>
                <w:szCs w:val="24"/>
              </w:rPr>
            </w:pPr>
            <w:r>
              <w:rPr>
                <w:rFonts w:hint="eastAsia" w:ascii="宋体" w:hAnsi="宋体" w:cs="宋体"/>
                <w:kern w:val="0"/>
                <w:sz w:val="24"/>
                <w:szCs w:val="24"/>
              </w:rPr>
              <w:t>3、96KHz采样频率，32-bitDSP处理器，24-bitA/D及D/A转换。</w:t>
            </w:r>
          </w:p>
          <w:p>
            <w:pPr>
              <w:spacing w:before="157"/>
              <w:jc w:val="left"/>
              <w:rPr>
                <w:rFonts w:ascii="宋体" w:hAnsi="宋体" w:cs="宋体"/>
                <w:kern w:val="0"/>
                <w:sz w:val="24"/>
                <w:szCs w:val="24"/>
              </w:rPr>
            </w:pPr>
            <w:r>
              <w:rPr>
                <w:rFonts w:hint="eastAsia" w:ascii="宋体" w:hAnsi="宋体" w:cs="宋体"/>
                <w:kern w:val="0"/>
                <w:sz w:val="24"/>
                <w:szCs w:val="24"/>
              </w:rPr>
              <w:t>★4、音频信号四选一输入，模拟音频信号的输入灵敏度可选，提供5组话筒输入，标准5.1声道输出；</w:t>
            </w:r>
          </w:p>
          <w:p>
            <w:pPr>
              <w:spacing w:before="157"/>
              <w:jc w:val="left"/>
              <w:rPr>
                <w:rFonts w:ascii="宋体" w:hAnsi="宋体" w:cs="宋体"/>
                <w:kern w:val="0"/>
                <w:sz w:val="24"/>
                <w:szCs w:val="24"/>
              </w:rPr>
            </w:pPr>
            <w:r>
              <w:rPr>
                <w:rFonts w:hint="eastAsia" w:ascii="宋体" w:hAnsi="宋体" w:cs="宋体"/>
                <w:kern w:val="0"/>
                <w:sz w:val="24"/>
                <w:szCs w:val="24"/>
              </w:rPr>
              <w:t>5、提供USB接口、WIFI或有线网络接口可连接电脑，提供远程控制和红外线控制；</w:t>
            </w:r>
          </w:p>
          <w:p>
            <w:pPr>
              <w:spacing w:before="157"/>
              <w:jc w:val="left"/>
              <w:rPr>
                <w:rFonts w:ascii="宋体" w:hAnsi="宋体" w:cs="宋体"/>
                <w:kern w:val="0"/>
                <w:sz w:val="24"/>
                <w:szCs w:val="24"/>
              </w:rPr>
            </w:pPr>
            <w:r>
              <w:rPr>
                <w:rFonts w:hint="eastAsia" w:ascii="宋体" w:hAnsi="宋体" w:cs="宋体"/>
                <w:kern w:val="0"/>
                <w:sz w:val="24"/>
                <w:szCs w:val="24"/>
              </w:rPr>
              <w:t>★6、直接用面板的功能键和拔轮进行功能设置或是连接电脑通过PC控制软件来控制；</w:t>
            </w:r>
          </w:p>
          <w:p>
            <w:pPr>
              <w:spacing w:before="157"/>
              <w:jc w:val="left"/>
              <w:rPr>
                <w:rFonts w:ascii="宋体" w:hAnsi="宋体" w:cs="宋体"/>
                <w:kern w:val="0"/>
                <w:sz w:val="24"/>
                <w:szCs w:val="24"/>
              </w:rPr>
            </w:pPr>
            <w:r>
              <w:rPr>
                <w:rFonts w:hint="eastAsia" w:ascii="宋体" w:hAnsi="宋体" w:cs="宋体"/>
                <w:kern w:val="0"/>
                <w:sz w:val="24"/>
                <w:szCs w:val="24"/>
              </w:rPr>
              <w:t>7、通过直接旋转面板的不同旋钮可分别控制话筒音量、效果音量、音乐音量和总音量；</w:t>
            </w:r>
          </w:p>
          <w:p>
            <w:pPr>
              <w:spacing w:before="157"/>
              <w:jc w:val="left"/>
              <w:rPr>
                <w:rFonts w:ascii="宋体" w:hAnsi="宋体" w:cs="宋体"/>
                <w:kern w:val="0"/>
                <w:sz w:val="24"/>
                <w:szCs w:val="24"/>
              </w:rPr>
            </w:pPr>
            <w:r>
              <w:rPr>
                <w:rFonts w:hint="eastAsia" w:ascii="宋体" w:hAnsi="宋体" w:cs="宋体"/>
                <w:kern w:val="0"/>
                <w:sz w:val="24"/>
                <w:szCs w:val="24"/>
              </w:rPr>
              <w:t>8、单机提供20组设备数据存储，提供10组效果数据存储,通过PC软件可进行设备之间的复制；</w:t>
            </w:r>
          </w:p>
          <w:p>
            <w:pPr>
              <w:spacing w:before="157"/>
              <w:jc w:val="left"/>
              <w:rPr>
                <w:rFonts w:ascii="宋体" w:hAnsi="宋体" w:cs="宋体"/>
                <w:kern w:val="0"/>
                <w:sz w:val="24"/>
                <w:szCs w:val="24"/>
              </w:rPr>
            </w:pPr>
            <w:r>
              <w:rPr>
                <w:rFonts w:hint="eastAsia" w:ascii="宋体" w:hAnsi="宋体" w:cs="宋体"/>
                <w:kern w:val="0"/>
                <w:sz w:val="24"/>
                <w:szCs w:val="24"/>
              </w:rPr>
              <w:t>9、可通过面板的“系统”键来设定密码锁定面板操作的部分或全部功能，以防止闲杂人员的操作破坏机器的工作状态；</w:t>
            </w:r>
          </w:p>
          <w:p>
            <w:pPr>
              <w:spacing w:before="157"/>
              <w:jc w:val="left"/>
              <w:rPr>
                <w:rFonts w:ascii="宋体" w:hAnsi="宋体" w:cs="宋体"/>
                <w:kern w:val="0"/>
                <w:sz w:val="24"/>
                <w:szCs w:val="24"/>
              </w:rPr>
            </w:pPr>
            <w:r>
              <w:rPr>
                <w:rFonts w:hint="eastAsia" w:ascii="宋体" w:hAnsi="宋体" w:cs="宋体"/>
                <w:kern w:val="0"/>
                <w:sz w:val="24"/>
                <w:szCs w:val="24"/>
              </w:rPr>
              <w:t>10、采用汉字液晶屏和6段LED显示输出的电平、哑音及编辑状态；</w:t>
            </w:r>
          </w:p>
          <w:p>
            <w:pPr>
              <w:spacing w:before="157"/>
              <w:jc w:val="left"/>
              <w:rPr>
                <w:rFonts w:ascii="宋体" w:hAnsi="宋体" w:cs="宋体"/>
                <w:kern w:val="0"/>
                <w:sz w:val="24"/>
                <w:szCs w:val="24"/>
              </w:rPr>
            </w:pPr>
            <w:r>
              <w:rPr>
                <w:rFonts w:hint="eastAsia" w:ascii="宋体" w:hAnsi="宋体" w:cs="宋体"/>
                <w:kern w:val="0"/>
                <w:sz w:val="24"/>
                <w:szCs w:val="24"/>
              </w:rPr>
              <w:t>★11、每个输入和输出均有延时和相位控制及哑音设置，输入延时最长可达30ms,输出延时最长可达60ms；</w:t>
            </w:r>
          </w:p>
          <w:p>
            <w:pPr>
              <w:spacing w:before="157"/>
              <w:jc w:val="left"/>
              <w:rPr>
                <w:rFonts w:ascii="宋体" w:hAnsi="宋体" w:cs="宋体"/>
                <w:kern w:val="0"/>
                <w:sz w:val="24"/>
                <w:szCs w:val="24"/>
              </w:rPr>
            </w:pPr>
            <w:r>
              <w:rPr>
                <w:rFonts w:hint="eastAsia" w:ascii="宋体" w:hAnsi="宋体" w:cs="宋体"/>
                <w:kern w:val="0"/>
                <w:sz w:val="24"/>
                <w:szCs w:val="24"/>
              </w:rPr>
              <w:t>12、输出通道还可控制该通道的效果比例、话筒音量、音乐音量和效果音量；</w:t>
            </w:r>
          </w:p>
          <w:p>
            <w:pPr>
              <w:spacing w:before="157"/>
              <w:jc w:val="left"/>
              <w:rPr>
                <w:rFonts w:ascii="宋体" w:hAnsi="宋体" w:cs="宋体"/>
                <w:kern w:val="0"/>
                <w:sz w:val="24"/>
                <w:szCs w:val="24"/>
              </w:rPr>
            </w:pPr>
            <w:r>
              <w:rPr>
                <w:rFonts w:hint="eastAsia" w:ascii="宋体" w:hAnsi="宋体" w:cs="宋体"/>
                <w:kern w:val="0"/>
                <w:sz w:val="24"/>
                <w:szCs w:val="24"/>
              </w:rPr>
              <w:t>13、效果带三段参量均衡和一对高低通滤波器，回声和效果的具体参数均可调；</w:t>
            </w:r>
          </w:p>
          <w:p>
            <w:pPr>
              <w:spacing w:before="157"/>
              <w:jc w:val="left"/>
              <w:rPr>
                <w:rFonts w:ascii="宋体" w:hAnsi="宋体" w:cs="宋体"/>
                <w:kern w:val="0"/>
                <w:sz w:val="24"/>
                <w:szCs w:val="24"/>
              </w:rPr>
            </w:pPr>
            <w:r>
              <w:rPr>
                <w:rFonts w:hint="eastAsia" w:ascii="宋体" w:hAnsi="宋体" w:cs="宋体"/>
                <w:kern w:val="0"/>
                <w:sz w:val="24"/>
                <w:szCs w:val="24"/>
              </w:rPr>
              <w:t>14、可以通过S端子连接中控来控制通道的主要参数；</w:t>
            </w:r>
          </w:p>
          <w:p>
            <w:pPr>
              <w:spacing w:before="157"/>
              <w:jc w:val="left"/>
              <w:rPr>
                <w:rFonts w:ascii="宋体" w:hAnsi="宋体" w:cs="宋体"/>
                <w:kern w:val="0"/>
                <w:sz w:val="24"/>
                <w:szCs w:val="24"/>
              </w:rPr>
            </w:pPr>
            <w:r>
              <w:rPr>
                <w:rFonts w:hint="eastAsia" w:ascii="宋体" w:hAnsi="宋体" w:cs="宋体"/>
                <w:kern w:val="0"/>
                <w:sz w:val="24"/>
                <w:szCs w:val="24"/>
              </w:rPr>
              <w:t>★15、带4种级别的防啸叫功能白色键钮，开启即用，无需多余调试；</w:t>
            </w:r>
          </w:p>
          <w:p>
            <w:pPr>
              <w:spacing w:before="157"/>
              <w:jc w:val="left"/>
              <w:rPr>
                <w:rFonts w:ascii="宋体" w:hAnsi="宋体" w:cs="宋体"/>
                <w:kern w:val="0"/>
                <w:sz w:val="24"/>
                <w:szCs w:val="24"/>
              </w:rPr>
            </w:pPr>
            <w:r>
              <w:rPr>
                <w:rFonts w:hint="eastAsia" w:ascii="宋体" w:hAnsi="宋体" w:cs="宋体"/>
                <w:kern w:val="0"/>
                <w:sz w:val="24"/>
                <w:szCs w:val="24"/>
              </w:rPr>
              <w:t>16、采用数模双核转换。模拟模块和数字处理模块，两种模块同时处理。使人声更通透，清晰，高低频延伸更宽。</w:t>
            </w:r>
          </w:p>
          <w:p>
            <w:pPr>
              <w:spacing w:before="157"/>
              <w:jc w:val="left"/>
              <w:rPr>
                <w:rFonts w:ascii="宋体" w:hAnsi="宋体" w:cs="宋体"/>
                <w:kern w:val="0"/>
                <w:sz w:val="24"/>
                <w:szCs w:val="24"/>
              </w:rPr>
            </w:pPr>
            <w:r>
              <w:rPr>
                <w:rFonts w:hint="eastAsia" w:ascii="宋体" w:hAnsi="宋体" w:cs="宋体"/>
                <w:kern w:val="0"/>
                <w:sz w:val="24"/>
                <w:szCs w:val="24"/>
              </w:rPr>
              <w:t>★为保证设备安全稳定性，投标需提供针对音频处理器关于防触电绝缘功能检测的中国赛宝实验室测试报告复印件并加盖原厂公章，测试报告内无体现防触电绝缘功能检测将视为无效投标处理。</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ONITER、SOCDR、      C-MARK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10.</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调音台</w:t>
            </w:r>
          </w:p>
        </w:tc>
        <w:tc>
          <w:tcPr>
            <w:tcW w:w="8222" w:type="dxa"/>
            <w:vAlign w:val="center"/>
          </w:tcPr>
          <w:p>
            <w:pPr>
              <w:spacing w:before="157"/>
              <w:jc w:val="left"/>
              <w:rPr>
                <w:rFonts w:ascii="宋体" w:hAnsi="宋体" w:cs="宋体"/>
                <w:kern w:val="0"/>
                <w:sz w:val="24"/>
                <w:szCs w:val="24"/>
              </w:rPr>
            </w:pPr>
            <w:r>
              <w:rPr>
                <w:rFonts w:ascii="宋体" w:hAnsi="宋体" w:cs="宋体"/>
                <w:kern w:val="0"/>
                <w:sz w:val="24"/>
                <w:szCs w:val="24"/>
              </w:rPr>
              <w:t>8通道调音台</w:t>
            </w:r>
          </w:p>
          <w:p>
            <w:pPr>
              <w:spacing w:before="157"/>
              <w:jc w:val="left"/>
              <w:rPr>
                <w:rFonts w:ascii="宋体" w:hAnsi="宋体" w:cs="宋体"/>
                <w:kern w:val="0"/>
                <w:sz w:val="24"/>
                <w:szCs w:val="24"/>
              </w:rPr>
            </w:pPr>
            <w:r>
              <w:rPr>
                <w:rFonts w:ascii="宋体" w:hAnsi="宋体" w:cs="宋体"/>
                <w:kern w:val="0"/>
                <w:sz w:val="24"/>
                <w:szCs w:val="24"/>
              </w:rPr>
              <w:t>最多6个话筒 / 8个线路输入 (4个单声道 + 4个立体声)</w:t>
            </w:r>
          </w:p>
          <w:p>
            <w:pPr>
              <w:spacing w:before="157"/>
              <w:jc w:val="left"/>
              <w:rPr>
                <w:rFonts w:ascii="宋体" w:hAnsi="宋体" w:cs="宋体"/>
                <w:kern w:val="0"/>
                <w:sz w:val="24"/>
                <w:szCs w:val="24"/>
              </w:rPr>
            </w:pPr>
            <w:r>
              <w:rPr>
                <w:rFonts w:ascii="宋体" w:hAnsi="宋体" w:cs="宋体"/>
                <w:kern w:val="0"/>
                <w:sz w:val="24"/>
                <w:szCs w:val="24"/>
              </w:rPr>
              <w:t xml:space="preserve">2编组母线 + 1立体声母线        </w:t>
            </w:r>
          </w:p>
          <w:p>
            <w:pPr>
              <w:spacing w:before="157"/>
              <w:jc w:val="left"/>
              <w:rPr>
                <w:rFonts w:ascii="宋体" w:hAnsi="宋体" w:cs="宋体"/>
                <w:kern w:val="0"/>
                <w:sz w:val="24"/>
                <w:szCs w:val="24"/>
              </w:rPr>
            </w:pPr>
            <w:r>
              <w:rPr>
                <w:rFonts w:ascii="宋体" w:hAnsi="宋体" w:cs="宋体"/>
                <w:kern w:val="0"/>
                <w:sz w:val="24"/>
                <w:szCs w:val="24"/>
              </w:rPr>
              <w:t>2 AUX (包括FX)</w:t>
            </w:r>
          </w:p>
          <w:p>
            <w:pPr>
              <w:spacing w:before="157"/>
              <w:jc w:val="left"/>
              <w:rPr>
                <w:rFonts w:ascii="宋体" w:hAnsi="宋体" w:cs="宋体"/>
                <w:kern w:val="0"/>
                <w:sz w:val="24"/>
                <w:szCs w:val="24"/>
              </w:rPr>
            </w:pPr>
            <w:r>
              <w:rPr>
                <w:rFonts w:ascii="宋体" w:hAnsi="宋体" w:cs="宋体"/>
                <w:kern w:val="0"/>
                <w:sz w:val="24"/>
                <w:szCs w:val="24"/>
              </w:rPr>
              <w:t>“D-PRE”话放，带有倒向晶体管电路。</w:t>
            </w:r>
          </w:p>
          <w:p>
            <w:pPr>
              <w:spacing w:before="157"/>
              <w:jc w:val="left"/>
              <w:rPr>
                <w:rFonts w:ascii="宋体" w:hAnsi="宋体" w:cs="宋体"/>
                <w:kern w:val="0"/>
                <w:sz w:val="24"/>
                <w:szCs w:val="24"/>
              </w:rPr>
            </w:pPr>
            <w:r>
              <w:rPr>
                <w:rFonts w:ascii="宋体" w:hAnsi="宋体" w:cs="宋体"/>
                <w:kern w:val="0"/>
                <w:sz w:val="24"/>
                <w:szCs w:val="24"/>
              </w:rPr>
              <w:t>单旋钮压缩器</w:t>
            </w:r>
          </w:p>
          <w:p>
            <w:pPr>
              <w:spacing w:before="157"/>
              <w:jc w:val="left"/>
              <w:rPr>
                <w:rFonts w:ascii="宋体" w:hAnsi="宋体" w:cs="宋体"/>
                <w:kern w:val="0"/>
                <w:sz w:val="24"/>
                <w:szCs w:val="24"/>
              </w:rPr>
            </w:pPr>
            <w:r>
              <w:rPr>
                <w:rFonts w:ascii="宋体" w:hAnsi="宋体" w:cs="宋体"/>
                <w:kern w:val="0"/>
                <w:sz w:val="24"/>
                <w:szCs w:val="24"/>
              </w:rPr>
              <w:t>高级效果器：SPX，含24组预置效果器</w:t>
            </w:r>
          </w:p>
          <w:p>
            <w:pPr>
              <w:spacing w:before="157"/>
              <w:jc w:val="left"/>
              <w:rPr>
                <w:rFonts w:ascii="宋体" w:hAnsi="宋体" w:cs="宋体"/>
                <w:kern w:val="0"/>
                <w:sz w:val="24"/>
                <w:szCs w:val="24"/>
              </w:rPr>
            </w:pPr>
            <w:r>
              <w:rPr>
                <w:rFonts w:ascii="宋体" w:hAnsi="宋体" w:cs="宋体"/>
                <w:kern w:val="0"/>
                <w:sz w:val="24"/>
                <w:szCs w:val="24"/>
              </w:rPr>
              <w:t>24-bit/192kHz 2进/2出 USB音频功能</w:t>
            </w:r>
          </w:p>
          <w:p>
            <w:pPr>
              <w:spacing w:before="157"/>
              <w:jc w:val="left"/>
              <w:rPr>
                <w:rFonts w:ascii="宋体" w:hAnsi="宋体" w:cs="宋体"/>
                <w:kern w:val="0"/>
                <w:sz w:val="24"/>
                <w:szCs w:val="24"/>
              </w:rPr>
            </w:pPr>
            <w:r>
              <w:rPr>
                <w:rFonts w:ascii="宋体" w:hAnsi="宋体" w:cs="宋体"/>
                <w:kern w:val="0"/>
                <w:sz w:val="24"/>
                <w:szCs w:val="24"/>
              </w:rPr>
              <w:t>通过Apple iPad Camera Connection Kit / Lightning to USB Camera Adapter (连接适配器)与iPad (2或更高版本) 连接工作</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ONITER、YAMAHA、</w:t>
            </w:r>
          </w:p>
          <w:p>
            <w:pPr>
              <w:spacing w:before="157"/>
              <w:jc w:val="center"/>
              <w:rPr>
                <w:rFonts w:ascii="宋体" w:hAnsi="宋体" w:cs="宋体"/>
                <w:kern w:val="0"/>
                <w:sz w:val="24"/>
                <w:szCs w:val="24"/>
              </w:rPr>
            </w:pPr>
            <w:r>
              <w:rPr>
                <w:rFonts w:hint="eastAsia" w:ascii="宋体" w:hAnsi="宋体" w:cs="宋体"/>
                <w:kern w:val="0"/>
                <w:sz w:val="24"/>
                <w:szCs w:val="24"/>
              </w:rPr>
              <w:t>BEHRINGER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11.</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电源时序器</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1、自主研发学习功能，改变以往的一键开关电源控制模式，内嵌芯片记忆功能，记录人为的关机前工作行为，作为它的控制方式，可手动或通过电脑控制软件2种方式操作；</w:t>
            </w:r>
          </w:p>
          <w:p>
            <w:pPr>
              <w:spacing w:before="157"/>
              <w:jc w:val="left"/>
              <w:rPr>
                <w:rFonts w:ascii="宋体" w:hAnsi="宋体" w:cs="宋体"/>
                <w:kern w:val="0"/>
                <w:sz w:val="24"/>
                <w:szCs w:val="24"/>
              </w:rPr>
            </w:pPr>
            <w:r>
              <w:rPr>
                <w:rFonts w:hint="eastAsia" w:ascii="宋体" w:hAnsi="宋体" w:cs="宋体"/>
                <w:kern w:val="0"/>
                <w:sz w:val="24"/>
                <w:szCs w:val="24"/>
              </w:rPr>
              <w:t>★2、前面板自带一路分断空开保护装置，电流过大或者过载时自动跳闸，保护设备以及所接设备电源不会烧毁；前面板配1路常开万用电源座及1路USB直流供电接口，方便临时用电，以及连接USB应急LED进行显示，自带2.1寸液晶显示屏实时显示电压、电流、时间、操作菜单等信息，内置一键飞梭按键，用于左右旋转调节手动或自动模式切换，为保证电源时序器功能接口的投标真实性，投标时需提供电源时序器在keyshot软件的3D模型截图佐证，3D视图应能看到前后板的所有接口模块，并加盖制造商公章，无提供或不符合的视为无效投标；</w:t>
            </w:r>
          </w:p>
          <w:p>
            <w:pPr>
              <w:spacing w:before="157"/>
              <w:jc w:val="left"/>
              <w:rPr>
                <w:rFonts w:ascii="宋体" w:hAnsi="宋体" w:cs="宋体"/>
                <w:kern w:val="0"/>
                <w:sz w:val="24"/>
                <w:szCs w:val="24"/>
              </w:rPr>
            </w:pPr>
            <w:r>
              <w:rPr>
                <w:rFonts w:hint="eastAsia" w:ascii="宋体" w:hAnsi="宋体" w:cs="宋体"/>
                <w:kern w:val="0"/>
                <w:sz w:val="24"/>
                <w:szCs w:val="24"/>
              </w:rPr>
              <w:t>3、通过软件进行编程定时每一路电源的启动与关闭，全天24小时DIY自由定制；</w:t>
            </w:r>
          </w:p>
          <w:p>
            <w:pPr>
              <w:spacing w:before="157"/>
              <w:jc w:val="left"/>
              <w:rPr>
                <w:rFonts w:ascii="宋体" w:hAnsi="宋体" w:cs="宋体"/>
                <w:kern w:val="0"/>
                <w:sz w:val="24"/>
                <w:szCs w:val="24"/>
              </w:rPr>
            </w:pPr>
            <w:r>
              <w:rPr>
                <w:rFonts w:hint="eastAsia" w:ascii="宋体" w:hAnsi="宋体" w:cs="宋体"/>
                <w:kern w:val="0"/>
                <w:sz w:val="24"/>
                <w:szCs w:val="24"/>
              </w:rPr>
              <w:t>4、内含微电脑控制器，用户可自定义顺序开机和逆序关机时间间隔</w:t>
            </w:r>
          </w:p>
          <w:p>
            <w:pPr>
              <w:spacing w:before="157"/>
              <w:jc w:val="left"/>
              <w:rPr>
                <w:rFonts w:ascii="宋体" w:hAnsi="宋体" w:cs="宋体"/>
                <w:kern w:val="0"/>
                <w:sz w:val="24"/>
                <w:szCs w:val="24"/>
              </w:rPr>
            </w:pPr>
            <w:r>
              <w:rPr>
                <w:rFonts w:hint="eastAsia" w:ascii="宋体" w:hAnsi="宋体" w:cs="宋体"/>
                <w:kern w:val="0"/>
                <w:sz w:val="24"/>
                <w:szCs w:val="24"/>
              </w:rPr>
              <w:t>5、可灵活按实际情况定制通道开、关闭顺序和隔时长，亦可设置通道常开功能；</w:t>
            </w:r>
          </w:p>
          <w:p>
            <w:pPr>
              <w:spacing w:before="157"/>
              <w:jc w:val="left"/>
              <w:rPr>
                <w:rFonts w:ascii="宋体" w:hAnsi="宋体" w:cs="宋体"/>
                <w:kern w:val="0"/>
                <w:sz w:val="24"/>
                <w:szCs w:val="24"/>
              </w:rPr>
            </w:pPr>
            <w:r>
              <w:rPr>
                <w:rFonts w:hint="eastAsia" w:ascii="宋体" w:hAnsi="宋体" w:cs="宋体"/>
                <w:kern w:val="0"/>
                <w:sz w:val="24"/>
                <w:szCs w:val="24"/>
              </w:rPr>
              <w:t>★6、1路标准RS485数控接口，可受第三方智能控制主机控制，开放式控制协议，内置2路RJ45网口，用户可通过网口将需要控制的电源控制进行互联；8路大电流设计供电输出，每路采用50A继电器，每路输出采用16A万能插座，适用大功率使用场合；提供针对电源时序器依据GB8898-2011安全要求质量检验报告复印件，质量检验报告需含有本条核心参数项的内容，并加盖原厂公章，无提供或不符合的视为无效投标；</w:t>
            </w:r>
          </w:p>
          <w:p>
            <w:pPr>
              <w:spacing w:before="157"/>
              <w:jc w:val="left"/>
              <w:rPr>
                <w:rFonts w:ascii="宋体" w:hAnsi="宋体" w:cs="宋体"/>
                <w:kern w:val="0"/>
                <w:sz w:val="24"/>
                <w:szCs w:val="24"/>
              </w:rPr>
            </w:pPr>
            <w:r>
              <w:rPr>
                <w:rFonts w:hint="eastAsia" w:ascii="宋体" w:hAnsi="宋体" w:cs="宋体"/>
                <w:kern w:val="0"/>
                <w:sz w:val="24"/>
                <w:szCs w:val="24"/>
              </w:rPr>
              <w:t>★7、配套的智能电源控制软件，针对系统进行全面的控制；智能电源控制软件可将系统内设备和电源通道进行命名和自由编组，为保证会议系统整体兼容性，设备需与音频处理器相同品牌。</w:t>
            </w:r>
          </w:p>
          <w:p>
            <w:pPr>
              <w:spacing w:before="157"/>
              <w:jc w:val="left"/>
              <w:rPr>
                <w:rFonts w:ascii="宋体" w:hAnsi="宋体" w:cs="宋体"/>
                <w:kern w:val="0"/>
                <w:sz w:val="24"/>
                <w:szCs w:val="24"/>
              </w:rPr>
            </w:pPr>
            <w:r>
              <w:rPr>
                <w:rFonts w:hint="eastAsia" w:ascii="宋体" w:hAnsi="宋体" w:cs="宋体"/>
                <w:kern w:val="0"/>
                <w:sz w:val="24"/>
                <w:szCs w:val="24"/>
              </w:rPr>
              <w:t>8、可通过智能电源控制软件对系统设备进行编程，实时控制和监测，实现对电源设备和各通道的定时控制，保证所有电源设备的正常运行；</w:t>
            </w:r>
          </w:p>
          <w:p>
            <w:pPr>
              <w:spacing w:before="157"/>
              <w:jc w:val="left"/>
              <w:rPr>
                <w:rFonts w:ascii="宋体" w:hAnsi="宋体" w:cs="宋体"/>
                <w:kern w:val="0"/>
                <w:sz w:val="24"/>
                <w:szCs w:val="24"/>
              </w:rPr>
            </w:pPr>
            <w:r>
              <w:rPr>
                <w:rFonts w:hint="eastAsia" w:ascii="宋体" w:hAnsi="宋体" w:cs="宋体"/>
                <w:kern w:val="0"/>
                <w:sz w:val="24"/>
                <w:szCs w:val="24"/>
              </w:rPr>
              <w:t>9、支持通过软件自定义定时开关控制编辑，修改电源时序器时间，一键恢复出厂设置；</w:t>
            </w:r>
          </w:p>
          <w:p>
            <w:pPr>
              <w:spacing w:before="157"/>
              <w:jc w:val="left"/>
              <w:rPr>
                <w:rFonts w:ascii="宋体" w:hAnsi="宋体" w:cs="宋体"/>
                <w:kern w:val="0"/>
                <w:sz w:val="24"/>
                <w:szCs w:val="24"/>
              </w:rPr>
            </w:pPr>
            <w:r>
              <w:rPr>
                <w:rFonts w:hint="eastAsia" w:ascii="宋体" w:hAnsi="宋体" w:cs="宋体"/>
                <w:kern w:val="0"/>
                <w:sz w:val="24"/>
                <w:szCs w:val="24"/>
              </w:rPr>
              <w:t>★为保证软件具有正版权益，投标需提供设备厂家关于电源管理的国家版权局认证证书复印件加盖原厂公章。</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ONITER、SOCDR、      C-MARK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12.</w:t>
            </w: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一拖四无线会议话筒</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1、内置3编组叠机频率,一键调取. 同一频段可同时轻松叠机五套使用，为保证会议系统整体兼容性，设备需与音频处理器相同品牌；</w:t>
            </w:r>
          </w:p>
          <w:p>
            <w:pPr>
              <w:spacing w:before="157"/>
              <w:jc w:val="left"/>
              <w:rPr>
                <w:rFonts w:ascii="宋体" w:hAnsi="宋体" w:cs="宋体"/>
                <w:kern w:val="0"/>
                <w:sz w:val="24"/>
                <w:szCs w:val="24"/>
              </w:rPr>
            </w:pPr>
            <w:r>
              <w:rPr>
                <w:rFonts w:hint="eastAsia" w:ascii="宋体" w:hAnsi="宋体" w:cs="宋体"/>
                <w:kern w:val="0"/>
                <w:sz w:val="24"/>
                <w:szCs w:val="24"/>
              </w:rPr>
              <w:t>2、具有IR红外线自动对频功能,一键自动对频锁定,两通道音量独立可调，提供4+1音频输出，四通道各音频音量输出独立可控,提供多种发射器可选，发射器中会议/手持/鹅颈可以混搭使用，互不干扰；</w:t>
            </w:r>
          </w:p>
          <w:p>
            <w:pPr>
              <w:spacing w:before="157"/>
              <w:jc w:val="left"/>
              <w:rPr>
                <w:rFonts w:ascii="宋体" w:hAnsi="宋体" w:cs="宋体"/>
                <w:kern w:val="0"/>
                <w:sz w:val="24"/>
                <w:szCs w:val="24"/>
              </w:rPr>
            </w:pPr>
            <w:r>
              <w:rPr>
                <w:rFonts w:hint="eastAsia" w:ascii="宋体" w:hAnsi="宋体" w:cs="宋体"/>
                <w:kern w:val="0"/>
                <w:sz w:val="24"/>
                <w:szCs w:val="24"/>
              </w:rPr>
              <w:t>3、采用最新的UHF波段无线音频发射芯片模块IC. 具有优越的RF性能和音频性能；</w:t>
            </w:r>
          </w:p>
          <w:p>
            <w:pPr>
              <w:spacing w:before="157"/>
              <w:jc w:val="left"/>
              <w:rPr>
                <w:rFonts w:ascii="宋体" w:hAnsi="宋体" w:cs="宋体"/>
                <w:kern w:val="0"/>
                <w:sz w:val="24"/>
                <w:szCs w:val="24"/>
              </w:rPr>
            </w:pPr>
            <w:r>
              <w:rPr>
                <w:rFonts w:hint="eastAsia" w:ascii="宋体" w:hAnsi="宋体" w:cs="宋体"/>
                <w:kern w:val="0"/>
                <w:sz w:val="24"/>
                <w:szCs w:val="24"/>
              </w:rPr>
              <w:t>4、背光式LED显示屏指示了RF和AF信号强度，频率，频率组/频道等工作状态,采用2通道相同的工作频率,使得发射器之间可以随时互换,极大地增强了操作的灵活性；</w:t>
            </w:r>
          </w:p>
          <w:p>
            <w:pPr>
              <w:spacing w:before="157"/>
              <w:jc w:val="left"/>
              <w:rPr>
                <w:rFonts w:ascii="宋体" w:hAnsi="宋体" w:cs="宋体"/>
                <w:kern w:val="0"/>
                <w:sz w:val="24"/>
                <w:szCs w:val="24"/>
              </w:rPr>
            </w:pPr>
            <w:r>
              <w:rPr>
                <w:rFonts w:hint="eastAsia" w:ascii="宋体" w:hAnsi="宋体" w:cs="宋体"/>
                <w:kern w:val="0"/>
                <w:sz w:val="24"/>
                <w:szCs w:val="24"/>
              </w:rPr>
              <w:t>5、配合杂讯锁定静噪控制与数码导频技术, 当发射器关闭时，导频控制将AF信号静音以抑制噪声，同时将接收机对应通道静音；保证了对干忧信号的有效阻隔；</w:t>
            </w:r>
          </w:p>
          <w:p>
            <w:pPr>
              <w:spacing w:before="157"/>
              <w:jc w:val="left"/>
              <w:rPr>
                <w:rFonts w:ascii="宋体" w:hAnsi="宋体" w:cs="宋体"/>
                <w:kern w:val="0"/>
                <w:sz w:val="24"/>
                <w:szCs w:val="24"/>
              </w:rPr>
            </w:pPr>
            <w:r>
              <w:rPr>
                <w:rFonts w:hint="eastAsia" w:ascii="宋体" w:hAnsi="宋体" w:cs="宋体"/>
                <w:kern w:val="0"/>
                <w:sz w:val="24"/>
                <w:szCs w:val="24"/>
              </w:rPr>
              <w:t>★6、频率范围：610MHz-670MHz；</w:t>
            </w:r>
          </w:p>
          <w:p>
            <w:pPr>
              <w:spacing w:before="157"/>
              <w:jc w:val="left"/>
              <w:rPr>
                <w:rFonts w:ascii="宋体" w:hAnsi="宋体" w:cs="宋体"/>
                <w:kern w:val="0"/>
                <w:sz w:val="24"/>
                <w:szCs w:val="24"/>
              </w:rPr>
            </w:pPr>
            <w:r>
              <w:rPr>
                <w:rFonts w:hint="eastAsia" w:ascii="宋体" w:hAnsi="宋体" w:cs="宋体"/>
                <w:kern w:val="0"/>
                <w:sz w:val="24"/>
                <w:szCs w:val="24"/>
              </w:rPr>
              <w:t>7、信道数目：200个；信道间隔：300KHZ；8、中频：第一中频：110MHz, 第二中频 10.7MHz；</w:t>
            </w:r>
          </w:p>
          <w:p>
            <w:pPr>
              <w:spacing w:before="157"/>
              <w:jc w:val="left"/>
              <w:rPr>
                <w:rFonts w:ascii="宋体" w:hAnsi="宋体" w:cs="宋体"/>
                <w:kern w:val="0"/>
                <w:sz w:val="24"/>
                <w:szCs w:val="24"/>
              </w:rPr>
            </w:pPr>
            <w:r>
              <w:rPr>
                <w:rFonts w:hint="eastAsia" w:ascii="宋体" w:hAnsi="宋体" w:cs="宋体"/>
                <w:kern w:val="0"/>
                <w:sz w:val="24"/>
                <w:szCs w:val="24"/>
              </w:rPr>
              <w:t>9、频率稳定度：±0.005%；动态范围：100db；最大偏移：±45KHZ；</w:t>
            </w:r>
          </w:p>
          <w:p>
            <w:pPr>
              <w:spacing w:before="157"/>
              <w:jc w:val="left"/>
              <w:rPr>
                <w:rFonts w:ascii="宋体" w:hAnsi="宋体" w:cs="宋体"/>
                <w:kern w:val="0"/>
                <w:sz w:val="24"/>
                <w:szCs w:val="24"/>
              </w:rPr>
            </w:pPr>
            <w:r>
              <w:rPr>
                <w:rFonts w:hint="eastAsia" w:ascii="宋体" w:hAnsi="宋体" w:cs="宋体"/>
                <w:kern w:val="0"/>
                <w:sz w:val="24"/>
                <w:szCs w:val="24"/>
              </w:rPr>
              <w:t>10、音频频率响应：40HZ-18KHZ(±2db)；</w:t>
            </w:r>
          </w:p>
          <w:p>
            <w:pPr>
              <w:spacing w:before="157"/>
              <w:jc w:val="left"/>
              <w:rPr>
                <w:rFonts w:ascii="宋体" w:hAnsi="宋体" w:cs="宋体"/>
                <w:kern w:val="0"/>
                <w:sz w:val="24"/>
                <w:szCs w:val="24"/>
              </w:rPr>
            </w:pPr>
            <w:r>
              <w:rPr>
                <w:rFonts w:hint="eastAsia" w:ascii="宋体" w:hAnsi="宋体" w:cs="宋体"/>
                <w:kern w:val="0"/>
                <w:sz w:val="24"/>
                <w:szCs w:val="24"/>
              </w:rPr>
              <w:t>11、灵敏度：12dBuV(80db S/N)；</w:t>
            </w:r>
          </w:p>
          <w:p>
            <w:pPr>
              <w:spacing w:before="157"/>
              <w:jc w:val="left"/>
              <w:rPr>
                <w:rFonts w:ascii="宋体" w:hAnsi="宋体" w:cs="宋体"/>
                <w:kern w:val="0"/>
                <w:sz w:val="24"/>
                <w:szCs w:val="24"/>
              </w:rPr>
            </w:pPr>
            <w:r>
              <w:rPr>
                <w:rFonts w:hint="eastAsia" w:ascii="宋体" w:hAnsi="宋体" w:cs="宋体"/>
                <w:kern w:val="0"/>
                <w:sz w:val="24"/>
                <w:szCs w:val="24"/>
              </w:rPr>
              <w:t>12、无线程式：佩挂发射器采用1/4波长鞭状天线</w:t>
            </w:r>
          </w:p>
          <w:p>
            <w:pPr>
              <w:spacing w:before="157"/>
              <w:jc w:val="left"/>
              <w:rPr>
                <w:rFonts w:ascii="宋体" w:hAnsi="宋体" w:cs="宋体"/>
                <w:kern w:val="0"/>
                <w:sz w:val="24"/>
                <w:szCs w:val="24"/>
              </w:rPr>
            </w:pPr>
            <w:r>
              <w:rPr>
                <w:rFonts w:hint="eastAsia" w:ascii="宋体" w:hAnsi="宋体" w:cs="宋体"/>
                <w:kern w:val="0"/>
                <w:sz w:val="24"/>
                <w:szCs w:val="24"/>
              </w:rPr>
              <w:t>13、综合信噪比：&gt;105db；综合失真：≤0.5%；</w:t>
            </w:r>
          </w:p>
          <w:p>
            <w:pPr>
              <w:spacing w:before="157"/>
              <w:jc w:val="left"/>
              <w:rPr>
                <w:rFonts w:ascii="宋体" w:hAnsi="宋体" w:cs="宋体"/>
                <w:kern w:val="0"/>
                <w:sz w:val="24"/>
                <w:szCs w:val="24"/>
              </w:rPr>
            </w:pPr>
            <w:r>
              <w:rPr>
                <w:rFonts w:hint="eastAsia" w:ascii="宋体" w:hAnsi="宋体" w:cs="宋体"/>
                <w:kern w:val="0"/>
                <w:sz w:val="24"/>
                <w:szCs w:val="24"/>
              </w:rPr>
              <w:t>14、最大输出电平：+10dbv；</w:t>
            </w:r>
          </w:p>
          <w:p>
            <w:pPr>
              <w:spacing w:before="157"/>
              <w:jc w:val="left"/>
              <w:rPr>
                <w:rFonts w:ascii="宋体" w:hAnsi="宋体" w:cs="宋体"/>
                <w:kern w:val="0"/>
                <w:sz w:val="24"/>
                <w:szCs w:val="24"/>
              </w:rPr>
            </w:pPr>
            <w:r>
              <w:rPr>
                <w:rFonts w:hint="eastAsia" w:ascii="宋体" w:hAnsi="宋体" w:cs="宋体"/>
                <w:kern w:val="0"/>
                <w:sz w:val="24"/>
                <w:szCs w:val="24"/>
              </w:rPr>
              <w:t>★为佐证投标参数真实性及核心接口功能完整性，投标时提供针对无线麦克风依据GB8898-2011安全要求质量检验报告复印件，质量检验报告需含有第4.6.7.9.10.13参数项的内容，并加盖原厂公章，无提供或不符合的视为无效投标处理。</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2</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ONITER、SOCDR、</w:t>
            </w:r>
          </w:p>
          <w:p>
            <w:pPr>
              <w:spacing w:before="157"/>
              <w:ind w:firstLine="240" w:firstLineChars="100"/>
              <w:rPr>
                <w:rFonts w:ascii="宋体" w:hAnsi="宋体" w:cs="宋体"/>
                <w:kern w:val="0"/>
                <w:sz w:val="24"/>
                <w:szCs w:val="24"/>
              </w:rPr>
            </w:pPr>
            <w:r>
              <w:rPr>
                <w:rFonts w:hint="eastAsia" w:ascii="宋体" w:hAnsi="宋体" w:cs="宋体"/>
                <w:kern w:val="0"/>
                <w:sz w:val="24"/>
                <w:szCs w:val="24"/>
              </w:rPr>
              <w:t xml:space="preserve">C-MARK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13.</w:t>
            </w:r>
          </w:p>
        </w:tc>
        <w:tc>
          <w:tcPr>
            <w:tcW w:w="1417"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设备机柜</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600*600*1200含支架隔板标准22U、冷轧板材质</w:t>
            </w:r>
          </w:p>
        </w:tc>
        <w:tc>
          <w:tcPr>
            <w:tcW w:w="709"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台</w:t>
            </w:r>
          </w:p>
        </w:tc>
        <w:tc>
          <w:tcPr>
            <w:tcW w:w="1804"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图腾、一舟、大唐卫士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14.</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辅材及集成</w:t>
            </w:r>
          </w:p>
        </w:tc>
        <w:tc>
          <w:tcPr>
            <w:tcW w:w="8222"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辅材、安装集成等。(三年维保运维服务）</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项</w:t>
            </w:r>
          </w:p>
        </w:tc>
        <w:tc>
          <w:tcPr>
            <w:tcW w:w="1804" w:type="dxa"/>
            <w:vAlign w:val="center"/>
          </w:tcPr>
          <w:p>
            <w:pPr>
              <w:spacing w:before="157"/>
              <w:rPr>
                <w:rFonts w:ascii="宋体" w:hAnsi="宋体" w:cs="宋体"/>
                <w:kern w:val="0"/>
                <w:sz w:val="24"/>
                <w:szCs w:val="24"/>
              </w:rPr>
            </w:pPr>
            <w:r>
              <w:rPr>
                <w:rFonts w:hint="eastAsia" w:ascii="宋体" w:hAnsi="宋体" w:cs="宋体"/>
                <w:kern w:val="0"/>
                <w:sz w:val="24"/>
                <w:szCs w:val="24"/>
              </w:rPr>
              <w:t>国产优质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9" w:type="dxa"/>
            <w:vAlign w:val="center"/>
          </w:tcPr>
          <w:p>
            <w:pPr>
              <w:spacing w:before="157"/>
              <w:contextualSpacing/>
              <w:rPr>
                <w:rFonts w:ascii="宋体" w:hAnsi="宋体" w:cs="宋体"/>
                <w:sz w:val="24"/>
                <w:szCs w:val="24"/>
              </w:rPr>
            </w:pPr>
            <w:r>
              <w:rPr>
                <w:rFonts w:hint="eastAsia" w:ascii="宋体" w:hAnsi="宋体" w:cs="宋体"/>
                <w:sz w:val="24"/>
                <w:szCs w:val="24"/>
              </w:rPr>
              <w:t>15.</w:t>
            </w:r>
          </w:p>
        </w:tc>
        <w:tc>
          <w:tcPr>
            <w:tcW w:w="1417" w:type="dxa"/>
            <w:vAlign w:val="center"/>
          </w:tcPr>
          <w:p>
            <w:pPr>
              <w:spacing w:before="157"/>
              <w:jc w:val="left"/>
              <w:rPr>
                <w:rFonts w:ascii="宋体" w:hAnsi="宋体" w:cs="宋体"/>
                <w:kern w:val="0"/>
                <w:sz w:val="24"/>
                <w:szCs w:val="24"/>
              </w:rPr>
            </w:pPr>
            <w:r>
              <w:rPr>
                <w:rFonts w:hint="eastAsia" w:ascii="宋体" w:hAnsi="宋体" w:cs="宋体"/>
                <w:kern w:val="0"/>
                <w:sz w:val="24"/>
                <w:szCs w:val="24"/>
              </w:rPr>
              <w:t>视频会议室背景墙改造</w:t>
            </w:r>
          </w:p>
        </w:tc>
        <w:tc>
          <w:tcPr>
            <w:tcW w:w="8222" w:type="dxa"/>
            <w:vAlign w:val="center"/>
          </w:tcPr>
          <w:p>
            <w:pPr>
              <w:numPr>
                <w:ilvl w:val="0"/>
                <w:numId w:val="4"/>
              </w:numPr>
              <w:spacing w:line="360" w:lineRule="auto"/>
              <w:rPr>
                <w:rFonts w:ascii="宋体" w:hAnsi="宋体" w:cs="宋体"/>
                <w:kern w:val="0"/>
                <w:sz w:val="24"/>
                <w:szCs w:val="24"/>
              </w:rPr>
            </w:pPr>
            <w:r>
              <w:rPr>
                <w:rFonts w:ascii="宋体" w:hAnsi="宋体" w:cs="宋体"/>
                <w:kern w:val="0"/>
                <w:sz w:val="24"/>
                <w:szCs w:val="24"/>
              </w:rPr>
              <w:t>龙骨材料种类、规格、中距:30*40@300木龙骨</w:t>
            </w:r>
          </w:p>
          <w:p>
            <w:pPr>
              <w:rPr>
                <w:rFonts w:ascii="宋体" w:hAnsi="宋体" w:cs="宋体"/>
                <w:kern w:val="0"/>
                <w:sz w:val="24"/>
                <w:szCs w:val="24"/>
              </w:rPr>
            </w:pPr>
            <w:r>
              <w:rPr>
                <w:rFonts w:hint="eastAsia" w:ascii="宋体" w:hAnsi="宋体" w:cs="宋体"/>
                <w:kern w:val="0"/>
                <w:sz w:val="24"/>
                <w:szCs w:val="24"/>
              </w:rPr>
              <w:t>2、双面单层95石膏板墙体</w:t>
            </w:r>
          </w:p>
          <w:p>
            <w:pPr>
              <w:rPr>
                <w:rFonts w:ascii="宋体" w:hAnsi="宋体" w:cs="宋体"/>
                <w:kern w:val="0"/>
                <w:sz w:val="24"/>
                <w:szCs w:val="24"/>
              </w:rPr>
            </w:pPr>
            <w:r>
              <w:rPr>
                <w:rFonts w:hint="eastAsia" w:ascii="宋体" w:hAnsi="宋体" w:cs="宋体"/>
                <w:kern w:val="0"/>
                <w:sz w:val="24"/>
                <w:szCs w:val="24"/>
              </w:rPr>
              <w:t>3、纸面石膏板基层，用嵌缝石膏勾缝</w:t>
            </w:r>
          </w:p>
          <w:p>
            <w:pPr>
              <w:spacing w:before="157"/>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、隔离层材料种类、规格:50mm聚酯纤维吸音棉</w:t>
            </w:r>
          </w:p>
          <w:p>
            <w:pPr>
              <w:spacing w:before="157"/>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单面双层纯实木</w:t>
            </w:r>
            <w:r>
              <w:rPr>
                <w:rFonts w:ascii="宋体" w:hAnsi="宋体" w:cs="宋体"/>
                <w:kern w:val="0"/>
                <w:sz w:val="24"/>
                <w:szCs w:val="24"/>
              </w:rPr>
              <w:t>面漆板</w:t>
            </w:r>
          </w:p>
          <w:p>
            <w:pPr>
              <w:spacing w:before="157"/>
              <w:jc w:val="left"/>
              <w:rPr>
                <w:rFonts w:ascii="宋体" w:hAnsi="宋体" w:cs="宋体"/>
                <w:kern w:val="0"/>
                <w:sz w:val="24"/>
                <w:szCs w:val="24"/>
              </w:rPr>
            </w:pPr>
            <w:r>
              <w:rPr>
                <w:rFonts w:hint="eastAsia" w:ascii="宋体" w:hAnsi="宋体" w:cs="宋体"/>
                <w:kern w:val="0"/>
                <w:sz w:val="24"/>
                <w:szCs w:val="24"/>
              </w:rPr>
              <w:t>5、立邦净味乳胶漆</w:t>
            </w:r>
          </w:p>
          <w:p>
            <w:pPr>
              <w:spacing w:before="157"/>
              <w:jc w:val="left"/>
              <w:rPr>
                <w:rFonts w:ascii="宋体" w:hAnsi="宋体" w:cs="宋体"/>
                <w:kern w:val="0"/>
                <w:sz w:val="24"/>
                <w:szCs w:val="24"/>
              </w:rPr>
            </w:pPr>
            <w:r>
              <w:rPr>
                <w:rFonts w:hint="eastAsia" w:ascii="宋体" w:hAnsi="宋体" w:cs="宋体"/>
                <w:kern w:val="0"/>
                <w:sz w:val="24"/>
                <w:szCs w:val="24"/>
              </w:rPr>
              <w:t>6、背景墙亚克力LOGO标识文字制作安装</w:t>
            </w:r>
          </w:p>
          <w:p>
            <w:pPr>
              <w:spacing w:before="157"/>
              <w:jc w:val="left"/>
              <w:rPr>
                <w:rFonts w:ascii="宋体" w:hAnsi="宋体" w:cs="宋体"/>
                <w:kern w:val="0"/>
                <w:sz w:val="24"/>
                <w:szCs w:val="24"/>
              </w:rPr>
            </w:pPr>
            <w:r>
              <w:rPr>
                <w:rFonts w:hint="eastAsia" w:ascii="宋体" w:hAnsi="宋体" w:cs="宋体"/>
                <w:kern w:val="0"/>
                <w:sz w:val="24"/>
                <w:szCs w:val="24"/>
              </w:rPr>
              <w:t>7、会议桌亚克力LOGO标识文字制作</w:t>
            </w:r>
          </w:p>
          <w:p>
            <w:pPr>
              <w:spacing w:before="157"/>
              <w:jc w:val="left"/>
              <w:rPr>
                <w:rFonts w:ascii="宋体" w:hAnsi="宋体" w:cs="宋体"/>
                <w:kern w:val="0"/>
                <w:sz w:val="24"/>
                <w:szCs w:val="24"/>
              </w:rPr>
            </w:pPr>
            <w:r>
              <w:rPr>
                <w:rFonts w:hint="eastAsia" w:ascii="宋体" w:hAnsi="宋体" w:cs="宋体"/>
                <w:kern w:val="0"/>
                <w:sz w:val="24"/>
                <w:szCs w:val="24"/>
              </w:rPr>
              <w:t>8、背景墙装饰施工</w:t>
            </w:r>
          </w:p>
          <w:p>
            <w:pPr>
              <w:spacing w:before="157"/>
              <w:jc w:val="left"/>
              <w:rPr>
                <w:rFonts w:ascii="宋体" w:hAnsi="宋体" w:cs="宋体"/>
                <w:kern w:val="0"/>
                <w:sz w:val="24"/>
                <w:szCs w:val="24"/>
              </w:rPr>
            </w:pPr>
            <w:r>
              <w:rPr>
                <w:rFonts w:hint="eastAsia" w:ascii="宋体" w:hAnsi="宋体" w:cs="宋体"/>
                <w:kern w:val="0"/>
                <w:sz w:val="24"/>
                <w:szCs w:val="24"/>
              </w:rPr>
              <w:t>9、施工人工</w:t>
            </w:r>
          </w:p>
        </w:tc>
        <w:tc>
          <w:tcPr>
            <w:tcW w:w="709"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1</w:t>
            </w:r>
          </w:p>
        </w:tc>
        <w:tc>
          <w:tcPr>
            <w:tcW w:w="850" w:type="dxa"/>
            <w:vAlign w:val="center"/>
          </w:tcPr>
          <w:p>
            <w:pPr>
              <w:spacing w:before="157"/>
              <w:jc w:val="center"/>
              <w:rPr>
                <w:rFonts w:ascii="宋体" w:hAnsi="宋体" w:cs="宋体"/>
                <w:kern w:val="0"/>
                <w:sz w:val="24"/>
                <w:szCs w:val="24"/>
              </w:rPr>
            </w:pPr>
            <w:r>
              <w:rPr>
                <w:rFonts w:hint="eastAsia" w:ascii="宋体" w:hAnsi="宋体" w:cs="宋体"/>
                <w:kern w:val="0"/>
                <w:sz w:val="24"/>
                <w:szCs w:val="24"/>
              </w:rPr>
              <w:t>项</w:t>
            </w:r>
          </w:p>
        </w:tc>
        <w:tc>
          <w:tcPr>
            <w:tcW w:w="1804" w:type="dxa"/>
            <w:vAlign w:val="center"/>
          </w:tcPr>
          <w:p>
            <w:pPr>
              <w:spacing w:before="157"/>
              <w:rPr>
                <w:rFonts w:ascii="宋体" w:hAnsi="宋体" w:cs="宋体"/>
                <w:kern w:val="0"/>
                <w:sz w:val="24"/>
                <w:szCs w:val="24"/>
              </w:rPr>
            </w:pPr>
            <w:r>
              <w:rPr>
                <w:rFonts w:hint="eastAsia" w:ascii="宋体" w:hAnsi="宋体" w:cs="宋体"/>
                <w:kern w:val="0"/>
                <w:sz w:val="24"/>
                <w:szCs w:val="24"/>
              </w:rPr>
              <w:t>国产优质</w:t>
            </w:r>
          </w:p>
        </w:tc>
      </w:tr>
    </w:tbl>
    <w:p>
      <w:pPr>
        <w:jc w:val="center"/>
        <w:rPr>
          <w:rFonts w:ascii="宋体" w:hAnsi="宋体" w:cs="宋体"/>
          <w:sz w:val="24"/>
          <w:szCs w:val="24"/>
        </w:rPr>
      </w:pPr>
    </w:p>
    <w:p>
      <w:pPr>
        <w:jc w:val="left"/>
        <w:rPr>
          <w:rFonts w:ascii="宋体" w:hAnsi="宋体"/>
          <w:b/>
          <w:sz w:val="24"/>
          <w:szCs w:val="24"/>
        </w:rPr>
      </w:pPr>
      <w:r>
        <w:rPr>
          <w:rFonts w:hint="eastAsia" w:ascii="宋体" w:hAnsi="宋体"/>
          <w:b/>
          <w:sz w:val="24"/>
          <w:szCs w:val="24"/>
        </w:rPr>
        <w:t xml:space="preserve">    注：以上技术参数条款为实质性要求，不接受任何负偏离，投标时必须提供项目需求中所要求提供的相关资料（加盖原厂公章），未能提供的，作废标处理。</w:t>
      </w:r>
    </w:p>
    <w:p>
      <w:pPr>
        <w:snapToGrid w:val="0"/>
        <w:spacing w:line="420" w:lineRule="exact"/>
        <w:ind w:firstLine="482" w:firstLineChars="200"/>
        <w:outlineLvl w:val="1"/>
        <w:rPr>
          <w:rFonts w:ascii="宋体" w:hAnsi="宋体"/>
          <w:b/>
          <w:sz w:val="24"/>
          <w:szCs w:val="24"/>
        </w:rPr>
      </w:pPr>
      <w:r>
        <w:rPr>
          <w:rFonts w:hint="eastAsia" w:ascii="宋体" w:hAnsi="宋体"/>
          <w:b/>
          <w:sz w:val="24"/>
          <w:szCs w:val="24"/>
        </w:rPr>
        <w:t>四、包装运输、货物交付、检验验收</w:t>
      </w:r>
    </w:p>
    <w:p>
      <w:pPr>
        <w:spacing w:line="420" w:lineRule="exact"/>
        <w:ind w:firstLine="480" w:firstLineChars="200"/>
        <w:rPr>
          <w:rFonts w:ascii="宋体" w:hAnsi="宋体" w:cs="Courier New"/>
          <w:sz w:val="24"/>
          <w:szCs w:val="24"/>
        </w:rPr>
      </w:pPr>
      <w:r>
        <w:rPr>
          <w:rFonts w:hint="eastAsia" w:ascii="宋体" w:hAnsi="宋体" w:cs="Courier New"/>
          <w:sz w:val="24"/>
          <w:szCs w:val="24"/>
        </w:rPr>
        <w:t>1、包装运输</w:t>
      </w:r>
    </w:p>
    <w:p>
      <w:pPr>
        <w:spacing w:line="420" w:lineRule="exact"/>
        <w:ind w:firstLine="480" w:firstLineChars="200"/>
        <w:rPr>
          <w:rFonts w:ascii="宋体" w:hAnsi="宋体" w:cs="Courier New"/>
          <w:sz w:val="24"/>
          <w:szCs w:val="24"/>
        </w:rPr>
      </w:pPr>
      <w:r>
        <w:rPr>
          <w:rFonts w:hint="eastAsia" w:ascii="宋体" w:hAnsi="宋体" w:cs="Courier New"/>
          <w:sz w:val="24"/>
          <w:szCs w:val="24"/>
        </w:rPr>
        <w:t>1.1 对于定型包装产品要求所有产品为原厂原包装，需标识清楚、齐全，需标识有名称、规格、净含量、成分及配料表、生产厂家、生产日期、保质期限、生产许可证号、产品标准代码、贮藏条件、生产地址、联系方式等。</w:t>
      </w:r>
    </w:p>
    <w:p>
      <w:pPr>
        <w:spacing w:line="420" w:lineRule="exact"/>
        <w:ind w:firstLine="480" w:firstLineChars="200"/>
        <w:rPr>
          <w:rFonts w:ascii="宋体" w:hAnsi="宋体" w:cs="Courier New"/>
          <w:sz w:val="24"/>
          <w:szCs w:val="24"/>
        </w:rPr>
      </w:pPr>
      <w:r>
        <w:rPr>
          <w:rFonts w:hint="eastAsia" w:ascii="宋体" w:hAnsi="宋体" w:cs="Courier New"/>
          <w:sz w:val="24"/>
          <w:szCs w:val="24"/>
        </w:rPr>
        <w:t>1.2 供应商提供的全部货物，均应进行合理的外包装和装箱等，此包装方式应当足以保护所装货物不会在运输过程中损坏，并符合防潮、防震和防粗暴装卸，确保货物安全无损运抵现场。由于包装不善所引起的货物损坏和破灭失均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1.3 运输费和外包装费用均由供应商承担。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2、货物交付</w:t>
      </w:r>
    </w:p>
    <w:p>
      <w:pPr>
        <w:spacing w:line="420" w:lineRule="exact"/>
        <w:ind w:firstLine="480" w:firstLineChars="200"/>
        <w:rPr>
          <w:rFonts w:ascii="宋体" w:hAnsi="宋体" w:cs="Courier New"/>
          <w:sz w:val="24"/>
          <w:szCs w:val="24"/>
        </w:rPr>
      </w:pPr>
      <w:r>
        <w:rPr>
          <w:rFonts w:hint="eastAsia" w:ascii="宋体" w:hAnsi="宋体" w:cs="Courier New"/>
          <w:sz w:val="24"/>
          <w:szCs w:val="24"/>
        </w:rPr>
        <w:t>2.1 供应商需在合同约定的交货期限内送达。</w:t>
      </w:r>
    </w:p>
    <w:p>
      <w:pPr>
        <w:spacing w:line="420" w:lineRule="exact"/>
        <w:ind w:firstLine="480" w:firstLineChars="200"/>
        <w:rPr>
          <w:rFonts w:ascii="宋体" w:hAnsi="宋体" w:cs="Courier New"/>
          <w:sz w:val="24"/>
          <w:szCs w:val="24"/>
        </w:rPr>
      </w:pPr>
      <w:r>
        <w:rPr>
          <w:rFonts w:hint="eastAsia" w:ascii="宋体" w:hAnsi="宋体" w:cs="Courier New"/>
          <w:sz w:val="24"/>
          <w:szCs w:val="24"/>
        </w:rPr>
        <w:t>2.2 供应商应在交货时向采购人提供《送货单》，采购人验货并在《送货单》上签字后，供需双方各执一份作为结算凭证。</w:t>
      </w:r>
    </w:p>
    <w:p>
      <w:pPr>
        <w:spacing w:line="420" w:lineRule="exact"/>
        <w:ind w:firstLine="480" w:firstLineChars="200"/>
        <w:rPr>
          <w:rFonts w:ascii="宋体" w:hAnsi="宋体" w:cs="Courier New"/>
          <w:sz w:val="24"/>
          <w:szCs w:val="24"/>
        </w:rPr>
      </w:pPr>
      <w:r>
        <w:rPr>
          <w:rFonts w:hint="eastAsia" w:ascii="宋体" w:hAnsi="宋体" w:cs="Courier New"/>
          <w:sz w:val="24"/>
          <w:szCs w:val="24"/>
        </w:rPr>
        <w:t>3、检验验收</w:t>
      </w:r>
    </w:p>
    <w:p>
      <w:pPr>
        <w:spacing w:line="420" w:lineRule="exact"/>
        <w:ind w:firstLine="480" w:firstLineChars="200"/>
        <w:rPr>
          <w:rFonts w:ascii="宋体" w:hAnsi="宋体" w:cs="Courier New"/>
          <w:sz w:val="24"/>
          <w:szCs w:val="24"/>
        </w:rPr>
      </w:pPr>
      <w:r>
        <w:rPr>
          <w:rFonts w:hint="eastAsia" w:ascii="宋体" w:hAnsi="宋体" w:cs="Courier New"/>
          <w:sz w:val="24"/>
          <w:szCs w:val="24"/>
        </w:rPr>
        <w:t>3.1 供应商将货物运至指定地点后，应及时通知采购人收货。收货时，采购人发现货物包装有破损、货物有明显毁坏或数量、品种、品质等与双方约定有差异的，有权拒绝收货。</w:t>
      </w:r>
    </w:p>
    <w:p>
      <w:pPr>
        <w:spacing w:line="420" w:lineRule="exact"/>
        <w:ind w:firstLine="480" w:firstLineChars="200"/>
        <w:rPr>
          <w:rFonts w:ascii="宋体" w:hAnsi="宋体" w:cs="Courier New"/>
          <w:sz w:val="24"/>
          <w:szCs w:val="24"/>
        </w:rPr>
      </w:pPr>
      <w:r>
        <w:rPr>
          <w:rFonts w:hint="eastAsia" w:ascii="宋体" w:hAnsi="宋体" w:cs="Courier New"/>
          <w:sz w:val="24"/>
          <w:szCs w:val="24"/>
        </w:rPr>
        <w:t>3.2 采购人收货后，对于原厂定型包装的商品在使用前或打开包装后发现质量有问题的，供应商必须无条件接受退换货，并在两天内补齐，发生的损失由供应商承担。</w:t>
      </w:r>
    </w:p>
    <w:p>
      <w:pPr>
        <w:spacing w:line="420" w:lineRule="exact"/>
        <w:ind w:firstLine="480" w:firstLineChars="200"/>
        <w:rPr>
          <w:rFonts w:ascii="宋体" w:hAnsi="宋体" w:cs="Courier New"/>
          <w:sz w:val="24"/>
          <w:szCs w:val="24"/>
        </w:rPr>
      </w:pPr>
      <w:r>
        <w:rPr>
          <w:rFonts w:hint="eastAsia" w:ascii="宋体" w:hAnsi="宋体" w:cs="Courier New"/>
          <w:sz w:val="24"/>
          <w:szCs w:val="24"/>
        </w:rPr>
        <w:t>3.3 对于储存时间接近质保期的货物，采购人有权要求退货或换货。</w:t>
      </w:r>
    </w:p>
    <w:p>
      <w:pPr>
        <w:spacing w:line="440" w:lineRule="exact"/>
        <w:ind w:firstLine="472" w:firstLineChars="196"/>
      </w:pPr>
      <w:r>
        <w:rPr>
          <w:rFonts w:hint="eastAsia" w:ascii="宋体" w:hAnsi="宋体" w:cs="宋体"/>
          <w:b/>
          <w:bCs/>
          <w:sz w:val="24"/>
          <w:szCs w:val="24"/>
        </w:rPr>
        <w:t>五、交货及售后服务</w:t>
      </w:r>
    </w:p>
    <w:p>
      <w:pPr>
        <w:snapToGrid w:val="0"/>
        <w:spacing w:line="440" w:lineRule="exact"/>
        <w:ind w:firstLine="480" w:firstLineChars="200"/>
        <w:jc w:val="left"/>
        <w:rPr>
          <w:rFonts w:eastAsiaTheme="minorEastAsia"/>
          <w:sz w:val="24"/>
          <w:szCs w:val="24"/>
        </w:rPr>
      </w:pPr>
      <w:r>
        <w:rPr>
          <w:rFonts w:hint="eastAsia"/>
          <w:sz w:val="24"/>
          <w:szCs w:val="24"/>
        </w:rPr>
        <w:t>1.</w:t>
      </w:r>
      <w:r>
        <w:rPr>
          <w:rFonts w:hint="eastAsia" w:cs="仿宋_GB2312" w:asciiTheme="minorEastAsia" w:hAnsiTheme="minorEastAsia" w:eastAsiaTheme="minorEastAsia"/>
          <w:sz w:val="24"/>
          <w:szCs w:val="24"/>
        </w:rPr>
        <w:t>本次招标的高清视频会议系统设备可实现与市局、省厅、国家应急管理部无缝数字级联，视频、音频、双流能够互通，级联时设备不会无故断线；中标后三个工作日内，中标供应商在合同签订前须提供样机设备进行招标文件技术参数所要求的逐一测试验证，全部通过后才能执行合同流程，测试中发现虚假应标的行为将予以废标处理并保留对该中标供应商追究相关责任的权利。</w:t>
      </w:r>
    </w:p>
    <w:p>
      <w:pPr>
        <w:snapToGrid w:val="0"/>
        <w:spacing w:line="440" w:lineRule="exact"/>
        <w:ind w:firstLine="480" w:firstLineChars="200"/>
        <w:jc w:val="left"/>
        <w:rPr>
          <w:sz w:val="24"/>
          <w:szCs w:val="24"/>
        </w:rPr>
      </w:pPr>
      <w:r>
        <w:rPr>
          <w:rFonts w:hint="eastAsia"/>
          <w:sz w:val="24"/>
          <w:szCs w:val="24"/>
        </w:rPr>
        <w:t>2.交货时间及地点：此项目为交钥匙工程，合同签订生效后</w:t>
      </w:r>
      <w:r>
        <w:rPr>
          <w:rFonts w:hint="eastAsia"/>
          <w:sz w:val="24"/>
          <w:szCs w:val="24"/>
          <w:u w:val="single"/>
        </w:rPr>
        <w:t>10</w:t>
      </w:r>
      <w:r>
        <w:rPr>
          <w:rFonts w:hint="eastAsia"/>
          <w:sz w:val="24"/>
          <w:szCs w:val="24"/>
        </w:rPr>
        <w:t>日历天（含节假日和夜间施工）内供货并安装、调试完毕。</w:t>
      </w:r>
    </w:p>
    <w:p>
      <w:pPr>
        <w:snapToGrid w:val="0"/>
        <w:spacing w:line="440" w:lineRule="exact"/>
        <w:ind w:firstLine="480" w:firstLineChars="200"/>
        <w:jc w:val="left"/>
        <w:rPr>
          <w:sz w:val="24"/>
          <w:szCs w:val="24"/>
        </w:rPr>
      </w:pPr>
      <w:r>
        <w:rPr>
          <w:rFonts w:hint="eastAsia"/>
          <w:sz w:val="24"/>
          <w:szCs w:val="24"/>
        </w:rPr>
        <w:t>3.所供产品交付使用时，供应商必须向需方提供产品说明书、质量保证书、保修卡、合格证等必须具备的相关资料和必备的附件。</w:t>
      </w:r>
    </w:p>
    <w:p>
      <w:pPr>
        <w:snapToGrid w:val="0"/>
        <w:spacing w:line="440" w:lineRule="exact"/>
        <w:ind w:firstLine="480" w:firstLineChars="200"/>
        <w:jc w:val="left"/>
        <w:rPr>
          <w:sz w:val="24"/>
          <w:szCs w:val="24"/>
        </w:rPr>
      </w:pPr>
      <w:r>
        <w:rPr>
          <w:rFonts w:hint="eastAsia"/>
          <w:sz w:val="24"/>
          <w:szCs w:val="24"/>
        </w:rPr>
        <w:t>4.所提供的产品，自验收合格之日起叁年。在质保期内因产品本身质量问题发生故障，需免费更换或维修，超过质保期后，所有产品提供终身成本维修，保证零配件供应。（维修只收取材料成本费）。</w:t>
      </w:r>
    </w:p>
    <w:p>
      <w:pPr>
        <w:snapToGrid w:val="0"/>
        <w:spacing w:line="440" w:lineRule="exact"/>
        <w:ind w:firstLine="480" w:firstLineChars="200"/>
        <w:jc w:val="left"/>
        <w:rPr>
          <w:sz w:val="24"/>
          <w:szCs w:val="24"/>
        </w:rPr>
      </w:pPr>
      <w:r>
        <w:rPr>
          <w:rFonts w:hint="eastAsia"/>
          <w:sz w:val="24"/>
          <w:szCs w:val="24"/>
        </w:rPr>
        <w:t>5.产品在使用过程中出现质量问题，提供2小时响应，24小时内上门服务进行处理，48小时内不能解决问题的，必须提供相应产品给予替代使用，否则采购人将自行采取必要的措施，由此产生的风险和费用由供应商承担。若现场不能维修解决的故障问题，须提供故障不能排除时的解决方案，否则采购人将自行采取必要的措施，由此产生的风险和费用由供应商承担。</w:t>
      </w:r>
    </w:p>
    <w:p>
      <w:pPr>
        <w:snapToGrid w:val="0"/>
        <w:spacing w:line="440" w:lineRule="exact"/>
        <w:ind w:firstLine="480" w:firstLineChars="200"/>
        <w:jc w:val="left"/>
        <w:rPr>
          <w:sz w:val="24"/>
          <w:szCs w:val="24"/>
        </w:rPr>
      </w:pPr>
      <w:r>
        <w:rPr>
          <w:rFonts w:hint="eastAsia"/>
          <w:sz w:val="24"/>
          <w:szCs w:val="24"/>
        </w:rPr>
        <w:t>6.中标人必须负责所采购产品的运输，并派有经验的技术人员到现场进行卸货、安装，经调试、检测合格后交付，其费用由中标人承担，包含在报价中。</w:t>
      </w:r>
    </w:p>
    <w:p>
      <w:pPr>
        <w:widowControl/>
        <w:spacing w:line="440" w:lineRule="exact"/>
        <w:ind w:firstLine="480" w:firstLineChars="200"/>
        <w:rPr>
          <w:kern w:val="0"/>
          <w:sz w:val="24"/>
          <w:szCs w:val="24"/>
        </w:rPr>
      </w:pPr>
    </w:p>
    <w:p>
      <w:pPr>
        <w:snapToGrid w:val="0"/>
        <w:spacing w:line="480" w:lineRule="exact"/>
        <w:ind w:firstLine="480" w:firstLineChars="200"/>
        <w:jc w:val="left"/>
        <w:rPr>
          <w:sz w:val="24"/>
          <w:szCs w:val="24"/>
        </w:rPr>
        <w:sectPr>
          <w:pgSz w:w="16838" w:h="11906" w:orient="landscape"/>
          <w:pgMar w:top="1361" w:right="1361" w:bottom="1361" w:left="1361" w:header="851" w:footer="992" w:gutter="0"/>
          <w:cols w:space="720" w:num="1"/>
          <w:docGrid w:linePitch="328" w:charSpace="733"/>
        </w:sectPr>
      </w:pPr>
    </w:p>
    <w:p>
      <w:pPr>
        <w:snapToGrid w:val="0"/>
        <w:spacing w:line="480" w:lineRule="exact"/>
        <w:jc w:val="center"/>
        <w:rPr>
          <w:b/>
          <w:w w:val="80"/>
          <w:kern w:val="44"/>
          <w:sz w:val="44"/>
          <w:szCs w:val="44"/>
        </w:rPr>
      </w:pPr>
      <w:r>
        <w:rPr>
          <w:b/>
          <w:w w:val="80"/>
          <w:kern w:val="44"/>
          <w:sz w:val="44"/>
          <w:szCs w:val="44"/>
        </w:rPr>
        <w:t>第四章  合同签订与验收付款</w:t>
      </w:r>
    </w:p>
    <w:p>
      <w:pPr>
        <w:pStyle w:val="8"/>
        <w:tabs>
          <w:tab w:val="left" w:pos="1050"/>
          <w:tab w:val="right" w:leader="dot" w:pos="9402"/>
        </w:tabs>
        <w:spacing w:line="480" w:lineRule="exact"/>
        <w:jc w:val="center"/>
        <w:outlineLvl w:val="0"/>
        <w:rPr>
          <w:b/>
          <w:w w:val="80"/>
          <w:sz w:val="44"/>
          <w:szCs w:val="44"/>
        </w:rPr>
      </w:pPr>
      <w:r>
        <w:rPr>
          <w:rFonts w:hint="eastAsia"/>
          <w:b/>
          <w:w w:val="80"/>
          <w:sz w:val="44"/>
          <w:szCs w:val="44"/>
        </w:rPr>
        <w:t>崇川区</w:t>
      </w:r>
      <w:r>
        <w:rPr>
          <w:b/>
          <w:w w:val="80"/>
          <w:sz w:val="44"/>
          <w:szCs w:val="44"/>
        </w:rPr>
        <w:t>政府采购项目</w:t>
      </w:r>
    </w:p>
    <w:p>
      <w:pPr>
        <w:pStyle w:val="8"/>
        <w:tabs>
          <w:tab w:val="left" w:pos="1050"/>
          <w:tab w:val="right" w:leader="dot" w:pos="9402"/>
        </w:tabs>
        <w:spacing w:line="480" w:lineRule="exact"/>
        <w:jc w:val="center"/>
        <w:outlineLvl w:val="0"/>
        <w:rPr>
          <w:b/>
          <w:w w:val="80"/>
          <w:sz w:val="44"/>
          <w:szCs w:val="44"/>
        </w:rPr>
      </w:pPr>
      <w:r>
        <w:rPr>
          <w:b/>
          <w:w w:val="80"/>
          <w:sz w:val="44"/>
          <w:szCs w:val="44"/>
        </w:rPr>
        <w:t>合同书</w:t>
      </w:r>
    </w:p>
    <w:p>
      <w:pPr>
        <w:spacing w:line="440" w:lineRule="exact"/>
        <w:ind w:firstLine="498" w:firstLineChars="150"/>
        <w:jc w:val="left"/>
        <w:rPr>
          <w:sz w:val="24"/>
          <w:szCs w:val="24"/>
          <w:u w:val="single"/>
        </w:rPr>
      </w:pPr>
      <w:r>
        <w:rPr>
          <w:spacing w:val="46"/>
          <w:sz w:val="24"/>
          <w:szCs w:val="24"/>
        </w:rPr>
        <w:t>采购单</w:t>
      </w:r>
      <w:r>
        <w:rPr>
          <w:spacing w:val="2"/>
          <w:sz w:val="24"/>
          <w:szCs w:val="24"/>
        </w:rPr>
        <w:t>位</w:t>
      </w:r>
      <w:r>
        <w:rPr>
          <w:sz w:val="24"/>
          <w:szCs w:val="24"/>
        </w:rPr>
        <w:t>（或称甲方）：</w:t>
      </w:r>
    </w:p>
    <w:p>
      <w:pPr>
        <w:spacing w:line="440" w:lineRule="exact"/>
        <w:ind w:firstLine="480" w:firstLineChars="200"/>
        <w:jc w:val="left"/>
        <w:rPr>
          <w:bCs/>
          <w:sz w:val="24"/>
          <w:szCs w:val="24"/>
        </w:rPr>
      </w:pPr>
      <w:r>
        <w:rPr>
          <w:sz w:val="24"/>
          <w:szCs w:val="24"/>
        </w:rPr>
        <w:t>成交供应商（或称乙方）：</w:t>
      </w:r>
    </w:p>
    <w:p>
      <w:pPr>
        <w:spacing w:line="440" w:lineRule="exact"/>
        <w:ind w:firstLine="480" w:firstLineChars="200"/>
        <w:jc w:val="left"/>
        <w:rPr>
          <w:sz w:val="24"/>
          <w:szCs w:val="24"/>
        </w:rPr>
      </w:pPr>
      <w:r>
        <w:rPr>
          <w:sz w:val="24"/>
          <w:szCs w:val="24"/>
        </w:rPr>
        <w:t>签订时间：</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440" w:lineRule="exact"/>
        <w:ind w:firstLine="480" w:firstLineChars="200"/>
        <w:jc w:val="left"/>
        <w:rPr>
          <w:sz w:val="24"/>
          <w:szCs w:val="24"/>
          <w:u w:val="single"/>
        </w:rPr>
      </w:pPr>
      <w:r>
        <w:rPr>
          <w:sz w:val="24"/>
          <w:szCs w:val="24"/>
        </w:rPr>
        <w:t>签订地点：</w:t>
      </w:r>
    </w:p>
    <w:p>
      <w:pPr>
        <w:spacing w:line="440" w:lineRule="exact"/>
        <w:ind w:firstLine="480" w:firstLineChars="200"/>
        <w:jc w:val="left"/>
        <w:rPr>
          <w:sz w:val="24"/>
          <w:szCs w:val="24"/>
        </w:rPr>
      </w:pPr>
      <w:r>
        <w:rPr>
          <w:sz w:val="24"/>
          <w:szCs w:val="24"/>
        </w:rPr>
        <w:t>根据《</w:t>
      </w:r>
      <w:r>
        <w:rPr>
          <w:rFonts w:hint="eastAsia"/>
          <w:sz w:val="24"/>
          <w:szCs w:val="24"/>
        </w:rPr>
        <w:t>民法典</w:t>
      </w:r>
      <w:r>
        <w:rPr>
          <w:sz w:val="24"/>
          <w:szCs w:val="24"/>
        </w:rPr>
        <w:t>》及（项目名称）</w:t>
      </w:r>
      <w:r>
        <w:rPr>
          <w:sz w:val="24"/>
          <w:szCs w:val="24"/>
          <w:u w:val="single"/>
        </w:rPr>
        <w:t xml:space="preserve">                 采购</w:t>
      </w:r>
      <w:r>
        <w:rPr>
          <w:sz w:val="24"/>
          <w:szCs w:val="24"/>
        </w:rPr>
        <w:t>项目的采购结果、询价文件、成交通知书及成交供应商的响应文件，经双方协商一致，签订本合同。</w:t>
      </w:r>
    </w:p>
    <w:p>
      <w:pPr>
        <w:snapToGrid w:val="0"/>
        <w:spacing w:line="440" w:lineRule="exact"/>
        <w:ind w:firstLine="480" w:firstLineChars="200"/>
        <w:jc w:val="left"/>
        <w:rPr>
          <w:sz w:val="24"/>
          <w:szCs w:val="24"/>
        </w:rPr>
      </w:pPr>
      <w:r>
        <w:rPr>
          <w:sz w:val="24"/>
          <w:szCs w:val="24"/>
        </w:rPr>
        <w:t>一、合同的标的物</w:t>
      </w:r>
    </w:p>
    <w:p>
      <w:pPr>
        <w:snapToGrid w:val="0"/>
        <w:spacing w:line="440" w:lineRule="exact"/>
        <w:ind w:firstLine="480" w:firstLineChars="200"/>
        <w:jc w:val="left"/>
        <w:rPr>
          <w:sz w:val="24"/>
          <w:szCs w:val="24"/>
        </w:rPr>
      </w:pPr>
      <w:r>
        <w:rPr>
          <w:sz w:val="24"/>
          <w:szCs w:val="24"/>
        </w:rPr>
        <w:t>1.1甲方向乙方采购标的物，具体的品种、规格要求详见询价文件项目需求。</w:t>
      </w:r>
    </w:p>
    <w:p>
      <w:pPr>
        <w:snapToGrid w:val="0"/>
        <w:spacing w:line="440" w:lineRule="exact"/>
        <w:ind w:firstLine="480" w:firstLineChars="200"/>
        <w:jc w:val="left"/>
        <w:rPr>
          <w:sz w:val="24"/>
          <w:szCs w:val="24"/>
        </w:rPr>
      </w:pPr>
      <w:r>
        <w:rPr>
          <w:sz w:val="24"/>
          <w:szCs w:val="24"/>
        </w:rPr>
        <w:t>1.2 乙方对提供的标的物应当拥有完整的物权，并且负有保证第三人不得向甲方主张任何权利（包括知识产权）的义务。</w:t>
      </w:r>
    </w:p>
    <w:p>
      <w:pPr>
        <w:snapToGrid w:val="0"/>
        <w:spacing w:line="440" w:lineRule="exact"/>
        <w:ind w:firstLine="480" w:firstLineChars="200"/>
        <w:jc w:val="left"/>
        <w:rPr>
          <w:sz w:val="24"/>
          <w:szCs w:val="24"/>
        </w:rPr>
      </w:pPr>
      <w:r>
        <w:rPr>
          <w:sz w:val="24"/>
          <w:szCs w:val="24"/>
        </w:rPr>
        <w:t>二、合同价格与支付</w:t>
      </w:r>
    </w:p>
    <w:p>
      <w:pPr>
        <w:snapToGrid w:val="0"/>
        <w:spacing w:line="440" w:lineRule="exact"/>
        <w:ind w:firstLine="480" w:firstLineChars="200"/>
        <w:jc w:val="left"/>
        <w:rPr>
          <w:sz w:val="24"/>
          <w:szCs w:val="24"/>
        </w:rPr>
      </w:pPr>
      <w:r>
        <w:rPr>
          <w:sz w:val="24"/>
          <w:szCs w:val="24"/>
        </w:rPr>
        <w:t>2.1合同价格按此次成交价格执行，合同总金额为人民币</w:t>
      </w:r>
      <w:r>
        <w:rPr>
          <w:rFonts w:hint="eastAsia"/>
          <w:sz w:val="24"/>
          <w:szCs w:val="24"/>
          <w:u w:val="single"/>
        </w:rPr>
        <w:t xml:space="preserve">              </w:t>
      </w:r>
      <w:r>
        <w:rPr>
          <w:sz w:val="24"/>
          <w:szCs w:val="24"/>
        </w:rPr>
        <w:t>，</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40" w:lineRule="exact"/>
        <w:ind w:firstLine="482" w:firstLineChars="200"/>
        <w:jc w:val="left"/>
        <w:rPr>
          <w:b/>
          <w:sz w:val="24"/>
          <w:szCs w:val="24"/>
        </w:rPr>
      </w:pPr>
      <w:r>
        <w:rPr>
          <w:b/>
          <w:sz w:val="24"/>
          <w:szCs w:val="24"/>
        </w:rPr>
        <w:t>2.2付款方式：</w:t>
      </w:r>
    </w:p>
    <w:p>
      <w:pPr>
        <w:snapToGrid w:val="0"/>
        <w:spacing w:line="440" w:lineRule="exact"/>
        <w:ind w:firstLine="484" w:firstLineChars="202"/>
        <w:jc w:val="left"/>
        <w:rPr>
          <w:sz w:val="24"/>
          <w:szCs w:val="24"/>
        </w:rPr>
      </w:pPr>
      <w:r>
        <w:rPr>
          <w:rFonts w:hint="eastAsia"/>
          <w:sz w:val="24"/>
          <w:szCs w:val="24"/>
        </w:rPr>
        <w:t>(1)自合同签订生效后支付合同金额的30%，货物安装调试完成且验收合格后支付至合同金额的95%，余款待质保期满后一次性付清。</w:t>
      </w:r>
    </w:p>
    <w:p>
      <w:pPr>
        <w:snapToGrid w:val="0"/>
        <w:spacing w:line="440" w:lineRule="exact"/>
        <w:ind w:firstLine="480" w:firstLineChars="200"/>
        <w:jc w:val="left"/>
        <w:rPr>
          <w:sz w:val="24"/>
          <w:szCs w:val="24"/>
        </w:rPr>
      </w:pPr>
      <w:r>
        <w:rPr>
          <w:rFonts w:hint="eastAsia"/>
          <w:sz w:val="24"/>
          <w:szCs w:val="24"/>
        </w:rPr>
        <w:t xml:space="preserve"> (2)甲方凭乙方提供的各阶段应付金额的合格销售发票，在10个工作日内付款。</w:t>
      </w:r>
    </w:p>
    <w:p>
      <w:pPr>
        <w:snapToGrid w:val="0"/>
        <w:spacing w:line="440" w:lineRule="exact"/>
        <w:ind w:firstLine="480" w:firstLineChars="200"/>
        <w:jc w:val="left"/>
        <w:rPr>
          <w:sz w:val="24"/>
          <w:szCs w:val="24"/>
        </w:rPr>
      </w:pPr>
      <w:r>
        <w:rPr>
          <w:rFonts w:hint="eastAsia"/>
          <w:sz w:val="24"/>
          <w:szCs w:val="24"/>
        </w:rPr>
        <w:t>(3)最终以双方签订的采购合同内确定的条款为准执行</w:t>
      </w:r>
      <w:r>
        <w:rPr>
          <w:sz w:val="24"/>
          <w:szCs w:val="24"/>
        </w:rPr>
        <w:t>。</w:t>
      </w:r>
    </w:p>
    <w:p>
      <w:pPr>
        <w:snapToGrid w:val="0"/>
        <w:spacing w:line="440" w:lineRule="exact"/>
        <w:ind w:firstLine="480" w:firstLineChars="200"/>
        <w:jc w:val="left"/>
        <w:rPr>
          <w:sz w:val="24"/>
          <w:szCs w:val="24"/>
        </w:rPr>
      </w:pPr>
      <w:r>
        <w:rPr>
          <w:sz w:val="24"/>
          <w:szCs w:val="24"/>
        </w:rPr>
        <w:t>2.3 根据现行税法对甲方征收的与本合同有关的一切税费均由甲方承担；根据现行税法对乙方征收的与本合同有关的一切税费均由乙方承担。</w:t>
      </w:r>
    </w:p>
    <w:p>
      <w:pPr>
        <w:snapToGrid w:val="0"/>
        <w:spacing w:line="440" w:lineRule="exact"/>
        <w:ind w:firstLine="480" w:firstLineChars="200"/>
        <w:jc w:val="left"/>
        <w:rPr>
          <w:sz w:val="24"/>
          <w:szCs w:val="24"/>
        </w:rPr>
      </w:pPr>
      <w:r>
        <w:rPr>
          <w:sz w:val="24"/>
          <w:szCs w:val="24"/>
        </w:rPr>
        <w:t>2.4 支付（结算）方式：由甲方通知乙方提交相关发票</w:t>
      </w:r>
      <w:r>
        <w:rPr>
          <w:rFonts w:hint="eastAsia"/>
          <w:sz w:val="24"/>
          <w:szCs w:val="24"/>
        </w:rPr>
        <w:t>及相关资料，</w:t>
      </w:r>
      <w:r>
        <w:rPr>
          <w:sz w:val="24"/>
          <w:szCs w:val="24"/>
        </w:rPr>
        <w:t>票据齐全的情况下完成对外支付。</w:t>
      </w:r>
    </w:p>
    <w:p>
      <w:pPr>
        <w:spacing w:line="440" w:lineRule="exact"/>
        <w:ind w:firstLine="480" w:firstLineChars="200"/>
        <w:jc w:val="left"/>
        <w:rPr>
          <w:kern w:val="0"/>
          <w:sz w:val="24"/>
          <w:szCs w:val="24"/>
        </w:rPr>
      </w:pPr>
      <w:r>
        <w:rPr>
          <w:kern w:val="0"/>
          <w:sz w:val="24"/>
          <w:szCs w:val="24"/>
        </w:rPr>
        <w:t>三、质量保证</w:t>
      </w:r>
    </w:p>
    <w:p>
      <w:pPr>
        <w:spacing w:line="440" w:lineRule="exact"/>
        <w:ind w:firstLine="480" w:firstLineChars="200"/>
        <w:jc w:val="left"/>
        <w:rPr>
          <w:kern w:val="0"/>
          <w:sz w:val="24"/>
          <w:szCs w:val="24"/>
        </w:rPr>
      </w:pPr>
      <w:r>
        <w:rPr>
          <w:kern w:val="0"/>
          <w:sz w:val="24"/>
          <w:szCs w:val="24"/>
        </w:rPr>
        <w:t>3.1乙方应保证货物是全新、未使用过的原厂合格产品，并完全符合询价文件及本合同规定的质量、规格和参数的要求。验收过程中发现不符合上述要求的，将视作不合格产品，甲方有权终止合同，造成的一切损失由乙方承担。</w:t>
      </w:r>
    </w:p>
    <w:p>
      <w:pPr>
        <w:spacing w:line="440" w:lineRule="exact"/>
        <w:ind w:firstLine="480" w:firstLineChars="200"/>
        <w:jc w:val="left"/>
        <w:rPr>
          <w:kern w:val="0"/>
          <w:sz w:val="24"/>
          <w:szCs w:val="24"/>
        </w:rPr>
      </w:pPr>
      <w:r>
        <w:rPr>
          <w:kern w:val="0"/>
          <w:sz w:val="24"/>
          <w:szCs w:val="24"/>
        </w:rPr>
        <w:t>3.2报价产品的技术标准按国家标准执行，无国家标准的，按行业标准执行，无国家和行业标准的，按企业标准执行；但在询价文件中有特别要求的，按询价文件中规定的要求执行，并且符合相关法律、法规规定的要求。</w:t>
      </w:r>
    </w:p>
    <w:p>
      <w:pPr>
        <w:spacing w:line="440" w:lineRule="exact"/>
        <w:ind w:firstLine="480" w:firstLineChars="200"/>
        <w:jc w:val="left"/>
        <w:rPr>
          <w:kern w:val="0"/>
          <w:sz w:val="24"/>
          <w:szCs w:val="24"/>
        </w:rPr>
      </w:pPr>
      <w:r>
        <w:rPr>
          <w:kern w:val="0"/>
          <w:sz w:val="24"/>
          <w:szCs w:val="24"/>
        </w:rPr>
        <w:t>3.3乙方应保证提供的产品不得侵犯第三方专利权、商标权和设计权、版权等。否则，乙方应负全部责任，并承担由此引起的一切后果。</w:t>
      </w:r>
    </w:p>
    <w:p>
      <w:pPr>
        <w:spacing w:line="440" w:lineRule="exact"/>
        <w:ind w:firstLine="480" w:firstLineChars="200"/>
        <w:jc w:val="left"/>
        <w:rPr>
          <w:kern w:val="0"/>
          <w:sz w:val="24"/>
          <w:szCs w:val="24"/>
        </w:rPr>
      </w:pPr>
      <w:r>
        <w:rPr>
          <w:kern w:val="0"/>
          <w:sz w:val="24"/>
          <w:szCs w:val="24"/>
        </w:rPr>
        <w:t>3.4乙方应保证其货物在正确安装、正常使用下，在其使用寿命期内应具有满意的性能。</w:t>
      </w:r>
    </w:p>
    <w:p>
      <w:pPr>
        <w:spacing w:line="440" w:lineRule="exact"/>
        <w:ind w:firstLine="480" w:firstLineChars="200"/>
        <w:jc w:val="left"/>
        <w:rPr>
          <w:kern w:val="0"/>
          <w:sz w:val="24"/>
          <w:szCs w:val="24"/>
        </w:rPr>
      </w:pPr>
      <w:r>
        <w:rPr>
          <w:kern w:val="0"/>
          <w:sz w:val="24"/>
          <w:szCs w:val="24"/>
        </w:rPr>
        <w:t>3.5乙方应采取必要的安全措施保证货物的运输及安装的安全，并承担货物的运输及安装过程中产生的风险。</w:t>
      </w:r>
    </w:p>
    <w:p>
      <w:pPr>
        <w:snapToGrid w:val="0"/>
        <w:spacing w:line="440" w:lineRule="exact"/>
        <w:ind w:firstLine="480" w:firstLineChars="200"/>
        <w:jc w:val="left"/>
        <w:rPr>
          <w:sz w:val="24"/>
          <w:szCs w:val="24"/>
        </w:rPr>
      </w:pPr>
      <w:r>
        <w:rPr>
          <w:sz w:val="24"/>
          <w:szCs w:val="24"/>
        </w:rPr>
        <w:t>3.6供应商必须保证所提供的产品符合国家相应质量要求。</w:t>
      </w:r>
    </w:p>
    <w:p>
      <w:pPr>
        <w:spacing w:line="440" w:lineRule="exact"/>
        <w:ind w:firstLine="480" w:firstLineChars="200"/>
        <w:jc w:val="left"/>
        <w:rPr>
          <w:kern w:val="0"/>
          <w:sz w:val="24"/>
          <w:szCs w:val="24"/>
        </w:rPr>
      </w:pPr>
      <w:r>
        <w:rPr>
          <w:kern w:val="0"/>
          <w:sz w:val="24"/>
          <w:szCs w:val="24"/>
        </w:rPr>
        <w:t>四、包装</w:t>
      </w:r>
    </w:p>
    <w:p>
      <w:pPr>
        <w:spacing w:line="440" w:lineRule="exact"/>
        <w:ind w:firstLine="480" w:firstLineChars="200"/>
        <w:jc w:val="left"/>
        <w:rPr>
          <w:kern w:val="0"/>
          <w:sz w:val="24"/>
          <w:szCs w:val="24"/>
        </w:rPr>
      </w:pPr>
      <w:r>
        <w:rPr>
          <w:kern w:val="0"/>
          <w:sz w:val="24"/>
          <w:szCs w:val="24"/>
        </w:rPr>
        <w:t>乙方提供的设备必须为原包装，在送交甲方验收前不得拆箱。</w:t>
      </w:r>
    </w:p>
    <w:p>
      <w:pPr>
        <w:spacing w:line="440" w:lineRule="exact"/>
        <w:ind w:firstLine="480" w:firstLineChars="200"/>
        <w:jc w:val="left"/>
        <w:rPr>
          <w:kern w:val="0"/>
          <w:sz w:val="24"/>
          <w:szCs w:val="24"/>
        </w:rPr>
      </w:pPr>
      <w:r>
        <w:rPr>
          <w:kern w:val="0"/>
          <w:sz w:val="24"/>
          <w:szCs w:val="24"/>
        </w:rPr>
        <w:t>五、标的物的交付</w:t>
      </w:r>
    </w:p>
    <w:p>
      <w:pPr>
        <w:spacing w:line="440" w:lineRule="exact"/>
        <w:ind w:firstLine="480" w:firstLineChars="200"/>
        <w:jc w:val="left"/>
        <w:rPr>
          <w:kern w:val="0"/>
          <w:sz w:val="24"/>
          <w:szCs w:val="24"/>
        </w:rPr>
      </w:pPr>
      <w:r>
        <w:rPr>
          <w:kern w:val="0"/>
          <w:sz w:val="24"/>
          <w:szCs w:val="24"/>
        </w:rPr>
        <w:t>5.1 标的物的所有权自标的物交付时转移。</w:t>
      </w:r>
    </w:p>
    <w:p>
      <w:pPr>
        <w:spacing w:line="440" w:lineRule="exact"/>
        <w:ind w:firstLine="480" w:firstLineChars="200"/>
        <w:jc w:val="left"/>
        <w:rPr>
          <w:kern w:val="0"/>
          <w:sz w:val="24"/>
          <w:szCs w:val="24"/>
        </w:rPr>
      </w:pPr>
      <w:r>
        <w:rPr>
          <w:kern w:val="0"/>
          <w:sz w:val="24"/>
          <w:szCs w:val="24"/>
        </w:rPr>
        <w:t>5.2 乙方应当按照约定的期限和约定的地点交付标的物。</w:t>
      </w:r>
    </w:p>
    <w:p>
      <w:pPr>
        <w:spacing w:line="440" w:lineRule="exact"/>
        <w:ind w:firstLine="480" w:firstLineChars="200"/>
        <w:jc w:val="left"/>
        <w:rPr>
          <w:kern w:val="0"/>
          <w:sz w:val="24"/>
          <w:szCs w:val="24"/>
        </w:rPr>
      </w:pPr>
      <w:r>
        <w:rPr>
          <w:kern w:val="0"/>
          <w:sz w:val="24"/>
          <w:szCs w:val="24"/>
        </w:rPr>
        <w:t>5.3 乙方应当按照约定或者交易习惯向甲方交付提取标的物单证以外的有关单证和资料，</w:t>
      </w:r>
    </w:p>
    <w:p>
      <w:pPr>
        <w:spacing w:line="440" w:lineRule="exact"/>
        <w:ind w:firstLine="480" w:firstLineChars="200"/>
        <w:jc w:val="left"/>
        <w:rPr>
          <w:kern w:val="0"/>
          <w:sz w:val="24"/>
          <w:szCs w:val="24"/>
        </w:rPr>
      </w:pPr>
      <w:r>
        <w:rPr>
          <w:kern w:val="0"/>
          <w:sz w:val="24"/>
          <w:szCs w:val="24"/>
        </w:rPr>
        <w:t>5.4产品设备交货、安装调试服务</w:t>
      </w:r>
    </w:p>
    <w:p>
      <w:pPr>
        <w:spacing w:line="440" w:lineRule="exact"/>
        <w:ind w:firstLine="480" w:firstLineChars="200"/>
        <w:jc w:val="left"/>
        <w:rPr>
          <w:kern w:val="0"/>
          <w:sz w:val="24"/>
          <w:szCs w:val="24"/>
        </w:rPr>
      </w:pPr>
      <w:r>
        <w:rPr>
          <w:kern w:val="0"/>
          <w:sz w:val="24"/>
          <w:szCs w:val="24"/>
        </w:rPr>
        <w:t>5.4.1产品设备交付：</w:t>
      </w:r>
    </w:p>
    <w:p>
      <w:pPr>
        <w:spacing w:line="440" w:lineRule="exact"/>
        <w:ind w:firstLine="480" w:firstLineChars="200"/>
        <w:jc w:val="left"/>
        <w:rPr>
          <w:kern w:val="0"/>
          <w:sz w:val="24"/>
          <w:szCs w:val="24"/>
        </w:rPr>
      </w:pPr>
      <w:r>
        <w:rPr>
          <w:kern w:val="0"/>
          <w:sz w:val="24"/>
          <w:szCs w:val="24"/>
        </w:rPr>
        <w:t>① 交货地点：产品设备送至采购单位指定的地点并负责安装、调试。</w:t>
      </w:r>
    </w:p>
    <w:p>
      <w:pPr>
        <w:spacing w:line="440" w:lineRule="exact"/>
        <w:ind w:firstLine="480" w:firstLineChars="200"/>
        <w:jc w:val="left"/>
        <w:rPr>
          <w:kern w:val="0"/>
          <w:sz w:val="24"/>
          <w:szCs w:val="24"/>
        </w:rPr>
      </w:pPr>
      <w:r>
        <w:rPr>
          <w:kern w:val="0"/>
          <w:sz w:val="24"/>
          <w:szCs w:val="24"/>
        </w:rPr>
        <w:t>② 货物装卸、运输涉及到的保险，其费用包含在合同总价中。</w:t>
      </w:r>
    </w:p>
    <w:p>
      <w:pPr>
        <w:spacing w:line="440" w:lineRule="exact"/>
        <w:ind w:firstLine="480" w:firstLineChars="200"/>
        <w:jc w:val="left"/>
        <w:rPr>
          <w:kern w:val="0"/>
          <w:sz w:val="24"/>
          <w:szCs w:val="24"/>
        </w:rPr>
      </w:pPr>
      <w:r>
        <w:rPr>
          <w:kern w:val="0"/>
          <w:sz w:val="24"/>
          <w:szCs w:val="24"/>
        </w:rPr>
        <w:t>5.4.2产品设备交付及安装调试服务日期：</w:t>
      </w:r>
      <w:r>
        <w:rPr>
          <w:rFonts w:hint="eastAsia"/>
          <w:sz w:val="24"/>
          <w:szCs w:val="24"/>
        </w:rPr>
        <w:t>合同签订生效后</w:t>
      </w:r>
      <w:r>
        <w:rPr>
          <w:rFonts w:hint="eastAsia"/>
          <w:sz w:val="24"/>
          <w:szCs w:val="24"/>
          <w:u w:val="single"/>
        </w:rPr>
        <w:t xml:space="preserve">   </w:t>
      </w:r>
      <w:r>
        <w:rPr>
          <w:rFonts w:hint="eastAsia"/>
          <w:sz w:val="24"/>
          <w:szCs w:val="24"/>
        </w:rPr>
        <w:t>日历天（含节假日和夜间施工）内供货并安装、调试完毕。</w:t>
      </w:r>
    </w:p>
    <w:p>
      <w:pPr>
        <w:spacing w:line="440" w:lineRule="exact"/>
        <w:ind w:firstLine="480" w:firstLineChars="200"/>
        <w:jc w:val="left"/>
        <w:rPr>
          <w:kern w:val="0"/>
          <w:sz w:val="24"/>
          <w:szCs w:val="24"/>
        </w:rPr>
      </w:pPr>
      <w:r>
        <w:rPr>
          <w:kern w:val="0"/>
          <w:sz w:val="24"/>
          <w:szCs w:val="24"/>
        </w:rPr>
        <w:t>5.4.3成交供应商发货到采购单位指定地点前应先告知采购单位。</w:t>
      </w:r>
    </w:p>
    <w:p>
      <w:pPr>
        <w:spacing w:line="440" w:lineRule="exact"/>
        <w:ind w:firstLine="480" w:firstLineChars="200"/>
        <w:jc w:val="left"/>
        <w:rPr>
          <w:kern w:val="0"/>
          <w:sz w:val="24"/>
          <w:szCs w:val="24"/>
        </w:rPr>
      </w:pPr>
      <w:r>
        <w:rPr>
          <w:kern w:val="0"/>
          <w:sz w:val="24"/>
          <w:szCs w:val="24"/>
        </w:rPr>
        <w:t>5.4.4全部货物的外包装必须采用防漏、防潮、防震、防锈、防盗和考虑到可能会发生的野蛮装卸等长途运输及多次装卸之需要。如因供方包装不当以及其它原因造成损坏或丢失，应由供方负一切责任。</w:t>
      </w:r>
    </w:p>
    <w:p>
      <w:pPr>
        <w:spacing w:line="440" w:lineRule="exact"/>
        <w:ind w:firstLine="480" w:firstLineChars="200"/>
        <w:jc w:val="left"/>
        <w:rPr>
          <w:kern w:val="0"/>
          <w:sz w:val="24"/>
          <w:szCs w:val="24"/>
        </w:rPr>
      </w:pPr>
      <w:r>
        <w:rPr>
          <w:kern w:val="0"/>
          <w:sz w:val="24"/>
          <w:szCs w:val="24"/>
        </w:rPr>
        <w:t>5.5 交货及安装地点：采购方指定地点。</w:t>
      </w:r>
    </w:p>
    <w:p>
      <w:pPr>
        <w:spacing w:line="440" w:lineRule="exact"/>
        <w:ind w:firstLine="480" w:firstLineChars="200"/>
        <w:jc w:val="left"/>
        <w:rPr>
          <w:kern w:val="0"/>
          <w:sz w:val="24"/>
          <w:szCs w:val="24"/>
        </w:rPr>
      </w:pPr>
      <w:r>
        <w:rPr>
          <w:kern w:val="0"/>
          <w:sz w:val="24"/>
          <w:szCs w:val="24"/>
        </w:rPr>
        <w:t>六、伴随服务</w:t>
      </w:r>
    </w:p>
    <w:p>
      <w:pPr>
        <w:spacing w:line="440" w:lineRule="exact"/>
        <w:ind w:firstLine="480" w:firstLineChars="200"/>
        <w:jc w:val="left"/>
        <w:rPr>
          <w:kern w:val="0"/>
          <w:sz w:val="24"/>
          <w:szCs w:val="24"/>
        </w:rPr>
      </w:pPr>
      <w:r>
        <w:rPr>
          <w:kern w:val="0"/>
          <w:sz w:val="24"/>
          <w:szCs w:val="24"/>
        </w:rPr>
        <w:t>6.1乙方除应履行按期按量交付合格标的物的义务外，还应当提供下列服务：</w:t>
      </w:r>
    </w:p>
    <w:p>
      <w:pPr>
        <w:spacing w:line="440" w:lineRule="exact"/>
        <w:ind w:firstLine="480" w:firstLineChars="200"/>
        <w:jc w:val="left"/>
        <w:rPr>
          <w:kern w:val="0"/>
          <w:sz w:val="24"/>
          <w:szCs w:val="24"/>
        </w:rPr>
      </w:pPr>
      <w:r>
        <w:rPr>
          <w:kern w:val="0"/>
          <w:sz w:val="24"/>
          <w:szCs w:val="24"/>
        </w:rPr>
        <w:t>6.1.1标的物的现场安装、启动、调试、监督（如果必须安装、调试的话）；</w:t>
      </w:r>
    </w:p>
    <w:p>
      <w:pPr>
        <w:spacing w:line="440" w:lineRule="exact"/>
        <w:ind w:firstLine="480" w:firstLineChars="200"/>
        <w:jc w:val="left"/>
        <w:rPr>
          <w:kern w:val="0"/>
          <w:sz w:val="24"/>
          <w:szCs w:val="24"/>
        </w:rPr>
      </w:pPr>
      <w:r>
        <w:rPr>
          <w:kern w:val="0"/>
          <w:sz w:val="24"/>
          <w:szCs w:val="24"/>
        </w:rPr>
        <w:t>6.1.2提供标的物组装和一般维修所必需的工具；</w:t>
      </w:r>
    </w:p>
    <w:p>
      <w:pPr>
        <w:spacing w:line="440" w:lineRule="exact"/>
        <w:ind w:firstLine="480" w:firstLineChars="200"/>
        <w:jc w:val="left"/>
        <w:rPr>
          <w:kern w:val="0"/>
          <w:sz w:val="24"/>
          <w:szCs w:val="24"/>
        </w:rPr>
      </w:pPr>
      <w:r>
        <w:rPr>
          <w:kern w:val="0"/>
          <w:sz w:val="24"/>
          <w:szCs w:val="24"/>
        </w:rPr>
        <w:t>6.1.3在合同规定的期限内对所提供的标的物实行运行监督、维修服务的前提条件是该服务并不能免除乙方在质保期内所承担的义务；</w:t>
      </w:r>
    </w:p>
    <w:p>
      <w:pPr>
        <w:spacing w:line="440" w:lineRule="exact"/>
        <w:ind w:firstLine="480" w:firstLineChars="200"/>
        <w:jc w:val="left"/>
        <w:rPr>
          <w:kern w:val="0"/>
          <w:sz w:val="24"/>
          <w:szCs w:val="24"/>
        </w:rPr>
      </w:pPr>
      <w:r>
        <w:rPr>
          <w:kern w:val="0"/>
          <w:sz w:val="24"/>
          <w:szCs w:val="24"/>
        </w:rPr>
        <w:t>6.1.4对甲方技术人员的技术指导或培训。</w:t>
      </w:r>
    </w:p>
    <w:p>
      <w:pPr>
        <w:spacing w:line="440" w:lineRule="exact"/>
        <w:ind w:firstLine="480" w:firstLineChars="200"/>
        <w:jc w:val="left"/>
        <w:rPr>
          <w:kern w:val="0"/>
          <w:sz w:val="24"/>
          <w:szCs w:val="24"/>
        </w:rPr>
      </w:pPr>
      <w:r>
        <w:rPr>
          <w:kern w:val="0"/>
          <w:sz w:val="24"/>
          <w:szCs w:val="24"/>
        </w:rPr>
        <w:t>6.2除合同另有规定之外，伴随服务的费用均已含在合同价款中，甲方不再另行支付。</w:t>
      </w:r>
    </w:p>
    <w:p>
      <w:pPr>
        <w:spacing w:line="440" w:lineRule="exact"/>
        <w:ind w:firstLine="480" w:firstLineChars="200"/>
        <w:jc w:val="left"/>
        <w:rPr>
          <w:kern w:val="0"/>
          <w:sz w:val="24"/>
          <w:szCs w:val="24"/>
        </w:rPr>
      </w:pPr>
      <w:r>
        <w:rPr>
          <w:kern w:val="0"/>
          <w:sz w:val="24"/>
          <w:szCs w:val="24"/>
        </w:rPr>
        <w:t>七、标的物的检验和验收</w:t>
      </w:r>
    </w:p>
    <w:p>
      <w:pPr>
        <w:spacing w:line="440" w:lineRule="exact"/>
        <w:ind w:firstLine="480" w:firstLineChars="200"/>
        <w:jc w:val="left"/>
        <w:rPr>
          <w:kern w:val="0"/>
          <w:sz w:val="24"/>
          <w:szCs w:val="24"/>
        </w:rPr>
      </w:pPr>
      <w:r>
        <w:rPr>
          <w:kern w:val="0"/>
          <w:sz w:val="24"/>
          <w:szCs w:val="24"/>
        </w:rPr>
        <w:t>使用方有权在产品制造过程中进行中期验收和交付后抽样检测，如验收不合格，甲方有权中止合同，验收合格，验收所发生的费用由甲方承担，验收不合格所发生的一切费用由</w:t>
      </w:r>
      <w:r>
        <w:rPr>
          <w:rFonts w:hint="eastAsia"/>
          <w:kern w:val="0"/>
          <w:sz w:val="24"/>
          <w:szCs w:val="24"/>
        </w:rPr>
        <w:t>乙方</w:t>
      </w:r>
      <w:r>
        <w:rPr>
          <w:kern w:val="0"/>
          <w:sz w:val="24"/>
          <w:szCs w:val="24"/>
        </w:rPr>
        <w:t xml:space="preserve">承担，按照实际发生的费用从履约保证金中扣除，扣完为止。   </w:t>
      </w:r>
    </w:p>
    <w:p>
      <w:pPr>
        <w:spacing w:line="440" w:lineRule="exact"/>
        <w:ind w:firstLine="480" w:firstLineChars="200"/>
        <w:jc w:val="left"/>
        <w:rPr>
          <w:kern w:val="0"/>
          <w:sz w:val="24"/>
          <w:szCs w:val="24"/>
        </w:rPr>
      </w:pPr>
      <w:r>
        <w:rPr>
          <w:kern w:val="0"/>
          <w:sz w:val="24"/>
          <w:szCs w:val="24"/>
        </w:rPr>
        <w:t>八、质保及售后服务</w:t>
      </w:r>
    </w:p>
    <w:p>
      <w:pPr>
        <w:spacing w:line="440" w:lineRule="exact"/>
        <w:ind w:firstLine="480" w:firstLineChars="200"/>
        <w:jc w:val="left"/>
        <w:rPr>
          <w:kern w:val="0"/>
          <w:sz w:val="24"/>
          <w:szCs w:val="24"/>
        </w:rPr>
      </w:pPr>
      <w:r>
        <w:rPr>
          <w:kern w:val="0"/>
          <w:sz w:val="24"/>
          <w:szCs w:val="24"/>
        </w:rPr>
        <w:t>8.1乙方应提供</w:t>
      </w:r>
      <w:r>
        <w:rPr>
          <w:rFonts w:hint="eastAsia"/>
          <w:kern w:val="0"/>
          <w:sz w:val="24"/>
          <w:szCs w:val="24"/>
          <w:u w:val="single"/>
        </w:rPr>
        <w:t xml:space="preserve">    </w:t>
      </w:r>
      <w:r>
        <w:rPr>
          <w:kern w:val="0"/>
          <w:sz w:val="24"/>
          <w:szCs w:val="24"/>
        </w:rPr>
        <w:t>年的免费质量保证期（质保期从项目通过验收之日起计），</w:t>
      </w:r>
      <w:r>
        <w:rPr>
          <w:rFonts w:hint="eastAsia"/>
          <w:sz w:val="24"/>
          <w:szCs w:val="24"/>
        </w:rPr>
        <w:t>在接到采购方维修联系通知后</w:t>
      </w:r>
      <w:r>
        <w:rPr>
          <w:rFonts w:hint="eastAsia"/>
          <w:sz w:val="24"/>
          <w:szCs w:val="24"/>
          <w:u w:val="single"/>
        </w:rPr>
        <w:t xml:space="preserve">   </w:t>
      </w:r>
      <w:r>
        <w:rPr>
          <w:rFonts w:hint="eastAsia"/>
          <w:sz w:val="24"/>
          <w:szCs w:val="24"/>
        </w:rPr>
        <w:t>小时内至现场，一般问题</w:t>
      </w:r>
      <w:r>
        <w:rPr>
          <w:rFonts w:hint="eastAsia"/>
          <w:sz w:val="24"/>
          <w:szCs w:val="24"/>
          <w:u w:val="single"/>
        </w:rPr>
        <w:t xml:space="preserve">    </w:t>
      </w:r>
      <w:r>
        <w:rPr>
          <w:rFonts w:hint="eastAsia"/>
          <w:sz w:val="24"/>
          <w:szCs w:val="24"/>
        </w:rPr>
        <w:t>小时内解决，最长不超过</w:t>
      </w:r>
      <w:r>
        <w:rPr>
          <w:rFonts w:hint="eastAsia"/>
          <w:sz w:val="24"/>
          <w:szCs w:val="24"/>
          <w:u w:val="single"/>
        </w:rPr>
        <w:t xml:space="preserve">  </w:t>
      </w:r>
      <w:r>
        <w:rPr>
          <w:rFonts w:hint="eastAsia"/>
          <w:sz w:val="24"/>
          <w:szCs w:val="24"/>
        </w:rPr>
        <w:t>小时解决问题。</w:t>
      </w:r>
      <w:r>
        <w:rPr>
          <w:kern w:val="0"/>
          <w:sz w:val="24"/>
          <w:szCs w:val="24"/>
        </w:rPr>
        <w:t>不能兑现质保承诺的，甲方将扣除质保金，并由区相关部门酌情进行信誉度处罚。</w:t>
      </w:r>
    </w:p>
    <w:p>
      <w:pPr>
        <w:snapToGrid w:val="0"/>
        <w:spacing w:line="440" w:lineRule="exact"/>
        <w:ind w:firstLine="480" w:firstLineChars="200"/>
        <w:jc w:val="left"/>
        <w:rPr>
          <w:sz w:val="24"/>
          <w:szCs w:val="24"/>
        </w:rPr>
      </w:pPr>
      <w:r>
        <w:rPr>
          <w:sz w:val="24"/>
          <w:szCs w:val="24"/>
        </w:rPr>
        <w:t>8.2</w:t>
      </w:r>
      <w:r>
        <w:rPr>
          <w:kern w:val="0"/>
          <w:sz w:val="24"/>
          <w:szCs w:val="24"/>
        </w:rPr>
        <w:t>乙方</w:t>
      </w:r>
      <w:r>
        <w:rPr>
          <w:sz w:val="24"/>
          <w:szCs w:val="24"/>
        </w:rPr>
        <w:t>应进行一次简单维护、维修培训，确保使用者了解维护方法和进行简单的维修操作。</w:t>
      </w:r>
    </w:p>
    <w:p>
      <w:pPr>
        <w:snapToGrid w:val="0"/>
        <w:spacing w:line="440" w:lineRule="exact"/>
        <w:ind w:firstLine="480" w:firstLineChars="200"/>
        <w:jc w:val="left"/>
        <w:rPr>
          <w:sz w:val="24"/>
          <w:szCs w:val="24"/>
        </w:rPr>
      </w:pPr>
      <w:r>
        <w:rPr>
          <w:sz w:val="24"/>
          <w:szCs w:val="24"/>
        </w:rPr>
        <w:t>8.3所有货品应有</w:t>
      </w:r>
      <w:r>
        <w:rPr>
          <w:kern w:val="0"/>
          <w:sz w:val="24"/>
          <w:szCs w:val="24"/>
        </w:rPr>
        <w:t>乙方</w:t>
      </w:r>
      <w:r>
        <w:rPr>
          <w:sz w:val="24"/>
          <w:szCs w:val="24"/>
        </w:rPr>
        <w:t>免费按时送达指定地点，并安装调配好，交货地点另行通知。</w:t>
      </w:r>
    </w:p>
    <w:p>
      <w:pPr>
        <w:snapToGrid w:val="0"/>
        <w:spacing w:line="440" w:lineRule="exact"/>
        <w:ind w:firstLine="480" w:firstLineChars="200"/>
        <w:jc w:val="left"/>
        <w:rPr>
          <w:sz w:val="24"/>
          <w:szCs w:val="24"/>
        </w:rPr>
      </w:pPr>
      <w:r>
        <w:rPr>
          <w:sz w:val="24"/>
          <w:szCs w:val="24"/>
        </w:rPr>
        <w:t>8.4保修期满后维修费用按照材料成本收取。</w:t>
      </w:r>
    </w:p>
    <w:p>
      <w:pPr>
        <w:spacing w:line="440" w:lineRule="exact"/>
        <w:ind w:firstLine="480" w:firstLineChars="200"/>
        <w:jc w:val="left"/>
        <w:rPr>
          <w:kern w:val="0"/>
          <w:sz w:val="24"/>
          <w:szCs w:val="24"/>
        </w:rPr>
      </w:pPr>
      <w:r>
        <w:rPr>
          <w:kern w:val="0"/>
          <w:sz w:val="24"/>
          <w:szCs w:val="24"/>
        </w:rPr>
        <w:t>九、违约责任</w:t>
      </w:r>
    </w:p>
    <w:p>
      <w:pPr>
        <w:spacing w:line="440" w:lineRule="exact"/>
        <w:ind w:firstLine="480" w:firstLineChars="200"/>
        <w:jc w:val="left"/>
        <w:rPr>
          <w:kern w:val="0"/>
          <w:sz w:val="24"/>
          <w:szCs w:val="24"/>
        </w:rPr>
      </w:pPr>
      <w:r>
        <w:rPr>
          <w:kern w:val="0"/>
          <w:sz w:val="24"/>
          <w:szCs w:val="24"/>
        </w:rPr>
        <w:t>合同一方不履行合同义务或者履行合同义务不符合约定的，应当承担继续履行、采取补救措施或赔偿损失等违约责任。</w:t>
      </w:r>
    </w:p>
    <w:p>
      <w:pPr>
        <w:spacing w:line="440" w:lineRule="exact"/>
        <w:ind w:firstLine="480" w:firstLineChars="200"/>
        <w:jc w:val="left"/>
        <w:rPr>
          <w:kern w:val="0"/>
          <w:sz w:val="24"/>
          <w:szCs w:val="24"/>
        </w:rPr>
      </w:pPr>
      <w:r>
        <w:rPr>
          <w:kern w:val="0"/>
          <w:sz w:val="24"/>
          <w:szCs w:val="24"/>
        </w:rPr>
        <w:t>9.1甲方违约责任</w:t>
      </w:r>
    </w:p>
    <w:p>
      <w:pPr>
        <w:spacing w:line="440" w:lineRule="exact"/>
        <w:ind w:firstLine="480" w:firstLineChars="200"/>
        <w:jc w:val="left"/>
        <w:rPr>
          <w:kern w:val="0"/>
          <w:sz w:val="24"/>
          <w:szCs w:val="24"/>
        </w:rPr>
      </w:pPr>
      <w:r>
        <w:rPr>
          <w:kern w:val="0"/>
          <w:sz w:val="24"/>
          <w:szCs w:val="24"/>
        </w:rPr>
        <w:t xml:space="preserve">9.1.1在合同生效后，非乙方原因甲方要求退货的，应向乙方偿付合同总价款的 5 %，作为违约金，违约金不足以补偿损失的，乙方有权要求甲方补足。 </w:t>
      </w:r>
    </w:p>
    <w:p>
      <w:pPr>
        <w:spacing w:line="440" w:lineRule="exact"/>
        <w:ind w:firstLine="480" w:firstLineChars="200"/>
        <w:jc w:val="left"/>
        <w:rPr>
          <w:kern w:val="0"/>
          <w:sz w:val="24"/>
          <w:szCs w:val="24"/>
        </w:rPr>
      </w:pPr>
      <w:r>
        <w:rPr>
          <w:kern w:val="0"/>
          <w:sz w:val="24"/>
          <w:szCs w:val="24"/>
        </w:rPr>
        <w:t>9.1.2甲方逾期支付货款的应按照逾期付款金额的每天5%支付逾期付款违约金。</w:t>
      </w:r>
    </w:p>
    <w:p>
      <w:pPr>
        <w:spacing w:line="440" w:lineRule="exact"/>
        <w:ind w:firstLine="480" w:firstLineChars="200"/>
        <w:jc w:val="left"/>
        <w:rPr>
          <w:kern w:val="0"/>
          <w:sz w:val="24"/>
          <w:szCs w:val="24"/>
        </w:rPr>
      </w:pPr>
      <w:r>
        <w:rPr>
          <w:kern w:val="0"/>
          <w:sz w:val="24"/>
          <w:szCs w:val="24"/>
        </w:rPr>
        <w:t>9.1.3甲方违反合同规定，拒绝接收乙方交付的合格标的物，应当承担乙方由此造成的损失。</w:t>
      </w:r>
    </w:p>
    <w:p>
      <w:pPr>
        <w:spacing w:line="440" w:lineRule="exact"/>
        <w:ind w:firstLine="480" w:firstLineChars="200"/>
        <w:jc w:val="left"/>
        <w:rPr>
          <w:kern w:val="0"/>
          <w:sz w:val="24"/>
          <w:szCs w:val="24"/>
        </w:rPr>
      </w:pPr>
      <w:r>
        <w:rPr>
          <w:kern w:val="0"/>
          <w:sz w:val="24"/>
          <w:szCs w:val="24"/>
        </w:rPr>
        <w:t>9.2乙方违约责任</w:t>
      </w:r>
    </w:p>
    <w:p>
      <w:pPr>
        <w:snapToGrid w:val="0"/>
        <w:spacing w:line="440" w:lineRule="exact"/>
        <w:ind w:firstLine="480" w:firstLineChars="200"/>
        <w:jc w:val="left"/>
        <w:rPr>
          <w:sz w:val="24"/>
          <w:szCs w:val="24"/>
        </w:rPr>
      </w:pPr>
      <w:r>
        <w:rPr>
          <w:sz w:val="24"/>
          <w:szCs w:val="24"/>
        </w:rPr>
        <w:t>9.2.1 乙方不能交货，或交货不合格从而影响甲方按期正常使用的，应向甲方偿付合同总价款</w:t>
      </w:r>
      <w:r>
        <w:rPr>
          <w:sz w:val="24"/>
          <w:szCs w:val="24"/>
          <w:u w:val="single"/>
        </w:rPr>
        <w:t xml:space="preserve"> 5 </w:t>
      </w:r>
      <w:r>
        <w:rPr>
          <w:sz w:val="24"/>
          <w:szCs w:val="24"/>
        </w:rPr>
        <w:t>%的违约金，违约金不足以补偿损失的，甲方有权要求乙方补足。</w:t>
      </w:r>
    </w:p>
    <w:p>
      <w:pPr>
        <w:snapToGrid w:val="0"/>
        <w:spacing w:line="440" w:lineRule="exact"/>
        <w:ind w:firstLine="480" w:firstLineChars="200"/>
        <w:jc w:val="left"/>
        <w:rPr>
          <w:sz w:val="24"/>
          <w:szCs w:val="24"/>
        </w:rPr>
      </w:pPr>
      <w:r>
        <w:rPr>
          <w:sz w:val="24"/>
          <w:szCs w:val="24"/>
        </w:rPr>
        <w:t>9.2.2 乙方逾期交货的，应在发货前与甲方协商，甲方仍需求的，乙方应立即发货，按照逾期交货部分货款每天</w:t>
      </w:r>
      <w:r>
        <w:rPr>
          <w:sz w:val="24"/>
          <w:szCs w:val="24"/>
          <w:u w:val="single"/>
        </w:rPr>
        <w:t xml:space="preserve"> 1% </w:t>
      </w:r>
      <w:r>
        <w:rPr>
          <w:sz w:val="24"/>
          <w:szCs w:val="24"/>
        </w:rPr>
        <w:t>的数额，支付逾期交货违约金，同时承担甲方因此遭致的损失费用。</w:t>
      </w:r>
    </w:p>
    <w:p>
      <w:pPr>
        <w:spacing w:line="440" w:lineRule="exact"/>
        <w:ind w:firstLine="480" w:firstLineChars="200"/>
        <w:jc w:val="left"/>
        <w:rPr>
          <w:kern w:val="0"/>
          <w:sz w:val="24"/>
          <w:szCs w:val="24"/>
        </w:rPr>
      </w:pPr>
      <w:r>
        <w:rPr>
          <w:kern w:val="0"/>
          <w:sz w:val="24"/>
          <w:szCs w:val="24"/>
        </w:rPr>
        <w:t>十、不可抗力</w:t>
      </w:r>
    </w:p>
    <w:p>
      <w:pPr>
        <w:spacing w:line="440" w:lineRule="exact"/>
        <w:ind w:firstLine="480" w:firstLineChars="200"/>
        <w:jc w:val="left"/>
        <w:rPr>
          <w:kern w:val="0"/>
          <w:sz w:val="24"/>
          <w:szCs w:val="24"/>
        </w:rPr>
      </w:pPr>
      <w:r>
        <w:rPr>
          <w:kern w:val="0"/>
          <w:sz w:val="24"/>
          <w:szCs w:val="24"/>
        </w:rPr>
        <w:t>10.1因不可抗力不能履行合同的，根据不可抗力的影响，部分或者全部免除责任。但合同一方延迟履行后发生不可抗力的，不能免除责任。</w:t>
      </w:r>
    </w:p>
    <w:p>
      <w:pPr>
        <w:spacing w:line="440" w:lineRule="exact"/>
        <w:ind w:firstLine="480" w:firstLineChars="200"/>
        <w:jc w:val="left"/>
        <w:rPr>
          <w:kern w:val="0"/>
          <w:sz w:val="24"/>
          <w:szCs w:val="24"/>
        </w:rPr>
      </w:pPr>
      <w:r>
        <w:rPr>
          <w:kern w:val="0"/>
          <w:sz w:val="24"/>
          <w:szCs w:val="24"/>
        </w:rPr>
        <w:t>10.2合同一方因不可抗力不能履行合同的，应当及时通知对方，以减轻可能给对方造成的损失，并应当在合理期限内提供证明。</w:t>
      </w:r>
    </w:p>
    <w:p>
      <w:pPr>
        <w:spacing w:line="440" w:lineRule="exact"/>
        <w:ind w:firstLine="480" w:firstLineChars="200"/>
        <w:jc w:val="left"/>
        <w:rPr>
          <w:kern w:val="0"/>
          <w:sz w:val="24"/>
          <w:szCs w:val="24"/>
        </w:rPr>
      </w:pPr>
      <w:r>
        <w:rPr>
          <w:kern w:val="0"/>
          <w:sz w:val="24"/>
          <w:szCs w:val="24"/>
        </w:rPr>
        <w:t>十一、索赔</w:t>
      </w:r>
    </w:p>
    <w:p>
      <w:pPr>
        <w:spacing w:line="440" w:lineRule="exact"/>
        <w:ind w:firstLine="480" w:firstLineChars="200"/>
        <w:jc w:val="left"/>
        <w:rPr>
          <w:kern w:val="0"/>
          <w:sz w:val="24"/>
          <w:szCs w:val="24"/>
        </w:rPr>
      </w:pPr>
      <w:r>
        <w:rPr>
          <w:kern w:val="0"/>
          <w:sz w:val="24"/>
          <w:szCs w:val="24"/>
        </w:rPr>
        <w:t>11.1甲方有权根据当地产品质量检验机构或其他有权部门出具的检验证书向乙方提出索赔。</w:t>
      </w:r>
    </w:p>
    <w:p>
      <w:pPr>
        <w:spacing w:line="440" w:lineRule="exact"/>
        <w:ind w:firstLine="480" w:firstLineChars="200"/>
        <w:jc w:val="left"/>
        <w:rPr>
          <w:kern w:val="0"/>
          <w:sz w:val="24"/>
          <w:szCs w:val="24"/>
        </w:rPr>
      </w:pPr>
      <w:r>
        <w:rPr>
          <w:kern w:val="0"/>
          <w:sz w:val="24"/>
          <w:szCs w:val="24"/>
        </w:rPr>
        <w:t>11.2在本合同规定的检验期限和质保期内，如果乙方对甲方提出的索赔或差异有责任，则乙方应按甲方同意的下列一种或多种方式解决索赔事宜：</w:t>
      </w:r>
    </w:p>
    <w:p>
      <w:pPr>
        <w:spacing w:line="440" w:lineRule="exact"/>
        <w:ind w:firstLine="480" w:firstLineChars="200"/>
        <w:jc w:val="left"/>
        <w:rPr>
          <w:kern w:val="0"/>
          <w:sz w:val="24"/>
          <w:szCs w:val="24"/>
        </w:rPr>
      </w:pPr>
      <w:r>
        <w:rPr>
          <w:kern w:val="0"/>
          <w:sz w:val="24"/>
          <w:szCs w:val="24"/>
        </w:rPr>
        <w:t>11.2.1乙方同意退货，并按合同规定的货币将货款退还给甲方，并且承担由此发生的一切损失和费用，包括利息、银行手续费、运费、保险费、检验费、仓储费、装卸费以及为保护退回标的物所需的其他必要费用。</w:t>
      </w:r>
    </w:p>
    <w:p>
      <w:pPr>
        <w:spacing w:line="440" w:lineRule="exact"/>
        <w:ind w:firstLine="480" w:firstLineChars="200"/>
        <w:jc w:val="left"/>
        <w:rPr>
          <w:kern w:val="0"/>
          <w:sz w:val="24"/>
          <w:szCs w:val="24"/>
        </w:rPr>
      </w:pPr>
      <w:r>
        <w:rPr>
          <w:kern w:val="0"/>
          <w:sz w:val="24"/>
          <w:szCs w:val="24"/>
        </w:rPr>
        <w:t>11.2.2根据标的物的低劣程度、损坏程度以及甲方遭受损失的数额，经双方协商确定降低标的物的价格。</w:t>
      </w:r>
    </w:p>
    <w:p>
      <w:pPr>
        <w:spacing w:line="440" w:lineRule="exact"/>
        <w:ind w:firstLine="480" w:firstLineChars="200"/>
        <w:jc w:val="left"/>
        <w:rPr>
          <w:kern w:val="0"/>
          <w:sz w:val="24"/>
          <w:szCs w:val="24"/>
        </w:rPr>
      </w:pPr>
      <w:r>
        <w:rPr>
          <w:kern w:val="0"/>
          <w:sz w:val="24"/>
          <w:szCs w:val="24"/>
        </w:rPr>
        <w:t>11.2.3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保期。</w:t>
      </w:r>
    </w:p>
    <w:p>
      <w:pPr>
        <w:spacing w:line="440" w:lineRule="exact"/>
        <w:ind w:firstLine="480" w:firstLineChars="200"/>
        <w:jc w:val="left"/>
        <w:rPr>
          <w:kern w:val="0"/>
          <w:sz w:val="24"/>
          <w:szCs w:val="24"/>
        </w:rPr>
      </w:pPr>
      <w:r>
        <w:rPr>
          <w:kern w:val="0"/>
          <w:sz w:val="24"/>
          <w:szCs w:val="24"/>
        </w:rPr>
        <w:t xml:space="preserve">11.3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pPr>
        <w:spacing w:line="440" w:lineRule="exact"/>
        <w:ind w:firstLine="480" w:firstLineChars="200"/>
        <w:jc w:val="left"/>
        <w:rPr>
          <w:kern w:val="0"/>
          <w:sz w:val="24"/>
          <w:szCs w:val="24"/>
        </w:rPr>
      </w:pPr>
      <w:r>
        <w:rPr>
          <w:kern w:val="0"/>
          <w:sz w:val="24"/>
          <w:szCs w:val="24"/>
        </w:rPr>
        <w:t>十二、履约保证金</w:t>
      </w:r>
    </w:p>
    <w:p>
      <w:pPr>
        <w:snapToGrid w:val="0"/>
        <w:spacing w:line="440" w:lineRule="exact"/>
        <w:ind w:firstLine="480" w:firstLineChars="200"/>
        <w:jc w:val="left"/>
        <w:outlineLvl w:val="1"/>
        <w:rPr>
          <w:bCs/>
          <w:sz w:val="24"/>
          <w:szCs w:val="24"/>
          <w:u w:val="single"/>
        </w:rPr>
      </w:pPr>
      <w:r>
        <w:rPr>
          <w:sz w:val="24"/>
          <w:szCs w:val="24"/>
        </w:rPr>
        <w:t>12.1</w:t>
      </w:r>
      <w:r>
        <w:rPr>
          <w:bCs/>
          <w:sz w:val="24"/>
          <w:szCs w:val="24"/>
        </w:rPr>
        <w:t>本项目成交后乙方须向甲方缴纳的履约保证金为项目成交价的</w:t>
      </w:r>
      <w:r>
        <w:rPr>
          <w:rFonts w:hint="eastAsia"/>
          <w:bCs/>
          <w:sz w:val="24"/>
          <w:szCs w:val="24"/>
          <w:u w:val="single"/>
        </w:rPr>
        <w:t>5</w:t>
      </w:r>
      <w:r>
        <w:rPr>
          <w:bCs/>
          <w:sz w:val="24"/>
          <w:szCs w:val="24"/>
          <w:u w:val="single"/>
        </w:rPr>
        <w:t>%</w:t>
      </w:r>
      <w:r>
        <w:rPr>
          <w:bCs/>
          <w:sz w:val="24"/>
          <w:szCs w:val="24"/>
        </w:rPr>
        <w:t>，即人民币</w:t>
      </w:r>
    </w:p>
    <w:p>
      <w:pPr>
        <w:snapToGrid w:val="0"/>
        <w:spacing w:line="440" w:lineRule="exact"/>
        <w:ind w:firstLine="480" w:firstLineChars="200"/>
        <w:jc w:val="left"/>
        <w:outlineLvl w:val="1"/>
        <w:rPr>
          <w:bCs/>
          <w:sz w:val="24"/>
          <w:szCs w:val="24"/>
        </w:rPr>
      </w:pPr>
      <w:r>
        <w:rPr>
          <w:bCs/>
          <w:sz w:val="24"/>
          <w:szCs w:val="24"/>
        </w:rPr>
        <w:t>元。</w:t>
      </w:r>
    </w:p>
    <w:p>
      <w:pPr>
        <w:snapToGrid w:val="0"/>
        <w:spacing w:line="440" w:lineRule="exact"/>
        <w:ind w:firstLine="480" w:firstLineChars="200"/>
        <w:jc w:val="left"/>
        <w:outlineLvl w:val="1"/>
        <w:rPr>
          <w:sz w:val="24"/>
          <w:szCs w:val="24"/>
        </w:rPr>
      </w:pPr>
      <w:r>
        <w:rPr>
          <w:sz w:val="24"/>
          <w:szCs w:val="24"/>
        </w:rPr>
        <w:t>12.2乙方在按要求保质保量的完成该项目合同并通过验收后，甲方凭乙方提交的申请，一次性无息退还该合同项目的履约保证金。</w:t>
      </w:r>
    </w:p>
    <w:p>
      <w:pPr>
        <w:snapToGrid w:val="0"/>
        <w:spacing w:line="440" w:lineRule="exact"/>
        <w:ind w:firstLine="480" w:firstLineChars="200"/>
        <w:jc w:val="left"/>
        <w:outlineLvl w:val="1"/>
        <w:rPr>
          <w:sz w:val="24"/>
          <w:szCs w:val="24"/>
        </w:rPr>
      </w:pPr>
      <w:r>
        <w:rPr>
          <w:sz w:val="24"/>
          <w:szCs w:val="24"/>
        </w:rPr>
        <w:t>12.3由于乙方原因，在签订合同后出现不按合同履行的情况，甲方有权将履约保证金作为违约金，全额不予退还，同时甲方亦有权终止合同，乙方还须承担相应的法律赔偿责任。</w:t>
      </w:r>
    </w:p>
    <w:p>
      <w:pPr>
        <w:spacing w:line="440" w:lineRule="exact"/>
        <w:ind w:firstLine="480" w:firstLineChars="200"/>
        <w:jc w:val="left"/>
        <w:rPr>
          <w:kern w:val="0"/>
          <w:sz w:val="24"/>
          <w:szCs w:val="24"/>
        </w:rPr>
      </w:pPr>
      <w:r>
        <w:rPr>
          <w:kern w:val="0"/>
          <w:sz w:val="24"/>
          <w:szCs w:val="24"/>
        </w:rPr>
        <w:t>十三、合同的解除和转让</w:t>
      </w:r>
    </w:p>
    <w:p>
      <w:pPr>
        <w:spacing w:line="440" w:lineRule="exact"/>
        <w:ind w:firstLine="480" w:firstLineChars="200"/>
        <w:jc w:val="left"/>
        <w:rPr>
          <w:kern w:val="0"/>
          <w:sz w:val="24"/>
          <w:szCs w:val="24"/>
        </w:rPr>
      </w:pPr>
      <w:r>
        <w:rPr>
          <w:kern w:val="0"/>
          <w:sz w:val="24"/>
          <w:szCs w:val="24"/>
        </w:rPr>
        <w:t>13.1甲方和乙方协商一致，可以解除合同。</w:t>
      </w:r>
    </w:p>
    <w:p>
      <w:pPr>
        <w:spacing w:line="440" w:lineRule="exact"/>
        <w:ind w:firstLine="480" w:firstLineChars="200"/>
        <w:jc w:val="left"/>
        <w:rPr>
          <w:kern w:val="0"/>
          <w:sz w:val="24"/>
          <w:szCs w:val="24"/>
        </w:rPr>
      </w:pPr>
      <w:r>
        <w:rPr>
          <w:kern w:val="0"/>
          <w:sz w:val="24"/>
          <w:szCs w:val="24"/>
        </w:rPr>
        <w:t>13.2有下列情形之一，合同一方可以解除合同：</w:t>
      </w:r>
    </w:p>
    <w:p>
      <w:pPr>
        <w:spacing w:line="440" w:lineRule="exact"/>
        <w:ind w:firstLine="480" w:firstLineChars="200"/>
        <w:jc w:val="left"/>
        <w:rPr>
          <w:kern w:val="0"/>
          <w:sz w:val="24"/>
          <w:szCs w:val="24"/>
        </w:rPr>
      </w:pPr>
      <w:r>
        <w:rPr>
          <w:kern w:val="0"/>
          <w:sz w:val="24"/>
          <w:szCs w:val="24"/>
        </w:rPr>
        <w:t>13.2.1因不可抗力致使不能实现合同目的，未受不可抗力影响的一方有权解除合同；</w:t>
      </w:r>
    </w:p>
    <w:p>
      <w:pPr>
        <w:spacing w:line="440" w:lineRule="exact"/>
        <w:ind w:firstLine="480" w:firstLineChars="200"/>
        <w:jc w:val="left"/>
        <w:rPr>
          <w:kern w:val="0"/>
          <w:sz w:val="24"/>
          <w:szCs w:val="24"/>
        </w:rPr>
      </w:pPr>
      <w:r>
        <w:rPr>
          <w:kern w:val="0"/>
          <w:sz w:val="24"/>
          <w:szCs w:val="24"/>
        </w:rPr>
        <w:t>13.2.2因合同一方违约导致合同不能履行，另一方有权解除合同；</w:t>
      </w:r>
    </w:p>
    <w:p>
      <w:pPr>
        <w:spacing w:line="440" w:lineRule="exact"/>
        <w:ind w:firstLine="480" w:firstLineChars="200"/>
        <w:jc w:val="left"/>
        <w:rPr>
          <w:kern w:val="0"/>
          <w:sz w:val="24"/>
          <w:szCs w:val="24"/>
        </w:rPr>
      </w:pPr>
      <w:r>
        <w:rPr>
          <w:kern w:val="0"/>
          <w:sz w:val="24"/>
          <w:szCs w:val="24"/>
        </w:rPr>
        <w:t>13.2.3有权解除合同的一方，应当在违约事实或不可抗力发生之后三十天内书面通知对方以主张解除合同，合同在书面通知到达对方时解除。</w:t>
      </w:r>
    </w:p>
    <w:p>
      <w:pPr>
        <w:spacing w:line="440" w:lineRule="exact"/>
        <w:ind w:firstLine="480" w:firstLineChars="200"/>
        <w:jc w:val="left"/>
        <w:rPr>
          <w:kern w:val="0"/>
          <w:sz w:val="24"/>
          <w:szCs w:val="24"/>
        </w:rPr>
      </w:pPr>
      <w:r>
        <w:rPr>
          <w:kern w:val="0"/>
          <w:sz w:val="24"/>
          <w:szCs w:val="24"/>
        </w:rPr>
        <w:t>13.3合同的部分和全部都不得转让。</w:t>
      </w:r>
    </w:p>
    <w:p>
      <w:pPr>
        <w:snapToGrid w:val="0"/>
        <w:spacing w:line="440" w:lineRule="exact"/>
        <w:ind w:firstLine="480" w:firstLineChars="200"/>
        <w:jc w:val="left"/>
        <w:rPr>
          <w:sz w:val="24"/>
          <w:szCs w:val="24"/>
        </w:rPr>
      </w:pPr>
      <w:r>
        <w:rPr>
          <w:sz w:val="24"/>
          <w:szCs w:val="24"/>
        </w:rPr>
        <w:t>十四、合同的生效及备案</w:t>
      </w:r>
    </w:p>
    <w:p>
      <w:pPr>
        <w:snapToGrid w:val="0"/>
        <w:spacing w:line="440" w:lineRule="exact"/>
        <w:ind w:firstLine="480" w:firstLineChars="200"/>
        <w:jc w:val="left"/>
        <w:rPr>
          <w:sz w:val="24"/>
          <w:szCs w:val="24"/>
        </w:rPr>
      </w:pPr>
      <w:r>
        <w:rPr>
          <w:sz w:val="24"/>
          <w:szCs w:val="24"/>
        </w:rPr>
        <w:t xml:space="preserve">本合同在乙方按规定缴纳了履约保证金且甲乙双方签字盖章后即生效。  </w:t>
      </w:r>
    </w:p>
    <w:p>
      <w:pPr>
        <w:spacing w:line="440" w:lineRule="exact"/>
        <w:ind w:firstLine="480" w:firstLineChars="200"/>
        <w:jc w:val="left"/>
        <w:rPr>
          <w:kern w:val="0"/>
          <w:sz w:val="24"/>
          <w:szCs w:val="24"/>
        </w:rPr>
      </w:pPr>
      <w:r>
        <w:rPr>
          <w:kern w:val="0"/>
          <w:sz w:val="24"/>
          <w:szCs w:val="24"/>
        </w:rPr>
        <w:t>十五、争议的解决</w:t>
      </w:r>
    </w:p>
    <w:p>
      <w:pPr>
        <w:snapToGrid w:val="0"/>
        <w:spacing w:line="440" w:lineRule="exact"/>
        <w:ind w:firstLine="480" w:firstLineChars="200"/>
        <w:jc w:val="left"/>
        <w:rPr>
          <w:sz w:val="24"/>
          <w:szCs w:val="24"/>
        </w:rPr>
      </w:pPr>
      <w:r>
        <w:rPr>
          <w:sz w:val="24"/>
          <w:szCs w:val="24"/>
        </w:rPr>
        <w:t>甲乙双方因合同发生争议，应在采购单位的主持下进行调解，协商不成，任何一方可以向南通仲裁委员会申请仲裁解决。</w:t>
      </w:r>
    </w:p>
    <w:p>
      <w:pPr>
        <w:spacing w:line="440" w:lineRule="exact"/>
        <w:ind w:firstLine="480" w:firstLineChars="200"/>
        <w:jc w:val="left"/>
        <w:rPr>
          <w:kern w:val="0"/>
          <w:sz w:val="24"/>
          <w:szCs w:val="24"/>
        </w:rPr>
      </w:pPr>
      <w:r>
        <w:rPr>
          <w:kern w:val="0"/>
          <w:sz w:val="24"/>
          <w:szCs w:val="24"/>
        </w:rPr>
        <w:t>十六、附则</w:t>
      </w:r>
    </w:p>
    <w:p>
      <w:pPr>
        <w:spacing w:line="440" w:lineRule="exact"/>
        <w:ind w:firstLine="480" w:firstLineChars="200"/>
        <w:jc w:val="left"/>
        <w:rPr>
          <w:b/>
          <w:kern w:val="0"/>
          <w:sz w:val="24"/>
          <w:szCs w:val="24"/>
        </w:rPr>
      </w:pPr>
      <w:r>
        <w:rPr>
          <w:kern w:val="0"/>
          <w:sz w:val="24"/>
          <w:szCs w:val="24"/>
        </w:rPr>
        <w:t>16.1合同份数：本合同一式</w:t>
      </w:r>
      <w:r>
        <w:rPr>
          <w:rFonts w:hint="eastAsia"/>
          <w:kern w:val="0"/>
          <w:sz w:val="24"/>
          <w:szCs w:val="24"/>
        </w:rPr>
        <w:t>四</w:t>
      </w:r>
      <w:r>
        <w:rPr>
          <w:kern w:val="0"/>
          <w:sz w:val="24"/>
          <w:szCs w:val="24"/>
        </w:rPr>
        <w:t>份，</w:t>
      </w:r>
      <w:r>
        <w:rPr>
          <w:rFonts w:hint="eastAsia"/>
          <w:kern w:val="0"/>
          <w:sz w:val="24"/>
          <w:szCs w:val="24"/>
        </w:rPr>
        <w:t>采购单位</w:t>
      </w:r>
      <w:r>
        <w:rPr>
          <w:kern w:val="0"/>
          <w:sz w:val="24"/>
          <w:szCs w:val="24"/>
        </w:rPr>
        <w:t>、供应商各</w:t>
      </w:r>
      <w:r>
        <w:rPr>
          <w:rFonts w:hint="eastAsia"/>
          <w:kern w:val="0"/>
          <w:sz w:val="24"/>
          <w:szCs w:val="24"/>
        </w:rPr>
        <w:t>贰</w:t>
      </w:r>
      <w:r>
        <w:rPr>
          <w:kern w:val="0"/>
          <w:sz w:val="24"/>
          <w:szCs w:val="24"/>
        </w:rPr>
        <w:t>份。</w:t>
      </w:r>
    </w:p>
    <w:p>
      <w:pPr>
        <w:spacing w:line="440" w:lineRule="exact"/>
        <w:ind w:firstLine="480" w:firstLineChars="200"/>
        <w:jc w:val="left"/>
        <w:rPr>
          <w:kern w:val="0"/>
          <w:sz w:val="24"/>
          <w:szCs w:val="24"/>
        </w:rPr>
      </w:pPr>
      <w:r>
        <w:rPr>
          <w:kern w:val="0"/>
          <w:sz w:val="24"/>
          <w:szCs w:val="24"/>
        </w:rPr>
        <w:t>16.2本合同文件使用中文书写、解释和说明。</w:t>
      </w:r>
    </w:p>
    <w:p>
      <w:pPr>
        <w:spacing w:line="440" w:lineRule="exact"/>
        <w:ind w:firstLine="480" w:firstLineChars="200"/>
        <w:jc w:val="left"/>
        <w:rPr>
          <w:kern w:val="0"/>
          <w:sz w:val="24"/>
          <w:szCs w:val="24"/>
        </w:rPr>
      </w:pPr>
      <w:r>
        <w:rPr>
          <w:kern w:val="0"/>
          <w:sz w:val="24"/>
          <w:szCs w:val="24"/>
        </w:rPr>
        <w:t>16.3</w:t>
      </w:r>
      <w:r>
        <w:rPr>
          <w:sz w:val="24"/>
          <w:szCs w:val="24"/>
        </w:rPr>
        <w:t>本合同履行过程中产生的纪要、协议以及成交通知书、响应文件和询价文件为本合同的附件，与合同具有同等效力。</w:t>
      </w:r>
    </w:p>
    <w:p>
      <w:pPr>
        <w:spacing w:line="440" w:lineRule="exact"/>
        <w:ind w:firstLine="480" w:firstLineChars="200"/>
        <w:jc w:val="left"/>
        <w:rPr>
          <w:kern w:val="0"/>
          <w:sz w:val="24"/>
          <w:szCs w:val="24"/>
        </w:rPr>
      </w:pPr>
      <w:r>
        <w:rPr>
          <w:kern w:val="0"/>
          <w:sz w:val="24"/>
          <w:szCs w:val="24"/>
        </w:rPr>
        <w:t>16.4未尽事宜</w:t>
      </w:r>
    </w:p>
    <w:p>
      <w:pPr>
        <w:spacing w:line="440" w:lineRule="exact"/>
        <w:ind w:firstLine="480" w:firstLineChars="200"/>
        <w:jc w:val="left"/>
        <w:rPr>
          <w:kern w:val="0"/>
          <w:sz w:val="24"/>
          <w:szCs w:val="24"/>
        </w:rPr>
      </w:pPr>
      <w:r>
        <w:rPr>
          <w:kern w:val="0"/>
          <w:sz w:val="24"/>
          <w:szCs w:val="24"/>
        </w:rPr>
        <w:t>本合同未尽事宜应按照《中华人民共和国</w:t>
      </w:r>
      <w:r>
        <w:rPr>
          <w:rFonts w:hint="eastAsia"/>
          <w:kern w:val="0"/>
          <w:sz w:val="24"/>
          <w:szCs w:val="24"/>
        </w:rPr>
        <w:t>民法典</w:t>
      </w:r>
      <w:r>
        <w:rPr>
          <w:kern w:val="0"/>
          <w:sz w:val="24"/>
          <w:szCs w:val="24"/>
        </w:rPr>
        <w:t>》、《中华人民共和国产品质量法》及其相关配套法律法规之规定解释。</w:t>
      </w:r>
    </w:p>
    <w:p>
      <w:pPr>
        <w:spacing w:line="440" w:lineRule="exact"/>
        <w:ind w:firstLine="480" w:firstLineChars="200"/>
        <w:jc w:val="left"/>
        <w:rPr>
          <w:kern w:val="0"/>
          <w:sz w:val="24"/>
          <w:szCs w:val="24"/>
        </w:rPr>
      </w:pPr>
    </w:p>
    <w:p>
      <w:pPr>
        <w:spacing w:line="440" w:lineRule="exact"/>
        <w:ind w:firstLine="480" w:firstLineChars="200"/>
        <w:jc w:val="left"/>
        <w:rPr>
          <w:kern w:val="0"/>
          <w:sz w:val="24"/>
          <w:szCs w:val="24"/>
        </w:rPr>
      </w:pPr>
      <w:r>
        <w:rPr>
          <w:kern w:val="0"/>
          <w:sz w:val="24"/>
          <w:szCs w:val="24"/>
        </w:rPr>
        <w:t>采购单位（或甲方）：             成交供应商（或乙方）：</w:t>
      </w:r>
    </w:p>
    <w:p>
      <w:pPr>
        <w:spacing w:line="440" w:lineRule="exact"/>
        <w:ind w:firstLine="480" w:firstLineChars="200"/>
        <w:jc w:val="left"/>
        <w:rPr>
          <w:kern w:val="0"/>
          <w:sz w:val="24"/>
          <w:szCs w:val="24"/>
        </w:rPr>
      </w:pPr>
      <w:r>
        <w:rPr>
          <w:kern w:val="0"/>
          <w:sz w:val="24"/>
          <w:szCs w:val="24"/>
        </w:rPr>
        <w:t>法定代表人：                     法定代表人：</w:t>
      </w:r>
    </w:p>
    <w:p>
      <w:pPr>
        <w:spacing w:line="440" w:lineRule="exact"/>
        <w:ind w:firstLine="480" w:firstLineChars="200"/>
        <w:jc w:val="left"/>
        <w:rPr>
          <w:kern w:val="0"/>
          <w:sz w:val="24"/>
          <w:szCs w:val="24"/>
        </w:rPr>
      </w:pPr>
      <w:r>
        <w:rPr>
          <w:kern w:val="0"/>
          <w:sz w:val="24"/>
          <w:szCs w:val="24"/>
        </w:rPr>
        <w:t>委托代理人：                     委托代理人：</w:t>
      </w:r>
    </w:p>
    <w:p>
      <w:pPr>
        <w:pStyle w:val="2"/>
        <w:keepNext w:val="0"/>
        <w:keepLines w:val="0"/>
        <w:adjustRightInd w:val="0"/>
        <w:snapToGrid w:val="0"/>
        <w:spacing w:before="0" w:after="0" w:line="440" w:lineRule="exact"/>
        <w:ind w:firstLine="384" w:firstLineChars="200"/>
        <w:jc w:val="center"/>
        <w:textAlignment w:val="baseline"/>
        <w:rPr>
          <w:sz w:val="24"/>
          <w:szCs w:val="24"/>
        </w:rPr>
      </w:pPr>
      <w:r>
        <w:rPr>
          <w:rFonts w:eastAsia="宋体"/>
          <w:b w:val="0"/>
          <w:bCs w:val="0"/>
          <w:w w:val="80"/>
          <w:sz w:val="24"/>
          <w:szCs w:val="24"/>
        </w:rPr>
        <w:br w:type="page"/>
      </w:r>
      <w:r>
        <w:rPr>
          <w:rFonts w:eastAsia="宋体"/>
          <w:w w:val="80"/>
          <w:sz w:val="32"/>
          <w:szCs w:val="32"/>
        </w:rPr>
        <w:t>第五章  质疑提出和处理</w:t>
      </w:r>
    </w:p>
    <w:p>
      <w:pPr>
        <w:snapToGrid w:val="0"/>
        <w:spacing w:line="440" w:lineRule="exact"/>
        <w:ind w:firstLine="480" w:firstLineChars="200"/>
        <w:jc w:val="left"/>
        <w:rPr>
          <w:sz w:val="24"/>
          <w:szCs w:val="24"/>
        </w:rPr>
      </w:pPr>
      <w:r>
        <w:rPr>
          <w:sz w:val="24"/>
          <w:szCs w:val="24"/>
        </w:rPr>
        <w:t>一、质疑的提出</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质疑人必须是直接参加本次询价活动的当事人。</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 xml:space="preserve">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440" w:lineRule="exact"/>
        <w:ind w:firstLine="480" w:firstLineChars="200"/>
        <w:jc w:val="left"/>
        <w:rPr>
          <w:sz w:val="24"/>
          <w:szCs w:val="24"/>
        </w:rPr>
      </w:pPr>
      <w:r>
        <w:rPr>
          <w:sz w:val="24"/>
          <w:szCs w:val="24"/>
        </w:rPr>
        <w:t>对不能提供相关佐证材料的、涉及商业秘密的、非书面形式的、非送达的、匿名的《质疑函》将不予受理。</w:t>
      </w:r>
    </w:p>
    <w:p>
      <w:pPr>
        <w:snapToGrid w:val="0"/>
        <w:spacing w:line="440" w:lineRule="exact"/>
        <w:ind w:firstLine="480" w:firstLineChars="200"/>
        <w:jc w:val="left"/>
        <w:rPr>
          <w:sz w:val="24"/>
          <w:szCs w:val="24"/>
        </w:rPr>
      </w:pPr>
      <w:r>
        <w:rPr>
          <w:sz w:val="24"/>
          <w:szCs w:val="24"/>
        </w:rPr>
        <w:t>相关佐证材料要具备客观性、关联性、合法性，无法查实的（如宣传册、媒体报道、猜测、推理等）不能作为佐证材料。</w:t>
      </w:r>
    </w:p>
    <w:p>
      <w:pPr>
        <w:snapToGrid w:val="0"/>
        <w:spacing w:line="440" w:lineRule="exact"/>
        <w:ind w:firstLine="480" w:firstLineChars="200"/>
        <w:jc w:val="left"/>
        <w:rPr>
          <w:sz w:val="24"/>
          <w:szCs w:val="24"/>
        </w:rPr>
      </w:pPr>
      <w:r>
        <w:rPr>
          <w:sz w:val="24"/>
          <w:szCs w:val="24"/>
        </w:rPr>
        <w:t>采购单位不负责搜集相关佐证材料等工作。</w:t>
      </w:r>
    </w:p>
    <w:p>
      <w:pPr>
        <w:snapToGrid w:val="0"/>
        <w:spacing w:line="440" w:lineRule="exact"/>
        <w:ind w:firstLine="480" w:firstLineChars="200"/>
        <w:jc w:val="left"/>
        <w:rPr>
          <w:sz w:val="24"/>
          <w:szCs w:val="24"/>
        </w:rPr>
      </w:pPr>
      <w:r>
        <w:rPr>
          <w:sz w:val="24"/>
          <w:szCs w:val="24"/>
        </w:rPr>
        <w:t>二、《质疑函》的受理和回复</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《质疑函》须由质疑人的法定代表人或参加本次询价授权人送达采购单位。</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440" w:lineRule="exact"/>
        <w:ind w:firstLine="480" w:firstLineChars="200"/>
        <w:jc w:val="left"/>
        <w:rPr>
          <w:sz w:val="24"/>
          <w:szCs w:val="24"/>
        </w:rPr>
      </w:pPr>
      <w:r>
        <w:rPr>
          <w:sz w:val="24"/>
          <w:szCs w:val="24"/>
        </w:rPr>
        <w:t>3</w:t>
      </w:r>
      <w:r>
        <w:rPr>
          <w:rFonts w:hint="eastAsia" w:asciiTheme="minorEastAsia" w:hAnsiTheme="minorEastAsia" w:eastAsiaTheme="minorEastAsia" w:cstheme="minorEastAsia"/>
          <w:sz w:val="24"/>
          <w:szCs w:val="24"/>
        </w:rPr>
        <w:t>.</w:t>
      </w:r>
      <w:r>
        <w:rPr>
          <w:sz w:val="24"/>
          <w:szCs w:val="24"/>
        </w:rPr>
        <w:t>对不符合提出质疑要求的，出具《质疑退回通知书》并提出相关补充材料要求，质疑人未在规定的时间内提供补充佐证材料的，视同放弃质疑。</w:t>
      </w:r>
    </w:p>
    <w:p>
      <w:pPr>
        <w:snapToGrid w:val="0"/>
        <w:spacing w:line="440" w:lineRule="exact"/>
        <w:ind w:firstLine="480" w:firstLineChars="200"/>
        <w:jc w:val="left"/>
        <w:rPr>
          <w:sz w:val="24"/>
          <w:szCs w:val="24"/>
        </w:rPr>
      </w:pPr>
      <w:r>
        <w:rPr>
          <w:sz w:val="24"/>
          <w:szCs w:val="24"/>
        </w:rPr>
        <w:t>4</w:t>
      </w:r>
      <w:r>
        <w:rPr>
          <w:rFonts w:hint="eastAsia" w:asciiTheme="minorEastAsia" w:hAnsiTheme="minorEastAsia" w:eastAsiaTheme="minorEastAsia" w:cstheme="minorEastAsia"/>
          <w:sz w:val="24"/>
          <w:szCs w:val="24"/>
        </w:rPr>
        <w:t>.</w:t>
      </w:r>
      <w:r>
        <w:rPr>
          <w:sz w:val="24"/>
          <w:szCs w:val="24"/>
        </w:rPr>
        <w:t>采购单位负责将质疑人提出的质疑相关材料提供给相关专家或询价小组审核，并将审核意见回复质疑人。</w:t>
      </w:r>
    </w:p>
    <w:p>
      <w:pPr>
        <w:snapToGrid w:val="0"/>
        <w:spacing w:line="440" w:lineRule="exact"/>
        <w:ind w:firstLine="480" w:firstLineChars="200"/>
        <w:jc w:val="left"/>
        <w:rPr>
          <w:sz w:val="24"/>
          <w:szCs w:val="24"/>
        </w:rPr>
      </w:pPr>
      <w:r>
        <w:rPr>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440" w:lineRule="exact"/>
        <w:ind w:firstLine="480" w:firstLineChars="200"/>
        <w:jc w:val="left"/>
        <w:rPr>
          <w:sz w:val="24"/>
          <w:szCs w:val="24"/>
        </w:rPr>
      </w:pPr>
      <w:r>
        <w:rPr>
          <w:sz w:val="24"/>
          <w:szCs w:val="24"/>
        </w:rPr>
        <w:t>5</w:t>
      </w:r>
      <w:r>
        <w:rPr>
          <w:rFonts w:hint="eastAsia" w:asciiTheme="minorEastAsia" w:hAnsiTheme="minorEastAsia" w:eastAsiaTheme="minorEastAsia" w:cstheme="minorEastAsia"/>
          <w:sz w:val="24"/>
          <w:szCs w:val="24"/>
        </w:rPr>
        <w:t>.</w:t>
      </w:r>
      <w:r>
        <w:rPr>
          <w:sz w:val="24"/>
          <w:szCs w:val="24"/>
        </w:rPr>
        <w:t>因质疑情况复杂，组织论证或审查时间较长的，采购单位以书面形式通知质疑人，可适当延长质疑回复处理时间。</w:t>
      </w:r>
    </w:p>
    <w:p>
      <w:pPr>
        <w:snapToGrid w:val="0"/>
        <w:spacing w:line="440" w:lineRule="exact"/>
        <w:ind w:firstLine="480" w:firstLineChars="200"/>
        <w:jc w:val="left"/>
        <w:rPr>
          <w:sz w:val="24"/>
          <w:szCs w:val="24"/>
        </w:rPr>
      </w:pPr>
      <w:r>
        <w:rPr>
          <w:sz w:val="24"/>
          <w:szCs w:val="24"/>
        </w:rPr>
        <w:t>三、质疑处理</w:t>
      </w:r>
    </w:p>
    <w:p>
      <w:pPr>
        <w:snapToGrid w:val="0"/>
        <w:spacing w:line="440" w:lineRule="exact"/>
        <w:ind w:firstLine="480" w:firstLineChars="200"/>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质疑成立的处理。采购单位终止采购，并建议有关部门给相关当事人予以处理。</w:t>
      </w:r>
    </w:p>
    <w:p>
      <w:pPr>
        <w:snapToGrid w:val="0"/>
        <w:spacing w:line="440" w:lineRule="exact"/>
        <w:ind w:firstLine="480" w:firstLineChars="200"/>
        <w:jc w:val="left"/>
        <w:rPr>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质疑不成立的处理。</w:t>
      </w:r>
    </w:p>
    <w:p>
      <w:pPr>
        <w:snapToGrid w:val="0"/>
        <w:spacing w:line="440" w:lineRule="exact"/>
        <w:ind w:firstLine="480" w:firstLineChars="200"/>
        <w:jc w:val="left"/>
        <w:rPr>
          <w:sz w:val="24"/>
          <w:szCs w:val="24"/>
        </w:rPr>
      </w:pPr>
      <w:r>
        <w:rPr>
          <w:rFonts w:hint="eastAsia"/>
          <w:sz w:val="24"/>
          <w:szCs w:val="24"/>
        </w:rPr>
        <w:t>(1)</w:t>
      </w:r>
      <w:r>
        <w:rPr>
          <w:sz w:val="24"/>
          <w:szCs w:val="24"/>
        </w:rPr>
        <w:t>质疑人书面《申请撤回质疑函》的，不作违约处理。</w:t>
      </w:r>
    </w:p>
    <w:p>
      <w:pPr>
        <w:snapToGrid w:val="0"/>
        <w:spacing w:line="440" w:lineRule="exact"/>
        <w:ind w:firstLine="480" w:firstLineChars="200"/>
        <w:jc w:val="left"/>
        <w:rPr>
          <w:sz w:val="24"/>
          <w:szCs w:val="24"/>
        </w:rPr>
      </w:pPr>
      <w:r>
        <w:rPr>
          <w:rFonts w:hint="eastAsia"/>
          <w:sz w:val="24"/>
          <w:szCs w:val="24"/>
        </w:rPr>
        <w:t>(2)</w:t>
      </w:r>
      <w:r>
        <w:rPr>
          <w:sz w:val="24"/>
          <w:szCs w:val="24"/>
        </w:rPr>
        <w:t>质疑人在规定的时间内不配合进行质疑调查处理的，按自动撤回《质疑函》处理。</w:t>
      </w:r>
    </w:p>
    <w:p>
      <w:pPr>
        <w:snapToGrid w:val="0"/>
        <w:spacing w:line="440" w:lineRule="exact"/>
        <w:ind w:firstLine="480" w:firstLineChars="200"/>
        <w:jc w:val="left"/>
        <w:rPr>
          <w:sz w:val="24"/>
          <w:szCs w:val="24"/>
        </w:rPr>
      </w:pPr>
      <w:r>
        <w:rPr>
          <w:rFonts w:hint="eastAsia"/>
          <w:sz w:val="24"/>
          <w:szCs w:val="24"/>
        </w:rPr>
        <w:t>(3)</w:t>
      </w:r>
      <w:r>
        <w:rPr>
          <w:sz w:val="24"/>
          <w:szCs w:val="24"/>
        </w:rPr>
        <w:t>质疑人不按《质疑函》格式就提出质疑的，作违约处理。同时，视情列入不良供应商名单。</w:t>
      </w:r>
    </w:p>
    <w:p>
      <w:pPr>
        <w:snapToGrid w:val="0"/>
        <w:spacing w:line="440" w:lineRule="exact"/>
        <w:ind w:firstLine="480" w:firstLineChars="200"/>
        <w:jc w:val="left"/>
        <w:rPr>
          <w:sz w:val="24"/>
          <w:szCs w:val="24"/>
        </w:rPr>
      </w:pPr>
      <w:r>
        <w:rPr>
          <w:rFonts w:hint="eastAsia"/>
          <w:sz w:val="24"/>
          <w:szCs w:val="24"/>
        </w:rPr>
        <w:t>(4)</w:t>
      </w:r>
      <w:r>
        <w:rPr>
          <w:sz w:val="24"/>
          <w:szCs w:val="24"/>
        </w:rPr>
        <w:t>质疑人虽提供了相关佐证材料，但不能证明其质疑成立的，采购单位请质疑人补充相关佐证材料，仍不能证明其质疑成立的，作违约处理。并将其列入不良供应商名单。</w:t>
      </w:r>
    </w:p>
    <w:p>
      <w:pPr>
        <w:snapToGrid w:val="0"/>
        <w:spacing w:line="440" w:lineRule="exact"/>
        <w:ind w:firstLine="480" w:firstLineChars="200"/>
        <w:jc w:val="left"/>
        <w:rPr>
          <w:sz w:val="24"/>
          <w:szCs w:val="24"/>
        </w:rPr>
      </w:pPr>
      <w:r>
        <w:rPr>
          <w:rFonts w:hint="eastAsia"/>
          <w:sz w:val="24"/>
          <w:szCs w:val="24"/>
        </w:rPr>
        <w:t>(5)</w:t>
      </w:r>
      <w:r>
        <w:rPr>
          <w:sz w:val="24"/>
          <w:szCs w:val="24"/>
        </w:rPr>
        <w:t>质疑人不能提供相关佐证材料的，采购单位已指出，质疑人仍然坚持提出质疑的，作违约处理。同时，列入不良供应商名单。</w:t>
      </w:r>
    </w:p>
    <w:p>
      <w:pPr>
        <w:snapToGrid w:val="0"/>
        <w:spacing w:line="440" w:lineRule="exact"/>
        <w:ind w:firstLine="480" w:firstLineChars="200"/>
        <w:jc w:val="left"/>
        <w:rPr>
          <w:sz w:val="24"/>
          <w:szCs w:val="24"/>
        </w:rPr>
      </w:pPr>
      <w:r>
        <w:rPr>
          <w:rFonts w:hint="eastAsia"/>
          <w:sz w:val="24"/>
          <w:szCs w:val="24"/>
        </w:rPr>
        <w:t>(6)</w:t>
      </w:r>
      <w:r>
        <w:rPr>
          <w:sz w:val="24"/>
          <w:szCs w:val="24"/>
        </w:rPr>
        <w:t>对明显有违事实的、经相关专家或询价小组认定无依据的、经其他供应商举证无依据的质疑，作违约处理，列入不良供应商名单；同时，对其中每一项不成立的质疑给予质疑人1年内禁入本区域内的采购活动的违约处理，依次类推；视情在</w:t>
      </w:r>
      <w:r>
        <w:rPr>
          <w:rFonts w:hint="eastAsia"/>
          <w:sz w:val="24"/>
          <w:szCs w:val="24"/>
        </w:rPr>
        <w:t>本</w:t>
      </w:r>
      <w:r>
        <w:rPr>
          <w:sz w:val="24"/>
          <w:szCs w:val="24"/>
        </w:rPr>
        <w:t>区人民政府网、市、省、国家级相关媒体予以披露。</w:t>
      </w:r>
    </w:p>
    <w:p>
      <w:pPr>
        <w:snapToGrid w:val="0"/>
        <w:spacing w:line="440" w:lineRule="exact"/>
        <w:ind w:firstLine="480" w:firstLineChars="200"/>
        <w:jc w:val="left"/>
        <w:rPr>
          <w:sz w:val="24"/>
          <w:szCs w:val="24"/>
        </w:rPr>
      </w:pPr>
      <w:r>
        <w:rPr>
          <w:rFonts w:hint="eastAsia"/>
          <w:sz w:val="24"/>
          <w:szCs w:val="24"/>
        </w:rPr>
        <w:t>(7)</w:t>
      </w:r>
      <w:r>
        <w:rPr>
          <w:sz w:val="24"/>
          <w:szCs w:val="24"/>
        </w:rPr>
        <w:t>质疑人承担使用虚假材料或恶意方式质疑的法律责任。</w:t>
      </w:r>
    </w:p>
    <w:p>
      <w:pPr>
        <w:snapToGrid w:val="0"/>
        <w:spacing w:line="440" w:lineRule="exact"/>
        <w:ind w:firstLine="480" w:firstLineChars="200"/>
        <w:jc w:val="left"/>
        <w:rPr>
          <w:sz w:val="24"/>
          <w:szCs w:val="24"/>
        </w:rPr>
      </w:pPr>
      <w:r>
        <w:rPr>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采购活动的违约处理。</w:t>
      </w:r>
    </w:p>
    <w:p>
      <w:pPr>
        <w:snapToGrid w:val="0"/>
        <w:spacing w:line="440" w:lineRule="exact"/>
        <w:ind w:firstLine="480" w:firstLineChars="200"/>
        <w:jc w:val="left"/>
        <w:rPr>
          <w:sz w:val="24"/>
          <w:szCs w:val="24"/>
        </w:rPr>
      </w:pPr>
      <w:r>
        <w:rPr>
          <w:sz w:val="24"/>
          <w:szCs w:val="24"/>
        </w:rPr>
        <w:t>五、投诉不成立的作违约处理。供应商进行质疑后，采购单位回复质疑不成立，供应商仍进行投诉的，并最终投诉不成立的，作违约处理。采购单位有权对其在1至3年内禁入由采购单位组织的采购活动的违约处理。</w:t>
      </w:r>
    </w:p>
    <w:p>
      <w:pPr>
        <w:snapToGrid w:val="0"/>
        <w:spacing w:line="440" w:lineRule="exact"/>
        <w:ind w:firstLine="480" w:firstLineChars="200"/>
        <w:jc w:val="left"/>
        <w:rPr>
          <w:sz w:val="24"/>
          <w:szCs w:val="24"/>
        </w:rPr>
      </w:pPr>
      <w:r>
        <w:rPr>
          <w:sz w:val="24"/>
          <w:szCs w:val="24"/>
        </w:rPr>
        <w:t>六、《质疑函》、《质疑回复函》，质疑、举报、投诉不成立的等相关情况，视情在</w:t>
      </w:r>
      <w:r>
        <w:rPr>
          <w:rFonts w:hint="eastAsia"/>
          <w:sz w:val="24"/>
          <w:szCs w:val="24"/>
        </w:rPr>
        <w:t>本</w:t>
      </w:r>
      <w:r>
        <w:rPr>
          <w:sz w:val="24"/>
          <w:szCs w:val="24"/>
        </w:rPr>
        <w:t>区人民政府网、市、省、国家级相关媒体予以披露。并建议相关采购机构对该供应商同步实施1至3年内禁入。</w:t>
      </w:r>
    </w:p>
    <w:p>
      <w:pPr>
        <w:pStyle w:val="14"/>
        <w:spacing w:after="0" w:line="440" w:lineRule="exact"/>
        <w:ind w:left="0" w:leftChars="0" w:firstLine="480"/>
        <w:rPr>
          <w:sz w:val="24"/>
        </w:rPr>
      </w:pPr>
      <w:r>
        <w:rPr>
          <w:sz w:val="24"/>
        </w:rPr>
        <w:t>七、质疑供应商对采购单位或代理机构的答复不满意或者采购单位或代理机构未在规定的时间内作出答复的，可以在答复期满后15个工作日内向采购监督管理部门投诉。</w:t>
      </w:r>
    </w:p>
    <w:p>
      <w:pPr>
        <w:pStyle w:val="14"/>
        <w:spacing w:after="0" w:line="440" w:lineRule="exact"/>
        <w:ind w:left="0" w:leftChars="0" w:firstLine="480"/>
        <w:rPr>
          <w:sz w:val="24"/>
        </w:rPr>
      </w:pPr>
    </w:p>
    <w:p>
      <w:pPr>
        <w:pStyle w:val="14"/>
        <w:spacing w:after="0" w:line="440" w:lineRule="exact"/>
        <w:ind w:left="0" w:leftChars="0" w:firstLine="480"/>
        <w:rPr>
          <w:sz w:val="24"/>
        </w:rPr>
      </w:pPr>
    </w:p>
    <w:p>
      <w:pPr>
        <w:pStyle w:val="2"/>
        <w:keepNext w:val="0"/>
        <w:keepLines w:val="0"/>
        <w:adjustRightInd w:val="0"/>
        <w:snapToGrid w:val="0"/>
        <w:spacing w:before="0" w:after="0" w:line="480" w:lineRule="exact"/>
        <w:jc w:val="center"/>
        <w:textAlignment w:val="baseline"/>
        <w:rPr>
          <w:rFonts w:eastAsia="宋体"/>
          <w:w w:val="80"/>
          <w:sz w:val="32"/>
          <w:szCs w:val="32"/>
        </w:rPr>
      </w:pPr>
      <w:r>
        <w:rPr>
          <w:rFonts w:eastAsia="宋体"/>
          <w:w w:val="80"/>
          <w:sz w:val="32"/>
          <w:szCs w:val="32"/>
        </w:rPr>
        <w:t>第六章  响应文件格式</w:t>
      </w:r>
    </w:p>
    <w:p>
      <w:pPr>
        <w:spacing w:line="480" w:lineRule="exact"/>
        <w:jc w:val="left"/>
      </w:pPr>
    </w:p>
    <w:p>
      <w:pPr>
        <w:widowControl/>
        <w:spacing w:line="480" w:lineRule="exact"/>
        <w:jc w:val="left"/>
        <w:rPr>
          <w:b/>
          <w:bCs/>
          <w:sz w:val="24"/>
          <w:szCs w:val="24"/>
        </w:rPr>
      </w:pPr>
      <w:r>
        <w:rPr>
          <w:b/>
          <w:bCs/>
          <w:sz w:val="24"/>
          <w:szCs w:val="24"/>
        </w:rPr>
        <w:t>一、资格审查文件相关的格式文件及表格</w:t>
      </w:r>
    </w:p>
    <w:p>
      <w:pPr>
        <w:snapToGrid w:val="0"/>
        <w:spacing w:line="480" w:lineRule="exact"/>
        <w:jc w:val="center"/>
        <w:outlineLvl w:val="4"/>
        <w:rPr>
          <w:b/>
          <w:bCs/>
          <w:sz w:val="28"/>
          <w:szCs w:val="28"/>
        </w:rPr>
      </w:pPr>
      <w:r>
        <w:rPr>
          <w:b/>
          <w:bCs/>
          <w:sz w:val="28"/>
          <w:szCs w:val="28"/>
        </w:rPr>
        <w:t>1、法定代表人身份证明</w:t>
      </w:r>
    </w:p>
    <w:p>
      <w:pPr>
        <w:snapToGrid w:val="0"/>
        <w:spacing w:line="480" w:lineRule="exact"/>
        <w:jc w:val="center"/>
        <w:rPr>
          <w:sz w:val="24"/>
          <w:szCs w:val="24"/>
        </w:rPr>
      </w:pPr>
      <w:r>
        <w:rPr>
          <w:sz w:val="24"/>
          <w:szCs w:val="24"/>
        </w:rPr>
        <w:t>（法定代表人参加询价，须出示此证明）</w:t>
      </w:r>
    </w:p>
    <w:p>
      <w:pPr>
        <w:snapToGrid w:val="0"/>
        <w:spacing w:line="480" w:lineRule="exact"/>
        <w:jc w:val="left"/>
        <w:rPr>
          <w:sz w:val="24"/>
          <w:szCs w:val="24"/>
        </w:rPr>
      </w:pPr>
    </w:p>
    <w:p>
      <w:pPr>
        <w:snapToGrid w:val="0"/>
        <w:spacing w:line="480" w:lineRule="exact"/>
        <w:jc w:val="left"/>
        <w:rPr>
          <w:b/>
          <w:bCs/>
          <w:sz w:val="24"/>
          <w:szCs w:val="24"/>
        </w:rPr>
      </w:pPr>
      <w:r>
        <w:rPr>
          <w:rFonts w:hint="eastAsia"/>
          <w:b/>
          <w:bCs/>
          <w:sz w:val="24"/>
          <w:szCs w:val="24"/>
        </w:rPr>
        <w:t>南通市崇川区应急管理局</w:t>
      </w:r>
      <w:r>
        <w:rPr>
          <w:b/>
          <w:bCs/>
          <w:sz w:val="24"/>
          <w:szCs w:val="24"/>
        </w:rPr>
        <w:t>：</w:t>
      </w:r>
    </w:p>
    <w:p>
      <w:pPr>
        <w:snapToGrid w:val="0"/>
        <w:spacing w:line="480" w:lineRule="exact"/>
        <w:ind w:firstLine="480" w:firstLineChars="200"/>
        <w:jc w:val="left"/>
        <w:rPr>
          <w:sz w:val="24"/>
          <w:szCs w:val="24"/>
        </w:rPr>
      </w:pPr>
      <w:r>
        <w:rPr>
          <w:sz w:val="24"/>
          <w:szCs w:val="24"/>
        </w:rPr>
        <w:t>我公司法定代表人</w:t>
      </w:r>
      <w:r>
        <w:rPr>
          <w:sz w:val="24"/>
          <w:szCs w:val="24"/>
          <w:u w:val="single"/>
        </w:rPr>
        <w:t xml:space="preserve">     　   </w:t>
      </w:r>
      <w:r>
        <w:rPr>
          <w:sz w:val="24"/>
          <w:szCs w:val="24"/>
        </w:rPr>
        <w:t>参加贵单位组织的</w:t>
      </w:r>
      <w:r>
        <w:rPr>
          <w:rFonts w:hint="eastAsia"/>
          <w:sz w:val="24"/>
          <w:szCs w:val="24"/>
          <w:u w:val="single"/>
        </w:rPr>
        <w:t xml:space="preserve">             </w:t>
      </w:r>
      <w:r>
        <w:rPr>
          <w:sz w:val="24"/>
          <w:szCs w:val="24"/>
        </w:rPr>
        <w:t>（询价项目名称)项目询价活动，全权代表我公司处理该询价活动的有关事宜。</w:t>
      </w:r>
    </w:p>
    <w:p>
      <w:pPr>
        <w:snapToGrid w:val="0"/>
        <w:spacing w:line="480" w:lineRule="exact"/>
        <w:jc w:val="left"/>
        <w:rPr>
          <w:sz w:val="24"/>
          <w:szCs w:val="24"/>
        </w:rPr>
      </w:pPr>
    </w:p>
    <w:p>
      <w:pPr>
        <w:snapToGrid w:val="0"/>
        <w:spacing w:line="480" w:lineRule="exact"/>
        <w:jc w:val="left"/>
        <w:rPr>
          <w:sz w:val="24"/>
          <w:szCs w:val="24"/>
        </w:rPr>
      </w:pPr>
      <w:r>
        <w:rPr>
          <w:sz w:val="24"/>
          <w:szCs w:val="24"/>
        </w:rPr>
        <w:t>附：法定代表人情况：</w:t>
      </w:r>
    </w:p>
    <w:p>
      <w:pPr>
        <w:snapToGrid w:val="0"/>
        <w:spacing w:line="480" w:lineRule="exact"/>
        <w:jc w:val="left"/>
        <w:rPr>
          <w:sz w:val="24"/>
          <w:szCs w:val="24"/>
          <w:u w:val="single"/>
        </w:rPr>
      </w:pPr>
      <w:r>
        <w:rPr>
          <w:sz w:val="24"/>
          <w:szCs w:val="24"/>
        </w:rPr>
        <w:t>姓名：</w:t>
      </w:r>
      <w:r>
        <w:rPr>
          <w:rFonts w:hint="eastAsia"/>
          <w:sz w:val="24"/>
          <w:szCs w:val="24"/>
        </w:rPr>
        <w:t xml:space="preserve">           </w:t>
      </w:r>
      <w:r>
        <w:rPr>
          <w:sz w:val="24"/>
          <w:szCs w:val="24"/>
        </w:rPr>
        <w:t>性别：</w:t>
      </w:r>
      <w:r>
        <w:rPr>
          <w:rFonts w:hint="eastAsia"/>
          <w:sz w:val="24"/>
          <w:szCs w:val="24"/>
        </w:rPr>
        <w:t xml:space="preserve">      </w:t>
      </w:r>
      <w:r>
        <w:rPr>
          <w:sz w:val="24"/>
          <w:szCs w:val="24"/>
        </w:rPr>
        <w:t>年龄：</w:t>
      </w:r>
      <w:r>
        <w:rPr>
          <w:rFonts w:hint="eastAsia"/>
          <w:sz w:val="24"/>
          <w:szCs w:val="24"/>
        </w:rPr>
        <w:t xml:space="preserve">       </w:t>
      </w:r>
      <w:r>
        <w:rPr>
          <w:sz w:val="24"/>
          <w:szCs w:val="24"/>
        </w:rPr>
        <w:t>职务：</w:t>
      </w:r>
    </w:p>
    <w:p>
      <w:pPr>
        <w:snapToGrid w:val="0"/>
        <w:spacing w:line="480" w:lineRule="exact"/>
        <w:jc w:val="left"/>
        <w:rPr>
          <w:sz w:val="24"/>
          <w:szCs w:val="24"/>
        </w:rPr>
      </w:pPr>
      <w:r>
        <w:rPr>
          <w:sz w:val="24"/>
          <w:szCs w:val="24"/>
        </w:rPr>
        <w:t>身份证号码：</w:t>
      </w:r>
    </w:p>
    <w:p>
      <w:pPr>
        <w:snapToGrid w:val="0"/>
        <w:spacing w:line="480" w:lineRule="exact"/>
        <w:jc w:val="left"/>
        <w:rPr>
          <w:sz w:val="24"/>
          <w:szCs w:val="24"/>
        </w:rPr>
      </w:pPr>
      <w:r>
        <w:rPr>
          <w:sz w:val="24"/>
          <w:szCs w:val="24"/>
        </w:rPr>
        <w:t>手机：</w:t>
      </w:r>
      <w:r>
        <w:rPr>
          <w:rFonts w:hint="eastAsia"/>
          <w:sz w:val="24"/>
          <w:szCs w:val="24"/>
        </w:rPr>
        <w:t xml:space="preserve">          </w:t>
      </w:r>
      <w:r>
        <w:rPr>
          <w:sz w:val="24"/>
          <w:szCs w:val="24"/>
        </w:rPr>
        <w:t>传真：</w:t>
      </w:r>
    </w:p>
    <w:p>
      <w:pPr>
        <w:snapToGrid w:val="0"/>
        <w:spacing w:line="480" w:lineRule="exact"/>
        <w:jc w:val="left"/>
        <w:rPr>
          <w:sz w:val="24"/>
          <w:szCs w:val="24"/>
        </w:rPr>
      </w:pPr>
    </w:p>
    <w:p>
      <w:pPr>
        <w:snapToGrid w:val="0"/>
        <w:spacing w:line="480" w:lineRule="exact"/>
        <w:jc w:val="left"/>
        <w:rPr>
          <w:sz w:val="24"/>
          <w:szCs w:val="24"/>
        </w:rPr>
      </w:pPr>
      <w:r>
        <w:rPr>
          <w:sz w:val="24"/>
          <w:szCs w:val="24"/>
        </w:rPr>
        <w:t> </w:t>
      </w:r>
    </w:p>
    <w:p>
      <w:pPr>
        <w:snapToGrid w:val="0"/>
        <w:spacing w:line="480" w:lineRule="exact"/>
        <w:jc w:val="left"/>
        <w:rPr>
          <w:sz w:val="24"/>
          <w:szCs w:val="24"/>
        </w:rPr>
      </w:pP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left"/>
        <w:rPr>
          <w:sz w:val="24"/>
          <w:szCs w:val="24"/>
        </w:rPr>
      </w:pPr>
    </w:p>
    <w:p>
      <w:pPr>
        <w:snapToGrid w:val="0"/>
        <w:spacing w:line="480" w:lineRule="exact"/>
        <w:jc w:val="left"/>
        <w:rPr>
          <w:sz w:val="24"/>
          <w:szCs w:val="24"/>
        </w:rPr>
      </w:pPr>
    </w:p>
    <w:p>
      <w:pPr>
        <w:snapToGrid w:val="0"/>
        <w:spacing w:line="480" w:lineRule="exact"/>
        <w:ind w:firstLine="3120" w:firstLineChars="1300"/>
        <w:jc w:val="left"/>
        <w:rPr>
          <w:sz w:val="24"/>
          <w:szCs w:val="24"/>
        </w:rPr>
      </w:pPr>
      <w:r>
        <w:rPr>
          <w:sz w:val="24"/>
          <w:szCs w:val="24"/>
        </w:rPr>
        <w:t>（粘贴此处）</w:t>
      </w: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p>
    <w:p>
      <w:pPr>
        <w:snapToGrid w:val="0"/>
        <w:spacing w:line="480" w:lineRule="exact"/>
        <w:ind w:firstLine="482" w:firstLineChars="200"/>
        <w:jc w:val="left"/>
        <w:rPr>
          <w:b/>
          <w:bCs/>
          <w:sz w:val="24"/>
          <w:szCs w:val="24"/>
        </w:rPr>
      </w:pPr>
      <w:r>
        <w:rPr>
          <w:b/>
          <w:bCs/>
          <w:sz w:val="24"/>
          <w:szCs w:val="24"/>
        </w:rPr>
        <w:t>注:参加询价活动时法定代表人将身份证原件带至开标现场备查。</w:t>
      </w:r>
    </w:p>
    <w:p>
      <w:pPr>
        <w:snapToGrid w:val="0"/>
        <w:spacing w:line="480" w:lineRule="exact"/>
        <w:jc w:val="center"/>
        <w:outlineLvl w:val="4"/>
        <w:rPr>
          <w:b/>
          <w:bCs/>
          <w:sz w:val="24"/>
          <w:szCs w:val="24"/>
        </w:rPr>
      </w:pPr>
      <w:r>
        <w:rPr>
          <w:b/>
          <w:bCs/>
          <w:sz w:val="28"/>
          <w:szCs w:val="28"/>
        </w:rPr>
        <w:br w:type="page"/>
      </w:r>
      <w:r>
        <w:rPr>
          <w:b/>
          <w:bCs/>
          <w:sz w:val="28"/>
          <w:szCs w:val="28"/>
        </w:rPr>
        <w:t>2、授权委托书</w:t>
      </w:r>
    </w:p>
    <w:p>
      <w:pPr>
        <w:snapToGrid w:val="0"/>
        <w:spacing w:line="480" w:lineRule="exact"/>
        <w:jc w:val="center"/>
        <w:outlineLvl w:val="4"/>
        <w:rPr>
          <w:b/>
          <w:bCs/>
          <w:sz w:val="24"/>
          <w:szCs w:val="24"/>
        </w:rPr>
      </w:pPr>
      <w:r>
        <w:rPr>
          <w:sz w:val="24"/>
          <w:szCs w:val="24"/>
        </w:rPr>
        <w:t>（委托代理人参加询价，须出示此证明）</w:t>
      </w:r>
    </w:p>
    <w:p>
      <w:pPr>
        <w:snapToGrid w:val="0"/>
        <w:spacing w:line="480" w:lineRule="exact"/>
        <w:jc w:val="left"/>
        <w:rPr>
          <w:sz w:val="24"/>
          <w:szCs w:val="24"/>
        </w:rPr>
      </w:pPr>
    </w:p>
    <w:p>
      <w:pPr>
        <w:snapToGrid w:val="0"/>
        <w:spacing w:line="480" w:lineRule="exact"/>
        <w:jc w:val="left"/>
        <w:rPr>
          <w:sz w:val="24"/>
          <w:szCs w:val="24"/>
        </w:rPr>
      </w:pPr>
      <w:r>
        <w:rPr>
          <w:rFonts w:hint="eastAsia"/>
          <w:b/>
          <w:bCs/>
          <w:sz w:val="24"/>
          <w:szCs w:val="24"/>
        </w:rPr>
        <w:t>南通市崇川区应急管理局</w:t>
      </w:r>
      <w:r>
        <w:rPr>
          <w:b/>
          <w:bCs/>
          <w:sz w:val="24"/>
          <w:szCs w:val="24"/>
        </w:rPr>
        <w:t>：</w:t>
      </w:r>
    </w:p>
    <w:p>
      <w:pPr>
        <w:snapToGrid w:val="0"/>
        <w:spacing w:line="480" w:lineRule="exact"/>
        <w:ind w:left="1" w:firstLine="480" w:firstLineChars="200"/>
        <w:jc w:val="left"/>
        <w:rPr>
          <w:sz w:val="24"/>
          <w:szCs w:val="24"/>
        </w:rPr>
      </w:pPr>
      <w:r>
        <w:rPr>
          <w:sz w:val="24"/>
          <w:szCs w:val="24"/>
        </w:rPr>
        <w:t>兹授权</w:t>
      </w:r>
      <w:r>
        <w:rPr>
          <w:sz w:val="24"/>
          <w:szCs w:val="24"/>
          <w:u w:val="single"/>
        </w:rPr>
        <w:t xml:space="preserve">         （</w:t>
      </w:r>
      <w:r>
        <w:rPr>
          <w:sz w:val="24"/>
          <w:szCs w:val="24"/>
        </w:rPr>
        <w:t>被授权人的姓名）代表我公司参加</w:t>
      </w:r>
      <w:r>
        <w:rPr>
          <w:rFonts w:hint="eastAsia"/>
          <w:sz w:val="24"/>
          <w:szCs w:val="24"/>
          <w:u w:val="single"/>
        </w:rPr>
        <w:t xml:space="preserve">         </w:t>
      </w:r>
      <w:r>
        <w:rPr>
          <w:sz w:val="24"/>
          <w:szCs w:val="24"/>
        </w:rPr>
        <w:t>（询价项目名称)项目的询价活动，全权处理一切与该项目询价有关的事务。其在办理上述事宜过程中所签署的所有文件我公司均予以承认。</w:t>
      </w:r>
    </w:p>
    <w:p>
      <w:pPr>
        <w:snapToGrid w:val="0"/>
        <w:spacing w:line="480" w:lineRule="exact"/>
        <w:ind w:left="1" w:firstLine="480" w:firstLineChars="200"/>
        <w:jc w:val="left"/>
        <w:rPr>
          <w:sz w:val="24"/>
          <w:szCs w:val="24"/>
        </w:rPr>
      </w:pPr>
      <w:r>
        <w:rPr>
          <w:sz w:val="24"/>
          <w:szCs w:val="24"/>
        </w:rPr>
        <w:t>被授权人无转委托权。特此委托。</w:t>
      </w:r>
    </w:p>
    <w:p>
      <w:pPr>
        <w:snapToGrid w:val="0"/>
        <w:spacing w:line="480" w:lineRule="exact"/>
        <w:ind w:left="1" w:firstLine="480" w:firstLineChars="200"/>
        <w:jc w:val="left"/>
        <w:rPr>
          <w:sz w:val="24"/>
          <w:szCs w:val="24"/>
        </w:rPr>
      </w:pPr>
    </w:p>
    <w:p>
      <w:pPr>
        <w:snapToGrid w:val="0"/>
        <w:spacing w:line="480" w:lineRule="exact"/>
        <w:jc w:val="left"/>
        <w:rPr>
          <w:sz w:val="24"/>
          <w:szCs w:val="24"/>
        </w:rPr>
      </w:pPr>
    </w:p>
    <w:p>
      <w:pPr>
        <w:snapToGrid w:val="0"/>
        <w:spacing w:line="480" w:lineRule="exact"/>
        <w:jc w:val="left"/>
        <w:rPr>
          <w:sz w:val="24"/>
          <w:szCs w:val="24"/>
        </w:rPr>
      </w:pPr>
      <w:r>
        <w:rPr>
          <w:sz w:val="24"/>
          <w:szCs w:val="24"/>
        </w:rPr>
        <w:t>附：被授权人情况：</w:t>
      </w:r>
    </w:p>
    <w:p>
      <w:pPr>
        <w:snapToGrid w:val="0"/>
        <w:spacing w:line="480" w:lineRule="exact"/>
        <w:jc w:val="left"/>
        <w:rPr>
          <w:sz w:val="24"/>
          <w:szCs w:val="24"/>
          <w:u w:val="single"/>
        </w:rPr>
      </w:pPr>
      <w:r>
        <w:rPr>
          <w:sz w:val="24"/>
          <w:szCs w:val="24"/>
        </w:rPr>
        <w:t>姓名：</w:t>
      </w:r>
      <w:r>
        <w:rPr>
          <w:rFonts w:hint="eastAsia"/>
          <w:sz w:val="24"/>
          <w:szCs w:val="24"/>
        </w:rPr>
        <w:t xml:space="preserve">            </w:t>
      </w:r>
      <w:r>
        <w:rPr>
          <w:sz w:val="24"/>
          <w:szCs w:val="24"/>
        </w:rPr>
        <w:t>性别：</w:t>
      </w:r>
      <w:r>
        <w:rPr>
          <w:rFonts w:hint="eastAsia"/>
          <w:sz w:val="24"/>
          <w:szCs w:val="24"/>
        </w:rPr>
        <w:t xml:space="preserve">                 </w:t>
      </w:r>
      <w:r>
        <w:rPr>
          <w:sz w:val="24"/>
          <w:szCs w:val="24"/>
        </w:rPr>
        <w:t>年龄：</w:t>
      </w:r>
      <w:r>
        <w:rPr>
          <w:rFonts w:hint="eastAsia"/>
          <w:sz w:val="24"/>
          <w:szCs w:val="24"/>
        </w:rPr>
        <w:t xml:space="preserve">           </w:t>
      </w:r>
      <w:r>
        <w:rPr>
          <w:sz w:val="24"/>
          <w:szCs w:val="24"/>
        </w:rPr>
        <w:t>职务：</w:t>
      </w:r>
    </w:p>
    <w:p>
      <w:pPr>
        <w:snapToGrid w:val="0"/>
        <w:spacing w:line="480" w:lineRule="exact"/>
        <w:jc w:val="left"/>
        <w:rPr>
          <w:sz w:val="24"/>
          <w:szCs w:val="24"/>
        </w:rPr>
      </w:pPr>
      <w:r>
        <w:rPr>
          <w:sz w:val="24"/>
          <w:szCs w:val="24"/>
        </w:rPr>
        <w:t>身份证号码：</w:t>
      </w:r>
    </w:p>
    <w:p>
      <w:pPr>
        <w:snapToGrid w:val="0"/>
        <w:spacing w:line="480" w:lineRule="exact"/>
        <w:jc w:val="left"/>
        <w:rPr>
          <w:sz w:val="24"/>
          <w:szCs w:val="24"/>
        </w:rPr>
      </w:pPr>
      <w:r>
        <w:rPr>
          <w:sz w:val="24"/>
          <w:szCs w:val="24"/>
        </w:rPr>
        <w:t>手机：</w:t>
      </w:r>
      <w:r>
        <w:rPr>
          <w:rFonts w:hint="eastAsia"/>
          <w:sz w:val="24"/>
          <w:szCs w:val="24"/>
        </w:rPr>
        <w:t xml:space="preserve">            </w:t>
      </w:r>
      <w:r>
        <w:rPr>
          <w:sz w:val="24"/>
          <w:szCs w:val="24"/>
        </w:rPr>
        <w:t>传真：</w:t>
      </w:r>
    </w:p>
    <w:p>
      <w:pPr>
        <w:snapToGrid w:val="0"/>
        <w:spacing w:line="480" w:lineRule="exact"/>
        <w:jc w:val="left"/>
        <w:rPr>
          <w:sz w:val="24"/>
          <w:szCs w:val="24"/>
        </w:rPr>
      </w:pPr>
      <w:r>
        <w:rPr>
          <w:sz w:val="24"/>
          <w:szCs w:val="24"/>
        </w:rPr>
        <w:t> </w:t>
      </w:r>
    </w:p>
    <w:p>
      <w:pPr>
        <w:snapToGrid w:val="0"/>
        <w:spacing w:line="480" w:lineRule="exact"/>
        <w:jc w:val="left"/>
        <w:rPr>
          <w:sz w:val="24"/>
          <w:szCs w:val="24"/>
        </w:rPr>
      </w:pPr>
      <w:r>
        <w:rPr>
          <w:sz w:val="24"/>
          <w:szCs w:val="24"/>
        </w:rPr>
        <w:t>单位名称（公章）             法定代表人（签字或盖章）</w:t>
      </w:r>
    </w:p>
    <w:p>
      <w:pPr>
        <w:snapToGrid w:val="0"/>
        <w:spacing w:line="480" w:lineRule="exact"/>
        <w:ind w:firstLine="1200" w:firstLineChars="500"/>
        <w:jc w:val="left"/>
        <w:rPr>
          <w:sz w:val="24"/>
          <w:szCs w:val="24"/>
        </w:rPr>
      </w:pPr>
      <w:r>
        <w:rPr>
          <w:sz w:val="24"/>
          <w:szCs w:val="24"/>
        </w:rPr>
        <w:t xml:space="preserve">年   月   日                 年   月    日  </w:t>
      </w:r>
    </w:p>
    <w:p>
      <w:pPr>
        <w:snapToGrid w:val="0"/>
        <w:spacing w:line="480" w:lineRule="exact"/>
        <w:jc w:val="left"/>
        <w:rPr>
          <w:sz w:val="24"/>
          <w:szCs w:val="24"/>
        </w:rPr>
      </w:pPr>
    </w:p>
    <w:p>
      <w:pPr>
        <w:snapToGrid w:val="0"/>
        <w:spacing w:line="480" w:lineRule="exact"/>
        <w:jc w:val="center"/>
        <w:rPr>
          <w:sz w:val="24"/>
          <w:szCs w:val="24"/>
        </w:rPr>
      </w:pPr>
      <w:r>
        <w:rPr>
          <w:sz w:val="24"/>
          <w:szCs w:val="24"/>
        </w:rPr>
        <w:t>法定代表人身份证复印件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center"/>
        <w:rPr>
          <w:sz w:val="24"/>
          <w:szCs w:val="24"/>
        </w:rPr>
      </w:pPr>
      <w:r>
        <w:rPr>
          <w:sz w:val="24"/>
          <w:szCs w:val="24"/>
        </w:rPr>
        <w:t>被授权人身份证复印件</w:t>
      </w:r>
    </w:p>
    <w:p>
      <w:pPr>
        <w:snapToGrid w:val="0"/>
        <w:spacing w:line="480" w:lineRule="exact"/>
        <w:jc w:val="center"/>
        <w:rPr>
          <w:sz w:val="24"/>
          <w:szCs w:val="24"/>
        </w:rPr>
      </w:pPr>
    </w:p>
    <w:p>
      <w:pPr>
        <w:snapToGrid w:val="0"/>
        <w:spacing w:line="480" w:lineRule="exact"/>
        <w:jc w:val="center"/>
        <w:rPr>
          <w:sz w:val="24"/>
          <w:szCs w:val="24"/>
        </w:rPr>
      </w:pPr>
      <w:r>
        <w:rPr>
          <w:sz w:val="24"/>
          <w:szCs w:val="24"/>
        </w:rPr>
        <w:t>（粘贴此处）</w:t>
      </w:r>
    </w:p>
    <w:p>
      <w:pPr>
        <w:snapToGrid w:val="0"/>
        <w:spacing w:line="480" w:lineRule="exact"/>
        <w:jc w:val="center"/>
        <w:rPr>
          <w:sz w:val="24"/>
          <w:szCs w:val="24"/>
        </w:rPr>
      </w:pPr>
    </w:p>
    <w:p>
      <w:pPr>
        <w:snapToGrid w:val="0"/>
        <w:spacing w:line="480" w:lineRule="exact"/>
        <w:jc w:val="left"/>
        <w:rPr>
          <w:b/>
          <w:bCs/>
          <w:sz w:val="24"/>
          <w:szCs w:val="24"/>
        </w:rPr>
      </w:pPr>
    </w:p>
    <w:p>
      <w:pPr>
        <w:snapToGrid w:val="0"/>
        <w:spacing w:line="480" w:lineRule="exact"/>
        <w:ind w:firstLine="482" w:firstLineChars="200"/>
        <w:jc w:val="left"/>
        <w:rPr>
          <w:b/>
          <w:bCs/>
          <w:sz w:val="24"/>
          <w:szCs w:val="24"/>
        </w:rPr>
      </w:pPr>
      <w:r>
        <w:rPr>
          <w:b/>
          <w:bCs/>
          <w:sz w:val="24"/>
          <w:szCs w:val="24"/>
        </w:rPr>
        <w:t>注:参加询价活动时被授权人将身份证原件带至开标现场备查。</w:t>
      </w:r>
    </w:p>
    <w:p>
      <w:pPr>
        <w:snapToGrid w:val="0"/>
        <w:spacing w:line="480" w:lineRule="exact"/>
        <w:jc w:val="center"/>
        <w:outlineLvl w:val="4"/>
      </w:pPr>
      <w:r>
        <w:rPr>
          <w:b/>
          <w:bCs/>
          <w:sz w:val="28"/>
          <w:szCs w:val="28"/>
        </w:rPr>
        <w:br w:type="page"/>
      </w:r>
      <w:r>
        <w:rPr>
          <w:b/>
          <w:bCs/>
          <w:sz w:val="28"/>
          <w:szCs w:val="28"/>
        </w:rPr>
        <w:t>3、无重大违法记录声明</w:t>
      </w:r>
    </w:p>
    <w:p>
      <w:pPr>
        <w:spacing w:line="480" w:lineRule="exact"/>
        <w:jc w:val="left"/>
        <w:rPr>
          <w:sz w:val="24"/>
          <w:szCs w:val="24"/>
          <w:u w:val="single"/>
        </w:rPr>
      </w:pPr>
    </w:p>
    <w:p>
      <w:pPr>
        <w:spacing w:line="480" w:lineRule="exact"/>
        <w:jc w:val="left"/>
        <w:rPr>
          <w:sz w:val="24"/>
          <w:szCs w:val="24"/>
          <w:u w:val="single"/>
        </w:rPr>
      </w:pPr>
      <w:r>
        <w:rPr>
          <w:rFonts w:hint="eastAsia"/>
          <w:b/>
          <w:bCs/>
          <w:sz w:val="24"/>
          <w:szCs w:val="24"/>
        </w:rPr>
        <w:t>南通市崇川区应急管理局</w:t>
      </w:r>
      <w:r>
        <w:rPr>
          <w:sz w:val="24"/>
          <w:szCs w:val="24"/>
        </w:rPr>
        <w:t>：</w:t>
      </w:r>
    </w:p>
    <w:p>
      <w:pPr>
        <w:spacing w:line="480" w:lineRule="exact"/>
        <w:jc w:val="left"/>
        <w:rPr>
          <w:sz w:val="24"/>
          <w:szCs w:val="24"/>
        </w:rPr>
      </w:pPr>
      <w:r>
        <w:rPr>
          <w:sz w:val="24"/>
          <w:szCs w:val="24"/>
        </w:rPr>
        <w:t xml:space="preserve">    我单位（供应商名称）郑重声明：</w:t>
      </w:r>
    </w:p>
    <w:p>
      <w:pPr>
        <w:spacing w:line="480" w:lineRule="exact"/>
        <w:ind w:firstLine="480" w:firstLineChars="200"/>
        <w:jc w:val="left"/>
        <w:rPr>
          <w:sz w:val="24"/>
          <w:szCs w:val="24"/>
        </w:rPr>
      </w:pPr>
      <w:r>
        <w:rPr>
          <w:sz w:val="24"/>
          <w:szCs w:val="24"/>
        </w:rPr>
        <w:t>参加采购活动前3年内在经营活动中</w:t>
      </w:r>
      <w:r>
        <w:rPr>
          <w:rFonts w:hint="eastAsia"/>
          <w:sz w:val="24"/>
          <w:szCs w:val="24"/>
          <w:u w:val="single"/>
        </w:rPr>
        <w:t xml:space="preserve">      </w:t>
      </w:r>
      <w:r>
        <w:rPr>
          <w:sz w:val="24"/>
          <w:szCs w:val="24"/>
        </w:rPr>
        <w:t>（在下划线上如实填写：有或没有）重大违法记录。</w:t>
      </w:r>
    </w:p>
    <w:p>
      <w:pPr>
        <w:spacing w:line="480" w:lineRule="exact"/>
        <w:ind w:firstLine="480"/>
        <w:jc w:val="left"/>
        <w:rPr>
          <w:sz w:val="24"/>
          <w:szCs w:val="24"/>
        </w:rPr>
      </w:pPr>
      <w:r>
        <w:rPr>
          <w:sz w:val="24"/>
          <w:szCs w:val="24"/>
        </w:rPr>
        <w:t>（说明：重大违法记录是指供应商因违法经营受到刑事处罚或者责令停产停业、吊销许可证或者执照、较大数额罚款等行政处罚。）</w:t>
      </w:r>
    </w:p>
    <w:p>
      <w:pPr>
        <w:spacing w:line="480" w:lineRule="exact"/>
        <w:jc w:val="left"/>
        <w:rPr>
          <w:sz w:val="24"/>
          <w:szCs w:val="24"/>
        </w:rPr>
      </w:pPr>
    </w:p>
    <w:p>
      <w:pPr>
        <w:spacing w:line="480" w:lineRule="exact"/>
        <w:jc w:val="right"/>
        <w:rPr>
          <w:sz w:val="24"/>
          <w:szCs w:val="24"/>
        </w:rPr>
      </w:pPr>
      <w:r>
        <w:rPr>
          <w:sz w:val="24"/>
          <w:szCs w:val="24"/>
        </w:rPr>
        <w:t>声明人：（公章）</w:t>
      </w:r>
    </w:p>
    <w:p>
      <w:pPr>
        <w:spacing w:line="480" w:lineRule="exact"/>
        <w:jc w:val="right"/>
        <w:rPr>
          <w:sz w:val="24"/>
          <w:szCs w:val="24"/>
        </w:rPr>
      </w:pPr>
      <w:r>
        <w:rPr>
          <w:sz w:val="24"/>
          <w:szCs w:val="24"/>
        </w:rPr>
        <w:t xml:space="preserve">                                                  年     月    日</w:t>
      </w:r>
    </w:p>
    <w:p>
      <w:pPr>
        <w:snapToGrid w:val="0"/>
        <w:spacing w:line="480" w:lineRule="exact"/>
        <w:jc w:val="left"/>
        <w:outlineLvl w:val="4"/>
        <w:rPr>
          <w:b/>
          <w:bCs/>
          <w:sz w:val="28"/>
          <w:szCs w:val="28"/>
        </w:rPr>
      </w:pPr>
    </w:p>
    <w:p>
      <w:pPr>
        <w:snapToGrid w:val="0"/>
        <w:spacing w:line="480" w:lineRule="exact"/>
        <w:jc w:val="center"/>
        <w:outlineLvl w:val="4"/>
        <w:rPr>
          <w:b/>
          <w:bCs/>
          <w:sz w:val="28"/>
          <w:szCs w:val="28"/>
        </w:rPr>
      </w:pPr>
      <w:r>
        <w:rPr>
          <w:b/>
          <w:bCs/>
          <w:sz w:val="28"/>
          <w:szCs w:val="28"/>
        </w:rPr>
        <w:br w:type="page"/>
      </w:r>
      <w:r>
        <w:rPr>
          <w:b/>
          <w:bCs/>
          <w:sz w:val="28"/>
          <w:szCs w:val="28"/>
        </w:rPr>
        <w:t>4、关于资格文件的声明函</w:t>
      </w:r>
    </w:p>
    <w:p>
      <w:pPr>
        <w:pStyle w:val="3"/>
        <w:overflowPunct w:val="0"/>
        <w:spacing w:line="480" w:lineRule="exact"/>
        <w:rPr>
          <w:rFonts w:eastAsia="宋体"/>
          <w:sz w:val="28"/>
          <w:szCs w:val="28"/>
        </w:rPr>
      </w:pPr>
    </w:p>
    <w:p>
      <w:pPr>
        <w:snapToGrid w:val="0"/>
        <w:spacing w:line="480" w:lineRule="exact"/>
        <w:ind w:firstLine="118" w:firstLineChars="49"/>
        <w:jc w:val="left"/>
        <w:rPr>
          <w:sz w:val="24"/>
          <w:szCs w:val="24"/>
          <w:u w:val="single"/>
        </w:rPr>
      </w:pPr>
      <w:r>
        <w:rPr>
          <w:rFonts w:hint="eastAsia"/>
          <w:b/>
          <w:bCs/>
          <w:sz w:val="24"/>
          <w:szCs w:val="24"/>
        </w:rPr>
        <w:t>南通市崇川区应急管理局</w:t>
      </w:r>
      <w:r>
        <w:rPr>
          <w:sz w:val="24"/>
          <w:szCs w:val="24"/>
        </w:rPr>
        <w:t>：</w:t>
      </w:r>
    </w:p>
    <w:p>
      <w:pPr>
        <w:pStyle w:val="3"/>
        <w:overflowPunct w:val="0"/>
        <w:spacing w:line="480" w:lineRule="exact"/>
        <w:ind w:firstLine="480" w:firstLineChars="200"/>
        <w:rPr>
          <w:rFonts w:eastAsia="宋体"/>
          <w:szCs w:val="24"/>
        </w:rPr>
      </w:pPr>
      <w:r>
        <w:rPr>
          <w:rFonts w:eastAsia="宋体"/>
          <w:szCs w:val="24"/>
        </w:rPr>
        <w:t>本公司愿参与贵单位组织实施的</w:t>
      </w:r>
      <w:r>
        <w:rPr>
          <w:rFonts w:hint="eastAsia" w:eastAsia="宋体"/>
          <w:szCs w:val="24"/>
          <w:u w:val="single"/>
        </w:rPr>
        <w:t xml:space="preserve">          </w:t>
      </w:r>
      <w:r>
        <w:rPr>
          <w:rFonts w:eastAsia="宋体"/>
          <w:szCs w:val="24"/>
        </w:rPr>
        <w:t>（询价项目名称</w:t>
      </w:r>
      <w:r>
        <w:rPr>
          <w:rFonts w:hint="eastAsia" w:eastAsia="宋体"/>
          <w:szCs w:val="24"/>
        </w:rPr>
        <w:t>）</w:t>
      </w:r>
      <w:r>
        <w:rPr>
          <w:rFonts w:eastAsia="宋体"/>
          <w:szCs w:val="24"/>
        </w:rPr>
        <w:t>询价活动。本公司所提交的响应文件中所有关于资格的文件、证明和陈述均是真实的、准确的。若与真实情况不符，本公司愿意承担由此而产生的一切后果。</w:t>
      </w:r>
    </w:p>
    <w:p>
      <w:pPr>
        <w:pStyle w:val="3"/>
        <w:overflowPunct w:val="0"/>
        <w:spacing w:line="480" w:lineRule="exact"/>
        <w:rPr>
          <w:rFonts w:eastAsia="宋体"/>
          <w:szCs w:val="24"/>
        </w:rPr>
      </w:pPr>
    </w:p>
    <w:p>
      <w:pPr>
        <w:pStyle w:val="3"/>
        <w:overflowPunct w:val="0"/>
        <w:spacing w:line="480" w:lineRule="exact"/>
        <w:rPr>
          <w:rFonts w:eastAsia="宋体"/>
          <w:szCs w:val="24"/>
        </w:rPr>
      </w:pPr>
    </w:p>
    <w:p>
      <w:pPr>
        <w:pStyle w:val="3"/>
        <w:overflowPunct w:val="0"/>
        <w:spacing w:line="360" w:lineRule="auto"/>
        <w:jc w:val="right"/>
        <w:rPr>
          <w:rFonts w:eastAsia="宋体"/>
          <w:szCs w:val="24"/>
        </w:rPr>
      </w:pPr>
      <w:r>
        <w:rPr>
          <w:rFonts w:eastAsia="宋体"/>
          <w:szCs w:val="24"/>
        </w:rPr>
        <w:tab/>
      </w:r>
      <w:r>
        <w:rPr>
          <w:rFonts w:eastAsia="宋体"/>
          <w:szCs w:val="24"/>
        </w:rPr>
        <w:tab/>
      </w:r>
      <w:r>
        <w:rPr>
          <w:rFonts w:eastAsia="宋体"/>
          <w:szCs w:val="24"/>
        </w:rPr>
        <w:tab/>
      </w:r>
      <w:r>
        <w:rPr>
          <w:rFonts w:eastAsia="宋体"/>
          <w:szCs w:val="24"/>
        </w:rPr>
        <w:tab/>
      </w:r>
      <w:r>
        <w:rPr>
          <w:rFonts w:eastAsia="宋体"/>
          <w:szCs w:val="24"/>
        </w:rPr>
        <w:t xml:space="preserve">        （供应商）法定代表人（签字或盖章）：</w:t>
      </w:r>
    </w:p>
    <w:p>
      <w:pPr>
        <w:pStyle w:val="3"/>
        <w:overflowPunct w:val="0"/>
        <w:spacing w:line="360" w:lineRule="auto"/>
        <w:ind w:left="1700" w:firstLine="2882" w:firstLineChars="1201"/>
        <w:jc w:val="both"/>
        <w:rPr>
          <w:rFonts w:eastAsia="宋体"/>
          <w:szCs w:val="24"/>
        </w:rPr>
      </w:pPr>
      <w:r>
        <w:rPr>
          <w:rFonts w:eastAsia="宋体"/>
          <w:szCs w:val="24"/>
        </w:rPr>
        <w:t xml:space="preserve">  （供应商）公章：</w:t>
      </w:r>
    </w:p>
    <w:p>
      <w:pPr>
        <w:pStyle w:val="3"/>
        <w:overflowPunct w:val="0"/>
        <w:spacing w:line="360" w:lineRule="auto"/>
        <w:ind w:right="560" w:firstLine="2400" w:firstLineChars="1000"/>
        <w:jc w:val="both"/>
        <w:rPr>
          <w:rFonts w:eastAsia="宋体"/>
          <w:szCs w:val="24"/>
        </w:rPr>
      </w:pPr>
      <w:r>
        <w:rPr>
          <w:rFonts w:eastAsia="宋体"/>
          <w:szCs w:val="24"/>
        </w:rPr>
        <w:t xml:space="preserve">                     年 </w:t>
      </w:r>
      <w:r>
        <w:rPr>
          <w:rFonts w:eastAsia="宋体"/>
          <w:szCs w:val="24"/>
        </w:rPr>
        <w:tab/>
      </w:r>
      <w:r>
        <w:rPr>
          <w:rFonts w:eastAsia="宋体"/>
          <w:szCs w:val="24"/>
        </w:rPr>
        <w:t xml:space="preserve"> 月 </w:t>
      </w:r>
      <w:r>
        <w:rPr>
          <w:rFonts w:eastAsia="宋体"/>
          <w:szCs w:val="24"/>
        </w:rPr>
        <w:tab/>
      </w:r>
      <w:r>
        <w:rPr>
          <w:rFonts w:eastAsia="宋体"/>
          <w:szCs w:val="24"/>
        </w:rPr>
        <w:t>日</w:t>
      </w:r>
    </w:p>
    <w:p>
      <w:pPr>
        <w:snapToGrid w:val="0"/>
        <w:spacing w:line="480" w:lineRule="exact"/>
        <w:ind w:firstLine="482" w:firstLineChars="200"/>
        <w:jc w:val="left"/>
        <w:rPr>
          <w:b/>
          <w:bCs/>
          <w:sz w:val="24"/>
          <w:szCs w:val="24"/>
        </w:rPr>
        <w:sectPr>
          <w:pgSz w:w="11906" w:h="16838"/>
          <w:pgMar w:top="1361" w:right="1361" w:bottom="1361" w:left="1361" w:header="851" w:footer="992" w:gutter="0"/>
          <w:cols w:space="720" w:num="1"/>
          <w:docGrid w:linePitch="328" w:charSpace="733"/>
        </w:sectPr>
      </w:pPr>
    </w:p>
    <w:p>
      <w:pPr>
        <w:spacing w:line="480" w:lineRule="exact"/>
        <w:jc w:val="left"/>
        <w:rPr>
          <w:b/>
          <w:bCs/>
          <w:sz w:val="24"/>
          <w:szCs w:val="24"/>
        </w:rPr>
      </w:pPr>
      <w:r>
        <w:rPr>
          <w:b/>
          <w:bCs/>
          <w:sz w:val="24"/>
          <w:szCs w:val="24"/>
        </w:rPr>
        <w:t>二、技术响应文件相关的格式文件及表格</w:t>
      </w:r>
    </w:p>
    <w:p>
      <w:pPr>
        <w:snapToGrid w:val="0"/>
        <w:spacing w:line="480" w:lineRule="exact"/>
        <w:jc w:val="center"/>
        <w:outlineLvl w:val="3"/>
        <w:rPr>
          <w:b/>
          <w:bCs/>
          <w:sz w:val="24"/>
          <w:szCs w:val="24"/>
        </w:rPr>
      </w:pPr>
      <w:r>
        <w:rPr>
          <w:b/>
          <w:bCs/>
          <w:sz w:val="24"/>
          <w:szCs w:val="24"/>
        </w:rPr>
        <w:t>1、询价响应函</w:t>
      </w:r>
    </w:p>
    <w:p>
      <w:pPr>
        <w:snapToGrid w:val="0"/>
        <w:spacing w:line="480" w:lineRule="exact"/>
        <w:jc w:val="left"/>
        <w:rPr>
          <w:sz w:val="24"/>
          <w:szCs w:val="24"/>
        </w:rPr>
      </w:pPr>
      <w:r>
        <w:rPr>
          <w:rFonts w:hint="eastAsia"/>
          <w:b/>
          <w:bCs/>
          <w:sz w:val="24"/>
          <w:szCs w:val="24"/>
        </w:rPr>
        <w:t>南通市崇川区应急管理局</w:t>
      </w:r>
      <w:r>
        <w:rPr>
          <w:sz w:val="24"/>
          <w:szCs w:val="24"/>
        </w:rPr>
        <w:t>：</w:t>
      </w:r>
    </w:p>
    <w:p>
      <w:pPr>
        <w:snapToGrid w:val="0"/>
        <w:spacing w:line="480" w:lineRule="exact"/>
        <w:ind w:firstLine="480" w:firstLineChars="200"/>
        <w:jc w:val="left"/>
        <w:rPr>
          <w:sz w:val="24"/>
          <w:szCs w:val="24"/>
        </w:rPr>
      </w:pPr>
      <w:r>
        <w:rPr>
          <w:sz w:val="24"/>
          <w:szCs w:val="24"/>
        </w:rPr>
        <w:t>依据贵单位</w:t>
      </w:r>
      <w:r>
        <w:rPr>
          <w:rFonts w:hint="eastAsia"/>
          <w:sz w:val="24"/>
          <w:szCs w:val="24"/>
          <w:u w:val="single"/>
        </w:rPr>
        <w:t xml:space="preserve">              </w:t>
      </w:r>
      <w:r>
        <w:rPr>
          <w:sz w:val="24"/>
          <w:szCs w:val="24"/>
        </w:rPr>
        <w:t>（询价项目名称)项目询价采购活动参与的邀请，我方授权</w:t>
      </w:r>
      <w:r>
        <w:rPr>
          <w:rFonts w:hint="eastAsia"/>
          <w:sz w:val="24"/>
          <w:szCs w:val="24"/>
          <w:u w:val="single"/>
        </w:rPr>
        <w:t xml:space="preserve">           </w:t>
      </w:r>
      <w:r>
        <w:rPr>
          <w:sz w:val="24"/>
          <w:szCs w:val="24"/>
        </w:rPr>
        <w:t>（姓名）</w:t>
      </w:r>
      <w:r>
        <w:rPr>
          <w:rFonts w:hint="eastAsia"/>
          <w:sz w:val="24"/>
          <w:szCs w:val="24"/>
          <w:u w:val="single"/>
        </w:rPr>
        <w:t xml:space="preserve">         </w:t>
      </w:r>
      <w:r>
        <w:rPr>
          <w:sz w:val="24"/>
          <w:szCs w:val="24"/>
        </w:rPr>
        <w:t>（职务）为全权代表参加该项目的询价采购活动工作，全权处理本次询价采购的有关事宜。同时，我公司声明如下：</w:t>
      </w:r>
    </w:p>
    <w:p>
      <w:pPr>
        <w:numPr>
          <w:ilvl w:val="0"/>
          <w:numId w:val="5"/>
        </w:numPr>
        <w:snapToGrid w:val="0"/>
        <w:spacing w:line="480" w:lineRule="exact"/>
        <w:ind w:firstLine="480" w:firstLineChars="200"/>
        <w:jc w:val="left"/>
        <w:rPr>
          <w:sz w:val="24"/>
          <w:szCs w:val="24"/>
        </w:rPr>
      </w:pPr>
      <w:r>
        <w:rPr>
          <w:sz w:val="24"/>
          <w:szCs w:val="24"/>
        </w:rPr>
        <w:t>我方愿意按照询价文件的一切要求，提供完成该项目的全部内容，并按询价文件的要求提供报价。</w:t>
      </w:r>
    </w:p>
    <w:p>
      <w:pPr>
        <w:numPr>
          <w:ilvl w:val="0"/>
          <w:numId w:val="5"/>
        </w:numPr>
        <w:snapToGrid w:val="0"/>
        <w:spacing w:line="480" w:lineRule="exact"/>
        <w:ind w:firstLine="480" w:firstLineChars="200"/>
        <w:jc w:val="left"/>
        <w:rPr>
          <w:sz w:val="24"/>
          <w:szCs w:val="24"/>
        </w:rPr>
      </w:pPr>
      <w:r>
        <w:rPr>
          <w:sz w:val="24"/>
          <w:szCs w:val="24"/>
        </w:rPr>
        <w:t>我方愿按询价文件规定的付款方式执行。</w:t>
      </w:r>
    </w:p>
    <w:p>
      <w:pPr>
        <w:numPr>
          <w:ilvl w:val="0"/>
          <w:numId w:val="5"/>
        </w:numPr>
        <w:snapToGrid w:val="0"/>
        <w:spacing w:line="480" w:lineRule="exact"/>
        <w:ind w:firstLine="480" w:firstLineChars="200"/>
        <w:jc w:val="left"/>
        <w:rPr>
          <w:sz w:val="24"/>
          <w:szCs w:val="24"/>
        </w:rPr>
      </w:pPr>
      <w:r>
        <w:rPr>
          <w:sz w:val="24"/>
          <w:szCs w:val="24"/>
        </w:rPr>
        <w:t>我方已经详细审查了全部询价文件，我方已完全清晰理解询价文件的要求，不存在任何含糊不清和误解之处，同意放弃对询价文件提出异议和质疑的权利。</w:t>
      </w:r>
    </w:p>
    <w:p>
      <w:pPr>
        <w:snapToGrid w:val="0"/>
        <w:spacing w:line="480" w:lineRule="exact"/>
        <w:ind w:firstLine="480" w:firstLineChars="200"/>
        <w:jc w:val="left"/>
        <w:rPr>
          <w:sz w:val="24"/>
          <w:szCs w:val="24"/>
        </w:rPr>
      </w:pPr>
      <w:r>
        <w:rPr>
          <w:sz w:val="24"/>
          <w:szCs w:val="24"/>
        </w:rPr>
        <w:t xml:space="preserve">4、我方愿意提供招标采购单位在询价文件中要求的所有资料。 </w:t>
      </w:r>
    </w:p>
    <w:p>
      <w:pPr>
        <w:snapToGrid w:val="0"/>
        <w:spacing w:line="480" w:lineRule="exact"/>
        <w:ind w:firstLine="480" w:firstLineChars="200"/>
        <w:jc w:val="left"/>
        <w:rPr>
          <w:sz w:val="24"/>
          <w:szCs w:val="24"/>
        </w:rPr>
      </w:pPr>
      <w:r>
        <w:rPr>
          <w:sz w:val="24"/>
          <w:szCs w:val="24"/>
        </w:rPr>
        <w:t>5、我方承诺在本次询价响应中提供的一切文件，无论是原件还是复印件均真实有效，绝无任何虚假、伪造和夸大的成份。否则，愿承担相应的后果和法律责任。</w:t>
      </w:r>
    </w:p>
    <w:p>
      <w:pPr>
        <w:snapToGrid w:val="0"/>
        <w:spacing w:line="480" w:lineRule="exact"/>
        <w:ind w:firstLine="480" w:firstLineChars="200"/>
        <w:jc w:val="left"/>
        <w:rPr>
          <w:sz w:val="24"/>
          <w:szCs w:val="24"/>
        </w:rPr>
      </w:pPr>
      <w:r>
        <w:rPr>
          <w:sz w:val="24"/>
          <w:szCs w:val="24"/>
        </w:rPr>
        <w:t>6、</w:t>
      </w:r>
      <w:r>
        <w:rPr>
          <w:bCs/>
          <w:sz w:val="24"/>
          <w:szCs w:val="24"/>
          <w:u w:val="single"/>
        </w:rPr>
        <w:t>我方尊重评审小组所作的评定结果，同时也清楚理解到本次询价采购活动中的报价最低并非意味着必定获得成交资格。</w:t>
      </w:r>
    </w:p>
    <w:p>
      <w:pPr>
        <w:snapToGrid w:val="0"/>
        <w:spacing w:line="480" w:lineRule="exact"/>
        <w:ind w:firstLine="480" w:firstLineChars="200"/>
        <w:jc w:val="left"/>
        <w:rPr>
          <w:sz w:val="24"/>
          <w:szCs w:val="24"/>
        </w:rPr>
      </w:pPr>
      <w:r>
        <w:rPr>
          <w:sz w:val="24"/>
          <w:szCs w:val="24"/>
        </w:rPr>
        <w:t>7、一旦我方成交，我方将根据询价文件的规定，严格履行询价文件中规定的每一项要求，按期、按质、按量履行合同是我方应尽的义务及责任。</w:t>
      </w:r>
    </w:p>
    <w:p>
      <w:pPr>
        <w:snapToGrid w:val="0"/>
        <w:spacing w:line="480" w:lineRule="exact"/>
        <w:ind w:firstLine="480" w:firstLineChars="200"/>
        <w:jc w:val="left"/>
        <w:rPr>
          <w:sz w:val="24"/>
          <w:szCs w:val="24"/>
        </w:rPr>
      </w:pPr>
    </w:p>
    <w:p>
      <w:pPr>
        <w:snapToGrid w:val="0"/>
        <w:spacing w:line="480" w:lineRule="exact"/>
        <w:ind w:right="480" w:firstLine="4080" w:firstLineChars="1700"/>
        <w:rPr>
          <w:sz w:val="24"/>
          <w:szCs w:val="24"/>
        </w:rPr>
      </w:pPr>
      <w:r>
        <w:rPr>
          <w:sz w:val="24"/>
          <w:szCs w:val="24"/>
        </w:rPr>
        <w:t>询价响应单位：（加盖公章）</w:t>
      </w:r>
    </w:p>
    <w:p>
      <w:pPr>
        <w:snapToGrid w:val="0"/>
        <w:spacing w:line="480" w:lineRule="exact"/>
        <w:ind w:firstLine="4080" w:firstLineChars="1700"/>
        <w:jc w:val="left"/>
        <w:rPr>
          <w:sz w:val="24"/>
          <w:szCs w:val="24"/>
        </w:rPr>
      </w:pPr>
      <w:r>
        <w:rPr>
          <w:sz w:val="24"/>
          <w:szCs w:val="24"/>
        </w:rPr>
        <w:t>法定代表人或被授权人：（签字或盖章）</w:t>
      </w:r>
    </w:p>
    <w:p>
      <w:pPr>
        <w:snapToGrid w:val="0"/>
        <w:spacing w:line="480" w:lineRule="exact"/>
        <w:jc w:val="center"/>
        <w:rPr>
          <w:sz w:val="24"/>
          <w:szCs w:val="24"/>
        </w:rPr>
      </w:pPr>
      <w:r>
        <w:rPr>
          <w:sz w:val="24"/>
          <w:szCs w:val="24"/>
        </w:rPr>
        <w:t xml:space="preserve"> 年      月     日</w:t>
      </w:r>
    </w:p>
    <w:p>
      <w:pPr>
        <w:spacing w:line="480" w:lineRule="exact"/>
        <w:rPr>
          <w:b/>
          <w:bCs/>
          <w:sz w:val="24"/>
        </w:rPr>
      </w:pPr>
    </w:p>
    <w:p>
      <w:pPr>
        <w:pStyle w:val="14"/>
      </w:pPr>
    </w:p>
    <w:p>
      <w:pPr>
        <w:pStyle w:val="14"/>
      </w:pPr>
    </w:p>
    <w:p>
      <w:pPr>
        <w:pStyle w:val="14"/>
      </w:pPr>
    </w:p>
    <w:p>
      <w:pPr>
        <w:pStyle w:val="14"/>
      </w:pPr>
    </w:p>
    <w:p>
      <w:pPr>
        <w:pStyle w:val="14"/>
      </w:pPr>
    </w:p>
    <w:p>
      <w:pPr>
        <w:pStyle w:val="14"/>
      </w:pPr>
    </w:p>
    <w:p>
      <w:pPr>
        <w:pStyle w:val="14"/>
      </w:pPr>
    </w:p>
    <w:p>
      <w:pPr>
        <w:spacing w:line="480" w:lineRule="exact"/>
        <w:jc w:val="center"/>
        <w:rPr>
          <w:b/>
          <w:bCs/>
          <w:sz w:val="24"/>
          <w:szCs w:val="22"/>
        </w:rPr>
        <w:sectPr>
          <w:pgSz w:w="11906" w:h="16838"/>
          <w:pgMar w:top="1361" w:right="1361" w:bottom="1361" w:left="1361" w:header="851" w:footer="992" w:gutter="0"/>
          <w:cols w:space="720" w:num="1"/>
          <w:docGrid w:linePitch="328" w:charSpace="733"/>
        </w:sectPr>
      </w:pPr>
    </w:p>
    <w:p>
      <w:pPr>
        <w:spacing w:line="480" w:lineRule="exact"/>
        <w:jc w:val="center"/>
        <w:rPr>
          <w:rFonts w:ascii="宋体" w:hAnsi="宋体"/>
          <w:sz w:val="32"/>
          <w:szCs w:val="32"/>
        </w:rPr>
      </w:pPr>
      <w:r>
        <w:rPr>
          <w:rFonts w:ascii="宋体" w:hAnsi="宋体"/>
          <w:b/>
          <w:bCs/>
          <w:sz w:val="24"/>
        </w:rPr>
        <w:t>2、</w:t>
      </w:r>
      <w:r>
        <w:rPr>
          <w:rFonts w:ascii="宋体" w:hAnsi="宋体"/>
          <w:b/>
          <w:sz w:val="24"/>
          <w:szCs w:val="24"/>
        </w:rPr>
        <w:t>供应商一般情况表</w:t>
      </w:r>
    </w:p>
    <w:tbl>
      <w:tblPr>
        <w:tblStyle w:val="1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3496"/>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1</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2</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3</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4</w:t>
            </w:r>
          </w:p>
        </w:tc>
        <w:tc>
          <w:tcPr>
            <w:tcW w:w="3496" w:type="dxa"/>
            <w:noWrap/>
            <w:vAlign w:val="center"/>
          </w:tcPr>
          <w:p>
            <w:pPr>
              <w:tabs>
                <w:tab w:val="left" w:pos="993"/>
              </w:tabs>
              <w:spacing w:line="300" w:lineRule="auto"/>
              <w:rPr>
                <w:rFonts w:ascii="宋体" w:hAnsi="宋体"/>
                <w:sz w:val="24"/>
              </w:rPr>
            </w:pPr>
            <w:r>
              <w:rPr>
                <w:rFonts w:ascii="宋体" w:hAnsi="宋体"/>
                <w:sz w:val="24"/>
              </w:rPr>
              <w:t>电话</w:t>
            </w:r>
          </w:p>
        </w:tc>
        <w:tc>
          <w:tcPr>
            <w:tcW w:w="4893" w:type="dxa"/>
            <w:noWrap/>
            <w:vAlign w:val="center"/>
          </w:tcPr>
          <w:p>
            <w:pPr>
              <w:tabs>
                <w:tab w:val="left" w:pos="993"/>
              </w:tabs>
              <w:spacing w:line="300" w:lineRule="auto"/>
              <w:rPr>
                <w:rFonts w:ascii="宋体" w:hAnsi="宋体"/>
                <w:sz w:val="24"/>
              </w:rPr>
            </w:pPr>
            <w:r>
              <w:rPr>
                <w:rFonts w:ascii="宋体" w:hAnsi="宋体"/>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5</w:t>
            </w:r>
          </w:p>
        </w:tc>
        <w:tc>
          <w:tcPr>
            <w:tcW w:w="3496" w:type="dxa"/>
            <w:noWrap/>
            <w:vAlign w:val="center"/>
          </w:tcPr>
          <w:p>
            <w:pPr>
              <w:tabs>
                <w:tab w:val="left" w:pos="993"/>
              </w:tabs>
              <w:spacing w:line="300" w:lineRule="auto"/>
              <w:rPr>
                <w:rFonts w:ascii="宋体" w:hAnsi="宋体"/>
                <w:sz w:val="24"/>
              </w:rPr>
            </w:pPr>
            <w:r>
              <w:rPr>
                <w:rFonts w:ascii="宋体" w:hAnsi="宋体"/>
                <w:sz w:val="24"/>
              </w:rPr>
              <w:t>传真</w:t>
            </w:r>
          </w:p>
        </w:tc>
        <w:tc>
          <w:tcPr>
            <w:tcW w:w="4893" w:type="dxa"/>
            <w:noWrap/>
            <w:vAlign w:val="center"/>
          </w:tcPr>
          <w:p>
            <w:pPr>
              <w:tabs>
                <w:tab w:val="left" w:pos="993"/>
              </w:tabs>
              <w:spacing w:line="300" w:lineRule="auto"/>
              <w:rPr>
                <w:rFonts w:ascii="宋体" w:hAnsi="宋体"/>
                <w:sz w:val="24"/>
              </w:rPr>
            </w:pPr>
            <w:r>
              <w:rPr>
                <w:rFonts w:ascii="宋体" w:hAnsi="宋体"/>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6</w:t>
            </w:r>
          </w:p>
        </w:tc>
        <w:tc>
          <w:tcPr>
            <w:tcW w:w="3496" w:type="dxa"/>
            <w:noWrap/>
            <w:vAlign w:val="center"/>
          </w:tcPr>
          <w:p>
            <w:pPr>
              <w:tabs>
                <w:tab w:val="left" w:pos="993"/>
              </w:tabs>
              <w:spacing w:line="300" w:lineRule="auto"/>
              <w:rPr>
                <w:rFonts w:ascii="宋体" w:hAnsi="宋体"/>
                <w:sz w:val="24"/>
              </w:rPr>
            </w:pPr>
            <w:r>
              <w:rPr>
                <w:rFonts w:ascii="宋体" w:hAnsi="宋体"/>
                <w:sz w:val="24"/>
              </w:rPr>
              <w:t>注册地</w:t>
            </w:r>
          </w:p>
        </w:tc>
        <w:tc>
          <w:tcPr>
            <w:tcW w:w="4893" w:type="dxa"/>
            <w:noWrap/>
            <w:vAlign w:val="center"/>
          </w:tcPr>
          <w:p>
            <w:pPr>
              <w:tabs>
                <w:tab w:val="left" w:pos="993"/>
              </w:tabs>
              <w:spacing w:line="300" w:lineRule="auto"/>
              <w:rPr>
                <w:rFonts w:ascii="宋体" w:hAnsi="宋体"/>
                <w:sz w:val="24"/>
              </w:rPr>
            </w:pPr>
            <w:r>
              <w:rPr>
                <w:rFonts w:ascii="宋体" w:hAnsi="宋体"/>
                <w:sz w:val="24"/>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7</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公司</w:t>
            </w:r>
            <w:r>
              <w:rPr>
                <w:rFonts w:ascii="宋体" w:hAnsi="宋体"/>
                <w:sz w:val="24"/>
                <w:u w:val="single"/>
              </w:rPr>
              <w:t xml:space="preserve">   （是否通过，何种）   </w:t>
            </w:r>
            <w:r>
              <w:rPr>
                <w:rFonts w:ascii="宋体" w:hAnsi="宋体"/>
                <w:sz w:val="24"/>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8</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主营范围</w:t>
            </w:r>
          </w:p>
          <w:p>
            <w:pPr>
              <w:tabs>
                <w:tab w:val="left" w:pos="993"/>
              </w:tabs>
              <w:spacing w:line="300" w:lineRule="auto"/>
              <w:rPr>
                <w:rFonts w:ascii="宋体" w:hAnsi="宋体"/>
                <w:sz w:val="24"/>
                <w:u w:val="single"/>
              </w:rPr>
            </w:pPr>
            <w:r>
              <w:rPr>
                <w:rFonts w:ascii="宋体" w:hAnsi="宋体"/>
                <w:sz w:val="24"/>
              </w:rPr>
              <w:t>1.</w:t>
            </w:r>
          </w:p>
          <w:p>
            <w:pPr>
              <w:tabs>
                <w:tab w:val="left" w:pos="993"/>
              </w:tabs>
              <w:spacing w:line="300" w:lineRule="auto"/>
              <w:rPr>
                <w:rFonts w:ascii="宋体" w:hAnsi="宋体"/>
                <w:sz w:val="24"/>
                <w:u w:val="single"/>
              </w:rPr>
            </w:pPr>
            <w:r>
              <w:rPr>
                <w:rFonts w:ascii="宋体" w:hAnsi="宋体"/>
                <w:sz w:val="24"/>
              </w:rPr>
              <w:t>2.</w:t>
            </w:r>
          </w:p>
          <w:p>
            <w:pPr>
              <w:tabs>
                <w:tab w:val="left" w:pos="993"/>
              </w:tabs>
              <w:spacing w:line="300" w:lineRule="auto"/>
              <w:rPr>
                <w:rFonts w:ascii="宋体" w:hAnsi="宋体"/>
                <w:sz w:val="24"/>
                <w:u w:val="single"/>
              </w:rPr>
            </w:pPr>
            <w:r>
              <w:rPr>
                <w:rFonts w:ascii="宋体" w:hAnsi="宋体"/>
                <w:sz w:val="24"/>
              </w:rPr>
              <w:t>3.</w:t>
            </w:r>
          </w:p>
          <w:p>
            <w:pPr>
              <w:tabs>
                <w:tab w:val="left" w:pos="993"/>
              </w:tabs>
              <w:spacing w:line="300" w:lineRule="auto"/>
              <w:rPr>
                <w:rFonts w:ascii="宋体" w:hAnsi="宋体"/>
                <w:sz w:val="24"/>
                <w:u w:val="single"/>
              </w:rPr>
            </w:pPr>
            <w:r>
              <w:rPr>
                <w:rFonts w:ascii="宋体" w:hAnsi="宋体"/>
                <w:sz w:val="24"/>
              </w:rPr>
              <w:t>4.</w:t>
            </w:r>
          </w:p>
          <w:p>
            <w:pPr>
              <w:tabs>
                <w:tab w:val="left" w:pos="993"/>
              </w:tabs>
              <w:spacing w:line="300" w:lineRule="auto"/>
              <w:rPr>
                <w:rFonts w:ascii="宋体" w:hAnsi="宋体"/>
                <w:sz w:val="24"/>
              </w:rPr>
            </w:pP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502" w:type="dxa"/>
            <w:noWrap/>
            <w:vAlign w:val="center"/>
          </w:tcPr>
          <w:p>
            <w:pPr>
              <w:tabs>
                <w:tab w:val="left" w:pos="993"/>
              </w:tabs>
              <w:spacing w:line="300" w:lineRule="auto"/>
              <w:rPr>
                <w:rFonts w:ascii="宋体" w:hAnsi="宋体"/>
                <w:sz w:val="24"/>
              </w:rPr>
            </w:pPr>
            <w:r>
              <w:rPr>
                <w:rFonts w:ascii="宋体" w:hAnsi="宋体"/>
                <w:sz w:val="24"/>
              </w:rPr>
              <w:t>9</w:t>
            </w:r>
          </w:p>
        </w:tc>
        <w:tc>
          <w:tcPr>
            <w:tcW w:w="8389" w:type="dxa"/>
            <w:gridSpan w:val="2"/>
            <w:noWrap/>
            <w:vAlign w:val="center"/>
          </w:tcPr>
          <w:p>
            <w:pPr>
              <w:tabs>
                <w:tab w:val="left" w:pos="993"/>
              </w:tabs>
              <w:spacing w:line="300" w:lineRule="auto"/>
              <w:rPr>
                <w:rFonts w:ascii="宋体" w:hAnsi="宋体"/>
                <w:sz w:val="24"/>
              </w:rPr>
            </w:pPr>
            <w:r>
              <w:rPr>
                <w:rFonts w:ascii="宋体" w:hAnsi="宋体"/>
                <w:sz w:val="24"/>
              </w:rPr>
              <w:t>其他需要说明的情况</w:t>
            </w:r>
          </w:p>
        </w:tc>
      </w:tr>
    </w:tbl>
    <w:p>
      <w:pPr>
        <w:spacing w:line="480" w:lineRule="exact"/>
        <w:jc w:val="center"/>
        <w:rPr>
          <w:b/>
          <w:bCs/>
          <w:sz w:val="24"/>
          <w:szCs w:val="22"/>
        </w:rPr>
        <w:sectPr>
          <w:pgSz w:w="11906" w:h="16838"/>
          <w:pgMar w:top="1361" w:right="1361" w:bottom="1361" w:left="1361" w:header="851" w:footer="992" w:gutter="0"/>
          <w:cols w:space="720" w:num="1"/>
          <w:docGrid w:linePitch="328" w:charSpace="733"/>
        </w:sectPr>
      </w:pPr>
    </w:p>
    <w:p>
      <w:pPr>
        <w:spacing w:line="480" w:lineRule="exact"/>
        <w:jc w:val="center"/>
        <w:rPr>
          <w:b/>
          <w:bCs/>
          <w:sz w:val="24"/>
          <w:szCs w:val="22"/>
        </w:rPr>
      </w:pPr>
      <w:r>
        <w:rPr>
          <w:rFonts w:hint="eastAsia"/>
          <w:b/>
          <w:bCs/>
          <w:sz w:val="24"/>
          <w:szCs w:val="22"/>
        </w:rPr>
        <w:t>3</w:t>
      </w:r>
      <w:r>
        <w:rPr>
          <w:b/>
          <w:bCs/>
          <w:sz w:val="24"/>
          <w:szCs w:val="22"/>
        </w:rPr>
        <w:t>、技术条款响应一览表</w:t>
      </w:r>
    </w:p>
    <w:p>
      <w:pPr>
        <w:snapToGrid w:val="0"/>
        <w:spacing w:line="480" w:lineRule="exact"/>
        <w:jc w:val="left"/>
        <w:outlineLvl w:val="3"/>
        <w:rPr>
          <w:b/>
          <w:sz w:val="28"/>
          <w:szCs w:val="28"/>
        </w:rPr>
      </w:pPr>
    </w:p>
    <w:tbl>
      <w:tblPr>
        <w:tblStyle w:val="15"/>
        <w:tblW w:w="95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43" w:type="dxa"/>
            <w:tcBorders>
              <w:top w:val="single" w:color="auto" w:sz="12" w:space="0"/>
              <w:left w:val="single" w:color="auto" w:sz="12" w:space="0"/>
              <w:bottom w:val="single" w:color="auto" w:sz="4" w:space="0"/>
              <w:right w:val="single" w:color="auto" w:sz="4" w:space="0"/>
            </w:tcBorders>
            <w:noWrap/>
            <w:vAlign w:val="center"/>
          </w:tcPr>
          <w:p>
            <w:pPr>
              <w:spacing w:line="480" w:lineRule="exact"/>
              <w:jc w:val="center"/>
              <w:rPr>
                <w:szCs w:val="20"/>
              </w:rPr>
            </w:pPr>
            <w:r>
              <w:rPr>
                <w:szCs w:val="20"/>
              </w:rPr>
              <w:t>序号</w:t>
            </w:r>
          </w:p>
        </w:tc>
        <w:tc>
          <w:tcPr>
            <w:tcW w:w="1243" w:type="dxa"/>
            <w:tcBorders>
              <w:top w:val="single" w:color="auto" w:sz="12" w:space="0"/>
              <w:left w:val="single" w:color="auto" w:sz="4" w:space="0"/>
              <w:bottom w:val="single" w:color="auto" w:sz="4" w:space="0"/>
              <w:right w:val="single" w:color="auto" w:sz="4" w:space="0"/>
            </w:tcBorders>
            <w:noWrap/>
            <w:vAlign w:val="center"/>
          </w:tcPr>
          <w:p>
            <w:pPr>
              <w:spacing w:line="480" w:lineRule="exact"/>
              <w:jc w:val="center"/>
              <w:rPr>
                <w:szCs w:val="20"/>
              </w:rPr>
            </w:pPr>
            <w:r>
              <w:rPr>
                <w:sz w:val="24"/>
                <w:szCs w:val="24"/>
              </w:rPr>
              <w:t>货物名称</w:t>
            </w:r>
          </w:p>
        </w:tc>
        <w:tc>
          <w:tcPr>
            <w:tcW w:w="1416" w:type="dxa"/>
            <w:tcBorders>
              <w:top w:val="single" w:color="auto" w:sz="12" w:space="0"/>
              <w:left w:val="single" w:color="auto" w:sz="4" w:space="0"/>
              <w:bottom w:val="single" w:color="auto" w:sz="4" w:space="0"/>
              <w:right w:val="single" w:color="auto" w:sz="4" w:space="0"/>
            </w:tcBorders>
            <w:noWrap/>
            <w:vAlign w:val="center"/>
          </w:tcPr>
          <w:p>
            <w:pPr>
              <w:spacing w:line="480" w:lineRule="exact"/>
              <w:jc w:val="center"/>
              <w:rPr>
                <w:sz w:val="24"/>
                <w:szCs w:val="24"/>
              </w:rPr>
            </w:pPr>
            <w:r>
              <w:rPr>
                <w:sz w:val="24"/>
                <w:szCs w:val="24"/>
              </w:rPr>
              <w:t>所投</w:t>
            </w:r>
          </w:p>
          <w:p>
            <w:pPr>
              <w:spacing w:line="480" w:lineRule="exact"/>
              <w:jc w:val="center"/>
              <w:rPr>
                <w:dstrike/>
                <w:szCs w:val="20"/>
              </w:rPr>
            </w:pPr>
            <w:r>
              <w:rPr>
                <w:sz w:val="24"/>
                <w:szCs w:val="24"/>
              </w:rPr>
              <w:t>品牌型号</w:t>
            </w:r>
          </w:p>
        </w:tc>
        <w:tc>
          <w:tcPr>
            <w:tcW w:w="1701" w:type="dxa"/>
            <w:tcBorders>
              <w:top w:val="single" w:color="auto" w:sz="12" w:space="0"/>
              <w:left w:val="single" w:color="auto" w:sz="4" w:space="0"/>
              <w:bottom w:val="single" w:color="auto" w:sz="4" w:space="0"/>
              <w:right w:val="single" w:color="auto" w:sz="4" w:space="0"/>
            </w:tcBorders>
            <w:noWrap/>
            <w:vAlign w:val="center"/>
          </w:tcPr>
          <w:p>
            <w:pPr>
              <w:spacing w:line="480" w:lineRule="exact"/>
              <w:jc w:val="center"/>
              <w:rPr>
                <w:sz w:val="24"/>
                <w:szCs w:val="24"/>
              </w:rPr>
            </w:pPr>
            <w:r>
              <w:rPr>
                <w:sz w:val="24"/>
                <w:szCs w:val="20"/>
              </w:rPr>
              <w:t>询价文件</w:t>
            </w:r>
          </w:p>
          <w:p>
            <w:pPr>
              <w:spacing w:line="480" w:lineRule="exact"/>
              <w:jc w:val="center"/>
              <w:rPr>
                <w:sz w:val="24"/>
                <w:szCs w:val="24"/>
              </w:rPr>
            </w:pPr>
            <w:r>
              <w:rPr>
                <w:sz w:val="24"/>
                <w:szCs w:val="24"/>
              </w:rPr>
              <w:t>货物参数要求</w:t>
            </w:r>
          </w:p>
        </w:tc>
        <w:tc>
          <w:tcPr>
            <w:tcW w:w="2268" w:type="dxa"/>
            <w:tcBorders>
              <w:top w:val="single" w:color="auto" w:sz="12" w:space="0"/>
              <w:left w:val="single" w:color="auto" w:sz="4" w:space="0"/>
              <w:bottom w:val="single" w:color="auto" w:sz="4" w:space="0"/>
              <w:right w:val="single" w:color="auto" w:sz="4" w:space="0"/>
            </w:tcBorders>
            <w:noWrap/>
            <w:vAlign w:val="center"/>
          </w:tcPr>
          <w:p>
            <w:pPr>
              <w:spacing w:line="480" w:lineRule="exact"/>
              <w:jc w:val="center"/>
              <w:rPr>
                <w:sz w:val="24"/>
                <w:szCs w:val="24"/>
              </w:rPr>
            </w:pPr>
            <w:r>
              <w:rPr>
                <w:sz w:val="24"/>
                <w:szCs w:val="24"/>
              </w:rPr>
              <w:t>所投货物</w:t>
            </w:r>
          </w:p>
          <w:p>
            <w:pPr>
              <w:spacing w:line="480" w:lineRule="exact"/>
              <w:jc w:val="center"/>
              <w:rPr>
                <w:sz w:val="24"/>
                <w:szCs w:val="24"/>
              </w:rPr>
            </w:pPr>
            <w:r>
              <w:rPr>
                <w:sz w:val="24"/>
                <w:szCs w:val="24"/>
              </w:rPr>
              <w:t>技术响应参数</w:t>
            </w:r>
          </w:p>
        </w:tc>
        <w:tc>
          <w:tcPr>
            <w:tcW w:w="1363" w:type="dxa"/>
            <w:tcBorders>
              <w:top w:val="single" w:color="auto" w:sz="12" w:space="0"/>
              <w:left w:val="single" w:color="auto" w:sz="4" w:space="0"/>
              <w:bottom w:val="single" w:color="auto" w:sz="4" w:space="0"/>
              <w:right w:val="single" w:color="auto" w:sz="4" w:space="0"/>
            </w:tcBorders>
            <w:noWrap/>
            <w:vAlign w:val="center"/>
          </w:tcPr>
          <w:p>
            <w:pPr>
              <w:spacing w:line="480" w:lineRule="exact"/>
              <w:jc w:val="center"/>
              <w:rPr>
                <w:szCs w:val="20"/>
              </w:rPr>
            </w:pPr>
            <w:r>
              <w:rPr>
                <w:szCs w:val="20"/>
              </w:rPr>
              <w:t>偏离/响应</w:t>
            </w:r>
          </w:p>
        </w:tc>
        <w:tc>
          <w:tcPr>
            <w:tcW w:w="809" w:type="dxa"/>
            <w:tcBorders>
              <w:top w:val="single" w:color="auto" w:sz="12" w:space="0"/>
              <w:left w:val="single" w:color="auto" w:sz="4" w:space="0"/>
              <w:bottom w:val="single" w:color="auto" w:sz="4" w:space="0"/>
              <w:right w:val="single" w:color="auto" w:sz="12" w:space="0"/>
            </w:tcBorders>
            <w:noWrap/>
            <w:vAlign w:val="center"/>
          </w:tcPr>
          <w:p>
            <w:pPr>
              <w:spacing w:line="480" w:lineRule="exact"/>
              <w:jc w:val="center"/>
              <w:rPr>
                <w:szCs w:val="20"/>
              </w:rPr>
            </w:pPr>
            <w:r>
              <w:rPr>
                <w:szCs w:val="20"/>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noWrap/>
          </w:tcPr>
          <w:p>
            <w:pPr>
              <w:spacing w:line="480" w:lineRule="exact"/>
              <w:jc w:val="left"/>
              <w:rPr>
                <w:szCs w:val="20"/>
              </w:rPr>
            </w:pPr>
          </w:p>
        </w:tc>
        <w:tc>
          <w:tcPr>
            <w:tcW w:w="124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416" w:type="dxa"/>
            <w:tcBorders>
              <w:top w:val="single" w:color="auto" w:sz="4" w:space="0"/>
              <w:left w:val="single" w:color="auto" w:sz="4" w:space="0"/>
              <w:bottom w:val="single" w:color="auto" w:sz="4" w:space="0"/>
              <w:right w:val="single" w:color="auto" w:sz="4" w:space="0"/>
            </w:tcBorders>
            <w:noWrap/>
          </w:tcPr>
          <w:p>
            <w:pPr>
              <w:spacing w:line="480" w:lineRule="exact"/>
              <w:jc w:val="left"/>
              <w:rPr>
                <w:szCs w:val="2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36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809"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left"/>
              <w:rPr>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noWrap/>
          </w:tcPr>
          <w:p>
            <w:pPr>
              <w:spacing w:line="480" w:lineRule="exact"/>
              <w:jc w:val="left"/>
              <w:rPr>
                <w:szCs w:val="20"/>
              </w:rPr>
            </w:pPr>
          </w:p>
        </w:tc>
        <w:tc>
          <w:tcPr>
            <w:tcW w:w="124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416" w:type="dxa"/>
            <w:tcBorders>
              <w:top w:val="single" w:color="auto" w:sz="4" w:space="0"/>
              <w:left w:val="single" w:color="auto" w:sz="4" w:space="0"/>
              <w:bottom w:val="single" w:color="auto" w:sz="4" w:space="0"/>
              <w:right w:val="single" w:color="auto" w:sz="4" w:space="0"/>
            </w:tcBorders>
            <w:noWrap/>
          </w:tcPr>
          <w:p>
            <w:pPr>
              <w:spacing w:line="480" w:lineRule="exact"/>
              <w:jc w:val="left"/>
              <w:rPr>
                <w:szCs w:val="2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36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809"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left"/>
              <w:rPr>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4" w:space="0"/>
              <w:right w:val="single" w:color="auto" w:sz="4" w:space="0"/>
            </w:tcBorders>
            <w:noWrap/>
          </w:tcPr>
          <w:p>
            <w:pPr>
              <w:spacing w:line="480" w:lineRule="exact"/>
              <w:jc w:val="left"/>
              <w:rPr>
                <w:szCs w:val="20"/>
              </w:rPr>
            </w:pPr>
          </w:p>
        </w:tc>
        <w:tc>
          <w:tcPr>
            <w:tcW w:w="124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416" w:type="dxa"/>
            <w:tcBorders>
              <w:top w:val="single" w:color="auto" w:sz="4" w:space="0"/>
              <w:left w:val="single" w:color="auto" w:sz="4" w:space="0"/>
              <w:bottom w:val="single" w:color="auto" w:sz="4" w:space="0"/>
              <w:right w:val="single" w:color="auto" w:sz="4" w:space="0"/>
            </w:tcBorders>
            <w:noWrap/>
          </w:tcPr>
          <w:p>
            <w:pPr>
              <w:spacing w:line="480" w:lineRule="exact"/>
              <w:jc w:val="left"/>
              <w:rPr>
                <w:szCs w:val="20"/>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1363"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szCs w:val="20"/>
              </w:rPr>
            </w:pPr>
          </w:p>
        </w:tc>
        <w:tc>
          <w:tcPr>
            <w:tcW w:w="809"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left"/>
              <w:rPr>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12" w:space="0"/>
              <w:bottom w:val="single" w:color="auto" w:sz="12" w:space="0"/>
              <w:right w:val="single" w:color="auto" w:sz="4" w:space="0"/>
            </w:tcBorders>
            <w:noWrap/>
          </w:tcPr>
          <w:p>
            <w:pPr>
              <w:spacing w:line="480" w:lineRule="exact"/>
              <w:jc w:val="left"/>
              <w:rPr>
                <w:szCs w:val="20"/>
              </w:rPr>
            </w:pPr>
            <w:r>
              <w:rPr>
                <w:szCs w:val="20"/>
              </w:rPr>
              <w:t>……</w:t>
            </w:r>
          </w:p>
        </w:tc>
        <w:tc>
          <w:tcPr>
            <w:tcW w:w="1243" w:type="dxa"/>
            <w:tcBorders>
              <w:top w:val="single" w:color="auto" w:sz="4" w:space="0"/>
              <w:left w:val="single" w:color="auto" w:sz="4" w:space="0"/>
              <w:bottom w:val="single" w:color="auto" w:sz="12" w:space="0"/>
              <w:right w:val="single" w:color="auto" w:sz="4" w:space="0"/>
            </w:tcBorders>
            <w:noWrap/>
            <w:vAlign w:val="center"/>
          </w:tcPr>
          <w:p>
            <w:pPr>
              <w:spacing w:line="480" w:lineRule="exact"/>
              <w:jc w:val="left"/>
              <w:rPr>
                <w:szCs w:val="20"/>
              </w:rPr>
            </w:pPr>
          </w:p>
        </w:tc>
        <w:tc>
          <w:tcPr>
            <w:tcW w:w="1416" w:type="dxa"/>
            <w:tcBorders>
              <w:top w:val="single" w:color="auto" w:sz="4" w:space="0"/>
              <w:left w:val="single" w:color="auto" w:sz="4" w:space="0"/>
              <w:bottom w:val="single" w:color="auto" w:sz="12" w:space="0"/>
              <w:right w:val="single" w:color="auto" w:sz="4" w:space="0"/>
            </w:tcBorders>
            <w:noWrap/>
          </w:tcPr>
          <w:p>
            <w:pPr>
              <w:spacing w:line="480" w:lineRule="exact"/>
              <w:jc w:val="left"/>
              <w:rPr>
                <w:szCs w:val="20"/>
              </w:rPr>
            </w:pPr>
          </w:p>
        </w:tc>
        <w:tc>
          <w:tcPr>
            <w:tcW w:w="1701" w:type="dxa"/>
            <w:tcBorders>
              <w:top w:val="single" w:color="auto" w:sz="4" w:space="0"/>
              <w:left w:val="single" w:color="auto" w:sz="4" w:space="0"/>
              <w:bottom w:val="single" w:color="auto" w:sz="12" w:space="0"/>
              <w:right w:val="single" w:color="auto" w:sz="4" w:space="0"/>
            </w:tcBorders>
            <w:noWrap/>
            <w:vAlign w:val="center"/>
          </w:tcPr>
          <w:p>
            <w:pPr>
              <w:spacing w:line="480" w:lineRule="exact"/>
              <w:jc w:val="left"/>
              <w:rPr>
                <w:szCs w:val="20"/>
              </w:rPr>
            </w:pPr>
          </w:p>
        </w:tc>
        <w:tc>
          <w:tcPr>
            <w:tcW w:w="2268" w:type="dxa"/>
            <w:tcBorders>
              <w:top w:val="single" w:color="auto" w:sz="4" w:space="0"/>
              <w:left w:val="single" w:color="auto" w:sz="4" w:space="0"/>
              <w:bottom w:val="single" w:color="auto" w:sz="12" w:space="0"/>
              <w:right w:val="single" w:color="auto" w:sz="4" w:space="0"/>
            </w:tcBorders>
            <w:noWrap/>
            <w:vAlign w:val="center"/>
          </w:tcPr>
          <w:p>
            <w:pPr>
              <w:spacing w:line="480" w:lineRule="exact"/>
              <w:jc w:val="left"/>
              <w:rPr>
                <w:szCs w:val="20"/>
              </w:rPr>
            </w:pPr>
          </w:p>
        </w:tc>
        <w:tc>
          <w:tcPr>
            <w:tcW w:w="1363" w:type="dxa"/>
            <w:tcBorders>
              <w:top w:val="single" w:color="auto" w:sz="4" w:space="0"/>
              <w:left w:val="single" w:color="auto" w:sz="4" w:space="0"/>
              <w:bottom w:val="single" w:color="auto" w:sz="12" w:space="0"/>
              <w:right w:val="single" w:color="auto" w:sz="4" w:space="0"/>
            </w:tcBorders>
            <w:noWrap/>
            <w:vAlign w:val="center"/>
          </w:tcPr>
          <w:p>
            <w:pPr>
              <w:spacing w:line="480" w:lineRule="exact"/>
              <w:jc w:val="left"/>
              <w:rPr>
                <w:szCs w:val="20"/>
              </w:rPr>
            </w:pPr>
          </w:p>
        </w:tc>
        <w:tc>
          <w:tcPr>
            <w:tcW w:w="809" w:type="dxa"/>
            <w:tcBorders>
              <w:top w:val="single" w:color="auto" w:sz="4" w:space="0"/>
              <w:left w:val="single" w:color="auto" w:sz="4" w:space="0"/>
              <w:bottom w:val="single" w:color="auto" w:sz="12" w:space="0"/>
              <w:right w:val="single" w:color="auto" w:sz="12" w:space="0"/>
            </w:tcBorders>
            <w:noWrap/>
            <w:vAlign w:val="center"/>
          </w:tcPr>
          <w:p>
            <w:pPr>
              <w:spacing w:line="480" w:lineRule="exact"/>
              <w:jc w:val="left"/>
              <w:rPr>
                <w:szCs w:val="20"/>
              </w:rPr>
            </w:pPr>
          </w:p>
        </w:tc>
      </w:tr>
    </w:tbl>
    <w:p>
      <w:pPr>
        <w:spacing w:line="480" w:lineRule="exact"/>
        <w:ind w:firstLine="420" w:firstLineChars="200"/>
        <w:jc w:val="left"/>
      </w:pPr>
    </w:p>
    <w:p>
      <w:pPr>
        <w:spacing w:line="480" w:lineRule="exact"/>
        <w:ind w:firstLine="420" w:firstLineChars="200"/>
        <w:jc w:val="left"/>
      </w:pPr>
      <w:r>
        <w:t>1</w:t>
      </w:r>
      <w:r>
        <w:rPr>
          <w:rFonts w:hint="eastAsia" w:asciiTheme="minorEastAsia" w:hAnsiTheme="minorEastAsia" w:eastAsiaTheme="minorEastAsia" w:cstheme="minorEastAsia"/>
          <w:sz w:val="24"/>
          <w:szCs w:val="24"/>
        </w:rPr>
        <w:t>.</w:t>
      </w:r>
      <w:r>
        <w:t>供应商必须响应</w:t>
      </w:r>
      <w:r>
        <w:rPr>
          <w:sz w:val="24"/>
          <w:szCs w:val="20"/>
        </w:rPr>
        <w:t>询价文件</w:t>
      </w:r>
      <w:r>
        <w:t>中针对询价货物提出的全部技术规格与要求。</w:t>
      </w:r>
    </w:p>
    <w:p>
      <w:pPr>
        <w:spacing w:line="480" w:lineRule="exact"/>
        <w:ind w:firstLine="420" w:firstLineChars="200"/>
        <w:jc w:val="left"/>
        <w:rPr>
          <w:b/>
        </w:rPr>
      </w:pPr>
      <w:r>
        <w:t>2</w:t>
      </w:r>
      <w:r>
        <w:rPr>
          <w:rFonts w:hint="eastAsia" w:asciiTheme="minorEastAsia" w:hAnsiTheme="minorEastAsia" w:eastAsiaTheme="minorEastAsia" w:cstheme="minorEastAsia"/>
          <w:sz w:val="24"/>
          <w:szCs w:val="24"/>
        </w:rPr>
        <w:t>.</w:t>
      </w:r>
      <w:r>
        <w:t>供应商应对照询价文件第三章项目需求内的要求，逐一填写，与询价文件规定的项目要求有偏离的，应在此表中申明与技术要求条文的偏离情况，如有例外请说明。</w:t>
      </w:r>
      <w:r>
        <w:rPr>
          <w:rFonts w:hint="eastAsia"/>
          <w:b/>
        </w:rPr>
        <w:t>（本项目不接受负偏离应标）</w:t>
      </w:r>
    </w:p>
    <w:p>
      <w:pPr>
        <w:spacing w:line="480" w:lineRule="exact"/>
        <w:ind w:firstLine="420" w:firstLineChars="200"/>
        <w:jc w:val="left"/>
      </w:pPr>
      <w:r>
        <w:rPr>
          <w:rFonts w:hint="eastAsia"/>
        </w:rPr>
        <w:t>3</w:t>
      </w:r>
      <w:r>
        <w:rPr>
          <w:rFonts w:hint="eastAsia" w:asciiTheme="minorEastAsia" w:hAnsiTheme="minorEastAsia" w:eastAsiaTheme="minorEastAsia" w:cstheme="minorEastAsia"/>
          <w:sz w:val="24"/>
          <w:szCs w:val="24"/>
        </w:rPr>
        <w:t>.</w:t>
      </w:r>
      <w:r>
        <w:t>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提供的货物和服务同采购单位提出的项目需求说明中的技术要求不同的，必须在《技术条款响应一览表》上明示，如不明示的视同完全响应。</w:t>
      </w:r>
    </w:p>
    <w:p>
      <w:pPr>
        <w:spacing w:line="480" w:lineRule="exact"/>
        <w:ind w:firstLine="420" w:firstLineChars="200"/>
        <w:jc w:val="left"/>
      </w:pPr>
      <w:r>
        <w:rPr>
          <w:rFonts w:hint="eastAsia"/>
        </w:rPr>
        <w:t>4</w:t>
      </w:r>
      <w:r>
        <w:rPr>
          <w:rFonts w:hint="eastAsia" w:asciiTheme="minorEastAsia" w:hAnsiTheme="minorEastAsia" w:eastAsiaTheme="minorEastAsia" w:cstheme="minorEastAsia"/>
          <w:sz w:val="24"/>
          <w:szCs w:val="24"/>
        </w:rPr>
        <w:t>.</w:t>
      </w:r>
      <w:r>
        <w:t>此表不作为供应商对所提供标的物关于技术要求等详细描述和说明的替代。</w:t>
      </w:r>
    </w:p>
    <w:p>
      <w:pPr>
        <w:spacing w:line="480" w:lineRule="exact"/>
        <w:ind w:firstLine="420" w:firstLineChars="200"/>
        <w:jc w:val="left"/>
      </w:pPr>
      <w:r>
        <w:rPr>
          <w:rFonts w:hint="eastAsia"/>
        </w:rPr>
        <w:t>5</w:t>
      </w:r>
      <w:r>
        <w:rPr>
          <w:rFonts w:hint="eastAsia" w:asciiTheme="minorEastAsia" w:hAnsiTheme="minorEastAsia" w:eastAsiaTheme="minorEastAsia" w:cstheme="minorEastAsia"/>
          <w:sz w:val="24"/>
          <w:szCs w:val="24"/>
        </w:rPr>
        <w:t>.</w:t>
      </w:r>
      <w:r>
        <w:t>供应商如果虚假响应，将承担一切可能的风险。</w:t>
      </w:r>
    </w:p>
    <w:p>
      <w:pPr>
        <w:spacing w:line="480" w:lineRule="exact"/>
        <w:ind w:firstLine="420" w:firstLineChars="200"/>
        <w:jc w:val="left"/>
      </w:pPr>
      <w:r>
        <w:rPr>
          <w:rFonts w:hint="eastAsia"/>
        </w:rPr>
        <w:t>6</w:t>
      </w:r>
      <w:r>
        <w:rPr>
          <w:rFonts w:hint="eastAsia" w:asciiTheme="minorEastAsia" w:hAnsiTheme="minorEastAsia" w:eastAsiaTheme="minorEastAsia" w:cstheme="minorEastAsia"/>
          <w:sz w:val="24"/>
          <w:szCs w:val="24"/>
        </w:rPr>
        <w:t>.</w:t>
      </w:r>
      <w:r>
        <w:t>供应商若提供其他增值服务，可以在表中自己据实填实。</w:t>
      </w:r>
    </w:p>
    <w:p>
      <w:pPr>
        <w:spacing w:line="480" w:lineRule="exact"/>
        <w:ind w:firstLine="1820" w:firstLineChars="650"/>
        <w:jc w:val="left"/>
        <w:rPr>
          <w:sz w:val="28"/>
          <w:szCs w:val="28"/>
        </w:rPr>
      </w:pPr>
    </w:p>
    <w:p>
      <w:pPr>
        <w:spacing w:line="480" w:lineRule="exact"/>
        <w:ind w:firstLine="1560" w:firstLineChars="650"/>
        <w:jc w:val="center"/>
        <w:rPr>
          <w:sz w:val="24"/>
          <w:szCs w:val="24"/>
        </w:rPr>
      </w:pPr>
      <w:r>
        <w:rPr>
          <w:sz w:val="24"/>
          <w:szCs w:val="24"/>
        </w:rPr>
        <w:t>供应商：（加盖公章）</w:t>
      </w:r>
    </w:p>
    <w:p>
      <w:pPr>
        <w:spacing w:line="480" w:lineRule="exact"/>
        <w:ind w:firstLine="1560" w:firstLineChars="650"/>
        <w:jc w:val="center"/>
        <w:rPr>
          <w:sz w:val="24"/>
          <w:szCs w:val="24"/>
        </w:rPr>
      </w:pPr>
      <w:r>
        <w:rPr>
          <w:sz w:val="24"/>
          <w:szCs w:val="24"/>
        </w:rPr>
        <w:t>法定代表人或被授权人：（签字或盖章）</w:t>
      </w:r>
    </w:p>
    <w:p>
      <w:pPr>
        <w:spacing w:line="480" w:lineRule="exact"/>
        <w:ind w:firstLine="4560" w:firstLineChars="1900"/>
        <w:rPr>
          <w:sz w:val="24"/>
          <w:szCs w:val="24"/>
        </w:rPr>
      </w:pPr>
      <w:r>
        <w:rPr>
          <w:sz w:val="24"/>
          <w:szCs w:val="24"/>
        </w:rPr>
        <w:t>年  月  日</w:t>
      </w:r>
    </w:p>
    <w:p>
      <w:pPr>
        <w:spacing w:line="400" w:lineRule="atLeast"/>
        <w:jc w:val="center"/>
        <w:rPr>
          <w:b/>
        </w:rPr>
      </w:pPr>
      <w:r>
        <w:br w:type="page"/>
      </w:r>
    </w:p>
    <w:p>
      <w:pPr>
        <w:tabs>
          <w:tab w:val="left" w:pos="4050"/>
        </w:tabs>
        <w:spacing w:line="500" w:lineRule="exact"/>
        <w:jc w:val="left"/>
        <w:rPr>
          <w:b/>
          <w:bCs/>
          <w:sz w:val="24"/>
          <w:szCs w:val="24"/>
        </w:rPr>
      </w:pPr>
    </w:p>
    <w:p>
      <w:pPr>
        <w:tabs>
          <w:tab w:val="left" w:pos="4050"/>
        </w:tabs>
        <w:spacing w:line="500" w:lineRule="exact"/>
        <w:jc w:val="left"/>
        <w:rPr>
          <w:b/>
          <w:bCs/>
          <w:sz w:val="24"/>
          <w:szCs w:val="24"/>
        </w:rPr>
      </w:pPr>
      <w:r>
        <w:rPr>
          <w:b/>
          <w:bCs/>
          <w:sz w:val="24"/>
          <w:szCs w:val="24"/>
        </w:rPr>
        <w:t>三、商务报价响应文件相关的格式文件及表格</w:t>
      </w:r>
    </w:p>
    <w:p>
      <w:pPr>
        <w:pStyle w:val="6"/>
        <w:ind w:left="0" w:leftChars="0"/>
      </w:pPr>
    </w:p>
    <w:p>
      <w:pPr>
        <w:numPr>
          <w:ilvl w:val="0"/>
          <w:numId w:val="6"/>
        </w:numPr>
        <w:snapToGrid w:val="0"/>
        <w:spacing w:line="480" w:lineRule="exact"/>
        <w:jc w:val="center"/>
        <w:outlineLvl w:val="3"/>
        <w:rPr>
          <w:rFonts w:ascii="宋体" w:hAnsi="宋体" w:cs="宋体"/>
          <w:b/>
          <w:bCs/>
          <w:sz w:val="24"/>
          <w:szCs w:val="24"/>
        </w:rPr>
      </w:pPr>
      <w:r>
        <w:rPr>
          <w:b/>
          <w:bCs/>
          <w:sz w:val="24"/>
          <w:szCs w:val="24"/>
        </w:rPr>
        <w:t>询价响应报价总表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93" w:type="dxa"/>
            <w:vAlign w:val="center"/>
          </w:tcPr>
          <w:p>
            <w:pPr>
              <w:spacing w:line="520" w:lineRule="exact"/>
              <w:jc w:val="center"/>
              <w:rPr>
                <w:rFonts w:ascii="宋体" w:hAnsi="宋体"/>
                <w:sz w:val="24"/>
              </w:rPr>
            </w:pPr>
            <w:r>
              <w:rPr>
                <w:rFonts w:hint="eastAsia" w:ascii="宋体" w:hAnsi="宋体"/>
                <w:sz w:val="24"/>
              </w:rPr>
              <w:t>招标项目名称</w:t>
            </w:r>
          </w:p>
        </w:tc>
        <w:tc>
          <w:tcPr>
            <w:tcW w:w="6379" w:type="dxa"/>
            <w:vAlign w:val="center"/>
          </w:tcPr>
          <w:p>
            <w:pPr>
              <w:spacing w:line="520" w:lineRule="exact"/>
              <w:jc w:val="center"/>
              <w:rPr>
                <w:rFonts w:ascii="宋体" w:hAnsi="宋体"/>
                <w:sz w:val="24"/>
              </w:rPr>
            </w:pPr>
            <w:r>
              <w:rPr>
                <w:rFonts w:hint="eastAsia" w:ascii="宋体" w:hAnsi="宋体"/>
                <w:sz w:val="24"/>
              </w:rPr>
              <w:t>南通市崇川区应急管理局远程视频会议室建设项目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93" w:type="dxa"/>
            <w:vAlign w:val="center"/>
          </w:tcPr>
          <w:p>
            <w:pPr>
              <w:spacing w:line="520" w:lineRule="exact"/>
              <w:jc w:val="center"/>
              <w:rPr>
                <w:rFonts w:ascii="宋体" w:hAnsi="宋体"/>
                <w:sz w:val="24"/>
              </w:rPr>
            </w:pPr>
            <w:r>
              <w:rPr>
                <w:rFonts w:ascii="宋体" w:hAnsi="宋体"/>
                <w:sz w:val="24"/>
              </w:rPr>
              <w:t>投标报价总计</w:t>
            </w:r>
          </w:p>
        </w:tc>
        <w:tc>
          <w:tcPr>
            <w:tcW w:w="6379" w:type="dxa"/>
            <w:vAlign w:val="center"/>
          </w:tcPr>
          <w:p>
            <w:pPr>
              <w:spacing w:line="520" w:lineRule="exact"/>
              <w:rPr>
                <w:rFonts w:ascii="宋体" w:hAnsi="宋体"/>
                <w:sz w:val="24"/>
                <w:u w:val="single"/>
              </w:rPr>
            </w:pPr>
            <w:r>
              <w:rPr>
                <w:rFonts w:hint="eastAsia" w:ascii="宋体" w:hAnsi="宋体"/>
                <w:sz w:val="24"/>
              </w:rPr>
              <w:t>￥         元，人民币大写：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93" w:type="dxa"/>
            <w:vAlign w:val="center"/>
          </w:tcPr>
          <w:p>
            <w:pPr>
              <w:widowControl/>
              <w:spacing w:after="150"/>
              <w:jc w:val="center"/>
              <w:rPr>
                <w:rFonts w:ascii="宋体" w:hAnsi="宋体"/>
                <w:sz w:val="24"/>
              </w:rPr>
            </w:pPr>
            <w:r>
              <w:rPr>
                <w:rFonts w:hint="eastAsia"/>
                <w:sz w:val="24"/>
                <w:szCs w:val="24"/>
              </w:rPr>
              <w:t>产品交付安装</w:t>
            </w:r>
            <w:r>
              <w:rPr>
                <w:rFonts w:ascii="宋体" w:hAnsi="宋体"/>
                <w:sz w:val="24"/>
              </w:rPr>
              <w:t>时间</w:t>
            </w:r>
          </w:p>
        </w:tc>
        <w:tc>
          <w:tcPr>
            <w:tcW w:w="6379" w:type="dxa"/>
            <w:vAlign w:val="center"/>
          </w:tcPr>
          <w:p>
            <w:pPr>
              <w:spacing w:line="520" w:lineRule="exact"/>
              <w:jc w:val="left"/>
              <w:rPr>
                <w:rFonts w:ascii="宋体" w:hAnsi="宋体"/>
                <w:sz w:val="24"/>
              </w:rPr>
            </w:pPr>
            <w:r>
              <w:rPr>
                <w:rFonts w:hint="eastAsia"/>
                <w:sz w:val="24"/>
                <w:szCs w:val="24"/>
              </w:rPr>
              <w:t xml:space="preserve">合同签订生效后 </w:t>
            </w:r>
            <w:r>
              <w:rPr>
                <w:rFonts w:hint="eastAsia"/>
                <w:sz w:val="24"/>
                <w:szCs w:val="24"/>
                <w:u w:val="single"/>
              </w:rPr>
              <w:t xml:space="preserve">    </w:t>
            </w:r>
            <w:r>
              <w:rPr>
                <w:rFonts w:hint="eastAsia"/>
                <w:sz w:val="24"/>
                <w:szCs w:val="24"/>
              </w:rPr>
              <w:t>日历天（含节假日和夜间施工）内供货并安装、调试完毕。</w:t>
            </w:r>
          </w:p>
        </w:tc>
      </w:tr>
    </w:tbl>
    <w:p>
      <w:pPr>
        <w:kinsoku w:val="0"/>
        <w:topLinePunct/>
        <w:snapToGrid w:val="0"/>
        <w:spacing w:line="480" w:lineRule="exact"/>
        <w:jc w:val="left"/>
        <w:rPr>
          <w:sz w:val="24"/>
          <w:szCs w:val="24"/>
        </w:rPr>
      </w:pPr>
      <w:r>
        <w:rPr>
          <w:sz w:val="24"/>
          <w:szCs w:val="24"/>
        </w:rPr>
        <w:t xml:space="preserve">供应商：（盖章）             </w:t>
      </w:r>
    </w:p>
    <w:p>
      <w:pPr>
        <w:kinsoku w:val="0"/>
        <w:topLinePunct/>
        <w:snapToGrid w:val="0"/>
        <w:spacing w:line="480" w:lineRule="exact"/>
        <w:jc w:val="left"/>
        <w:rPr>
          <w:sz w:val="24"/>
          <w:szCs w:val="24"/>
        </w:rPr>
      </w:pPr>
      <w:r>
        <w:rPr>
          <w:sz w:val="24"/>
          <w:szCs w:val="24"/>
        </w:rPr>
        <w:t>法定代表人或被授权人（签字或盖章）：</w:t>
      </w:r>
    </w:p>
    <w:p>
      <w:pPr>
        <w:kinsoku w:val="0"/>
        <w:topLinePunct/>
        <w:snapToGrid w:val="0"/>
        <w:spacing w:line="480" w:lineRule="exact"/>
        <w:jc w:val="left"/>
        <w:rPr>
          <w:sz w:val="24"/>
          <w:szCs w:val="24"/>
        </w:rPr>
      </w:pPr>
      <w:r>
        <w:rPr>
          <w:sz w:val="24"/>
          <w:szCs w:val="24"/>
        </w:rPr>
        <w:t>日期：</w:t>
      </w:r>
    </w:p>
    <w:p>
      <w:pPr>
        <w:kinsoku w:val="0"/>
        <w:topLinePunct/>
        <w:snapToGrid w:val="0"/>
        <w:spacing w:line="480" w:lineRule="exact"/>
        <w:jc w:val="left"/>
        <w:rPr>
          <w:sz w:val="24"/>
          <w:szCs w:val="24"/>
        </w:rPr>
      </w:pPr>
    </w:p>
    <w:p>
      <w:pPr>
        <w:snapToGrid w:val="0"/>
        <w:spacing w:line="480" w:lineRule="exact"/>
        <w:ind w:firstLine="496" w:firstLineChars="206"/>
        <w:jc w:val="left"/>
        <w:rPr>
          <w:b/>
          <w:bCs/>
          <w:sz w:val="24"/>
          <w:szCs w:val="24"/>
        </w:rPr>
      </w:pPr>
      <w:r>
        <w:rPr>
          <w:b/>
          <w:bCs/>
          <w:sz w:val="24"/>
          <w:szCs w:val="24"/>
        </w:rPr>
        <w:t>注：</w:t>
      </w:r>
    </w:p>
    <w:p>
      <w:pPr>
        <w:snapToGrid w:val="0"/>
        <w:spacing w:line="480" w:lineRule="exact"/>
        <w:ind w:firstLine="494" w:firstLineChars="206"/>
        <w:jc w:val="left"/>
        <w:rPr>
          <w:sz w:val="24"/>
          <w:szCs w:val="24"/>
        </w:rPr>
      </w:pPr>
      <w:r>
        <w:rPr>
          <w:sz w:val="24"/>
          <w:szCs w:val="24"/>
        </w:rPr>
        <w:t>1</w:t>
      </w:r>
      <w:r>
        <w:rPr>
          <w:rFonts w:hint="eastAsia" w:asciiTheme="minorEastAsia" w:hAnsiTheme="minorEastAsia" w:eastAsiaTheme="minorEastAsia" w:cstheme="minorEastAsia"/>
          <w:sz w:val="24"/>
          <w:szCs w:val="24"/>
        </w:rPr>
        <w:t>.</w:t>
      </w:r>
      <w:r>
        <w:rPr>
          <w:sz w:val="24"/>
          <w:szCs w:val="24"/>
        </w:rPr>
        <w:t>本表式，不得自行改动。</w:t>
      </w:r>
    </w:p>
    <w:p>
      <w:pPr>
        <w:snapToGrid w:val="0"/>
        <w:spacing w:line="480" w:lineRule="exact"/>
        <w:ind w:firstLine="480" w:firstLineChars="200"/>
        <w:jc w:val="left"/>
        <w:rPr>
          <w:bCs/>
          <w:sz w:val="24"/>
          <w:szCs w:val="24"/>
        </w:rPr>
      </w:pPr>
      <w:r>
        <w:rPr>
          <w:sz w:val="24"/>
          <w:szCs w:val="24"/>
        </w:rPr>
        <w:t>2</w:t>
      </w:r>
      <w:r>
        <w:rPr>
          <w:rFonts w:hint="eastAsia" w:asciiTheme="minorEastAsia" w:hAnsiTheme="minorEastAsia" w:eastAsiaTheme="minorEastAsia" w:cstheme="minorEastAsia"/>
          <w:sz w:val="24"/>
          <w:szCs w:val="24"/>
        </w:rPr>
        <w:t>.</w:t>
      </w:r>
      <w:r>
        <w:rPr>
          <w:sz w:val="24"/>
          <w:szCs w:val="24"/>
        </w:rPr>
        <w:t>本表投标总报价（以人民币计价）应</w:t>
      </w:r>
      <w:r>
        <w:rPr>
          <w:rFonts w:hint="eastAsia" w:ascii="宋体" w:hAnsi="宋体"/>
          <w:snapToGrid w:val="0"/>
          <w:sz w:val="24"/>
          <w:szCs w:val="24"/>
        </w:rPr>
        <w:t>报价包含货物的成本、利润、税金、市场材料价格风险费、政策性调整风险费等的所有费用；货物包装、运输、保险、装卸、搬运费、保管费；技术资料、损耗、人工费、机械费、检测费、管理费、安装及调试费、利润；国家税务部门规定的各项税金；原材料的涨价及政策性调整等风险费；相关伴随服务以及保质期、售后服务等一切费用；即本项目采购的货物交付使用前的所有费用以及免费质保期内的服务费用等包含响应磋商文件采购要求的所有费用。</w:t>
      </w:r>
    </w:p>
    <w:p>
      <w:pPr>
        <w:snapToGrid w:val="0"/>
        <w:spacing w:line="480" w:lineRule="exact"/>
        <w:ind w:firstLine="480" w:firstLineChars="200"/>
        <w:jc w:val="left"/>
        <w:rPr>
          <w:bCs/>
          <w:sz w:val="24"/>
          <w:szCs w:val="24"/>
        </w:rPr>
        <w:sectPr>
          <w:pgSz w:w="11906" w:h="16838"/>
          <w:pgMar w:top="1361" w:right="1361" w:bottom="1361" w:left="1361" w:header="851" w:footer="992" w:gutter="0"/>
          <w:cols w:space="720" w:num="1"/>
          <w:docGrid w:linePitch="328" w:charSpace="733"/>
        </w:sectPr>
      </w:pPr>
      <w:r>
        <w:rPr>
          <w:rFonts w:hint="eastAsia"/>
          <w:bCs/>
          <w:sz w:val="24"/>
          <w:szCs w:val="24"/>
        </w:rPr>
        <w:t>3</w:t>
      </w:r>
      <w:r>
        <w:rPr>
          <w:rFonts w:hint="eastAsia" w:asciiTheme="minorEastAsia" w:hAnsiTheme="minorEastAsia" w:eastAsiaTheme="minorEastAsia" w:cstheme="minorEastAsia"/>
          <w:sz w:val="24"/>
          <w:szCs w:val="24"/>
        </w:rPr>
        <w:t>.</w:t>
      </w:r>
      <w:r>
        <w:rPr>
          <w:rFonts w:hint="eastAsia"/>
          <w:bCs/>
          <w:sz w:val="24"/>
          <w:szCs w:val="24"/>
        </w:rPr>
        <w:t>投标报价超过该最高限价的视为无效响应文件。</w:t>
      </w:r>
    </w:p>
    <w:p>
      <w:pPr>
        <w:numPr>
          <w:ilvl w:val="0"/>
          <w:numId w:val="6"/>
        </w:numPr>
        <w:snapToGrid w:val="0"/>
        <w:spacing w:line="480" w:lineRule="exact"/>
        <w:jc w:val="center"/>
        <w:outlineLvl w:val="3"/>
        <w:rPr>
          <w:b/>
          <w:bCs/>
          <w:sz w:val="24"/>
          <w:szCs w:val="24"/>
        </w:rPr>
      </w:pPr>
      <w:r>
        <w:rPr>
          <w:b/>
          <w:bCs/>
          <w:sz w:val="24"/>
          <w:szCs w:val="24"/>
        </w:rPr>
        <w:t>询价响应报价明细表</w:t>
      </w:r>
    </w:p>
    <w:p>
      <w:pPr>
        <w:pStyle w:val="5"/>
        <w:jc w:val="center"/>
      </w:pPr>
      <w:r>
        <w:rPr>
          <w:rFonts w:hint="eastAsia" w:ascii="宋体" w:hAnsi="宋体"/>
          <w:b/>
          <w:sz w:val="24"/>
          <w:szCs w:val="24"/>
        </w:rPr>
        <w:t>（格式自拟）</w:t>
      </w:r>
    </w:p>
    <w:sectPr>
      <w:pgSz w:w="11906" w:h="16838"/>
      <w:pgMar w:top="1361" w:right="1361" w:bottom="1361"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43</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CF52D"/>
    <w:multiLevelType w:val="singleLevel"/>
    <w:tmpl w:val="96ACF52D"/>
    <w:lvl w:ilvl="0" w:tentative="0">
      <w:start w:val="1"/>
      <w:numFmt w:val="decimal"/>
      <w:suff w:val="nothing"/>
      <w:lvlText w:val="%1、"/>
      <w:lvlJc w:val="left"/>
    </w:lvl>
  </w:abstractNum>
  <w:abstractNum w:abstractNumId="1">
    <w:nsid w:val="00000001"/>
    <w:multiLevelType w:val="singleLevel"/>
    <w:tmpl w:val="00000001"/>
    <w:lvl w:ilvl="0" w:tentative="0">
      <w:start w:val="1"/>
      <w:numFmt w:val="upperLetter"/>
      <w:suff w:val="nothing"/>
      <w:lvlText w:val="%1、"/>
      <w:lvlJc w:val="left"/>
      <w:rPr>
        <w:rFonts w:cs="Times New Roman"/>
      </w:rPr>
    </w:lvl>
  </w:abstractNum>
  <w:abstractNum w:abstractNumId="2">
    <w:nsid w:val="00000004"/>
    <w:multiLevelType w:val="singleLevel"/>
    <w:tmpl w:val="00000004"/>
    <w:lvl w:ilvl="0" w:tentative="0">
      <w:start w:val="1"/>
      <w:numFmt w:val="decimal"/>
      <w:suff w:val="nothing"/>
      <w:lvlText w:val="%1、"/>
      <w:lvlJc w:val="left"/>
      <w:rPr>
        <w:rFonts w:cs="Times New Roman"/>
      </w:rPr>
    </w:lvl>
  </w:abstractNum>
  <w:abstractNum w:abstractNumId="3">
    <w:nsid w:val="00000005"/>
    <w:multiLevelType w:val="singleLevel"/>
    <w:tmpl w:val="00000005"/>
    <w:lvl w:ilvl="0" w:tentative="0">
      <w:start w:val="1"/>
      <w:numFmt w:val="decimal"/>
      <w:suff w:val="nothing"/>
      <w:lvlText w:val="%1、"/>
      <w:lvlJc w:val="left"/>
      <w:rPr>
        <w:rFonts w:cs="Times New Roman"/>
      </w:rPr>
    </w:lvl>
  </w:abstractNum>
  <w:abstractNum w:abstractNumId="4">
    <w:nsid w:val="2FC553E8"/>
    <w:multiLevelType w:val="multilevel"/>
    <w:tmpl w:val="2FC553E8"/>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0692E85"/>
    <w:multiLevelType w:val="singleLevel"/>
    <w:tmpl w:val="50692E85"/>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0FF"/>
    <w:rsid w:val="00045B36"/>
    <w:rsid w:val="00046075"/>
    <w:rsid w:val="00055190"/>
    <w:rsid w:val="00061B82"/>
    <w:rsid w:val="00063F3F"/>
    <w:rsid w:val="00081F0E"/>
    <w:rsid w:val="00087A6B"/>
    <w:rsid w:val="000A65C0"/>
    <w:rsid w:val="000C3F92"/>
    <w:rsid w:val="000D56AA"/>
    <w:rsid w:val="0011742D"/>
    <w:rsid w:val="00120DF5"/>
    <w:rsid w:val="001234D4"/>
    <w:rsid w:val="0012554B"/>
    <w:rsid w:val="001641AF"/>
    <w:rsid w:val="00172A27"/>
    <w:rsid w:val="001776AE"/>
    <w:rsid w:val="0018181F"/>
    <w:rsid w:val="001B7303"/>
    <w:rsid w:val="001D19A7"/>
    <w:rsid w:val="001D2DC1"/>
    <w:rsid w:val="001E4159"/>
    <w:rsid w:val="001F0944"/>
    <w:rsid w:val="001F47D7"/>
    <w:rsid w:val="0021415A"/>
    <w:rsid w:val="00263F72"/>
    <w:rsid w:val="0027278D"/>
    <w:rsid w:val="00276DD1"/>
    <w:rsid w:val="00286653"/>
    <w:rsid w:val="002921BA"/>
    <w:rsid w:val="002B067B"/>
    <w:rsid w:val="002B3BB5"/>
    <w:rsid w:val="002B3FCF"/>
    <w:rsid w:val="002E4254"/>
    <w:rsid w:val="002F2EFE"/>
    <w:rsid w:val="003002B5"/>
    <w:rsid w:val="00306AC0"/>
    <w:rsid w:val="00314165"/>
    <w:rsid w:val="00316710"/>
    <w:rsid w:val="003250A4"/>
    <w:rsid w:val="00333420"/>
    <w:rsid w:val="003442F1"/>
    <w:rsid w:val="00362264"/>
    <w:rsid w:val="003630B8"/>
    <w:rsid w:val="0037289E"/>
    <w:rsid w:val="0037378B"/>
    <w:rsid w:val="003B2C3A"/>
    <w:rsid w:val="003D479C"/>
    <w:rsid w:val="003D7724"/>
    <w:rsid w:val="003E1D45"/>
    <w:rsid w:val="00405DA8"/>
    <w:rsid w:val="00434A02"/>
    <w:rsid w:val="00436A91"/>
    <w:rsid w:val="00437696"/>
    <w:rsid w:val="004411A5"/>
    <w:rsid w:val="00444084"/>
    <w:rsid w:val="00457F1D"/>
    <w:rsid w:val="00477194"/>
    <w:rsid w:val="00483979"/>
    <w:rsid w:val="00484DC8"/>
    <w:rsid w:val="00487993"/>
    <w:rsid w:val="0049156F"/>
    <w:rsid w:val="00491963"/>
    <w:rsid w:val="004A1FE2"/>
    <w:rsid w:val="004B65B3"/>
    <w:rsid w:val="004C3A5B"/>
    <w:rsid w:val="004C55E8"/>
    <w:rsid w:val="004D2C09"/>
    <w:rsid w:val="00512CDE"/>
    <w:rsid w:val="00525E00"/>
    <w:rsid w:val="00555C2A"/>
    <w:rsid w:val="00574443"/>
    <w:rsid w:val="00574A56"/>
    <w:rsid w:val="00591A42"/>
    <w:rsid w:val="005C0179"/>
    <w:rsid w:val="005D4FAA"/>
    <w:rsid w:val="005E6EEB"/>
    <w:rsid w:val="005F36C1"/>
    <w:rsid w:val="005F5774"/>
    <w:rsid w:val="00606321"/>
    <w:rsid w:val="00610C29"/>
    <w:rsid w:val="00637D44"/>
    <w:rsid w:val="00650896"/>
    <w:rsid w:val="006659D0"/>
    <w:rsid w:val="006716F6"/>
    <w:rsid w:val="00673B31"/>
    <w:rsid w:val="006777B4"/>
    <w:rsid w:val="006B6204"/>
    <w:rsid w:val="006C0363"/>
    <w:rsid w:val="006D01F4"/>
    <w:rsid w:val="006D05C8"/>
    <w:rsid w:val="006D1A66"/>
    <w:rsid w:val="006D29EF"/>
    <w:rsid w:val="006F0E23"/>
    <w:rsid w:val="0071035B"/>
    <w:rsid w:val="00724242"/>
    <w:rsid w:val="00724A86"/>
    <w:rsid w:val="00743F95"/>
    <w:rsid w:val="00781865"/>
    <w:rsid w:val="007A1E95"/>
    <w:rsid w:val="007A5C38"/>
    <w:rsid w:val="007B4CB2"/>
    <w:rsid w:val="007C1F5F"/>
    <w:rsid w:val="007D4394"/>
    <w:rsid w:val="007E1788"/>
    <w:rsid w:val="007F51E9"/>
    <w:rsid w:val="00800F65"/>
    <w:rsid w:val="008311F0"/>
    <w:rsid w:val="00847657"/>
    <w:rsid w:val="008667A5"/>
    <w:rsid w:val="008676E0"/>
    <w:rsid w:val="00867DC3"/>
    <w:rsid w:val="00874439"/>
    <w:rsid w:val="0088635C"/>
    <w:rsid w:val="00890713"/>
    <w:rsid w:val="00896C74"/>
    <w:rsid w:val="008A13BE"/>
    <w:rsid w:val="008C3DAF"/>
    <w:rsid w:val="008C5DEA"/>
    <w:rsid w:val="008D32E9"/>
    <w:rsid w:val="008D7E1C"/>
    <w:rsid w:val="008E27D3"/>
    <w:rsid w:val="008E7C9D"/>
    <w:rsid w:val="008F7B5A"/>
    <w:rsid w:val="0091496D"/>
    <w:rsid w:val="0091603A"/>
    <w:rsid w:val="00926F6C"/>
    <w:rsid w:val="009301F1"/>
    <w:rsid w:val="009544C4"/>
    <w:rsid w:val="00957B67"/>
    <w:rsid w:val="0096702F"/>
    <w:rsid w:val="00971C56"/>
    <w:rsid w:val="00977BAA"/>
    <w:rsid w:val="00983782"/>
    <w:rsid w:val="009A2AAF"/>
    <w:rsid w:val="009A3A0C"/>
    <w:rsid w:val="009B5415"/>
    <w:rsid w:val="009C1BA1"/>
    <w:rsid w:val="009C77EF"/>
    <w:rsid w:val="00A13506"/>
    <w:rsid w:val="00A2040F"/>
    <w:rsid w:val="00A57C7F"/>
    <w:rsid w:val="00A821DE"/>
    <w:rsid w:val="00A9487D"/>
    <w:rsid w:val="00A96ED1"/>
    <w:rsid w:val="00AA3222"/>
    <w:rsid w:val="00AA7D56"/>
    <w:rsid w:val="00AB0AA9"/>
    <w:rsid w:val="00AC01A8"/>
    <w:rsid w:val="00AC459C"/>
    <w:rsid w:val="00AD3073"/>
    <w:rsid w:val="00AD3A6C"/>
    <w:rsid w:val="00AD55B0"/>
    <w:rsid w:val="00AF6639"/>
    <w:rsid w:val="00B433DF"/>
    <w:rsid w:val="00B502BE"/>
    <w:rsid w:val="00BD2460"/>
    <w:rsid w:val="00BD38AF"/>
    <w:rsid w:val="00BE1E63"/>
    <w:rsid w:val="00BF6D49"/>
    <w:rsid w:val="00C363E2"/>
    <w:rsid w:val="00C37BA8"/>
    <w:rsid w:val="00C40871"/>
    <w:rsid w:val="00C72189"/>
    <w:rsid w:val="00C7302D"/>
    <w:rsid w:val="00C77DCF"/>
    <w:rsid w:val="00C84600"/>
    <w:rsid w:val="00C87E13"/>
    <w:rsid w:val="00CB16F4"/>
    <w:rsid w:val="00CB1B0E"/>
    <w:rsid w:val="00CB3FFD"/>
    <w:rsid w:val="00CC695A"/>
    <w:rsid w:val="00CC79E5"/>
    <w:rsid w:val="00CE7F98"/>
    <w:rsid w:val="00CF0495"/>
    <w:rsid w:val="00D21B60"/>
    <w:rsid w:val="00D23B5D"/>
    <w:rsid w:val="00D3215E"/>
    <w:rsid w:val="00D4020A"/>
    <w:rsid w:val="00D423DE"/>
    <w:rsid w:val="00D5351C"/>
    <w:rsid w:val="00DA0E43"/>
    <w:rsid w:val="00DB4B38"/>
    <w:rsid w:val="00DC0B98"/>
    <w:rsid w:val="00DD3969"/>
    <w:rsid w:val="00DD5608"/>
    <w:rsid w:val="00DE323A"/>
    <w:rsid w:val="00DF48F5"/>
    <w:rsid w:val="00E064F0"/>
    <w:rsid w:val="00E064FD"/>
    <w:rsid w:val="00E11FEE"/>
    <w:rsid w:val="00E12E43"/>
    <w:rsid w:val="00E16B99"/>
    <w:rsid w:val="00E26154"/>
    <w:rsid w:val="00E3715A"/>
    <w:rsid w:val="00E4734C"/>
    <w:rsid w:val="00E7117D"/>
    <w:rsid w:val="00E759B7"/>
    <w:rsid w:val="00E94B23"/>
    <w:rsid w:val="00E9653D"/>
    <w:rsid w:val="00EB01A3"/>
    <w:rsid w:val="00EB05B3"/>
    <w:rsid w:val="00EB1387"/>
    <w:rsid w:val="00EB4543"/>
    <w:rsid w:val="00EC00CE"/>
    <w:rsid w:val="00ED39AB"/>
    <w:rsid w:val="00ED5C30"/>
    <w:rsid w:val="00EE208F"/>
    <w:rsid w:val="00EE3BC8"/>
    <w:rsid w:val="00EF4E3E"/>
    <w:rsid w:val="00F12843"/>
    <w:rsid w:val="00F2268F"/>
    <w:rsid w:val="00F24D1E"/>
    <w:rsid w:val="00F3012D"/>
    <w:rsid w:val="00F34B9F"/>
    <w:rsid w:val="00F527CA"/>
    <w:rsid w:val="00F62448"/>
    <w:rsid w:val="00F7243A"/>
    <w:rsid w:val="00F831BE"/>
    <w:rsid w:val="00F862AD"/>
    <w:rsid w:val="00FA23A6"/>
    <w:rsid w:val="00FF7AE5"/>
    <w:rsid w:val="013A6759"/>
    <w:rsid w:val="018F76AC"/>
    <w:rsid w:val="01951445"/>
    <w:rsid w:val="019A7F8D"/>
    <w:rsid w:val="0223636A"/>
    <w:rsid w:val="031958C7"/>
    <w:rsid w:val="03A23A67"/>
    <w:rsid w:val="03B339CA"/>
    <w:rsid w:val="04321051"/>
    <w:rsid w:val="04B15325"/>
    <w:rsid w:val="04CF37BB"/>
    <w:rsid w:val="05074046"/>
    <w:rsid w:val="053742B1"/>
    <w:rsid w:val="05541267"/>
    <w:rsid w:val="05E83B8D"/>
    <w:rsid w:val="06394985"/>
    <w:rsid w:val="064C2C34"/>
    <w:rsid w:val="06AD7AB3"/>
    <w:rsid w:val="06C70CC5"/>
    <w:rsid w:val="07274567"/>
    <w:rsid w:val="07633837"/>
    <w:rsid w:val="07E60404"/>
    <w:rsid w:val="08083D4A"/>
    <w:rsid w:val="083472A5"/>
    <w:rsid w:val="08927C17"/>
    <w:rsid w:val="08C74A54"/>
    <w:rsid w:val="0BE2663A"/>
    <w:rsid w:val="0C764613"/>
    <w:rsid w:val="0CDB187A"/>
    <w:rsid w:val="0D4D2821"/>
    <w:rsid w:val="0D75043B"/>
    <w:rsid w:val="0DB6016C"/>
    <w:rsid w:val="0DD15B24"/>
    <w:rsid w:val="0DDD1C17"/>
    <w:rsid w:val="0F364A45"/>
    <w:rsid w:val="0F6262C4"/>
    <w:rsid w:val="0FD26708"/>
    <w:rsid w:val="10067AD8"/>
    <w:rsid w:val="12921E0D"/>
    <w:rsid w:val="129D2E87"/>
    <w:rsid w:val="12C7549D"/>
    <w:rsid w:val="12ED33D3"/>
    <w:rsid w:val="13C71580"/>
    <w:rsid w:val="13EB5634"/>
    <w:rsid w:val="14D0404A"/>
    <w:rsid w:val="15471435"/>
    <w:rsid w:val="15DB0539"/>
    <w:rsid w:val="15FC7EDF"/>
    <w:rsid w:val="16D431CD"/>
    <w:rsid w:val="16DD4D0C"/>
    <w:rsid w:val="172D5E20"/>
    <w:rsid w:val="17BF30E8"/>
    <w:rsid w:val="1840605D"/>
    <w:rsid w:val="18FF4EB1"/>
    <w:rsid w:val="19745109"/>
    <w:rsid w:val="199C24C9"/>
    <w:rsid w:val="1B4F32A1"/>
    <w:rsid w:val="1B6607A8"/>
    <w:rsid w:val="1B945919"/>
    <w:rsid w:val="1BA61530"/>
    <w:rsid w:val="1C1026B2"/>
    <w:rsid w:val="1C6D055C"/>
    <w:rsid w:val="1C9C6C6E"/>
    <w:rsid w:val="1CF93730"/>
    <w:rsid w:val="1D097A40"/>
    <w:rsid w:val="1D147435"/>
    <w:rsid w:val="1D5F4A96"/>
    <w:rsid w:val="1D7345F5"/>
    <w:rsid w:val="1DB107FC"/>
    <w:rsid w:val="1E70562D"/>
    <w:rsid w:val="1EB206B4"/>
    <w:rsid w:val="1EC40FCE"/>
    <w:rsid w:val="1EDA1CB7"/>
    <w:rsid w:val="1F3D6078"/>
    <w:rsid w:val="1F434416"/>
    <w:rsid w:val="1FA25C97"/>
    <w:rsid w:val="1FAC49F3"/>
    <w:rsid w:val="200F4E38"/>
    <w:rsid w:val="20CE61FC"/>
    <w:rsid w:val="2146069B"/>
    <w:rsid w:val="228A1572"/>
    <w:rsid w:val="22BA45B0"/>
    <w:rsid w:val="22D832E7"/>
    <w:rsid w:val="237A560A"/>
    <w:rsid w:val="239C2771"/>
    <w:rsid w:val="23C349C2"/>
    <w:rsid w:val="23E906EA"/>
    <w:rsid w:val="24B3405E"/>
    <w:rsid w:val="250110BD"/>
    <w:rsid w:val="25A22650"/>
    <w:rsid w:val="262B40DD"/>
    <w:rsid w:val="262D26DF"/>
    <w:rsid w:val="26537A37"/>
    <w:rsid w:val="265D3EBE"/>
    <w:rsid w:val="26773B0C"/>
    <w:rsid w:val="268277B2"/>
    <w:rsid w:val="26A02E12"/>
    <w:rsid w:val="27620BAD"/>
    <w:rsid w:val="27B729E7"/>
    <w:rsid w:val="27FA2C98"/>
    <w:rsid w:val="28076139"/>
    <w:rsid w:val="295F39FE"/>
    <w:rsid w:val="29857B8F"/>
    <w:rsid w:val="299D3022"/>
    <w:rsid w:val="29EB3F98"/>
    <w:rsid w:val="2A0368F1"/>
    <w:rsid w:val="2AB56499"/>
    <w:rsid w:val="2B1000AB"/>
    <w:rsid w:val="2B310128"/>
    <w:rsid w:val="2B311465"/>
    <w:rsid w:val="2BCF4345"/>
    <w:rsid w:val="2C185799"/>
    <w:rsid w:val="2C520A4B"/>
    <w:rsid w:val="2C88458A"/>
    <w:rsid w:val="2CBB148C"/>
    <w:rsid w:val="2D274867"/>
    <w:rsid w:val="2D5875EE"/>
    <w:rsid w:val="2D6B2376"/>
    <w:rsid w:val="2D8C7866"/>
    <w:rsid w:val="2DD520B8"/>
    <w:rsid w:val="2DEF166B"/>
    <w:rsid w:val="2DFE7802"/>
    <w:rsid w:val="2E4C4BB1"/>
    <w:rsid w:val="2EF37382"/>
    <w:rsid w:val="2F1004E3"/>
    <w:rsid w:val="2F206B40"/>
    <w:rsid w:val="2F593893"/>
    <w:rsid w:val="2FCC20E6"/>
    <w:rsid w:val="30422A0B"/>
    <w:rsid w:val="307A637D"/>
    <w:rsid w:val="307A638A"/>
    <w:rsid w:val="30D53D12"/>
    <w:rsid w:val="31A65748"/>
    <w:rsid w:val="31DD74FA"/>
    <w:rsid w:val="324D09C6"/>
    <w:rsid w:val="32553C54"/>
    <w:rsid w:val="328A7AAC"/>
    <w:rsid w:val="32C04EBB"/>
    <w:rsid w:val="32DD616C"/>
    <w:rsid w:val="32DF17E5"/>
    <w:rsid w:val="332979F0"/>
    <w:rsid w:val="33AD4E84"/>
    <w:rsid w:val="34865136"/>
    <w:rsid w:val="34E06022"/>
    <w:rsid w:val="353C7D85"/>
    <w:rsid w:val="35441DEF"/>
    <w:rsid w:val="35BA05B0"/>
    <w:rsid w:val="3650469D"/>
    <w:rsid w:val="366E76ED"/>
    <w:rsid w:val="37145A09"/>
    <w:rsid w:val="37B27869"/>
    <w:rsid w:val="39461AC0"/>
    <w:rsid w:val="39A15402"/>
    <w:rsid w:val="3A2303A3"/>
    <w:rsid w:val="3A491023"/>
    <w:rsid w:val="3A77051C"/>
    <w:rsid w:val="3A8E7CBC"/>
    <w:rsid w:val="3B135CF8"/>
    <w:rsid w:val="3B2A75A3"/>
    <w:rsid w:val="3B7D741D"/>
    <w:rsid w:val="3B9E2AAA"/>
    <w:rsid w:val="3BEA276B"/>
    <w:rsid w:val="3C5D1964"/>
    <w:rsid w:val="3C72673F"/>
    <w:rsid w:val="3CB15459"/>
    <w:rsid w:val="3DB81F5B"/>
    <w:rsid w:val="3DDD4DDD"/>
    <w:rsid w:val="3DED2637"/>
    <w:rsid w:val="3E150429"/>
    <w:rsid w:val="3EAF721A"/>
    <w:rsid w:val="3EF95A3E"/>
    <w:rsid w:val="3F371CA9"/>
    <w:rsid w:val="409D6A92"/>
    <w:rsid w:val="40B37ADF"/>
    <w:rsid w:val="40C20981"/>
    <w:rsid w:val="417C7F98"/>
    <w:rsid w:val="41954F46"/>
    <w:rsid w:val="41D4421E"/>
    <w:rsid w:val="423679D2"/>
    <w:rsid w:val="4266146D"/>
    <w:rsid w:val="42DE3EA6"/>
    <w:rsid w:val="4331395E"/>
    <w:rsid w:val="44001569"/>
    <w:rsid w:val="45740C01"/>
    <w:rsid w:val="469C07F3"/>
    <w:rsid w:val="46E44483"/>
    <w:rsid w:val="474F1661"/>
    <w:rsid w:val="483133A7"/>
    <w:rsid w:val="485D22EF"/>
    <w:rsid w:val="48F74122"/>
    <w:rsid w:val="490A607A"/>
    <w:rsid w:val="493A487E"/>
    <w:rsid w:val="496776AE"/>
    <w:rsid w:val="4A4D6319"/>
    <w:rsid w:val="4A7560A8"/>
    <w:rsid w:val="4A845069"/>
    <w:rsid w:val="4A98057F"/>
    <w:rsid w:val="4B594F4D"/>
    <w:rsid w:val="4B8E2BF5"/>
    <w:rsid w:val="4C6C7BB4"/>
    <w:rsid w:val="4C9C18DA"/>
    <w:rsid w:val="4CB070B3"/>
    <w:rsid w:val="4D804FA0"/>
    <w:rsid w:val="4DD50B9F"/>
    <w:rsid w:val="4EF11941"/>
    <w:rsid w:val="4F305C3B"/>
    <w:rsid w:val="4FDB2FD9"/>
    <w:rsid w:val="509845C2"/>
    <w:rsid w:val="50DA56D1"/>
    <w:rsid w:val="50E51B95"/>
    <w:rsid w:val="5117524A"/>
    <w:rsid w:val="512C1963"/>
    <w:rsid w:val="5151170A"/>
    <w:rsid w:val="519B032B"/>
    <w:rsid w:val="529104A6"/>
    <w:rsid w:val="52A7762D"/>
    <w:rsid w:val="52E21185"/>
    <w:rsid w:val="535927BF"/>
    <w:rsid w:val="541155C8"/>
    <w:rsid w:val="55565696"/>
    <w:rsid w:val="558D7D2C"/>
    <w:rsid w:val="559F3870"/>
    <w:rsid w:val="55B66F60"/>
    <w:rsid w:val="573E2854"/>
    <w:rsid w:val="57CC1D02"/>
    <w:rsid w:val="57FC15C0"/>
    <w:rsid w:val="58D41717"/>
    <w:rsid w:val="59593737"/>
    <w:rsid w:val="59772279"/>
    <w:rsid w:val="5B0548B1"/>
    <w:rsid w:val="5B450B94"/>
    <w:rsid w:val="5B9F4728"/>
    <w:rsid w:val="5BC86B04"/>
    <w:rsid w:val="5BD33A55"/>
    <w:rsid w:val="5CD0133D"/>
    <w:rsid w:val="5CEA06A0"/>
    <w:rsid w:val="5DD32659"/>
    <w:rsid w:val="5E3E4739"/>
    <w:rsid w:val="5F2A0E7C"/>
    <w:rsid w:val="5F304BF9"/>
    <w:rsid w:val="60203650"/>
    <w:rsid w:val="60D76CB3"/>
    <w:rsid w:val="619B150E"/>
    <w:rsid w:val="61A947A2"/>
    <w:rsid w:val="61B97707"/>
    <w:rsid w:val="61BF5349"/>
    <w:rsid w:val="61E5102F"/>
    <w:rsid w:val="628A74D4"/>
    <w:rsid w:val="645B20CF"/>
    <w:rsid w:val="64E83864"/>
    <w:rsid w:val="652A5270"/>
    <w:rsid w:val="65D31025"/>
    <w:rsid w:val="665E4677"/>
    <w:rsid w:val="66833AFA"/>
    <w:rsid w:val="66E40E86"/>
    <w:rsid w:val="6792534B"/>
    <w:rsid w:val="6852198E"/>
    <w:rsid w:val="687E04E2"/>
    <w:rsid w:val="6A106193"/>
    <w:rsid w:val="6A277610"/>
    <w:rsid w:val="6A94602D"/>
    <w:rsid w:val="6AB97D08"/>
    <w:rsid w:val="6C9E75C4"/>
    <w:rsid w:val="6D934E15"/>
    <w:rsid w:val="6DE56C9F"/>
    <w:rsid w:val="6E5F4FA6"/>
    <w:rsid w:val="6EF46827"/>
    <w:rsid w:val="707402FA"/>
    <w:rsid w:val="715B68C3"/>
    <w:rsid w:val="71743149"/>
    <w:rsid w:val="72073898"/>
    <w:rsid w:val="7225340F"/>
    <w:rsid w:val="723F3FF5"/>
    <w:rsid w:val="728F5393"/>
    <w:rsid w:val="72EA7AD9"/>
    <w:rsid w:val="73227A6F"/>
    <w:rsid w:val="73981451"/>
    <w:rsid w:val="74043EA3"/>
    <w:rsid w:val="74A04C96"/>
    <w:rsid w:val="74F74A90"/>
    <w:rsid w:val="753576ED"/>
    <w:rsid w:val="75C8523A"/>
    <w:rsid w:val="767D2BF4"/>
    <w:rsid w:val="767F57DA"/>
    <w:rsid w:val="76DE494E"/>
    <w:rsid w:val="7740364D"/>
    <w:rsid w:val="7AC82501"/>
    <w:rsid w:val="7ACD7539"/>
    <w:rsid w:val="7B6D0B14"/>
    <w:rsid w:val="7BC92596"/>
    <w:rsid w:val="7C200913"/>
    <w:rsid w:val="7CC840BF"/>
    <w:rsid w:val="7D82356E"/>
    <w:rsid w:val="7D994E89"/>
    <w:rsid w:val="7DAE7E4F"/>
    <w:rsid w:val="7EC57BBD"/>
    <w:rsid w:val="7F18002B"/>
    <w:rsid w:val="7F396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eastAsia="楷体_GB2312"/>
      <w:sz w:val="24"/>
      <w:szCs w:val="20"/>
    </w:rPr>
  </w:style>
  <w:style w:type="paragraph" w:styleId="4">
    <w:name w:val="annotation text"/>
    <w:basedOn w:val="1"/>
    <w:qFormat/>
    <w:uiPriority w:val="0"/>
    <w:pPr>
      <w:jc w:val="left"/>
    </w:pPr>
    <w:rPr>
      <w:kern w:val="0"/>
    </w:rPr>
  </w:style>
  <w:style w:type="paragraph" w:styleId="5">
    <w:name w:val="Body Text"/>
    <w:basedOn w:val="1"/>
    <w:next w:val="1"/>
    <w:qFormat/>
    <w:uiPriority w:val="99"/>
    <w:pPr>
      <w:spacing w:after="120"/>
    </w:pPr>
    <w:rPr>
      <w:kern w:val="0"/>
      <w:sz w:val="20"/>
    </w:rPr>
  </w:style>
  <w:style w:type="paragraph" w:styleId="6">
    <w:name w:val="Body Text Indent"/>
    <w:basedOn w:val="1"/>
    <w:next w:val="7"/>
    <w:qFormat/>
    <w:uiPriority w:val="0"/>
    <w:pPr>
      <w:spacing w:after="120"/>
      <w:ind w:left="420" w:leftChars="200"/>
    </w:pPr>
    <w:rPr>
      <w:szCs w:val="24"/>
    </w:rPr>
  </w:style>
  <w:style w:type="paragraph" w:styleId="7">
    <w:name w:val="envelope return"/>
    <w:basedOn w:val="1"/>
    <w:unhideWhenUsed/>
    <w:qFormat/>
    <w:uiPriority w:val="99"/>
    <w:pPr>
      <w:snapToGrid w:val="0"/>
    </w:pPr>
    <w:rPr>
      <w:rFonts w:ascii="Arial" w:hAnsi="Arial"/>
    </w:rPr>
  </w:style>
  <w:style w:type="paragraph" w:styleId="8">
    <w:name w:val="toc 3"/>
    <w:basedOn w:val="1"/>
    <w:next w:val="1"/>
    <w:qFormat/>
    <w:uiPriority w:val="99"/>
    <w:pPr>
      <w:ind w:left="840" w:leftChars="400"/>
    </w:pPr>
  </w:style>
  <w:style w:type="paragraph" w:styleId="9">
    <w:name w:val="Body Text Indent 2"/>
    <w:basedOn w:val="1"/>
    <w:link w:val="27"/>
    <w:qFormat/>
    <w:uiPriority w:val="99"/>
    <w:pPr>
      <w:spacing w:after="120" w:line="480" w:lineRule="auto"/>
      <w:ind w:left="420" w:leftChars="200"/>
    </w:pPr>
    <w:rPr>
      <w:szCs w:val="24"/>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6"/>
    <w:unhideWhenUsed/>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ascii="Times New Roman" w:hAnsi="Times New Roman" w:eastAsia="宋体" w:cs="Times New Roman"/>
    </w:rPr>
  </w:style>
  <w:style w:type="character" w:styleId="19">
    <w:name w:val="Hyperlink"/>
    <w:basedOn w:val="17"/>
    <w:qFormat/>
    <w:uiPriority w:val="0"/>
    <w:rPr>
      <w:color w:val="0563C1" w:themeColor="hyperlink"/>
      <w:u w:val="single"/>
    </w:rPr>
  </w:style>
  <w:style w:type="character" w:styleId="20">
    <w:name w:val="annotation reference"/>
    <w:qFormat/>
    <w:uiPriority w:val="99"/>
    <w:rPr>
      <w:rFonts w:ascii="Times New Roman" w:hAnsi="Times New Roman" w:eastAsia="宋体" w:cs="Times New Roman"/>
      <w:sz w:val="21"/>
      <w:szCs w:val="21"/>
    </w:rPr>
  </w:style>
  <w:style w:type="paragraph" w:customStyle="1" w:styleId="21">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character" w:customStyle="1" w:styleId="22">
    <w:name w:val="font01"/>
    <w:basedOn w:val="17"/>
    <w:qFormat/>
    <w:uiPriority w:val="0"/>
    <w:rPr>
      <w:rFonts w:hint="default" w:ascii="Arial" w:hAnsi="Arial" w:cs="Arial"/>
      <w:color w:val="000000"/>
      <w:sz w:val="20"/>
      <w:szCs w:val="20"/>
      <w:u w:val="none"/>
    </w:rPr>
  </w:style>
  <w:style w:type="character" w:customStyle="1" w:styleId="23">
    <w:name w:val="font21"/>
    <w:basedOn w:val="17"/>
    <w:qFormat/>
    <w:uiPriority w:val="0"/>
    <w:rPr>
      <w:rFonts w:hint="eastAsia" w:ascii="宋体" w:hAnsi="宋体" w:eastAsia="宋体" w:cs="宋体"/>
      <w:color w:val="000000"/>
      <w:sz w:val="20"/>
      <w:szCs w:val="20"/>
      <w:u w:val="none"/>
    </w:rPr>
  </w:style>
  <w:style w:type="character" w:customStyle="1" w:styleId="24">
    <w:name w:val="批注框文本 Char"/>
    <w:basedOn w:val="17"/>
    <w:link w:val="10"/>
    <w:qFormat/>
    <w:uiPriority w:val="0"/>
    <w:rPr>
      <w:kern w:val="2"/>
      <w:sz w:val="18"/>
      <w:szCs w:val="18"/>
    </w:rPr>
  </w:style>
  <w:style w:type="character" w:customStyle="1" w:styleId="25">
    <w:name w:val="超链接1"/>
    <w:basedOn w:val="17"/>
    <w:qFormat/>
    <w:uiPriority w:val="99"/>
    <w:rPr>
      <w:color w:val="0000FF"/>
      <w:u w:val="single"/>
    </w:rPr>
  </w:style>
  <w:style w:type="character" w:customStyle="1" w:styleId="26">
    <w:name w:val="正文文本缩进 2 Char"/>
    <w:link w:val="9"/>
    <w:qFormat/>
    <w:uiPriority w:val="99"/>
    <w:rPr>
      <w:kern w:val="2"/>
      <w:sz w:val="21"/>
      <w:szCs w:val="24"/>
    </w:rPr>
  </w:style>
  <w:style w:type="character" w:customStyle="1" w:styleId="27">
    <w:name w:val="正文文本缩进 2 Char1"/>
    <w:basedOn w:val="17"/>
    <w:link w:val="9"/>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3733</Words>
  <Characters>21281</Characters>
  <Lines>177</Lines>
  <Paragraphs>49</Paragraphs>
  <TotalTime>32</TotalTime>
  <ScaleCrop>false</ScaleCrop>
  <LinksUpToDate>false</LinksUpToDate>
  <CharactersWithSpaces>24965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2020-11-03T09:27:00Z</dcterms:created>
  <dc:creator>喜欢你的小可爱 ✌</dc:creator>
  <cp:lastModifiedBy>夏润波</cp:lastModifiedBy>
  <cp:lastPrinted>2021-08-12T07:45:00Z</cp:lastPrinted>
  <dcterms:modified xsi:type="dcterms:W3CDTF">2021-10-11T05:54:00Z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50CAB8D0FD4A476DB08910081D6F2ED1</vt:lpwstr>
  </property>
</Properties>
</file>