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 w:hAnsi="仿宋" w:eastAsia="仿宋" w:cs="仿宋"/>
          <w:color w:val="auto"/>
          <w:w w:val="80"/>
          <w:sz w:val="44"/>
          <w:szCs w:val="44"/>
          <w:highlight w:val="none"/>
        </w:rPr>
      </w:pPr>
    </w:p>
    <w:p>
      <w:pPr>
        <w:widowControl/>
        <w:spacing w:line="360" w:lineRule="auto"/>
        <w:jc w:val="center"/>
        <w:rPr>
          <w:rFonts w:hint="eastAsia" w:ascii="仿宋" w:hAnsi="仿宋" w:eastAsia="仿宋" w:cs="仿宋"/>
          <w:color w:val="auto"/>
          <w:w w:val="80"/>
          <w:sz w:val="44"/>
          <w:szCs w:val="44"/>
          <w:highlight w:val="none"/>
        </w:rPr>
      </w:pPr>
    </w:p>
    <w:p>
      <w:pPr>
        <w:widowControl/>
        <w:spacing w:line="360" w:lineRule="auto"/>
        <w:jc w:val="center"/>
        <w:rPr>
          <w:rFonts w:hint="eastAsia" w:ascii="仿宋" w:hAnsi="仿宋" w:eastAsia="仿宋" w:cs="仿宋"/>
          <w:color w:val="auto"/>
          <w:w w:val="80"/>
          <w:sz w:val="44"/>
          <w:szCs w:val="44"/>
          <w:highlight w:val="none"/>
          <w:lang w:eastAsia="zh-CN"/>
        </w:rPr>
      </w:pPr>
      <w:r>
        <w:rPr>
          <w:rFonts w:hint="eastAsia" w:ascii="仿宋" w:hAnsi="仿宋" w:eastAsia="仿宋" w:cs="仿宋"/>
          <w:color w:val="auto"/>
          <w:w w:val="80"/>
          <w:sz w:val="44"/>
          <w:szCs w:val="44"/>
          <w:highlight w:val="none"/>
          <w:lang w:eastAsia="zh-CN"/>
        </w:rPr>
        <w:t>南通兴环环境卫生服务有限公司2023年车用辅助油采购项目（</w:t>
      </w:r>
      <w:r>
        <w:rPr>
          <w:rFonts w:hint="eastAsia" w:ascii="仿宋" w:hAnsi="仿宋" w:eastAsia="仿宋" w:cs="仿宋"/>
          <w:color w:val="auto"/>
          <w:w w:val="80"/>
          <w:sz w:val="44"/>
          <w:szCs w:val="44"/>
          <w:highlight w:val="none"/>
          <w:lang w:val="en-US" w:eastAsia="zh-CN"/>
        </w:rPr>
        <w:t>第二次</w:t>
      </w:r>
      <w:r>
        <w:rPr>
          <w:rFonts w:hint="eastAsia" w:ascii="仿宋" w:hAnsi="仿宋" w:eastAsia="仿宋" w:cs="仿宋"/>
          <w:color w:val="auto"/>
          <w:w w:val="80"/>
          <w:sz w:val="44"/>
          <w:szCs w:val="44"/>
          <w:highlight w:val="none"/>
          <w:lang w:eastAsia="zh-CN"/>
        </w:rPr>
        <w:t>）</w:t>
      </w:r>
    </w:p>
    <w:p>
      <w:pPr>
        <w:widowControl/>
        <w:spacing w:line="360" w:lineRule="auto"/>
        <w:jc w:val="center"/>
        <w:rPr>
          <w:rFonts w:hint="default" w:ascii="仿宋" w:hAnsi="仿宋" w:eastAsia="仿宋" w:cs="仿宋"/>
          <w:color w:val="auto"/>
          <w:w w:val="80"/>
          <w:sz w:val="44"/>
          <w:szCs w:val="44"/>
          <w:highlight w:val="none"/>
          <w:lang w:val="en-US" w:eastAsia="zh-CN"/>
        </w:rPr>
      </w:pPr>
      <w:r>
        <w:rPr>
          <w:rFonts w:hint="eastAsia" w:ascii="仿宋" w:hAnsi="仿宋" w:eastAsia="仿宋" w:cs="仿宋"/>
          <w:color w:val="auto"/>
          <w:w w:val="80"/>
          <w:sz w:val="44"/>
          <w:szCs w:val="44"/>
          <w:highlight w:val="none"/>
          <w:lang w:val="en-US" w:eastAsia="zh-CN"/>
        </w:rPr>
        <w:t>项目编号：NTXYXJ2023051</w:t>
      </w:r>
    </w:p>
    <w:p>
      <w:pPr>
        <w:tabs>
          <w:tab w:val="left" w:pos="1050"/>
          <w:tab w:val="right" w:leader="dot" w:pos="9402"/>
        </w:tabs>
        <w:spacing w:line="1600" w:lineRule="exact"/>
        <w:jc w:val="center"/>
        <w:rPr>
          <w:rFonts w:hint="eastAsia" w:ascii="仿宋" w:hAnsi="仿宋" w:eastAsia="仿宋" w:cs="仿宋"/>
          <w:color w:val="auto"/>
          <w:w w:val="80"/>
          <w:sz w:val="72"/>
          <w:szCs w:val="72"/>
          <w:highlight w:val="none"/>
        </w:rPr>
      </w:pPr>
      <w:r>
        <w:rPr>
          <w:rFonts w:hint="eastAsia" w:ascii="仿宋" w:hAnsi="仿宋" w:eastAsia="仿宋" w:cs="仿宋"/>
          <w:color w:val="auto"/>
          <w:w w:val="80"/>
          <w:sz w:val="72"/>
          <w:szCs w:val="72"/>
          <w:highlight w:val="none"/>
        </w:rPr>
        <w:t>询价文件</w:t>
      </w:r>
    </w:p>
    <w:p>
      <w:pPr>
        <w:tabs>
          <w:tab w:val="left" w:pos="1050"/>
          <w:tab w:val="right" w:leader="dot" w:pos="9402"/>
        </w:tabs>
        <w:spacing w:line="520" w:lineRule="exact"/>
        <w:jc w:val="center"/>
        <w:rPr>
          <w:rFonts w:hint="eastAsia" w:ascii="仿宋" w:hAnsi="仿宋" w:eastAsia="仿宋" w:cs="仿宋"/>
          <w:color w:val="auto"/>
          <w:w w:val="80"/>
          <w:sz w:val="32"/>
          <w:szCs w:val="32"/>
          <w:highlight w:val="none"/>
        </w:rPr>
      </w:pPr>
      <w:r>
        <w:rPr>
          <w:rFonts w:hint="eastAsia" w:ascii="仿宋" w:hAnsi="仿宋" w:eastAsia="仿宋" w:cs="仿宋"/>
          <w:color w:val="auto"/>
          <w:w w:val="80"/>
          <w:sz w:val="32"/>
          <w:szCs w:val="32"/>
          <w:highlight w:val="none"/>
        </w:rPr>
        <w:t>（资格后审）</w:t>
      </w:r>
    </w:p>
    <w:p>
      <w:pPr>
        <w:snapToGrid w:val="0"/>
        <w:spacing w:line="360" w:lineRule="auto"/>
        <w:jc w:val="center"/>
        <w:rPr>
          <w:rFonts w:hint="eastAsia" w:ascii="仿宋" w:hAnsi="仿宋" w:eastAsia="仿宋" w:cs="仿宋"/>
          <w:b/>
          <w:color w:val="auto"/>
          <w:sz w:val="36"/>
          <w:szCs w:val="20"/>
          <w:highlight w:val="none"/>
        </w:rPr>
      </w:pPr>
    </w:p>
    <w:p>
      <w:pPr>
        <w:snapToGrid w:val="0"/>
        <w:spacing w:line="360" w:lineRule="auto"/>
        <w:jc w:val="center"/>
        <w:rPr>
          <w:rFonts w:hint="eastAsia" w:ascii="仿宋" w:hAnsi="仿宋" w:eastAsia="仿宋" w:cs="仿宋"/>
          <w:b/>
          <w:color w:val="auto"/>
          <w:sz w:val="36"/>
          <w:szCs w:val="20"/>
          <w:highlight w:val="none"/>
        </w:rPr>
      </w:pPr>
    </w:p>
    <w:p>
      <w:pPr>
        <w:snapToGrid w:val="0"/>
        <w:spacing w:line="360" w:lineRule="auto"/>
        <w:jc w:val="center"/>
        <w:rPr>
          <w:rFonts w:hint="eastAsia" w:ascii="仿宋" w:hAnsi="仿宋" w:eastAsia="仿宋" w:cs="仿宋"/>
          <w:b/>
          <w:color w:val="auto"/>
          <w:sz w:val="36"/>
          <w:szCs w:val="20"/>
          <w:highlight w:val="none"/>
        </w:rPr>
      </w:pPr>
    </w:p>
    <w:p>
      <w:pPr>
        <w:snapToGrid w:val="0"/>
        <w:spacing w:line="360" w:lineRule="auto"/>
        <w:jc w:val="center"/>
        <w:rPr>
          <w:rFonts w:hint="eastAsia" w:ascii="仿宋" w:hAnsi="仿宋" w:eastAsia="仿宋" w:cs="仿宋"/>
          <w:b/>
          <w:color w:val="auto"/>
          <w:sz w:val="36"/>
          <w:szCs w:val="20"/>
          <w:highlight w:val="none"/>
        </w:rPr>
      </w:pPr>
    </w:p>
    <w:p>
      <w:pPr>
        <w:snapToGrid w:val="0"/>
        <w:spacing w:line="360" w:lineRule="auto"/>
        <w:jc w:val="center"/>
        <w:rPr>
          <w:rFonts w:hint="eastAsia" w:ascii="仿宋" w:hAnsi="仿宋" w:eastAsia="仿宋" w:cs="仿宋"/>
          <w:b/>
          <w:color w:val="auto"/>
          <w:sz w:val="36"/>
          <w:szCs w:val="20"/>
          <w:highlight w:val="none"/>
        </w:rPr>
      </w:pPr>
    </w:p>
    <w:p>
      <w:pPr>
        <w:snapToGrid w:val="0"/>
        <w:spacing w:line="360" w:lineRule="auto"/>
        <w:jc w:val="center"/>
        <w:rPr>
          <w:rFonts w:hint="eastAsia" w:ascii="仿宋" w:hAnsi="仿宋" w:eastAsia="仿宋" w:cs="仿宋"/>
          <w:b/>
          <w:color w:val="auto"/>
          <w:sz w:val="36"/>
          <w:szCs w:val="20"/>
          <w:highlight w:val="none"/>
        </w:rPr>
      </w:pPr>
    </w:p>
    <w:p>
      <w:pPr>
        <w:snapToGrid w:val="0"/>
        <w:spacing w:line="360" w:lineRule="auto"/>
        <w:jc w:val="center"/>
        <w:rPr>
          <w:rFonts w:hint="eastAsia" w:ascii="仿宋" w:hAnsi="仿宋" w:eastAsia="仿宋" w:cs="仿宋"/>
          <w:b/>
          <w:color w:val="auto"/>
          <w:sz w:val="36"/>
          <w:szCs w:val="20"/>
          <w:highlight w:val="none"/>
        </w:rPr>
      </w:pPr>
    </w:p>
    <w:p>
      <w:pPr>
        <w:snapToGrid w:val="0"/>
        <w:spacing w:line="360" w:lineRule="auto"/>
        <w:jc w:val="center"/>
        <w:rPr>
          <w:rFonts w:hint="eastAsia" w:ascii="仿宋" w:hAnsi="仿宋" w:eastAsia="仿宋" w:cs="仿宋"/>
          <w:b/>
          <w:color w:val="auto"/>
          <w:sz w:val="36"/>
          <w:szCs w:val="20"/>
          <w:highlight w:val="none"/>
        </w:rPr>
      </w:pPr>
    </w:p>
    <w:p>
      <w:pPr>
        <w:tabs>
          <w:tab w:val="left" w:pos="1050"/>
          <w:tab w:val="right" w:leader="dot" w:pos="9402"/>
        </w:tabs>
        <w:spacing w:line="520" w:lineRule="exact"/>
        <w:jc w:val="center"/>
        <w:rPr>
          <w:rFonts w:hint="eastAsia" w:ascii="仿宋" w:hAnsi="仿宋" w:eastAsia="仿宋" w:cs="仿宋"/>
          <w:color w:val="auto"/>
          <w:w w:val="80"/>
          <w:sz w:val="28"/>
          <w:szCs w:val="28"/>
          <w:highlight w:val="none"/>
          <w:lang w:eastAsia="zh-CN"/>
        </w:rPr>
      </w:pPr>
      <w:r>
        <w:rPr>
          <w:rFonts w:hint="eastAsia" w:ascii="仿宋" w:hAnsi="仿宋" w:eastAsia="仿宋" w:cs="仿宋"/>
          <w:color w:val="auto"/>
          <w:w w:val="80"/>
          <w:sz w:val="28"/>
          <w:szCs w:val="28"/>
          <w:highlight w:val="none"/>
        </w:rPr>
        <w:t>采购单位：南通</w:t>
      </w:r>
      <w:r>
        <w:rPr>
          <w:rFonts w:hint="eastAsia" w:ascii="仿宋" w:hAnsi="仿宋" w:eastAsia="仿宋" w:cs="仿宋"/>
          <w:color w:val="auto"/>
          <w:w w:val="80"/>
          <w:sz w:val="28"/>
          <w:szCs w:val="28"/>
          <w:highlight w:val="none"/>
          <w:lang w:eastAsia="zh-CN"/>
        </w:rPr>
        <w:t>兴环环境卫生服务有限公司</w:t>
      </w:r>
    </w:p>
    <w:p>
      <w:pPr>
        <w:tabs>
          <w:tab w:val="left" w:pos="1050"/>
          <w:tab w:val="right" w:leader="dot" w:pos="9402"/>
        </w:tabs>
        <w:spacing w:line="520" w:lineRule="exact"/>
        <w:jc w:val="center"/>
        <w:rPr>
          <w:rFonts w:hint="eastAsia" w:ascii="仿宋" w:hAnsi="仿宋" w:eastAsia="仿宋" w:cs="仿宋"/>
          <w:color w:val="auto"/>
          <w:w w:val="80"/>
          <w:sz w:val="28"/>
          <w:szCs w:val="28"/>
          <w:highlight w:val="none"/>
        </w:rPr>
      </w:pPr>
      <w:r>
        <w:rPr>
          <w:rFonts w:hint="eastAsia" w:ascii="仿宋" w:hAnsi="仿宋" w:eastAsia="仿宋" w:cs="仿宋"/>
          <w:color w:val="auto"/>
          <w:w w:val="80"/>
          <w:sz w:val="28"/>
          <w:szCs w:val="28"/>
          <w:highlight w:val="none"/>
        </w:rPr>
        <w:t>采购代理机构：</w:t>
      </w:r>
      <w:r>
        <w:rPr>
          <w:rFonts w:hint="eastAsia" w:ascii="仿宋" w:hAnsi="仿宋" w:eastAsia="仿宋" w:cs="仿宋"/>
          <w:color w:val="auto"/>
          <w:w w:val="80"/>
          <w:sz w:val="28"/>
          <w:szCs w:val="28"/>
          <w:highlight w:val="none"/>
          <w:lang w:eastAsia="zh-CN"/>
        </w:rPr>
        <w:t>苏州新一造价师价格事务所</w:t>
      </w:r>
      <w:r>
        <w:rPr>
          <w:rFonts w:hint="eastAsia" w:ascii="仿宋" w:hAnsi="仿宋" w:eastAsia="仿宋" w:cs="仿宋"/>
          <w:color w:val="auto"/>
          <w:w w:val="80"/>
          <w:sz w:val="28"/>
          <w:szCs w:val="28"/>
          <w:highlight w:val="none"/>
        </w:rPr>
        <w:t>有限公司</w:t>
      </w:r>
    </w:p>
    <w:p>
      <w:pPr>
        <w:tabs>
          <w:tab w:val="left" w:pos="1050"/>
          <w:tab w:val="right" w:leader="dot" w:pos="9402"/>
        </w:tabs>
        <w:spacing w:line="520" w:lineRule="exact"/>
        <w:jc w:val="center"/>
        <w:rPr>
          <w:rFonts w:hint="eastAsia" w:ascii="仿宋" w:hAnsi="仿宋" w:eastAsia="仿宋" w:cs="仿宋"/>
          <w:color w:val="auto"/>
          <w:w w:val="80"/>
          <w:sz w:val="28"/>
          <w:szCs w:val="28"/>
          <w:highlight w:val="none"/>
        </w:rPr>
      </w:pPr>
      <w:r>
        <w:rPr>
          <w:rFonts w:hint="eastAsia" w:ascii="仿宋" w:hAnsi="仿宋" w:eastAsia="仿宋" w:cs="仿宋"/>
          <w:color w:val="auto"/>
          <w:w w:val="80"/>
          <w:sz w:val="28"/>
          <w:szCs w:val="28"/>
          <w:highlight w:val="none"/>
        </w:rPr>
        <w:t>二○二</w:t>
      </w:r>
      <w:r>
        <w:rPr>
          <w:rFonts w:hint="eastAsia" w:ascii="仿宋" w:hAnsi="仿宋" w:eastAsia="仿宋" w:cs="仿宋"/>
          <w:color w:val="auto"/>
          <w:w w:val="80"/>
          <w:sz w:val="28"/>
          <w:szCs w:val="28"/>
          <w:highlight w:val="none"/>
          <w:lang w:val="en-US" w:eastAsia="zh-CN"/>
        </w:rPr>
        <w:t>四</w:t>
      </w:r>
      <w:r>
        <w:rPr>
          <w:rFonts w:hint="eastAsia" w:ascii="仿宋" w:hAnsi="仿宋" w:eastAsia="仿宋" w:cs="仿宋"/>
          <w:color w:val="auto"/>
          <w:w w:val="80"/>
          <w:sz w:val="28"/>
          <w:szCs w:val="28"/>
          <w:highlight w:val="none"/>
        </w:rPr>
        <w:t>年</w:t>
      </w:r>
      <w:r>
        <w:rPr>
          <w:rFonts w:hint="eastAsia" w:ascii="仿宋" w:hAnsi="仿宋" w:eastAsia="仿宋" w:cs="仿宋"/>
          <w:color w:val="auto"/>
          <w:w w:val="80"/>
          <w:sz w:val="28"/>
          <w:szCs w:val="28"/>
          <w:highlight w:val="none"/>
          <w:lang w:val="en-US" w:eastAsia="zh-CN"/>
        </w:rPr>
        <w:t>一</w:t>
      </w:r>
      <w:r>
        <w:rPr>
          <w:rFonts w:hint="eastAsia" w:ascii="仿宋" w:hAnsi="仿宋" w:eastAsia="仿宋" w:cs="仿宋"/>
          <w:color w:val="auto"/>
          <w:w w:val="80"/>
          <w:sz w:val="28"/>
          <w:szCs w:val="28"/>
          <w:highlight w:val="none"/>
        </w:rPr>
        <w:t>月</w:t>
      </w:r>
    </w:p>
    <w:p>
      <w:pPr>
        <w:overflowPunct w:val="0"/>
        <w:rPr>
          <w:rFonts w:hint="eastAsia" w:ascii="仿宋" w:hAnsi="仿宋" w:eastAsia="仿宋" w:cs="仿宋"/>
          <w:b/>
          <w:color w:val="auto"/>
          <w:sz w:val="32"/>
          <w:szCs w:val="20"/>
          <w:highlight w:val="none"/>
        </w:rPr>
      </w:pPr>
    </w:p>
    <w:p>
      <w:pPr>
        <w:overflowPunct w:val="0"/>
        <w:rPr>
          <w:rFonts w:hint="eastAsia" w:ascii="仿宋" w:hAnsi="仿宋" w:eastAsia="仿宋" w:cs="仿宋"/>
          <w:b/>
          <w:color w:val="auto"/>
          <w:sz w:val="24"/>
          <w:szCs w:val="24"/>
          <w:highlight w:val="none"/>
        </w:rPr>
      </w:pPr>
    </w:p>
    <w:p>
      <w:pPr>
        <w:rPr>
          <w:rFonts w:hint="eastAsia" w:ascii="仿宋" w:hAnsi="仿宋" w:eastAsia="仿宋" w:cs="仿宋"/>
          <w:color w:val="auto"/>
          <w:sz w:val="26"/>
          <w:szCs w:val="20"/>
          <w:highlight w:val="none"/>
        </w:rPr>
      </w:pPr>
    </w:p>
    <w:p>
      <w:pPr>
        <w:tabs>
          <w:tab w:val="left" w:pos="1050"/>
          <w:tab w:val="right" w:leader="dot" w:pos="9402"/>
        </w:tabs>
        <w:spacing w:beforeLines="100" w:line="600" w:lineRule="exact"/>
        <w:jc w:val="center"/>
        <w:outlineLvl w:val="0"/>
        <w:rPr>
          <w:rFonts w:hint="eastAsia" w:ascii="仿宋" w:hAnsi="仿宋" w:eastAsia="仿宋" w:cs="仿宋"/>
          <w:b/>
          <w:color w:val="auto"/>
          <w:w w:val="80"/>
          <w:sz w:val="10"/>
          <w:szCs w:val="10"/>
          <w:highlight w:val="none"/>
        </w:rPr>
      </w:pPr>
    </w:p>
    <w:p>
      <w:pPr>
        <w:tabs>
          <w:tab w:val="left" w:pos="1050"/>
          <w:tab w:val="right" w:leader="dot" w:pos="9402"/>
        </w:tabs>
        <w:spacing w:beforeLines="100" w:line="600" w:lineRule="exac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w w:val="80"/>
          <w:sz w:val="44"/>
          <w:szCs w:val="44"/>
          <w:highlight w:val="none"/>
        </w:rPr>
        <w:t>目  录</w:t>
      </w:r>
    </w:p>
    <w:p>
      <w:pPr>
        <w:overflowPunct w:val="0"/>
        <w:adjustRightInd w:val="0"/>
        <w:jc w:val="center"/>
        <w:textAlignment w:val="baseline"/>
        <w:rPr>
          <w:rFonts w:hint="eastAsia" w:ascii="仿宋" w:hAnsi="仿宋" w:eastAsia="仿宋" w:cs="仿宋"/>
          <w:color w:val="auto"/>
          <w:sz w:val="30"/>
          <w:szCs w:val="20"/>
          <w:highlight w:val="none"/>
        </w:rPr>
      </w:pPr>
    </w:p>
    <w:p>
      <w:pPr>
        <w:tabs>
          <w:tab w:val="right" w:leader="dot" w:pos="9528"/>
        </w:tabs>
        <w:adjustRightInd w:val="0"/>
        <w:spacing w:line="1200" w:lineRule="exact"/>
        <w:jc w:val="left"/>
        <w:textAlignment w:val="baseline"/>
        <w:rPr>
          <w:rFonts w:hint="eastAsia" w:ascii="仿宋" w:hAnsi="仿宋" w:eastAsia="仿宋" w:cs="仿宋"/>
          <w:color w:val="auto"/>
          <w:sz w:val="28"/>
          <w:szCs w:val="28"/>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TOC \o "1-1" </w:instrText>
      </w:r>
      <w:r>
        <w:rPr>
          <w:rFonts w:hint="eastAsia" w:ascii="仿宋" w:hAnsi="仿宋" w:eastAsia="仿宋" w:cs="仿宋"/>
          <w:b/>
          <w:bCs/>
          <w:color w:val="auto"/>
          <w:sz w:val="36"/>
          <w:szCs w:val="36"/>
          <w:highlight w:val="none"/>
        </w:rPr>
        <w:fldChar w:fldCharType="separate"/>
      </w:r>
      <w:r>
        <w:rPr>
          <w:rFonts w:hint="eastAsia" w:ascii="仿宋" w:hAnsi="仿宋" w:eastAsia="仿宋" w:cs="仿宋"/>
          <w:color w:val="auto"/>
          <w:sz w:val="28"/>
          <w:szCs w:val="28"/>
          <w:highlight w:val="none"/>
        </w:rPr>
        <w:t>第一章 询价</w:t>
      </w:r>
      <w:r>
        <w:rPr>
          <w:rFonts w:hint="eastAsia" w:ascii="仿宋" w:hAnsi="仿宋" w:eastAsia="仿宋" w:cs="仿宋"/>
          <w:color w:val="auto"/>
          <w:sz w:val="28"/>
          <w:szCs w:val="28"/>
          <w:highlight w:val="none"/>
          <w:lang w:val="en-US" w:eastAsia="zh-CN"/>
        </w:rPr>
        <w:t>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3</w:t>
      </w:r>
    </w:p>
    <w:p>
      <w:pPr>
        <w:tabs>
          <w:tab w:val="right" w:leader="dot" w:pos="9528"/>
        </w:tabs>
        <w:adjustRightInd w:val="0"/>
        <w:spacing w:line="1200" w:lineRule="exact"/>
        <w:jc w:val="left"/>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第二章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5</w:t>
      </w:r>
    </w:p>
    <w:p>
      <w:pPr>
        <w:tabs>
          <w:tab w:val="right" w:leader="dot" w:pos="9528"/>
        </w:tabs>
        <w:adjustRightInd w:val="0"/>
        <w:spacing w:line="1200" w:lineRule="exact"/>
        <w:jc w:val="left"/>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第三章 项目需求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9</w:t>
      </w:r>
    </w:p>
    <w:p>
      <w:pPr>
        <w:tabs>
          <w:tab w:val="right" w:leader="dot" w:pos="9528"/>
        </w:tabs>
        <w:adjustRightInd w:val="0"/>
        <w:spacing w:line="1200" w:lineRule="exact"/>
        <w:jc w:val="left"/>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第四章 评审方法和程序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10</w:t>
      </w:r>
    </w:p>
    <w:p>
      <w:pPr>
        <w:tabs>
          <w:tab w:val="right" w:leader="dot" w:pos="9528"/>
        </w:tabs>
        <w:adjustRightInd w:val="0"/>
        <w:spacing w:line="1200" w:lineRule="exact"/>
        <w:jc w:val="left"/>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第五章 合同授予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p>
    <w:p>
      <w:pPr>
        <w:tabs>
          <w:tab w:val="right" w:leader="dot" w:pos="9528"/>
        </w:tabs>
        <w:adjustRightInd w:val="0"/>
        <w:spacing w:line="1200" w:lineRule="exact"/>
        <w:jc w:val="left"/>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第六章 履约及付款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p>
    <w:p>
      <w:pPr>
        <w:tabs>
          <w:tab w:val="right" w:leader="dot" w:pos="9528"/>
        </w:tabs>
        <w:adjustRightInd w:val="0"/>
        <w:spacing w:line="1200" w:lineRule="exact"/>
        <w:jc w:val="left"/>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第七章 </w:t>
      </w:r>
      <w:r>
        <w:rPr>
          <w:rFonts w:hint="eastAsia" w:ascii="仿宋" w:hAnsi="仿宋" w:eastAsia="仿宋" w:cs="仿宋"/>
          <w:color w:val="auto"/>
          <w:sz w:val="28"/>
          <w:szCs w:val="28"/>
          <w:highlight w:val="none"/>
          <w:lang w:eastAsia="zh-CN"/>
        </w:rPr>
        <w:t>异议</w:t>
      </w:r>
      <w:r>
        <w:rPr>
          <w:rFonts w:hint="eastAsia" w:ascii="仿宋" w:hAnsi="仿宋" w:eastAsia="仿宋" w:cs="仿宋"/>
          <w:color w:val="auto"/>
          <w:sz w:val="28"/>
          <w:szCs w:val="28"/>
          <w:highlight w:val="none"/>
        </w:rPr>
        <w:t>与投诉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p>
    <w:p>
      <w:pPr>
        <w:tabs>
          <w:tab w:val="right" w:leader="dot" w:pos="9528"/>
        </w:tabs>
        <w:adjustRightInd w:val="0"/>
        <w:spacing w:line="1200" w:lineRule="exact"/>
        <w:jc w:val="left"/>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第八章 询价响应文件组成及格式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p>
    <w:p>
      <w:pPr>
        <w:spacing w:line="1200" w:lineRule="exact"/>
        <w:rPr>
          <w:rFonts w:hint="eastAsia" w:ascii="仿宋" w:hAnsi="仿宋" w:eastAsia="仿宋" w:cs="仿宋"/>
          <w:color w:val="auto"/>
          <w:sz w:val="36"/>
          <w:szCs w:val="36"/>
          <w:highlight w:val="none"/>
        </w:rPr>
      </w:pPr>
    </w:p>
    <w:p>
      <w:pPr>
        <w:snapToGrid w:val="0"/>
        <w:spacing w:line="420" w:lineRule="exact"/>
        <w:ind w:firstLine="726" w:firstLineChars="201"/>
        <w:rPr>
          <w:rFonts w:hint="eastAsia" w:ascii="仿宋" w:hAnsi="仿宋" w:eastAsia="仿宋" w:cs="仿宋"/>
          <w:color w:val="auto"/>
          <w:sz w:val="24"/>
          <w:szCs w:val="24"/>
          <w:highlight w:val="none"/>
        </w:rPr>
      </w:pPr>
      <w:r>
        <w:rPr>
          <w:rFonts w:hint="eastAsia" w:ascii="仿宋" w:hAnsi="仿宋" w:eastAsia="仿宋" w:cs="仿宋"/>
          <w:b/>
          <w:bCs/>
          <w:color w:val="auto"/>
          <w:sz w:val="36"/>
          <w:szCs w:val="36"/>
          <w:highlight w:val="none"/>
        </w:rPr>
        <w:fldChar w:fldCharType="end"/>
      </w:r>
      <w:r>
        <w:rPr>
          <w:rFonts w:hint="eastAsia" w:ascii="仿宋" w:hAnsi="仿宋" w:eastAsia="仿宋" w:cs="仿宋"/>
          <w:color w:val="auto"/>
          <w:sz w:val="24"/>
          <w:szCs w:val="20"/>
          <w:highlight w:val="none"/>
        </w:rPr>
        <w:br w:type="page"/>
      </w:r>
    </w:p>
    <w:p>
      <w:pPr>
        <w:tabs>
          <w:tab w:val="left" w:pos="1050"/>
          <w:tab w:val="right" w:leader="dot" w:pos="9402"/>
        </w:tabs>
        <w:spacing w:beforeLines="100" w:line="600" w:lineRule="exact"/>
        <w:jc w:val="center"/>
        <w:outlineLvl w:val="0"/>
        <w:rPr>
          <w:rFonts w:hint="eastAsia" w:ascii="仿宋" w:hAnsi="仿宋" w:eastAsia="仿宋" w:cs="仿宋"/>
          <w:b/>
          <w:color w:val="auto"/>
          <w:w w:val="80"/>
          <w:sz w:val="36"/>
          <w:szCs w:val="36"/>
          <w:highlight w:val="none"/>
          <w:lang w:eastAsia="zh-CN"/>
        </w:rPr>
      </w:pPr>
      <w:bookmarkStart w:id="0" w:name="_Toc363573853"/>
      <w:r>
        <w:rPr>
          <w:rFonts w:hint="eastAsia" w:ascii="仿宋" w:hAnsi="仿宋" w:eastAsia="仿宋" w:cs="仿宋"/>
          <w:b/>
          <w:color w:val="auto"/>
          <w:w w:val="80"/>
          <w:sz w:val="36"/>
          <w:szCs w:val="36"/>
          <w:highlight w:val="none"/>
        </w:rPr>
        <w:t>第一章  询价</w:t>
      </w:r>
      <w:bookmarkEnd w:id="0"/>
      <w:r>
        <w:rPr>
          <w:rFonts w:hint="eastAsia" w:ascii="仿宋" w:hAnsi="仿宋" w:eastAsia="仿宋" w:cs="仿宋"/>
          <w:b/>
          <w:color w:val="auto"/>
          <w:w w:val="80"/>
          <w:sz w:val="36"/>
          <w:szCs w:val="36"/>
          <w:highlight w:val="none"/>
        </w:rPr>
        <w:t>公告</w:t>
      </w:r>
      <w:r>
        <w:rPr>
          <w:rFonts w:hint="eastAsia" w:ascii="仿宋" w:hAnsi="仿宋" w:eastAsia="仿宋" w:cs="仿宋"/>
          <w:b/>
          <w:color w:val="auto"/>
          <w:w w:val="80"/>
          <w:sz w:val="36"/>
          <w:szCs w:val="36"/>
          <w:highlight w:val="none"/>
          <w:lang w:eastAsia="zh-CN"/>
        </w:rPr>
        <w:t>（</w:t>
      </w:r>
      <w:r>
        <w:rPr>
          <w:rFonts w:hint="eastAsia" w:ascii="仿宋" w:hAnsi="仿宋" w:eastAsia="仿宋" w:cs="仿宋"/>
          <w:b/>
          <w:color w:val="auto"/>
          <w:w w:val="80"/>
          <w:sz w:val="36"/>
          <w:szCs w:val="36"/>
          <w:highlight w:val="none"/>
          <w:lang w:val="en-US" w:eastAsia="zh-CN"/>
        </w:rPr>
        <w:t>第二次</w:t>
      </w:r>
      <w:r>
        <w:rPr>
          <w:rFonts w:hint="eastAsia" w:ascii="仿宋" w:hAnsi="仿宋" w:eastAsia="仿宋" w:cs="仿宋"/>
          <w:b/>
          <w:color w:val="auto"/>
          <w:w w:val="80"/>
          <w:sz w:val="36"/>
          <w:szCs w:val="36"/>
          <w:highlight w:val="none"/>
          <w:lang w:eastAsia="zh-CN"/>
        </w:rPr>
        <w:t>）</w:t>
      </w:r>
    </w:p>
    <w:p>
      <w:pPr>
        <w:autoSpaceDE w:val="0"/>
        <w:autoSpaceDN w:val="0"/>
        <w:adjustRightInd w:val="0"/>
        <w:spacing w:line="4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南通</w:t>
      </w:r>
      <w:r>
        <w:rPr>
          <w:rFonts w:hint="eastAsia" w:ascii="仿宋" w:hAnsi="仿宋" w:eastAsia="仿宋" w:cs="仿宋"/>
          <w:color w:val="auto"/>
          <w:sz w:val="24"/>
          <w:szCs w:val="24"/>
          <w:highlight w:val="none"/>
          <w:lang w:eastAsia="zh-CN"/>
        </w:rPr>
        <w:t>兴环环境卫生服务有限公司</w:t>
      </w:r>
      <w:r>
        <w:rPr>
          <w:rFonts w:hint="eastAsia" w:ascii="仿宋" w:hAnsi="仿宋" w:eastAsia="仿宋" w:cs="仿宋"/>
          <w:color w:val="auto"/>
          <w:sz w:val="24"/>
          <w:szCs w:val="24"/>
          <w:highlight w:val="none"/>
        </w:rPr>
        <w:t>（以下称采购人）因工作需要，就</w:t>
      </w:r>
      <w:r>
        <w:rPr>
          <w:rFonts w:hint="eastAsia" w:ascii="仿宋" w:hAnsi="仿宋" w:eastAsia="仿宋" w:cs="仿宋"/>
          <w:color w:val="auto"/>
          <w:sz w:val="24"/>
          <w:szCs w:val="24"/>
          <w:highlight w:val="none"/>
          <w:u w:val="single"/>
          <w:lang w:eastAsia="zh-CN"/>
        </w:rPr>
        <w:t>南通兴环环境卫生服务有限公司2023年车用辅助油采购项目（</w:t>
      </w:r>
      <w:r>
        <w:rPr>
          <w:rFonts w:hint="eastAsia" w:ascii="仿宋" w:hAnsi="仿宋" w:eastAsia="仿宋" w:cs="仿宋"/>
          <w:color w:val="auto"/>
          <w:sz w:val="24"/>
          <w:szCs w:val="24"/>
          <w:highlight w:val="none"/>
          <w:u w:val="single"/>
          <w:lang w:val="en-US" w:eastAsia="zh-CN"/>
        </w:rPr>
        <w:t>第二次</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组织询价采购，诚邀符合条件的潜在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参加该项目的询价。</w:t>
      </w:r>
    </w:p>
    <w:p>
      <w:pPr>
        <w:spacing w:line="420" w:lineRule="exact"/>
        <w:ind w:firstLine="566" w:firstLineChars="2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一、项目名称：</w:t>
      </w:r>
      <w:r>
        <w:rPr>
          <w:rFonts w:hint="eastAsia" w:ascii="仿宋" w:hAnsi="仿宋" w:eastAsia="仿宋" w:cs="仿宋"/>
          <w:color w:val="auto"/>
          <w:sz w:val="24"/>
          <w:szCs w:val="24"/>
          <w:highlight w:val="none"/>
          <w:lang w:eastAsia="zh-CN"/>
        </w:rPr>
        <w:t>南通兴环环境卫生服务有限公司2023年车用辅助油采购项目（</w:t>
      </w:r>
      <w:r>
        <w:rPr>
          <w:rFonts w:hint="eastAsia" w:ascii="仿宋" w:hAnsi="仿宋" w:eastAsia="仿宋" w:cs="仿宋"/>
          <w:color w:val="auto"/>
          <w:sz w:val="24"/>
          <w:szCs w:val="24"/>
          <w:highlight w:val="none"/>
          <w:lang w:val="en-US" w:eastAsia="zh-CN"/>
        </w:rPr>
        <w:t>第二次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pPr>
        <w:spacing w:line="420" w:lineRule="exact"/>
        <w:ind w:firstLine="566" w:firstLineChars="2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二、项目预算</w:t>
      </w:r>
      <w:r>
        <w:rPr>
          <w:rFonts w:hint="eastAsia" w:ascii="仿宋" w:hAnsi="仿宋" w:eastAsia="仿宋" w:cs="仿宋"/>
          <w:color w:val="auto"/>
          <w:sz w:val="24"/>
          <w:szCs w:val="24"/>
          <w:highlight w:val="none"/>
          <w:lang w:val="en-US" w:eastAsia="zh-CN"/>
        </w:rPr>
        <w:t>及最高限价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本项目固定综合单价报价，最高限价单价详见第三章项目需求车用辅助油采购目录</w:t>
      </w:r>
      <w:r>
        <w:rPr>
          <w:rFonts w:hint="eastAsia" w:ascii="仿宋" w:hAnsi="仿宋" w:eastAsia="仿宋" w:cs="仿宋"/>
          <w:color w:val="auto"/>
          <w:sz w:val="24"/>
          <w:szCs w:val="24"/>
          <w:highlight w:val="none"/>
        </w:rPr>
        <w:t>，投标报价超过</w:t>
      </w:r>
      <w:r>
        <w:rPr>
          <w:rFonts w:hint="eastAsia" w:ascii="仿宋" w:hAnsi="仿宋" w:eastAsia="仿宋" w:cs="仿宋"/>
          <w:color w:val="auto"/>
          <w:sz w:val="24"/>
          <w:szCs w:val="24"/>
          <w:highlight w:val="none"/>
          <w:lang w:val="en-US" w:eastAsia="zh-CN"/>
        </w:rPr>
        <w:t>各</w:t>
      </w: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单价的</w:t>
      </w:r>
      <w:r>
        <w:rPr>
          <w:rFonts w:hint="eastAsia" w:ascii="仿宋" w:hAnsi="仿宋" w:eastAsia="仿宋" w:cs="仿宋"/>
          <w:color w:val="auto"/>
          <w:sz w:val="24"/>
          <w:szCs w:val="24"/>
          <w:highlight w:val="none"/>
        </w:rPr>
        <w:t>视为无效投标。</w:t>
      </w:r>
    </w:p>
    <w:p>
      <w:pPr>
        <w:spacing w:line="420" w:lineRule="exact"/>
        <w:ind w:firstLine="566" w:firstLineChars="2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三、项目需求：详见询价文件第三章。</w:t>
      </w:r>
    </w:p>
    <w:p>
      <w:pPr>
        <w:spacing w:line="420" w:lineRule="exact"/>
        <w:ind w:firstLine="566" w:firstLineChars="2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资格要求： </w:t>
      </w:r>
    </w:p>
    <w:p>
      <w:pPr>
        <w:spacing w:line="420" w:lineRule="exact"/>
        <w:ind w:firstLine="566" w:firstLineChars="23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hint="eastAsia" w:ascii="仿宋" w:hAnsi="仿宋" w:eastAsia="仿宋" w:cs="仿宋"/>
          <w:color w:val="auto"/>
          <w:sz w:val="24"/>
          <w:highlight w:val="none"/>
          <w:lang w:eastAsia="zh-CN"/>
        </w:rPr>
        <w:t>供应商提供符合相关资格条件的声明函</w:t>
      </w:r>
      <w:r>
        <w:rPr>
          <w:rFonts w:hint="eastAsia" w:ascii="仿宋" w:hAnsi="仿宋" w:eastAsia="仿宋" w:cs="仿宋"/>
          <w:color w:val="auto"/>
          <w:sz w:val="24"/>
          <w:highlight w:val="none"/>
        </w:rPr>
        <w:t>（按后附格式</w:t>
      </w:r>
      <w:r>
        <w:rPr>
          <w:rFonts w:hint="eastAsia" w:ascii="仿宋" w:hAnsi="仿宋" w:eastAsia="仿宋" w:cs="仿宋"/>
          <w:color w:val="auto"/>
          <w:sz w:val="24"/>
          <w:highlight w:val="none"/>
          <w:lang w:eastAsia="zh-CN"/>
        </w:rPr>
        <w:t>）</w:t>
      </w:r>
    </w:p>
    <w:p>
      <w:pPr>
        <w:spacing w:line="420" w:lineRule="exact"/>
        <w:ind w:firstLine="566" w:firstLineChars="236"/>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highlight w:val="none"/>
        </w:rPr>
        <w:t xml:space="preserve"> </w:t>
      </w:r>
      <w:r>
        <w:rPr>
          <w:rFonts w:hint="eastAsia" w:ascii="仿宋" w:hAnsi="仿宋" w:eastAsia="仿宋" w:cs="仿宋"/>
          <w:bCs/>
          <w:color w:val="auto"/>
          <w:sz w:val="24"/>
          <w:szCs w:val="24"/>
          <w:highlight w:val="none"/>
        </w:rPr>
        <w:t>响应供应商必须有能力按本招标文件规定的要求提供相关货物和服务，提供有效的营业执照及税务登记证（或者是三证合一的营业执照）；</w:t>
      </w:r>
    </w:p>
    <w:p>
      <w:pPr>
        <w:spacing w:line="420" w:lineRule="exact"/>
        <w:ind w:firstLine="566" w:firstLineChars="23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highlight w:val="none"/>
        </w:rPr>
        <w:t xml:space="preserve"> </w:t>
      </w:r>
      <w:r>
        <w:rPr>
          <w:rFonts w:hint="eastAsia" w:ascii="仿宋" w:hAnsi="仿宋" w:eastAsia="仿宋" w:cs="仿宋"/>
          <w:bCs/>
          <w:color w:val="auto"/>
          <w:sz w:val="24"/>
          <w:szCs w:val="24"/>
          <w:highlight w:val="none"/>
        </w:rPr>
        <w:t>响应供应商法定代表人参加的，必须提供法定代表人身份证明及法定代表人本人身份证复印件；非法定代表人参加的，必须提供法定代表人签字或盖章的授权委托书及法定代表人、被授权人的两人身份证的复印件；</w:t>
      </w:r>
    </w:p>
    <w:p>
      <w:pPr>
        <w:spacing w:line="420" w:lineRule="exact"/>
        <w:ind w:firstLine="566" w:firstLineChars="236"/>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.响应供应商</w:t>
      </w:r>
      <w:r>
        <w:rPr>
          <w:rFonts w:hint="eastAsia" w:ascii="仿宋" w:hAnsi="仿宋" w:eastAsia="仿宋" w:cs="仿宋"/>
          <w:color w:val="auto"/>
          <w:sz w:val="24"/>
          <w:szCs w:val="24"/>
          <w:highlight w:val="none"/>
        </w:rPr>
        <w:t>须提供关于资格文件的声明函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按后附格式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pacing w:line="420" w:lineRule="exact"/>
        <w:ind w:firstLine="566" w:firstLineChars="2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5.参与投标的供应商须为所投产品的制造商或代理商(或经销商)，须提供相应的佐证材料。</w:t>
      </w:r>
    </w:p>
    <w:p>
      <w:pPr>
        <w:spacing w:line="420" w:lineRule="exact"/>
        <w:ind w:firstLine="566" w:firstLineChars="2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1"/>
          <w:highlight w:val="none"/>
          <w:lang w:val="zh-CN"/>
        </w:rPr>
        <w:t>未被</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zh-CN"/>
        </w:rPr>
        <w:t>信用中国</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zh-CN"/>
        </w:rPr>
        <w:t>网站</w:t>
      </w:r>
      <w:r>
        <w:rPr>
          <w:rFonts w:hint="eastAsia" w:ascii="仿宋" w:hAnsi="仿宋" w:eastAsia="仿宋" w:cs="仿宋"/>
          <w:color w:val="auto"/>
          <w:sz w:val="24"/>
          <w:szCs w:val="21"/>
          <w:highlight w:val="none"/>
        </w:rPr>
        <w:t xml:space="preserve">(www.creditchina.gov.cn) </w:t>
      </w:r>
      <w:r>
        <w:rPr>
          <w:rFonts w:hint="eastAsia" w:ascii="仿宋" w:hAnsi="仿宋" w:eastAsia="仿宋" w:cs="仿宋"/>
          <w:color w:val="auto"/>
          <w:sz w:val="24"/>
          <w:szCs w:val="21"/>
          <w:highlight w:val="none"/>
          <w:lang w:val="zh-CN"/>
        </w:rPr>
        <w:t>列入失信被执行人、重大税收违法案件当事人名单。</w:t>
      </w:r>
    </w:p>
    <w:p>
      <w:pPr>
        <w:spacing w:line="420" w:lineRule="exact"/>
        <w:ind w:firstLine="566" w:firstLineChars="2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.本项目不接受任何形式的联合体参与竞标；</w:t>
      </w:r>
    </w:p>
    <w:p>
      <w:pPr>
        <w:spacing w:line="420" w:lineRule="exact"/>
        <w:ind w:firstLine="566" w:firstLineChars="2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本项目不允许合同分包、转包，不接受联合体竞价。</w:t>
      </w:r>
    </w:p>
    <w:p>
      <w:pPr>
        <w:spacing w:line="420" w:lineRule="exact"/>
        <w:ind w:firstLine="566" w:firstLineChars="23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五、对本项目有意愿参与询价的单位，请于公告日起至询价评审开封前，到</w:t>
      </w:r>
      <w:r>
        <w:rPr>
          <w:rFonts w:hint="eastAsia" w:ascii="仿宋" w:hAnsi="仿宋" w:eastAsia="仿宋" w:cs="仿宋"/>
          <w:color w:val="auto"/>
          <w:kern w:val="0"/>
          <w:sz w:val="24"/>
          <w:szCs w:val="24"/>
          <w:highlight w:val="none"/>
        </w:rPr>
        <w:t>“南通市崇川区人民政府网”（www.chongchuan.gov.cn）→公告公示栏发布”</w:t>
      </w:r>
      <w:r>
        <w:rPr>
          <w:rFonts w:hint="eastAsia" w:ascii="仿宋" w:hAnsi="仿宋" w:eastAsia="仿宋" w:cs="仿宋"/>
          <w:color w:val="auto"/>
          <w:sz w:val="24"/>
          <w:szCs w:val="24"/>
          <w:highlight w:val="none"/>
        </w:rPr>
        <w:t>下载本项目的询价文件。</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、询价响应文件的递交</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1.接收人：采购单位；</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2.接收截止时间：</w:t>
      </w:r>
      <w:r>
        <w:rPr>
          <w:rFonts w:hint="eastAsia" w:ascii="仿宋" w:hAnsi="仿宋" w:eastAsia="仿宋" w:cs="仿宋"/>
          <w:b/>
          <w:color w:val="auto"/>
          <w:sz w:val="24"/>
          <w:szCs w:val="24"/>
          <w:highlight w:val="none"/>
          <w:u w:val="none" w:color="auto"/>
          <w:lang w:eastAsia="zh-CN"/>
        </w:rPr>
        <w:t>2024</w:t>
      </w:r>
      <w:r>
        <w:rPr>
          <w:rFonts w:hint="eastAsia" w:ascii="仿宋" w:hAnsi="仿宋" w:eastAsia="仿宋" w:cs="仿宋"/>
          <w:b/>
          <w:color w:val="auto"/>
          <w:sz w:val="24"/>
          <w:szCs w:val="24"/>
          <w:highlight w:val="none"/>
          <w:u w:val="none" w:color="auto"/>
        </w:rPr>
        <w:t>年</w:t>
      </w:r>
      <w:r>
        <w:rPr>
          <w:rFonts w:hint="eastAsia" w:ascii="仿宋" w:hAnsi="仿宋" w:eastAsia="仿宋" w:cs="仿宋"/>
          <w:b/>
          <w:color w:val="auto"/>
          <w:sz w:val="24"/>
          <w:szCs w:val="24"/>
          <w:highlight w:val="none"/>
          <w:u w:val="none" w:color="auto"/>
          <w:lang w:val="en-US" w:eastAsia="zh-CN"/>
        </w:rPr>
        <w:t>1</w:t>
      </w:r>
      <w:r>
        <w:rPr>
          <w:rFonts w:hint="eastAsia" w:ascii="仿宋" w:hAnsi="仿宋" w:eastAsia="仿宋" w:cs="仿宋"/>
          <w:b/>
          <w:color w:val="auto"/>
          <w:sz w:val="24"/>
          <w:szCs w:val="24"/>
          <w:highlight w:val="none"/>
          <w:u w:val="none" w:color="auto"/>
        </w:rPr>
        <w:t>月</w:t>
      </w:r>
      <w:r>
        <w:rPr>
          <w:rFonts w:hint="eastAsia" w:ascii="仿宋" w:hAnsi="仿宋" w:eastAsia="仿宋" w:cs="仿宋"/>
          <w:b/>
          <w:color w:val="auto"/>
          <w:sz w:val="24"/>
          <w:szCs w:val="24"/>
          <w:highlight w:val="none"/>
          <w:u w:val="none" w:color="auto"/>
          <w:lang w:val="en-US" w:eastAsia="zh-CN"/>
        </w:rPr>
        <w:t>16</w:t>
      </w:r>
      <w:r>
        <w:rPr>
          <w:rFonts w:hint="eastAsia" w:ascii="仿宋" w:hAnsi="仿宋" w:eastAsia="仿宋" w:cs="仿宋"/>
          <w:b/>
          <w:color w:val="auto"/>
          <w:sz w:val="24"/>
          <w:szCs w:val="24"/>
          <w:highlight w:val="none"/>
          <w:u w:val="none" w:color="auto"/>
        </w:rPr>
        <w:t>日</w:t>
      </w:r>
      <w:r>
        <w:rPr>
          <w:rFonts w:hint="eastAsia" w:ascii="仿宋" w:hAnsi="仿宋" w:eastAsia="仿宋" w:cs="仿宋"/>
          <w:b/>
          <w:color w:val="auto"/>
          <w:sz w:val="24"/>
          <w:szCs w:val="24"/>
          <w:highlight w:val="none"/>
          <w:u w:val="none" w:color="auto"/>
          <w:lang w:val="en-US" w:eastAsia="zh-CN"/>
        </w:rPr>
        <w:t>14</w:t>
      </w:r>
      <w:r>
        <w:rPr>
          <w:rFonts w:hint="eastAsia" w:ascii="仿宋" w:hAnsi="仿宋" w:eastAsia="仿宋" w:cs="仿宋"/>
          <w:b/>
          <w:color w:val="auto"/>
          <w:sz w:val="24"/>
          <w:szCs w:val="24"/>
          <w:highlight w:val="none"/>
          <w:u w:val="none" w:color="auto"/>
        </w:rPr>
        <w:t>时</w:t>
      </w:r>
      <w:r>
        <w:rPr>
          <w:rFonts w:hint="eastAsia" w:ascii="仿宋" w:hAnsi="仿宋" w:eastAsia="仿宋" w:cs="仿宋"/>
          <w:b/>
          <w:color w:val="auto"/>
          <w:sz w:val="24"/>
          <w:szCs w:val="24"/>
          <w:highlight w:val="none"/>
          <w:u w:val="none" w:color="auto"/>
          <w:lang w:val="en-US" w:eastAsia="zh-CN"/>
        </w:rPr>
        <w:t xml:space="preserve"> 30</w:t>
      </w:r>
      <w:r>
        <w:rPr>
          <w:rFonts w:hint="eastAsia" w:ascii="仿宋" w:hAnsi="仿宋" w:eastAsia="仿宋" w:cs="仿宋"/>
          <w:b/>
          <w:color w:val="auto"/>
          <w:sz w:val="24"/>
          <w:szCs w:val="24"/>
          <w:highlight w:val="none"/>
          <w:u w:val="none" w:color="auto"/>
        </w:rPr>
        <w:t>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449" w:leftChars="214"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3.接收地址：</w:t>
      </w:r>
      <w:r>
        <w:rPr>
          <w:rFonts w:hint="eastAsia" w:ascii="仿宋" w:hAnsi="仿宋" w:eastAsia="仿宋" w:cs="仿宋"/>
          <w:b/>
          <w:bCs/>
          <w:color w:val="auto"/>
          <w:sz w:val="24"/>
          <w:szCs w:val="24"/>
          <w:highlight w:val="none"/>
          <w:lang w:val="en-US" w:eastAsia="zh-CN"/>
        </w:rPr>
        <w:t>崇川区垃圾转运中心（办公楼3楼会议室）</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如有变动另行通知。</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、询价响应文件有效期：45个日历天（从投响应文件接收截止之日算起）。</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、开标、评标</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1.开标时间：</w:t>
      </w:r>
      <w:r>
        <w:rPr>
          <w:rFonts w:hint="eastAsia" w:ascii="仿宋" w:hAnsi="仿宋" w:eastAsia="仿宋" w:cs="仿宋"/>
          <w:b/>
          <w:color w:val="auto"/>
          <w:sz w:val="24"/>
          <w:szCs w:val="24"/>
          <w:highlight w:val="none"/>
          <w:u w:val="none" w:color="auto"/>
          <w:lang w:eastAsia="zh-CN"/>
        </w:rPr>
        <w:t>2024</w:t>
      </w:r>
      <w:r>
        <w:rPr>
          <w:rFonts w:hint="eastAsia" w:ascii="仿宋" w:hAnsi="仿宋" w:eastAsia="仿宋" w:cs="仿宋"/>
          <w:b/>
          <w:color w:val="auto"/>
          <w:sz w:val="24"/>
          <w:szCs w:val="24"/>
          <w:highlight w:val="none"/>
          <w:u w:val="none" w:color="auto"/>
        </w:rPr>
        <w:t>年</w:t>
      </w:r>
      <w:r>
        <w:rPr>
          <w:rFonts w:hint="eastAsia" w:ascii="仿宋" w:hAnsi="仿宋" w:eastAsia="仿宋" w:cs="仿宋"/>
          <w:b/>
          <w:color w:val="auto"/>
          <w:sz w:val="24"/>
          <w:szCs w:val="24"/>
          <w:highlight w:val="none"/>
          <w:u w:val="none" w:color="auto"/>
          <w:lang w:val="en-US" w:eastAsia="zh-CN"/>
        </w:rPr>
        <w:t>1</w:t>
      </w:r>
      <w:r>
        <w:rPr>
          <w:rFonts w:hint="eastAsia" w:ascii="仿宋" w:hAnsi="仿宋" w:eastAsia="仿宋" w:cs="仿宋"/>
          <w:b/>
          <w:color w:val="auto"/>
          <w:sz w:val="24"/>
          <w:szCs w:val="24"/>
          <w:highlight w:val="none"/>
          <w:u w:val="none" w:color="auto"/>
        </w:rPr>
        <w:t>月</w:t>
      </w:r>
      <w:r>
        <w:rPr>
          <w:rFonts w:hint="eastAsia" w:ascii="仿宋" w:hAnsi="仿宋" w:eastAsia="仿宋" w:cs="仿宋"/>
          <w:b/>
          <w:color w:val="auto"/>
          <w:sz w:val="24"/>
          <w:szCs w:val="24"/>
          <w:highlight w:val="none"/>
          <w:u w:val="none" w:color="auto"/>
          <w:lang w:val="en-US" w:eastAsia="zh-CN"/>
        </w:rPr>
        <w:t>16</w:t>
      </w:r>
      <w:r>
        <w:rPr>
          <w:rFonts w:hint="eastAsia" w:ascii="仿宋" w:hAnsi="仿宋" w:eastAsia="仿宋" w:cs="仿宋"/>
          <w:b/>
          <w:color w:val="auto"/>
          <w:sz w:val="24"/>
          <w:szCs w:val="24"/>
          <w:highlight w:val="none"/>
          <w:u w:val="none" w:color="auto"/>
        </w:rPr>
        <w:t>日</w:t>
      </w:r>
      <w:r>
        <w:rPr>
          <w:rFonts w:hint="eastAsia" w:ascii="仿宋" w:hAnsi="仿宋" w:eastAsia="仿宋" w:cs="仿宋"/>
          <w:b/>
          <w:color w:val="auto"/>
          <w:sz w:val="24"/>
          <w:szCs w:val="24"/>
          <w:highlight w:val="none"/>
          <w:u w:val="none" w:color="auto"/>
          <w:lang w:val="en-US" w:eastAsia="zh-CN"/>
        </w:rPr>
        <w:t>14</w:t>
      </w:r>
      <w:r>
        <w:rPr>
          <w:rFonts w:hint="eastAsia" w:ascii="仿宋" w:hAnsi="仿宋" w:eastAsia="仿宋" w:cs="仿宋"/>
          <w:b/>
          <w:color w:val="auto"/>
          <w:sz w:val="24"/>
          <w:szCs w:val="24"/>
          <w:highlight w:val="none"/>
          <w:u w:val="none" w:color="auto"/>
        </w:rPr>
        <w:t>时</w:t>
      </w:r>
      <w:r>
        <w:rPr>
          <w:rFonts w:hint="eastAsia" w:ascii="仿宋" w:hAnsi="仿宋" w:eastAsia="仿宋" w:cs="仿宋"/>
          <w:b/>
          <w:color w:val="auto"/>
          <w:sz w:val="24"/>
          <w:szCs w:val="24"/>
          <w:highlight w:val="none"/>
          <w:u w:val="none" w:color="auto"/>
          <w:lang w:val="en-US" w:eastAsia="zh-CN"/>
        </w:rPr>
        <w:t>30</w:t>
      </w:r>
      <w:r>
        <w:rPr>
          <w:rFonts w:hint="eastAsia" w:ascii="仿宋" w:hAnsi="仿宋" w:eastAsia="仿宋" w:cs="仿宋"/>
          <w:b/>
          <w:color w:val="auto"/>
          <w:sz w:val="24"/>
          <w:szCs w:val="24"/>
          <w:highlight w:val="none"/>
          <w:u w:val="none" w:color="auto"/>
        </w:rPr>
        <w:t>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2.开标地点：</w:t>
      </w:r>
      <w:r>
        <w:rPr>
          <w:rFonts w:hint="eastAsia" w:ascii="仿宋" w:hAnsi="仿宋" w:eastAsia="仿宋" w:cs="仿宋"/>
          <w:color w:val="auto"/>
          <w:sz w:val="24"/>
          <w:szCs w:val="24"/>
          <w:highlight w:val="none"/>
          <w:lang w:val="en-US" w:eastAsia="zh-CN"/>
        </w:rPr>
        <w:t>崇川区垃圾转运中心（办公楼3楼会议室）</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如有变动另行通知；</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3.采购人将委托询价小组对各供应商的资格进行审查，审查通过方可参与项目的询价；</w:t>
      </w:r>
    </w:p>
    <w:p>
      <w:pPr>
        <w:snapToGrid w:val="0"/>
        <w:spacing w:line="440" w:lineRule="exact"/>
        <w:ind w:firstLine="480" w:firstLineChars="200"/>
        <w:contextualSpacing/>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九、变更为其他方式采购的情形</w:t>
      </w:r>
    </w:p>
    <w:p>
      <w:pPr>
        <w:snapToGrid w:val="0"/>
        <w:spacing w:line="440" w:lineRule="exact"/>
        <w:ind w:firstLine="480" w:firstLineChars="200"/>
        <w:contextualSpacing/>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本项目为历经一次询价失败后的第二次询价，若参加本次询价的有效投标人不足3家的，则本项目第二次询价失败，同时本项目根据相关法律法规和采购人需求，现场变更招标方式后继续进行谈判：</w:t>
      </w:r>
    </w:p>
    <w:p>
      <w:pPr>
        <w:snapToGrid w:val="0"/>
        <w:spacing w:line="440" w:lineRule="exact"/>
        <w:ind w:firstLine="480" w:firstLineChars="200"/>
        <w:contextualSpacing/>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1．在只有两家投标人的情形下，将采取两轮报价的谈判方式确定中标候选人：</w:t>
      </w:r>
    </w:p>
    <w:p>
      <w:pPr>
        <w:snapToGrid w:val="0"/>
        <w:spacing w:line="440" w:lineRule="exact"/>
        <w:ind w:firstLine="480" w:firstLineChars="200"/>
        <w:contextualSpacing/>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(1）在投标人均符合资格条件的情形下，拆封投标人报价文件并唱标，唱标结果为有效报价的作为第一轮报价。</w:t>
      </w:r>
    </w:p>
    <w:p>
      <w:pPr>
        <w:snapToGrid w:val="0"/>
        <w:spacing w:line="440" w:lineRule="exact"/>
        <w:ind w:firstLine="480" w:firstLineChars="200"/>
        <w:contextualSpacing/>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(2）投标人在规定的时间内作出第二次报价。</w:t>
      </w:r>
    </w:p>
    <w:p>
      <w:pPr>
        <w:snapToGrid w:val="0"/>
        <w:spacing w:line="440" w:lineRule="exact"/>
        <w:ind w:firstLine="480" w:firstLineChars="200"/>
        <w:contextualSpacing/>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(3）投标人的第二次报价不得高于其第一次的报价，经评标委员会评审，有效报价由低到高排名，推荐排名1、2的为中标候选人，同时由评标委员会确定第一中标候选人为本项目的中标人。</w:t>
      </w:r>
    </w:p>
    <w:p>
      <w:pPr>
        <w:snapToGrid w:val="0"/>
        <w:spacing w:line="440" w:lineRule="exact"/>
        <w:ind w:firstLine="480" w:firstLineChars="200"/>
        <w:contextualSpacing/>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2．若只有一家投标人的情形下，则采取评标委员会与投标人进行价格谈判的方式确定中标人：</w:t>
      </w:r>
    </w:p>
    <w:p>
      <w:pPr>
        <w:snapToGrid w:val="0"/>
        <w:spacing w:line="440" w:lineRule="exact"/>
        <w:ind w:firstLine="480" w:firstLineChars="200"/>
        <w:contextualSpacing/>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(1）在投标人符合资格条件的情形下，拆封投标人报价文件并唱标，唱标结果为有效报价的作为第一轮的谈判报价。</w:t>
      </w:r>
    </w:p>
    <w:p>
      <w:pPr>
        <w:snapToGrid w:val="0"/>
        <w:spacing w:line="440" w:lineRule="exact"/>
        <w:ind w:firstLine="480" w:firstLineChars="200"/>
        <w:contextualSpacing/>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(2）评标委员会评委集体与投标人就本项目的价格进行谈判，谈判的价格不高于投标人的第一次有效报价。</w:t>
      </w:r>
    </w:p>
    <w:p>
      <w:pPr>
        <w:snapToGrid w:val="0"/>
        <w:spacing w:line="440" w:lineRule="exact"/>
        <w:ind w:firstLine="480" w:firstLineChars="200"/>
        <w:contextualSpacing/>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(3）最终以双方均接受的谈判价格作为本项目的中标价，评标委员会推荐投标人为中标人。</w:t>
      </w:r>
    </w:p>
    <w:p>
      <w:pPr>
        <w:snapToGrid w:val="0"/>
        <w:spacing w:line="440" w:lineRule="exact"/>
        <w:ind w:firstLine="480" w:firstLineChars="200"/>
        <w:contextualSpacing/>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(4）当出现采购人不能接受的价格情形下，本项目谈判终止，采购人重新开展招标活动。</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、联系方式：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szCs w:val="24"/>
          <w:highlight w:val="none"/>
          <w:u w:val="none"/>
        </w:rPr>
        <w:t>南通</w:t>
      </w:r>
      <w:r>
        <w:rPr>
          <w:rFonts w:hint="eastAsia" w:ascii="仿宋" w:hAnsi="仿宋" w:eastAsia="仿宋" w:cs="仿宋"/>
          <w:color w:val="auto"/>
          <w:sz w:val="24"/>
          <w:szCs w:val="24"/>
          <w:highlight w:val="none"/>
          <w:u w:val="none"/>
          <w:lang w:eastAsia="zh-CN"/>
        </w:rPr>
        <w:t>兴环环境卫生服务有限公司</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朱先生（18762859057）</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2.采购代理机构信息</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名称：苏州新一造价师价格事务所有限公司</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地址：南通市开发区长通路9号飞马国际中心A幢1205室</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联系方式：姜海燕</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代福勇</w:t>
      </w:r>
      <w:r>
        <w:rPr>
          <w:rFonts w:hint="eastAsia" w:ascii="仿宋" w:hAnsi="仿宋" w:eastAsia="仿宋" w:cs="仿宋"/>
          <w:color w:val="auto"/>
          <w:kern w:val="0"/>
          <w:sz w:val="24"/>
          <w:highlight w:val="none"/>
        </w:rPr>
        <w:t xml:space="preserve">   0513-69895668</w:t>
      </w:r>
    </w:p>
    <w:p>
      <w:pPr>
        <w:tabs>
          <w:tab w:val="left" w:pos="1050"/>
          <w:tab w:val="right" w:leader="dot" w:pos="9402"/>
        </w:tabs>
        <w:spacing w:beforeLines="100" w:line="600" w:lineRule="exact"/>
        <w:ind w:firstLine="3473" w:firstLineChars="1200"/>
        <w:outlineLvl w:val="0"/>
        <w:rPr>
          <w:rFonts w:hint="eastAsia" w:ascii="仿宋" w:hAnsi="仿宋" w:eastAsia="仿宋" w:cs="仿宋"/>
          <w:b/>
          <w:color w:val="auto"/>
          <w:w w:val="80"/>
          <w:sz w:val="36"/>
          <w:szCs w:val="36"/>
          <w:highlight w:val="none"/>
        </w:rPr>
      </w:pPr>
      <w:bookmarkStart w:id="1" w:name="_Toc363573854"/>
      <w:r>
        <w:rPr>
          <w:rFonts w:hint="eastAsia" w:ascii="仿宋" w:hAnsi="仿宋" w:eastAsia="仿宋" w:cs="仿宋"/>
          <w:b/>
          <w:color w:val="auto"/>
          <w:w w:val="80"/>
          <w:sz w:val="36"/>
          <w:szCs w:val="36"/>
          <w:highlight w:val="none"/>
        </w:rPr>
        <w:t xml:space="preserve">第二章  </w:t>
      </w:r>
      <w:r>
        <w:rPr>
          <w:rFonts w:hint="eastAsia" w:ascii="仿宋" w:hAnsi="仿宋" w:eastAsia="仿宋" w:cs="仿宋"/>
          <w:b/>
          <w:color w:val="auto"/>
          <w:w w:val="80"/>
          <w:sz w:val="36"/>
          <w:szCs w:val="36"/>
          <w:highlight w:val="none"/>
          <w:lang w:eastAsia="zh-CN"/>
        </w:rPr>
        <w:t>询价</w:t>
      </w:r>
      <w:r>
        <w:rPr>
          <w:rFonts w:hint="eastAsia" w:ascii="仿宋" w:hAnsi="仿宋" w:eastAsia="仿宋" w:cs="仿宋"/>
          <w:b/>
          <w:color w:val="auto"/>
          <w:w w:val="80"/>
          <w:sz w:val="36"/>
          <w:szCs w:val="36"/>
          <w:highlight w:val="none"/>
        </w:rPr>
        <w:t>须知</w:t>
      </w:r>
      <w:bookmarkEnd w:id="1"/>
    </w:p>
    <w:p>
      <w:pPr>
        <w:snapToGrid w:val="0"/>
        <w:spacing w:line="42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一、说明</w:t>
      </w:r>
    </w:p>
    <w:p>
      <w:pPr>
        <w:snapToGrid w:val="0"/>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1.本询价文件仅适用采购单位组织的询价采购活动。</w:t>
      </w:r>
    </w:p>
    <w:p>
      <w:pPr>
        <w:snapToGrid w:val="0"/>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2.该次采购询价活动及因本次询价产生的合同受中国法律制约和保护。</w:t>
      </w:r>
    </w:p>
    <w:p>
      <w:pPr>
        <w:snapToGrid w:val="0"/>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3.本询价文件的解释权属于采购单位。</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取得询价文件后，应仔细检查询价文件的所有内容。如内容中有页码短缺、资格要求以及任何设置有不合理的条件对供应商实行差别待遇或者歧视待遇的，应在询价文件发布后3日内，以书面形式向采购单位提出询问或疑问，未在规定的时间内提出询问或疑问的，视同理解并接受本询价文件的所有内容，因此引起的损失由供应商自负，而且</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不得在询价活动结束后针对询价文件的所有内容提出</w:t>
      </w:r>
      <w:r>
        <w:rPr>
          <w:rFonts w:hint="eastAsia" w:ascii="仿宋" w:hAnsi="仿宋" w:eastAsia="仿宋" w:cs="仿宋"/>
          <w:color w:val="auto"/>
          <w:sz w:val="24"/>
          <w:szCs w:val="24"/>
          <w:highlight w:val="none"/>
          <w:lang w:eastAsia="zh-CN"/>
        </w:rPr>
        <w:t>异议</w:t>
      </w:r>
      <w:r>
        <w:rPr>
          <w:rFonts w:hint="eastAsia" w:ascii="仿宋" w:hAnsi="仿宋" w:eastAsia="仿宋" w:cs="仿宋"/>
          <w:color w:val="auto"/>
          <w:sz w:val="24"/>
          <w:szCs w:val="24"/>
          <w:highlight w:val="none"/>
        </w:rPr>
        <w:t>事项。</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二、询价文件的获取</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有意愿参与本项目投标响应的单位，请于本公告日起至开标截止前，“南通市崇川区人民政府网”（www.chongchuan.gov.cn）公告公示栏发布”下载本项目的询价文件。</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三、询价文件的补充说明、澄清、修改、答疑</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1.采购单位有权对发出的询价文件进行必要的补充说明、澄清或修改。</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2.凡涉及询价文件的补充说明、澄清或修改，均以采购单位在“南通市崇川区人民政府网”（www.chongchuan.gov.cn）公告公示栏发布”发布的信息为准。</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3.采购单位对询价文件的补充说明、澄清或修改，将构成询价文件的一部分，对响应询价的供应商具有约束力。</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4.澄清或者修改的内容可能影响到响应文件编制的，采购单位将在提交响应文件接收截止之日的3个工作日前，发布澄清或者修改公告，不足3个工作日的，当顺延提交响应文件接收截止之日。</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5.除非采购单位以书面的形式对招标文件作出澄清、修改及补充，供应商对涉及询价文件的任何推论、理解和结论所造成的结果，均由供应商自负。</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6.招标采购单位视情组织答疑会。如有产生答疑且对询价文件内容有修改，采购单位将按照本须知有关规定，以补充通知的方式发出。</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四、询价响应文件的组成及装订</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1.询价响应文件由“</w:t>
      </w:r>
      <w:r>
        <w:rPr>
          <w:rFonts w:hint="eastAsia" w:ascii="仿宋" w:hAnsi="仿宋" w:eastAsia="仿宋" w:cs="仿宋"/>
          <w:b/>
          <w:color w:val="auto"/>
          <w:sz w:val="24"/>
          <w:szCs w:val="24"/>
          <w:highlight w:val="none"/>
        </w:rPr>
        <w:t>A. 资格后审材料文件、 B. 商务标询价响应文</w:t>
      </w:r>
      <w:r>
        <w:rPr>
          <w:rFonts w:hint="eastAsia" w:ascii="仿宋" w:hAnsi="仿宋" w:eastAsia="仿宋" w:cs="仿宋"/>
          <w:b/>
          <w:color w:val="auto"/>
          <w:sz w:val="24"/>
          <w:szCs w:val="24"/>
          <w:highlight w:val="none"/>
          <w:lang w:eastAsia="zh-CN"/>
        </w:rPr>
        <w:t>件</w:t>
      </w:r>
      <w:r>
        <w:rPr>
          <w:rFonts w:hint="eastAsia" w:ascii="仿宋" w:hAnsi="仿宋" w:eastAsia="仿宋" w:cs="仿宋"/>
          <w:color w:val="auto"/>
          <w:sz w:val="24"/>
          <w:szCs w:val="24"/>
          <w:highlight w:val="none"/>
        </w:rPr>
        <w:t>”件共</w:t>
      </w: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部分组成（以下由文件前缀号代称）。</w:t>
      </w:r>
    </w:p>
    <w:p>
      <w:pPr>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2.供应商按询价响应文件组成顺序编写响应文件，并牢固装订成册。询价响应文件均需采用A4纸（图纸等除外），</w:t>
      </w:r>
      <w:r>
        <w:rPr>
          <w:rFonts w:hint="eastAsia" w:ascii="仿宋" w:hAnsi="仿宋" w:eastAsia="仿宋" w:cs="仿宋"/>
          <w:color w:val="auto"/>
          <w:sz w:val="24"/>
          <w:szCs w:val="24"/>
          <w:highlight w:val="none"/>
          <w:u w:val="none" w:color="auto"/>
        </w:rPr>
        <w:t>不允许使用活页夹、拉杆夹、文件夹、塑料方便式书脊（插入式或穿孔式）装订。</w:t>
      </w:r>
      <w:r>
        <w:rPr>
          <w:rFonts w:hint="eastAsia" w:ascii="仿宋" w:hAnsi="仿宋" w:eastAsia="仿宋" w:cs="仿宋"/>
          <w:color w:val="auto"/>
          <w:sz w:val="24"/>
          <w:szCs w:val="24"/>
          <w:highlight w:val="none"/>
        </w:rPr>
        <w:t>询价响应文件不得行间插字、涂改、增删，如修改错漏处，须经询价响应文件签署人签字并加盖公章。</w:t>
      </w:r>
    </w:p>
    <w:p>
      <w:pPr>
        <w:snapToGrid w:val="0"/>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3.商务标响应文件中的所有报价表，必须装订成册。</w:t>
      </w:r>
    </w:p>
    <w:p>
      <w:pPr>
        <w:snapToGrid w:val="0"/>
        <w:spacing w:line="42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五、询价响应文件的份数、签署和退还</w:t>
      </w:r>
    </w:p>
    <w:p>
      <w:pPr>
        <w:snapToGrid w:val="0"/>
        <w:spacing w:line="42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1.询价响应文件【A】【B】</w:t>
      </w:r>
      <w:r>
        <w:rPr>
          <w:rFonts w:hint="eastAsia" w:ascii="仿宋" w:hAnsi="仿宋" w:eastAsia="仿宋" w:cs="仿宋"/>
          <w:color w:val="auto"/>
          <w:sz w:val="24"/>
          <w:szCs w:val="24"/>
          <w:highlight w:val="none"/>
          <w:u w:val="none" w:color="auto"/>
        </w:rPr>
        <w:t>均为一份“正本”和两份“副本”。</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2.在每一询价响应文件上要明确标注项目名称、编号、询价响应文件各自对应的响应文件名称、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全称、“正本”、“副本”字样，“正本”和“副本”若有差异，概以“正本”为准。</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3.询价响应文件中的所有“正本”，须为打印的，其正文内容由法定代表人或被委托授权人签字（或盖章）并加盖公章。“副本”可复印，但须加盖公章。</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4.询价采购活动开始进行后，所有询价响应文件都将作为档案保存，不论成交与否，采购单位均不退回（未拆封的除外）。</w:t>
      </w:r>
    </w:p>
    <w:p>
      <w:pPr>
        <w:snapToGrid w:val="0"/>
        <w:spacing w:line="420" w:lineRule="exact"/>
        <w:ind w:firstLine="472" w:firstLineChars="196"/>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六、询价响应文件的密封及标记</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须将本项目询价响应文件【A】【B】</w:t>
      </w:r>
      <w:r>
        <w:rPr>
          <w:rFonts w:hint="eastAsia" w:ascii="仿宋" w:hAnsi="仿宋" w:eastAsia="仿宋" w:cs="仿宋"/>
          <w:b/>
          <w:color w:val="auto"/>
          <w:sz w:val="24"/>
          <w:szCs w:val="24"/>
          <w:highlight w:val="none"/>
        </w:rPr>
        <w:t>分别单独密封</w:t>
      </w:r>
      <w:r>
        <w:rPr>
          <w:rFonts w:hint="eastAsia" w:ascii="仿宋" w:hAnsi="仿宋" w:eastAsia="仿宋" w:cs="仿宋"/>
          <w:color w:val="auto"/>
          <w:sz w:val="24"/>
          <w:szCs w:val="24"/>
          <w:highlight w:val="none"/>
        </w:rPr>
        <w:t>。</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2.密封后，应在每一密封的询价响应文件上明确标注询价项目名称、项目编号、询价响应文件各自对应的名称、供应商全称及日期，同时加盖供应商公章。</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特别提醒：询价响应文件中的【A】中的“正本”或“副本”中，均不得含有任何“【B】”中报价表（报价单）的内容，否则作废标处理。</w:t>
      </w:r>
    </w:p>
    <w:p>
      <w:pPr>
        <w:snapToGrid w:val="0"/>
        <w:spacing w:line="420" w:lineRule="exact"/>
        <w:ind w:firstLine="472" w:firstLineChars="196"/>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七、询价响应文件内容</w:t>
      </w:r>
    </w:p>
    <w:p>
      <w:pPr>
        <w:snapToGrid w:val="0"/>
        <w:spacing w:line="420" w:lineRule="exact"/>
        <w:ind w:firstLine="487" w:firstLineChars="202"/>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A、资格后审材料文件（格式参见第八章）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color="auto"/>
        </w:rPr>
        <w:t>一个密封包，内含：1正2副文件。</w:t>
      </w:r>
      <w:r>
        <w:rPr>
          <w:rFonts w:hint="eastAsia" w:ascii="仿宋" w:hAnsi="仿宋" w:eastAsia="仿宋" w:cs="仿宋"/>
          <w:color w:val="auto"/>
          <w:sz w:val="24"/>
          <w:szCs w:val="24"/>
          <w:highlight w:val="none"/>
        </w:rPr>
        <w:t>）</w:t>
      </w:r>
    </w:p>
    <w:p>
      <w:pPr>
        <w:snapToGrid w:val="0"/>
        <w:spacing w:line="420" w:lineRule="exact"/>
        <w:ind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pPr>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提供有效的营业执照及税务登记证（或者是三证合一的营业执照）</w:t>
      </w:r>
      <w:r>
        <w:rPr>
          <w:rFonts w:hint="eastAsia" w:ascii="仿宋" w:hAnsi="仿宋" w:eastAsia="仿宋" w:cs="仿宋"/>
          <w:color w:val="auto"/>
          <w:sz w:val="24"/>
          <w:szCs w:val="24"/>
          <w:highlight w:val="none"/>
        </w:rPr>
        <w:t>。</w:t>
      </w:r>
    </w:p>
    <w:p>
      <w:pPr>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2.法定代表人参加询价的，必须提供本人身份证原件的复印件（须加盖公章）；非法定代表人参加的，必须提供法定代表人身份证明及其签名或盖章的授权委托书这2项材料（须加盖公章）。</w:t>
      </w:r>
    </w:p>
    <w:p>
      <w:pPr>
        <w:snapToGrid w:val="0"/>
        <w:spacing w:line="420" w:lineRule="exact"/>
        <w:ind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.响应供应商须提供关于资格文件的声明函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按后附格式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pStyle w:val="16"/>
        <w:numPr>
          <w:ilvl w:val="0"/>
          <w:numId w:val="0"/>
        </w:numPr>
        <w:ind w:left="480" w:lef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供应商提供符合相关资格条件的声明函（</w:t>
      </w:r>
      <w:r>
        <w:rPr>
          <w:rFonts w:hint="eastAsia" w:ascii="仿宋" w:hAnsi="仿宋" w:eastAsia="仿宋" w:cs="仿宋"/>
          <w:color w:val="auto"/>
          <w:sz w:val="24"/>
          <w:highlight w:val="none"/>
          <w:lang w:val="en-US" w:eastAsia="zh-CN"/>
        </w:rPr>
        <w:t>按后附格式</w:t>
      </w:r>
      <w:r>
        <w:rPr>
          <w:rFonts w:hint="eastAsia" w:ascii="仿宋" w:hAnsi="仿宋" w:eastAsia="仿宋" w:cs="仿宋"/>
          <w:color w:val="auto"/>
          <w:sz w:val="24"/>
          <w:highlight w:val="none"/>
          <w:lang w:eastAsia="zh-CN"/>
        </w:rPr>
        <w:t>）；</w:t>
      </w:r>
    </w:p>
    <w:p>
      <w:pPr>
        <w:numPr>
          <w:ilvl w:val="0"/>
          <w:numId w:val="0"/>
        </w:numPr>
        <w:ind w:left="480" w:leftChars="0"/>
        <w:rPr>
          <w:rFonts w:hint="eastAsia" w:ascii="仿宋" w:hAnsi="仿宋" w:eastAsia="仿宋" w:cs="仿宋"/>
          <w:color w:val="auto"/>
          <w:highlight w:val="none"/>
          <w:lang w:val="en-US" w:eastAsia="zh-CN"/>
        </w:rPr>
      </w:pPr>
      <w:r>
        <w:rPr>
          <w:rFonts w:hint="eastAsia" w:ascii="仿宋" w:hAnsi="仿宋" w:eastAsia="仿宋" w:cs="仿宋"/>
          <w:color w:val="auto"/>
          <w:sz w:val="24"/>
          <w:szCs w:val="21"/>
          <w:highlight w:val="none"/>
          <w:lang w:val="en-US" w:eastAsia="zh-CN"/>
        </w:rPr>
        <w:t>5.响应供应商</w:t>
      </w:r>
      <w:r>
        <w:rPr>
          <w:rFonts w:hint="eastAsia" w:ascii="仿宋" w:hAnsi="仿宋" w:eastAsia="仿宋" w:cs="仿宋"/>
          <w:color w:val="auto"/>
          <w:sz w:val="24"/>
          <w:szCs w:val="21"/>
          <w:highlight w:val="none"/>
          <w:lang w:val="zh-CN"/>
        </w:rPr>
        <w:t>未被</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zh-CN"/>
        </w:rPr>
        <w:t>信用中国</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zh-CN"/>
        </w:rPr>
        <w:t>网站</w:t>
      </w:r>
      <w:r>
        <w:rPr>
          <w:rFonts w:hint="eastAsia" w:ascii="仿宋" w:hAnsi="仿宋" w:eastAsia="仿宋" w:cs="仿宋"/>
          <w:color w:val="auto"/>
          <w:sz w:val="24"/>
          <w:szCs w:val="21"/>
          <w:highlight w:val="none"/>
        </w:rPr>
        <w:t xml:space="preserve">(www.creditchina.gov.cn) </w:t>
      </w:r>
      <w:r>
        <w:rPr>
          <w:rFonts w:hint="eastAsia" w:ascii="仿宋" w:hAnsi="仿宋" w:eastAsia="仿宋" w:cs="仿宋"/>
          <w:color w:val="auto"/>
          <w:sz w:val="24"/>
          <w:szCs w:val="21"/>
          <w:highlight w:val="none"/>
          <w:lang w:val="zh-CN"/>
        </w:rPr>
        <w:t>列入失信被执行人、重大税收违法案件当事人名单（提供查询截图）。</w:t>
      </w:r>
    </w:p>
    <w:p>
      <w:pPr>
        <w:spacing w:line="420" w:lineRule="exact"/>
        <w:ind w:firstLine="566" w:firstLineChars="2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6.参与投标的供应商须为所投产品的制造商或代理商(或经销商)，须提供相应的佐证材料。</w:t>
      </w:r>
    </w:p>
    <w:p>
      <w:pPr>
        <w:pStyle w:val="37"/>
        <w:rPr>
          <w:rFonts w:hint="eastAsia" w:ascii="仿宋" w:hAnsi="仿宋" w:eastAsia="仿宋" w:cs="仿宋"/>
          <w:color w:val="auto"/>
          <w:highlight w:val="none"/>
          <w:lang w:val="en-US" w:eastAsia="zh-CN"/>
        </w:rPr>
      </w:pPr>
    </w:p>
    <w:p>
      <w:pPr>
        <w:spacing w:line="420" w:lineRule="exact"/>
        <w:ind w:firstLine="487" w:firstLineChars="202"/>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B、商务询价响应文件（格式参见第八章）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color="auto"/>
        </w:rPr>
        <w:t>一个密封包，内含：1正2副文件。</w:t>
      </w:r>
      <w:r>
        <w:rPr>
          <w:rFonts w:hint="eastAsia" w:ascii="仿宋" w:hAnsi="仿宋" w:eastAsia="仿宋" w:cs="仿宋"/>
          <w:color w:val="auto"/>
          <w:sz w:val="24"/>
          <w:szCs w:val="24"/>
          <w:highlight w:val="none"/>
        </w:rPr>
        <w:t>）</w:t>
      </w:r>
    </w:p>
    <w:p>
      <w:pPr>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商务询价响应文件应包括询价文件确定的询价项目范围及相应说明的全部内容及费用。</w:t>
      </w:r>
    </w:p>
    <w:p>
      <w:pPr>
        <w:spacing w:line="420" w:lineRule="exact"/>
        <w:ind w:firstLine="484" w:firstLineChars="202"/>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1.询价响应报价表；</w:t>
      </w:r>
    </w:p>
    <w:p>
      <w:pPr>
        <w:snapToGrid w:val="0"/>
        <w:spacing w:line="420" w:lineRule="exact"/>
        <w:ind w:firstLine="496" w:firstLineChars="206"/>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八、联合体参与竞标</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本项目不接受多个供应商组成联合体参与竞标询价响应。</w:t>
      </w:r>
    </w:p>
    <w:p>
      <w:pPr>
        <w:snapToGrid w:val="0"/>
        <w:spacing w:line="420" w:lineRule="exact"/>
        <w:ind w:firstLine="496" w:firstLineChars="206"/>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九</w:t>
      </w:r>
      <w:r>
        <w:rPr>
          <w:rFonts w:hint="eastAsia" w:ascii="仿宋" w:hAnsi="仿宋" w:eastAsia="仿宋" w:cs="仿宋"/>
          <w:b/>
          <w:bCs/>
          <w:color w:val="auto"/>
          <w:sz w:val="24"/>
          <w:szCs w:val="24"/>
          <w:highlight w:val="none"/>
        </w:rPr>
        <w:t>、询价响应文件的有效期</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1.从响应文件接收截止之日算起，45个日历天内询价响应文件应保持有效。有效期短于这个规定期限的询价投标，将被拒绝。</w:t>
      </w:r>
    </w:p>
    <w:p>
      <w:pPr>
        <w:snapToGrid w:val="0"/>
        <w:spacing w:line="42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2.在特殊情况下，采购单位可与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协商延长询价响应文件的有效期。这种要求和答复都应以书面、传真、或电报的形式进行。同意延长有效期的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不能修改询价响应文件。拒绝接受延期要求的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的询价投标将被拒绝。</w:t>
      </w:r>
    </w:p>
    <w:p>
      <w:pPr>
        <w:snapToGrid w:val="0"/>
        <w:spacing w:line="420" w:lineRule="exact"/>
        <w:ind w:firstLine="496" w:firstLineChars="206"/>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十、开标、评标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1.开标时间：</w:t>
      </w:r>
      <w:r>
        <w:rPr>
          <w:rFonts w:hint="eastAsia" w:ascii="仿宋" w:hAnsi="仿宋" w:eastAsia="仿宋" w:cs="仿宋"/>
          <w:b/>
          <w:color w:val="auto"/>
          <w:sz w:val="24"/>
          <w:szCs w:val="24"/>
          <w:highlight w:val="none"/>
          <w:u w:val="none" w:color="auto"/>
          <w:lang w:eastAsia="zh-CN"/>
        </w:rPr>
        <w:t>2024</w:t>
      </w:r>
      <w:r>
        <w:rPr>
          <w:rFonts w:hint="eastAsia" w:ascii="仿宋" w:hAnsi="仿宋" w:eastAsia="仿宋" w:cs="仿宋"/>
          <w:b/>
          <w:color w:val="auto"/>
          <w:sz w:val="24"/>
          <w:szCs w:val="24"/>
          <w:highlight w:val="none"/>
          <w:u w:val="none" w:color="auto"/>
        </w:rPr>
        <w:t>年</w:t>
      </w:r>
      <w:r>
        <w:rPr>
          <w:rFonts w:hint="eastAsia" w:ascii="仿宋" w:hAnsi="仿宋" w:eastAsia="仿宋" w:cs="仿宋"/>
          <w:b/>
          <w:color w:val="auto"/>
          <w:sz w:val="24"/>
          <w:szCs w:val="24"/>
          <w:highlight w:val="none"/>
          <w:u w:val="none" w:color="auto"/>
          <w:lang w:val="en-US" w:eastAsia="zh-CN"/>
        </w:rPr>
        <w:t>1</w:t>
      </w:r>
      <w:r>
        <w:rPr>
          <w:rFonts w:hint="eastAsia" w:ascii="仿宋" w:hAnsi="仿宋" w:eastAsia="仿宋" w:cs="仿宋"/>
          <w:b/>
          <w:color w:val="auto"/>
          <w:sz w:val="24"/>
          <w:szCs w:val="24"/>
          <w:highlight w:val="none"/>
          <w:u w:val="none" w:color="auto"/>
        </w:rPr>
        <w:t>月</w:t>
      </w:r>
      <w:r>
        <w:rPr>
          <w:rFonts w:hint="eastAsia" w:ascii="仿宋" w:hAnsi="仿宋" w:eastAsia="仿宋" w:cs="仿宋"/>
          <w:b/>
          <w:color w:val="auto"/>
          <w:sz w:val="24"/>
          <w:szCs w:val="24"/>
          <w:highlight w:val="none"/>
          <w:u w:val="none" w:color="auto"/>
          <w:lang w:val="en-US" w:eastAsia="zh-CN"/>
        </w:rPr>
        <w:t>16</w:t>
      </w:r>
      <w:r>
        <w:rPr>
          <w:rFonts w:hint="eastAsia" w:ascii="仿宋" w:hAnsi="仿宋" w:eastAsia="仿宋" w:cs="仿宋"/>
          <w:b/>
          <w:color w:val="auto"/>
          <w:sz w:val="24"/>
          <w:szCs w:val="24"/>
          <w:highlight w:val="none"/>
          <w:u w:val="none" w:color="auto"/>
        </w:rPr>
        <w:t>日</w:t>
      </w:r>
      <w:r>
        <w:rPr>
          <w:rFonts w:hint="eastAsia" w:ascii="仿宋" w:hAnsi="仿宋" w:eastAsia="仿宋" w:cs="仿宋"/>
          <w:b/>
          <w:color w:val="auto"/>
          <w:sz w:val="24"/>
          <w:szCs w:val="24"/>
          <w:highlight w:val="none"/>
          <w:u w:val="none" w:color="auto"/>
          <w:lang w:val="en-US" w:eastAsia="zh-CN"/>
        </w:rPr>
        <w:t>14</w:t>
      </w:r>
      <w:r>
        <w:rPr>
          <w:rFonts w:hint="eastAsia" w:ascii="仿宋" w:hAnsi="仿宋" w:eastAsia="仿宋" w:cs="仿宋"/>
          <w:b/>
          <w:color w:val="auto"/>
          <w:sz w:val="24"/>
          <w:szCs w:val="24"/>
          <w:highlight w:val="none"/>
          <w:u w:val="none" w:color="auto"/>
          <w:lang w:eastAsia="zh-CN"/>
        </w:rPr>
        <w:t>：</w:t>
      </w:r>
      <w:r>
        <w:rPr>
          <w:rFonts w:hint="eastAsia" w:ascii="仿宋" w:hAnsi="仿宋" w:eastAsia="仿宋" w:cs="仿宋"/>
          <w:b/>
          <w:color w:val="auto"/>
          <w:sz w:val="24"/>
          <w:szCs w:val="24"/>
          <w:highlight w:val="none"/>
          <w:u w:val="none" w:color="auto"/>
          <w:lang w:val="en-US" w:eastAsia="zh-CN"/>
        </w:rPr>
        <w:t xml:space="preserve">30 </w:t>
      </w:r>
      <w:r>
        <w:rPr>
          <w:rFonts w:hint="eastAsia" w:ascii="仿宋" w:hAnsi="仿宋" w:eastAsia="仿宋" w:cs="仿宋"/>
          <w:b/>
          <w:color w:val="auto"/>
          <w:sz w:val="24"/>
          <w:szCs w:val="24"/>
          <w:highlight w:val="none"/>
          <w:u w:val="none" w:color="auto"/>
        </w:rPr>
        <w:t>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449" w:leftChars="214"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val="en-US" w:eastAsia="zh-CN"/>
        </w:rPr>
        <w:t>崇川区垃圾转运中心（办公楼3楼会议室）</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rPr>
        <w:t>如有变动另行通知。如有变动另行通知</w:t>
      </w:r>
      <w:r>
        <w:rPr>
          <w:rFonts w:hint="eastAsia" w:ascii="仿宋" w:hAnsi="仿宋" w:eastAsia="仿宋" w:cs="仿宋"/>
          <w:color w:val="auto"/>
          <w:sz w:val="24"/>
          <w:szCs w:val="24"/>
          <w:highlight w:val="none"/>
          <w:u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2.采购人将委托询价小组对各供应商的资格进行审查，审查通过方可参与项目的询价。</w:t>
      </w:r>
    </w:p>
    <w:p>
      <w:pPr>
        <w:keepNext w:val="0"/>
        <w:keepLines w:val="0"/>
        <w:pageBreakBefore w:val="0"/>
        <w:widowControl w:val="0"/>
        <w:kinsoku/>
        <w:wordWrap/>
        <w:overflowPunct/>
        <w:topLinePunct w:val="0"/>
        <w:autoSpaceDE/>
        <w:autoSpaceDN/>
        <w:bidi w:val="0"/>
        <w:adjustRightInd w:val="0"/>
        <w:snapToGrid w:val="0"/>
        <w:spacing w:line="360" w:lineRule="auto"/>
        <w:ind w:left="449" w:leftChars="214" w:firstLine="0" w:firstLineChars="0"/>
        <w:jc w:val="left"/>
        <w:textAlignment w:val="auto"/>
        <w:rPr>
          <w:rFonts w:hint="eastAsia" w:ascii="仿宋" w:hAnsi="仿宋" w:eastAsia="仿宋" w:cs="仿宋"/>
          <w:b/>
          <w:bCs w:val="0"/>
          <w:color w:val="auto"/>
          <w:sz w:val="24"/>
          <w:szCs w:val="24"/>
          <w:highlight w:val="none"/>
          <w:u w:val="none" w:color="auto"/>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.评标时间：</w:t>
      </w:r>
      <w:r>
        <w:rPr>
          <w:rFonts w:hint="eastAsia" w:ascii="仿宋" w:hAnsi="仿宋" w:eastAsia="仿宋" w:cs="仿宋"/>
          <w:b/>
          <w:bCs w:val="0"/>
          <w:color w:val="auto"/>
          <w:sz w:val="24"/>
          <w:szCs w:val="24"/>
          <w:highlight w:val="none"/>
          <w:u w:val="none" w:color="auto"/>
          <w:lang w:eastAsia="zh-CN"/>
        </w:rPr>
        <w:t>2024</w:t>
      </w:r>
      <w:r>
        <w:rPr>
          <w:rFonts w:hint="eastAsia" w:ascii="仿宋" w:hAnsi="仿宋" w:eastAsia="仿宋" w:cs="仿宋"/>
          <w:b/>
          <w:bCs w:val="0"/>
          <w:color w:val="auto"/>
          <w:sz w:val="24"/>
          <w:szCs w:val="24"/>
          <w:highlight w:val="none"/>
          <w:u w:val="none" w:color="auto"/>
        </w:rPr>
        <w:t>年</w:t>
      </w:r>
      <w:r>
        <w:rPr>
          <w:rFonts w:hint="eastAsia" w:ascii="仿宋" w:hAnsi="仿宋" w:eastAsia="仿宋" w:cs="仿宋"/>
          <w:b/>
          <w:bCs w:val="0"/>
          <w:color w:val="auto"/>
          <w:sz w:val="24"/>
          <w:szCs w:val="24"/>
          <w:highlight w:val="none"/>
          <w:u w:val="none" w:color="auto"/>
          <w:lang w:val="en-US" w:eastAsia="zh-CN"/>
        </w:rPr>
        <w:t>1</w:t>
      </w:r>
      <w:r>
        <w:rPr>
          <w:rFonts w:hint="eastAsia" w:ascii="仿宋" w:hAnsi="仿宋" w:eastAsia="仿宋" w:cs="仿宋"/>
          <w:b/>
          <w:bCs w:val="0"/>
          <w:color w:val="auto"/>
          <w:sz w:val="24"/>
          <w:szCs w:val="24"/>
          <w:highlight w:val="none"/>
          <w:u w:val="none" w:color="auto"/>
        </w:rPr>
        <w:t>月</w:t>
      </w:r>
      <w:r>
        <w:rPr>
          <w:rFonts w:hint="eastAsia" w:ascii="仿宋" w:hAnsi="仿宋" w:eastAsia="仿宋" w:cs="仿宋"/>
          <w:b/>
          <w:bCs w:val="0"/>
          <w:color w:val="auto"/>
          <w:sz w:val="24"/>
          <w:szCs w:val="24"/>
          <w:highlight w:val="none"/>
          <w:u w:val="none" w:color="auto"/>
          <w:lang w:val="en-US" w:eastAsia="zh-CN"/>
        </w:rPr>
        <w:t>16</w:t>
      </w:r>
      <w:r>
        <w:rPr>
          <w:rFonts w:hint="eastAsia" w:ascii="仿宋" w:hAnsi="仿宋" w:eastAsia="仿宋" w:cs="仿宋"/>
          <w:b/>
          <w:bCs w:val="0"/>
          <w:color w:val="auto"/>
          <w:sz w:val="24"/>
          <w:szCs w:val="24"/>
          <w:highlight w:val="none"/>
          <w:u w:val="none" w:color="auto"/>
        </w:rPr>
        <w:t>日</w:t>
      </w:r>
      <w:r>
        <w:rPr>
          <w:rFonts w:hint="eastAsia" w:ascii="仿宋" w:hAnsi="仿宋" w:eastAsia="仿宋" w:cs="仿宋"/>
          <w:b/>
          <w:bCs w:val="0"/>
          <w:color w:val="auto"/>
          <w:sz w:val="24"/>
          <w:szCs w:val="24"/>
          <w:highlight w:val="none"/>
          <w:u w:val="none" w:color="auto"/>
          <w:lang w:val="en-US" w:eastAsia="zh-CN"/>
        </w:rPr>
        <w:t>14</w:t>
      </w:r>
      <w:r>
        <w:rPr>
          <w:rFonts w:hint="eastAsia" w:ascii="仿宋" w:hAnsi="仿宋" w:eastAsia="仿宋" w:cs="仿宋"/>
          <w:b/>
          <w:bCs w:val="0"/>
          <w:color w:val="auto"/>
          <w:sz w:val="24"/>
          <w:szCs w:val="24"/>
          <w:highlight w:val="none"/>
          <w:u w:val="none" w:color="auto"/>
          <w:lang w:eastAsia="zh-CN"/>
        </w:rPr>
        <w:t>：</w:t>
      </w:r>
      <w:r>
        <w:rPr>
          <w:rFonts w:hint="eastAsia" w:ascii="仿宋" w:hAnsi="仿宋" w:eastAsia="仿宋" w:cs="仿宋"/>
          <w:b/>
          <w:bCs w:val="0"/>
          <w:color w:val="auto"/>
          <w:sz w:val="24"/>
          <w:szCs w:val="24"/>
          <w:highlight w:val="none"/>
          <w:u w:val="none" w:color="auto"/>
          <w:lang w:val="en-US" w:eastAsia="zh-CN"/>
        </w:rPr>
        <w:t xml:space="preserve">30 </w:t>
      </w:r>
      <w:r>
        <w:rPr>
          <w:rFonts w:hint="eastAsia" w:ascii="仿宋" w:hAnsi="仿宋" w:eastAsia="仿宋" w:cs="仿宋"/>
          <w:b/>
          <w:bCs w:val="0"/>
          <w:color w:val="auto"/>
          <w:sz w:val="24"/>
          <w:szCs w:val="24"/>
          <w:highlight w:val="none"/>
          <w:u w:val="none" w:color="auto"/>
        </w:rPr>
        <w:t>分；</w:t>
      </w:r>
    </w:p>
    <w:p>
      <w:pPr>
        <w:keepNext w:val="0"/>
        <w:keepLines w:val="0"/>
        <w:pageBreakBefore w:val="0"/>
        <w:widowControl w:val="0"/>
        <w:kinsoku/>
        <w:wordWrap/>
        <w:overflowPunct/>
        <w:topLinePunct w:val="0"/>
        <w:autoSpaceDE/>
        <w:autoSpaceDN/>
        <w:bidi w:val="0"/>
        <w:adjustRightInd w:val="0"/>
        <w:snapToGrid w:val="0"/>
        <w:spacing w:line="360" w:lineRule="auto"/>
        <w:ind w:left="449" w:leftChars="214"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u w:val="none" w:color="auto"/>
        </w:rPr>
        <w:t>评标地点：</w:t>
      </w:r>
      <w:r>
        <w:rPr>
          <w:rFonts w:hint="eastAsia" w:ascii="仿宋" w:hAnsi="仿宋" w:eastAsia="仿宋" w:cs="仿宋"/>
          <w:b/>
          <w:bCs/>
          <w:color w:val="auto"/>
          <w:sz w:val="24"/>
          <w:szCs w:val="24"/>
          <w:highlight w:val="none"/>
          <w:lang w:val="en-US" w:eastAsia="zh-CN"/>
        </w:rPr>
        <w:t>崇川区垃圾转运中心（办公楼3楼会议室），如有变动另行通知</w:t>
      </w:r>
      <w:r>
        <w:rPr>
          <w:rFonts w:hint="eastAsia" w:ascii="仿宋" w:hAnsi="仿宋" w:eastAsia="仿宋" w:cs="仿宋"/>
          <w:color w:val="auto"/>
          <w:sz w:val="24"/>
          <w:szCs w:val="24"/>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360" w:lineRule="auto"/>
        <w:ind w:left="449" w:leftChars="214"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、询价响应报价</w:t>
      </w:r>
    </w:p>
    <w:p>
      <w:pPr>
        <w:snapToGrid w:val="0"/>
        <w:spacing w:line="42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1.本项目不接受任何有选择的报价。</w:t>
      </w:r>
    </w:p>
    <w:p>
      <w:pPr>
        <w:snapToGrid w:val="0"/>
        <w:spacing w:line="42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2.报价均以</w:t>
      </w:r>
      <w:r>
        <w:rPr>
          <w:rFonts w:hint="eastAsia" w:ascii="仿宋" w:hAnsi="仿宋" w:eastAsia="仿宋" w:cs="仿宋"/>
          <w:color w:val="auto"/>
          <w:sz w:val="24"/>
          <w:szCs w:val="24"/>
          <w:highlight w:val="none"/>
          <w:lang w:val="en-US" w:eastAsia="zh-CN"/>
        </w:rPr>
        <w:t>综合固定单价报价</w:t>
      </w:r>
      <w:r>
        <w:rPr>
          <w:rFonts w:hint="eastAsia" w:ascii="仿宋" w:hAnsi="仿宋" w:eastAsia="仿宋" w:cs="仿宋"/>
          <w:color w:val="auto"/>
          <w:sz w:val="24"/>
          <w:szCs w:val="24"/>
          <w:highlight w:val="none"/>
        </w:rPr>
        <w:t>为报价的货币单位。</w:t>
      </w:r>
    </w:p>
    <w:p>
      <w:pPr>
        <w:snapToGrid w:val="0"/>
        <w:spacing w:line="42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3.报价表必须加盖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公章且必须经法定代表人或其委托授权人签署。</w:t>
      </w:r>
    </w:p>
    <w:p>
      <w:pPr>
        <w:snapToGrid w:val="0"/>
        <w:spacing w:line="42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4.询价响应文件报价出现前后不一致的，按照下列规定修正：</w:t>
      </w:r>
    </w:p>
    <w:p>
      <w:pPr>
        <w:snapToGrid w:val="0"/>
        <w:spacing w:line="42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（1）询价响应文件中报价表内容与询价响应文件中明细内容不一致的，以报价表为准；</w:t>
      </w:r>
    </w:p>
    <w:p>
      <w:pPr>
        <w:snapToGrid w:val="0"/>
        <w:spacing w:line="42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pPr>
        <w:snapToGrid w:val="0"/>
        <w:spacing w:line="42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（3）单价金额小数点或者百分比有明显错位的，以询价响应报价总表中的总价为准，并修改单价；</w:t>
      </w:r>
    </w:p>
    <w:p>
      <w:pPr>
        <w:snapToGrid w:val="0"/>
        <w:spacing w:line="42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pPr>
        <w:snapToGrid w:val="0"/>
        <w:spacing w:line="42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（5）同时出现两种以上不一致的，按照前款规定的顺序修正。修正后的报价经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不确认的，其询价响应无效。</w:t>
      </w:r>
    </w:p>
    <w:p>
      <w:pPr>
        <w:snapToGrid w:val="0"/>
        <w:spacing w:line="42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5.询价响应报价</w:t>
      </w:r>
      <w:r>
        <w:rPr>
          <w:rFonts w:hint="eastAsia" w:ascii="仿宋" w:hAnsi="仿宋" w:eastAsia="仿宋" w:cs="仿宋"/>
          <w:color w:val="auto"/>
          <w:sz w:val="24"/>
          <w:szCs w:val="24"/>
          <w:highlight w:val="none"/>
          <w:lang w:val="en-US" w:eastAsia="zh-CN"/>
        </w:rPr>
        <w:t>单价报价</w:t>
      </w:r>
      <w:r>
        <w:rPr>
          <w:rFonts w:hint="eastAsia" w:ascii="仿宋" w:hAnsi="仿宋" w:eastAsia="仿宋" w:cs="仿宋"/>
          <w:color w:val="auto"/>
          <w:sz w:val="24"/>
          <w:szCs w:val="24"/>
          <w:highlight w:val="none"/>
        </w:rPr>
        <w:t>包括：应包含所有的产品材料费、运输到指定地点的装运费用（含装卸力资）、售后服务等所发生的全部费用以及企业利润、税金和政策性文件规定及合同包含的所有风险、责任等各项应有费用。即招标物交付使用前的所有费用以及免保期内的服务费用等包含响应招标文件采购要求的所有费用。</w:t>
      </w:r>
    </w:p>
    <w:p>
      <w:pPr>
        <w:snapToGrid w:val="0"/>
        <w:spacing w:line="420" w:lineRule="exact"/>
        <w:ind w:firstLine="494" w:firstLineChars="20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6.本次询价采购活动项目的响应报价为一次报定价。询价响应成交后，报价即为成交价，除非因特殊原因并经买卖双方协商同意，成交的供应商（以下称为成交人）不得再要求追加任何费用。同时，除非合同条款中另有规定，否则成交人的成交价在合同实施期间不因市场变化因素而变动。</w:t>
      </w:r>
    </w:p>
    <w:p>
      <w:pPr>
        <w:snapToGrid w:val="0"/>
        <w:spacing w:line="460" w:lineRule="exact"/>
        <w:ind w:firstLine="241" w:firstLineChars="100"/>
        <w:contextualSpacing/>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十二、</w:t>
      </w:r>
      <w:r>
        <w:rPr>
          <w:rFonts w:hint="eastAsia" w:ascii="仿宋" w:hAnsi="仿宋" w:eastAsia="仿宋" w:cs="仿宋"/>
          <w:b/>
          <w:color w:val="auto"/>
          <w:sz w:val="24"/>
          <w:highlight w:val="none"/>
        </w:rPr>
        <w:t>相关费用</w:t>
      </w:r>
    </w:p>
    <w:p>
      <w:pPr>
        <w:snapToGrid w:val="0"/>
        <w:spacing w:line="460" w:lineRule="exact"/>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1.供应商承担参与</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可能发生的全部费用，代理机构在任何情况下均无义务和责任承担这些费用。</w:t>
      </w:r>
    </w:p>
    <w:p>
      <w:pPr>
        <w:pStyle w:val="18"/>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本次招标</w:t>
      </w:r>
      <w:r>
        <w:rPr>
          <w:rFonts w:hint="eastAsia" w:ascii="仿宋" w:hAnsi="仿宋" w:eastAsia="仿宋" w:cs="仿宋"/>
          <w:color w:val="auto"/>
          <w:sz w:val="24"/>
          <w:highlight w:val="none"/>
          <w:lang w:eastAsia="zh-CN"/>
        </w:rPr>
        <w:t>代理服务费</w:t>
      </w:r>
      <w:r>
        <w:rPr>
          <w:rFonts w:hint="eastAsia" w:ascii="仿宋" w:hAnsi="仿宋" w:eastAsia="仿宋" w:cs="仿宋"/>
          <w:color w:val="auto"/>
          <w:sz w:val="24"/>
          <w:highlight w:val="none"/>
          <w:lang w:val="en-US" w:eastAsia="zh-CN"/>
        </w:rPr>
        <w:t>2000元，由各成交供应商进行平均分摊，</w:t>
      </w:r>
      <w:r>
        <w:rPr>
          <w:rFonts w:hint="eastAsia" w:ascii="仿宋" w:hAnsi="仿宋" w:eastAsia="仿宋" w:cs="仿宋"/>
          <w:color w:val="auto"/>
          <w:sz w:val="24"/>
          <w:highlight w:val="none"/>
        </w:rPr>
        <w:t>评委费按实</w:t>
      </w:r>
      <w:r>
        <w:rPr>
          <w:rFonts w:hint="eastAsia" w:ascii="仿宋" w:hAnsi="仿宋" w:eastAsia="仿宋" w:cs="仿宋"/>
          <w:color w:val="auto"/>
          <w:sz w:val="24"/>
          <w:highlight w:val="none"/>
          <w:lang w:val="en-US" w:eastAsia="zh-CN"/>
        </w:rPr>
        <w:t>在成交供应商确定后现场支付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以上均</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val="en-US" w:eastAsia="zh-CN"/>
        </w:rPr>
        <w:t>且包含在投标报价中</w:t>
      </w:r>
      <w:r>
        <w:rPr>
          <w:rFonts w:hint="eastAsia" w:ascii="仿宋" w:hAnsi="仿宋" w:eastAsia="仿宋" w:cs="仿宋"/>
          <w:color w:val="auto"/>
          <w:kern w:val="0"/>
          <w:sz w:val="24"/>
          <w:highlight w:val="none"/>
          <w:lang w:val="zh-CN"/>
        </w:rPr>
        <w:t>。</w:t>
      </w:r>
    </w:p>
    <w:p>
      <w:pPr>
        <w:snapToGrid w:val="0"/>
        <w:spacing w:line="420" w:lineRule="exact"/>
        <w:ind w:firstLine="494" w:firstLineChars="206"/>
        <w:outlineLvl w:val="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询价</w:t>
      </w:r>
      <w:r>
        <w:rPr>
          <w:rFonts w:hint="eastAsia" w:ascii="仿宋" w:hAnsi="仿宋" w:eastAsia="仿宋" w:cs="仿宋"/>
          <w:color w:val="auto"/>
          <w:kern w:val="0"/>
          <w:sz w:val="24"/>
          <w:highlight w:val="none"/>
          <w:lang w:val="zh-CN"/>
        </w:rPr>
        <w:t>文件未列明，而投标供应商认为必需的费用也需列入报价。</w:t>
      </w:r>
    </w:p>
    <w:p>
      <w:pPr>
        <w:pStyle w:val="18"/>
        <w:ind w:firstLine="482" w:firstLineChars="20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4.投标保证金条款</w:t>
      </w:r>
    </w:p>
    <w:p>
      <w:pPr>
        <w:pStyle w:val="18"/>
        <w:keepNext w:val="0"/>
        <w:keepLines w:val="0"/>
        <w:pageBreakBefore w:val="0"/>
        <w:widowControl w:val="0"/>
        <w:numPr>
          <w:ilvl w:val="0"/>
          <w:numId w:val="2"/>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本项目投标保证金为：贰仟元整（2000元）。</w:t>
      </w:r>
    </w:p>
    <w:p>
      <w:pPr>
        <w:pStyle w:val="18"/>
        <w:keepNext w:val="0"/>
        <w:keepLines w:val="0"/>
        <w:pageBreakBefore w:val="0"/>
        <w:widowControl w:val="0"/>
        <w:numPr>
          <w:ilvl w:val="0"/>
          <w:numId w:val="2"/>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递交方式：</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须在投标截止时间前将投标保证金以现金形式</w:t>
      </w:r>
      <w:r>
        <w:rPr>
          <w:rFonts w:hint="eastAsia" w:ascii="仿宋" w:eastAsia="仿宋" w:cs="仿宋"/>
          <w:b/>
          <w:bCs/>
          <w:color w:val="auto"/>
          <w:sz w:val="24"/>
          <w:highlight w:val="none"/>
        </w:rPr>
        <w:t>(开标时带至开标现场</w:t>
      </w:r>
      <w:r>
        <w:rPr>
          <w:rFonts w:hint="eastAsia" w:ascii="仿宋" w:eastAsia="仿宋" w:cs="仿宋"/>
          <w:b/>
          <w:bCs/>
          <w:color w:val="auto"/>
          <w:sz w:val="24"/>
          <w:highlight w:val="none"/>
          <w:lang w:eastAsia="zh-CN"/>
        </w:rPr>
        <w:t>，</w:t>
      </w:r>
      <w:r>
        <w:rPr>
          <w:rFonts w:hint="eastAsia" w:ascii="仿宋" w:eastAsia="仿宋" w:cs="仿宋"/>
          <w:b/>
          <w:bCs/>
          <w:color w:val="auto"/>
          <w:sz w:val="24"/>
          <w:highlight w:val="none"/>
          <w:lang w:val="en-US" w:eastAsia="zh-CN"/>
        </w:rPr>
        <w:t>用信封密封且在信封上标明项目名称、供应商名称以及投标保证金金额</w:t>
      </w:r>
      <w:r>
        <w:rPr>
          <w:rFonts w:hint="eastAsia" w:ascii="仿宋" w:eastAsia="仿宋" w:cs="仿宋"/>
          <w:b/>
          <w:bCs/>
          <w:color w:val="auto"/>
          <w:sz w:val="24"/>
          <w:highlight w:val="none"/>
        </w:rPr>
        <w:t>）</w:t>
      </w:r>
      <w:r>
        <w:rPr>
          <w:rFonts w:hint="eastAsia" w:ascii="仿宋" w:hAnsi="仿宋" w:eastAsia="仿宋" w:cs="仿宋"/>
          <w:b/>
          <w:bCs/>
          <w:color w:val="auto"/>
          <w:sz w:val="24"/>
          <w:highlight w:val="none"/>
        </w:rPr>
        <w:t>和投标文件同时递交给招标代理，拒绝其他方式递交。</w:t>
      </w:r>
    </w:p>
    <w:p>
      <w:pPr>
        <w:pStyle w:val="18"/>
        <w:keepNext w:val="0"/>
        <w:keepLines w:val="0"/>
        <w:pageBreakBefore w:val="0"/>
        <w:widowControl w:val="0"/>
        <w:numPr>
          <w:ilvl w:val="0"/>
          <w:numId w:val="2"/>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未按上述要求提交投标保证金的</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采购</w:t>
      </w:r>
      <w:r>
        <w:rPr>
          <w:rFonts w:hint="eastAsia" w:ascii="仿宋" w:hAnsi="仿宋" w:eastAsia="仿宋" w:cs="仿宋"/>
          <w:b/>
          <w:bCs/>
          <w:color w:val="auto"/>
          <w:sz w:val="24"/>
          <w:highlight w:val="none"/>
        </w:rPr>
        <w:t>人有权拒绝其投标文件。</w:t>
      </w:r>
    </w:p>
    <w:p>
      <w:pPr>
        <w:pStyle w:val="18"/>
        <w:keepNext w:val="0"/>
        <w:keepLines w:val="0"/>
        <w:pageBreakBefore w:val="0"/>
        <w:widowControl w:val="0"/>
        <w:numPr>
          <w:ilvl w:val="0"/>
          <w:numId w:val="2"/>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w:t>
      </w:r>
      <w:r>
        <w:rPr>
          <w:rFonts w:hint="eastAsia" w:ascii="仿宋" w:hAnsi="仿宋" w:eastAsia="仿宋" w:cs="仿宋"/>
          <w:b/>
          <w:bCs/>
          <w:color w:val="auto"/>
          <w:sz w:val="24"/>
          <w:highlight w:val="none"/>
          <w:lang w:eastAsia="zh-CN"/>
        </w:rPr>
        <w:t>成交供应商</w:t>
      </w:r>
      <w:r>
        <w:rPr>
          <w:rFonts w:hint="eastAsia" w:ascii="仿宋" w:hAnsi="仿宋" w:eastAsia="仿宋" w:cs="仿宋"/>
          <w:b/>
          <w:bCs/>
          <w:color w:val="auto"/>
          <w:sz w:val="24"/>
          <w:highlight w:val="none"/>
        </w:rPr>
        <w:t xml:space="preserve">的投标保证金在其定标后予以无息退还； </w:t>
      </w:r>
      <w:r>
        <w:rPr>
          <w:rFonts w:hint="eastAsia" w:ascii="仿宋" w:hAnsi="仿宋" w:eastAsia="仿宋" w:cs="仿宋"/>
          <w:b/>
          <w:bCs/>
          <w:color w:val="auto"/>
          <w:sz w:val="24"/>
          <w:highlight w:val="none"/>
          <w:lang w:eastAsia="zh-CN"/>
        </w:rPr>
        <w:t>成交供应商</w:t>
      </w:r>
      <w:r>
        <w:rPr>
          <w:rFonts w:hint="eastAsia" w:ascii="仿宋" w:hAnsi="仿宋" w:eastAsia="仿宋" w:cs="仿宋"/>
          <w:b/>
          <w:bCs/>
          <w:color w:val="auto"/>
          <w:sz w:val="24"/>
          <w:highlight w:val="none"/>
        </w:rPr>
        <w:t>的投标保证金在租赁合同生效后一周内予以无息退还。</w:t>
      </w:r>
    </w:p>
    <w:p>
      <w:pPr>
        <w:pStyle w:val="18"/>
        <w:keepNext w:val="0"/>
        <w:keepLines w:val="0"/>
        <w:pageBreakBefore w:val="0"/>
        <w:widowControl w:val="0"/>
        <w:numPr>
          <w:ilvl w:val="0"/>
          <w:numId w:val="2"/>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发生下列情况之一，投标保证金将不予退还：</w:t>
      </w:r>
    </w:p>
    <w:p>
      <w:pPr>
        <w:pStyle w:val="18"/>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在提交投标文件截止时间后撤回投标文件的；</w:t>
      </w:r>
    </w:p>
    <w:p>
      <w:pPr>
        <w:pStyle w:val="18"/>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在投标文件中提供虚假材料的；</w:t>
      </w:r>
    </w:p>
    <w:p>
      <w:pPr>
        <w:pStyle w:val="18"/>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除因不可抗力或</w:t>
      </w:r>
      <w:r>
        <w:rPr>
          <w:rFonts w:hint="eastAsia" w:ascii="仿宋" w:hAnsi="仿宋" w:eastAsia="仿宋" w:cs="仿宋"/>
          <w:b/>
          <w:bCs/>
          <w:color w:val="auto"/>
          <w:sz w:val="24"/>
          <w:highlight w:val="none"/>
          <w:lang w:val="en-US" w:eastAsia="zh-CN"/>
        </w:rPr>
        <w:t>询价</w:t>
      </w:r>
      <w:r>
        <w:rPr>
          <w:rFonts w:hint="eastAsia" w:ascii="仿宋" w:hAnsi="仿宋" w:eastAsia="仿宋" w:cs="仿宋"/>
          <w:b/>
          <w:bCs/>
          <w:color w:val="auto"/>
          <w:sz w:val="24"/>
          <w:highlight w:val="none"/>
        </w:rPr>
        <w:t>文件认可的情形以外，</w:t>
      </w:r>
      <w:r>
        <w:rPr>
          <w:rFonts w:hint="eastAsia" w:ascii="仿宋" w:hAnsi="仿宋" w:eastAsia="仿宋" w:cs="仿宋"/>
          <w:b/>
          <w:bCs/>
          <w:color w:val="auto"/>
          <w:sz w:val="24"/>
          <w:highlight w:val="none"/>
          <w:lang w:val="en-US" w:eastAsia="zh-CN"/>
        </w:rPr>
        <w:t>成交供应商</w:t>
      </w:r>
      <w:r>
        <w:rPr>
          <w:rFonts w:hint="eastAsia" w:ascii="仿宋" w:hAnsi="仿宋" w:eastAsia="仿宋" w:cs="仿宋"/>
          <w:b/>
          <w:bCs/>
          <w:color w:val="auto"/>
          <w:sz w:val="24"/>
          <w:highlight w:val="none"/>
        </w:rPr>
        <w:t>不按规定缴纳履约保证金或不与</w:t>
      </w:r>
      <w:r>
        <w:rPr>
          <w:rFonts w:hint="eastAsia" w:ascii="仿宋" w:hAnsi="仿宋" w:eastAsia="仿宋" w:cs="仿宋"/>
          <w:b/>
          <w:bCs/>
          <w:color w:val="auto"/>
          <w:sz w:val="24"/>
          <w:highlight w:val="none"/>
          <w:lang w:val="en-US" w:eastAsia="zh-CN"/>
        </w:rPr>
        <w:t>采购</w:t>
      </w:r>
      <w:r>
        <w:rPr>
          <w:rFonts w:hint="eastAsia" w:ascii="仿宋" w:hAnsi="仿宋" w:eastAsia="仿宋" w:cs="仿宋"/>
          <w:b/>
          <w:bCs/>
          <w:color w:val="auto"/>
          <w:sz w:val="24"/>
          <w:highlight w:val="none"/>
        </w:rPr>
        <w:t xml:space="preserve">人签订合同的； </w:t>
      </w:r>
    </w:p>
    <w:p>
      <w:pPr>
        <w:pStyle w:val="18"/>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与</w:t>
      </w:r>
      <w:r>
        <w:rPr>
          <w:rFonts w:hint="eastAsia" w:ascii="仿宋" w:hAnsi="仿宋" w:eastAsia="仿宋" w:cs="仿宋"/>
          <w:b/>
          <w:bCs/>
          <w:color w:val="auto"/>
          <w:sz w:val="24"/>
          <w:highlight w:val="none"/>
          <w:lang w:val="en-US" w:eastAsia="zh-CN"/>
        </w:rPr>
        <w:t>采购</w:t>
      </w:r>
      <w:r>
        <w:rPr>
          <w:rFonts w:hint="eastAsia" w:ascii="仿宋" w:hAnsi="仿宋" w:eastAsia="仿宋" w:cs="仿宋"/>
          <w:b/>
          <w:bCs/>
          <w:color w:val="auto"/>
          <w:sz w:val="24"/>
          <w:highlight w:val="none"/>
        </w:rPr>
        <w:t>人、其他</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或者代理机构恶意串通的；</w:t>
      </w:r>
    </w:p>
    <w:p>
      <w:pPr>
        <w:pStyle w:val="18"/>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在招标过程中有违反有关法律法规的行为；</w:t>
      </w:r>
    </w:p>
    <w:p>
      <w:pPr>
        <w:pStyle w:val="18"/>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询价</w:t>
      </w:r>
      <w:r>
        <w:rPr>
          <w:rFonts w:hint="eastAsia" w:ascii="仿宋" w:hAnsi="仿宋" w:eastAsia="仿宋" w:cs="仿宋"/>
          <w:b/>
          <w:bCs/>
          <w:color w:val="auto"/>
          <w:sz w:val="24"/>
          <w:highlight w:val="none"/>
        </w:rPr>
        <w:t>文件规定的其他情形的。</w:t>
      </w:r>
    </w:p>
    <w:p>
      <w:pPr>
        <w:snapToGrid w:val="0"/>
        <w:spacing w:line="420" w:lineRule="exact"/>
        <w:ind w:firstLine="496" w:firstLineChars="206"/>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、履约保证金</w:t>
      </w:r>
    </w:p>
    <w:p>
      <w:pPr>
        <w:snapToGrid w:val="0"/>
        <w:spacing w:line="460" w:lineRule="exact"/>
        <w:ind w:firstLine="480" w:firstLineChars="200"/>
        <w:jc w:val="left"/>
        <w:outlineLvl w:val="1"/>
        <w:rPr>
          <w:rFonts w:hint="eastAsia" w:ascii="仿宋" w:hAnsi="仿宋" w:eastAsia="仿宋" w:cs="仿宋"/>
          <w:color w:val="auto"/>
          <w:sz w:val="24"/>
          <w:szCs w:val="24"/>
          <w:highlight w:val="none"/>
          <w:u w:val="none"/>
        </w:rPr>
      </w:pPr>
      <w:r>
        <w:rPr>
          <w:rFonts w:hint="eastAsia" w:ascii="仿宋" w:hAnsi="仿宋" w:eastAsia="仿宋" w:cs="仿宋"/>
          <w:bCs/>
          <w:color w:val="auto"/>
          <w:sz w:val="24"/>
          <w:szCs w:val="24"/>
          <w:highlight w:val="none"/>
        </w:rPr>
        <w:t>1、本项目成交后的履约保证金：</w:t>
      </w:r>
      <w:r>
        <w:rPr>
          <w:rFonts w:hint="eastAsia" w:ascii="仿宋" w:hAnsi="仿宋" w:eastAsia="仿宋" w:cs="仿宋"/>
          <w:bCs/>
          <w:color w:val="auto"/>
          <w:sz w:val="24"/>
          <w:szCs w:val="24"/>
          <w:highlight w:val="none"/>
          <w:u w:val="none"/>
          <w:lang w:val="en-US" w:eastAsia="zh-CN"/>
        </w:rPr>
        <w:t xml:space="preserve">10000 </w:t>
      </w:r>
      <w:r>
        <w:rPr>
          <w:rFonts w:hint="eastAsia" w:ascii="仿宋" w:hAnsi="仿宋" w:eastAsia="仿宋" w:cs="仿宋"/>
          <w:bCs/>
          <w:color w:val="auto"/>
          <w:sz w:val="24"/>
          <w:szCs w:val="24"/>
          <w:highlight w:val="none"/>
          <w:u w:val="none"/>
        </w:rPr>
        <w:t>元</w:t>
      </w:r>
      <w:r>
        <w:rPr>
          <w:rFonts w:hint="eastAsia" w:ascii="仿宋" w:hAnsi="仿宋" w:eastAsia="仿宋" w:cs="仿宋"/>
          <w:b/>
          <w:bCs/>
          <w:color w:val="auto"/>
          <w:sz w:val="24"/>
          <w:szCs w:val="24"/>
          <w:highlight w:val="none"/>
          <w:u w:val="none"/>
          <w:lang w:val="en-US" w:eastAsia="zh-CN"/>
        </w:rPr>
        <w:t>整/每供应商。</w:t>
      </w:r>
    </w:p>
    <w:p>
      <w:pPr>
        <w:snapToGrid w:val="0"/>
        <w:spacing w:line="42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2、成交供应商的履约保证金须在采购单位通知发中标通知书之日起3个工作日内汇入采购人账户，成交供应商凭“中标通知书”和已经汇至采购人账上的“履约保证金”凭证，</w:t>
      </w:r>
      <w:r>
        <w:rPr>
          <w:rFonts w:hint="eastAsia" w:ascii="仿宋" w:hAnsi="仿宋" w:eastAsia="仿宋" w:cs="仿宋"/>
          <w:bCs/>
          <w:color w:val="auto"/>
          <w:sz w:val="24"/>
          <w:szCs w:val="24"/>
          <w:highlight w:val="none"/>
          <w:lang w:val="en-US" w:eastAsia="zh-CN"/>
        </w:rPr>
        <w:t>采购人和成交供应商应当在投标有效期内以及中标通知书发出之日起30天内，根据询价文件和成交供应商的投标文件订立书面合同。成交供应商无正当理由拒签合同的，采购人取消其中标资格，其投标保证金不予退还；该金额不足以弥补给采购人造成的直接和间接损失的（包括但不限于二次招标发生的招标费用、中标差价、招标代理服务费等），成交供应商应予补足。对依法必须进行招标的项目的中标人，由有关行政监督部门责令改正。</w:t>
      </w:r>
    </w:p>
    <w:p>
      <w:pPr>
        <w:snapToGrid w:val="0"/>
        <w:spacing w:line="420" w:lineRule="exact"/>
        <w:ind w:firstLine="494" w:firstLineChars="20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3、成交供应商在按要求保质保量的完成该项目合同后，采购人凭成交供应商提交的申请，一次性无息退还该合同项目的履约保证金。</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4、由于成交供应商原因，在签订合同后出现不按合同履行的情况，采购人有权将履约保证金作为违约金，全额不予退还，同时采购人亦有权终止合同，成交供应商还须承担相应的法律赔偿责任。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十四、货物服务调整及结算方式</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如因采购人实际需求，货物服务采购数量发生变化，成交人须无条件满足采购人需求，确保货物服务质量并及时提供货物服务；结算时按采购人确认的实际货物服务量进行结算，</w:t>
      </w:r>
      <w:r>
        <w:rPr>
          <w:rFonts w:hint="eastAsia" w:ascii="仿宋" w:hAnsi="仿宋" w:eastAsia="仿宋" w:cs="仿宋"/>
          <w:color w:val="auto"/>
          <w:sz w:val="24"/>
          <w:szCs w:val="24"/>
          <w:highlight w:val="none"/>
          <w:lang w:val="en-US" w:eastAsia="zh-CN"/>
        </w:rPr>
        <w:t>中标单价报价</w:t>
      </w:r>
      <w:r>
        <w:rPr>
          <w:rFonts w:hint="eastAsia" w:ascii="仿宋" w:hAnsi="仿宋" w:eastAsia="仿宋" w:cs="仿宋"/>
          <w:color w:val="auto"/>
          <w:sz w:val="24"/>
          <w:szCs w:val="24"/>
          <w:highlight w:val="none"/>
        </w:rPr>
        <w:t>不变。</w:t>
      </w:r>
    </w:p>
    <w:p>
      <w:pPr>
        <w:snapToGrid w:val="0"/>
        <w:spacing w:line="420" w:lineRule="exact"/>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十五、付款方式</w:t>
      </w:r>
    </w:p>
    <w:p>
      <w:pPr>
        <w:snapToGrid w:val="0"/>
        <w:spacing w:line="420" w:lineRule="exact"/>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根据双方签订的合同及采购人具体需求，由各供应商按时按批次供货、供货日期登记入帐供货完毕后，经采购人验收合格后3个月内按实际结算后一次性付清，供应商开具正式发票，款项由采购人按相关财务支付规定办理。</w:t>
      </w:r>
    </w:p>
    <w:p>
      <w:pPr>
        <w:snapToGrid w:val="0"/>
        <w:spacing w:line="420" w:lineRule="exact"/>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结算标准：中标单价报价*实际供货量。</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十六、未尽事宜</w:t>
      </w:r>
    </w:p>
    <w:p>
      <w:pPr>
        <w:snapToGrid w:val="0"/>
        <w:spacing w:line="420" w:lineRule="exact"/>
        <w:ind w:firstLine="494" w:firstLineChars="206"/>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有关法律法规的规定执行。</w:t>
      </w:r>
      <w:bookmarkStart w:id="2" w:name="_Toc363573855"/>
    </w:p>
    <w:p>
      <w:pPr>
        <w:rPr>
          <w:rFonts w:hint="eastAsia" w:ascii="仿宋" w:hAnsi="仿宋" w:eastAsia="仿宋" w:cs="仿宋"/>
          <w:b/>
          <w:color w:val="auto"/>
          <w:w w:val="80"/>
          <w:sz w:val="36"/>
          <w:szCs w:val="36"/>
          <w:highlight w:val="none"/>
        </w:rPr>
      </w:pPr>
      <w:r>
        <w:rPr>
          <w:rFonts w:hint="eastAsia" w:ascii="仿宋" w:hAnsi="仿宋" w:eastAsia="仿宋" w:cs="仿宋"/>
          <w:b/>
          <w:color w:val="auto"/>
          <w:w w:val="80"/>
          <w:sz w:val="36"/>
          <w:szCs w:val="36"/>
          <w:highlight w:val="none"/>
        </w:rPr>
        <w:br w:type="page"/>
      </w:r>
    </w:p>
    <w:p>
      <w:pPr>
        <w:tabs>
          <w:tab w:val="left" w:pos="1050"/>
          <w:tab w:val="right" w:leader="dot" w:pos="9402"/>
        </w:tabs>
        <w:spacing w:beforeLines="100" w:line="6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b/>
          <w:color w:val="auto"/>
          <w:w w:val="80"/>
          <w:sz w:val="36"/>
          <w:szCs w:val="36"/>
          <w:highlight w:val="none"/>
        </w:rPr>
        <w:t>第三章  项目需求</w:t>
      </w:r>
      <w:bookmarkEnd w:id="2"/>
    </w:p>
    <w:p>
      <w:pPr>
        <w:snapToGrid w:val="0"/>
        <w:spacing w:line="440" w:lineRule="exact"/>
        <w:ind w:firstLine="484" w:firstLineChars="202"/>
        <w:jc w:val="left"/>
        <w:rPr>
          <w:rFonts w:hint="eastAsia" w:ascii="仿宋" w:hAnsi="仿宋" w:eastAsia="仿宋" w:cs="仿宋"/>
          <w:b/>
          <w:bCs/>
          <w:color w:val="auto"/>
          <w:sz w:val="24"/>
          <w:szCs w:val="24"/>
          <w:highlight w:val="none"/>
          <w:u w:val="single"/>
          <w:lang w:eastAsia="zh-CN"/>
        </w:rPr>
      </w:pPr>
      <w:bookmarkStart w:id="3" w:name="_Toc13543213"/>
      <w:r>
        <w:rPr>
          <w:rFonts w:hint="eastAsia" w:ascii="仿宋" w:hAnsi="仿宋" w:eastAsia="仿宋" w:cs="仿宋"/>
          <w:color w:val="auto"/>
          <w:sz w:val="24"/>
          <w:szCs w:val="24"/>
          <w:highlight w:val="none"/>
        </w:rPr>
        <w:t>一、</w:t>
      </w:r>
      <w:r>
        <w:rPr>
          <w:rFonts w:hint="eastAsia" w:ascii="仿宋" w:hAnsi="仿宋" w:eastAsia="仿宋" w:cs="仿宋"/>
          <w:b/>
          <w:color w:val="auto"/>
          <w:sz w:val="24"/>
          <w:szCs w:val="24"/>
          <w:highlight w:val="none"/>
        </w:rPr>
        <w:t>特别提醒：请供应商制作询价响应文件时仔细研究项目需求说明。</w:t>
      </w:r>
      <w:r>
        <w:rPr>
          <w:rFonts w:hint="eastAsia" w:ascii="仿宋" w:hAnsi="仿宋" w:eastAsia="仿宋" w:cs="仿宋"/>
          <w:color w:val="auto"/>
          <w:sz w:val="24"/>
          <w:szCs w:val="24"/>
          <w:highlight w:val="none"/>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w:t>
      </w:r>
      <w:r>
        <w:rPr>
          <w:rFonts w:hint="eastAsia" w:ascii="仿宋" w:hAnsi="仿宋" w:eastAsia="仿宋" w:cs="仿宋"/>
          <w:b/>
          <w:bCs/>
          <w:color w:val="auto"/>
          <w:sz w:val="24"/>
          <w:szCs w:val="24"/>
          <w:highlight w:val="none"/>
          <w:u w:val="single"/>
        </w:rPr>
        <w:t>必须在《技术条款响应一览表》上明示，如不明示的视同完全响应（本项目所有技术不接受负偏离，如不能满足则视为未能实质性响应</w:t>
      </w:r>
      <w:r>
        <w:rPr>
          <w:rFonts w:hint="eastAsia" w:ascii="仿宋" w:hAnsi="仿宋" w:eastAsia="仿宋" w:cs="仿宋"/>
          <w:b/>
          <w:bCs/>
          <w:color w:val="auto"/>
          <w:sz w:val="24"/>
          <w:szCs w:val="24"/>
          <w:highlight w:val="none"/>
          <w:u w:val="single"/>
          <w:lang w:val="en-US" w:eastAsia="zh-CN"/>
        </w:rPr>
        <w:t>询价</w:t>
      </w:r>
      <w:r>
        <w:rPr>
          <w:rFonts w:hint="eastAsia" w:ascii="仿宋" w:hAnsi="仿宋" w:eastAsia="仿宋" w:cs="仿宋"/>
          <w:b/>
          <w:bCs/>
          <w:color w:val="auto"/>
          <w:sz w:val="24"/>
          <w:szCs w:val="24"/>
          <w:highlight w:val="none"/>
          <w:u w:val="single"/>
        </w:rPr>
        <w:t>文件，作无效标处理）</w:t>
      </w:r>
      <w:r>
        <w:rPr>
          <w:rFonts w:hint="eastAsia" w:ascii="仿宋" w:hAnsi="仿宋" w:eastAsia="仿宋" w:cs="仿宋"/>
          <w:b/>
          <w:bCs/>
          <w:color w:val="auto"/>
          <w:sz w:val="24"/>
          <w:szCs w:val="24"/>
          <w:highlight w:val="none"/>
          <w:u w:val="single"/>
          <w:lang w:eastAsia="zh-CN"/>
        </w:rPr>
        <w:t>。</w:t>
      </w:r>
    </w:p>
    <w:p>
      <w:pPr>
        <w:snapToGrid w:val="0"/>
        <w:spacing w:line="440" w:lineRule="exact"/>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项目概况：兴环公司</w:t>
      </w:r>
      <w:r>
        <w:rPr>
          <w:rFonts w:hint="eastAsia" w:ascii="仿宋" w:hAnsi="仿宋" w:eastAsia="仿宋" w:cs="仿宋"/>
          <w:color w:val="auto"/>
          <w:sz w:val="24"/>
          <w:szCs w:val="24"/>
          <w:highlight w:val="none"/>
          <w:lang w:val="en-US" w:eastAsia="zh-CN"/>
        </w:rPr>
        <w:t>各类车辆和机械，为保证生产，需对1年内各类车辆辅助油品类进行采购</w:t>
      </w:r>
      <w:r>
        <w:rPr>
          <w:rFonts w:hint="eastAsia" w:ascii="仿宋" w:hAnsi="仿宋" w:eastAsia="仿宋" w:cs="仿宋"/>
          <w:color w:val="auto"/>
          <w:sz w:val="24"/>
          <w:szCs w:val="24"/>
          <w:highlight w:val="none"/>
        </w:rPr>
        <w:t>。</w:t>
      </w:r>
    </w:p>
    <w:tbl>
      <w:tblPr>
        <w:tblStyle w:val="48"/>
        <w:tblW w:w="9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8"/>
        <w:gridCol w:w="1426"/>
        <w:gridCol w:w="1261"/>
        <w:gridCol w:w="4176"/>
        <w:gridCol w:w="1859"/>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级别型号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w:t>
            </w:r>
          </w:p>
        </w:tc>
        <w:tc>
          <w:tcPr>
            <w:tcW w:w="3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建议品牌</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最高限价（元）</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润滑脂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3号锂基脂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400克/支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长城、昆仑、康普顿、统一、京扬、长拓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润滑脂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2号锂基脂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400克/支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长城、昆仑、康普顿、统一、京扬、长拓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润滑脂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3号锂基脂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1公斤/桶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长城、昆仑、康普顿、统一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润滑脂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3号锂基脂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15公斤/桶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长城、昆仑、康普顿、统一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传动油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18升/桶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长城、昆仑、康普顿、统一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制动液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DOT4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长城、昆仑、康普顿、统一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齿轮油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GL-5 85W140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4升/桶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长城、昆仑、康普顿、统一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shd w:val="clear" w:color="FFFFFF" w:fill="D9D9D9"/>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重负荷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除锈剂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450毫升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壳牌、罗孚、回天、统一、赛福特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清洗剂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450毫升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壳牌、罗孚、回天、统一、赛福特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highlight w:val="none"/>
                <w:u w:val="none"/>
              </w:rPr>
            </w:pPr>
          </w:p>
        </w:tc>
      </w:tr>
    </w:tbl>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备注：★</w:t>
      </w:r>
      <w:r>
        <w:rPr>
          <w:rFonts w:hint="eastAsia" w:ascii="仿宋" w:hAnsi="仿宋" w:eastAsia="仿宋" w:cs="仿宋"/>
          <w:b w:val="0"/>
          <w:bCs/>
          <w:color w:val="auto"/>
          <w:sz w:val="24"/>
          <w:szCs w:val="24"/>
          <w:highlight w:val="none"/>
          <w:lang w:eastAsia="zh-CN"/>
        </w:rPr>
        <w:t>供应商每项</w:t>
      </w:r>
      <w:r>
        <w:rPr>
          <w:rFonts w:hint="eastAsia" w:ascii="仿宋" w:hAnsi="仿宋" w:eastAsia="仿宋" w:cs="仿宋"/>
          <w:b w:val="0"/>
          <w:bCs/>
          <w:color w:val="auto"/>
          <w:sz w:val="24"/>
          <w:szCs w:val="24"/>
          <w:highlight w:val="none"/>
          <w:lang w:val="en-US" w:eastAsia="zh-CN"/>
        </w:rPr>
        <w:t>油类</w:t>
      </w:r>
      <w:r>
        <w:rPr>
          <w:rFonts w:hint="eastAsia" w:ascii="仿宋" w:hAnsi="仿宋" w:eastAsia="仿宋" w:cs="仿宋"/>
          <w:b w:val="0"/>
          <w:bCs/>
          <w:color w:val="auto"/>
          <w:sz w:val="24"/>
          <w:szCs w:val="24"/>
          <w:highlight w:val="none"/>
          <w:lang w:eastAsia="zh-CN"/>
        </w:rPr>
        <w:t>只能投采购人要求范围内的一个品牌。多投的或范围以外的品牌，此项作无效报价。</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★投标单位投的单价不得高于单价</w:t>
      </w:r>
      <w:r>
        <w:rPr>
          <w:rFonts w:hint="eastAsia" w:ascii="仿宋" w:hAnsi="仿宋" w:eastAsia="仿宋" w:cs="仿宋"/>
          <w:b w:val="0"/>
          <w:bCs/>
          <w:color w:val="auto"/>
          <w:sz w:val="24"/>
          <w:szCs w:val="24"/>
          <w:highlight w:val="none"/>
          <w:lang w:eastAsia="zh-CN"/>
        </w:rPr>
        <w:t>限价</w:t>
      </w:r>
      <w:r>
        <w:rPr>
          <w:rFonts w:hint="eastAsia" w:ascii="仿宋" w:hAnsi="仿宋" w:eastAsia="仿宋" w:cs="仿宋"/>
          <w:b w:val="0"/>
          <w:bCs/>
          <w:color w:val="auto"/>
          <w:sz w:val="24"/>
          <w:szCs w:val="24"/>
          <w:highlight w:val="none"/>
        </w:rPr>
        <w:t>，否则作无效标处理。</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三、技术要求</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1、供应商须提供符合采购需求、符合最新的国家质量检测标准、行业标准且符合询价文件要求的合格产品。</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成交供应商</w:t>
      </w:r>
      <w:r>
        <w:rPr>
          <w:rFonts w:hint="eastAsia" w:ascii="仿宋" w:hAnsi="仿宋" w:eastAsia="仿宋" w:cs="仿宋"/>
          <w:b w:val="0"/>
          <w:bCs/>
          <w:color w:val="auto"/>
          <w:sz w:val="24"/>
          <w:szCs w:val="24"/>
          <w:highlight w:val="none"/>
        </w:rPr>
        <w:t>在供货时，每批次需递交“产品合格证”。</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响应设备是全新的、未使用过的、原包装未拆封的商品，完全符合采购设备规定的质量、规格和性能的要求，响应单位应保证其提供的设备在正确安装、正常使用和保养条件下，在规定的使用寿命期内具有满意的性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建议</w:t>
      </w:r>
      <w:r>
        <w:rPr>
          <w:rFonts w:hint="eastAsia" w:ascii="仿宋" w:hAnsi="仿宋" w:eastAsia="仿宋" w:cs="仿宋"/>
          <w:b w:val="0"/>
          <w:bCs/>
          <w:color w:val="auto"/>
          <w:sz w:val="24"/>
          <w:szCs w:val="24"/>
          <w:highlight w:val="none"/>
        </w:rPr>
        <w:t>品牌：</w:t>
      </w:r>
      <w:r>
        <w:rPr>
          <w:rFonts w:hint="eastAsia" w:ascii="仿宋" w:hAnsi="仿宋" w:eastAsia="仿宋" w:cs="仿宋"/>
          <w:b/>
          <w:bCs/>
          <w:color w:val="auto"/>
          <w:sz w:val="24"/>
          <w:szCs w:val="24"/>
          <w:highlight w:val="none"/>
          <w:u w:val="single"/>
          <w:lang w:val="en-US" w:eastAsia="zh-CN"/>
        </w:rPr>
        <w:t>详见项目需求</w:t>
      </w:r>
      <w:r>
        <w:rPr>
          <w:rFonts w:hint="eastAsia" w:ascii="仿宋" w:hAnsi="仿宋" w:eastAsia="仿宋" w:cs="仿宋"/>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四、供货及服务</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1.货物产品交付： </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（1）交货地点：货物产品，按采购人要求的品种、数量送至指定的地点。</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（2）货物装卸、运输涉及到的保险，其费用包含在合同价中。</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2.项目货物产品供货期：</w:t>
      </w:r>
      <w:r>
        <w:rPr>
          <w:rFonts w:hint="eastAsia" w:ascii="仿宋" w:hAnsi="仿宋" w:eastAsia="仿宋" w:cs="仿宋"/>
          <w:b w:val="0"/>
          <w:bCs/>
          <w:color w:val="auto"/>
          <w:sz w:val="24"/>
          <w:szCs w:val="24"/>
          <w:highlight w:val="none"/>
          <w:shd w:val="clear" w:color="auto" w:fill="auto"/>
          <w:lang w:val="en-US" w:eastAsia="zh-CN"/>
        </w:rPr>
        <w:t>合同签订生效后，1年内按采购人要求的时间送达指定地点。</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3.发货到采购人指定地点时应先用函、电通告采购人。</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4.产品的外观、包装、运输应按国家规定或部颁标准执行，如因供方包装不当以及其它原因造成损坏或丢失，应由供方负一切责任。</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5.合同项目涉及到的货物产品供货货时，外包装应完整无破损。</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五、质量要求</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Cs/>
          <w:color w:val="auto"/>
          <w:sz w:val="24"/>
          <w:szCs w:val="24"/>
          <w:highlight w:val="none"/>
          <w:u w:val="thick" w:color="FF0000"/>
          <w:lang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应保证货物是全新、未使用过的原装合格正品，并完全符合招标文件及本项目合同规定的质量、规格</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性能的要求</w:t>
      </w:r>
      <w:r>
        <w:rPr>
          <w:rFonts w:hint="eastAsia" w:ascii="仿宋" w:hAnsi="仿宋" w:eastAsia="仿宋" w:cs="仿宋"/>
          <w:b w:val="0"/>
          <w:bCs/>
          <w:color w:val="auto"/>
          <w:sz w:val="24"/>
          <w:szCs w:val="24"/>
          <w:highlight w:val="none"/>
          <w:lang w:eastAsia="zh-CN"/>
        </w:rPr>
        <w:t>，</w:t>
      </w:r>
      <w:r>
        <w:rPr>
          <w:rFonts w:hint="eastAsia" w:ascii="仿宋" w:hAnsi="仿宋" w:eastAsia="仿宋" w:cs="仿宋"/>
          <w:bCs/>
          <w:color w:val="auto"/>
          <w:sz w:val="24"/>
          <w:szCs w:val="24"/>
          <w:highlight w:val="none"/>
          <w:u w:val="thick" w:color="FF0000"/>
          <w:lang w:eastAsia="zh-CN"/>
        </w:rPr>
        <w:t>中标人</w:t>
      </w:r>
      <w:r>
        <w:rPr>
          <w:rFonts w:hint="eastAsia" w:ascii="仿宋" w:hAnsi="仿宋" w:eastAsia="仿宋" w:cs="仿宋"/>
          <w:bCs/>
          <w:color w:val="auto"/>
          <w:sz w:val="24"/>
          <w:szCs w:val="24"/>
          <w:highlight w:val="none"/>
          <w:u w:val="thick" w:color="FF0000"/>
        </w:rPr>
        <w:t>配送的</w:t>
      </w:r>
      <w:r>
        <w:rPr>
          <w:rFonts w:hint="eastAsia" w:ascii="仿宋" w:hAnsi="仿宋" w:eastAsia="仿宋" w:cs="仿宋"/>
          <w:bCs/>
          <w:color w:val="auto"/>
          <w:sz w:val="24"/>
          <w:szCs w:val="24"/>
          <w:highlight w:val="none"/>
          <w:u w:val="thick" w:color="FF0000"/>
          <w:lang w:eastAsia="zh-CN"/>
        </w:rPr>
        <w:t>产品</w:t>
      </w:r>
      <w:r>
        <w:rPr>
          <w:rFonts w:hint="eastAsia" w:ascii="仿宋" w:hAnsi="仿宋" w:eastAsia="仿宋" w:cs="仿宋"/>
          <w:bCs/>
          <w:color w:val="auto"/>
          <w:sz w:val="24"/>
          <w:szCs w:val="24"/>
          <w:highlight w:val="none"/>
          <w:u w:val="thick" w:color="FF0000"/>
        </w:rPr>
        <w:t>生产时间须为最近</w:t>
      </w:r>
      <w:r>
        <w:rPr>
          <w:rFonts w:hint="eastAsia" w:ascii="仿宋" w:hAnsi="仿宋" w:eastAsia="仿宋" w:cs="仿宋"/>
          <w:bCs/>
          <w:color w:val="auto"/>
          <w:sz w:val="24"/>
          <w:szCs w:val="24"/>
          <w:highlight w:val="none"/>
          <w:u w:val="thick" w:color="FF0000"/>
          <w:lang w:val="en-US" w:eastAsia="zh-CN"/>
        </w:rPr>
        <w:t>十二</w:t>
      </w:r>
      <w:r>
        <w:rPr>
          <w:rFonts w:hint="eastAsia" w:ascii="仿宋" w:hAnsi="仿宋" w:eastAsia="仿宋" w:cs="仿宋"/>
          <w:bCs/>
          <w:color w:val="auto"/>
          <w:sz w:val="24"/>
          <w:szCs w:val="24"/>
          <w:highlight w:val="none"/>
          <w:u w:val="thick" w:color="FF0000"/>
        </w:rPr>
        <w:t>个月生产</w:t>
      </w:r>
      <w:r>
        <w:rPr>
          <w:rFonts w:hint="eastAsia" w:ascii="仿宋" w:hAnsi="仿宋" w:eastAsia="仿宋" w:cs="仿宋"/>
          <w:bCs/>
          <w:color w:val="auto"/>
          <w:sz w:val="24"/>
          <w:szCs w:val="24"/>
          <w:highlight w:val="none"/>
          <w:u w:val="thick" w:color="FF0000"/>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成交产品的技术标准按国家标准执行，无国家标准的，按行业标准执行，无国家和行业标准的，按企业标准执行；但在招标文件中有特别要求的，按招标文件中规定的要求执行，并且符合相关法律、法规规定的要求。</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3.产品的包装，国家或行业主管部门有规定的，按规定执行。 </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应保证提供的产品不得侵犯第三方专利权、商标权和工业设计权、版权等。否则，</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应负全部责任，并承担由此引起的一切后果。</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应采取必要的安全措施保证货物的运输及安装的安全，并承担货物的运输及安装过程中产生的一切风险及全部责任。</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六、质保服务  </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、质保期：投标方所投产品的质保期要求不得少于</w:t>
      </w:r>
      <w:r>
        <w:rPr>
          <w:rFonts w:hint="eastAsia" w:ascii="仿宋" w:hAnsi="仿宋" w:eastAsia="仿宋" w:cs="仿宋"/>
          <w:b w:val="0"/>
          <w:bCs/>
          <w:color w:val="auto"/>
          <w:sz w:val="24"/>
          <w:szCs w:val="24"/>
          <w:highlight w:val="none"/>
          <w:lang w:val="en-US" w:eastAsia="zh-CN"/>
        </w:rPr>
        <w:t>12个月</w:t>
      </w:r>
      <w:r>
        <w:rPr>
          <w:rFonts w:hint="eastAsia" w:ascii="仿宋" w:hAnsi="仿宋" w:eastAsia="仿宋" w:cs="仿宋"/>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、中标方提供的货物在质保期内因货物本身的质量问题发生故障，应负责免费更换。对达不到技术要求者，根据实际情况，经双方协商，可按以下办法处理：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①更换：</w:t>
      </w:r>
      <w:r>
        <w:rPr>
          <w:rFonts w:hint="eastAsia" w:ascii="仿宋" w:hAnsi="仿宋" w:eastAsia="仿宋" w:cs="仿宋"/>
          <w:b w:val="0"/>
          <w:bCs/>
          <w:color w:val="auto"/>
          <w:sz w:val="24"/>
          <w:szCs w:val="24"/>
          <w:highlight w:val="none"/>
          <w:lang w:eastAsia="zh-CN"/>
        </w:rPr>
        <w:t>采购人</w:t>
      </w:r>
      <w:r>
        <w:rPr>
          <w:rFonts w:hint="eastAsia" w:ascii="仿宋" w:hAnsi="仿宋" w:eastAsia="仿宋" w:cs="仿宋"/>
          <w:b w:val="0"/>
          <w:bCs/>
          <w:color w:val="auto"/>
          <w:sz w:val="24"/>
          <w:szCs w:val="24"/>
          <w:highlight w:val="none"/>
        </w:rPr>
        <w:t>发现产品质量问题，中标方需无条件更换，中标方承担所发生的全部费用；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②退货处理：中标方应退还招标方支付的合同款，同时应承担产品的直接费用（运输、保险、检验、货款利息及银行手续费等相关费用）；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、在质保期内，中标方应对货物出现的质量及安全问题负责处理解决并承担一切费用；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七、</w:t>
      </w:r>
      <w:r>
        <w:rPr>
          <w:rFonts w:hint="eastAsia" w:ascii="仿宋" w:hAnsi="仿宋" w:eastAsia="仿宋" w:cs="仿宋"/>
          <w:b w:val="0"/>
          <w:bCs/>
          <w:color w:val="auto"/>
          <w:sz w:val="24"/>
          <w:szCs w:val="24"/>
          <w:highlight w:val="none"/>
        </w:rPr>
        <w:t>付款</w:t>
      </w:r>
    </w:p>
    <w:p>
      <w:pPr>
        <w:snapToGrid w:val="0"/>
        <w:spacing w:line="420" w:lineRule="exact"/>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根据双方签订的合同及采购人具体需求，由供应商按时按批次供货、供货日期登记入帐供货完毕后，经采购人验收合格后3个月内按实际结算后一次性付清，供应商开具正式增值税专用发票，款项由采购人按相关财务支付规定办理。</w:t>
      </w:r>
    </w:p>
    <w:p>
      <w:pPr>
        <w:snapToGrid w:val="0"/>
        <w:spacing w:line="420" w:lineRule="exact"/>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结算标准：中标固定综合单价报价*实际供货量。</w:t>
      </w:r>
    </w:p>
    <w:p>
      <w:pPr>
        <w:rPr>
          <w:rFonts w:hint="eastAsia" w:ascii="仿宋" w:hAnsi="仿宋" w:eastAsia="仿宋" w:cs="仿宋"/>
          <w:b/>
          <w:color w:val="auto"/>
          <w:w w:val="80"/>
          <w:sz w:val="36"/>
          <w:szCs w:val="36"/>
          <w:highlight w:val="none"/>
        </w:rPr>
      </w:pPr>
      <w:r>
        <w:rPr>
          <w:rFonts w:hint="eastAsia" w:ascii="仿宋" w:hAnsi="仿宋" w:eastAsia="仿宋" w:cs="仿宋"/>
          <w:b/>
          <w:color w:val="auto"/>
          <w:w w:val="80"/>
          <w:sz w:val="36"/>
          <w:szCs w:val="36"/>
          <w:highlight w:val="none"/>
        </w:rPr>
        <w:br w:type="page"/>
      </w:r>
    </w:p>
    <w:p>
      <w:pPr>
        <w:tabs>
          <w:tab w:val="left" w:pos="1050"/>
          <w:tab w:val="right" w:leader="dot" w:pos="9402"/>
        </w:tabs>
        <w:spacing w:beforeLines="100" w:line="600" w:lineRule="exact"/>
        <w:jc w:val="center"/>
        <w:outlineLvl w:val="0"/>
        <w:rPr>
          <w:rFonts w:hint="eastAsia" w:ascii="仿宋" w:hAnsi="仿宋" w:eastAsia="仿宋" w:cs="仿宋"/>
          <w:b/>
          <w:color w:val="auto"/>
          <w:w w:val="80"/>
          <w:sz w:val="36"/>
          <w:szCs w:val="36"/>
          <w:highlight w:val="none"/>
        </w:rPr>
      </w:pPr>
      <w:r>
        <w:rPr>
          <w:rFonts w:hint="eastAsia" w:ascii="仿宋" w:hAnsi="仿宋" w:eastAsia="仿宋" w:cs="仿宋"/>
          <w:b/>
          <w:color w:val="auto"/>
          <w:w w:val="80"/>
          <w:sz w:val="36"/>
          <w:szCs w:val="36"/>
          <w:highlight w:val="none"/>
        </w:rPr>
        <w:t xml:space="preserve">第四章  </w:t>
      </w:r>
      <w:bookmarkStart w:id="4" w:name="_Toc182848996"/>
      <w:r>
        <w:rPr>
          <w:rFonts w:hint="eastAsia" w:ascii="仿宋" w:hAnsi="仿宋" w:eastAsia="仿宋" w:cs="仿宋"/>
          <w:b/>
          <w:color w:val="auto"/>
          <w:w w:val="80"/>
          <w:sz w:val="36"/>
          <w:szCs w:val="36"/>
          <w:highlight w:val="none"/>
        </w:rPr>
        <w:t>评审方法和程序</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一、采购人委托采购</w:t>
      </w:r>
      <w:r>
        <w:rPr>
          <w:rFonts w:hint="eastAsia" w:ascii="仿宋" w:hAnsi="仿宋" w:eastAsia="仿宋" w:cs="仿宋"/>
          <w:b/>
          <w:color w:val="auto"/>
          <w:sz w:val="24"/>
          <w:szCs w:val="24"/>
          <w:highlight w:val="none"/>
          <w:lang w:eastAsia="zh-CN"/>
        </w:rPr>
        <w:t>代理</w:t>
      </w:r>
      <w:r>
        <w:rPr>
          <w:rFonts w:hint="eastAsia" w:ascii="仿宋" w:hAnsi="仿宋" w:eastAsia="仿宋" w:cs="仿宋"/>
          <w:b/>
          <w:color w:val="auto"/>
          <w:sz w:val="24"/>
          <w:szCs w:val="24"/>
          <w:highlight w:val="none"/>
        </w:rPr>
        <w:t>单位组织询价采购活动</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1.成立询价小组，由采购人代表和有关专家依法组成。</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的法定代表人或被委托授权人须持身份证准时参加询价采购会。</w:t>
      </w:r>
    </w:p>
    <w:p>
      <w:pPr>
        <w:snapToGrid w:val="0"/>
        <w:spacing w:line="420" w:lineRule="exact"/>
        <w:ind w:firstLine="496" w:firstLineChars="206"/>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二、开标</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1.开标时间：</w:t>
      </w:r>
      <w:r>
        <w:rPr>
          <w:rFonts w:hint="eastAsia" w:ascii="仿宋" w:hAnsi="仿宋" w:eastAsia="仿宋" w:cs="仿宋"/>
          <w:b/>
          <w:color w:val="auto"/>
          <w:sz w:val="24"/>
          <w:szCs w:val="24"/>
          <w:highlight w:val="none"/>
          <w:u w:val="none" w:color="auto"/>
          <w:lang w:eastAsia="zh-CN"/>
        </w:rPr>
        <w:t>2024</w:t>
      </w:r>
      <w:r>
        <w:rPr>
          <w:rFonts w:hint="eastAsia" w:ascii="仿宋" w:hAnsi="仿宋" w:eastAsia="仿宋" w:cs="仿宋"/>
          <w:b/>
          <w:color w:val="auto"/>
          <w:sz w:val="24"/>
          <w:szCs w:val="24"/>
          <w:highlight w:val="none"/>
          <w:u w:val="none" w:color="auto"/>
        </w:rPr>
        <w:t>年</w:t>
      </w:r>
      <w:r>
        <w:rPr>
          <w:rFonts w:hint="eastAsia" w:ascii="仿宋" w:hAnsi="仿宋" w:eastAsia="仿宋" w:cs="仿宋"/>
          <w:b/>
          <w:color w:val="auto"/>
          <w:sz w:val="24"/>
          <w:szCs w:val="24"/>
          <w:highlight w:val="none"/>
          <w:u w:val="none" w:color="auto"/>
          <w:lang w:val="en-US" w:eastAsia="zh-CN"/>
        </w:rPr>
        <w:t xml:space="preserve"> 1</w:t>
      </w:r>
      <w:r>
        <w:rPr>
          <w:rFonts w:hint="eastAsia" w:ascii="仿宋" w:hAnsi="仿宋" w:eastAsia="仿宋" w:cs="仿宋"/>
          <w:b/>
          <w:color w:val="auto"/>
          <w:sz w:val="24"/>
          <w:szCs w:val="24"/>
          <w:highlight w:val="none"/>
          <w:u w:val="none" w:color="auto"/>
        </w:rPr>
        <w:t>月</w:t>
      </w:r>
      <w:r>
        <w:rPr>
          <w:rFonts w:hint="eastAsia" w:ascii="仿宋" w:hAnsi="仿宋" w:eastAsia="仿宋" w:cs="仿宋"/>
          <w:b/>
          <w:color w:val="auto"/>
          <w:sz w:val="24"/>
          <w:szCs w:val="24"/>
          <w:highlight w:val="none"/>
          <w:u w:val="none" w:color="auto"/>
          <w:lang w:val="en-US" w:eastAsia="zh-CN"/>
        </w:rPr>
        <w:t>16</w:t>
      </w:r>
      <w:r>
        <w:rPr>
          <w:rFonts w:hint="eastAsia" w:ascii="仿宋" w:hAnsi="仿宋" w:eastAsia="仿宋" w:cs="仿宋"/>
          <w:b/>
          <w:color w:val="auto"/>
          <w:sz w:val="24"/>
          <w:szCs w:val="24"/>
          <w:highlight w:val="none"/>
          <w:u w:val="none" w:color="auto"/>
        </w:rPr>
        <w:t>日</w:t>
      </w:r>
      <w:r>
        <w:rPr>
          <w:rFonts w:hint="eastAsia" w:ascii="仿宋" w:hAnsi="仿宋" w:eastAsia="仿宋" w:cs="仿宋"/>
          <w:b/>
          <w:color w:val="auto"/>
          <w:sz w:val="24"/>
          <w:szCs w:val="24"/>
          <w:highlight w:val="none"/>
          <w:u w:val="none" w:color="auto"/>
          <w:lang w:val="en-US" w:eastAsia="zh-CN"/>
        </w:rPr>
        <w:t>14</w:t>
      </w:r>
      <w:r>
        <w:rPr>
          <w:rFonts w:hint="eastAsia" w:ascii="仿宋" w:hAnsi="仿宋" w:eastAsia="仿宋" w:cs="仿宋"/>
          <w:b/>
          <w:color w:val="auto"/>
          <w:sz w:val="24"/>
          <w:szCs w:val="24"/>
          <w:highlight w:val="none"/>
          <w:u w:val="none" w:color="auto"/>
        </w:rPr>
        <w:t>时</w:t>
      </w:r>
      <w:r>
        <w:rPr>
          <w:rFonts w:hint="eastAsia" w:ascii="仿宋" w:hAnsi="仿宋" w:eastAsia="仿宋" w:cs="仿宋"/>
          <w:b/>
          <w:color w:val="auto"/>
          <w:sz w:val="24"/>
          <w:szCs w:val="24"/>
          <w:highlight w:val="none"/>
          <w:u w:val="none" w:color="auto"/>
          <w:lang w:val="en-US" w:eastAsia="zh-CN"/>
        </w:rPr>
        <w:t xml:space="preserve">30 </w:t>
      </w:r>
      <w:r>
        <w:rPr>
          <w:rFonts w:hint="eastAsia" w:ascii="仿宋" w:hAnsi="仿宋" w:eastAsia="仿宋" w:cs="仿宋"/>
          <w:b/>
          <w:color w:val="auto"/>
          <w:sz w:val="24"/>
          <w:szCs w:val="24"/>
          <w:highlight w:val="none"/>
          <w:u w:val="none" w:color="auto"/>
        </w:rPr>
        <w:t>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449" w:leftChars="214"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2.开标地点：</w:t>
      </w:r>
      <w:r>
        <w:rPr>
          <w:rFonts w:hint="eastAsia" w:ascii="仿宋" w:hAnsi="仿宋" w:eastAsia="仿宋" w:cs="仿宋"/>
          <w:color w:val="auto"/>
          <w:sz w:val="24"/>
          <w:szCs w:val="24"/>
          <w:highlight w:val="none"/>
          <w:lang w:eastAsia="zh-CN"/>
        </w:rPr>
        <w:t>崇川区垃圾转运中心（办公楼3楼会议室），</w:t>
      </w:r>
      <w:r>
        <w:rPr>
          <w:rFonts w:hint="eastAsia" w:ascii="仿宋" w:hAnsi="仿宋" w:eastAsia="仿宋" w:cs="仿宋"/>
          <w:color w:val="auto"/>
          <w:sz w:val="24"/>
          <w:szCs w:val="24"/>
          <w:highlight w:val="none"/>
        </w:rPr>
        <w:t>如有变动另行通知。</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3.采购单位或代理单位主持开标并记录，及时处理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代表提出的询问或者回避申请。</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不足3家的不得开标。</w:t>
      </w:r>
    </w:p>
    <w:p>
      <w:pPr>
        <w:snapToGrid w:val="0"/>
        <w:spacing w:line="420" w:lineRule="exact"/>
        <w:ind w:firstLine="496" w:firstLineChars="206"/>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三、资格审查</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1.资格审查时间：</w:t>
      </w:r>
      <w:r>
        <w:rPr>
          <w:rFonts w:hint="eastAsia" w:ascii="仿宋" w:hAnsi="仿宋" w:eastAsia="仿宋" w:cs="仿宋"/>
          <w:b/>
          <w:color w:val="auto"/>
          <w:sz w:val="24"/>
          <w:szCs w:val="24"/>
          <w:highlight w:val="none"/>
          <w:u w:val="none" w:color="auto"/>
          <w:lang w:eastAsia="zh-CN"/>
        </w:rPr>
        <w:t>2024</w:t>
      </w:r>
      <w:r>
        <w:rPr>
          <w:rFonts w:hint="eastAsia" w:ascii="仿宋" w:hAnsi="仿宋" w:eastAsia="仿宋" w:cs="仿宋"/>
          <w:b/>
          <w:color w:val="auto"/>
          <w:sz w:val="24"/>
          <w:szCs w:val="24"/>
          <w:highlight w:val="none"/>
          <w:u w:val="none" w:color="auto"/>
        </w:rPr>
        <w:t>年</w:t>
      </w:r>
      <w:r>
        <w:rPr>
          <w:rFonts w:hint="eastAsia" w:ascii="仿宋" w:hAnsi="仿宋" w:eastAsia="仿宋" w:cs="仿宋"/>
          <w:b/>
          <w:color w:val="auto"/>
          <w:sz w:val="24"/>
          <w:szCs w:val="24"/>
          <w:highlight w:val="none"/>
          <w:u w:val="none" w:color="auto"/>
          <w:lang w:val="en-US" w:eastAsia="zh-CN"/>
        </w:rPr>
        <w:t>1</w:t>
      </w:r>
      <w:r>
        <w:rPr>
          <w:rFonts w:hint="eastAsia" w:ascii="仿宋" w:hAnsi="仿宋" w:eastAsia="仿宋" w:cs="仿宋"/>
          <w:b/>
          <w:color w:val="auto"/>
          <w:sz w:val="24"/>
          <w:szCs w:val="24"/>
          <w:highlight w:val="none"/>
          <w:u w:val="none" w:color="auto"/>
        </w:rPr>
        <w:t>月</w:t>
      </w:r>
      <w:r>
        <w:rPr>
          <w:rFonts w:hint="eastAsia" w:ascii="仿宋" w:hAnsi="仿宋" w:eastAsia="仿宋" w:cs="仿宋"/>
          <w:b/>
          <w:color w:val="auto"/>
          <w:sz w:val="24"/>
          <w:szCs w:val="24"/>
          <w:highlight w:val="none"/>
          <w:u w:val="none" w:color="auto"/>
          <w:lang w:val="en-US" w:eastAsia="zh-CN"/>
        </w:rPr>
        <w:t>16</w:t>
      </w:r>
      <w:r>
        <w:rPr>
          <w:rFonts w:hint="eastAsia" w:ascii="仿宋" w:hAnsi="仿宋" w:eastAsia="仿宋" w:cs="仿宋"/>
          <w:b/>
          <w:color w:val="auto"/>
          <w:sz w:val="24"/>
          <w:szCs w:val="24"/>
          <w:highlight w:val="none"/>
          <w:u w:val="none" w:color="auto"/>
        </w:rPr>
        <w:t>日</w:t>
      </w:r>
      <w:r>
        <w:rPr>
          <w:rFonts w:hint="eastAsia" w:ascii="仿宋" w:hAnsi="仿宋" w:eastAsia="仿宋" w:cs="仿宋"/>
          <w:b/>
          <w:color w:val="auto"/>
          <w:sz w:val="24"/>
          <w:szCs w:val="24"/>
          <w:highlight w:val="none"/>
          <w:u w:val="none" w:color="auto"/>
          <w:lang w:val="en-US" w:eastAsia="zh-CN"/>
        </w:rPr>
        <w:t>14</w:t>
      </w:r>
      <w:r>
        <w:rPr>
          <w:rFonts w:hint="eastAsia" w:ascii="仿宋" w:hAnsi="仿宋" w:eastAsia="仿宋" w:cs="仿宋"/>
          <w:b/>
          <w:color w:val="auto"/>
          <w:sz w:val="24"/>
          <w:szCs w:val="24"/>
          <w:highlight w:val="none"/>
          <w:u w:val="none" w:color="auto"/>
        </w:rPr>
        <w:t>时</w:t>
      </w:r>
      <w:r>
        <w:rPr>
          <w:rFonts w:hint="eastAsia" w:ascii="仿宋" w:hAnsi="仿宋" w:eastAsia="仿宋" w:cs="仿宋"/>
          <w:b/>
          <w:color w:val="auto"/>
          <w:sz w:val="24"/>
          <w:szCs w:val="24"/>
          <w:highlight w:val="none"/>
          <w:u w:val="none" w:color="auto"/>
          <w:lang w:val="en-US" w:eastAsia="zh-CN"/>
        </w:rPr>
        <w:t>30</w:t>
      </w:r>
      <w:r>
        <w:rPr>
          <w:rFonts w:hint="eastAsia" w:ascii="仿宋" w:hAnsi="仿宋" w:eastAsia="仿宋" w:cs="仿宋"/>
          <w:b/>
          <w:color w:val="auto"/>
          <w:sz w:val="24"/>
          <w:szCs w:val="24"/>
          <w:highlight w:val="none"/>
          <w:u w:val="none" w:color="auto"/>
        </w:rPr>
        <w:t>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449" w:leftChars="214"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2.资格审查地点：</w:t>
      </w:r>
      <w:r>
        <w:rPr>
          <w:rFonts w:hint="eastAsia" w:ascii="仿宋" w:hAnsi="仿宋" w:eastAsia="仿宋" w:cs="仿宋"/>
          <w:color w:val="auto"/>
          <w:sz w:val="24"/>
          <w:szCs w:val="24"/>
          <w:highlight w:val="none"/>
          <w:lang w:eastAsia="zh-CN"/>
        </w:rPr>
        <w:t>崇川区垃圾转运中心（办公</w:t>
      </w:r>
      <w:bookmarkStart w:id="10" w:name="_GoBack"/>
      <w:bookmarkEnd w:id="10"/>
      <w:r>
        <w:rPr>
          <w:rFonts w:hint="eastAsia" w:ascii="仿宋" w:hAnsi="仿宋" w:eastAsia="仿宋" w:cs="仿宋"/>
          <w:color w:val="auto"/>
          <w:sz w:val="24"/>
          <w:szCs w:val="24"/>
          <w:highlight w:val="none"/>
          <w:lang w:eastAsia="zh-CN"/>
        </w:rPr>
        <w:t>楼3楼会议室），</w:t>
      </w:r>
      <w:r>
        <w:rPr>
          <w:rFonts w:hint="eastAsia" w:ascii="仿宋" w:hAnsi="仿宋" w:eastAsia="仿宋" w:cs="仿宋"/>
          <w:color w:val="auto"/>
          <w:sz w:val="24"/>
          <w:szCs w:val="24"/>
          <w:highlight w:val="none"/>
        </w:rPr>
        <w:t>如有变动另行通知。</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3.资格审查标准：</w:t>
      </w:r>
    </w:p>
    <w:p>
      <w:pPr>
        <w:adjustRightInd w:val="0"/>
        <w:snapToGrid w:val="0"/>
        <w:spacing w:line="420" w:lineRule="exact"/>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资格后审审查标准一览表</w:t>
      </w:r>
    </w:p>
    <w:tbl>
      <w:tblPr>
        <w:tblStyle w:val="4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7110"/>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blHeader/>
        </w:trPr>
        <w:tc>
          <w:tcPr>
            <w:tcW w:w="643"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110"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资格审查条款</w:t>
            </w:r>
          </w:p>
        </w:tc>
        <w:tc>
          <w:tcPr>
            <w:tcW w:w="1886"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标准：唯一性判断条件是与否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3"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110" w:type="dxa"/>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提供有效的营业执照及税务登记证（或者是三证合一的营业执照）</w:t>
            </w:r>
            <w:r>
              <w:rPr>
                <w:rFonts w:hint="eastAsia" w:ascii="仿宋" w:hAnsi="仿宋" w:eastAsia="仿宋" w:cs="仿宋"/>
                <w:color w:val="auto"/>
                <w:sz w:val="24"/>
                <w:szCs w:val="24"/>
                <w:highlight w:val="none"/>
              </w:rPr>
              <w:t>（须加盖公章）。</w:t>
            </w:r>
          </w:p>
        </w:tc>
        <w:tc>
          <w:tcPr>
            <w:tcW w:w="1886"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43"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110" w:type="dxa"/>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法定代表人参加询价的，必须提供本人身份证原件的复印件（须加盖公章）；非法定代表人参加的，必须提供法定代表人身份证明及其签名或盖章的授权委托书这2项材料（须加盖公章）。</w:t>
            </w:r>
          </w:p>
        </w:tc>
        <w:tc>
          <w:tcPr>
            <w:tcW w:w="1886"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3" w:type="dxa"/>
            <w:vAlign w:val="center"/>
          </w:tcPr>
          <w:p>
            <w:pPr>
              <w:spacing w:line="4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110" w:type="dxa"/>
            <w:vAlign w:val="center"/>
          </w:tcPr>
          <w:p>
            <w:pPr>
              <w:pStyle w:val="16"/>
              <w:numPr>
                <w:ilvl w:val="0"/>
                <w:numId w:val="0"/>
              </w:numPr>
              <w:jc w:val="both"/>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供应商提供符合相关资格条件的声明函</w:t>
            </w:r>
          </w:p>
        </w:tc>
        <w:tc>
          <w:tcPr>
            <w:tcW w:w="1886"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43" w:type="dxa"/>
            <w:vAlign w:val="center"/>
          </w:tcPr>
          <w:p>
            <w:pP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7110" w:type="dxa"/>
            <w:vAlign w:val="center"/>
          </w:tcPr>
          <w:p>
            <w:pPr>
              <w:spacing w:line="42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还须提供关于资格文件的声明函（须加盖公章）。</w:t>
            </w:r>
          </w:p>
        </w:tc>
        <w:tc>
          <w:tcPr>
            <w:tcW w:w="1886"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43" w:type="dxa"/>
            <w:vAlign w:val="center"/>
          </w:tcPr>
          <w:p>
            <w:pPr>
              <w:spacing w:line="4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110" w:type="dxa"/>
            <w:vAlign w:val="center"/>
          </w:tcPr>
          <w:p>
            <w:pPr>
              <w:spacing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lang w:val="en-US" w:eastAsia="zh-CN"/>
              </w:rPr>
              <w:t>响应供应商</w:t>
            </w:r>
            <w:r>
              <w:rPr>
                <w:rFonts w:hint="eastAsia" w:ascii="仿宋" w:hAnsi="仿宋" w:eastAsia="仿宋" w:cs="仿宋"/>
                <w:color w:val="auto"/>
                <w:sz w:val="24"/>
                <w:szCs w:val="21"/>
                <w:highlight w:val="none"/>
                <w:lang w:val="zh-CN"/>
              </w:rPr>
              <w:t>未被</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zh-CN"/>
              </w:rPr>
              <w:t>信用中国</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zh-CN"/>
              </w:rPr>
              <w:t>网站</w:t>
            </w:r>
            <w:r>
              <w:rPr>
                <w:rFonts w:hint="eastAsia" w:ascii="仿宋" w:hAnsi="仿宋" w:eastAsia="仿宋" w:cs="仿宋"/>
                <w:color w:val="auto"/>
                <w:sz w:val="24"/>
                <w:szCs w:val="21"/>
                <w:highlight w:val="none"/>
              </w:rPr>
              <w:t xml:space="preserve">(www.creditchina.gov.cn) </w:t>
            </w:r>
            <w:r>
              <w:rPr>
                <w:rFonts w:hint="eastAsia" w:ascii="仿宋" w:hAnsi="仿宋" w:eastAsia="仿宋" w:cs="仿宋"/>
                <w:color w:val="auto"/>
                <w:sz w:val="24"/>
                <w:szCs w:val="21"/>
                <w:highlight w:val="none"/>
                <w:lang w:val="zh-CN"/>
              </w:rPr>
              <w:t>列入失信被执行人、重大税收违法案件当事人名单（提供查询截图）</w:t>
            </w:r>
          </w:p>
        </w:tc>
        <w:tc>
          <w:tcPr>
            <w:tcW w:w="1886"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43" w:type="dxa"/>
            <w:vAlign w:val="center"/>
          </w:tcPr>
          <w:p>
            <w:pPr>
              <w:spacing w:line="4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110" w:type="dxa"/>
            <w:vAlign w:val="center"/>
          </w:tcPr>
          <w:p>
            <w:pPr>
              <w:spacing w:line="420" w:lineRule="exac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4"/>
                <w:highlight w:val="none"/>
                <w:lang w:val="en-US" w:eastAsia="zh-CN"/>
              </w:rPr>
              <w:t>参与投标的供应商须为所投产品的制造商或代理商(或经销商)，须提供相应的佐证材料。</w:t>
            </w:r>
          </w:p>
        </w:tc>
        <w:tc>
          <w:tcPr>
            <w:tcW w:w="1886"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3" w:type="dxa"/>
            <w:vAlign w:val="center"/>
          </w:tcPr>
          <w:p>
            <w:pPr>
              <w:spacing w:line="4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110" w:type="dxa"/>
            <w:vAlign w:val="center"/>
          </w:tcPr>
          <w:p>
            <w:pPr>
              <w:spacing w:line="420" w:lineRule="exact"/>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技术条款响应一览表</w:t>
            </w:r>
          </w:p>
        </w:tc>
        <w:tc>
          <w:tcPr>
            <w:tcW w:w="1886"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w:t>
            </w:r>
          </w:p>
        </w:tc>
      </w:tr>
      <w:bookmarkEnd w:id="4"/>
    </w:tbl>
    <w:p>
      <w:pPr>
        <w:adjustRightInd w:val="0"/>
        <w:snapToGrid w:val="0"/>
        <w:spacing w:line="420" w:lineRule="exact"/>
        <w:ind w:firstLine="487" w:firstLineChars="20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w:t>
      </w:r>
    </w:p>
    <w:p>
      <w:pPr>
        <w:snapToGrid w:val="0"/>
        <w:spacing w:line="420" w:lineRule="exact"/>
        <w:ind w:firstLine="482" w:firstLineChars="200"/>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（一）询价评标事项</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.询价小组负责具体的询价评标事务，并独立履行以下职责：</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（1）询价响应文件是否符合询价文件的要求，并做出评价；</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（2）可以要求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对询价响应文件有关事项做出解释或澄清；</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（3）按询价文件载明的方法，价格由低到高按次序排列，推荐排名第一的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为本项目成交人；</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（4）询价采购活动开始后，直到就项目成交结果发出成交通知书并授予成交人合同为止，凡属于评审、澄清、评价和比较询价响应的所有资料及有关授予合同等的相关信息，都不应向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或与询价评审比较工作无关的其第三方及人员泄露；</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（5）在询价响应文件的评审、澄清、评价和比较以及最终授予合同的过程中，</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对采购人和询价小组成员有施加影响的任何行为，都将取消其可能的成交资格。</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.询价小组成员应当履行下列义务：</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（1）遵纪守法，客观、公正、廉洁地履行职责；</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（2）按照询价文件规定的方法进行，对询价评审与比较的意见承担个人责任；</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（3）对询价评审过程和结果，以及</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的商业秘密保密；</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（4）配合相关部门进行的投诉处理工作；</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（5）配合招标采购单位答复</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提出的</w:t>
      </w:r>
      <w:r>
        <w:rPr>
          <w:rFonts w:hint="eastAsia" w:ascii="仿宋" w:hAnsi="仿宋" w:eastAsia="仿宋" w:cs="仿宋"/>
          <w:color w:val="auto"/>
          <w:sz w:val="24"/>
          <w:szCs w:val="24"/>
          <w:highlight w:val="none"/>
          <w:lang w:eastAsia="zh-CN"/>
        </w:rPr>
        <w:t>异议</w:t>
      </w:r>
      <w:r>
        <w:rPr>
          <w:rFonts w:hint="eastAsia" w:ascii="仿宋" w:hAnsi="仿宋" w:eastAsia="仿宋" w:cs="仿宋"/>
          <w:color w:val="auto"/>
          <w:sz w:val="24"/>
          <w:szCs w:val="24"/>
          <w:highlight w:val="none"/>
        </w:rPr>
        <w:t>。</w:t>
      </w:r>
    </w:p>
    <w:p>
      <w:pPr>
        <w:snapToGrid w:val="0"/>
        <w:spacing w:line="420" w:lineRule="exact"/>
        <w:ind w:firstLine="482" w:firstLineChars="200"/>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（二）询价评审方法</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1.对合格</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所提供的询价响应文件内的询价技术响文件进行评选。</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2.询价小组严格按照询价文件的规定要求、条件标准，对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所提供的完整计划标的物采购的服务是否符合采购需求，对其质量和服务等实质性响应内容进行比较评价。</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3.判定符合采购需求、质量和服务相等的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后，针对其报价进行最终判定。</w:t>
      </w:r>
    </w:p>
    <w:p>
      <w:pPr>
        <w:snapToGrid w:val="0"/>
        <w:spacing w:line="420" w:lineRule="exact"/>
        <w:ind w:firstLine="487" w:firstLineChars="202"/>
        <w:rPr>
          <w:rFonts w:hint="eastAsia" w:ascii="仿宋" w:hAnsi="仿宋" w:eastAsia="仿宋" w:cs="仿宋"/>
          <w:b/>
          <w:color w:val="auto"/>
          <w:sz w:val="24"/>
          <w:szCs w:val="24"/>
          <w:highlight w:val="none"/>
          <w:u w:val="thick" w:color="FF0000"/>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本项目按固定综合单价报价，</w:t>
      </w:r>
      <w:r>
        <w:rPr>
          <w:rFonts w:hint="eastAsia" w:ascii="仿宋" w:hAnsi="仿宋" w:eastAsia="仿宋" w:cs="仿宋"/>
          <w:color w:val="auto"/>
          <w:sz w:val="24"/>
          <w:szCs w:val="24"/>
          <w:highlight w:val="none"/>
          <w:lang w:val="en-US" w:eastAsia="zh-CN"/>
        </w:rPr>
        <w:t>最高限价单价详见第三章项目需求采购清单</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thick" w:color="FF0000"/>
        </w:rPr>
        <w:t>超出</w:t>
      </w:r>
      <w:r>
        <w:rPr>
          <w:rFonts w:hint="eastAsia" w:ascii="仿宋" w:hAnsi="仿宋" w:eastAsia="仿宋" w:cs="仿宋"/>
          <w:b/>
          <w:color w:val="auto"/>
          <w:sz w:val="24"/>
          <w:szCs w:val="24"/>
          <w:highlight w:val="none"/>
          <w:u w:val="thick" w:color="FF0000"/>
          <w:lang w:val="en-US" w:eastAsia="zh-CN"/>
        </w:rPr>
        <w:t>最高</w:t>
      </w:r>
      <w:r>
        <w:rPr>
          <w:rFonts w:hint="eastAsia" w:ascii="仿宋" w:hAnsi="仿宋" w:eastAsia="仿宋" w:cs="仿宋"/>
          <w:b/>
          <w:color w:val="auto"/>
          <w:sz w:val="24"/>
          <w:szCs w:val="24"/>
          <w:highlight w:val="none"/>
          <w:u w:val="thick" w:color="FF0000"/>
        </w:rPr>
        <w:t>限价</w:t>
      </w:r>
      <w:r>
        <w:rPr>
          <w:rFonts w:hint="eastAsia" w:ascii="仿宋" w:hAnsi="仿宋" w:eastAsia="仿宋" w:cs="仿宋"/>
          <w:b/>
          <w:color w:val="auto"/>
          <w:sz w:val="24"/>
          <w:szCs w:val="24"/>
          <w:highlight w:val="none"/>
          <w:u w:val="thick" w:color="FF0000"/>
          <w:lang w:val="en-US" w:eastAsia="zh-CN"/>
        </w:rPr>
        <w:t>单价</w:t>
      </w:r>
      <w:r>
        <w:rPr>
          <w:rFonts w:hint="eastAsia" w:ascii="仿宋" w:hAnsi="仿宋" w:eastAsia="仿宋" w:cs="仿宋"/>
          <w:b/>
          <w:color w:val="auto"/>
          <w:sz w:val="24"/>
          <w:szCs w:val="24"/>
          <w:highlight w:val="none"/>
          <w:u w:val="thick" w:color="FF0000"/>
        </w:rPr>
        <w:t>作无效询价响应处理。</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u w:val="thick" w:color="FF0000"/>
        </w:rPr>
        <w:t>询价响应报价的价格评审：</w:t>
      </w:r>
    </w:p>
    <w:p>
      <w:pPr>
        <w:snapToGrid w:val="0"/>
        <w:spacing w:line="420" w:lineRule="exact"/>
        <w:ind w:firstLine="487" w:firstLineChars="202"/>
        <w:rPr>
          <w:rFonts w:hint="eastAsia" w:ascii="仿宋" w:hAnsi="仿宋" w:eastAsia="仿宋" w:cs="仿宋"/>
          <w:b/>
          <w:color w:val="auto"/>
          <w:sz w:val="24"/>
          <w:szCs w:val="24"/>
          <w:highlight w:val="none"/>
          <w:u w:val="thick" w:color="FF0000"/>
          <w:lang w:val="en-US" w:eastAsia="zh-CN"/>
        </w:rPr>
      </w:pPr>
      <w:r>
        <w:rPr>
          <w:rFonts w:hint="eastAsia" w:ascii="仿宋" w:hAnsi="仿宋" w:eastAsia="仿宋" w:cs="仿宋"/>
          <w:b/>
          <w:color w:val="auto"/>
          <w:sz w:val="24"/>
          <w:szCs w:val="24"/>
          <w:highlight w:val="none"/>
          <w:u w:val="thick" w:color="FF0000"/>
          <w:lang w:val="en-US" w:eastAsia="zh-CN"/>
        </w:rPr>
        <w:t>(1)本项目采用最低评标价法。即指以价格为主要因素确定成交候选人的评标方法。原则即为：在全部满足询价文件实质性要求前提下，本着“公平、公正、诚信”的原则：价格最低的确定成交供应商。</w:t>
      </w:r>
    </w:p>
    <w:p>
      <w:pPr>
        <w:numPr>
          <w:ilvl w:val="0"/>
          <w:numId w:val="4"/>
        </w:numPr>
        <w:snapToGrid w:val="0"/>
        <w:spacing w:line="420" w:lineRule="exact"/>
        <w:ind w:left="0" w:leftChars="0" w:firstLine="400" w:firstLineChars="0"/>
        <w:rPr>
          <w:rFonts w:hint="eastAsia" w:ascii="仿宋" w:hAnsi="仿宋" w:eastAsia="仿宋" w:cs="仿宋"/>
          <w:b/>
          <w:color w:val="auto"/>
          <w:sz w:val="24"/>
          <w:szCs w:val="24"/>
          <w:highlight w:val="none"/>
          <w:u w:val="thick" w:color="FF0000"/>
          <w:lang w:val="en-US" w:eastAsia="zh-CN"/>
        </w:rPr>
      </w:pPr>
      <w:r>
        <w:rPr>
          <w:rFonts w:hint="eastAsia" w:ascii="仿宋" w:hAnsi="仿宋" w:eastAsia="仿宋" w:cs="仿宋"/>
          <w:b/>
          <w:color w:val="auto"/>
          <w:sz w:val="24"/>
          <w:szCs w:val="24"/>
          <w:highlight w:val="none"/>
          <w:u w:val="thick" w:color="FF0000"/>
          <w:lang w:val="en-US" w:eastAsia="zh-CN"/>
        </w:rPr>
        <w:t>本项目单项最高限价详见第三章，超过此报价者，为无效报价。</w:t>
      </w:r>
    </w:p>
    <w:p>
      <w:pPr>
        <w:numPr>
          <w:ilvl w:val="0"/>
          <w:numId w:val="4"/>
        </w:numPr>
        <w:snapToGrid w:val="0"/>
        <w:spacing w:line="420" w:lineRule="exact"/>
        <w:ind w:left="0" w:leftChars="0" w:firstLine="400" w:firstLineChars="0"/>
        <w:rPr>
          <w:rFonts w:hint="eastAsia" w:ascii="仿宋" w:hAnsi="仿宋" w:eastAsia="仿宋" w:cs="仿宋"/>
          <w:b/>
          <w:color w:val="auto"/>
          <w:sz w:val="24"/>
          <w:szCs w:val="24"/>
          <w:highlight w:val="none"/>
          <w:u w:val="thick" w:color="FF0000"/>
          <w:lang w:val="en-US" w:eastAsia="zh-CN"/>
        </w:rPr>
      </w:pPr>
      <w:r>
        <w:rPr>
          <w:rFonts w:hint="eastAsia" w:ascii="仿宋" w:hAnsi="仿宋" w:eastAsia="仿宋" w:cs="仿宋"/>
          <w:b/>
          <w:color w:val="auto"/>
          <w:sz w:val="24"/>
          <w:szCs w:val="24"/>
          <w:highlight w:val="none"/>
          <w:u w:val="thick" w:color="FF0000"/>
          <w:lang w:val="en-US" w:eastAsia="zh-CN"/>
        </w:rPr>
        <w:t>按供应商报价从低到高单项报价最低的为每个类型中标候选人。报价相同时，采购人现场抽签决定排名。</w:t>
      </w:r>
    </w:p>
    <w:p>
      <w:pPr>
        <w:numPr>
          <w:ilvl w:val="0"/>
          <w:numId w:val="4"/>
        </w:numPr>
        <w:snapToGrid w:val="0"/>
        <w:spacing w:line="420" w:lineRule="exact"/>
        <w:ind w:left="0" w:leftChars="0" w:firstLine="400" w:firstLineChars="0"/>
        <w:rPr>
          <w:rFonts w:hint="eastAsia" w:ascii="仿宋" w:hAnsi="仿宋" w:eastAsia="仿宋" w:cs="仿宋"/>
          <w:b/>
          <w:color w:val="auto"/>
          <w:sz w:val="24"/>
          <w:szCs w:val="24"/>
          <w:highlight w:val="none"/>
          <w:u w:val="thick" w:color="FF0000"/>
          <w:lang w:val="en-US" w:eastAsia="zh-CN"/>
        </w:rPr>
      </w:pPr>
      <w:r>
        <w:rPr>
          <w:rFonts w:hint="eastAsia" w:ascii="仿宋" w:hAnsi="仿宋" w:eastAsia="仿宋" w:cs="仿宋"/>
          <w:b/>
          <w:color w:val="auto"/>
          <w:sz w:val="24"/>
          <w:szCs w:val="24"/>
          <w:highlight w:val="none"/>
          <w:u w:val="thick" w:color="FF0000"/>
          <w:lang w:val="en-US" w:eastAsia="zh-CN"/>
        </w:rPr>
        <w:t>每个类型最低报价者确定为中标人，多个分类的中标人可以为同一供应商。</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（2）价格评审内容包括分析项目需求各产品单价是否合理，价格所含范围是否完整，有无重大错漏项。如果</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的响应产品清单中有漏项并构成未实质性响应询价文件要求的，按无效询价处理。</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（3）【特别提醒】</w:t>
      </w:r>
      <w:r>
        <w:rPr>
          <w:rFonts w:hint="eastAsia" w:ascii="仿宋" w:hAnsi="仿宋" w:eastAsia="仿宋" w:cs="仿宋"/>
          <w:color w:val="auto"/>
          <w:sz w:val="24"/>
          <w:szCs w:val="24"/>
          <w:highlight w:val="none"/>
          <w:u w:val="thick" w:color="FF0000"/>
        </w:rPr>
        <w:t>评标委员会认为</w:t>
      </w:r>
      <w:r>
        <w:rPr>
          <w:rFonts w:hint="eastAsia" w:ascii="仿宋" w:hAnsi="仿宋" w:eastAsia="仿宋" w:cs="仿宋"/>
          <w:color w:val="auto"/>
          <w:sz w:val="24"/>
          <w:szCs w:val="24"/>
          <w:highlight w:val="none"/>
          <w:u w:val="thick" w:color="FF0000"/>
          <w:lang w:eastAsia="zh-CN"/>
        </w:rPr>
        <w:t>供应商</w:t>
      </w:r>
      <w:r>
        <w:rPr>
          <w:rFonts w:hint="eastAsia" w:ascii="仿宋" w:hAnsi="仿宋" w:eastAsia="仿宋" w:cs="仿宋"/>
          <w:color w:val="auto"/>
          <w:sz w:val="24"/>
          <w:szCs w:val="24"/>
          <w:highlight w:val="none"/>
          <w:u w:val="thick" w:color="FF0000"/>
        </w:rPr>
        <w:t>的报价明显低于其他通过符合性审查</w:t>
      </w:r>
      <w:r>
        <w:rPr>
          <w:rFonts w:hint="eastAsia" w:ascii="仿宋" w:hAnsi="仿宋" w:eastAsia="仿宋" w:cs="仿宋"/>
          <w:color w:val="auto"/>
          <w:sz w:val="24"/>
          <w:szCs w:val="24"/>
          <w:highlight w:val="none"/>
          <w:u w:val="thick" w:color="FF0000"/>
          <w:lang w:eastAsia="zh-CN"/>
        </w:rPr>
        <w:t>供应商</w:t>
      </w:r>
      <w:r>
        <w:rPr>
          <w:rFonts w:hint="eastAsia" w:ascii="仿宋" w:hAnsi="仿宋" w:eastAsia="仿宋" w:cs="仿宋"/>
          <w:color w:val="auto"/>
          <w:sz w:val="24"/>
          <w:szCs w:val="24"/>
          <w:highlight w:val="none"/>
          <w:u w:val="thick" w:color="FF0000"/>
        </w:rPr>
        <w:t>的报价，有可能影响产品质量或者不能诚信履约的，应当要求其“在评标现场”提供“书面”说明，必要时提交“相关证明”材料；</w:t>
      </w:r>
      <w:r>
        <w:rPr>
          <w:rFonts w:hint="eastAsia" w:ascii="仿宋" w:hAnsi="仿宋" w:eastAsia="仿宋" w:cs="仿宋"/>
          <w:color w:val="auto"/>
          <w:sz w:val="24"/>
          <w:szCs w:val="24"/>
          <w:highlight w:val="none"/>
          <w:u w:val="thick" w:color="FF0000"/>
          <w:lang w:eastAsia="zh-CN"/>
        </w:rPr>
        <w:t>供应商</w:t>
      </w:r>
      <w:r>
        <w:rPr>
          <w:rFonts w:hint="eastAsia" w:ascii="仿宋" w:hAnsi="仿宋" w:eastAsia="仿宋" w:cs="仿宋"/>
          <w:color w:val="auto"/>
          <w:sz w:val="24"/>
          <w:szCs w:val="24"/>
          <w:highlight w:val="none"/>
          <w:u w:val="thick" w:color="FF0000"/>
        </w:rPr>
        <w:t>不能证明其“报价合理性”的，评标委员会应当将其作为无效报价处理</w:t>
      </w:r>
      <w:r>
        <w:rPr>
          <w:rFonts w:hint="eastAsia" w:ascii="仿宋" w:hAnsi="仿宋" w:eastAsia="仿宋" w:cs="仿宋"/>
          <w:color w:val="auto"/>
          <w:sz w:val="24"/>
          <w:szCs w:val="24"/>
          <w:highlight w:val="none"/>
        </w:rPr>
        <w:t>。</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7.询价小组对询价响应文件的判定，只依据询价响应文件内容本身，不依靠询价采购活动开始后的任何外来证明。</w:t>
      </w:r>
    </w:p>
    <w:p>
      <w:pPr>
        <w:snapToGrid w:val="0"/>
        <w:spacing w:line="420" w:lineRule="exact"/>
        <w:ind w:firstLine="42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询价活动开始后，询价小组成员对询价文件的细则若有争议，由询价小组成员集体讨论确定。询价小组成员对需要共同认定的事项存在争议的，应当按照少数服从多数的原则作出结论。持不同意见的询价小组成员应当在评标报告上签署不同意见及理由，否则视为同意评标报告。</w:t>
      </w:r>
    </w:p>
    <w:p>
      <w:pPr>
        <w:adjustRightInd w:val="0"/>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9、询价小组对评标未尽情况有最终解释权，且对落标的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不做落标原因的解释。</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五、出现下列情形之一的，作无效询价响应处理</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1.询价响应文件未按规定要求装订、密封、签署、盖章的；</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2.不具备询价文件规定的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资格要求的；</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3.询价技术响应文件在出现商务询价响应的报价内容的；</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4.报价超过询价文件中规定的预算金额或者最高限价的；</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5.询价响应文件含有采购人不能接受的附加条件的；</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6.询价小组可以认定为无效询价响应的其他情况；</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7.法律、法规和招标文件规定的其他无效情形。</w:t>
      </w:r>
    </w:p>
    <w:p>
      <w:pPr>
        <w:snapToGrid w:val="0"/>
        <w:spacing w:line="420" w:lineRule="exact"/>
        <w:ind w:firstLine="482" w:firstLineChars="200"/>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六、有下列情形之一的，视为</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串通竞标，其询价无效</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的询价响应文件由同一单位或者个人编制；</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委托同一单位或者个人办理询价竞标事宜；</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的询价响应文件载明的项目管理成员或者联系人员为同一人；</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的询价响应文件异常一致或者报价呈规律性差异；</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的询价响应文件相互混装。</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七、出现下列情形之一的，作废标处理</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6"/>
          <w:szCs w:val="20"/>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或者对询价文件作实质响应的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不足三家的；</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报价均超出采购预算价的；</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4.因重大变故，采购任务被取消的；</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5.询价小组依据法律法规可以认定为废标的其他情况。</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八、成交通知</w:t>
      </w:r>
    </w:p>
    <w:p>
      <w:pPr>
        <w:spacing w:line="420" w:lineRule="exact"/>
        <w:ind w:firstLine="484" w:firstLineChars="20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1.询价采购评选活动结束后，招标采购单位将成交结果在指定媒体上公告</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个工作日，同时向成交人发出《成交通知书》。</w:t>
      </w:r>
    </w:p>
    <w:p>
      <w:pPr>
        <w:spacing w:line="420" w:lineRule="exact"/>
        <w:ind w:firstLine="484" w:firstLineChars="20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2.成交结果公告的有效期限为1个工作日，期限结束后向成交人发出《成交通知书》。</w:t>
      </w:r>
    </w:p>
    <w:p>
      <w:pPr>
        <w:spacing w:line="420" w:lineRule="exact"/>
        <w:ind w:firstLine="484" w:firstLineChars="20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3.《成交通知书》一经发出，即具有法律效力。采购人、成交人依法承担法律责任。</w:t>
      </w:r>
    </w:p>
    <w:p>
      <w:pPr>
        <w:spacing w:line="400" w:lineRule="exact"/>
        <w:rPr>
          <w:rFonts w:hint="eastAsia" w:ascii="仿宋" w:hAnsi="仿宋" w:eastAsia="仿宋" w:cs="仿宋"/>
          <w:color w:val="auto"/>
          <w:sz w:val="28"/>
          <w:szCs w:val="20"/>
          <w:highlight w:val="none"/>
        </w:rPr>
      </w:pPr>
    </w:p>
    <w:bookmarkEnd w:id="3"/>
    <w:p>
      <w:pPr>
        <w:tabs>
          <w:tab w:val="left" w:pos="1050"/>
          <w:tab w:val="right" w:leader="dot" w:pos="9402"/>
        </w:tabs>
        <w:spacing w:beforeLines="100" w:line="600" w:lineRule="exact"/>
        <w:ind w:firstLine="3473" w:firstLineChars="1200"/>
        <w:jc w:val="both"/>
        <w:outlineLvl w:val="0"/>
        <w:rPr>
          <w:rFonts w:hint="eastAsia" w:ascii="仿宋" w:hAnsi="仿宋" w:eastAsia="仿宋" w:cs="仿宋"/>
          <w:b/>
          <w:color w:val="auto"/>
          <w:w w:val="80"/>
          <w:sz w:val="36"/>
          <w:szCs w:val="36"/>
          <w:highlight w:val="none"/>
        </w:rPr>
      </w:pPr>
      <w:bookmarkStart w:id="5" w:name="_Toc363573857"/>
      <w:r>
        <w:rPr>
          <w:rFonts w:hint="eastAsia" w:ascii="仿宋" w:hAnsi="仿宋" w:eastAsia="仿宋" w:cs="仿宋"/>
          <w:b/>
          <w:color w:val="auto"/>
          <w:w w:val="80"/>
          <w:sz w:val="36"/>
          <w:szCs w:val="36"/>
          <w:highlight w:val="none"/>
        </w:rPr>
        <w:t>第五章  合同授予</w:t>
      </w:r>
      <w:bookmarkEnd w:id="5"/>
    </w:p>
    <w:p>
      <w:pPr>
        <w:snapToGrid w:val="0"/>
        <w:spacing w:line="420" w:lineRule="exact"/>
        <w:ind w:firstLine="573"/>
        <w:rPr>
          <w:rFonts w:hint="eastAsia" w:ascii="仿宋" w:hAnsi="仿宋" w:eastAsia="仿宋" w:cs="仿宋"/>
          <w:color w:val="auto"/>
          <w:sz w:val="24"/>
          <w:szCs w:val="24"/>
          <w:highlight w:val="none"/>
        </w:rPr>
      </w:pPr>
      <w:bookmarkStart w:id="6" w:name="_Toc94585343"/>
      <w:bookmarkStart w:id="7" w:name="_Toc363573858"/>
      <w:r>
        <w:rPr>
          <w:rFonts w:hint="eastAsia" w:ascii="仿宋" w:hAnsi="仿宋" w:eastAsia="仿宋" w:cs="仿宋"/>
          <w:color w:val="auto"/>
          <w:sz w:val="24"/>
          <w:szCs w:val="24"/>
          <w:highlight w:val="none"/>
        </w:rPr>
        <w:t>一、成交人在接到招标采购单位的《成交通知书》后</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成交供应商的履约保证金须在采购单位通知发中标通知书之日起3个工作日内汇入采购人账户，成交供应商凭“中标通知书”和已经汇至采购人账上的“履约保证金”凭证，</w:t>
      </w:r>
      <w:r>
        <w:rPr>
          <w:rFonts w:hint="eastAsia" w:ascii="仿宋" w:hAnsi="仿宋" w:eastAsia="仿宋" w:cs="仿宋"/>
          <w:bCs/>
          <w:color w:val="auto"/>
          <w:sz w:val="24"/>
          <w:szCs w:val="24"/>
          <w:highlight w:val="none"/>
          <w:lang w:val="en-US" w:eastAsia="zh-CN"/>
        </w:rPr>
        <w:t>采购人和成交供应商应当在投标有效期内以及中标通知书发出之日起30天内</w:t>
      </w:r>
      <w:r>
        <w:rPr>
          <w:rFonts w:hint="eastAsia" w:ascii="仿宋" w:hAnsi="仿宋" w:eastAsia="仿宋" w:cs="仿宋"/>
          <w:color w:val="auto"/>
          <w:sz w:val="24"/>
          <w:szCs w:val="24"/>
          <w:highlight w:val="none"/>
        </w:rPr>
        <w:t>与采购人签订采购合同</w:t>
      </w:r>
      <w:r>
        <w:rPr>
          <w:rFonts w:hint="eastAsia" w:ascii="仿宋" w:hAnsi="仿宋" w:eastAsia="仿宋" w:cs="仿宋"/>
          <w:color w:val="auto"/>
          <w:kern w:val="0"/>
          <w:sz w:val="24"/>
          <w:szCs w:val="24"/>
          <w:highlight w:val="none"/>
        </w:rPr>
        <w:t>（一式陆份，采购人肆份、成交人两份。）</w:t>
      </w:r>
      <w:r>
        <w:rPr>
          <w:rFonts w:hint="eastAsia" w:ascii="仿宋" w:hAnsi="仿宋" w:eastAsia="仿宋" w:cs="仿宋"/>
          <w:color w:val="auto"/>
          <w:sz w:val="24"/>
          <w:szCs w:val="24"/>
          <w:highlight w:val="none"/>
        </w:rPr>
        <w:t>，所签合同不得对询价文件作实质性修改，由此给采购人造成损失的，成交人还应承担赔偿责任。采购人不得向成交人提出不合理的要求作为签订合同的条件，不得与成交人私下订立背离询价文件实质性内容的协议。</w:t>
      </w:r>
    </w:p>
    <w:p>
      <w:pPr>
        <w:snapToGrid w:val="0"/>
        <w:spacing w:line="42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二、询价文件、成交人的询价响应文件及询价评审比选过程中的有关书面澄清、承诺等均应作为合同附件，具有同等的法律效力。</w:t>
      </w:r>
    </w:p>
    <w:p>
      <w:pPr>
        <w:snapToGrid w:val="0"/>
        <w:spacing w:line="42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三、成交人不得采用转包、分包的形式履行合同，否则，采购人有权终止合同，造成采购人损失的，成交人应承担相应赔偿责任。</w:t>
      </w:r>
    </w:p>
    <w:p>
      <w:pPr>
        <w:snapToGrid w:val="0"/>
        <w:spacing w:line="420" w:lineRule="exact"/>
        <w:ind w:firstLine="573"/>
        <w:rPr>
          <w:rFonts w:hint="eastAsia" w:ascii="仿宋" w:hAnsi="仿宋" w:eastAsia="仿宋" w:cs="仿宋"/>
          <w:color w:val="auto"/>
          <w:sz w:val="24"/>
          <w:szCs w:val="24"/>
          <w:highlight w:val="none"/>
        </w:rPr>
      </w:pPr>
    </w:p>
    <w:p>
      <w:pPr>
        <w:snapToGrid w:val="0"/>
        <w:spacing w:line="420" w:lineRule="exact"/>
        <w:ind w:firstLine="573"/>
        <w:rPr>
          <w:rFonts w:hint="eastAsia" w:ascii="仿宋" w:hAnsi="仿宋" w:eastAsia="仿宋" w:cs="仿宋"/>
          <w:color w:val="auto"/>
          <w:sz w:val="24"/>
          <w:szCs w:val="24"/>
          <w:highlight w:val="none"/>
        </w:rPr>
      </w:pPr>
    </w:p>
    <w:p>
      <w:pPr>
        <w:tabs>
          <w:tab w:val="left" w:pos="1050"/>
          <w:tab w:val="right" w:leader="dot" w:pos="9402"/>
        </w:tabs>
        <w:spacing w:beforeLines="100" w:line="600" w:lineRule="exact"/>
        <w:jc w:val="center"/>
        <w:outlineLvl w:val="0"/>
        <w:rPr>
          <w:rFonts w:hint="eastAsia" w:ascii="仿宋" w:hAnsi="仿宋" w:eastAsia="仿宋" w:cs="仿宋"/>
          <w:b/>
          <w:color w:val="auto"/>
          <w:w w:val="80"/>
          <w:sz w:val="36"/>
          <w:szCs w:val="36"/>
          <w:highlight w:val="none"/>
        </w:rPr>
      </w:pPr>
      <w:r>
        <w:rPr>
          <w:rFonts w:hint="eastAsia" w:ascii="仿宋" w:hAnsi="仿宋" w:eastAsia="仿宋" w:cs="仿宋"/>
          <w:b/>
          <w:color w:val="auto"/>
          <w:w w:val="80"/>
          <w:sz w:val="36"/>
          <w:szCs w:val="36"/>
          <w:highlight w:val="none"/>
        </w:rPr>
        <w:t xml:space="preserve">第六章  </w:t>
      </w:r>
      <w:bookmarkEnd w:id="6"/>
      <w:r>
        <w:rPr>
          <w:rFonts w:hint="eastAsia" w:ascii="仿宋" w:hAnsi="仿宋" w:eastAsia="仿宋" w:cs="仿宋"/>
          <w:b/>
          <w:color w:val="auto"/>
          <w:w w:val="80"/>
          <w:sz w:val="36"/>
          <w:szCs w:val="36"/>
          <w:highlight w:val="none"/>
        </w:rPr>
        <w:t>履约及付款</w:t>
      </w:r>
      <w:bookmarkEnd w:id="7"/>
    </w:p>
    <w:p>
      <w:pPr>
        <w:snapToGrid w:val="0"/>
        <w:spacing w:line="420" w:lineRule="exact"/>
        <w:ind w:firstLine="573"/>
        <w:rPr>
          <w:rFonts w:hint="eastAsia" w:ascii="仿宋" w:hAnsi="仿宋" w:eastAsia="仿宋" w:cs="仿宋"/>
          <w:color w:val="auto"/>
          <w:sz w:val="24"/>
          <w:szCs w:val="24"/>
          <w:highlight w:val="none"/>
        </w:rPr>
      </w:pPr>
      <w:bookmarkStart w:id="8" w:name="_Toc363573859"/>
      <w:r>
        <w:rPr>
          <w:rFonts w:hint="eastAsia" w:ascii="仿宋" w:hAnsi="仿宋" w:eastAsia="仿宋" w:cs="仿宋"/>
          <w:color w:val="auto"/>
          <w:sz w:val="24"/>
          <w:szCs w:val="24"/>
          <w:highlight w:val="none"/>
        </w:rPr>
        <w:t>一、采购人和成交人应相互配合，按采购合同约定积极供货。</w:t>
      </w:r>
    </w:p>
    <w:p>
      <w:pPr>
        <w:snapToGrid w:val="0"/>
        <w:spacing w:line="42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二、采购人、成交人不按采购合同规定履约，出现违约情形，应当及时纠正或补偿，造成损失的，按合同约定追究违约责任。</w:t>
      </w:r>
    </w:p>
    <w:p>
      <w:pPr>
        <w:snapToGrid w:val="0"/>
        <w:spacing w:line="42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三、按双方合同的约定，及时支付货款。</w:t>
      </w:r>
    </w:p>
    <w:p>
      <w:pPr>
        <w:snapToGrid w:val="0"/>
        <w:spacing w:line="420" w:lineRule="exact"/>
        <w:ind w:firstLine="573"/>
        <w:rPr>
          <w:rFonts w:hint="eastAsia" w:ascii="仿宋" w:hAnsi="仿宋" w:eastAsia="仿宋" w:cs="仿宋"/>
          <w:color w:val="auto"/>
          <w:sz w:val="24"/>
          <w:szCs w:val="24"/>
          <w:highlight w:val="none"/>
        </w:rPr>
      </w:pPr>
    </w:p>
    <w:p>
      <w:pPr>
        <w:snapToGrid w:val="0"/>
        <w:spacing w:line="420" w:lineRule="exact"/>
        <w:ind w:firstLine="573"/>
        <w:rPr>
          <w:rFonts w:hint="eastAsia" w:ascii="仿宋" w:hAnsi="仿宋" w:eastAsia="仿宋" w:cs="仿宋"/>
          <w:color w:val="auto"/>
          <w:sz w:val="24"/>
          <w:szCs w:val="24"/>
          <w:highlight w:val="none"/>
        </w:rPr>
      </w:pPr>
    </w:p>
    <w:p>
      <w:pPr>
        <w:pStyle w:val="37"/>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37"/>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tabs>
          <w:tab w:val="left" w:pos="1050"/>
          <w:tab w:val="right" w:leader="dot" w:pos="9402"/>
        </w:tabs>
        <w:spacing w:beforeLines="100" w:line="600" w:lineRule="exact"/>
        <w:ind w:firstLine="3473" w:firstLineChars="1200"/>
        <w:outlineLvl w:val="0"/>
        <w:rPr>
          <w:rFonts w:hint="eastAsia" w:ascii="仿宋" w:hAnsi="仿宋" w:eastAsia="仿宋" w:cs="仿宋"/>
          <w:b/>
          <w:color w:val="auto"/>
          <w:w w:val="80"/>
          <w:sz w:val="36"/>
          <w:szCs w:val="36"/>
          <w:highlight w:val="none"/>
        </w:rPr>
      </w:pPr>
      <w:r>
        <w:rPr>
          <w:rFonts w:hint="eastAsia" w:ascii="仿宋" w:hAnsi="仿宋" w:eastAsia="仿宋" w:cs="仿宋"/>
          <w:b/>
          <w:color w:val="auto"/>
          <w:w w:val="80"/>
          <w:sz w:val="36"/>
          <w:szCs w:val="36"/>
          <w:highlight w:val="none"/>
        </w:rPr>
        <w:t xml:space="preserve">第七章  </w:t>
      </w:r>
      <w:r>
        <w:rPr>
          <w:rFonts w:hint="eastAsia" w:ascii="仿宋" w:hAnsi="仿宋" w:eastAsia="仿宋" w:cs="仿宋"/>
          <w:b/>
          <w:color w:val="auto"/>
          <w:w w:val="80"/>
          <w:sz w:val="36"/>
          <w:szCs w:val="36"/>
          <w:highlight w:val="none"/>
          <w:lang w:eastAsia="zh-CN"/>
        </w:rPr>
        <w:t>异议</w:t>
      </w:r>
      <w:r>
        <w:rPr>
          <w:rFonts w:hint="eastAsia" w:ascii="仿宋" w:hAnsi="仿宋" w:eastAsia="仿宋" w:cs="仿宋"/>
          <w:b/>
          <w:color w:val="auto"/>
          <w:w w:val="80"/>
          <w:sz w:val="36"/>
          <w:szCs w:val="36"/>
          <w:highlight w:val="none"/>
        </w:rPr>
        <w:t>与投诉</w:t>
      </w:r>
      <w:bookmarkEnd w:id="8"/>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异议</w:t>
      </w:r>
      <w:r>
        <w:rPr>
          <w:rFonts w:hint="eastAsia" w:ascii="仿宋" w:hAnsi="仿宋" w:eastAsia="仿宋" w:cs="仿宋"/>
          <w:b/>
          <w:color w:val="auto"/>
          <w:sz w:val="24"/>
          <w:szCs w:val="24"/>
          <w:highlight w:val="none"/>
        </w:rPr>
        <w:t>的提出</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供应商认为采购文件、采购过程、成交结果使自己的权益受到损害的，可以在知道或者应知其权益受到损害之日起7个工作日内，以书面形式向采购人、采购单位提出</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1.取得询价文件的供应商应根据招标文件第二章 “</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须知”中“第一条第4款”的约定提出询问或疑问，询价响应文件接收截止后未进行询价响应登记的供应商，不能就询价响应文件接收截止后的询价响应评审比选过程、成交结果提出</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6"/>
          <w:szCs w:val="20"/>
          <w:highlight w:val="none"/>
        </w:rPr>
        <w:t>对</w:t>
      </w:r>
      <w:r>
        <w:rPr>
          <w:rFonts w:hint="eastAsia" w:ascii="仿宋" w:hAnsi="仿宋" w:eastAsia="仿宋" w:cs="仿宋"/>
          <w:color w:val="auto"/>
          <w:kern w:val="0"/>
          <w:sz w:val="24"/>
          <w:szCs w:val="24"/>
          <w:highlight w:val="none"/>
        </w:rPr>
        <w:t>采购过程、成交结果提出</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的，必须是直接参加本次询价采购活动的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即当事人（以下称</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3.在询价响应评审比选过程中，凡主持人或询价小组明确提出须由</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人确认的事项，</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人当场无异议的，事后不得提出</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、投诉。</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4.提出</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时，必须坚持“谁主张，谁举证”、“实事求是”的原则，不能臆测。属于须由法定部门调查、侦查或先行作出相关认定的事项，</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人应当依法申请具有法定职权的部门查清、认定，并将相关结果提供给采购单位。招标采购单位不具有法定调查、认定的权限。</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5.对本次询价采购活动有</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的，须实名制以书面形式提出，不得进行匿名、虚假、恶意</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人应在</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有效期内以书面形式提出《</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函》，内容应包括</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事项、主要内容、事实依据、适应法规条款、佐证材料等。同时，</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人应保证其提出的</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内容及相关佐证材料的真实性及来源的合法性，并承担相应的法律责任。</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（2）对不能提供相关佐证材料的、涉及商业秘密的、非书面形式的、非送达的、匿名的《</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函》视作无效</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，将不予受理。</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（3）相关佐证材料要具备客观性、关联性、合法性，无法查实的（如宣传册、媒体报道、猜测、推理等）不能作为佐证材料。</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6.招标采购单位不负责搜集相关佐证材料等工作。</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异议</w:t>
      </w:r>
      <w:r>
        <w:rPr>
          <w:rFonts w:hint="eastAsia" w:ascii="仿宋" w:hAnsi="仿宋" w:eastAsia="仿宋" w:cs="仿宋"/>
          <w:b/>
          <w:color w:val="auto"/>
          <w:sz w:val="24"/>
          <w:szCs w:val="24"/>
          <w:highlight w:val="none"/>
        </w:rPr>
        <w:t>函》的受理和回复</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函》须由</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人的法定代表人或参加本次项目被委托授权人送达招标采购单位。</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2、对符合提出</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要求的，招标人签收并出具《</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受理通知书》并在7个工作日内以书面形式答复</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人。在处理过程中，发现需要</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人进一步补充相关佐证材料的，请</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人在规定的时间内提供，</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答复时间相应顺延。</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人不能按时提供相关佐证材料的，视同放弃</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3、对不符合提出</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要求的《</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函》，出具《</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退回通知书》并提出相关补充材料要求，</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人未在规定时间内提供补充佐证材料的，视同放弃</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4、招标人负责将</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人提交的</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相关材料提供给相关专家或评标小组审核，并将审核意见回复</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必要时，可向被</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供应商（以下称被</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人）转发《</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函》及相关佐证材料。被</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人应当在要求的时间日期内，以书面形式作出说明回复，并提交相关证据。被</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人在规定时间内，无正当理由未提交相关证据的，视同放弃说明权利，认可被</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事项。</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5、因</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情况复杂，组织论证或审查时间较长的，招标人以书面形式通知</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人，可适当延长</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回复处理时间。</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eastAsia="zh-CN"/>
        </w:rPr>
        <w:t>异议</w:t>
      </w:r>
      <w:r>
        <w:rPr>
          <w:rFonts w:hint="eastAsia" w:ascii="仿宋" w:hAnsi="仿宋" w:eastAsia="仿宋" w:cs="仿宋"/>
          <w:b/>
          <w:color w:val="auto"/>
          <w:sz w:val="24"/>
          <w:szCs w:val="24"/>
          <w:highlight w:val="none"/>
        </w:rPr>
        <w:t>处理</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成立的处理。招标人终止采购，并建议有关部门给相关当事人予以处理。</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不成立的处理：</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人书面《申请撤回</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函》。</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人在规定的时间内不配合进行</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调查处理的，按自动撤回《</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函》处理。</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人不按《</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函》格式就提出</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的，视情列入不良供应商名单。</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人不能提供相关佐证材料的，招标人已指出，</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人仍然坚持提出</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人虽提供了相关佐证材料，但不能证明其</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成立的，招标人请</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人补充相关佐证材料，仍不能证明其</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成立的，列入不良供应商名单。</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（5）对明显有违背事实的、经相关专家或评委认定无依据的、经其他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举证无依据的</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，列入不良供应商名单；同时，对其中每一项不成立的</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给予</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人1年内禁入崇川区采购活动的处理，依次类推；视情在中国崇川网</w:t>
      </w:r>
      <w:r>
        <w:rPr>
          <w:rFonts w:hint="eastAsia" w:ascii="仿宋" w:hAnsi="仿宋" w:eastAsia="仿宋" w:cs="仿宋"/>
          <w:color w:val="auto"/>
          <w:kern w:val="0"/>
          <w:sz w:val="24"/>
          <w:szCs w:val="24"/>
          <w:highlight w:val="none"/>
          <w:lang w:val="en-US" w:eastAsia="zh-CN"/>
        </w:rPr>
        <w:t>等</w:t>
      </w:r>
      <w:r>
        <w:rPr>
          <w:rFonts w:hint="eastAsia" w:ascii="仿宋" w:hAnsi="仿宋" w:eastAsia="仿宋" w:cs="仿宋"/>
          <w:color w:val="auto"/>
          <w:kern w:val="0"/>
          <w:sz w:val="24"/>
          <w:szCs w:val="24"/>
          <w:highlight w:val="none"/>
        </w:rPr>
        <w:t>相关媒体予以披露。</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人承担使用虚假材料或恶意方式</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的法律责任。</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四、无佐证材料的举报作违约处理</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人不得以不提供相关佐证材料（含无法查实的如宣传册、媒体报道、猜测、推理等）而向有关部门举报，否则会带来在1至3年内禁入崇川区采购活动的后果。</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五、投诉的提出</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人对招标采购人的答复不满意或者招标采购人未在规定的时间内做出答复的，可以在答复期满后15个工作日内向采购人单位的上级主管部门投诉。</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六、投诉不成立的作违约处理</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人进行</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后，招标人回复</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事项不成立仍进行投诉，但最终投诉不成立的，在1至3年内禁入崇川区采购活动。</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w:t>
      </w:r>
      <w:r>
        <w:rPr>
          <w:rFonts w:hint="eastAsia" w:ascii="仿宋" w:hAnsi="仿宋" w:eastAsia="仿宋" w:cs="仿宋"/>
          <w:b/>
          <w:color w:val="auto"/>
          <w:sz w:val="24"/>
          <w:szCs w:val="24"/>
          <w:highlight w:val="none"/>
          <w:lang w:eastAsia="zh-CN"/>
        </w:rPr>
        <w:t>异议</w:t>
      </w:r>
      <w:r>
        <w:rPr>
          <w:rFonts w:hint="eastAsia" w:ascii="仿宋" w:hAnsi="仿宋" w:eastAsia="仿宋" w:cs="仿宋"/>
          <w:b/>
          <w:color w:val="auto"/>
          <w:sz w:val="24"/>
          <w:szCs w:val="24"/>
          <w:highlight w:val="none"/>
        </w:rPr>
        <w:t>、举报、投诉不成立的等相关情况</w:t>
      </w:r>
    </w:p>
    <w:p>
      <w:pPr>
        <w:snapToGrid w:val="0"/>
        <w:spacing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函》、《</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回复函》，</w:t>
      </w:r>
      <w:r>
        <w:rPr>
          <w:rFonts w:hint="eastAsia" w:ascii="仿宋" w:hAnsi="仿宋" w:eastAsia="仿宋" w:cs="仿宋"/>
          <w:color w:val="auto"/>
          <w:kern w:val="0"/>
          <w:sz w:val="24"/>
          <w:szCs w:val="24"/>
          <w:highlight w:val="none"/>
          <w:lang w:eastAsia="zh-CN"/>
        </w:rPr>
        <w:t>异议</w:t>
      </w:r>
      <w:r>
        <w:rPr>
          <w:rFonts w:hint="eastAsia" w:ascii="仿宋" w:hAnsi="仿宋" w:eastAsia="仿宋" w:cs="仿宋"/>
          <w:color w:val="auto"/>
          <w:kern w:val="0"/>
          <w:sz w:val="24"/>
          <w:szCs w:val="24"/>
          <w:highlight w:val="none"/>
        </w:rPr>
        <w:t>、投诉、举报不成立等相关情况，视情在中国崇川网等相关媒体予以披露</w:t>
      </w:r>
      <w:bookmarkStart w:id="9" w:name="_Toc363573860"/>
      <w:r>
        <w:rPr>
          <w:rFonts w:hint="eastAsia" w:ascii="仿宋" w:hAnsi="仿宋" w:eastAsia="仿宋" w:cs="仿宋"/>
          <w:color w:val="auto"/>
          <w:kern w:val="0"/>
          <w:sz w:val="24"/>
          <w:szCs w:val="24"/>
          <w:highlight w:val="none"/>
        </w:rPr>
        <w:t>并建议</w:t>
      </w:r>
      <w:r>
        <w:rPr>
          <w:rFonts w:hint="eastAsia" w:ascii="仿宋" w:hAnsi="仿宋" w:eastAsia="仿宋" w:cs="仿宋"/>
          <w:color w:val="auto"/>
          <w:kern w:val="0"/>
          <w:sz w:val="24"/>
          <w:szCs w:val="24"/>
          <w:highlight w:val="none"/>
          <w:lang w:val="en-US" w:eastAsia="zh-CN"/>
        </w:rPr>
        <w:t>相关</w:t>
      </w:r>
      <w:r>
        <w:rPr>
          <w:rFonts w:hint="eastAsia" w:ascii="仿宋" w:hAnsi="仿宋" w:eastAsia="仿宋" w:cs="仿宋"/>
          <w:color w:val="auto"/>
          <w:kern w:val="0"/>
          <w:sz w:val="24"/>
          <w:szCs w:val="24"/>
          <w:highlight w:val="none"/>
        </w:rPr>
        <w:t>采购财政监管部门对该供应商实施3年内禁入采购活动市场的行政处罚，同时列入失信名单。</w:t>
      </w:r>
    </w:p>
    <w:p>
      <w:pPr>
        <w:tabs>
          <w:tab w:val="left" w:pos="1050"/>
          <w:tab w:val="right" w:leader="dot" w:pos="9402"/>
        </w:tabs>
        <w:spacing w:beforeLines="100" w:line="600" w:lineRule="exact"/>
        <w:jc w:val="center"/>
        <w:outlineLvl w:val="0"/>
        <w:rPr>
          <w:rFonts w:hint="eastAsia" w:ascii="仿宋" w:hAnsi="仿宋" w:eastAsia="仿宋" w:cs="仿宋"/>
          <w:b/>
          <w:color w:val="auto"/>
          <w:w w:val="80"/>
          <w:sz w:val="36"/>
          <w:szCs w:val="36"/>
          <w:highlight w:val="none"/>
        </w:rPr>
      </w:pPr>
      <w:r>
        <w:rPr>
          <w:rFonts w:hint="eastAsia" w:ascii="仿宋" w:hAnsi="仿宋" w:eastAsia="仿宋" w:cs="仿宋"/>
          <w:b/>
          <w:color w:val="auto"/>
          <w:w w:val="80"/>
          <w:sz w:val="36"/>
          <w:szCs w:val="36"/>
          <w:highlight w:val="none"/>
        </w:rPr>
        <w:br w:type="page"/>
      </w:r>
      <w:r>
        <w:rPr>
          <w:rFonts w:hint="eastAsia" w:ascii="仿宋" w:hAnsi="仿宋" w:eastAsia="仿宋" w:cs="仿宋"/>
          <w:b/>
          <w:color w:val="auto"/>
          <w:w w:val="80"/>
          <w:sz w:val="36"/>
          <w:szCs w:val="36"/>
          <w:highlight w:val="none"/>
        </w:rPr>
        <w:t>第八章  询价响应文件组成及格式</w:t>
      </w:r>
      <w:bookmarkEnd w:id="9"/>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一、询价响应文件目录</w:t>
      </w:r>
    </w:p>
    <w:p>
      <w:pPr>
        <w:spacing w:line="42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1.A资格后审材料文件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thick" w:color="FF0000"/>
        </w:rPr>
        <w:t>一个密封包，内含：1正2副文件。</w:t>
      </w:r>
      <w:r>
        <w:rPr>
          <w:rFonts w:hint="eastAsia" w:ascii="仿宋" w:hAnsi="仿宋" w:eastAsia="仿宋" w:cs="仿宋"/>
          <w:color w:val="auto"/>
          <w:sz w:val="24"/>
          <w:szCs w:val="24"/>
          <w:highlight w:val="none"/>
        </w:rPr>
        <w:t>）</w:t>
      </w:r>
    </w:p>
    <w:p>
      <w:pP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2.B商务询价响应文件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thick" w:color="FF0000"/>
        </w:rPr>
        <w:t>一个密封包，内含：1正2副文件。</w:t>
      </w:r>
      <w:r>
        <w:rPr>
          <w:rFonts w:hint="eastAsia" w:ascii="仿宋" w:hAnsi="仿宋" w:eastAsia="仿宋" w:cs="仿宋"/>
          <w:color w:val="auto"/>
          <w:sz w:val="24"/>
          <w:szCs w:val="24"/>
          <w:highlight w:val="none"/>
        </w:rPr>
        <w:t>）</w:t>
      </w: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二、询价响应文件封面范例</w:t>
      </w:r>
    </w:p>
    <w:p>
      <w:pPr>
        <w:spacing w:beforeLines="50" w:afterLines="50" w:line="600" w:lineRule="exact"/>
        <w:jc w:val="center"/>
        <w:rPr>
          <w:rFonts w:hint="eastAsia" w:ascii="仿宋" w:hAnsi="仿宋" w:eastAsia="仿宋" w:cs="仿宋"/>
          <w:color w:val="auto"/>
          <w:sz w:val="30"/>
          <w:szCs w:val="30"/>
          <w:highlight w:val="none"/>
        </w:rPr>
      </w:pPr>
    </w:p>
    <w:p>
      <w:pPr>
        <w:spacing w:beforeLines="50" w:afterLines="50" w:line="600" w:lineRule="exact"/>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2"/>
          <w:szCs w:val="32"/>
          <w:highlight w:val="none"/>
          <w:lang w:eastAsia="zh-CN"/>
        </w:rPr>
        <w:t>南通兴环环境卫生服务有限公司2023年车用辅助油采购项目</w:t>
      </w:r>
    </w:p>
    <w:p>
      <w:pPr>
        <w:spacing w:beforeLines="50" w:afterLines="50" w:line="600" w:lineRule="exact"/>
        <w:jc w:val="center"/>
        <w:rPr>
          <w:rFonts w:hint="eastAsia" w:ascii="仿宋" w:hAnsi="仿宋" w:eastAsia="仿宋" w:cs="仿宋"/>
          <w:color w:val="auto"/>
          <w:sz w:val="30"/>
          <w:szCs w:val="30"/>
          <w:highlight w:val="none"/>
        </w:rPr>
      </w:pPr>
    </w:p>
    <w:p>
      <w:pPr>
        <w:spacing w:line="60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询价响应文件</w:t>
      </w:r>
    </w:p>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对应询价响应文件，在该处分别相应填写：资格后审材料文件</w:t>
      </w:r>
    </w:p>
    <w:p>
      <w:pPr>
        <w:spacing w:line="420" w:lineRule="exact"/>
        <w:ind w:firstLine="6136" w:firstLineChars="255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商务询价响应文件</w:t>
      </w:r>
    </w:p>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（资格后审）</w:t>
      </w:r>
    </w:p>
    <w:p>
      <w:pPr>
        <w:spacing w:line="420" w:lineRule="exact"/>
        <w:jc w:val="center"/>
        <w:rPr>
          <w:rFonts w:hint="eastAsia" w:ascii="仿宋" w:hAnsi="仿宋" w:eastAsia="仿宋" w:cs="仿宋"/>
          <w:bCs/>
          <w:color w:val="auto"/>
          <w:spacing w:val="20"/>
          <w:sz w:val="24"/>
          <w:szCs w:val="24"/>
          <w:highlight w:val="none"/>
        </w:rPr>
      </w:pPr>
      <w:r>
        <w:rPr>
          <w:rFonts w:hint="eastAsia" w:ascii="仿宋" w:hAnsi="仿宋" w:eastAsia="仿宋" w:cs="仿宋"/>
          <w:color w:val="auto"/>
          <w:sz w:val="24"/>
          <w:szCs w:val="24"/>
          <w:highlight w:val="none"/>
        </w:rPr>
        <w:t>项目编号：</w:t>
      </w:r>
    </w:p>
    <w:p>
      <w:pPr>
        <w:snapToGrid w:val="0"/>
        <w:spacing w:line="420" w:lineRule="exact"/>
        <w:jc w:val="center"/>
        <w:rPr>
          <w:rFonts w:hint="eastAsia" w:ascii="仿宋" w:hAnsi="仿宋" w:eastAsia="仿宋" w:cs="仿宋"/>
          <w:b/>
          <w:bCs/>
          <w:color w:val="auto"/>
          <w:spacing w:val="20"/>
          <w:sz w:val="24"/>
          <w:szCs w:val="24"/>
          <w:highlight w:val="none"/>
        </w:rPr>
      </w:pPr>
    </w:p>
    <w:p>
      <w:pPr>
        <w:snapToGrid w:val="0"/>
        <w:spacing w:line="420" w:lineRule="exact"/>
        <w:jc w:val="center"/>
        <w:rPr>
          <w:rFonts w:hint="eastAsia" w:ascii="仿宋" w:hAnsi="仿宋" w:eastAsia="仿宋" w:cs="仿宋"/>
          <w:b/>
          <w:bCs/>
          <w:color w:val="auto"/>
          <w:spacing w:val="20"/>
          <w:sz w:val="24"/>
          <w:szCs w:val="24"/>
          <w:highlight w:val="none"/>
        </w:rPr>
      </w:pPr>
    </w:p>
    <w:p>
      <w:pPr>
        <w:snapToGrid w:val="0"/>
        <w:spacing w:line="420" w:lineRule="exact"/>
        <w:jc w:val="center"/>
        <w:rPr>
          <w:rFonts w:hint="eastAsia" w:ascii="仿宋" w:hAnsi="仿宋" w:eastAsia="仿宋" w:cs="仿宋"/>
          <w:b/>
          <w:bCs/>
          <w:color w:val="auto"/>
          <w:spacing w:val="20"/>
          <w:sz w:val="24"/>
          <w:szCs w:val="24"/>
          <w:highlight w:val="none"/>
        </w:rPr>
      </w:pPr>
    </w:p>
    <w:p>
      <w:pPr>
        <w:snapToGrid w:val="0"/>
        <w:spacing w:line="420" w:lineRule="exact"/>
        <w:jc w:val="center"/>
        <w:rPr>
          <w:rFonts w:hint="eastAsia" w:ascii="仿宋" w:hAnsi="仿宋" w:eastAsia="仿宋" w:cs="仿宋"/>
          <w:b/>
          <w:bCs/>
          <w:color w:val="auto"/>
          <w:spacing w:val="20"/>
          <w:sz w:val="24"/>
          <w:szCs w:val="24"/>
          <w:highlight w:val="none"/>
        </w:rPr>
      </w:pPr>
    </w:p>
    <w:p>
      <w:pPr>
        <w:snapToGrid w:val="0"/>
        <w:spacing w:line="420" w:lineRule="exact"/>
        <w:jc w:val="center"/>
        <w:rPr>
          <w:rFonts w:hint="eastAsia" w:ascii="仿宋" w:hAnsi="仿宋" w:eastAsia="仿宋" w:cs="仿宋"/>
          <w:b/>
          <w:bCs/>
          <w:color w:val="auto"/>
          <w:spacing w:val="20"/>
          <w:sz w:val="24"/>
          <w:szCs w:val="24"/>
          <w:highlight w:val="none"/>
        </w:rPr>
      </w:pPr>
    </w:p>
    <w:p>
      <w:pPr>
        <w:snapToGrid w:val="0"/>
        <w:spacing w:line="420" w:lineRule="exact"/>
        <w:jc w:val="center"/>
        <w:rPr>
          <w:rFonts w:hint="eastAsia" w:ascii="仿宋" w:hAnsi="仿宋" w:eastAsia="仿宋" w:cs="仿宋"/>
          <w:b/>
          <w:bCs/>
          <w:color w:val="auto"/>
          <w:spacing w:val="20"/>
          <w:sz w:val="24"/>
          <w:szCs w:val="24"/>
          <w:highlight w:val="none"/>
        </w:rPr>
      </w:pPr>
    </w:p>
    <w:p>
      <w:pPr>
        <w:snapToGrid w:val="0"/>
        <w:spacing w:line="420" w:lineRule="exact"/>
        <w:jc w:val="center"/>
        <w:rPr>
          <w:rFonts w:hint="eastAsia" w:ascii="仿宋" w:hAnsi="仿宋" w:eastAsia="仿宋" w:cs="仿宋"/>
          <w:b/>
          <w:bCs/>
          <w:color w:val="auto"/>
          <w:spacing w:val="20"/>
          <w:sz w:val="24"/>
          <w:szCs w:val="24"/>
          <w:highlight w:val="none"/>
        </w:rPr>
      </w:pPr>
    </w:p>
    <w:p>
      <w:pPr>
        <w:snapToGrid w:val="0"/>
        <w:spacing w:line="420" w:lineRule="exact"/>
        <w:jc w:val="center"/>
        <w:rPr>
          <w:rFonts w:hint="eastAsia" w:ascii="仿宋" w:hAnsi="仿宋" w:eastAsia="仿宋" w:cs="仿宋"/>
          <w:b/>
          <w:bCs/>
          <w:color w:val="auto"/>
          <w:spacing w:val="20"/>
          <w:sz w:val="24"/>
          <w:szCs w:val="24"/>
          <w:highlight w:val="none"/>
        </w:rPr>
      </w:pPr>
    </w:p>
    <w:p>
      <w:pPr>
        <w:snapToGrid w:val="0"/>
        <w:spacing w:line="420" w:lineRule="exact"/>
        <w:jc w:val="center"/>
        <w:rPr>
          <w:rFonts w:hint="eastAsia" w:ascii="仿宋" w:hAnsi="仿宋" w:eastAsia="仿宋" w:cs="仿宋"/>
          <w:b/>
          <w:bCs/>
          <w:color w:val="auto"/>
          <w:spacing w:val="20"/>
          <w:sz w:val="24"/>
          <w:szCs w:val="24"/>
          <w:highlight w:val="none"/>
        </w:rPr>
      </w:pPr>
    </w:p>
    <w:p>
      <w:pPr>
        <w:snapToGrid w:val="0"/>
        <w:spacing w:line="420" w:lineRule="exact"/>
        <w:jc w:val="center"/>
        <w:rPr>
          <w:rFonts w:hint="eastAsia" w:ascii="仿宋" w:hAnsi="仿宋" w:eastAsia="仿宋" w:cs="仿宋"/>
          <w:b/>
          <w:bCs/>
          <w:color w:val="auto"/>
          <w:spacing w:val="20"/>
          <w:sz w:val="24"/>
          <w:szCs w:val="24"/>
          <w:highlight w:val="none"/>
        </w:rPr>
      </w:pPr>
    </w:p>
    <w:p>
      <w:pPr>
        <w:snapToGrid w:val="0"/>
        <w:spacing w:line="420" w:lineRule="exact"/>
        <w:jc w:val="center"/>
        <w:rPr>
          <w:rFonts w:hint="eastAsia" w:ascii="仿宋" w:hAnsi="仿宋" w:eastAsia="仿宋" w:cs="仿宋"/>
          <w:b/>
          <w:bCs/>
          <w:color w:val="auto"/>
          <w:spacing w:val="20"/>
          <w:sz w:val="24"/>
          <w:szCs w:val="24"/>
          <w:highlight w:val="none"/>
        </w:rPr>
      </w:pPr>
    </w:p>
    <w:p>
      <w:pPr>
        <w:snapToGrid w:val="0"/>
        <w:spacing w:line="420" w:lineRule="exact"/>
        <w:jc w:val="center"/>
        <w:rPr>
          <w:rFonts w:hint="eastAsia" w:ascii="仿宋" w:hAnsi="仿宋" w:eastAsia="仿宋" w:cs="仿宋"/>
          <w:b/>
          <w:bCs/>
          <w:color w:val="auto"/>
          <w:spacing w:val="20"/>
          <w:sz w:val="24"/>
          <w:szCs w:val="24"/>
          <w:highlight w:val="none"/>
        </w:rPr>
      </w:pPr>
    </w:p>
    <w:p>
      <w:pPr>
        <w:adjustRightInd w:val="0"/>
        <w:snapToGrid w:val="0"/>
        <w:spacing w:line="420" w:lineRule="exact"/>
        <w:ind w:firstLine="2880" w:firstLineChars="1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供应商名称（公章）</w:t>
      </w:r>
      <w:r>
        <w:rPr>
          <w:rFonts w:hint="eastAsia" w:ascii="仿宋" w:hAnsi="仿宋" w:eastAsia="仿宋" w:cs="仿宋"/>
          <w:color w:val="auto"/>
          <w:sz w:val="24"/>
          <w:szCs w:val="24"/>
          <w:highlight w:val="none"/>
        </w:rPr>
        <w:t>：</w:t>
      </w:r>
    </w:p>
    <w:p>
      <w:pPr>
        <w:snapToGri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二○二</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年     月     日</w:t>
      </w:r>
    </w:p>
    <w:p>
      <w:pPr>
        <w:snapToGrid w:val="0"/>
        <w:spacing w:line="420" w:lineRule="exact"/>
        <w:jc w:val="center"/>
        <w:rPr>
          <w:rFonts w:hint="eastAsia" w:ascii="仿宋" w:hAnsi="仿宋" w:eastAsia="仿宋" w:cs="仿宋"/>
          <w:color w:val="auto"/>
          <w:sz w:val="24"/>
          <w:szCs w:val="24"/>
          <w:highlight w:val="none"/>
        </w:rPr>
      </w:pPr>
    </w:p>
    <w:p>
      <w:pPr>
        <w:snapToGrid w:val="0"/>
        <w:spacing w:line="420" w:lineRule="exact"/>
        <w:ind w:firstLine="482" w:firstLineChars="200"/>
        <w:outlineLvl w:val="1"/>
        <w:rPr>
          <w:rFonts w:hint="eastAsia" w:ascii="仿宋" w:hAnsi="仿宋" w:eastAsia="仿宋" w:cs="仿宋"/>
          <w:b/>
          <w:color w:val="auto"/>
          <w:sz w:val="24"/>
          <w:szCs w:val="24"/>
          <w:highlight w:val="none"/>
        </w:rPr>
      </w:pPr>
    </w:p>
    <w:p>
      <w:pPr>
        <w:snapToGrid w:val="0"/>
        <w:spacing w:line="420" w:lineRule="exact"/>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三、询价响应文件</w:t>
      </w:r>
    </w:p>
    <w:p>
      <w:pPr>
        <w:adjustRightInd w:val="0"/>
        <w:snapToGrid w:val="0"/>
        <w:spacing w:line="420" w:lineRule="exact"/>
        <w:ind w:firstLine="487" w:firstLineChars="202"/>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A、资格后审材料文件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thick" w:color="FF0000"/>
        </w:rPr>
        <w:t>一个密封包，内含：1正2副文件。</w:t>
      </w:r>
      <w:r>
        <w:rPr>
          <w:rFonts w:hint="eastAsia" w:ascii="仿宋" w:hAnsi="仿宋" w:eastAsia="仿宋" w:cs="仿宋"/>
          <w:color w:val="auto"/>
          <w:sz w:val="24"/>
          <w:szCs w:val="24"/>
          <w:highlight w:val="none"/>
        </w:rPr>
        <w:t>）</w:t>
      </w:r>
    </w:p>
    <w:p>
      <w:pPr>
        <w:snapToGrid w:val="0"/>
        <w:spacing w:line="420" w:lineRule="exact"/>
        <w:ind w:firstLine="487" w:firstLineChars="202"/>
        <w:jc w:val="left"/>
        <w:outlineLvl w:val="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A、目录</w:t>
      </w:r>
    </w:p>
    <w:tbl>
      <w:tblPr>
        <w:tblStyle w:val="4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1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blHeader/>
        </w:trPr>
        <w:tc>
          <w:tcPr>
            <w:tcW w:w="709"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513"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资格后审材料文件 清单</w:t>
            </w:r>
          </w:p>
        </w:tc>
        <w:tc>
          <w:tcPr>
            <w:tcW w:w="1417" w:type="dxa"/>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自行检查有否提供（√）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09" w:type="dxa"/>
            <w:vAlign w:val="center"/>
          </w:tcPr>
          <w:p>
            <w:pPr>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7513" w:type="dxa"/>
            <w:vAlign w:val="center"/>
          </w:tcPr>
          <w:p>
            <w:pPr>
              <w:spacing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提供有效的营业执照及税务登记证（或者是三证合一的营业执照）</w:t>
            </w:r>
            <w:r>
              <w:rPr>
                <w:rFonts w:hint="eastAsia" w:ascii="仿宋" w:hAnsi="仿宋" w:eastAsia="仿宋" w:cs="仿宋"/>
                <w:color w:val="auto"/>
                <w:sz w:val="24"/>
                <w:szCs w:val="24"/>
                <w:highlight w:val="none"/>
              </w:rPr>
              <w:t>。</w:t>
            </w:r>
          </w:p>
        </w:tc>
        <w:tc>
          <w:tcPr>
            <w:tcW w:w="1417" w:type="dxa"/>
            <w:vAlign w:val="center"/>
          </w:tcPr>
          <w:p>
            <w:pPr>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09" w:type="dxa"/>
            <w:vAlign w:val="center"/>
          </w:tcPr>
          <w:p>
            <w:pPr>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7513" w:type="dxa"/>
            <w:vAlign w:val="center"/>
          </w:tcPr>
          <w:p>
            <w:pPr>
              <w:spacing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法定代表人参加询价的，必须提供本人身份证原件的复印件（须加盖公章）；非法定代表人参加的，必须提供法定代表人身份证明及其签名或盖章的授权委托书这2项材料（须加盖公章）。</w:t>
            </w:r>
          </w:p>
        </w:tc>
        <w:tc>
          <w:tcPr>
            <w:tcW w:w="1417" w:type="dxa"/>
            <w:vAlign w:val="center"/>
          </w:tcPr>
          <w:p>
            <w:pPr>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9" w:type="dxa"/>
            <w:vAlign w:val="center"/>
          </w:tcPr>
          <w:p>
            <w:pPr>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7513" w:type="dxa"/>
            <w:vAlign w:val="center"/>
          </w:tcPr>
          <w:p>
            <w:pPr>
              <w:pStyle w:val="16"/>
              <w:numPr>
                <w:ilvl w:val="0"/>
                <w:numId w:val="0"/>
              </w:num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供应商提供符合相关资格条件的声明函</w:t>
            </w:r>
          </w:p>
        </w:tc>
        <w:tc>
          <w:tcPr>
            <w:tcW w:w="1417" w:type="dxa"/>
            <w:vAlign w:val="center"/>
          </w:tcPr>
          <w:p>
            <w:pPr>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09" w:type="dxa"/>
            <w:vAlign w:val="center"/>
          </w:tcPr>
          <w:p>
            <w:pPr>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7513" w:type="dxa"/>
            <w:vAlign w:val="center"/>
          </w:tcPr>
          <w:p>
            <w:pPr>
              <w:spacing w:line="42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还须提供关于资格文件的声明函（须加盖公章）。</w:t>
            </w:r>
          </w:p>
        </w:tc>
        <w:tc>
          <w:tcPr>
            <w:tcW w:w="1417" w:type="dxa"/>
            <w:vAlign w:val="center"/>
          </w:tcPr>
          <w:p>
            <w:pPr>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09" w:type="dxa"/>
            <w:vAlign w:val="center"/>
          </w:tcPr>
          <w:p>
            <w:pPr>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7513" w:type="dxa"/>
            <w:vAlign w:val="center"/>
          </w:tcPr>
          <w:p>
            <w:pPr>
              <w:spacing w:line="42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1"/>
                <w:highlight w:val="none"/>
                <w:lang w:val="en-US" w:eastAsia="zh-CN"/>
              </w:rPr>
              <w:t>响应供应商</w:t>
            </w:r>
            <w:r>
              <w:rPr>
                <w:rFonts w:hint="eastAsia" w:ascii="仿宋" w:hAnsi="仿宋" w:eastAsia="仿宋" w:cs="仿宋"/>
                <w:color w:val="auto"/>
                <w:sz w:val="24"/>
                <w:szCs w:val="21"/>
                <w:highlight w:val="none"/>
                <w:lang w:val="zh-CN"/>
              </w:rPr>
              <w:t>未被</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zh-CN"/>
              </w:rPr>
              <w:t>信用中国</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zh-CN"/>
              </w:rPr>
              <w:t>网站</w:t>
            </w:r>
            <w:r>
              <w:rPr>
                <w:rFonts w:hint="eastAsia" w:ascii="仿宋" w:hAnsi="仿宋" w:eastAsia="仿宋" w:cs="仿宋"/>
                <w:color w:val="auto"/>
                <w:sz w:val="24"/>
                <w:szCs w:val="21"/>
                <w:highlight w:val="none"/>
              </w:rPr>
              <w:t xml:space="preserve">(www.creditchina.gov.cn) </w:t>
            </w:r>
            <w:r>
              <w:rPr>
                <w:rFonts w:hint="eastAsia" w:ascii="仿宋" w:hAnsi="仿宋" w:eastAsia="仿宋" w:cs="仿宋"/>
                <w:color w:val="auto"/>
                <w:sz w:val="24"/>
                <w:szCs w:val="21"/>
                <w:highlight w:val="none"/>
                <w:lang w:val="zh-CN"/>
              </w:rPr>
              <w:t>列入失信被执行人、重大税收违法案件当事人名单列入采购严重违法失信行为记录名单（提供查询截图）</w:t>
            </w:r>
          </w:p>
        </w:tc>
        <w:tc>
          <w:tcPr>
            <w:tcW w:w="1417" w:type="dxa"/>
            <w:vAlign w:val="center"/>
          </w:tcPr>
          <w:p>
            <w:pPr>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09" w:type="dxa"/>
            <w:vAlign w:val="center"/>
          </w:tcPr>
          <w:p>
            <w:pPr>
              <w:spacing w:line="4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513" w:type="dxa"/>
            <w:vAlign w:val="center"/>
          </w:tcPr>
          <w:p>
            <w:pPr>
              <w:spacing w:line="420" w:lineRule="exac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4"/>
                <w:highlight w:val="none"/>
                <w:lang w:val="en-US" w:eastAsia="zh-CN"/>
              </w:rPr>
              <w:t>参与投标的供应商须为所投产品的制造商或代理商(或经销商)，须提供相应的佐证材料。</w:t>
            </w:r>
          </w:p>
        </w:tc>
        <w:tc>
          <w:tcPr>
            <w:tcW w:w="1417" w:type="dxa"/>
            <w:vAlign w:val="center"/>
          </w:tcPr>
          <w:p>
            <w:pPr>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09" w:type="dxa"/>
            <w:vAlign w:val="center"/>
          </w:tcPr>
          <w:p>
            <w:pPr>
              <w:spacing w:line="4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513" w:type="dxa"/>
            <w:vAlign w:val="center"/>
          </w:tcPr>
          <w:p>
            <w:pPr>
              <w:spacing w:line="420" w:lineRule="exact"/>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技术部分正负偏离表（按后附格式）</w:t>
            </w:r>
          </w:p>
        </w:tc>
        <w:tc>
          <w:tcPr>
            <w:tcW w:w="1417" w:type="dxa"/>
            <w:vAlign w:val="center"/>
          </w:tcPr>
          <w:p>
            <w:pPr>
              <w:spacing w:line="420" w:lineRule="exact"/>
              <w:jc w:val="center"/>
              <w:rPr>
                <w:rFonts w:hint="eastAsia" w:ascii="仿宋" w:hAnsi="仿宋" w:eastAsia="仿宋" w:cs="仿宋"/>
                <w:color w:val="auto"/>
                <w:sz w:val="24"/>
                <w:szCs w:val="24"/>
                <w:highlight w:val="none"/>
              </w:rPr>
            </w:pPr>
          </w:p>
        </w:tc>
      </w:tr>
    </w:tbl>
    <w:p>
      <w:pPr>
        <w:adjustRightInd w:val="0"/>
        <w:snapToGrid w:val="0"/>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：（加盖单位公章）</w:t>
      </w:r>
    </w:p>
    <w:p>
      <w:pPr>
        <w:adjustRightInd w:val="0"/>
        <w:snapToGrid w:val="0"/>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法定代表人或被委托授权人签字：</w:t>
      </w:r>
    </w:p>
    <w:p>
      <w:pPr>
        <w:adjustRightInd w:val="0"/>
        <w:snapToGrid w:val="0"/>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（1）以上由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填写，作为提供的资格后审材料文件内的资料首页清单目录。</w:t>
      </w:r>
    </w:p>
    <w:p>
      <w:pPr>
        <w:adjustRightInd w:val="0"/>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（2）所有资格证明复印件、相关的格式文件等的复印件，须加盖公章装订成册，正本1份副本2份，供审查及留存！</w:t>
      </w:r>
    </w:p>
    <w:p>
      <w:pPr>
        <w:adjustRightInd w:val="0"/>
        <w:snapToGrid w:val="0"/>
        <w:spacing w:line="420" w:lineRule="exact"/>
        <w:ind w:firstLine="484" w:firstLineChars="202"/>
        <w:rPr>
          <w:rFonts w:hint="eastAsia" w:ascii="仿宋" w:hAnsi="仿宋" w:eastAsia="仿宋" w:cs="仿宋"/>
          <w:color w:val="auto"/>
          <w:sz w:val="24"/>
          <w:szCs w:val="24"/>
          <w:highlight w:val="none"/>
        </w:rPr>
      </w:pPr>
    </w:p>
    <w:p>
      <w:pPr>
        <w:adjustRightInd w:val="0"/>
        <w:snapToGrid w:val="0"/>
        <w:spacing w:line="420" w:lineRule="exact"/>
        <w:ind w:firstLine="484" w:firstLineChars="202"/>
        <w:rPr>
          <w:rFonts w:hint="eastAsia" w:ascii="仿宋" w:hAnsi="仿宋" w:eastAsia="仿宋" w:cs="仿宋"/>
          <w:color w:val="auto"/>
          <w:sz w:val="24"/>
          <w:szCs w:val="24"/>
          <w:highlight w:val="none"/>
        </w:rPr>
      </w:pPr>
    </w:p>
    <w:p>
      <w:pPr>
        <w:snapToGrid w:val="0"/>
        <w:spacing w:line="420" w:lineRule="exact"/>
        <w:ind w:firstLine="487" w:firstLineChars="202"/>
        <w:jc w:val="left"/>
        <w:outlineLvl w:val="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A、资格后审材料相关文件格式</w:t>
      </w:r>
    </w:p>
    <w:p>
      <w:pPr>
        <w:snapToGrid w:val="0"/>
        <w:spacing w:line="420" w:lineRule="exact"/>
        <w:jc w:val="center"/>
        <w:rPr>
          <w:rFonts w:hint="eastAsia" w:ascii="仿宋" w:hAnsi="仿宋" w:eastAsia="仿宋" w:cs="仿宋"/>
          <w:bCs/>
          <w:color w:val="auto"/>
          <w:sz w:val="24"/>
          <w:szCs w:val="24"/>
          <w:highlight w:val="none"/>
        </w:rPr>
      </w:pPr>
    </w:p>
    <w:p>
      <w:pPr>
        <w:snapToGrid w:val="0"/>
        <w:spacing w:line="4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 xml:space="preserve"> 法定代表人身份证明</w:t>
      </w:r>
    </w:p>
    <w:p>
      <w:pPr>
        <w:snapToGrid w:val="0"/>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南通</w:t>
      </w:r>
      <w:r>
        <w:rPr>
          <w:rFonts w:hint="eastAsia" w:ascii="仿宋" w:hAnsi="仿宋" w:eastAsia="仿宋" w:cs="仿宋"/>
          <w:color w:val="auto"/>
          <w:sz w:val="24"/>
          <w:szCs w:val="24"/>
          <w:highlight w:val="none"/>
          <w:lang w:eastAsia="zh-CN"/>
        </w:rPr>
        <w:t>兴环环境卫生服务有限公司：</w:t>
      </w:r>
    </w:p>
    <w:p>
      <w:pPr>
        <w:snapToGri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先生／女士：</w:t>
      </w:r>
      <w:r>
        <w:rPr>
          <w:rFonts w:hint="eastAsia" w:ascii="仿宋" w:hAnsi="仿宋" w:eastAsia="仿宋" w:cs="仿宋"/>
          <w:color w:val="auto"/>
          <w:sz w:val="24"/>
          <w:szCs w:val="24"/>
          <w:highlight w:val="none"/>
        </w:rPr>
        <w:t>现任我单位</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职务，为法定代表人，特此证明。</w:t>
      </w:r>
    </w:p>
    <w:p>
      <w:pPr>
        <w:snapToGrid w:val="0"/>
        <w:spacing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pPr>
        <w:snapToGrid w:val="0"/>
        <w:spacing w:line="420" w:lineRule="exact"/>
        <w:ind w:firstLine="484" w:firstLineChars="202"/>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（盖章）</w:t>
      </w:r>
    </w:p>
    <w:p>
      <w:pPr>
        <w:snapToGrid w:val="0"/>
        <w:spacing w:line="420" w:lineRule="exact"/>
        <w:ind w:firstLine="484" w:firstLineChars="202"/>
        <w:jc w:val="righ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年    月    日</w:t>
      </w:r>
    </w:p>
    <w:p>
      <w:pPr>
        <w:snapToGri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注：提供法定代表人的身份证复印件并加盖公章</w:t>
      </w:r>
    </w:p>
    <w:p>
      <w:pPr>
        <w:snapToGrid w:val="0"/>
        <w:spacing w:line="420" w:lineRule="exact"/>
        <w:jc w:val="center"/>
        <w:rPr>
          <w:rFonts w:hint="eastAsia" w:ascii="仿宋" w:hAnsi="仿宋" w:eastAsia="仿宋" w:cs="仿宋"/>
          <w:bCs/>
          <w:color w:val="auto"/>
          <w:sz w:val="24"/>
          <w:szCs w:val="24"/>
          <w:highlight w:val="none"/>
        </w:rPr>
      </w:pPr>
    </w:p>
    <w:p>
      <w:pPr>
        <w:snapToGrid w:val="0"/>
        <w:spacing w:line="420" w:lineRule="exact"/>
        <w:jc w:val="center"/>
        <w:rPr>
          <w:rFonts w:hint="eastAsia" w:ascii="仿宋" w:hAnsi="仿宋" w:eastAsia="仿宋" w:cs="仿宋"/>
          <w:bCs/>
          <w:color w:val="auto"/>
          <w:sz w:val="24"/>
          <w:szCs w:val="24"/>
          <w:highlight w:val="none"/>
        </w:rPr>
      </w:pPr>
    </w:p>
    <w:p>
      <w:pPr>
        <w:snapToGrid w:val="0"/>
        <w:spacing w:line="4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 法定代表人授权委托书</w:t>
      </w:r>
    </w:p>
    <w:p>
      <w:pPr>
        <w:snapToGrid w:val="0"/>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南通</w:t>
      </w:r>
      <w:r>
        <w:rPr>
          <w:rFonts w:hint="eastAsia" w:ascii="仿宋" w:hAnsi="仿宋" w:eastAsia="仿宋" w:cs="仿宋"/>
          <w:color w:val="auto"/>
          <w:sz w:val="24"/>
          <w:szCs w:val="24"/>
          <w:highlight w:val="none"/>
          <w:lang w:eastAsia="zh-CN"/>
        </w:rPr>
        <w:t>兴环环境卫生服务有限公司：</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（姓名）为我公司代理人，以本公司的名义参加本项目的投标活动。代理人在开标、评标、合同缔约过程中所签署的一切文件和处理与之有关的一切事务，我均予以承认。</w:t>
      </w:r>
    </w:p>
    <w:p>
      <w:pPr>
        <w:snapToGrid w:val="0"/>
        <w:spacing w:line="4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被委托授权人无转委权。特此委托！</w:t>
      </w:r>
    </w:p>
    <w:p>
      <w:pPr>
        <w:snapToGrid w:val="0"/>
        <w:spacing w:line="420" w:lineRule="exact"/>
        <w:ind w:firstLine="484" w:firstLineChars="202"/>
        <w:rPr>
          <w:rFonts w:hint="eastAsia" w:ascii="仿宋" w:hAnsi="仿宋" w:eastAsia="仿宋" w:cs="仿宋"/>
          <w:color w:val="auto"/>
          <w:sz w:val="24"/>
          <w:szCs w:val="24"/>
          <w:highlight w:val="none"/>
        </w:rPr>
      </w:pPr>
    </w:p>
    <w:p>
      <w:pPr>
        <w:snapToGrid w:val="0"/>
        <w:spacing w:line="420" w:lineRule="exact"/>
        <w:ind w:firstLine="972" w:firstLineChars="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w:t>
      </w:r>
    </w:p>
    <w:p>
      <w:pPr>
        <w:snapToGrid w:val="0"/>
        <w:spacing w:line="420" w:lineRule="exact"/>
        <w:ind w:firstLine="972" w:firstLineChars="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被委托授权人签字：               </w:t>
      </w:r>
    </w:p>
    <w:p>
      <w:pPr>
        <w:snapToGrid w:val="0"/>
        <w:spacing w:line="420" w:lineRule="exact"/>
        <w:ind w:firstLine="972" w:firstLineChars="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被委托授权人身份证号：</w:t>
      </w:r>
    </w:p>
    <w:p>
      <w:pPr>
        <w:snapToGrid w:val="0"/>
        <w:spacing w:line="420" w:lineRule="exact"/>
        <w:ind w:firstLine="484" w:firstLineChars="202"/>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（盖章）</w:t>
      </w:r>
    </w:p>
    <w:p>
      <w:pPr>
        <w:snapToGrid w:val="0"/>
        <w:spacing w:line="420" w:lineRule="exact"/>
        <w:ind w:firstLine="484" w:firstLineChars="202"/>
        <w:jc w:val="righ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年    月    日</w:t>
      </w:r>
    </w:p>
    <w:p>
      <w:pPr>
        <w:snapToGrid w:val="0"/>
        <w:spacing w:line="420" w:lineRule="exact"/>
        <w:ind w:firstLine="484" w:firstLineChars="202"/>
        <w:jc w:val="right"/>
        <w:rPr>
          <w:rFonts w:hint="eastAsia" w:ascii="仿宋" w:hAnsi="仿宋" w:eastAsia="仿宋" w:cs="仿宋"/>
          <w:bCs/>
          <w:color w:val="auto"/>
          <w:sz w:val="24"/>
          <w:szCs w:val="24"/>
          <w:highlight w:val="none"/>
        </w:rPr>
      </w:pPr>
    </w:p>
    <w:p>
      <w:pPr>
        <w:adjustRightInd w:val="0"/>
        <w:snapToGrid w:val="0"/>
        <w:spacing w:line="420" w:lineRule="exact"/>
        <w:ind w:left="1164" w:hanging="1164" w:hangingChars="48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注：提供被委托授权人的身份证复印件盖公章，将身份证原件带至开标现场备查</w:t>
      </w:r>
    </w:p>
    <w:p>
      <w:pPr>
        <w:adjustRightInd w:val="0"/>
        <w:snapToGrid w:val="0"/>
        <w:spacing w:line="420" w:lineRule="exact"/>
        <w:ind w:left="1164" w:hanging="1164" w:hangingChars="485"/>
        <w:jc w:val="center"/>
        <w:rPr>
          <w:rFonts w:hint="eastAsia" w:ascii="仿宋" w:hAnsi="仿宋" w:eastAsia="仿宋" w:cs="仿宋"/>
          <w:color w:val="auto"/>
          <w:sz w:val="24"/>
          <w:szCs w:val="24"/>
          <w:highlight w:val="none"/>
        </w:rPr>
      </w:pPr>
    </w:p>
    <w:p>
      <w:pPr>
        <w:snapToGrid w:val="0"/>
        <w:spacing w:line="420" w:lineRule="exact"/>
        <w:jc w:val="center"/>
        <w:rPr>
          <w:rFonts w:hint="eastAsia" w:ascii="仿宋" w:hAnsi="仿宋" w:eastAsia="仿宋" w:cs="仿宋"/>
          <w:bCs/>
          <w:color w:val="auto"/>
          <w:sz w:val="24"/>
          <w:szCs w:val="24"/>
          <w:highlight w:val="none"/>
        </w:rPr>
      </w:pPr>
    </w:p>
    <w:p>
      <w:pPr>
        <w:snapToGrid w:val="0"/>
        <w:spacing w:line="4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snapToGri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关于资格文件的声明函</w:t>
      </w:r>
    </w:p>
    <w:p>
      <w:pPr>
        <w:snapToGrid w:val="0"/>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南通</w:t>
      </w:r>
      <w:r>
        <w:rPr>
          <w:rFonts w:hint="eastAsia" w:ascii="仿宋" w:hAnsi="仿宋" w:eastAsia="仿宋" w:cs="仿宋"/>
          <w:color w:val="auto"/>
          <w:sz w:val="24"/>
          <w:szCs w:val="24"/>
          <w:highlight w:val="none"/>
          <w:lang w:eastAsia="zh-CN"/>
        </w:rPr>
        <w:t>兴环环境卫生服务有限公司</w:t>
      </w:r>
      <w:r>
        <w:rPr>
          <w:rFonts w:hint="eastAsia" w:ascii="仿宋" w:hAnsi="仿宋" w:eastAsia="仿宋" w:cs="仿宋"/>
          <w:color w:val="auto"/>
          <w:sz w:val="24"/>
          <w:szCs w:val="24"/>
          <w:highlight w:val="none"/>
        </w:rPr>
        <w:t>：</w:t>
      </w:r>
    </w:p>
    <w:p>
      <w:pPr>
        <w:overflowPunct w:val="0"/>
        <w:adjustRightInd w:val="0"/>
        <w:spacing w:line="420" w:lineRule="exact"/>
        <w:ind w:firstLine="6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本公司愿就由贵公司组织实施的编号为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号的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420" w:lineRule="exact"/>
        <w:ind w:firstLine="420"/>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法定代表人或被委托授权人（签字或盖章）：</w:t>
      </w:r>
    </w:p>
    <w:p>
      <w:pPr>
        <w:overflowPunct w:val="0"/>
        <w:adjustRightInd w:val="0"/>
        <w:spacing w:line="420" w:lineRule="exact"/>
        <w:ind w:left="1700" w:firstLine="425"/>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pPr>
        <w:overflowPunct w:val="0"/>
        <w:adjustRightInd w:val="0"/>
        <w:spacing w:line="420" w:lineRule="exact"/>
        <w:ind w:firstLine="420"/>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日</w:t>
      </w:r>
    </w:p>
    <w:p>
      <w:pPr>
        <w:overflowPunct w:val="0"/>
        <w:adjustRightInd w:val="0"/>
        <w:spacing w:line="420" w:lineRule="exact"/>
        <w:ind w:firstLine="420"/>
        <w:jc w:val="right"/>
        <w:textAlignment w:val="baseline"/>
        <w:rPr>
          <w:rFonts w:hint="eastAsia" w:ascii="仿宋" w:hAnsi="仿宋" w:eastAsia="仿宋" w:cs="仿宋"/>
          <w:color w:val="auto"/>
          <w:sz w:val="24"/>
          <w:szCs w:val="24"/>
          <w:highlight w:val="none"/>
        </w:rPr>
      </w:pPr>
    </w:p>
    <w:p>
      <w:pPr>
        <w:snapToGrid w:val="0"/>
        <w:spacing w:line="420" w:lineRule="exact"/>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br w:type="page"/>
      </w:r>
    </w:p>
    <w:p>
      <w:pPr>
        <w:pStyle w:val="121"/>
        <w:ind w:firstLine="1687" w:firstLineChars="700"/>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供应商符合</w:t>
      </w:r>
      <w:r>
        <w:rPr>
          <w:rFonts w:hint="eastAsia" w:ascii="仿宋" w:hAnsi="仿宋" w:eastAsia="仿宋" w:cs="仿宋"/>
          <w:b/>
          <w:bCs/>
          <w:color w:val="auto"/>
          <w:sz w:val="24"/>
          <w:szCs w:val="24"/>
          <w:highlight w:val="none"/>
          <w:lang w:val="en-US" w:eastAsia="zh-CN"/>
        </w:rPr>
        <w:t>相关资格</w:t>
      </w:r>
      <w:r>
        <w:rPr>
          <w:rFonts w:hint="eastAsia" w:ascii="仿宋" w:hAnsi="仿宋" w:eastAsia="仿宋" w:cs="仿宋"/>
          <w:b/>
          <w:bCs/>
          <w:color w:val="auto"/>
          <w:sz w:val="24"/>
          <w:szCs w:val="24"/>
          <w:highlight w:val="none"/>
        </w:rPr>
        <w:t>条件的声明函</w:t>
      </w:r>
    </w:p>
    <w:p>
      <w:pPr>
        <w:spacing w:line="4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pPr>
        <w:spacing w:line="52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我单位参加</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项目</w:t>
      </w:r>
      <w:r>
        <w:rPr>
          <w:rFonts w:hint="eastAsia" w:ascii="仿宋" w:hAnsi="仿宋" w:eastAsia="仿宋" w:cs="仿宋"/>
          <w:bCs/>
          <w:color w:val="auto"/>
          <w:sz w:val="24"/>
          <w:szCs w:val="24"/>
          <w:highlight w:val="none"/>
          <w:u w:val="single"/>
        </w:rPr>
        <w:t xml:space="preserve"> （项目名称）</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（项目编号）</w:t>
      </w:r>
      <w:r>
        <w:rPr>
          <w:rFonts w:hint="eastAsia" w:ascii="仿宋" w:hAnsi="仿宋" w:eastAsia="仿宋" w:cs="仿宋"/>
          <w:bCs/>
          <w:color w:val="auto"/>
          <w:sz w:val="24"/>
          <w:szCs w:val="24"/>
          <w:highlight w:val="none"/>
        </w:rPr>
        <w:t>投标活动。做出如下声明：</w:t>
      </w:r>
    </w:p>
    <w:p>
      <w:pPr>
        <w:spacing w:line="520" w:lineRule="exact"/>
        <w:ind w:firstLine="482"/>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（1）我单位具有独立承担民事责任的能力；</w:t>
      </w:r>
    </w:p>
    <w:p>
      <w:pPr>
        <w:spacing w:line="52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（2）我单位具有良好的商业信誉和健全的财务会计制度；</w:t>
      </w:r>
    </w:p>
    <w:p>
      <w:pPr>
        <w:spacing w:line="52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（3）我单位具有履行合同所必需的设备和专业技术能力；</w:t>
      </w:r>
    </w:p>
    <w:p>
      <w:pPr>
        <w:spacing w:line="52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（4）我单位有依法缴纳税收和社会保障资金的良好记录；</w:t>
      </w:r>
    </w:p>
    <w:p>
      <w:pPr>
        <w:spacing w:line="52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（5）我单位参加采购活动前三年内，在经营活动中没有重大违法记录；（1.供应商在参加</w:t>
      </w:r>
      <w:r>
        <w:rPr>
          <w:rFonts w:hint="eastAsia" w:ascii="仿宋" w:hAnsi="仿宋" w:eastAsia="仿宋" w:cs="仿宋"/>
          <w:color w:val="auto"/>
          <w:sz w:val="24"/>
          <w:szCs w:val="24"/>
          <w:highlight w:val="none"/>
          <w:lang w:val="en-US" w:eastAsia="zh-CN"/>
        </w:rPr>
        <w:t>国企</w:t>
      </w:r>
      <w:r>
        <w:rPr>
          <w:rFonts w:hint="eastAsia" w:ascii="仿宋" w:hAnsi="仿宋" w:eastAsia="仿宋" w:cs="仿宋"/>
          <w:color w:val="auto"/>
          <w:sz w:val="24"/>
          <w:szCs w:val="24"/>
          <w:highlight w:val="none"/>
        </w:rPr>
        <w:t>采购活动前三年内因违法经营被禁止在一定期限内参加采购活动，期限届满的，可以参加</w:t>
      </w:r>
      <w:r>
        <w:rPr>
          <w:rFonts w:hint="eastAsia" w:ascii="仿宋" w:hAnsi="仿宋" w:eastAsia="仿宋" w:cs="仿宋"/>
          <w:color w:val="auto"/>
          <w:sz w:val="24"/>
          <w:szCs w:val="24"/>
          <w:highlight w:val="none"/>
          <w:lang w:val="en-US" w:eastAsia="zh-CN"/>
        </w:rPr>
        <w:t>国企</w:t>
      </w:r>
      <w:r>
        <w:rPr>
          <w:rFonts w:hint="eastAsia" w:ascii="仿宋" w:hAnsi="仿宋" w:eastAsia="仿宋" w:cs="仿宋"/>
          <w:color w:val="auto"/>
          <w:sz w:val="24"/>
          <w:szCs w:val="24"/>
          <w:highlight w:val="none"/>
        </w:rPr>
        <w:t>采购活动。</w:t>
      </w:r>
    </w:p>
    <w:p>
      <w:pPr>
        <w:spacing w:line="52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（6）我单位满足法律、行政法规规定的其他条件。</w:t>
      </w:r>
    </w:p>
    <w:p>
      <w:pPr>
        <w:spacing w:line="500" w:lineRule="exact"/>
        <w:ind w:firstLine="482"/>
        <w:rPr>
          <w:rFonts w:hint="eastAsia" w:ascii="仿宋" w:hAnsi="仿宋" w:eastAsia="仿宋" w:cs="仿宋"/>
          <w:color w:val="auto"/>
          <w:sz w:val="24"/>
          <w:szCs w:val="24"/>
          <w:highlight w:val="none"/>
        </w:rPr>
      </w:pPr>
    </w:p>
    <w:p>
      <w:pPr>
        <w:snapToGrid w:val="0"/>
        <w:spacing w:line="360" w:lineRule="auto"/>
        <w:ind w:firstLine="480" w:firstLineChars="200"/>
        <w:jc w:val="center"/>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法定代表人或者授权代表（签字或盖章）：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供应商全称（盖章）：</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p>
    <w:p>
      <w:pPr>
        <w:adjustRightInd w:val="0"/>
        <w:snapToGrid w:val="0"/>
        <w:spacing w:line="420" w:lineRule="exact"/>
        <w:ind w:left="1164" w:hanging="1164" w:hangingChars="485"/>
        <w:jc w:val="left"/>
        <w:rPr>
          <w:rFonts w:hint="eastAsia" w:ascii="仿宋" w:hAnsi="仿宋" w:eastAsia="仿宋" w:cs="仿宋"/>
          <w:color w:val="auto"/>
          <w:sz w:val="24"/>
          <w:szCs w:val="24"/>
          <w:highlight w:val="none"/>
          <w:lang w:val="en-US" w:eastAsia="zh-CN"/>
        </w:rPr>
      </w:pPr>
    </w:p>
    <w:p>
      <w:pPr>
        <w:pStyle w:val="37"/>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pPr>
        <w:snapToGrid w:val="0"/>
        <w:spacing w:line="300" w:lineRule="auto"/>
        <w:ind w:firstLine="3373" w:firstLineChars="140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、技术部分正负偏离表</w:t>
      </w:r>
    </w:p>
    <w:p>
      <w:pPr>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（由供应商据实填写，表格不够自行添加）</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96"/>
        <w:gridCol w:w="2442"/>
        <w:gridCol w:w="2132"/>
        <w:gridCol w:w="2751"/>
        <w:gridCol w:w="15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pPr>
              <w:spacing w:line="340" w:lineRule="exact"/>
              <w:jc w:val="center"/>
              <w:rPr>
                <w:rFonts w:hint="eastAsia" w:ascii="仿宋" w:hAnsi="仿宋" w:eastAsia="仿宋" w:cs="仿宋"/>
                <w:color w:val="auto"/>
                <w:sz w:val="24"/>
                <w:szCs w:val="24"/>
                <w:highlight w:val="none"/>
              </w:rPr>
            </w:pPr>
          </w:p>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hint="eastAsia" w:ascii="仿宋" w:hAnsi="仿宋" w:eastAsia="仿宋" w:cs="仿宋"/>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rFonts w:hint="eastAsia" w:ascii="仿宋" w:hAnsi="仿宋" w:eastAsia="仿宋" w:cs="仿宋"/>
                <w:color w:val="auto"/>
                <w:sz w:val="24"/>
                <w:szCs w:val="24"/>
                <w:highlight w:val="none"/>
              </w:rPr>
            </w:pPr>
          </w:p>
        </w:tc>
      </w:tr>
    </w:tbl>
    <w:p>
      <w:pPr>
        <w:snapToGrid w:val="0"/>
        <w:spacing w:line="300" w:lineRule="auto"/>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pPr>
        <w:snapToGrid w:val="0"/>
        <w:spacing w:line="30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1.供应商提交的响应文件中与磋商文件第三部分“项目需求”中的技术部分的要求，应逐条填列在偏离表中。</w:t>
      </w:r>
    </w:p>
    <w:p>
      <w:pPr>
        <w:snapToGrid w:val="0"/>
        <w:spacing w:line="30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“偏离说明”一栏选择“正偏离”、“无偏离”、“负偏离”进行填写。正偏离、无偏离的确认和负偏离的是否响应招标文件，由评委认定。</w:t>
      </w:r>
      <w:r>
        <w:rPr>
          <w:rFonts w:hint="eastAsia" w:ascii="仿宋" w:hAnsi="仿宋" w:eastAsia="仿宋" w:cs="仿宋"/>
          <w:color w:val="auto"/>
          <w:sz w:val="24"/>
          <w:szCs w:val="24"/>
          <w:highlight w:val="none"/>
          <w:u w:val="single"/>
        </w:rPr>
        <w:t>（</w:t>
      </w:r>
      <w:r>
        <w:rPr>
          <w:rFonts w:hint="eastAsia" w:ascii="仿宋" w:hAnsi="仿宋" w:eastAsia="仿宋" w:cs="仿宋"/>
          <w:b/>
          <w:bCs/>
          <w:color w:val="auto"/>
          <w:sz w:val="24"/>
          <w:szCs w:val="24"/>
          <w:highlight w:val="none"/>
          <w:u w:val="single"/>
        </w:rPr>
        <w:t>本项目所有技术不接受负偏离，如不能满足则视为未能实质性响应</w:t>
      </w:r>
      <w:r>
        <w:rPr>
          <w:rFonts w:hint="eastAsia" w:ascii="仿宋" w:hAnsi="仿宋" w:eastAsia="仿宋" w:cs="仿宋"/>
          <w:b/>
          <w:bCs/>
          <w:color w:val="auto"/>
          <w:sz w:val="24"/>
          <w:szCs w:val="24"/>
          <w:highlight w:val="none"/>
          <w:u w:val="single"/>
          <w:lang w:val="en-US" w:eastAsia="zh-CN"/>
        </w:rPr>
        <w:t>询价</w:t>
      </w:r>
      <w:r>
        <w:rPr>
          <w:rFonts w:hint="eastAsia" w:ascii="仿宋" w:hAnsi="仿宋" w:eastAsia="仿宋" w:cs="仿宋"/>
          <w:b/>
          <w:bCs/>
          <w:color w:val="auto"/>
          <w:sz w:val="24"/>
          <w:szCs w:val="24"/>
          <w:highlight w:val="none"/>
          <w:u w:val="single"/>
        </w:rPr>
        <w:t>文件，作无效标处理</w:t>
      </w:r>
      <w:r>
        <w:rPr>
          <w:rFonts w:hint="eastAsia" w:ascii="仿宋" w:hAnsi="仿宋" w:eastAsia="仿宋" w:cs="仿宋"/>
          <w:color w:val="auto"/>
          <w:sz w:val="24"/>
          <w:szCs w:val="24"/>
          <w:highlight w:val="none"/>
          <w:u w:val="single"/>
        </w:rPr>
        <w:t>）</w:t>
      </w:r>
    </w:p>
    <w:p>
      <w:pPr>
        <w:snapToGrid w:val="0"/>
        <w:spacing w:line="30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3.供应商如果虚假响应，将被暂停参加采购人组织采购活动。</w:t>
      </w:r>
    </w:p>
    <w:p>
      <w:pPr>
        <w:snapToGrid w:val="0"/>
        <w:spacing w:line="300" w:lineRule="auto"/>
        <w:ind w:firstLine="480" w:firstLineChars="200"/>
        <w:contextualSpacing/>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4.供应商若提供其他增值服务，可以在表中自行据实填写。</w:t>
      </w:r>
    </w:p>
    <w:p>
      <w:pPr>
        <w:spacing w:line="520" w:lineRule="exact"/>
        <w:ind w:firstLine="484" w:firstLineChars="202"/>
        <w:rPr>
          <w:rFonts w:hint="eastAsia" w:ascii="仿宋" w:hAnsi="仿宋" w:eastAsia="仿宋" w:cs="仿宋"/>
          <w:color w:val="auto"/>
          <w:sz w:val="24"/>
          <w:szCs w:val="24"/>
          <w:highlight w:val="none"/>
        </w:rPr>
      </w:pPr>
    </w:p>
    <w:p>
      <w:pPr>
        <w:spacing w:line="5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pPr>
        <w:spacing w:line="5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法定代表人或被授权人：（签字或盖章）</w:t>
      </w:r>
    </w:p>
    <w:p>
      <w:pPr>
        <w:spacing w:line="52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pPr>
        <w:rPr>
          <w:rFonts w:hint="eastAsia" w:ascii="仿宋" w:hAnsi="仿宋" w:eastAsia="仿宋" w:cs="仿宋"/>
          <w:color w:val="auto"/>
          <w:sz w:val="24"/>
          <w:szCs w:val="24"/>
          <w:highlight w:val="none"/>
        </w:rPr>
      </w:pPr>
    </w:p>
    <w:p>
      <w:pPr>
        <w:pStyle w:val="37"/>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37"/>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37"/>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adjustRightInd w:val="0"/>
        <w:snapToGrid w:val="0"/>
        <w:spacing w:line="420" w:lineRule="exact"/>
        <w:jc w:val="left"/>
        <w:rPr>
          <w:rFonts w:hint="eastAsia" w:ascii="仿宋" w:hAnsi="仿宋" w:eastAsia="仿宋" w:cs="仿宋"/>
          <w:color w:val="auto"/>
          <w:sz w:val="24"/>
          <w:szCs w:val="24"/>
          <w:highlight w:val="none"/>
        </w:rPr>
      </w:pP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adjustRightInd w:val="0"/>
        <w:snapToGrid w:val="0"/>
        <w:spacing w:line="420" w:lineRule="exact"/>
        <w:ind w:firstLine="484" w:firstLineChars="201"/>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B、商务询价响应文件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thick" w:color="FF0000"/>
        </w:rPr>
        <w:t>一个密封包，内含：1正2副文件。</w:t>
      </w:r>
      <w:r>
        <w:rPr>
          <w:rFonts w:hint="eastAsia" w:ascii="仿宋" w:hAnsi="仿宋" w:eastAsia="仿宋" w:cs="仿宋"/>
          <w:color w:val="auto"/>
          <w:sz w:val="24"/>
          <w:szCs w:val="24"/>
          <w:highlight w:val="none"/>
        </w:rPr>
        <w:t>）</w:t>
      </w:r>
    </w:p>
    <w:p>
      <w:pPr>
        <w:snapToGrid w:val="0"/>
        <w:spacing w:line="420" w:lineRule="exact"/>
        <w:jc w:val="center"/>
        <w:outlineLvl w:val="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1询价响应报价表</w:t>
      </w:r>
    </w:p>
    <w:tbl>
      <w:tblPr>
        <w:tblStyle w:val="48"/>
        <w:tblpPr w:leftFromText="180" w:rightFromText="180" w:vertAnchor="text" w:horzAnchor="page" w:tblpX="626" w:tblpY="1762"/>
        <w:tblOverlap w:val="never"/>
        <w:tblW w:w="10330" w:type="dxa"/>
        <w:jc w:val="center"/>
        <w:tblLayout w:type="fixed"/>
        <w:tblCellMar>
          <w:top w:w="0" w:type="dxa"/>
          <w:left w:w="108" w:type="dxa"/>
          <w:bottom w:w="0" w:type="dxa"/>
          <w:right w:w="108" w:type="dxa"/>
        </w:tblCellMar>
      </w:tblPr>
      <w:tblGrid>
        <w:gridCol w:w="495"/>
        <w:gridCol w:w="1810"/>
        <w:gridCol w:w="1932"/>
        <w:gridCol w:w="1083"/>
        <w:gridCol w:w="1860"/>
        <w:gridCol w:w="1779"/>
        <w:gridCol w:w="1371"/>
      </w:tblGrid>
      <w:tr>
        <w:tblPrEx>
          <w:tblCellMar>
            <w:top w:w="0" w:type="dxa"/>
            <w:left w:w="108" w:type="dxa"/>
            <w:bottom w:w="0" w:type="dxa"/>
            <w:right w:w="108" w:type="dxa"/>
          </w:tblCellMar>
        </w:tblPrEx>
        <w:trPr>
          <w:trHeight w:val="285"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名称</w:t>
            </w:r>
          </w:p>
        </w:tc>
        <w:tc>
          <w:tcPr>
            <w:tcW w:w="1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级别型号</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规格</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所投品牌</w:t>
            </w: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632" w:hanging="632" w:hangingChars="300"/>
              <w:jc w:val="both"/>
              <w:textAlignment w:val="center"/>
              <w:rPr>
                <w:rFonts w:hint="eastAsia" w:ascii="仿宋" w:hAnsi="仿宋" w:eastAsia="仿宋" w:cs="仿宋"/>
                <w:b/>
                <w:bCs/>
                <w:i w:val="0"/>
                <w:iCs w:val="0"/>
                <w:color w:val="auto"/>
                <w:kern w:val="2"/>
                <w:sz w:val="21"/>
                <w:szCs w:val="21"/>
                <w:highlight w:val="none"/>
                <w:u w:val="none"/>
                <w:lang w:val="en-US" w:eastAsia="zh-CN" w:bidi="ar-SA"/>
              </w:rPr>
            </w:pPr>
            <w:r>
              <w:rPr>
                <w:rFonts w:hint="eastAsia" w:ascii="仿宋" w:hAnsi="仿宋" w:eastAsia="仿宋" w:cs="仿宋"/>
                <w:b/>
                <w:bCs/>
                <w:i w:val="0"/>
                <w:iCs w:val="0"/>
                <w:color w:val="auto"/>
                <w:kern w:val="0"/>
                <w:sz w:val="21"/>
                <w:szCs w:val="21"/>
                <w:highlight w:val="none"/>
                <w:u w:val="none"/>
                <w:lang w:val="en-US" w:eastAsia="zh-CN" w:bidi="ar"/>
              </w:rPr>
              <w:t>综合单价报价（元）</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备注</w:t>
            </w:r>
          </w:p>
        </w:tc>
      </w:tr>
      <w:tr>
        <w:tblPrEx>
          <w:tblCellMar>
            <w:top w:w="0" w:type="dxa"/>
            <w:left w:w="108" w:type="dxa"/>
            <w:bottom w:w="0" w:type="dxa"/>
            <w:right w:w="108" w:type="dxa"/>
          </w:tblCellMar>
        </w:tblPrEx>
        <w:trPr>
          <w:trHeight w:val="57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润滑脂</w:t>
            </w:r>
          </w:p>
        </w:tc>
        <w:tc>
          <w:tcPr>
            <w:tcW w:w="1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3号锂基脂</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400克/支</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626"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润滑脂</w:t>
            </w:r>
          </w:p>
        </w:tc>
        <w:tc>
          <w:tcPr>
            <w:tcW w:w="1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2号锂基脂</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400克/支</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1"/>
                <w:szCs w:val="21"/>
                <w:highlight w:val="none"/>
                <w:u w:val="none"/>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751"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润滑脂</w:t>
            </w:r>
          </w:p>
        </w:tc>
        <w:tc>
          <w:tcPr>
            <w:tcW w:w="1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3号锂基脂</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1公斤/桶</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1"/>
                <w:szCs w:val="21"/>
                <w:highlight w:val="none"/>
                <w:u w:val="none"/>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865"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润滑脂</w:t>
            </w:r>
          </w:p>
        </w:tc>
        <w:tc>
          <w:tcPr>
            <w:tcW w:w="1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3号锂基脂</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15公斤/桶</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1"/>
                <w:szCs w:val="21"/>
                <w:highlight w:val="none"/>
                <w:u w:val="none"/>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57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传动油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8号</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18升/桶</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1"/>
                <w:szCs w:val="21"/>
                <w:highlight w:val="none"/>
                <w:u w:val="none"/>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57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制动液</w:t>
            </w:r>
          </w:p>
        </w:tc>
        <w:tc>
          <w:tcPr>
            <w:tcW w:w="1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DOT4</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800G/瓶</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1"/>
                <w:szCs w:val="21"/>
                <w:highlight w:val="none"/>
                <w:u w:val="none"/>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785"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齿轮油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GL-5 85W140</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4升/桶</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1"/>
                <w:szCs w:val="21"/>
                <w:highlight w:val="none"/>
                <w:u w:val="none"/>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重负荷</w:t>
            </w:r>
          </w:p>
        </w:tc>
      </w:tr>
      <w:tr>
        <w:tblPrEx>
          <w:tblCellMar>
            <w:top w:w="0" w:type="dxa"/>
            <w:left w:w="108" w:type="dxa"/>
            <w:bottom w:w="0" w:type="dxa"/>
            <w:right w:w="108" w:type="dxa"/>
          </w:tblCellMar>
        </w:tblPrEx>
        <w:trPr>
          <w:trHeight w:val="965"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除锈剂</w:t>
            </w:r>
          </w:p>
        </w:tc>
        <w:tc>
          <w:tcPr>
            <w:tcW w:w="19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kern w:val="0"/>
                <w:sz w:val="21"/>
                <w:szCs w:val="21"/>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450毫升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2"/>
                <w:sz w:val="21"/>
                <w:szCs w:val="21"/>
                <w:highlight w:val="none"/>
                <w:u w:val="none"/>
                <w:lang w:val="en-US" w:eastAsia="zh-CN" w:bidi="ar-SA"/>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p>
        </w:tc>
      </w:tr>
      <w:tr>
        <w:tblPrEx>
          <w:tblCellMar>
            <w:top w:w="0" w:type="dxa"/>
            <w:left w:w="108" w:type="dxa"/>
            <w:bottom w:w="0" w:type="dxa"/>
            <w:right w:w="108" w:type="dxa"/>
          </w:tblCellMar>
        </w:tblPrEx>
        <w:trPr>
          <w:trHeight w:val="57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清洗剂</w:t>
            </w:r>
          </w:p>
        </w:tc>
        <w:tc>
          <w:tcPr>
            <w:tcW w:w="19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kern w:val="0"/>
                <w:sz w:val="21"/>
                <w:szCs w:val="21"/>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2"/>
                <w:szCs w:val="22"/>
                <w:highlight w:val="none"/>
                <w:u w:val="none"/>
                <w:lang w:val="en-US" w:eastAsia="zh-CN" w:bidi="ar"/>
              </w:rPr>
              <w:t>450毫升</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auto"/>
                <w:sz w:val="21"/>
                <w:szCs w:val="21"/>
                <w:highlight w:val="none"/>
                <w:u w:val="none"/>
              </w:rPr>
            </w:pPr>
          </w:p>
        </w:tc>
        <w:tc>
          <w:tcPr>
            <w:tcW w:w="1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auto"/>
                <w:sz w:val="21"/>
                <w:szCs w:val="21"/>
                <w:highlight w:val="none"/>
                <w:u w:val="none"/>
                <w:lang w:eastAsia="zh-CN"/>
              </w:rPr>
            </w:pP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sz w:val="21"/>
                <w:szCs w:val="21"/>
                <w:highlight w:val="none"/>
                <w:u w:val="none"/>
              </w:rPr>
            </w:pPr>
          </w:p>
        </w:tc>
      </w:tr>
    </w:tbl>
    <w:p>
      <w:pPr>
        <w:spacing w:line="480" w:lineRule="exact"/>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项目名称：</w:t>
      </w:r>
    </w:p>
    <w:p>
      <w:pPr>
        <w:pStyle w:val="2"/>
        <w:ind w:left="0"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项目编号：</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u w:val="none" w:color="auto"/>
          <w:lang w:eastAsia="zh-CN"/>
        </w:rPr>
      </w:pP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u w:val="none" w:color="auto"/>
          <w:lang w:eastAsia="zh-CN"/>
        </w:rPr>
      </w:pPr>
      <w:r>
        <w:rPr>
          <w:rFonts w:hint="eastAsia" w:ascii="仿宋" w:hAnsi="仿宋" w:eastAsia="仿宋" w:cs="仿宋"/>
          <w:b w:val="0"/>
          <w:bCs/>
          <w:color w:val="auto"/>
          <w:sz w:val="24"/>
          <w:szCs w:val="24"/>
          <w:highlight w:val="none"/>
          <w:u w:val="none" w:color="auto"/>
          <w:lang w:eastAsia="zh-CN"/>
        </w:rPr>
        <w:t>备注：</w:t>
      </w:r>
      <w:r>
        <w:rPr>
          <w:rFonts w:hint="eastAsia" w:ascii="仿宋" w:hAnsi="仿宋" w:eastAsia="仿宋" w:cs="仿宋"/>
          <w:b w:val="0"/>
          <w:bCs/>
          <w:color w:val="auto"/>
          <w:sz w:val="24"/>
          <w:szCs w:val="24"/>
          <w:highlight w:val="none"/>
          <w:u w:val="none" w:color="auto"/>
        </w:rPr>
        <w:t>★</w:t>
      </w:r>
      <w:r>
        <w:rPr>
          <w:rFonts w:hint="eastAsia" w:ascii="仿宋" w:hAnsi="仿宋" w:eastAsia="仿宋" w:cs="仿宋"/>
          <w:b w:val="0"/>
          <w:bCs/>
          <w:color w:val="auto"/>
          <w:sz w:val="24"/>
          <w:szCs w:val="24"/>
          <w:highlight w:val="none"/>
          <w:u w:val="none" w:color="auto"/>
          <w:lang w:eastAsia="zh-CN"/>
        </w:rPr>
        <w:t>供应商每项只能投采购人项目需求范围内的一个品牌。多投的或范围以外的品牌，此项作无效报价。</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★投标单位投的单价不得高于单价</w:t>
      </w:r>
      <w:r>
        <w:rPr>
          <w:rFonts w:hint="eastAsia" w:ascii="仿宋" w:hAnsi="仿宋" w:eastAsia="仿宋" w:cs="仿宋"/>
          <w:b w:val="0"/>
          <w:bCs/>
          <w:color w:val="auto"/>
          <w:sz w:val="24"/>
          <w:szCs w:val="24"/>
          <w:highlight w:val="none"/>
          <w:lang w:eastAsia="zh-CN"/>
        </w:rPr>
        <w:t>限价</w:t>
      </w:r>
      <w:r>
        <w:rPr>
          <w:rFonts w:hint="eastAsia" w:ascii="仿宋" w:hAnsi="仿宋" w:eastAsia="仿宋" w:cs="仿宋"/>
          <w:b w:val="0"/>
          <w:bCs/>
          <w:color w:val="auto"/>
          <w:sz w:val="24"/>
          <w:szCs w:val="24"/>
          <w:highlight w:val="none"/>
        </w:rPr>
        <w:t>，否则作无效标处理。</w:t>
      </w:r>
    </w:p>
    <w:p>
      <w:pPr>
        <w:pStyle w:val="2"/>
        <w:rPr>
          <w:rFonts w:hint="eastAsia" w:ascii="仿宋" w:hAnsi="仿宋" w:eastAsia="仿宋" w:cs="仿宋"/>
          <w:color w:val="auto"/>
          <w:highlight w:val="none"/>
          <w:lang w:val="en-US" w:eastAsia="zh-CN"/>
        </w:rPr>
      </w:pPr>
    </w:p>
    <w:p>
      <w:pPr>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（加盖公章）</w:t>
      </w:r>
    </w:p>
    <w:p>
      <w:pPr>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法定代表人或被授权人：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pPr>
        <w:spacing w:line="480" w:lineRule="exact"/>
        <w:ind w:firstLine="4320" w:firstLineChars="1800"/>
        <w:jc w:val="righ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年      月     日</w:t>
      </w:r>
    </w:p>
    <w:p>
      <w:pPr>
        <w:pStyle w:val="2"/>
        <w:ind w:left="0" w:leftChars="0" w:firstLine="480" w:firstLineChars="200"/>
        <w:rPr>
          <w:rFonts w:hint="eastAsia" w:ascii="仿宋" w:hAnsi="仿宋" w:eastAsia="仿宋" w:cs="仿宋"/>
          <w:color w:val="auto"/>
          <w:kern w:val="0"/>
          <w:sz w:val="24"/>
          <w:szCs w:val="24"/>
          <w:highlight w:val="none"/>
          <w:lang w:val="en-US" w:eastAsia="zh-CN"/>
        </w:rPr>
      </w:pPr>
    </w:p>
    <w:sectPr>
      <w:headerReference r:id="rId4" w:type="first"/>
      <w:footerReference r:id="rId6" w:type="first"/>
      <w:headerReference r:id="rId3" w:type="default"/>
      <w:footerReference r:id="rId5" w:type="default"/>
      <w:pgSz w:w="11906" w:h="16838"/>
      <w:pgMar w:top="1276" w:right="968" w:bottom="1402" w:left="1418" w:header="851" w:footer="897"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Menlo">
    <w:altName w:val="Times New Roman"/>
    <w:panose1 w:val="00000000000000000000"/>
    <w:charset w:val="00"/>
    <w:family w:val="auto"/>
    <w:pitch w:val="default"/>
    <w:sig w:usb0="00000000" w:usb1="00000000" w:usb2="00000000" w:usb3="00000000" w:csb0="00000001"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1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9F1EA"/>
    <w:multiLevelType w:val="singleLevel"/>
    <w:tmpl w:val="D329F1EA"/>
    <w:lvl w:ilvl="0" w:tentative="0">
      <w:start w:val="1"/>
      <w:numFmt w:val="decimalEnclosedCircleChinese"/>
      <w:suff w:val="nothing"/>
      <w:lvlText w:val="%1　"/>
      <w:lvlJc w:val="left"/>
      <w:pPr>
        <w:ind w:left="0" w:firstLine="400"/>
      </w:pPr>
      <w:rPr>
        <w:rFonts w:hint="eastAsia"/>
      </w:rPr>
    </w:lvl>
  </w:abstractNum>
  <w:abstractNum w:abstractNumId="1">
    <w:nsid w:val="F3BB7C9F"/>
    <w:multiLevelType w:val="singleLevel"/>
    <w:tmpl w:val="F3BB7C9F"/>
    <w:lvl w:ilvl="0" w:tentative="0">
      <w:start w:val="1"/>
      <w:numFmt w:val="decimalEnclosedCircleChinese"/>
      <w:suff w:val="nothing"/>
      <w:lvlText w:val="%1　"/>
      <w:lvlJc w:val="left"/>
      <w:pPr>
        <w:ind w:left="0" w:firstLine="400"/>
      </w:pPr>
      <w:rPr>
        <w:rFonts w:hint="eastAsia"/>
      </w:rPr>
    </w:lvl>
  </w:abstractNum>
  <w:abstractNum w:abstractNumId="2">
    <w:nsid w:val="66E160E8"/>
    <w:multiLevelType w:val="singleLevel"/>
    <w:tmpl w:val="66E160E8"/>
    <w:lvl w:ilvl="0" w:tentative="0">
      <w:start w:val="1"/>
      <w:numFmt w:val="decimal"/>
      <w:lvlText w:val="(%1)"/>
      <w:lvlJc w:val="left"/>
      <w:pPr>
        <w:ind w:left="425" w:hanging="425"/>
      </w:pPr>
      <w:rPr>
        <w:rFonts w:hint="default"/>
      </w:rPr>
    </w:lvl>
  </w:abstractNum>
  <w:abstractNum w:abstractNumId="3">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Yzc4YTE3ZTRhNDk1NDkxZGNlOGVhY2IxZWE3M2EifQ=="/>
  </w:docVars>
  <w:rsids>
    <w:rsidRoot w:val="009940D5"/>
    <w:rsid w:val="000E1DC6"/>
    <w:rsid w:val="001B2C0F"/>
    <w:rsid w:val="001F27FF"/>
    <w:rsid w:val="00230CC3"/>
    <w:rsid w:val="00251AA5"/>
    <w:rsid w:val="00314245"/>
    <w:rsid w:val="00357BD5"/>
    <w:rsid w:val="003A6D08"/>
    <w:rsid w:val="003E219D"/>
    <w:rsid w:val="003F6B71"/>
    <w:rsid w:val="0043257D"/>
    <w:rsid w:val="004C515D"/>
    <w:rsid w:val="004D692F"/>
    <w:rsid w:val="00673838"/>
    <w:rsid w:val="0069513A"/>
    <w:rsid w:val="007143A6"/>
    <w:rsid w:val="007A2CEE"/>
    <w:rsid w:val="007D5ABD"/>
    <w:rsid w:val="007D6FE8"/>
    <w:rsid w:val="008D09D4"/>
    <w:rsid w:val="00967EEC"/>
    <w:rsid w:val="00975377"/>
    <w:rsid w:val="009940D5"/>
    <w:rsid w:val="00A948DB"/>
    <w:rsid w:val="00B01395"/>
    <w:rsid w:val="00B35BC3"/>
    <w:rsid w:val="00C43961"/>
    <w:rsid w:val="00C56D94"/>
    <w:rsid w:val="00C652D3"/>
    <w:rsid w:val="00CD43D5"/>
    <w:rsid w:val="00D104B1"/>
    <w:rsid w:val="00D51510"/>
    <w:rsid w:val="00DE3FEA"/>
    <w:rsid w:val="00E07584"/>
    <w:rsid w:val="00E71286"/>
    <w:rsid w:val="00EA5700"/>
    <w:rsid w:val="00F244CE"/>
    <w:rsid w:val="00F54A66"/>
    <w:rsid w:val="02B8591E"/>
    <w:rsid w:val="030D2590"/>
    <w:rsid w:val="033124A2"/>
    <w:rsid w:val="04367644"/>
    <w:rsid w:val="04974587"/>
    <w:rsid w:val="08795B22"/>
    <w:rsid w:val="08D26B50"/>
    <w:rsid w:val="093B64A0"/>
    <w:rsid w:val="09B71AAD"/>
    <w:rsid w:val="09F77876"/>
    <w:rsid w:val="09FB0FD1"/>
    <w:rsid w:val="0E1234E0"/>
    <w:rsid w:val="0EF6634E"/>
    <w:rsid w:val="10C04E65"/>
    <w:rsid w:val="11296EFB"/>
    <w:rsid w:val="125C471A"/>
    <w:rsid w:val="12E43A7C"/>
    <w:rsid w:val="13EB265F"/>
    <w:rsid w:val="13EC5538"/>
    <w:rsid w:val="13F23AAC"/>
    <w:rsid w:val="14A44AAD"/>
    <w:rsid w:val="14E45FB4"/>
    <w:rsid w:val="14E60CD8"/>
    <w:rsid w:val="16442095"/>
    <w:rsid w:val="16BC37AE"/>
    <w:rsid w:val="182E43E5"/>
    <w:rsid w:val="18DD746E"/>
    <w:rsid w:val="19143FA0"/>
    <w:rsid w:val="1968609A"/>
    <w:rsid w:val="1A964B67"/>
    <w:rsid w:val="1B3A40BC"/>
    <w:rsid w:val="1B557615"/>
    <w:rsid w:val="1C1B398A"/>
    <w:rsid w:val="1C9D6E7A"/>
    <w:rsid w:val="1D2F6BA0"/>
    <w:rsid w:val="20E9492E"/>
    <w:rsid w:val="21A90ACD"/>
    <w:rsid w:val="234A3673"/>
    <w:rsid w:val="25BA22E3"/>
    <w:rsid w:val="27960276"/>
    <w:rsid w:val="28AE69FE"/>
    <w:rsid w:val="28F731F4"/>
    <w:rsid w:val="2CC2469D"/>
    <w:rsid w:val="2DA164B1"/>
    <w:rsid w:val="2F997734"/>
    <w:rsid w:val="31525646"/>
    <w:rsid w:val="32D57EA5"/>
    <w:rsid w:val="3378425F"/>
    <w:rsid w:val="36084BA9"/>
    <w:rsid w:val="36636084"/>
    <w:rsid w:val="38F30332"/>
    <w:rsid w:val="39B86AFB"/>
    <w:rsid w:val="39D148D1"/>
    <w:rsid w:val="3A41664D"/>
    <w:rsid w:val="3C4F01EC"/>
    <w:rsid w:val="3D234ED3"/>
    <w:rsid w:val="3DD31485"/>
    <w:rsid w:val="3DE47B36"/>
    <w:rsid w:val="3E067AAC"/>
    <w:rsid w:val="3E8D778A"/>
    <w:rsid w:val="4014058E"/>
    <w:rsid w:val="4081720F"/>
    <w:rsid w:val="408D2141"/>
    <w:rsid w:val="43476B9D"/>
    <w:rsid w:val="437F45E1"/>
    <w:rsid w:val="43F223DD"/>
    <w:rsid w:val="44C1053E"/>
    <w:rsid w:val="455C26A8"/>
    <w:rsid w:val="46016923"/>
    <w:rsid w:val="467B7A25"/>
    <w:rsid w:val="46F13959"/>
    <w:rsid w:val="496640E6"/>
    <w:rsid w:val="4AC916E7"/>
    <w:rsid w:val="4AF06D00"/>
    <w:rsid w:val="4C972AA6"/>
    <w:rsid w:val="4D2B2258"/>
    <w:rsid w:val="4EF15C0F"/>
    <w:rsid w:val="53963384"/>
    <w:rsid w:val="54835ED4"/>
    <w:rsid w:val="55524F2D"/>
    <w:rsid w:val="56C02003"/>
    <w:rsid w:val="5788116E"/>
    <w:rsid w:val="59023564"/>
    <w:rsid w:val="5CCA3882"/>
    <w:rsid w:val="5CF12367"/>
    <w:rsid w:val="5F5D2E4C"/>
    <w:rsid w:val="5FEC48FC"/>
    <w:rsid w:val="635C1F22"/>
    <w:rsid w:val="6361115D"/>
    <w:rsid w:val="63C00B67"/>
    <w:rsid w:val="650F782F"/>
    <w:rsid w:val="65506C5C"/>
    <w:rsid w:val="69F8576A"/>
    <w:rsid w:val="69FE2923"/>
    <w:rsid w:val="6ACD4B14"/>
    <w:rsid w:val="6CE24304"/>
    <w:rsid w:val="6CEF2781"/>
    <w:rsid w:val="6D514AC3"/>
    <w:rsid w:val="6DE45117"/>
    <w:rsid w:val="70022739"/>
    <w:rsid w:val="71A50716"/>
    <w:rsid w:val="734C73BC"/>
    <w:rsid w:val="73AB7D4A"/>
    <w:rsid w:val="73BF77DA"/>
    <w:rsid w:val="78F10436"/>
    <w:rsid w:val="78F45C7B"/>
    <w:rsid w:val="7A8333F9"/>
    <w:rsid w:val="7E3272EA"/>
    <w:rsid w:val="7F446E7F"/>
    <w:rsid w:val="7F565496"/>
    <w:rsid w:val="7FC7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66"/>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6">
    <w:name w:val="heading 2"/>
    <w:basedOn w:val="1"/>
    <w:next w:val="1"/>
    <w:link w:val="67"/>
    <w:autoRedefine/>
    <w:qFormat/>
    <w:uiPriority w:val="0"/>
    <w:pPr>
      <w:keepNext/>
      <w:keepLines/>
      <w:overflowPunct w:val="0"/>
      <w:adjustRightInd w:val="0"/>
      <w:jc w:val="left"/>
      <w:textAlignment w:val="baseline"/>
      <w:outlineLvl w:val="1"/>
    </w:pPr>
    <w:rPr>
      <w:rFonts w:ascii="宋体" w:hAnsi="宋体" w:eastAsia="楷体_GB2312" w:cs="Times New Roman"/>
      <w:b/>
      <w:sz w:val="26"/>
      <w:szCs w:val="20"/>
    </w:rPr>
  </w:style>
  <w:style w:type="paragraph" w:styleId="7">
    <w:name w:val="heading 3"/>
    <w:basedOn w:val="1"/>
    <w:next w:val="1"/>
    <w:link w:val="68"/>
    <w:qFormat/>
    <w:uiPriority w:val="0"/>
    <w:pPr>
      <w:keepNext/>
      <w:keepLines/>
      <w:adjustRightInd w:val="0"/>
      <w:jc w:val="left"/>
      <w:textAlignment w:val="baseline"/>
      <w:outlineLvl w:val="2"/>
    </w:pPr>
    <w:rPr>
      <w:rFonts w:ascii="Times New Roman" w:hAnsi="Times New Roman" w:eastAsia="楷体_GB2312" w:cs="Times New Roman"/>
      <w:b/>
      <w:sz w:val="26"/>
      <w:szCs w:val="20"/>
    </w:rPr>
  </w:style>
  <w:style w:type="paragraph" w:styleId="8">
    <w:name w:val="heading 5"/>
    <w:basedOn w:val="1"/>
    <w:next w:val="9"/>
    <w:link w:val="69"/>
    <w:autoRedefine/>
    <w:qFormat/>
    <w:uiPriority w:val="0"/>
    <w:pPr>
      <w:keepNext/>
      <w:keepLines/>
      <w:numPr>
        <w:ilvl w:val="4"/>
        <w:numId w:val="1"/>
      </w:numPr>
      <w:spacing w:before="280" w:after="290" w:line="376" w:lineRule="auto"/>
      <w:outlineLvl w:val="4"/>
    </w:pPr>
    <w:rPr>
      <w:rFonts w:ascii="宋体" w:hAnsi="Times New Roman" w:eastAsia="宋体" w:cs="Times New Roman"/>
      <w:b/>
      <w:spacing w:val="-2"/>
      <w:position w:val="-6"/>
      <w:sz w:val="28"/>
      <w:szCs w:val="20"/>
    </w:rPr>
  </w:style>
  <w:style w:type="paragraph" w:styleId="10">
    <w:name w:val="heading 6"/>
    <w:basedOn w:val="1"/>
    <w:next w:val="9"/>
    <w:link w:val="70"/>
    <w:qFormat/>
    <w:uiPriority w:val="0"/>
    <w:pPr>
      <w:keepNext/>
      <w:keepLines/>
      <w:numPr>
        <w:ilvl w:val="5"/>
        <w:numId w:val="1"/>
      </w:numPr>
      <w:spacing w:before="240" w:after="64" w:line="320" w:lineRule="auto"/>
      <w:outlineLvl w:val="5"/>
    </w:pPr>
    <w:rPr>
      <w:rFonts w:ascii="Arial" w:hAnsi="Arial" w:eastAsia="黑体" w:cs="Times New Roman"/>
      <w:b/>
      <w:spacing w:val="-2"/>
      <w:position w:val="-6"/>
      <w:sz w:val="24"/>
      <w:szCs w:val="20"/>
    </w:rPr>
  </w:style>
  <w:style w:type="paragraph" w:styleId="11">
    <w:name w:val="heading 7"/>
    <w:basedOn w:val="1"/>
    <w:next w:val="9"/>
    <w:link w:val="71"/>
    <w:autoRedefine/>
    <w:qFormat/>
    <w:uiPriority w:val="0"/>
    <w:pPr>
      <w:keepNext/>
      <w:keepLines/>
      <w:numPr>
        <w:ilvl w:val="6"/>
        <w:numId w:val="1"/>
      </w:numPr>
      <w:spacing w:before="240" w:after="64" w:line="320" w:lineRule="auto"/>
      <w:outlineLvl w:val="6"/>
    </w:pPr>
    <w:rPr>
      <w:rFonts w:ascii="宋体" w:hAnsi="Times New Roman" w:eastAsia="宋体" w:cs="Times New Roman"/>
      <w:b/>
      <w:spacing w:val="-2"/>
      <w:position w:val="-6"/>
      <w:sz w:val="24"/>
      <w:szCs w:val="20"/>
    </w:rPr>
  </w:style>
  <w:style w:type="paragraph" w:styleId="12">
    <w:name w:val="heading 8"/>
    <w:basedOn w:val="1"/>
    <w:next w:val="9"/>
    <w:link w:val="72"/>
    <w:qFormat/>
    <w:uiPriority w:val="0"/>
    <w:pPr>
      <w:keepNext/>
      <w:keepLines/>
      <w:numPr>
        <w:ilvl w:val="7"/>
        <w:numId w:val="1"/>
      </w:numPr>
      <w:spacing w:before="240" w:after="64" w:line="320" w:lineRule="auto"/>
      <w:outlineLvl w:val="7"/>
    </w:pPr>
    <w:rPr>
      <w:rFonts w:ascii="Arial" w:hAnsi="Arial" w:eastAsia="黑体" w:cs="Times New Roman"/>
      <w:spacing w:val="-2"/>
      <w:position w:val="-6"/>
      <w:sz w:val="24"/>
      <w:szCs w:val="20"/>
    </w:rPr>
  </w:style>
  <w:style w:type="paragraph" w:styleId="13">
    <w:name w:val="heading 9"/>
    <w:basedOn w:val="1"/>
    <w:next w:val="9"/>
    <w:link w:val="73"/>
    <w:autoRedefine/>
    <w:qFormat/>
    <w:uiPriority w:val="0"/>
    <w:pPr>
      <w:keepNext/>
      <w:keepLines/>
      <w:numPr>
        <w:ilvl w:val="8"/>
        <w:numId w:val="1"/>
      </w:numPr>
      <w:spacing w:before="240" w:after="64" w:line="320" w:lineRule="auto"/>
      <w:outlineLvl w:val="8"/>
    </w:pPr>
    <w:rPr>
      <w:rFonts w:ascii="Arial" w:hAnsi="Arial" w:eastAsia="黑体" w:cs="Times New Roman"/>
      <w:spacing w:val="-2"/>
      <w:position w:val="-6"/>
      <w:sz w:val="28"/>
      <w:szCs w:val="20"/>
    </w:rPr>
  </w:style>
  <w:style w:type="character" w:default="1" w:styleId="50">
    <w:name w:val="Default Paragraph Font"/>
    <w:autoRedefine/>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9"/>
    <w:qFormat/>
    <w:uiPriority w:val="0"/>
    <w:pPr>
      <w:spacing w:beforeLines="50" w:after="120" w:line="300" w:lineRule="auto"/>
      <w:ind w:firstLine="420" w:firstLineChars="250"/>
    </w:pPr>
    <w:rPr>
      <w:sz w:val="24"/>
      <w:szCs w:val="24"/>
    </w:rPr>
  </w:style>
  <w:style w:type="paragraph" w:styleId="3">
    <w:name w:val="Body Text"/>
    <w:basedOn w:val="1"/>
    <w:next w:val="1"/>
    <w:link w:val="74"/>
    <w:autoRedefine/>
    <w:qFormat/>
    <w:uiPriority w:val="0"/>
    <w:pPr>
      <w:spacing w:line="400" w:lineRule="exact"/>
    </w:pPr>
    <w:rPr>
      <w:rFonts w:ascii="楷体_GB2312" w:hAnsi="Times New Roman" w:eastAsia="楷体_GB2312" w:cs="Times New Roman"/>
      <w:sz w:val="28"/>
      <w:szCs w:val="20"/>
    </w:rPr>
  </w:style>
  <w:style w:type="paragraph" w:styleId="4">
    <w:name w:val="toc 6"/>
    <w:basedOn w:val="1"/>
    <w:next w:val="1"/>
    <w:autoRedefine/>
    <w:semiHidden/>
    <w:qFormat/>
    <w:uiPriority w:val="0"/>
    <w:pPr>
      <w:ind w:left="2100"/>
    </w:pPr>
    <w:rPr>
      <w:rFonts w:ascii="Times New Roman" w:hAnsi="Times New Roman" w:eastAsia="楷体_GB2312" w:cs="Times New Roman"/>
      <w:sz w:val="26"/>
      <w:szCs w:val="20"/>
    </w:rPr>
  </w:style>
  <w:style w:type="paragraph" w:styleId="9">
    <w:name w:val="Normal Indent"/>
    <w:basedOn w:val="1"/>
    <w:link w:val="75"/>
    <w:autoRedefine/>
    <w:qFormat/>
    <w:uiPriority w:val="0"/>
    <w:pPr>
      <w:adjustRightInd w:val="0"/>
      <w:ind w:firstLine="420"/>
      <w:jc w:val="left"/>
      <w:textAlignment w:val="baseline"/>
    </w:pPr>
    <w:rPr>
      <w:rFonts w:ascii="Times New Roman" w:hAnsi="Times New Roman" w:eastAsia="楷体_GB2312" w:cs="Times New Roman"/>
      <w:sz w:val="24"/>
      <w:szCs w:val="20"/>
    </w:rPr>
  </w:style>
  <w:style w:type="paragraph" w:styleId="14">
    <w:name w:val="toc 7"/>
    <w:basedOn w:val="1"/>
    <w:next w:val="1"/>
    <w:autoRedefine/>
    <w:semiHidden/>
    <w:qFormat/>
    <w:uiPriority w:val="0"/>
    <w:pPr>
      <w:ind w:left="2520"/>
    </w:pPr>
    <w:rPr>
      <w:rFonts w:ascii="Times New Roman" w:hAnsi="Times New Roman" w:eastAsia="楷体_GB2312" w:cs="Times New Roman"/>
      <w:sz w:val="26"/>
      <w:szCs w:val="20"/>
    </w:rPr>
  </w:style>
  <w:style w:type="paragraph" w:styleId="15">
    <w:name w:val="index 8"/>
    <w:basedOn w:val="1"/>
    <w:next w:val="1"/>
    <w:autoRedefine/>
    <w:semiHidden/>
    <w:qFormat/>
    <w:uiPriority w:val="0"/>
    <w:pPr>
      <w:ind w:left="2940"/>
    </w:pPr>
    <w:rPr>
      <w:rFonts w:ascii="Times New Roman" w:hAnsi="Times New Roman" w:eastAsia="楷体_GB2312" w:cs="Times New Roman"/>
      <w:sz w:val="26"/>
      <w:szCs w:val="20"/>
    </w:rPr>
  </w:style>
  <w:style w:type="paragraph" w:styleId="16">
    <w:name w:val="index 5"/>
    <w:basedOn w:val="1"/>
    <w:next w:val="1"/>
    <w:autoRedefine/>
    <w:semiHidden/>
    <w:qFormat/>
    <w:uiPriority w:val="0"/>
    <w:pPr>
      <w:ind w:left="1680"/>
    </w:pPr>
    <w:rPr>
      <w:rFonts w:ascii="Times New Roman" w:hAnsi="Times New Roman" w:eastAsia="楷体_GB2312" w:cs="Times New Roman"/>
      <w:sz w:val="26"/>
      <w:szCs w:val="20"/>
    </w:rPr>
  </w:style>
  <w:style w:type="paragraph" w:styleId="17">
    <w:name w:val="Document Map"/>
    <w:basedOn w:val="1"/>
    <w:link w:val="76"/>
    <w:autoRedefine/>
    <w:semiHidden/>
    <w:qFormat/>
    <w:uiPriority w:val="0"/>
    <w:pPr>
      <w:shd w:val="clear" w:color="auto" w:fill="000080"/>
    </w:pPr>
    <w:rPr>
      <w:rFonts w:ascii="Times New Roman" w:hAnsi="Times New Roman" w:eastAsia="楷体_GB2312" w:cs="Times New Roman"/>
      <w:sz w:val="26"/>
      <w:szCs w:val="20"/>
    </w:rPr>
  </w:style>
  <w:style w:type="paragraph" w:styleId="18">
    <w:name w:val="annotation text"/>
    <w:basedOn w:val="1"/>
    <w:link w:val="77"/>
    <w:autoRedefine/>
    <w:semiHidden/>
    <w:qFormat/>
    <w:uiPriority w:val="0"/>
    <w:pPr>
      <w:jc w:val="left"/>
    </w:pPr>
    <w:rPr>
      <w:rFonts w:ascii="Times New Roman" w:hAnsi="Times New Roman" w:eastAsia="楷体_GB2312" w:cs="Times New Roman"/>
      <w:sz w:val="26"/>
      <w:szCs w:val="20"/>
    </w:rPr>
  </w:style>
  <w:style w:type="paragraph" w:styleId="19">
    <w:name w:val="index 6"/>
    <w:basedOn w:val="1"/>
    <w:next w:val="1"/>
    <w:autoRedefine/>
    <w:semiHidden/>
    <w:qFormat/>
    <w:uiPriority w:val="0"/>
    <w:pPr>
      <w:ind w:left="2100"/>
    </w:pPr>
    <w:rPr>
      <w:rFonts w:ascii="Times New Roman" w:hAnsi="Times New Roman" w:eastAsia="楷体_GB2312" w:cs="Times New Roman"/>
      <w:sz w:val="26"/>
      <w:szCs w:val="20"/>
    </w:rPr>
  </w:style>
  <w:style w:type="paragraph" w:styleId="20">
    <w:name w:val="Body Text Indent"/>
    <w:basedOn w:val="1"/>
    <w:next w:val="21"/>
    <w:link w:val="78"/>
    <w:autoRedefine/>
    <w:qFormat/>
    <w:uiPriority w:val="0"/>
    <w:pPr>
      <w:spacing w:line="520" w:lineRule="exact"/>
      <w:ind w:left="570"/>
    </w:pPr>
    <w:rPr>
      <w:rFonts w:ascii="方正仿宋简体" w:hAnsi="创艺简仿宋" w:eastAsia="方正仿宋简体" w:cs="Times New Roman"/>
      <w:sz w:val="24"/>
      <w:szCs w:val="20"/>
    </w:rPr>
  </w:style>
  <w:style w:type="paragraph" w:styleId="21">
    <w:name w:val="envelope return"/>
    <w:basedOn w:val="1"/>
    <w:autoRedefine/>
    <w:unhideWhenUsed/>
    <w:qFormat/>
    <w:uiPriority w:val="99"/>
    <w:pPr>
      <w:snapToGrid w:val="0"/>
    </w:pPr>
    <w:rPr>
      <w:rFonts w:ascii="Arial" w:hAnsi="Arial" w:eastAsia="楷体_GB2312" w:cs="Times New Roman"/>
      <w:sz w:val="26"/>
      <w:szCs w:val="20"/>
    </w:rPr>
  </w:style>
  <w:style w:type="paragraph" w:styleId="22">
    <w:name w:val="index 4"/>
    <w:basedOn w:val="1"/>
    <w:next w:val="1"/>
    <w:autoRedefine/>
    <w:semiHidden/>
    <w:qFormat/>
    <w:uiPriority w:val="0"/>
    <w:pPr>
      <w:ind w:left="1260"/>
    </w:pPr>
    <w:rPr>
      <w:rFonts w:ascii="Times New Roman" w:hAnsi="Times New Roman" w:eastAsia="楷体_GB2312" w:cs="Times New Roman"/>
      <w:sz w:val="26"/>
      <w:szCs w:val="20"/>
    </w:rPr>
  </w:style>
  <w:style w:type="paragraph" w:styleId="23">
    <w:name w:val="toc 5"/>
    <w:basedOn w:val="1"/>
    <w:next w:val="1"/>
    <w:autoRedefine/>
    <w:semiHidden/>
    <w:qFormat/>
    <w:uiPriority w:val="0"/>
    <w:pPr>
      <w:ind w:left="1680"/>
    </w:pPr>
    <w:rPr>
      <w:rFonts w:ascii="Times New Roman" w:hAnsi="Times New Roman" w:eastAsia="楷体_GB2312" w:cs="Times New Roman"/>
      <w:sz w:val="26"/>
      <w:szCs w:val="20"/>
    </w:rPr>
  </w:style>
  <w:style w:type="paragraph" w:styleId="24">
    <w:name w:val="toc 3"/>
    <w:basedOn w:val="1"/>
    <w:next w:val="1"/>
    <w:autoRedefine/>
    <w:semiHidden/>
    <w:qFormat/>
    <w:uiPriority w:val="0"/>
    <w:pPr>
      <w:ind w:left="840"/>
    </w:pPr>
    <w:rPr>
      <w:rFonts w:ascii="Times New Roman" w:hAnsi="Times New Roman" w:eastAsia="楷体_GB2312" w:cs="Times New Roman"/>
      <w:sz w:val="26"/>
      <w:szCs w:val="20"/>
    </w:rPr>
  </w:style>
  <w:style w:type="paragraph" w:styleId="25">
    <w:name w:val="Plain Text"/>
    <w:basedOn w:val="1"/>
    <w:link w:val="79"/>
    <w:autoRedefine/>
    <w:qFormat/>
    <w:uiPriority w:val="0"/>
    <w:rPr>
      <w:rFonts w:ascii="宋体" w:hAnsi="Courier New" w:eastAsia="楷体_GB2312" w:cs="Times New Roman"/>
      <w:sz w:val="26"/>
      <w:szCs w:val="20"/>
    </w:rPr>
  </w:style>
  <w:style w:type="paragraph" w:styleId="26">
    <w:name w:val="toc 8"/>
    <w:basedOn w:val="1"/>
    <w:next w:val="1"/>
    <w:autoRedefine/>
    <w:semiHidden/>
    <w:qFormat/>
    <w:uiPriority w:val="0"/>
    <w:pPr>
      <w:ind w:left="2940"/>
    </w:pPr>
    <w:rPr>
      <w:rFonts w:ascii="Times New Roman" w:hAnsi="Times New Roman" w:eastAsia="楷体_GB2312" w:cs="Times New Roman"/>
      <w:sz w:val="26"/>
      <w:szCs w:val="20"/>
    </w:rPr>
  </w:style>
  <w:style w:type="paragraph" w:styleId="27">
    <w:name w:val="index 3"/>
    <w:basedOn w:val="1"/>
    <w:next w:val="1"/>
    <w:autoRedefine/>
    <w:semiHidden/>
    <w:qFormat/>
    <w:uiPriority w:val="0"/>
    <w:pPr>
      <w:ind w:left="840"/>
    </w:pPr>
    <w:rPr>
      <w:rFonts w:ascii="Times New Roman" w:hAnsi="Times New Roman" w:eastAsia="楷体_GB2312" w:cs="Times New Roman"/>
      <w:sz w:val="26"/>
      <w:szCs w:val="20"/>
    </w:rPr>
  </w:style>
  <w:style w:type="paragraph" w:styleId="28">
    <w:name w:val="Date"/>
    <w:basedOn w:val="1"/>
    <w:next w:val="1"/>
    <w:link w:val="80"/>
    <w:autoRedefine/>
    <w:qFormat/>
    <w:uiPriority w:val="99"/>
    <w:rPr>
      <w:rFonts w:ascii="宋体" w:hAnsi="宋体" w:eastAsia="楷体_GB2312" w:cs="Times New Roman"/>
      <w:sz w:val="24"/>
      <w:szCs w:val="20"/>
    </w:rPr>
  </w:style>
  <w:style w:type="paragraph" w:styleId="29">
    <w:name w:val="Body Text Indent 2"/>
    <w:basedOn w:val="1"/>
    <w:link w:val="81"/>
    <w:autoRedefine/>
    <w:qFormat/>
    <w:uiPriority w:val="0"/>
    <w:pPr>
      <w:tabs>
        <w:tab w:val="left" w:pos="0"/>
      </w:tabs>
      <w:spacing w:line="360" w:lineRule="auto"/>
      <w:ind w:firstLine="502" w:firstLineChars="209"/>
    </w:pPr>
    <w:rPr>
      <w:rFonts w:ascii="宋体" w:hAnsi="Times New Roman" w:eastAsia="宋体" w:cs="Times New Roman"/>
      <w:b/>
      <w:bCs/>
      <w:sz w:val="24"/>
      <w:szCs w:val="20"/>
    </w:rPr>
  </w:style>
  <w:style w:type="paragraph" w:styleId="30">
    <w:name w:val="Balloon Text"/>
    <w:basedOn w:val="1"/>
    <w:link w:val="82"/>
    <w:autoRedefine/>
    <w:semiHidden/>
    <w:qFormat/>
    <w:uiPriority w:val="0"/>
    <w:rPr>
      <w:rFonts w:ascii="Times New Roman" w:hAnsi="Times New Roman" w:eastAsia="楷体_GB2312" w:cs="Times New Roman"/>
      <w:sz w:val="18"/>
      <w:szCs w:val="18"/>
    </w:rPr>
  </w:style>
  <w:style w:type="paragraph" w:styleId="31">
    <w:name w:val="footer"/>
    <w:basedOn w:val="1"/>
    <w:link w:val="83"/>
    <w:autoRedefine/>
    <w:qFormat/>
    <w:uiPriority w:val="0"/>
    <w:pPr>
      <w:tabs>
        <w:tab w:val="center" w:pos="4153"/>
        <w:tab w:val="right" w:pos="8306"/>
      </w:tabs>
      <w:snapToGrid w:val="0"/>
      <w:jc w:val="left"/>
    </w:pPr>
    <w:rPr>
      <w:rFonts w:ascii="Times New Roman" w:hAnsi="Times New Roman" w:eastAsia="楷体_GB2312" w:cs="Times New Roman"/>
      <w:sz w:val="18"/>
      <w:szCs w:val="20"/>
    </w:rPr>
  </w:style>
  <w:style w:type="paragraph" w:styleId="32">
    <w:name w:val="header"/>
    <w:basedOn w:val="1"/>
    <w:link w:val="84"/>
    <w:autoRedefine/>
    <w:qFormat/>
    <w:uiPriority w:val="0"/>
    <w:pPr>
      <w:pBdr>
        <w:bottom w:val="single" w:color="auto" w:sz="6" w:space="1"/>
      </w:pBdr>
      <w:tabs>
        <w:tab w:val="center" w:pos="4153"/>
        <w:tab w:val="right" w:pos="8306"/>
      </w:tabs>
      <w:snapToGrid w:val="0"/>
      <w:jc w:val="center"/>
    </w:pPr>
    <w:rPr>
      <w:rFonts w:ascii="Times New Roman" w:hAnsi="Times New Roman" w:eastAsia="楷体_GB2312" w:cs="Times New Roman"/>
      <w:sz w:val="18"/>
      <w:szCs w:val="20"/>
    </w:rPr>
  </w:style>
  <w:style w:type="paragraph" w:styleId="33">
    <w:name w:val="toc 1"/>
    <w:basedOn w:val="1"/>
    <w:next w:val="1"/>
    <w:autoRedefine/>
    <w:qFormat/>
    <w:uiPriority w:val="39"/>
    <w:pPr>
      <w:adjustRightInd w:val="0"/>
      <w:jc w:val="left"/>
      <w:textAlignment w:val="baseline"/>
    </w:pPr>
    <w:rPr>
      <w:rFonts w:ascii="Times New Roman" w:hAnsi="Times New Roman" w:eastAsia="楷体_GB2312" w:cs="Times New Roman"/>
      <w:sz w:val="24"/>
      <w:szCs w:val="20"/>
    </w:rPr>
  </w:style>
  <w:style w:type="paragraph" w:styleId="34">
    <w:name w:val="toc 4"/>
    <w:basedOn w:val="1"/>
    <w:next w:val="1"/>
    <w:autoRedefine/>
    <w:semiHidden/>
    <w:qFormat/>
    <w:uiPriority w:val="0"/>
    <w:pPr>
      <w:ind w:left="1260"/>
    </w:pPr>
    <w:rPr>
      <w:rFonts w:ascii="Times New Roman" w:hAnsi="Times New Roman" w:eastAsia="楷体_GB2312" w:cs="Times New Roman"/>
      <w:sz w:val="26"/>
      <w:szCs w:val="20"/>
    </w:rPr>
  </w:style>
  <w:style w:type="paragraph" w:styleId="35">
    <w:name w:val="index heading"/>
    <w:basedOn w:val="1"/>
    <w:next w:val="36"/>
    <w:autoRedefine/>
    <w:semiHidden/>
    <w:qFormat/>
    <w:uiPriority w:val="0"/>
    <w:rPr>
      <w:rFonts w:ascii="Times New Roman" w:hAnsi="Times New Roman" w:eastAsia="楷体_GB2312" w:cs="Times New Roman"/>
      <w:sz w:val="26"/>
      <w:szCs w:val="20"/>
    </w:rPr>
  </w:style>
  <w:style w:type="paragraph" w:styleId="36">
    <w:name w:val="index 1"/>
    <w:basedOn w:val="1"/>
    <w:next w:val="1"/>
    <w:autoRedefine/>
    <w:semiHidden/>
    <w:unhideWhenUsed/>
    <w:qFormat/>
    <w:uiPriority w:val="0"/>
  </w:style>
  <w:style w:type="paragraph" w:styleId="37">
    <w:name w:val="footnote text"/>
    <w:basedOn w:val="1"/>
    <w:next w:val="16"/>
    <w:link w:val="85"/>
    <w:autoRedefine/>
    <w:semiHidden/>
    <w:qFormat/>
    <w:uiPriority w:val="0"/>
    <w:pPr>
      <w:snapToGrid w:val="0"/>
      <w:jc w:val="left"/>
    </w:pPr>
    <w:rPr>
      <w:rFonts w:ascii="Times New Roman" w:hAnsi="Times New Roman" w:eastAsia="楷体_GB2312" w:cs="Times New Roman"/>
      <w:sz w:val="18"/>
      <w:szCs w:val="20"/>
    </w:rPr>
  </w:style>
  <w:style w:type="paragraph" w:styleId="38">
    <w:name w:val="Body Text Indent 3"/>
    <w:basedOn w:val="1"/>
    <w:link w:val="86"/>
    <w:autoRedefine/>
    <w:qFormat/>
    <w:uiPriority w:val="0"/>
    <w:pPr>
      <w:spacing w:line="360" w:lineRule="auto"/>
      <w:ind w:firstLine="617" w:firstLineChars="257"/>
    </w:pPr>
    <w:rPr>
      <w:rFonts w:ascii="Times New Roman" w:hAnsi="Times New Roman" w:eastAsia="宋体" w:cs="Times New Roman"/>
      <w:sz w:val="24"/>
      <w:szCs w:val="24"/>
    </w:rPr>
  </w:style>
  <w:style w:type="paragraph" w:styleId="39">
    <w:name w:val="index 7"/>
    <w:basedOn w:val="1"/>
    <w:next w:val="1"/>
    <w:autoRedefine/>
    <w:semiHidden/>
    <w:qFormat/>
    <w:uiPriority w:val="0"/>
    <w:pPr>
      <w:ind w:left="2520"/>
    </w:pPr>
    <w:rPr>
      <w:rFonts w:ascii="Times New Roman" w:hAnsi="Times New Roman" w:eastAsia="楷体_GB2312" w:cs="Times New Roman"/>
      <w:sz w:val="26"/>
      <w:szCs w:val="20"/>
    </w:rPr>
  </w:style>
  <w:style w:type="paragraph" w:styleId="40">
    <w:name w:val="index 9"/>
    <w:basedOn w:val="1"/>
    <w:next w:val="1"/>
    <w:autoRedefine/>
    <w:semiHidden/>
    <w:qFormat/>
    <w:uiPriority w:val="0"/>
    <w:pPr>
      <w:ind w:left="3360"/>
    </w:pPr>
    <w:rPr>
      <w:rFonts w:ascii="Times New Roman" w:hAnsi="Times New Roman" w:eastAsia="楷体_GB2312" w:cs="Times New Roman"/>
      <w:sz w:val="26"/>
      <w:szCs w:val="20"/>
    </w:rPr>
  </w:style>
  <w:style w:type="paragraph" w:styleId="41">
    <w:name w:val="table of figures"/>
    <w:basedOn w:val="1"/>
    <w:next w:val="1"/>
    <w:autoRedefine/>
    <w:semiHidden/>
    <w:qFormat/>
    <w:uiPriority w:val="0"/>
    <w:pPr>
      <w:adjustRightInd w:val="0"/>
      <w:ind w:left="420" w:hanging="420"/>
      <w:jc w:val="left"/>
      <w:textAlignment w:val="baseline"/>
    </w:pPr>
    <w:rPr>
      <w:rFonts w:ascii="Times New Roman" w:hAnsi="Times New Roman" w:eastAsia="楷体_GB2312" w:cs="Times New Roman"/>
      <w:smallCaps/>
      <w:sz w:val="24"/>
      <w:szCs w:val="20"/>
    </w:rPr>
  </w:style>
  <w:style w:type="paragraph" w:styleId="42">
    <w:name w:val="toc 2"/>
    <w:basedOn w:val="1"/>
    <w:next w:val="1"/>
    <w:autoRedefine/>
    <w:semiHidden/>
    <w:qFormat/>
    <w:uiPriority w:val="0"/>
    <w:pPr>
      <w:ind w:left="420"/>
    </w:pPr>
    <w:rPr>
      <w:rFonts w:ascii="Times New Roman" w:hAnsi="Times New Roman" w:eastAsia="楷体_GB2312" w:cs="Times New Roman"/>
      <w:sz w:val="26"/>
      <w:szCs w:val="20"/>
    </w:rPr>
  </w:style>
  <w:style w:type="paragraph" w:styleId="43">
    <w:name w:val="toc 9"/>
    <w:basedOn w:val="1"/>
    <w:next w:val="1"/>
    <w:autoRedefine/>
    <w:semiHidden/>
    <w:qFormat/>
    <w:uiPriority w:val="0"/>
    <w:pPr>
      <w:ind w:left="3360"/>
    </w:pPr>
    <w:rPr>
      <w:rFonts w:ascii="Times New Roman" w:hAnsi="Times New Roman" w:eastAsia="楷体_GB2312" w:cs="Times New Roman"/>
      <w:sz w:val="26"/>
      <w:szCs w:val="20"/>
    </w:rPr>
  </w:style>
  <w:style w:type="paragraph" w:styleId="44">
    <w:name w:val="HTML Preformatted"/>
    <w:basedOn w:val="1"/>
    <w:link w:val="8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szCs w:val="20"/>
    </w:rPr>
  </w:style>
  <w:style w:type="paragraph" w:styleId="45">
    <w:name w:val="index 2"/>
    <w:basedOn w:val="1"/>
    <w:next w:val="1"/>
    <w:autoRedefine/>
    <w:semiHidden/>
    <w:qFormat/>
    <w:uiPriority w:val="0"/>
    <w:pPr>
      <w:ind w:left="420"/>
    </w:pPr>
    <w:rPr>
      <w:rFonts w:ascii="Times New Roman" w:hAnsi="Times New Roman" w:eastAsia="楷体_GB2312" w:cs="Times New Roman"/>
      <w:sz w:val="26"/>
      <w:szCs w:val="20"/>
    </w:rPr>
  </w:style>
  <w:style w:type="paragraph" w:styleId="46">
    <w:name w:val="annotation subject"/>
    <w:basedOn w:val="18"/>
    <w:next w:val="18"/>
    <w:link w:val="88"/>
    <w:autoRedefine/>
    <w:semiHidden/>
    <w:qFormat/>
    <w:uiPriority w:val="0"/>
    <w:rPr>
      <w:b/>
      <w:bCs/>
    </w:rPr>
  </w:style>
  <w:style w:type="paragraph" w:styleId="47">
    <w:name w:val="Body Text First Indent 2"/>
    <w:basedOn w:val="20"/>
    <w:next w:val="1"/>
    <w:link w:val="90"/>
    <w:autoRedefine/>
    <w:unhideWhenUsed/>
    <w:qFormat/>
    <w:uiPriority w:val="99"/>
    <w:pPr>
      <w:ind w:firstLine="420" w:firstLineChars="200"/>
    </w:pPr>
  </w:style>
  <w:style w:type="table" w:styleId="49">
    <w:name w:val="Table Grid"/>
    <w:basedOn w:val="48"/>
    <w:autoRedefine/>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b/>
    </w:rPr>
  </w:style>
  <w:style w:type="character" w:styleId="52">
    <w:name w:val="page number"/>
    <w:autoRedefine/>
    <w:qFormat/>
    <w:uiPriority w:val="0"/>
  </w:style>
  <w:style w:type="character" w:styleId="53">
    <w:name w:val="FollowedHyperlink"/>
    <w:autoRedefine/>
    <w:qFormat/>
    <w:uiPriority w:val="0"/>
    <w:rPr>
      <w:color w:val="000000"/>
      <w:u w:val="none"/>
    </w:rPr>
  </w:style>
  <w:style w:type="character" w:styleId="54">
    <w:name w:val="Emphasis"/>
    <w:autoRedefine/>
    <w:qFormat/>
    <w:uiPriority w:val="20"/>
    <w:rPr>
      <w:i/>
      <w:iCs/>
    </w:rPr>
  </w:style>
  <w:style w:type="character" w:styleId="55">
    <w:name w:val="line number"/>
    <w:autoRedefine/>
    <w:qFormat/>
    <w:uiPriority w:val="0"/>
  </w:style>
  <w:style w:type="character" w:styleId="56">
    <w:name w:val="HTML Definition"/>
    <w:autoRedefine/>
    <w:qFormat/>
    <w:uiPriority w:val="0"/>
    <w:rPr>
      <w:i/>
    </w:rPr>
  </w:style>
  <w:style w:type="character" w:styleId="57">
    <w:name w:val="HTML Typewriter"/>
    <w:autoRedefine/>
    <w:qFormat/>
    <w:uiPriority w:val="0"/>
    <w:rPr>
      <w:b/>
      <w:color w:val="666666"/>
    </w:rPr>
  </w:style>
  <w:style w:type="character" w:styleId="58">
    <w:name w:val="Hyperlink"/>
    <w:autoRedefine/>
    <w:qFormat/>
    <w:uiPriority w:val="0"/>
    <w:rPr>
      <w:color w:val="000000"/>
      <w:u w:val="none"/>
    </w:rPr>
  </w:style>
  <w:style w:type="character" w:styleId="59">
    <w:name w:val="HTML Code"/>
    <w:autoRedefine/>
    <w:qFormat/>
    <w:uiPriority w:val="0"/>
    <w:rPr>
      <w:rFonts w:hint="default" w:ascii="Menlo" w:hAnsi="Menlo" w:eastAsia="Menlo" w:cs="Menlo"/>
      <w:color w:val="C7254E"/>
      <w:sz w:val="21"/>
      <w:szCs w:val="21"/>
      <w:shd w:val="clear" w:color="auto" w:fill="F9F2F4"/>
    </w:rPr>
  </w:style>
  <w:style w:type="character" w:styleId="60">
    <w:name w:val="annotation reference"/>
    <w:autoRedefine/>
    <w:semiHidden/>
    <w:qFormat/>
    <w:uiPriority w:val="0"/>
    <w:rPr>
      <w:sz w:val="21"/>
      <w:szCs w:val="21"/>
    </w:rPr>
  </w:style>
  <w:style w:type="character" w:styleId="61">
    <w:name w:val="HTML Cite"/>
    <w:autoRedefine/>
    <w:qFormat/>
    <w:uiPriority w:val="0"/>
  </w:style>
  <w:style w:type="character" w:styleId="62">
    <w:name w:val="footnote reference"/>
    <w:autoRedefine/>
    <w:semiHidden/>
    <w:qFormat/>
    <w:uiPriority w:val="0"/>
    <w:rPr>
      <w:vertAlign w:val="superscript"/>
    </w:rPr>
  </w:style>
  <w:style w:type="character" w:styleId="63">
    <w:name w:val="HTML Keyboard"/>
    <w:autoRedefine/>
    <w:qFormat/>
    <w:uiPriority w:val="0"/>
    <w:rPr>
      <w:rFonts w:hint="default" w:ascii="Menlo" w:hAnsi="Menlo" w:eastAsia="Menlo" w:cs="Menlo"/>
      <w:sz w:val="21"/>
      <w:szCs w:val="21"/>
    </w:rPr>
  </w:style>
  <w:style w:type="character" w:styleId="64">
    <w:name w:val="HTML Sample"/>
    <w:autoRedefine/>
    <w:qFormat/>
    <w:uiPriority w:val="0"/>
    <w:rPr>
      <w:rFonts w:ascii="Menlo" w:hAnsi="Menlo" w:eastAsia="Menlo" w:cs="Menlo"/>
      <w:sz w:val="21"/>
      <w:szCs w:val="21"/>
    </w:rPr>
  </w:style>
  <w:style w:type="paragraph" w:customStyle="1" w:styleId="65">
    <w:name w:val="Default"/>
    <w:autoRedefine/>
    <w:qFormat/>
    <w:uiPriority w:val="0"/>
    <w:pPr>
      <w:autoSpaceDE w:val="0"/>
      <w:autoSpaceDN w:val="0"/>
    </w:pPr>
    <w:rPr>
      <w:rFonts w:ascii="Arial,Bold" w:hAnsi="Arial,Bold" w:eastAsia="PMingLiU" w:cs="Times New Roman"/>
      <w:kern w:val="0"/>
      <w:sz w:val="20"/>
      <w:szCs w:val="20"/>
      <w:lang w:val="en-US" w:eastAsia="en-US" w:bidi="ar-SA"/>
    </w:rPr>
  </w:style>
  <w:style w:type="character" w:customStyle="1" w:styleId="66">
    <w:name w:val="标题 1 Char"/>
    <w:basedOn w:val="50"/>
    <w:link w:val="5"/>
    <w:autoRedefine/>
    <w:qFormat/>
    <w:uiPriority w:val="0"/>
    <w:rPr>
      <w:rFonts w:ascii="Times New Roman" w:hAnsi="Times New Roman" w:eastAsia="楷体_GB2312" w:cs="Times New Roman"/>
      <w:b/>
      <w:kern w:val="44"/>
      <w:sz w:val="44"/>
      <w:szCs w:val="20"/>
    </w:rPr>
  </w:style>
  <w:style w:type="character" w:customStyle="1" w:styleId="67">
    <w:name w:val="标题 2 Char"/>
    <w:basedOn w:val="50"/>
    <w:link w:val="6"/>
    <w:autoRedefine/>
    <w:qFormat/>
    <w:uiPriority w:val="0"/>
    <w:rPr>
      <w:rFonts w:ascii="宋体" w:hAnsi="宋体" w:eastAsia="楷体_GB2312" w:cs="Times New Roman"/>
      <w:b/>
      <w:sz w:val="26"/>
      <w:szCs w:val="20"/>
    </w:rPr>
  </w:style>
  <w:style w:type="character" w:customStyle="1" w:styleId="68">
    <w:name w:val="标题 3 Char"/>
    <w:basedOn w:val="50"/>
    <w:link w:val="7"/>
    <w:autoRedefine/>
    <w:qFormat/>
    <w:uiPriority w:val="0"/>
    <w:rPr>
      <w:rFonts w:ascii="Times New Roman" w:hAnsi="Times New Roman" w:eastAsia="楷体_GB2312" w:cs="Times New Roman"/>
      <w:b/>
      <w:sz w:val="26"/>
      <w:szCs w:val="20"/>
    </w:rPr>
  </w:style>
  <w:style w:type="character" w:customStyle="1" w:styleId="69">
    <w:name w:val="标题 5 Char"/>
    <w:basedOn w:val="50"/>
    <w:link w:val="8"/>
    <w:autoRedefine/>
    <w:qFormat/>
    <w:uiPriority w:val="0"/>
    <w:rPr>
      <w:rFonts w:ascii="宋体" w:hAnsi="Times New Roman" w:eastAsia="宋体" w:cs="Times New Roman"/>
      <w:b/>
      <w:spacing w:val="-2"/>
      <w:position w:val="-6"/>
      <w:sz w:val="28"/>
      <w:szCs w:val="20"/>
    </w:rPr>
  </w:style>
  <w:style w:type="character" w:customStyle="1" w:styleId="70">
    <w:name w:val="标题 6 Char"/>
    <w:basedOn w:val="50"/>
    <w:link w:val="10"/>
    <w:autoRedefine/>
    <w:qFormat/>
    <w:uiPriority w:val="0"/>
    <w:rPr>
      <w:rFonts w:ascii="Arial" w:hAnsi="Arial" w:eastAsia="黑体" w:cs="Times New Roman"/>
      <w:b/>
      <w:spacing w:val="-2"/>
      <w:position w:val="-6"/>
      <w:sz w:val="24"/>
      <w:szCs w:val="20"/>
    </w:rPr>
  </w:style>
  <w:style w:type="character" w:customStyle="1" w:styleId="71">
    <w:name w:val="标题 7 Char"/>
    <w:basedOn w:val="50"/>
    <w:link w:val="11"/>
    <w:autoRedefine/>
    <w:qFormat/>
    <w:uiPriority w:val="0"/>
    <w:rPr>
      <w:rFonts w:ascii="宋体" w:hAnsi="Times New Roman" w:eastAsia="宋体" w:cs="Times New Roman"/>
      <w:b/>
      <w:spacing w:val="-2"/>
      <w:position w:val="-6"/>
      <w:sz w:val="24"/>
      <w:szCs w:val="20"/>
    </w:rPr>
  </w:style>
  <w:style w:type="character" w:customStyle="1" w:styleId="72">
    <w:name w:val="标题 8 Char"/>
    <w:basedOn w:val="50"/>
    <w:link w:val="12"/>
    <w:autoRedefine/>
    <w:qFormat/>
    <w:uiPriority w:val="0"/>
    <w:rPr>
      <w:rFonts w:ascii="Arial" w:hAnsi="Arial" w:eastAsia="黑体" w:cs="Times New Roman"/>
      <w:spacing w:val="-2"/>
      <w:position w:val="-6"/>
      <w:sz w:val="24"/>
      <w:szCs w:val="20"/>
    </w:rPr>
  </w:style>
  <w:style w:type="character" w:customStyle="1" w:styleId="73">
    <w:name w:val="标题 9 Char"/>
    <w:basedOn w:val="50"/>
    <w:link w:val="13"/>
    <w:autoRedefine/>
    <w:qFormat/>
    <w:uiPriority w:val="0"/>
    <w:rPr>
      <w:rFonts w:ascii="Arial" w:hAnsi="Arial" w:eastAsia="黑体" w:cs="Times New Roman"/>
      <w:spacing w:val="-2"/>
      <w:position w:val="-6"/>
      <w:sz w:val="28"/>
      <w:szCs w:val="20"/>
    </w:rPr>
  </w:style>
  <w:style w:type="character" w:customStyle="1" w:styleId="74">
    <w:name w:val="正文文本 Char"/>
    <w:basedOn w:val="50"/>
    <w:link w:val="3"/>
    <w:autoRedefine/>
    <w:qFormat/>
    <w:uiPriority w:val="0"/>
    <w:rPr>
      <w:rFonts w:ascii="楷体_GB2312" w:hAnsi="Times New Roman" w:eastAsia="楷体_GB2312" w:cs="Times New Roman"/>
      <w:sz w:val="28"/>
      <w:szCs w:val="20"/>
    </w:rPr>
  </w:style>
  <w:style w:type="character" w:customStyle="1" w:styleId="75">
    <w:name w:val="正文缩进 Char"/>
    <w:link w:val="9"/>
    <w:autoRedefine/>
    <w:qFormat/>
    <w:uiPriority w:val="0"/>
    <w:rPr>
      <w:rFonts w:ascii="Times New Roman" w:hAnsi="Times New Roman" w:eastAsia="楷体_GB2312" w:cs="Times New Roman"/>
      <w:sz w:val="24"/>
      <w:szCs w:val="20"/>
    </w:rPr>
  </w:style>
  <w:style w:type="character" w:customStyle="1" w:styleId="76">
    <w:name w:val="文档结构图 Char"/>
    <w:basedOn w:val="50"/>
    <w:link w:val="17"/>
    <w:autoRedefine/>
    <w:semiHidden/>
    <w:qFormat/>
    <w:uiPriority w:val="0"/>
    <w:rPr>
      <w:rFonts w:ascii="Times New Roman" w:hAnsi="Times New Roman" w:eastAsia="楷体_GB2312" w:cs="Times New Roman"/>
      <w:sz w:val="26"/>
      <w:szCs w:val="20"/>
      <w:shd w:val="clear" w:color="auto" w:fill="000080"/>
    </w:rPr>
  </w:style>
  <w:style w:type="character" w:customStyle="1" w:styleId="77">
    <w:name w:val="批注文字 Char"/>
    <w:basedOn w:val="50"/>
    <w:link w:val="18"/>
    <w:autoRedefine/>
    <w:semiHidden/>
    <w:qFormat/>
    <w:uiPriority w:val="0"/>
    <w:rPr>
      <w:rFonts w:ascii="Times New Roman" w:hAnsi="Times New Roman" w:eastAsia="楷体_GB2312" w:cs="Times New Roman"/>
      <w:sz w:val="26"/>
      <w:szCs w:val="20"/>
    </w:rPr>
  </w:style>
  <w:style w:type="character" w:customStyle="1" w:styleId="78">
    <w:name w:val="正文文本缩进 Char"/>
    <w:basedOn w:val="50"/>
    <w:link w:val="20"/>
    <w:autoRedefine/>
    <w:qFormat/>
    <w:uiPriority w:val="0"/>
    <w:rPr>
      <w:rFonts w:ascii="方正仿宋简体" w:hAnsi="创艺简仿宋" w:eastAsia="方正仿宋简体" w:cs="Times New Roman"/>
      <w:sz w:val="24"/>
      <w:szCs w:val="20"/>
    </w:rPr>
  </w:style>
  <w:style w:type="character" w:customStyle="1" w:styleId="79">
    <w:name w:val="纯文本 Char"/>
    <w:basedOn w:val="50"/>
    <w:link w:val="25"/>
    <w:autoRedefine/>
    <w:qFormat/>
    <w:uiPriority w:val="0"/>
    <w:rPr>
      <w:rFonts w:ascii="宋体" w:hAnsi="Courier New" w:eastAsia="楷体_GB2312" w:cs="Times New Roman"/>
      <w:sz w:val="26"/>
      <w:szCs w:val="20"/>
    </w:rPr>
  </w:style>
  <w:style w:type="character" w:customStyle="1" w:styleId="80">
    <w:name w:val="日期 Char"/>
    <w:basedOn w:val="50"/>
    <w:link w:val="28"/>
    <w:autoRedefine/>
    <w:qFormat/>
    <w:uiPriority w:val="99"/>
    <w:rPr>
      <w:rFonts w:ascii="宋体" w:hAnsi="宋体" w:eastAsia="楷体_GB2312" w:cs="Times New Roman"/>
      <w:sz w:val="24"/>
      <w:szCs w:val="20"/>
    </w:rPr>
  </w:style>
  <w:style w:type="character" w:customStyle="1" w:styleId="81">
    <w:name w:val="正文文本缩进 2 Char"/>
    <w:basedOn w:val="50"/>
    <w:link w:val="29"/>
    <w:autoRedefine/>
    <w:qFormat/>
    <w:uiPriority w:val="0"/>
    <w:rPr>
      <w:rFonts w:ascii="宋体" w:hAnsi="Times New Roman" w:eastAsia="宋体" w:cs="Times New Roman"/>
      <w:b/>
      <w:bCs/>
      <w:sz w:val="24"/>
      <w:szCs w:val="20"/>
    </w:rPr>
  </w:style>
  <w:style w:type="character" w:customStyle="1" w:styleId="82">
    <w:name w:val="批注框文本 Char"/>
    <w:basedOn w:val="50"/>
    <w:link w:val="30"/>
    <w:autoRedefine/>
    <w:semiHidden/>
    <w:qFormat/>
    <w:uiPriority w:val="0"/>
    <w:rPr>
      <w:rFonts w:ascii="Times New Roman" w:hAnsi="Times New Roman" w:eastAsia="楷体_GB2312" w:cs="Times New Roman"/>
      <w:sz w:val="18"/>
      <w:szCs w:val="18"/>
    </w:rPr>
  </w:style>
  <w:style w:type="character" w:customStyle="1" w:styleId="83">
    <w:name w:val="页脚 Char"/>
    <w:basedOn w:val="50"/>
    <w:link w:val="31"/>
    <w:autoRedefine/>
    <w:qFormat/>
    <w:uiPriority w:val="0"/>
    <w:rPr>
      <w:rFonts w:ascii="Times New Roman" w:hAnsi="Times New Roman" w:eastAsia="楷体_GB2312" w:cs="Times New Roman"/>
      <w:sz w:val="18"/>
      <w:szCs w:val="20"/>
    </w:rPr>
  </w:style>
  <w:style w:type="character" w:customStyle="1" w:styleId="84">
    <w:name w:val="页眉 Char"/>
    <w:basedOn w:val="50"/>
    <w:link w:val="32"/>
    <w:autoRedefine/>
    <w:qFormat/>
    <w:uiPriority w:val="0"/>
    <w:rPr>
      <w:rFonts w:ascii="Times New Roman" w:hAnsi="Times New Roman" w:eastAsia="楷体_GB2312" w:cs="Times New Roman"/>
      <w:sz w:val="18"/>
      <w:szCs w:val="20"/>
    </w:rPr>
  </w:style>
  <w:style w:type="character" w:customStyle="1" w:styleId="85">
    <w:name w:val="脚注文本 Char"/>
    <w:basedOn w:val="50"/>
    <w:link w:val="37"/>
    <w:autoRedefine/>
    <w:semiHidden/>
    <w:qFormat/>
    <w:uiPriority w:val="0"/>
    <w:rPr>
      <w:rFonts w:ascii="Times New Roman" w:hAnsi="Times New Roman" w:eastAsia="楷体_GB2312" w:cs="Times New Roman"/>
      <w:sz w:val="18"/>
      <w:szCs w:val="20"/>
    </w:rPr>
  </w:style>
  <w:style w:type="character" w:customStyle="1" w:styleId="86">
    <w:name w:val="正文文本缩进 3 Char"/>
    <w:basedOn w:val="50"/>
    <w:link w:val="38"/>
    <w:autoRedefine/>
    <w:qFormat/>
    <w:uiPriority w:val="0"/>
    <w:rPr>
      <w:rFonts w:ascii="Times New Roman" w:hAnsi="Times New Roman" w:eastAsia="宋体" w:cs="Times New Roman"/>
      <w:sz w:val="24"/>
      <w:szCs w:val="24"/>
    </w:rPr>
  </w:style>
  <w:style w:type="character" w:customStyle="1" w:styleId="87">
    <w:name w:val="HTML 预设格式 Char"/>
    <w:basedOn w:val="50"/>
    <w:link w:val="44"/>
    <w:autoRedefine/>
    <w:qFormat/>
    <w:uiPriority w:val="0"/>
    <w:rPr>
      <w:rFonts w:ascii="黑体" w:hAnsi="Courier New" w:eastAsia="黑体" w:cs="楷体_GB2312"/>
      <w:kern w:val="0"/>
      <w:sz w:val="20"/>
      <w:szCs w:val="20"/>
    </w:rPr>
  </w:style>
  <w:style w:type="character" w:customStyle="1" w:styleId="88">
    <w:name w:val="批注主题 Char"/>
    <w:basedOn w:val="77"/>
    <w:link w:val="46"/>
    <w:autoRedefine/>
    <w:semiHidden/>
    <w:qFormat/>
    <w:uiPriority w:val="0"/>
    <w:rPr>
      <w:b/>
      <w:bCs/>
    </w:rPr>
  </w:style>
  <w:style w:type="character" w:customStyle="1" w:styleId="89">
    <w:name w:val="正文首行缩进 Char"/>
    <w:basedOn w:val="74"/>
    <w:link w:val="2"/>
    <w:autoRedefine/>
    <w:qFormat/>
    <w:uiPriority w:val="0"/>
    <w:rPr>
      <w:sz w:val="24"/>
      <w:szCs w:val="24"/>
    </w:rPr>
  </w:style>
  <w:style w:type="character" w:customStyle="1" w:styleId="90">
    <w:name w:val="正文首行缩进 2 Char"/>
    <w:basedOn w:val="78"/>
    <w:link w:val="47"/>
    <w:autoRedefine/>
    <w:qFormat/>
    <w:uiPriority w:val="99"/>
  </w:style>
  <w:style w:type="paragraph" w:customStyle="1" w:styleId="91">
    <w:name w:val="首行缩进"/>
    <w:basedOn w:val="1"/>
    <w:next w:val="1"/>
    <w:autoRedefine/>
    <w:qFormat/>
    <w:uiPriority w:val="0"/>
    <w:pPr>
      <w:spacing w:line="360" w:lineRule="auto"/>
      <w:ind w:firstLine="480" w:firstLineChars="200"/>
    </w:pPr>
    <w:rPr>
      <w:rFonts w:ascii="宋体" w:hAnsi="宋体" w:eastAsia="楷体_GB2312" w:cs="宋体"/>
      <w:kern w:val="0"/>
      <w:sz w:val="24"/>
      <w:szCs w:val="20"/>
    </w:rPr>
  </w:style>
  <w:style w:type="character" w:customStyle="1" w:styleId="92">
    <w:name w:val="grid2"/>
    <w:autoRedefine/>
    <w:qFormat/>
    <w:uiPriority w:val="0"/>
  </w:style>
  <w:style w:type="character" w:customStyle="1" w:styleId="93">
    <w:name w:val="hilite6"/>
    <w:autoRedefine/>
    <w:qFormat/>
    <w:uiPriority w:val="0"/>
    <w:rPr>
      <w:color w:val="FFFFFF"/>
      <w:shd w:val="clear" w:color="auto" w:fill="776666"/>
    </w:rPr>
  </w:style>
  <w:style w:type="character" w:customStyle="1" w:styleId="94">
    <w:name w:val="active"/>
    <w:autoRedefine/>
    <w:qFormat/>
    <w:uiPriority w:val="0"/>
    <w:rPr>
      <w:color w:val="00FF00"/>
      <w:shd w:val="clear" w:color="auto" w:fill="000000"/>
    </w:rPr>
  </w:style>
  <w:style w:type="character" w:customStyle="1" w:styleId="95">
    <w:name w:val="bds_more6"/>
    <w:autoRedefine/>
    <w:qFormat/>
    <w:uiPriority w:val="0"/>
  </w:style>
  <w:style w:type="character" w:customStyle="1" w:styleId="96">
    <w:name w:val="state"/>
    <w:autoRedefine/>
    <w:qFormat/>
    <w:uiPriority w:val="0"/>
    <w:rPr>
      <w:b/>
      <w:color w:val="FFFFFF"/>
      <w:sz w:val="19"/>
      <w:szCs w:val="19"/>
    </w:rPr>
  </w:style>
  <w:style w:type="character" w:customStyle="1" w:styleId="97">
    <w:name w:val="bds_nopic"/>
    <w:autoRedefine/>
    <w:qFormat/>
    <w:uiPriority w:val="0"/>
  </w:style>
  <w:style w:type="character" w:customStyle="1" w:styleId="98">
    <w:name w:val="bds_more4"/>
    <w:autoRedefine/>
    <w:qFormat/>
    <w:uiPriority w:val="0"/>
    <w:rPr>
      <w:rFonts w:hint="eastAsia" w:ascii="宋体" w:hAnsi="宋体" w:eastAsia="宋体" w:cs="宋体"/>
    </w:rPr>
  </w:style>
  <w:style w:type="character" w:customStyle="1" w:styleId="99">
    <w:name w:val="hilite"/>
    <w:qFormat/>
    <w:uiPriority w:val="0"/>
    <w:rPr>
      <w:color w:val="FFFFFF"/>
      <w:shd w:val="clear" w:color="auto" w:fill="776666"/>
    </w:rPr>
  </w:style>
  <w:style w:type="character" w:customStyle="1" w:styleId="100">
    <w:name w:val="bds_nopic1"/>
    <w:qFormat/>
    <w:uiPriority w:val="0"/>
  </w:style>
  <w:style w:type="character" w:customStyle="1" w:styleId="101">
    <w:name w:val="other"/>
    <w:qFormat/>
    <w:uiPriority w:val="0"/>
  </w:style>
  <w:style w:type="character" w:customStyle="1" w:styleId="102">
    <w:name w:val="hover61"/>
    <w:qFormat/>
    <w:uiPriority w:val="0"/>
    <w:rPr>
      <w:shd w:val="clear" w:color="auto" w:fill="FF0000"/>
    </w:rPr>
  </w:style>
  <w:style w:type="character" w:customStyle="1" w:styleId="103">
    <w:name w:val="noused"/>
    <w:qFormat/>
    <w:uiPriority w:val="0"/>
    <w:rPr>
      <w:b/>
      <w:color w:val="FFFFFF"/>
      <w:sz w:val="21"/>
      <w:szCs w:val="21"/>
    </w:rPr>
  </w:style>
  <w:style w:type="character" w:customStyle="1" w:styleId="104">
    <w:name w:val="bds_nopic2"/>
    <w:qFormat/>
    <w:uiPriority w:val="0"/>
  </w:style>
  <w:style w:type="character" w:customStyle="1" w:styleId="105">
    <w:name w:val="bds_more8"/>
    <w:qFormat/>
    <w:uiPriority w:val="0"/>
    <w:rPr>
      <w:rFonts w:hint="eastAsia" w:ascii="宋体" w:hAnsi="宋体" w:eastAsia="宋体" w:cs="宋体"/>
    </w:rPr>
  </w:style>
  <w:style w:type="character" w:customStyle="1" w:styleId="106">
    <w:name w:val="Char Char2"/>
    <w:qFormat/>
    <w:uiPriority w:val="0"/>
    <w:rPr>
      <w:rFonts w:ascii="宋体" w:hAnsi="宋体" w:eastAsia="楷体_GB2312"/>
      <w:b/>
      <w:kern w:val="2"/>
      <w:sz w:val="26"/>
      <w:lang w:val="en-US" w:eastAsia="zh-CN" w:bidi="ar-SA"/>
    </w:rPr>
  </w:style>
  <w:style w:type="character" w:customStyle="1" w:styleId="107">
    <w:name w:val="active8"/>
    <w:qFormat/>
    <w:uiPriority w:val="0"/>
    <w:rPr>
      <w:color w:val="00FF00"/>
      <w:shd w:val="clear" w:color="auto" w:fill="000000"/>
    </w:rPr>
  </w:style>
  <w:style w:type="character" w:customStyle="1" w:styleId="108">
    <w:name w:val="grid"/>
    <w:qFormat/>
    <w:uiPriority w:val="0"/>
  </w:style>
  <w:style w:type="character" w:customStyle="1" w:styleId="109">
    <w:name w:val="bds_more5"/>
    <w:autoRedefine/>
    <w:qFormat/>
    <w:uiPriority w:val="0"/>
  </w:style>
  <w:style w:type="character" w:customStyle="1" w:styleId="110">
    <w:name w:val="bds_more7"/>
    <w:qFormat/>
    <w:uiPriority w:val="0"/>
  </w:style>
  <w:style w:type="paragraph" w:customStyle="1" w:styleId="111">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112">
    <w:name w:val="纯文本11"/>
    <w:basedOn w:val="1"/>
    <w:qFormat/>
    <w:uiPriority w:val="0"/>
    <w:pPr>
      <w:adjustRightInd w:val="0"/>
      <w:textAlignment w:val="baseline"/>
    </w:pPr>
    <w:rPr>
      <w:rFonts w:ascii="宋体" w:hAnsi="Courier New" w:eastAsia="楷体_GB2312" w:cs="Times New Roman"/>
      <w:sz w:val="28"/>
      <w:szCs w:val="20"/>
    </w:rPr>
  </w:style>
  <w:style w:type="paragraph" w:customStyle="1" w:styleId="113">
    <w:name w:val="Char"/>
    <w:basedOn w:val="1"/>
    <w:autoRedefine/>
    <w:qFormat/>
    <w:uiPriority w:val="0"/>
    <w:rPr>
      <w:rFonts w:ascii="Tahoma" w:hAnsi="Tahoma" w:eastAsia="宋体" w:cs="Times New Roman"/>
      <w:sz w:val="24"/>
      <w:szCs w:val="20"/>
    </w:rPr>
  </w:style>
  <w:style w:type="paragraph" w:customStyle="1" w:styleId="11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115">
    <w:name w:val="Char1"/>
    <w:basedOn w:val="1"/>
    <w:qFormat/>
    <w:uiPriority w:val="0"/>
    <w:pPr>
      <w:widowControl/>
      <w:spacing w:after="160" w:line="240" w:lineRule="exact"/>
      <w:jc w:val="left"/>
    </w:pPr>
    <w:rPr>
      <w:rFonts w:ascii="Verdana" w:hAnsi="Verdana" w:eastAsia="宋体" w:cs="Times New Roman"/>
      <w:kern w:val="0"/>
      <w:szCs w:val="20"/>
      <w:lang w:eastAsia="en-US"/>
    </w:rPr>
  </w:style>
  <w:style w:type="paragraph" w:styleId="116">
    <w:name w:val="List Paragraph"/>
    <w:basedOn w:val="1"/>
    <w:qFormat/>
    <w:uiPriority w:val="0"/>
    <w:pPr>
      <w:ind w:firstLine="420" w:firstLineChars="200"/>
    </w:pPr>
    <w:rPr>
      <w:rFonts w:ascii="Times New Roman" w:hAnsi="Times New Roman" w:eastAsia="宋体" w:cs="Times New Roman"/>
      <w:szCs w:val="24"/>
    </w:rPr>
  </w:style>
  <w:style w:type="paragraph" w:customStyle="1" w:styleId="117">
    <w:name w:val="Char Char1 Char Char Char Char"/>
    <w:basedOn w:val="17"/>
    <w:qFormat/>
    <w:uiPriority w:val="0"/>
    <w:pPr>
      <w:adjustRightInd w:val="0"/>
      <w:snapToGrid w:val="0"/>
      <w:spacing w:line="360" w:lineRule="auto"/>
    </w:pPr>
    <w:rPr>
      <w:rFonts w:ascii="Tahoma" w:hAnsi="Tahoma" w:eastAsia="宋体"/>
      <w:sz w:val="24"/>
      <w:szCs w:val="24"/>
    </w:rPr>
  </w:style>
  <w:style w:type="paragraph" w:customStyle="1" w:styleId="118">
    <w:name w:val="文档正文"/>
    <w:basedOn w:val="1"/>
    <w:qFormat/>
    <w:uiPriority w:val="99"/>
    <w:pPr>
      <w:widowControl/>
      <w:ind w:firstLine="567"/>
    </w:pPr>
    <w:rPr>
      <w:rFonts w:ascii="长城仿宋" w:hAnsi="Calibri" w:eastAsia="长城仿宋" w:cs="Times New Roman"/>
      <w:sz w:val="28"/>
    </w:rPr>
  </w:style>
  <w:style w:type="table" w:customStyle="1" w:styleId="119">
    <w:name w:val="网格型1"/>
    <w:basedOn w:val="48"/>
    <w:unhideWhenUsed/>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0">
    <w:name w:val="正文首行缩进1"/>
    <w:basedOn w:val="3"/>
    <w:qFormat/>
    <w:uiPriority w:val="0"/>
    <w:pPr>
      <w:spacing w:beforeLines="50" w:after="120" w:line="300" w:lineRule="auto"/>
      <w:ind w:firstLine="420" w:firstLineChars="250"/>
    </w:pPr>
    <w:rPr>
      <w:rFonts w:hAnsi="Arial" w:eastAsia="宋体"/>
      <w:sz w:val="24"/>
      <w:szCs w:val="24"/>
    </w:rPr>
  </w:style>
  <w:style w:type="paragraph" w:customStyle="1" w:styleId="121">
    <w:name w:val="正文11"/>
    <w:next w:val="122"/>
    <w:autoRedefine/>
    <w:qFormat/>
    <w:uiPriority w:val="0"/>
    <w:pPr>
      <w:widowControl w:val="0"/>
      <w:ind w:firstLine="200" w:firstLineChars="200"/>
      <w:jc w:val="both"/>
    </w:pPr>
    <w:rPr>
      <w:rFonts w:ascii="Calibri" w:hAnsi="Calibri" w:eastAsia="宋体" w:cs="Times New Roman"/>
      <w:kern w:val="2"/>
      <w:sz w:val="21"/>
      <w:szCs w:val="21"/>
      <w:lang w:val="en-US" w:eastAsia="zh-CN" w:bidi="ar-SA"/>
    </w:rPr>
  </w:style>
  <w:style w:type="paragraph" w:customStyle="1" w:styleId="122">
    <w:name w:val="正文文本1"/>
    <w:basedOn w:val="121"/>
    <w:next w:val="121"/>
    <w:unhideWhenUsed/>
    <w:qFormat/>
    <w:uiPriority w:val="99"/>
    <w:rPr>
      <w:rFonts w:ascii="??_GB2312" w:hAnsi="??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50D92-4A8E-4A48-B187-6B67960C00F6}">
  <ds:schemaRefs/>
</ds:datastoreItem>
</file>

<file path=docProps/app.xml><?xml version="1.0" encoding="utf-8"?>
<Properties xmlns="http://schemas.openxmlformats.org/officeDocument/2006/extended-properties" xmlns:vt="http://schemas.openxmlformats.org/officeDocument/2006/docPropsVTypes">
  <Template>Normal</Template>
  <Pages>23</Pages>
  <Words>11338</Words>
  <Characters>11763</Characters>
  <Lines>94</Lines>
  <Paragraphs>26</Paragraphs>
  <TotalTime>17</TotalTime>
  <ScaleCrop>false</ScaleCrop>
  <LinksUpToDate>false</LinksUpToDate>
  <CharactersWithSpaces>12147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2022-05-05T01:21:00Z</dcterms:created>
  <dc:creator>뒴뒴쎐्摘ీ⹘঎쏀्�ট따ࠦꢘ೅꾐ྎ⵸঎꼰ྎԀබⷨ঎⮀༂ি隀ӿ겈ీ㈀༇쬘֧ ؍두्�টබ</dc:creator>
  <cp:lastModifiedBy>user</cp:lastModifiedBy>
  <cp:lastPrinted>2023-12-08T08:52:00Z</cp:lastPrinted>
  <dcterms:modified xsi:type="dcterms:W3CDTF">2024-01-05T03:10:23Z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5BF5789939E64187917BEF308C242D7A_13</vt:lpwstr>
  </property>
</Properties>
</file>