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cs="宋体"/>
          <w:b/>
          <w:bCs/>
          <w:color w:val="auto"/>
          <w:w w:val="80"/>
          <w:kern w:val="44"/>
          <w:sz w:val="36"/>
          <w:szCs w:val="36"/>
          <w:highlight w:val="none"/>
        </w:rPr>
      </w:pPr>
      <w:bookmarkStart w:id="0" w:name="_GoBack"/>
      <w:r>
        <w:rPr>
          <w:rFonts w:hint="eastAsia" w:ascii="宋体" w:hAnsi="宋体" w:cs="宋体"/>
          <w:b/>
          <w:bCs/>
          <w:color w:val="auto"/>
          <w:w w:val="80"/>
          <w:kern w:val="44"/>
          <w:sz w:val="36"/>
          <w:szCs w:val="36"/>
          <w:highlight w:val="none"/>
        </w:rPr>
        <w:t>崇川区九圩港路某路段东西两侧场地倾倒填埋固废初步检测和鉴定项目</w:t>
      </w:r>
      <w:r>
        <w:rPr>
          <w:rFonts w:hint="eastAsia" w:ascii="宋体" w:hAnsi="宋体" w:cs="宋体"/>
          <w:b/>
          <w:bCs/>
          <w:color w:val="auto"/>
          <w:w w:val="80"/>
          <w:kern w:val="44"/>
          <w:sz w:val="36"/>
          <w:szCs w:val="36"/>
          <w:highlight w:val="none"/>
        </w:rPr>
        <w:t>需求</w:t>
      </w:r>
    </w:p>
    <w:bookmarkEnd w:id="0"/>
    <w:p>
      <w:pPr>
        <w:snapToGrid w:val="0"/>
        <w:spacing w:line="360" w:lineRule="auto"/>
        <w:rPr>
          <w:rFonts w:hint="eastAsia" w:ascii="宋体" w:hAnsi="宋体" w:cs="宋体"/>
          <w:color w:val="auto"/>
          <w:kern w:val="0"/>
          <w:sz w:val="24"/>
          <w:szCs w:val="24"/>
          <w:highlight w:val="none"/>
          <w:shd w:val="clear" w:color="auto" w:fill="FFFFFF"/>
        </w:rPr>
      </w:pPr>
    </w:p>
    <w:p>
      <w:pPr>
        <w:pStyle w:val="6"/>
        <w:spacing w:line="360" w:lineRule="auto"/>
        <w:ind w:left="0" w:leftChars="0" w:firstLine="482"/>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一、项目概况</w:t>
      </w:r>
    </w:p>
    <w:p>
      <w:pPr>
        <w:spacing w:line="360" w:lineRule="auto"/>
        <w:ind w:firstLine="480" w:firstLineChars="200"/>
        <w:rPr>
          <w:rFonts w:hint="eastAsia" w:ascii="宋体" w:hAnsi="宋体" w:cs="宋体"/>
          <w:color w:val="auto"/>
          <w:sz w:val="24"/>
          <w:szCs w:val="24"/>
          <w:highlight w:val="none"/>
        </w:rPr>
      </w:pPr>
      <w:r>
        <w:rPr>
          <w:rFonts w:hint="eastAsia" w:cs="宋体"/>
          <w:bCs/>
          <w:color w:val="auto"/>
          <w:sz w:val="24"/>
          <w:szCs w:val="24"/>
          <w:highlight w:val="none"/>
        </w:rPr>
        <w:t xml:space="preserve"> 根据相关举报信息，崇川区天生港镇九圩港路某路段东西两侧地块疑似有固体废物倾倒填埋，其中，西侧地块场地面积为32,590m2、东侧地块面积为57,690m2，总面积为90,280m2，约135亩。为初步明确是否有固废填埋、填埋物质是否具有危险特性以及是否存在有毒有害物质，科学评估环境风险，并为后续处置提供依据，拟对填埋物质开展初步检测并出具认定意见</w:t>
      </w:r>
      <w:r>
        <w:rPr>
          <w:rFonts w:hint="eastAsia" w:ascii="宋体" w:hAnsi="宋体" w:cs="宋体"/>
          <w:color w:val="auto"/>
          <w:sz w:val="24"/>
          <w:szCs w:val="24"/>
          <w:highlight w:val="none"/>
        </w:rPr>
        <w:t>。</w:t>
      </w:r>
    </w:p>
    <w:p>
      <w:pPr>
        <w:spacing w:line="360" w:lineRule="auto"/>
        <w:ind w:firstLine="482" w:firstLineChars="200"/>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二、服务要求</w:t>
      </w:r>
    </w:p>
    <w:p>
      <w:pPr>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（一）按照采购人规定的时间、地点完成检测服务，</w:t>
      </w:r>
      <w:r>
        <w:rPr>
          <w:rFonts w:hint="eastAsia" w:cs="宋体"/>
          <w:bCs/>
          <w:color w:val="auto"/>
          <w:sz w:val="24"/>
          <w:szCs w:val="24"/>
          <w:highlight w:val="none"/>
          <w:lang w:val="en-US" w:eastAsia="zh-CN"/>
        </w:rPr>
        <w:t>检测方案经采购人审核确定，检测完成后</w:t>
      </w:r>
      <w:r>
        <w:rPr>
          <w:rFonts w:hint="eastAsia" w:cs="宋体"/>
          <w:bCs/>
          <w:color w:val="auto"/>
          <w:sz w:val="24"/>
          <w:szCs w:val="24"/>
          <w:highlight w:val="none"/>
        </w:rPr>
        <w:t>出具检测报告和认定意见。</w:t>
      </w:r>
    </w:p>
    <w:p>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二）依据《危险废物鉴别技术规范》（HJ298-2019），对东西两侧地块进行网格化划分，采用分层随机抽样方式进行采样和检测，以确定这两个地块固废填埋情况、填埋物质是否具有危险特性以及是否存在有毒有害物质。现场采样如发现渗滤液样品，采集渗滤液进行分析检测，采集的固废样品及渗滤液样品必须检测的检测指标及</w:t>
      </w:r>
      <w:r>
        <w:rPr>
          <w:rFonts w:hint="eastAsia" w:cs="宋体"/>
          <w:bCs/>
          <w:color w:val="auto"/>
          <w:sz w:val="24"/>
          <w:szCs w:val="24"/>
          <w:highlight w:val="none"/>
          <w:lang w:eastAsia="zh-CN"/>
        </w:rPr>
        <w:t>单价基准价</w:t>
      </w:r>
      <w:r>
        <w:rPr>
          <w:rFonts w:hint="eastAsia" w:cs="宋体"/>
          <w:bCs/>
          <w:color w:val="auto"/>
          <w:sz w:val="24"/>
          <w:szCs w:val="24"/>
          <w:highlight w:val="none"/>
        </w:rPr>
        <w:t>如下：</w:t>
      </w:r>
    </w:p>
    <w:tbl>
      <w:tblPr>
        <w:tblStyle w:val="9"/>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964"/>
        <w:gridCol w:w="5440"/>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1" w:type="pct"/>
            <w:vAlign w:val="center"/>
          </w:tcPr>
          <w:p>
            <w:pPr>
              <w:widowControl/>
              <w:jc w:val="center"/>
              <w:rPr>
                <w:rFonts w:ascii="Times New Roman" w:hAnsi="Times New Roman" w:cs="宋体"/>
                <w:b/>
                <w:color w:val="auto"/>
                <w:sz w:val="24"/>
                <w:szCs w:val="24"/>
                <w:highlight w:val="none"/>
              </w:rPr>
            </w:pPr>
            <w:r>
              <w:rPr>
                <w:rFonts w:hint="eastAsia" w:ascii="Times New Roman" w:hAnsi="Times New Roman" w:cs="宋体"/>
                <w:b/>
                <w:color w:val="auto"/>
                <w:sz w:val="24"/>
                <w:szCs w:val="24"/>
                <w:highlight w:val="none"/>
              </w:rPr>
              <w:t>检测对象</w:t>
            </w:r>
          </w:p>
        </w:tc>
        <w:tc>
          <w:tcPr>
            <w:tcW w:w="3692" w:type="pct"/>
            <w:gridSpan w:val="2"/>
            <w:vAlign w:val="center"/>
          </w:tcPr>
          <w:p>
            <w:pPr>
              <w:widowControl/>
              <w:jc w:val="center"/>
              <w:rPr>
                <w:rFonts w:ascii="Times New Roman" w:hAnsi="Times New Roman" w:cs="宋体"/>
                <w:b/>
                <w:color w:val="auto"/>
                <w:sz w:val="24"/>
                <w:szCs w:val="24"/>
                <w:highlight w:val="none"/>
              </w:rPr>
            </w:pPr>
            <w:r>
              <w:rPr>
                <w:rFonts w:ascii="Times New Roman" w:hAnsi="Times New Roman" w:cs="宋体"/>
                <w:b/>
                <w:color w:val="auto"/>
                <w:sz w:val="24"/>
                <w:szCs w:val="24"/>
                <w:highlight w:val="none"/>
              </w:rPr>
              <w:t>检测项目</w:t>
            </w:r>
          </w:p>
        </w:tc>
        <w:tc>
          <w:tcPr>
            <w:tcW w:w="675" w:type="pct"/>
            <w:vAlign w:val="center"/>
          </w:tcPr>
          <w:p>
            <w:pPr>
              <w:widowControl/>
              <w:jc w:val="center"/>
              <w:rPr>
                <w:rFonts w:hint="eastAsia" w:ascii="Times New Roman" w:hAnsi="Times New Roman" w:eastAsia="宋体" w:cs="宋体"/>
                <w:b/>
                <w:color w:val="auto"/>
                <w:sz w:val="24"/>
                <w:szCs w:val="24"/>
                <w:highlight w:val="none"/>
                <w:lang w:eastAsia="zh-CN"/>
              </w:rPr>
            </w:pPr>
            <w:r>
              <w:rPr>
                <w:rFonts w:hint="eastAsia" w:cs="宋体"/>
                <w:b/>
                <w:color w:val="auto"/>
                <w:sz w:val="24"/>
                <w:szCs w:val="24"/>
                <w:highlight w:val="none"/>
                <w:lang w:eastAsia="zh-CN"/>
              </w:rPr>
              <w:t>单价基准价（元/个）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restart"/>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固废</w:t>
            </w:r>
          </w:p>
        </w:tc>
        <w:tc>
          <w:tcPr>
            <w:tcW w:w="556" w:type="pct"/>
            <w:vAlign w:val="center"/>
          </w:tcPr>
          <w:p>
            <w:pPr>
              <w:widowControl/>
              <w:jc w:val="center"/>
              <w:rPr>
                <w:rFonts w:ascii="Times New Roman" w:hAnsi="Times New Roman" w:cs="宋体"/>
                <w:bCs/>
                <w:color w:val="auto"/>
                <w:sz w:val="24"/>
                <w:szCs w:val="24"/>
                <w:highlight w:val="none"/>
              </w:rPr>
            </w:pPr>
            <w:r>
              <w:rPr>
                <w:rFonts w:ascii="Times New Roman" w:hAnsi="Times New Roman" w:cs="宋体"/>
                <w:bCs/>
                <w:color w:val="auto"/>
                <w:sz w:val="24"/>
                <w:szCs w:val="24"/>
                <w:highlight w:val="none"/>
              </w:rPr>
              <w:t>pH</w:t>
            </w:r>
          </w:p>
        </w:tc>
        <w:tc>
          <w:tcPr>
            <w:tcW w:w="3136" w:type="pct"/>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腐蚀性pH</w:t>
            </w:r>
          </w:p>
        </w:tc>
        <w:tc>
          <w:tcPr>
            <w:tcW w:w="675" w:type="pct"/>
            <w:vMerge w:val="restart"/>
            <w:vAlign w:val="center"/>
          </w:tcPr>
          <w:p>
            <w:pPr>
              <w:widowControl/>
              <w:jc w:val="center"/>
              <w:rPr>
                <w:rFonts w:hint="eastAsia"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restart"/>
            <w:vAlign w:val="center"/>
          </w:tcPr>
          <w:p>
            <w:pPr>
              <w:widowControl/>
              <w:jc w:val="center"/>
              <w:rPr>
                <w:rFonts w:ascii="Times New Roman" w:hAnsi="Times New Roman" w:cs="宋体"/>
                <w:bCs/>
                <w:color w:val="auto"/>
                <w:sz w:val="24"/>
                <w:szCs w:val="24"/>
                <w:highlight w:val="none"/>
              </w:rPr>
            </w:pPr>
            <w:r>
              <w:rPr>
                <w:rFonts w:ascii="Times New Roman" w:hAnsi="Times New Roman" w:cs="宋体"/>
                <w:bCs/>
                <w:color w:val="auto"/>
                <w:sz w:val="24"/>
                <w:szCs w:val="24"/>
                <w:highlight w:val="none"/>
              </w:rPr>
              <w:t>浸出毒性指标</w:t>
            </w: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铜、锌、镉、铅、总铬、铍、钡、镍、银、硒、汞、砷、六价铬（浸出）</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continue"/>
            <w:vAlign w:val="center"/>
          </w:tcPr>
          <w:p>
            <w:pPr>
              <w:widowControl/>
              <w:jc w:val="center"/>
              <w:rPr>
                <w:rFonts w:ascii="Times New Roman" w:hAnsi="Times New Roman" w:cs="宋体"/>
                <w:bCs/>
                <w:color w:val="auto"/>
                <w:sz w:val="24"/>
                <w:szCs w:val="24"/>
                <w:highlight w:val="none"/>
              </w:rPr>
            </w:pP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氰化物（浸出）</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continue"/>
            <w:vAlign w:val="center"/>
          </w:tcPr>
          <w:p>
            <w:pPr>
              <w:widowControl/>
              <w:jc w:val="center"/>
              <w:rPr>
                <w:rFonts w:ascii="Times New Roman" w:hAnsi="Times New Roman" w:cs="宋体"/>
                <w:bCs/>
                <w:color w:val="auto"/>
                <w:sz w:val="24"/>
                <w:szCs w:val="24"/>
                <w:highlight w:val="none"/>
              </w:rPr>
            </w:pP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氟化物（浸出）</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continue"/>
            <w:vAlign w:val="center"/>
          </w:tcPr>
          <w:p>
            <w:pPr>
              <w:widowControl/>
              <w:jc w:val="center"/>
              <w:rPr>
                <w:rFonts w:ascii="Times New Roman" w:hAnsi="Times New Roman" w:cs="宋体"/>
                <w:bCs/>
                <w:color w:val="auto"/>
                <w:sz w:val="24"/>
                <w:szCs w:val="24"/>
                <w:highlight w:val="none"/>
              </w:rPr>
            </w:pP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VOC（苯、甲苯、乙苯、间，对-二甲苯、邻二甲苯、氯苯、1，2-二氯苯、1，4-二氯苯、三氯甲烷、四氯化碳、三氯乙烯、四氯乙烯）</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continue"/>
            <w:vAlign w:val="center"/>
          </w:tcPr>
          <w:p>
            <w:pPr>
              <w:widowControl/>
              <w:jc w:val="center"/>
              <w:rPr>
                <w:rFonts w:ascii="Times New Roman" w:hAnsi="Times New Roman" w:cs="宋体"/>
                <w:bCs/>
                <w:color w:val="auto"/>
                <w:sz w:val="24"/>
                <w:szCs w:val="24"/>
                <w:highlight w:val="none"/>
              </w:rPr>
            </w:pP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SVOC（苯酚、2，4-二氯苯酚、2，4，6-三氯苯酚、邻苯二甲酸二正丁酯、邻苯二甲酸二正辛酯、五氯酚、硝基苯）</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continue"/>
            <w:vAlign w:val="center"/>
          </w:tcPr>
          <w:p>
            <w:pPr>
              <w:widowControl/>
              <w:jc w:val="center"/>
              <w:rPr>
                <w:rFonts w:ascii="Times New Roman" w:hAnsi="Times New Roman" w:cs="宋体"/>
                <w:bCs/>
                <w:color w:val="auto"/>
                <w:sz w:val="24"/>
                <w:szCs w:val="24"/>
                <w:highlight w:val="none"/>
              </w:rPr>
            </w:pP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二硝基苯、对硝基氯苯、2，4-二硝基氯苯</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restart"/>
            <w:vAlign w:val="center"/>
          </w:tcPr>
          <w:p>
            <w:pPr>
              <w:widowControl/>
              <w:jc w:val="center"/>
              <w:rPr>
                <w:rFonts w:ascii="Times New Roman" w:hAnsi="Times New Roman" w:cs="宋体"/>
                <w:bCs/>
                <w:color w:val="auto"/>
                <w:sz w:val="24"/>
                <w:szCs w:val="24"/>
                <w:highlight w:val="none"/>
              </w:rPr>
            </w:pPr>
            <w:r>
              <w:rPr>
                <w:rFonts w:ascii="Times New Roman" w:hAnsi="Times New Roman" w:cs="宋体"/>
                <w:bCs/>
                <w:color w:val="auto"/>
                <w:sz w:val="24"/>
                <w:szCs w:val="24"/>
                <w:highlight w:val="none"/>
              </w:rPr>
              <w:t>毒性物质含量指标</w:t>
            </w: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VOC定性定量</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continue"/>
            <w:vAlign w:val="center"/>
          </w:tcPr>
          <w:p>
            <w:pPr>
              <w:widowControl/>
              <w:jc w:val="center"/>
              <w:rPr>
                <w:rFonts w:ascii="Times New Roman" w:hAnsi="Times New Roman" w:cs="宋体"/>
                <w:bCs/>
                <w:color w:val="auto"/>
                <w:sz w:val="24"/>
                <w:szCs w:val="24"/>
                <w:highlight w:val="none"/>
              </w:rPr>
            </w:pP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SVOC定性定量</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continue"/>
            <w:vAlign w:val="center"/>
          </w:tcPr>
          <w:p>
            <w:pPr>
              <w:widowControl/>
              <w:jc w:val="center"/>
              <w:rPr>
                <w:rFonts w:ascii="Times New Roman" w:hAnsi="Times New Roman" w:cs="宋体"/>
                <w:bCs/>
                <w:color w:val="auto"/>
                <w:sz w:val="24"/>
                <w:szCs w:val="24"/>
                <w:highlight w:val="none"/>
              </w:rPr>
            </w:pP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氰化物</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continue"/>
            <w:vAlign w:val="center"/>
          </w:tcPr>
          <w:p>
            <w:pPr>
              <w:widowControl/>
              <w:jc w:val="center"/>
              <w:rPr>
                <w:rFonts w:ascii="Times New Roman" w:hAnsi="Times New Roman" w:cs="宋体"/>
                <w:bCs/>
                <w:color w:val="auto"/>
                <w:sz w:val="24"/>
                <w:szCs w:val="24"/>
                <w:highlight w:val="none"/>
              </w:rPr>
            </w:pP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氟化物</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continue"/>
            <w:vAlign w:val="center"/>
          </w:tcPr>
          <w:p>
            <w:pPr>
              <w:widowControl/>
              <w:jc w:val="center"/>
              <w:rPr>
                <w:rFonts w:ascii="Times New Roman" w:hAnsi="Times New Roman" w:cs="宋体"/>
                <w:bCs/>
                <w:color w:val="auto"/>
                <w:sz w:val="24"/>
                <w:szCs w:val="24"/>
                <w:highlight w:val="none"/>
              </w:rPr>
            </w:pP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铜、锌、镉、铅、总铬、铍、钡、镍、银、硒、锑、砷、汞、六价铬</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Merge w:val="continue"/>
            <w:vAlign w:val="center"/>
          </w:tcPr>
          <w:p>
            <w:pPr>
              <w:widowControl/>
              <w:jc w:val="center"/>
              <w:rPr>
                <w:rFonts w:ascii="Times New Roman" w:hAnsi="Times New Roman" w:cs="宋体"/>
                <w:bCs/>
                <w:color w:val="auto"/>
                <w:sz w:val="24"/>
                <w:szCs w:val="24"/>
                <w:highlight w:val="none"/>
              </w:rPr>
            </w:pP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石油溶剂</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556" w:type="pct"/>
            <w:vAlign w:val="center"/>
          </w:tcPr>
          <w:p>
            <w:pPr>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其他指标</w:t>
            </w:r>
          </w:p>
        </w:tc>
        <w:tc>
          <w:tcPr>
            <w:tcW w:w="3136" w:type="pct"/>
            <w:shd w:val="clear" w:color="auto" w:fill="auto"/>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易燃性检测、反应性检测、生物毒性检测（根据性状综合研判选取样品送检）</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restart"/>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固废（参照土壤方法）</w:t>
            </w:r>
          </w:p>
        </w:tc>
        <w:tc>
          <w:tcPr>
            <w:tcW w:w="3692" w:type="pct"/>
            <w:gridSpan w:val="2"/>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pH</w:t>
            </w:r>
          </w:p>
        </w:tc>
        <w:tc>
          <w:tcPr>
            <w:tcW w:w="675" w:type="pct"/>
            <w:vMerge w:val="restart"/>
            <w:vAlign w:val="center"/>
          </w:tcPr>
          <w:p>
            <w:pPr>
              <w:widowControl/>
              <w:jc w:val="center"/>
              <w:rPr>
                <w:rFonts w:hint="eastAsia"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3692" w:type="pct"/>
            <w:gridSpan w:val="2"/>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固废检测发现的特征因子</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restart"/>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渗滤液</w:t>
            </w:r>
          </w:p>
        </w:tc>
        <w:tc>
          <w:tcPr>
            <w:tcW w:w="3692" w:type="pct"/>
            <w:gridSpan w:val="2"/>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腐蚀性pH</w:t>
            </w:r>
          </w:p>
        </w:tc>
        <w:tc>
          <w:tcPr>
            <w:tcW w:w="675" w:type="pct"/>
            <w:vMerge w:val="restart"/>
            <w:vAlign w:val="center"/>
          </w:tcPr>
          <w:p>
            <w:pPr>
              <w:widowControl/>
              <w:jc w:val="center"/>
              <w:rPr>
                <w:rFonts w:hint="eastAsia"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3692" w:type="pct"/>
            <w:gridSpan w:val="2"/>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挥发酚</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pct"/>
            <w:vMerge w:val="continue"/>
            <w:vAlign w:val="center"/>
          </w:tcPr>
          <w:p>
            <w:pPr>
              <w:widowControl/>
              <w:jc w:val="center"/>
              <w:rPr>
                <w:rFonts w:ascii="Times New Roman" w:hAnsi="Times New Roman" w:cs="宋体"/>
                <w:bCs/>
                <w:color w:val="auto"/>
                <w:sz w:val="24"/>
                <w:szCs w:val="24"/>
                <w:highlight w:val="none"/>
              </w:rPr>
            </w:pPr>
          </w:p>
        </w:tc>
        <w:tc>
          <w:tcPr>
            <w:tcW w:w="3692" w:type="pct"/>
            <w:gridSpan w:val="2"/>
            <w:vAlign w:val="center"/>
          </w:tcPr>
          <w:p>
            <w:pPr>
              <w:widowControl/>
              <w:jc w:val="center"/>
              <w:rPr>
                <w:rFonts w:ascii="Times New Roman" w:hAnsi="Times New Roman" w:cs="宋体"/>
                <w:bCs/>
                <w:color w:val="auto"/>
                <w:sz w:val="24"/>
                <w:szCs w:val="24"/>
                <w:highlight w:val="none"/>
              </w:rPr>
            </w:pPr>
            <w:r>
              <w:rPr>
                <w:rFonts w:hint="eastAsia" w:ascii="Times New Roman" w:hAnsi="Times New Roman" w:cs="宋体"/>
                <w:bCs/>
                <w:color w:val="auto"/>
                <w:sz w:val="24"/>
                <w:szCs w:val="24"/>
                <w:highlight w:val="none"/>
              </w:rPr>
              <w:t>固废检测发现的特征因子</w:t>
            </w:r>
          </w:p>
        </w:tc>
        <w:tc>
          <w:tcPr>
            <w:tcW w:w="675" w:type="pct"/>
            <w:vMerge w:val="continue"/>
            <w:vAlign w:val="center"/>
          </w:tcPr>
          <w:p>
            <w:pPr>
              <w:widowControl/>
              <w:jc w:val="center"/>
              <w:rPr>
                <w:rFonts w:hint="eastAsia" w:ascii="Times New Roman" w:hAnsi="Times New Roman" w:cs="宋体"/>
                <w:bCs/>
                <w:color w:val="auto"/>
                <w:sz w:val="24"/>
                <w:szCs w:val="24"/>
                <w:highlight w:val="none"/>
              </w:rPr>
            </w:pPr>
          </w:p>
        </w:tc>
      </w:tr>
    </w:tbl>
    <w:p>
      <w:pPr>
        <w:spacing w:line="360" w:lineRule="auto"/>
        <w:ind w:firstLine="480" w:firstLineChars="200"/>
        <w:rPr>
          <w:rFonts w:hint="eastAsia" w:ascii="宋体" w:hAnsi="宋体" w:cs="宋体"/>
          <w:b/>
          <w:bCs/>
          <w:color w:val="auto"/>
          <w:kern w:val="0"/>
          <w:sz w:val="24"/>
          <w:szCs w:val="24"/>
          <w:highlight w:val="none"/>
          <w:lang w:bidi="ar"/>
        </w:rPr>
      </w:pPr>
      <w:r>
        <w:rPr>
          <w:rFonts w:hint="eastAsia" w:cs="宋体"/>
          <w:bCs/>
          <w:color w:val="auto"/>
          <w:sz w:val="24"/>
          <w:szCs w:val="24"/>
          <w:highlight w:val="none"/>
        </w:rPr>
        <w:t>（三）供应商必须保证采样、检测过程公平、公正，出现较严重质量问题的，立即取消其成交资格。</w:t>
      </w:r>
    </w:p>
    <w:p>
      <w:pPr>
        <w:spacing w:line="360" w:lineRule="auto"/>
        <w:ind w:firstLine="482" w:firstLineChars="200"/>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三、服务期限</w:t>
      </w:r>
    </w:p>
    <w:p>
      <w:pPr>
        <w:spacing w:line="360" w:lineRule="auto"/>
        <w:ind w:firstLine="482" w:firstLineChars="200"/>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自合同签订之日起20个工作日内完成。</w:t>
      </w:r>
    </w:p>
    <w:p>
      <w:pPr>
        <w:spacing w:line="360" w:lineRule="auto"/>
        <w:ind w:firstLine="482" w:firstLineChars="200"/>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四、付款方式</w:t>
      </w:r>
    </w:p>
    <w:p>
      <w:pPr>
        <w:spacing w:line="360" w:lineRule="auto"/>
        <w:ind w:firstLine="482" w:firstLineChars="200"/>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所有工作完成，报告出具后一次性支付全款，</w:t>
      </w:r>
      <w:r>
        <w:rPr>
          <w:rFonts w:hint="eastAsia" w:ascii="宋体" w:hAnsi="宋体" w:cs="宋体"/>
          <w:b/>
          <w:bCs/>
          <w:color w:val="auto"/>
          <w:kern w:val="0"/>
          <w:sz w:val="24"/>
          <w:szCs w:val="24"/>
          <w:highlight w:val="none"/>
          <w:lang w:val="en-US" w:eastAsia="zh-CN" w:bidi="ar"/>
        </w:rPr>
        <w:t>最终</w:t>
      </w:r>
      <w:r>
        <w:rPr>
          <w:rFonts w:hint="eastAsia" w:ascii="宋体" w:hAnsi="宋体" w:cs="宋体"/>
          <w:b/>
          <w:bCs/>
          <w:color w:val="auto"/>
          <w:kern w:val="0"/>
          <w:sz w:val="24"/>
          <w:szCs w:val="24"/>
          <w:highlight w:val="none"/>
          <w:lang w:bidi="ar"/>
        </w:rPr>
        <w:t>结算</w:t>
      </w:r>
      <w:r>
        <w:rPr>
          <w:rFonts w:hint="eastAsia" w:ascii="宋体" w:hAnsi="宋体" w:cs="宋体"/>
          <w:b/>
          <w:bCs/>
          <w:color w:val="auto"/>
          <w:kern w:val="0"/>
          <w:sz w:val="24"/>
          <w:szCs w:val="24"/>
          <w:highlight w:val="none"/>
          <w:lang w:val="en-US" w:eastAsia="zh-CN" w:bidi="ar"/>
        </w:rPr>
        <w:t>总</w:t>
      </w:r>
      <w:r>
        <w:rPr>
          <w:rFonts w:hint="eastAsia" w:ascii="宋体" w:hAnsi="宋体" w:cs="宋体"/>
          <w:b/>
          <w:bCs/>
          <w:color w:val="auto"/>
          <w:kern w:val="0"/>
          <w:sz w:val="24"/>
          <w:szCs w:val="24"/>
          <w:highlight w:val="none"/>
          <w:lang w:bidi="ar"/>
        </w:rPr>
        <w:t>价=</w:t>
      </w:r>
      <w:r>
        <w:rPr>
          <w:rFonts w:hint="eastAsia" w:ascii="宋体" w:hAnsi="宋体" w:cs="宋体"/>
          <w:b/>
          <w:bCs/>
          <w:color w:val="auto"/>
          <w:kern w:val="0"/>
          <w:sz w:val="24"/>
          <w:szCs w:val="24"/>
          <w:highlight w:val="none"/>
          <w:lang w:eastAsia="zh-CN" w:bidi="ar"/>
        </w:rPr>
        <w:t>单价基准价</w:t>
      </w:r>
      <w:r>
        <w:rPr>
          <w:rFonts w:hint="eastAsia" w:ascii="宋体" w:hAnsi="宋体" w:cs="宋体"/>
          <w:b/>
          <w:bCs/>
          <w:color w:val="auto"/>
          <w:kern w:val="0"/>
          <w:sz w:val="24"/>
          <w:szCs w:val="24"/>
          <w:highlight w:val="none"/>
          <w:lang w:bidi="ar"/>
        </w:rPr>
        <w:t>×成交费率×</w:t>
      </w:r>
      <w:r>
        <w:rPr>
          <w:rFonts w:hint="eastAsia" w:ascii="宋体" w:hAnsi="宋体" w:cs="宋体"/>
          <w:b/>
          <w:bCs/>
          <w:color w:val="auto"/>
          <w:kern w:val="0"/>
          <w:sz w:val="24"/>
          <w:szCs w:val="24"/>
          <w:highlight w:val="none"/>
          <w:lang w:val="en-US" w:eastAsia="zh-CN" w:bidi="ar"/>
        </w:rPr>
        <w:t>采购人确定的</w:t>
      </w:r>
      <w:r>
        <w:rPr>
          <w:rFonts w:hint="eastAsia" w:ascii="宋体" w:hAnsi="宋体" w:cs="宋体"/>
          <w:b/>
          <w:bCs/>
          <w:color w:val="auto"/>
          <w:kern w:val="0"/>
          <w:sz w:val="24"/>
          <w:szCs w:val="24"/>
          <w:highlight w:val="none"/>
          <w:lang w:bidi="ar"/>
        </w:rPr>
        <w:t>数量，最终结算</w:t>
      </w:r>
      <w:r>
        <w:rPr>
          <w:rFonts w:hint="eastAsia" w:ascii="宋体" w:hAnsi="宋体" w:cs="宋体"/>
          <w:b/>
          <w:bCs/>
          <w:color w:val="auto"/>
          <w:kern w:val="0"/>
          <w:sz w:val="24"/>
          <w:szCs w:val="24"/>
          <w:highlight w:val="none"/>
          <w:lang w:val="en-US" w:eastAsia="zh-CN" w:bidi="ar"/>
        </w:rPr>
        <w:t>总</w:t>
      </w:r>
      <w:r>
        <w:rPr>
          <w:rFonts w:hint="eastAsia" w:ascii="宋体" w:hAnsi="宋体" w:cs="宋体"/>
          <w:b/>
          <w:bCs/>
          <w:color w:val="auto"/>
          <w:kern w:val="0"/>
          <w:sz w:val="24"/>
          <w:szCs w:val="24"/>
          <w:highlight w:val="none"/>
          <w:lang w:bidi="ar"/>
        </w:rPr>
        <w:t>价不超过19.5万元。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6C0CF8"/>
    <w:multiLevelType w:val="singleLevel"/>
    <w:tmpl w:val="DC6C0CF8"/>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D2C9A"/>
    <w:rsid w:val="009476F7"/>
    <w:rsid w:val="01705C99"/>
    <w:rsid w:val="04723F17"/>
    <w:rsid w:val="098E7907"/>
    <w:rsid w:val="0A9236AF"/>
    <w:rsid w:val="0C094B75"/>
    <w:rsid w:val="0FC26D88"/>
    <w:rsid w:val="100828AD"/>
    <w:rsid w:val="147E133E"/>
    <w:rsid w:val="167421DE"/>
    <w:rsid w:val="187675E6"/>
    <w:rsid w:val="1946255C"/>
    <w:rsid w:val="1AE42514"/>
    <w:rsid w:val="1B1E6DD1"/>
    <w:rsid w:val="1B9362C3"/>
    <w:rsid w:val="21740BCE"/>
    <w:rsid w:val="2418219D"/>
    <w:rsid w:val="266D1322"/>
    <w:rsid w:val="27026E1B"/>
    <w:rsid w:val="2A790643"/>
    <w:rsid w:val="32047E1A"/>
    <w:rsid w:val="36BD095F"/>
    <w:rsid w:val="37FF0092"/>
    <w:rsid w:val="383B6F19"/>
    <w:rsid w:val="399E1B8D"/>
    <w:rsid w:val="417032FE"/>
    <w:rsid w:val="46541638"/>
    <w:rsid w:val="467B5DDC"/>
    <w:rsid w:val="4E3710B4"/>
    <w:rsid w:val="51937B70"/>
    <w:rsid w:val="51956720"/>
    <w:rsid w:val="522C70F0"/>
    <w:rsid w:val="5AB24ABD"/>
    <w:rsid w:val="656600F0"/>
    <w:rsid w:val="6FE611FF"/>
    <w:rsid w:val="737050DC"/>
    <w:rsid w:val="73BB0088"/>
    <w:rsid w:val="73D85F1B"/>
    <w:rsid w:val="73E90B13"/>
    <w:rsid w:val="75DD2C9A"/>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szCs w:val="24"/>
    </w:rPr>
  </w:style>
  <w:style w:type="paragraph" w:styleId="3">
    <w:name w:val="envelope return"/>
    <w:basedOn w:val="1"/>
    <w:unhideWhenUsed/>
    <w:qFormat/>
    <w:uiPriority w:val="99"/>
    <w:pPr>
      <w:snapToGrid w:val="0"/>
    </w:pPr>
    <w:rPr>
      <w:rFonts w:ascii="Arial" w:hAnsi="Arial"/>
    </w:rPr>
  </w:style>
  <w:style w:type="paragraph" w:styleId="4">
    <w:name w:val="Plain Text"/>
    <w:basedOn w:val="1"/>
    <w:next w:val="5"/>
    <w:semiHidden/>
    <w:qFormat/>
    <w:uiPriority w:val="99"/>
    <w:rPr>
      <w:rFonts w:ascii="宋体" w:hAnsi="Courier New" w:cs="Courier New"/>
    </w:rPr>
  </w:style>
  <w:style w:type="paragraph" w:styleId="5">
    <w:name w:val="List Number 5"/>
    <w:basedOn w:val="1"/>
    <w:uiPriority w:val="0"/>
    <w:pPr>
      <w:numPr>
        <w:ilvl w:val="0"/>
        <w:numId w:val="1"/>
      </w:numPr>
    </w:pPr>
  </w:style>
  <w:style w:type="paragraph" w:styleId="6">
    <w:name w:val="Body Text First Indent 2"/>
    <w:basedOn w:val="2"/>
    <w:next w:val="4"/>
    <w:unhideWhenUsed/>
    <w:qFormat/>
    <w:uiPriority w:val="0"/>
    <w:pPr>
      <w:ind w:firstLine="420" w:firstLineChars="200"/>
    </w:pPr>
  </w:style>
  <w:style w:type="table" w:customStyle="1" w:styleId="9">
    <w:name w:val="灰度表格1221"/>
    <w:basedOn w:val="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2025-02-12T09:05:00Z</dcterms:created>
  <dc:creator>L</dc:creator>
  <cp:lastModifiedBy>L</cp:lastModifiedBy>
  <dcterms:modified xsi:type="dcterms:W3CDTF">2025-02-12T09:05:25Z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233D4B8931204279A821ED50125983AA</vt:lpwstr>
  </property>
</Properties>
</file>