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Ansi="宋体"/>
          <w:b/>
          <w:bCs/>
          <w:sz w:val="52"/>
          <w:szCs w:val="52"/>
        </w:rPr>
      </w:pPr>
    </w:p>
    <w:p>
      <w:pPr>
        <w:spacing w:line="360" w:lineRule="auto"/>
        <w:jc w:val="center"/>
        <w:rPr>
          <w:rFonts w:hAnsi="宋体"/>
          <w:b/>
          <w:bCs/>
          <w:sz w:val="48"/>
          <w:szCs w:val="48"/>
        </w:rPr>
      </w:pPr>
      <w:bookmarkStart w:id="0" w:name="_Hlk67735399"/>
      <w:r>
        <w:rPr>
          <w:rFonts w:hint="eastAsia" w:hAnsi="宋体"/>
          <w:b/>
          <w:bCs/>
          <w:sz w:val="48"/>
          <w:szCs w:val="48"/>
          <w:lang w:eastAsia="zh-CN"/>
        </w:rPr>
        <w:t>南通市崇川区荷兰街夜市</w:t>
      </w:r>
      <w:r>
        <w:rPr>
          <w:rFonts w:hint="eastAsia" w:hAnsi="宋体"/>
          <w:b/>
          <w:bCs/>
          <w:sz w:val="48"/>
          <w:szCs w:val="48"/>
          <w:lang w:val="en-US" w:eastAsia="zh-CN"/>
        </w:rPr>
        <w:t>F-N栋</w:t>
      </w:r>
      <w:r>
        <w:rPr>
          <w:rFonts w:hint="eastAsia" w:hAnsi="宋体"/>
          <w:b/>
          <w:bCs/>
          <w:sz w:val="48"/>
          <w:szCs w:val="48"/>
        </w:rPr>
        <w:t>消防维修改造工程</w:t>
      </w:r>
    </w:p>
    <w:bookmarkEnd w:id="0"/>
    <w:p>
      <w:pPr>
        <w:spacing w:line="360" w:lineRule="auto"/>
        <w:jc w:val="center"/>
        <w:rPr>
          <w:b/>
          <w:bCs/>
          <w:sz w:val="52"/>
          <w:szCs w:val="52"/>
        </w:rPr>
      </w:pPr>
    </w:p>
    <w:p>
      <w:pPr>
        <w:spacing w:line="360" w:lineRule="auto"/>
        <w:jc w:val="center"/>
        <w:rPr>
          <w:rFonts w:asciiTheme="minorEastAsia" w:hAnsiTheme="minorEastAsia" w:eastAsiaTheme="minorEastAsia"/>
          <w:b/>
          <w:bCs/>
          <w:sz w:val="52"/>
          <w:szCs w:val="52"/>
        </w:rPr>
      </w:pPr>
    </w:p>
    <w:p>
      <w:pPr>
        <w:spacing w:line="360" w:lineRule="auto"/>
        <w:jc w:val="center"/>
        <w:rPr>
          <w:rFonts w:asciiTheme="minorEastAsia" w:hAnsiTheme="minorEastAsia" w:eastAsiaTheme="minorEastAsia"/>
          <w:b/>
          <w:bCs/>
          <w:sz w:val="52"/>
          <w:szCs w:val="52"/>
        </w:rPr>
      </w:pPr>
    </w:p>
    <w:p>
      <w:pPr>
        <w:spacing w:line="360" w:lineRule="auto"/>
        <w:jc w:val="center"/>
        <w:rPr>
          <w:rFonts w:asciiTheme="minorEastAsia" w:hAnsiTheme="minorEastAsia" w:eastAsiaTheme="minorEastAsia"/>
          <w:b/>
          <w:bCs/>
          <w:sz w:val="52"/>
          <w:szCs w:val="52"/>
        </w:rPr>
      </w:pPr>
    </w:p>
    <w:p>
      <w:pPr>
        <w:spacing w:line="360" w:lineRule="auto"/>
        <w:jc w:val="center"/>
        <w:rPr>
          <w:b/>
          <w:bCs/>
          <w:sz w:val="52"/>
          <w:szCs w:val="52"/>
          <w:u w:val="single"/>
        </w:rPr>
      </w:pPr>
      <w:r>
        <w:rPr>
          <w:rFonts w:hAnsi="宋体"/>
          <w:b/>
          <w:bCs/>
          <w:sz w:val="52"/>
          <w:szCs w:val="52"/>
        </w:rPr>
        <w:t>招标文件</w:t>
      </w:r>
    </w:p>
    <w:p>
      <w:pPr>
        <w:spacing w:line="360" w:lineRule="auto"/>
        <w:jc w:val="center"/>
        <w:rPr>
          <w:sz w:val="36"/>
          <w:szCs w:val="36"/>
        </w:rPr>
      </w:pPr>
      <w:r>
        <w:rPr>
          <w:rFonts w:hAnsi="宋体"/>
          <w:sz w:val="36"/>
          <w:szCs w:val="36"/>
        </w:rPr>
        <w:t>（工程量清单计价）</w:t>
      </w:r>
    </w:p>
    <w:p>
      <w:pPr>
        <w:spacing w:line="360" w:lineRule="auto"/>
        <w:ind w:firstLine="2800" w:firstLineChars="1000"/>
        <w:rPr>
          <w:rFonts w:hint="default"/>
          <w:color w:val="000000" w:themeColor="text1"/>
          <w:sz w:val="25"/>
          <w:highlight w:val="none"/>
          <w:lang w:val="en-US"/>
          <w14:textFill>
            <w14:solidFill>
              <w14:schemeClr w14:val="tx1"/>
            </w14:solidFill>
          </w14:textFill>
        </w:rPr>
      </w:pPr>
      <w:r>
        <w:rPr>
          <w:rFonts w:hAnsi="宋体"/>
          <w:color w:val="000000" w:themeColor="text1"/>
          <w:sz w:val="28"/>
          <w:szCs w:val="28"/>
          <w:highlight w:val="none"/>
          <w14:textFill>
            <w14:solidFill>
              <w14:schemeClr w14:val="tx1"/>
            </w14:solidFill>
          </w14:textFill>
        </w:rPr>
        <w:t>项目编号</w:t>
      </w:r>
      <w:r>
        <w:rPr>
          <w:rFonts w:hAnsi="宋体"/>
          <w:color w:val="000000" w:themeColor="text1"/>
          <w:sz w:val="32"/>
          <w:szCs w:val="32"/>
          <w:highlight w:val="none"/>
          <w14:textFill>
            <w14:solidFill>
              <w14:schemeClr w14:val="tx1"/>
            </w14:solidFill>
          </w14:textFill>
        </w:rPr>
        <w:t>：</w:t>
      </w:r>
      <w:r>
        <w:rPr>
          <w:rFonts w:hint="eastAsia" w:hAnsi="宋体"/>
          <w:color w:val="000000" w:themeColor="text1"/>
          <w:sz w:val="32"/>
          <w:szCs w:val="32"/>
          <w:highlight w:val="none"/>
          <w14:textFill>
            <w14:solidFill>
              <w14:schemeClr w14:val="tx1"/>
            </w14:solidFill>
          </w14:textFill>
        </w:rPr>
        <w:t>CC202</w:t>
      </w:r>
      <w:r>
        <w:rPr>
          <w:rFonts w:hint="eastAsia" w:hAnsi="宋体"/>
          <w:color w:val="000000" w:themeColor="text1"/>
          <w:sz w:val="32"/>
          <w:szCs w:val="32"/>
          <w:highlight w:val="none"/>
          <w:lang w:val="en-US" w:eastAsia="zh-CN"/>
          <w14:textFill>
            <w14:solidFill>
              <w14:schemeClr w14:val="tx1"/>
            </w14:solidFill>
          </w14:textFill>
        </w:rPr>
        <w:t>3</w:t>
      </w:r>
      <w:r>
        <w:rPr>
          <w:rFonts w:hint="eastAsia" w:hAnsi="宋体"/>
          <w:color w:val="000000" w:themeColor="text1"/>
          <w:sz w:val="32"/>
          <w:szCs w:val="32"/>
          <w:highlight w:val="none"/>
          <w14:textFill>
            <w14:solidFill>
              <w14:schemeClr w14:val="tx1"/>
            </w14:solidFill>
          </w14:textFill>
        </w:rPr>
        <w:t>-</w:t>
      </w:r>
      <w:r>
        <w:rPr>
          <w:rFonts w:hint="eastAsia" w:hAnsi="宋体"/>
          <w:color w:val="000000" w:themeColor="text1"/>
          <w:sz w:val="32"/>
          <w:szCs w:val="32"/>
          <w:highlight w:val="none"/>
          <w:lang w:val="en-US" w:eastAsia="zh-CN"/>
          <w14:textFill>
            <w14:solidFill>
              <w14:schemeClr w14:val="tx1"/>
            </w14:solidFill>
          </w14:textFill>
        </w:rPr>
        <w:t xml:space="preserve">112   </w:t>
      </w:r>
    </w:p>
    <w:p>
      <w:pPr>
        <w:spacing w:line="360" w:lineRule="auto"/>
        <w:jc w:val="center"/>
        <w:rPr>
          <w:sz w:val="25"/>
        </w:rPr>
      </w:pPr>
    </w:p>
    <w:p>
      <w:pPr>
        <w:spacing w:line="360" w:lineRule="auto"/>
        <w:jc w:val="center"/>
        <w:rPr>
          <w:sz w:val="25"/>
        </w:rPr>
      </w:pPr>
    </w:p>
    <w:p>
      <w:pPr>
        <w:spacing w:line="360" w:lineRule="auto"/>
        <w:jc w:val="center"/>
        <w:rPr>
          <w:sz w:val="25"/>
        </w:rPr>
      </w:pPr>
    </w:p>
    <w:p>
      <w:pPr>
        <w:spacing w:line="360" w:lineRule="auto"/>
        <w:jc w:val="center"/>
        <w:rPr>
          <w:sz w:val="25"/>
        </w:rPr>
      </w:pPr>
    </w:p>
    <w:p>
      <w:pPr>
        <w:spacing w:line="360" w:lineRule="auto"/>
        <w:jc w:val="center"/>
        <w:rPr>
          <w:sz w:val="25"/>
        </w:rPr>
      </w:pPr>
    </w:p>
    <w:p>
      <w:pPr>
        <w:spacing w:line="360" w:lineRule="auto"/>
        <w:jc w:val="center"/>
        <w:rPr>
          <w:sz w:val="25"/>
        </w:rPr>
      </w:pPr>
    </w:p>
    <w:p>
      <w:pPr>
        <w:spacing w:line="360" w:lineRule="auto"/>
        <w:ind w:firstLine="1946" w:firstLineChars="646"/>
        <w:rPr>
          <w:rFonts w:hAnsi="宋体"/>
          <w:b/>
          <w:bCs/>
          <w:sz w:val="30"/>
          <w:szCs w:val="30"/>
        </w:rPr>
      </w:pPr>
    </w:p>
    <w:p>
      <w:pPr>
        <w:spacing w:line="360" w:lineRule="auto"/>
        <w:ind w:firstLine="1946" w:firstLineChars="646"/>
        <w:rPr>
          <w:rFonts w:hAnsi="宋体"/>
          <w:b/>
          <w:bCs/>
          <w:sz w:val="30"/>
          <w:szCs w:val="30"/>
        </w:rPr>
      </w:pPr>
    </w:p>
    <w:p>
      <w:pPr>
        <w:spacing w:line="360" w:lineRule="auto"/>
        <w:ind w:firstLine="1946" w:firstLineChars="646"/>
        <w:rPr>
          <w:rFonts w:hAnsi="宋体"/>
          <w:b/>
          <w:bCs/>
          <w:sz w:val="30"/>
          <w:szCs w:val="30"/>
        </w:rPr>
      </w:pPr>
      <w:r>
        <w:rPr>
          <w:rFonts w:hAnsi="宋体"/>
          <w:b/>
          <w:bCs/>
          <w:sz w:val="30"/>
          <w:szCs w:val="30"/>
        </w:rPr>
        <w:t>招</w:t>
      </w:r>
      <w:r>
        <w:rPr>
          <w:rFonts w:hint="eastAsia" w:hAnsi="宋体"/>
          <w:b/>
          <w:bCs/>
          <w:sz w:val="30"/>
          <w:szCs w:val="30"/>
        </w:rPr>
        <w:t xml:space="preserve"> </w:t>
      </w:r>
      <w:r>
        <w:rPr>
          <w:rFonts w:hAnsi="宋体"/>
          <w:b/>
          <w:bCs/>
          <w:sz w:val="30"/>
          <w:szCs w:val="30"/>
        </w:rPr>
        <w:t>标</w:t>
      </w:r>
      <w:r>
        <w:rPr>
          <w:rFonts w:hint="eastAsia" w:hAnsi="宋体"/>
          <w:b/>
          <w:bCs/>
          <w:sz w:val="30"/>
          <w:szCs w:val="30"/>
        </w:rPr>
        <w:t xml:space="preserve"> </w:t>
      </w:r>
      <w:r>
        <w:rPr>
          <w:rFonts w:hAnsi="宋体"/>
          <w:b/>
          <w:bCs/>
          <w:sz w:val="30"/>
          <w:szCs w:val="30"/>
        </w:rPr>
        <w:t>人：</w:t>
      </w:r>
      <w:r>
        <w:rPr>
          <w:rFonts w:hint="eastAsia" w:hAnsi="宋体"/>
          <w:b/>
          <w:bCs/>
          <w:sz w:val="30"/>
          <w:szCs w:val="30"/>
        </w:rPr>
        <w:t xml:space="preserve">南通市崇川区文峰街道办事处  </w:t>
      </w:r>
      <w:r>
        <w:rPr>
          <w:rFonts w:hAnsi="宋体"/>
          <w:b/>
          <w:bCs/>
          <w:sz w:val="30"/>
          <w:szCs w:val="30"/>
        </w:rPr>
        <w:t xml:space="preserve"> </w:t>
      </w:r>
    </w:p>
    <w:p>
      <w:pPr>
        <w:spacing w:line="360" w:lineRule="auto"/>
        <w:ind w:firstLine="741" w:firstLineChars="246"/>
        <w:jc w:val="center"/>
        <w:rPr>
          <w:b/>
          <w:bCs/>
          <w:sz w:val="30"/>
          <w:szCs w:val="30"/>
        </w:rPr>
      </w:pPr>
      <w:r>
        <w:rPr>
          <w:rFonts w:hAnsi="宋体"/>
          <w:b/>
          <w:bCs/>
          <w:sz w:val="30"/>
          <w:szCs w:val="30"/>
        </w:rPr>
        <w:t>招标代理人</w:t>
      </w:r>
      <w:r>
        <w:rPr>
          <w:rFonts w:hint="eastAsia" w:hAnsi="宋体"/>
          <w:b/>
          <w:bCs/>
          <w:sz w:val="30"/>
          <w:szCs w:val="30"/>
          <w:lang w:eastAsia="zh-CN"/>
        </w:rPr>
        <w:t>：江苏华睿工程咨询有限公司</w:t>
      </w:r>
    </w:p>
    <w:p>
      <w:pPr>
        <w:pStyle w:val="31"/>
        <w:spacing w:before="156" w:beforeLines="50" w:line="360" w:lineRule="auto"/>
        <w:ind w:left="0" w:leftChars="0"/>
        <w:jc w:val="center"/>
        <w:rPr>
          <w:b/>
          <w:color w:val="000000" w:themeColor="text1"/>
          <w:sz w:val="30"/>
          <w:szCs w:val="30"/>
          <w:highlight w:val="none"/>
          <w14:textFill>
            <w14:solidFill>
              <w14:schemeClr w14:val="tx1"/>
            </w14:solidFill>
          </w14:textFill>
        </w:rPr>
      </w:pPr>
      <w:r>
        <w:rPr>
          <w:rFonts w:hAnsi="宋体"/>
          <w:b/>
          <w:color w:val="000000" w:themeColor="text1"/>
          <w:sz w:val="30"/>
          <w:szCs w:val="30"/>
          <w:highlight w:val="none"/>
          <w14:textFill>
            <w14:solidFill>
              <w14:schemeClr w14:val="tx1"/>
            </w14:solidFill>
          </w14:textFill>
        </w:rPr>
        <w:t>二</w:t>
      </w:r>
      <w:r>
        <w:rPr>
          <w:rFonts w:hint="eastAsia" w:hAnsi="宋体"/>
          <w:b/>
          <w:color w:val="000000" w:themeColor="text1"/>
          <w:sz w:val="30"/>
          <w:szCs w:val="30"/>
          <w:highlight w:val="none"/>
          <w14:textFill>
            <w14:solidFill>
              <w14:schemeClr w14:val="tx1"/>
            </w14:solidFill>
          </w14:textFill>
        </w:rPr>
        <w:t>〇</w:t>
      </w:r>
      <w:r>
        <w:rPr>
          <w:rFonts w:hAnsi="宋体"/>
          <w:b/>
          <w:color w:val="000000" w:themeColor="text1"/>
          <w:sz w:val="30"/>
          <w:szCs w:val="30"/>
          <w:highlight w:val="none"/>
          <w14:textFill>
            <w14:solidFill>
              <w14:schemeClr w14:val="tx1"/>
            </w14:solidFill>
          </w14:textFill>
        </w:rPr>
        <w:t>二</w:t>
      </w:r>
      <w:r>
        <w:rPr>
          <w:rFonts w:hint="eastAsia" w:hAnsi="宋体"/>
          <w:b/>
          <w:color w:val="000000" w:themeColor="text1"/>
          <w:sz w:val="30"/>
          <w:szCs w:val="30"/>
          <w:highlight w:val="none"/>
          <w14:textFill>
            <w14:solidFill>
              <w14:schemeClr w14:val="tx1"/>
            </w14:solidFill>
          </w14:textFill>
        </w:rPr>
        <w:t>三</w:t>
      </w:r>
      <w:r>
        <w:rPr>
          <w:rFonts w:hAnsi="宋体"/>
          <w:b/>
          <w:color w:val="000000" w:themeColor="text1"/>
          <w:sz w:val="30"/>
          <w:szCs w:val="30"/>
          <w:highlight w:val="none"/>
          <w14:textFill>
            <w14:solidFill>
              <w14:schemeClr w14:val="tx1"/>
            </w14:solidFill>
          </w14:textFill>
        </w:rPr>
        <w:t>年</w:t>
      </w:r>
      <w:r>
        <w:rPr>
          <w:rFonts w:hint="eastAsia" w:hAnsi="宋体"/>
          <w:b/>
          <w:color w:val="000000" w:themeColor="text1"/>
          <w:sz w:val="30"/>
          <w:szCs w:val="30"/>
          <w:highlight w:val="none"/>
          <w:lang w:eastAsia="zh-CN"/>
          <w14:textFill>
            <w14:solidFill>
              <w14:schemeClr w14:val="tx1"/>
            </w14:solidFill>
          </w14:textFill>
        </w:rPr>
        <w:t>六</w:t>
      </w:r>
      <w:r>
        <w:rPr>
          <w:rFonts w:hint="eastAsia" w:hAnsi="宋体"/>
          <w:b/>
          <w:color w:val="000000" w:themeColor="text1"/>
          <w:sz w:val="30"/>
          <w:szCs w:val="30"/>
          <w:highlight w:val="none"/>
          <w14:textFill>
            <w14:solidFill>
              <w14:schemeClr w14:val="tx1"/>
            </w14:solidFill>
          </w14:textFill>
        </w:rPr>
        <w:t>月</w:t>
      </w:r>
      <w:r>
        <w:rPr>
          <w:rFonts w:hint="eastAsia" w:hAnsi="宋体"/>
          <w:b/>
          <w:color w:val="000000" w:themeColor="text1"/>
          <w:sz w:val="30"/>
          <w:szCs w:val="30"/>
          <w:highlight w:val="none"/>
          <w:lang w:eastAsia="zh-CN"/>
          <w14:textFill>
            <w14:solidFill>
              <w14:schemeClr w14:val="tx1"/>
            </w14:solidFill>
          </w14:textFill>
        </w:rPr>
        <w:t>十二</w:t>
      </w:r>
      <w:r>
        <w:rPr>
          <w:rFonts w:hint="eastAsia" w:hAnsi="宋体"/>
          <w:b/>
          <w:color w:val="000000" w:themeColor="text1"/>
          <w:sz w:val="30"/>
          <w:szCs w:val="30"/>
          <w:highlight w:val="none"/>
          <w14:textFill>
            <w14:solidFill>
              <w14:schemeClr w14:val="tx1"/>
            </w14:solidFill>
          </w14:textFill>
        </w:rPr>
        <w:t>日</w:t>
      </w:r>
    </w:p>
    <w:p>
      <w:pPr>
        <w:pStyle w:val="4"/>
        <w:jc w:val="center"/>
        <w:rPr>
          <w:b w:val="0"/>
          <w:sz w:val="28"/>
          <w:szCs w:val="28"/>
        </w:rPr>
      </w:pPr>
      <w:bookmarkStart w:id="1" w:name="_Toc465181333"/>
      <w:bookmarkStart w:id="2" w:name="_Toc380681010"/>
      <w:bookmarkStart w:id="3" w:name="_Toc380680177"/>
      <w:bookmarkStart w:id="4" w:name="_Toc380681229"/>
      <w:bookmarkStart w:id="5" w:name="_Toc380680817"/>
      <w:r>
        <w:rPr>
          <w:rFonts w:hAnsi="宋体"/>
          <w:b w:val="0"/>
          <w:sz w:val="28"/>
          <w:szCs w:val="28"/>
        </w:rPr>
        <w:t>工程招标文件备案表</w:t>
      </w:r>
      <w:bookmarkEnd w:id="1"/>
      <w:bookmarkEnd w:id="2"/>
      <w:bookmarkEnd w:id="3"/>
      <w:bookmarkEnd w:id="4"/>
      <w:bookmarkEnd w:id="5"/>
    </w:p>
    <w:tbl>
      <w:tblPr>
        <w:tblStyle w:val="57"/>
        <w:tblW w:w="8600" w:type="dxa"/>
        <w:tblInd w:w="392"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60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825" w:hRule="atLeast"/>
        </w:trPr>
        <w:tc>
          <w:tcPr>
            <w:tcW w:w="8600" w:type="dxa"/>
            <w:tcBorders>
              <w:top w:val="single" w:color="auto" w:sz="4" w:space="0"/>
              <w:left w:val="single" w:color="auto" w:sz="4" w:space="0"/>
              <w:bottom w:val="single" w:color="auto" w:sz="4" w:space="0"/>
              <w:right w:val="single" w:color="auto" w:sz="4" w:space="0"/>
            </w:tcBorders>
          </w:tcPr>
          <w:p>
            <w:pPr>
              <w:spacing w:line="360" w:lineRule="auto"/>
              <w:rPr>
                <w:szCs w:val="21"/>
              </w:rPr>
            </w:pPr>
          </w:p>
          <w:p>
            <w:pPr>
              <w:spacing w:line="360" w:lineRule="auto"/>
              <w:rPr>
                <w:szCs w:val="21"/>
              </w:rPr>
            </w:pPr>
            <w:r>
              <w:rPr>
                <w:rFonts w:hAnsi="宋体"/>
                <w:szCs w:val="21"/>
              </w:rPr>
              <w:t>编制人</w:t>
            </w:r>
            <w:r>
              <w:rPr>
                <w:szCs w:val="21"/>
              </w:rPr>
              <w:t>(</w:t>
            </w:r>
            <w:r>
              <w:rPr>
                <w:rFonts w:hAnsi="宋体"/>
                <w:szCs w:val="21"/>
              </w:rPr>
              <w:t>组长</w:t>
            </w:r>
            <w:r>
              <w:rPr>
                <w:szCs w:val="21"/>
              </w:rPr>
              <w:t>)</w:t>
            </w:r>
            <w:r>
              <w:rPr>
                <w:rFonts w:hAnsi="宋体"/>
                <w:szCs w:val="21"/>
              </w:rPr>
              <w:t>：</w:t>
            </w:r>
            <w:r>
              <w:rPr>
                <w:rFonts w:hint="eastAsia" w:ascii="宋体" w:hAnsi="宋体"/>
                <w:szCs w:val="21"/>
                <w:highlight w:val="none"/>
              </w:rPr>
              <w:t>张静炜</w:t>
            </w:r>
          </w:p>
          <w:p>
            <w:pPr>
              <w:spacing w:line="360" w:lineRule="auto"/>
              <w:ind w:firstLine="840"/>
              <w:rPr>
                <w:rFonts w:hAnsi="宋体"/>
                <w:szCs w:val="21"/>
              </w:rPr>
            </w:pPr>
            <w:r>
              <w:rPr>
                <w:rFonts w:hAnsi="宋体"/>
                <w:szCs w:val="21"/>
              </w:rPr>
              <w:t>　</w:t>
            </w:r>
          </w:p>
          <w:p>
            <w:pPr>
              <w:spacing w:line="360" w:lineRule="auto"/>
              <w:ind w:firstLine="3570" w:firstLineChars="1700"/>
              <w:rPr>
                <w:szCs w:val="21"/>
              </w:rPr>
            </w:pPr>
            <w:r>
              <w:rPr>
                <w:rFonts w:hAnsi="宋体"/>
                <w:szCs w:val="21"/>
              </w:rPr>
              <w:t>日期：</w:t>
            </w:r>
            <w:r>
              <w:rPr>
                <w:rFonts w:hint="eastAsia"/>
                <w:szCs w:val="21"/>
              </w:rPr>
              <w:t>2023</w:t>
            </w:r>
            <w:r>
              <w:rPr>
                <w:rFonts w:hAnsi="宋体"/>
                <w:szCs w:val="21"/>
              </w:rPr>
              <w:t>年</w:t>
            </w:r>
            <w:r>
              <w:rPr>
                <w:rFonts w:hint="eastAsia" w:hAnsi="宋体"/>
                <w:szCs w:val="21"/>
                <w:lang w:val="en-US" w:eastAsia="zh-CN"/>
              </w:rPr>
              <w:t>6</w:t>
            </w:r>
            <w:r>
              <w:rPr>
                <w:rFonts w:hAnsi="宋体"/>
                <w:szCs w:val="21"/>
              </w:rPr>
              <w:t>月</w:t>
            </w:r>
            <w:r>
              <w:rPr>
                <w:rFonts w:hint="eastAsia" w:hAnsi="宋体"/>
                <w:szCs w:val="21"/>
                <w:lang w:val="en-US" w:eastAsia="zh-CN"/>
              </w:rPr>
              <w:t>12</w:t>
            </w:r>
            <w:r>
              <w:rPr>
                <w:rFonts w:hAnsi="宋体"/>
                <w:szCs w:val="21"/>
              </w:rPr>
              <w:t>日</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51" w:hRule="atLeast"/>
        </w:trPr>
        <w:tc>
          <w:tcPr>
            <w:tcW w:w="8600" w:type="dxa"/>
            <w:tcBorders>
              <w:top w:val="single" w:color="auto" w:sz="4" w:space="0"/>
              <w:left w:val="single" w:color="auto" w:sz="4" w:space="0"/>
              <w:bottom w:val="single" w:color="auto" w:sz="4" w:space="0"/>
              <w:right w:val="single" w:color="auto" w:sz="4" w:space="0"/>
            </w:tcBorders>
          </w:tcPr>
          <w:p>
            <w:pPr>
              <w:spacing w:line="360" w:lineRule="auto"/>
              <w:rPr>
                <w:szCs w:val="21"/>
              </w:rPr>
            </w:pPr>
          </w:p>
          <w:p>
            <w:pPr>
              <w:spacing w:line="360" w:lineRule="auto"/>
              <w:rPr>
                <w:szCs w:val="21"/>
              </w:rPr>
            </w:pPr>
          </w:p>
          <w:p>
            <w:pPr>
              <w:spacing w:line="360" w:lineRule="auto"/>
              <w:rPr>
                <w:szCs w:val="21"/>
              </w:rPr>
            </w:pPr>
            <w:r>
              <w:rPr>
                <w:rFonts w:hAnsi="宋体"/>
                <w:szCs w:val="21"/>
              </w:rPr>
              <w:t>招标人</w:t>
            </w:r>
            <w:r>
              <w:rPr>
                <w:szCs w:val="21"/>
              </w:rPr>
              <w:t>(</w:t>
            </w:r>
            <w:r>
              <w:rPr>
                <w:rFonts w:hAnsi="宋体"/>
                <w:szCs w:val="21"/>
              </w:rPr>
              <w:t>盖章</w:t>
            </w:r>
            <w:r>
              <w:rPr>
                <w:szCs w:val="21"/>
              </w:rPr>
              <w:t xml:space="preserve">)             </w:t>
            </w:r>
            <w:r>
              <w:rPr>
                <w:rFonts w:hAnsi="宋体"/>
                <w:szCs w:val="21"/>
              </w:rPr>
              <w:t>　法定代表人</w:t>
            </w:r>
            <w:r>
              <w:rPr>
                <w:szCs w:val="21"/>
              </w:rPr>
              <w:t>(</w:t>
            </w:r>
            <w:r>
              <w:rPr>
                <w:rFonts w:hAnsi="宋体"/>
                <w:szCs w:val="21"/>
              </w:rPr>
              <w:t>签字或盖章</w:t>
            </w:r>
            <w:r>
              <w:rPr>
                <w:szCs w:val="21"/>
              </w:rPr>
              <w:t>)</w:t>
            </w:r>
          </w:p>
          <w:p>
            <w:pPr>
              <w:spacing w:line="360" w:lineRule="auto"/>
              <w:rPr>
                <w:szCs w:val="21"/>
              </w:rPr>
            </w:pPr>
          </w:p>
          <w:p>
            <w:pPr>
              <w:spacing w:line="360" w:lineRule="auto"/>
              <w:rPr>
                <w:szCs w:val="21"/>
              </w:rPr>
            </w:pPr>
          </w:p>
          <w:p>
            <w:pPr>
              <w:spacing w:line="360" w:lineRule="auto"/>
              <w:rPr>
                <w:szCs w:val="21"/>
              </w:rPr>
            </w:pPr>
          </w:p>
          <w:p>
            <w:pPr>
              <w:spacing w:line="360" w:lineRule="auto"/>
              <w:rPr>
                <w:szCs w:val="21"/>
              </w:rPr>
            </w:pPr>
            <w:r>
              <w:rPr>
                <w:rFonts w:hAnsi="宋体"/>
                <w:szCs w:val="21"/>
              </w:rPr>
              <w:t>招标代理机构</w:t>
            </w:r>
            <w:r>
              <w:rPr>
                <w:szCs w:val="21"/>
              </w:rPr>
              <w:t>(</w:t>
            </w:r>
            <w:r>
              <w:rPr>
                <w:rFonts w:hAnsi="宋体"/>
                <w:szCs w:val="21"/>
              </w:rPr>
              <w:t>盖章</w:t>
            </w:r>
            <w:r>
              <w:rPr>
                <w:szCs w:val="21"/>
              </w:rPr>
              <w:t xml:space="preserve">)         </w:t>
            </w:r>
            <w:r>
              <w:rPr>
                <w:rFonts w:hAnsi="宋体"/>
                <w:szCs w:val="21"/>
              </w:rPr>
              <w:t>法定代表人</w:t>
            </w:r>
            <w:r>
              <w:rPr>
                <w:szCs w:val="21"/>
              </w:rPr>
              <w:t>(</w:t>
            </w:r>
            <w:r>
              <w:rPr>
                <w:rFonts w:hAnsi="宋体"/>
                <w:szCs w:val="21"/>
              </w:rPr>
              <w:t>签字或盖章</w:t>
            </w:r>
            <w:r>
              <w:rPr>
                <w:szCs w:val="21"/>
              </w:rPr>
              <w:t>)</w:t>
            </w:r>
          </w:p>
          <w:p>
            <w:pPr>
              <w:spacing w:line="360" w:lineRule="auto"/>
              <w:rPr>
                <w:szCs w:val="21"/>
              </w:rPr>
            </w:pPr>
          </w:p>
          <w:p>
            <w:pPr>
              <w:wordWrap w:val="0"/>
              <w:spacing w:line="360" w:lineRule="auto"/>
              <w:ind w:right="700" w:firstLine="560"/>
              <w:jc w:val="right"/>
              <w:rPr>
                <w:szCs w:val="21"/>
              </w:rPr>
            </w:pPr>
            <w:r>
              <w:rPr>
                <w:rFonts w:hAnsi="宋体"/>
                <w:szCs w:val="21"/>
              </w:rPr>
              <w:t>日期：</w:t>
            </w:r>
            <w:r>
              <w:rPr>
                <w:szCs w:val="21"/>
              </w:rPr>
              <w:t>20</w:t>
            </w:r>
            <w:r>
              <w:rPr>
                <w:rFonts w:hint="eastAsia"/>
                <w:szCs w:val="21"/>
              </w:rPr>
              <w:t>23</w:t>
            </w:r>
            <w:r>
              <w:rPr>
                <w:rFonts w:hAnsi="宋体"/>
                <w:szCs w:val="21"/>
              </w:rPr>
              <w:t>年</w:t>
            </w:r>
            <w:r>
              <w:rPr>
                <w:rFonts w:hint="eastAsia" w:hAnsi="宋体"/>
                <w:szCs w:val="21"/>
                <w:lang w:val="en-US" w:eastAsia="zh-CN"/>
              </w:rPr>
              <w:t>6</w:t>
            </w:r>
            <w:r>
              <w:rPr>
                <w:rFonts w:hAnsi="宋体"/>
                <w:szCs w:val="21"/>
              </w:rPr>
              <w:t>月</w:t>
            </w:r>
            <w:r>
              <w:rPr>
                <w:rFonts w:hint="eastAsia" w:hAnsi="宋体"/>
                <w:szCs w:val="21"/>
                <w:lang w:val="en-US" w:eastAsia="zh-CN"/>
              </w:rPr>
              <w:t>12</w:t>
            </w:r>
            <w:r>
              <w:rPr>
                <w:rFonts w:hAnsi="宋体"/>
                <w:szCs w:val="21"/>
              </w:rPr>
              <w:t>日</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295" w:hRule="atLeast"/>
        </w:trPr>
        <w:tc>
          <w:tcPr>
            <w:tcW w:w="8600" w:type="dxa"/>
            <w:tcBorders>
              <w:top w:val="single" w:color="auto" w:sz="4" w:space="0"/>
              <w:left w:val="single" w:color="auto" w:sz="4" w:space="0"/>
              <w:bottom w:val="single" w:color="auto" w:sz="4" w:space="0"/>
              <w:right w:val="single" w:color="auto" w:sz="4" w:space="0"/>
            </w:tcBorders>
          </w:tcPr>
          <w:p>
            <w:pPr>
              <w:spacing w:line="360" w:lineRule="auto"/>
              <w:rPr>
                <w:szCs w:val="21"/>
              </w:rPr>
            </w:pPr>
          </w:p>
          <w:p>
            <w:pPr>
              <w:spacing w:line="360" w:lineRule="auto"/>
              <w:rPr>
                <w:szCs w:val="21"/>
              </w:rPr>
            </w:pPr>
          </w:p>
          <w:p>
            <w:pPr>
              <w:spacing w:line="360" w:lineRule="auto"/>
              <w:rPr>
                <w:szCs w:val="21"/>
              </w:rPr>
            </w:pPr>
          </w:p>
          <w:p>
            <w:pPr>
              <w:spacing w:line="360" w:lineRule="auto"/>
              <w:rPr>
                <w:szCs w:val="21"/>
              </w:rPr>
            </w:pPr>
          </w:p>
          <w:p>
            <w:pPr>
              <w:spacing w:line="360" w:lineRule="auto"/>
              <w:jc w:val="center"/>
              <w:rPr>
                <w:szCs w:val="21"/>
              </w:rPr>
            </w:pPr>
            <w:r>
              <w:rPr>
                <w:rFonts w:ascii="宋体" w:hAnsi="宋体"/>
                <w:sz w:val="24"/>
              </w:rPr>
              <w:t>南通市</w:t>
            </w:r>
            <w:r>
              <w:rPr>
                <w:rFonts w:hint="eastAsia" w:ascii="宋体" w:hAnsi="宋体"/>
                <w:sz w:val="24"/>
              </w:rPr>
              <w:t>崇川区行政审批局交易科</w:t>
            </w:r>
            <w:r>
              <w:rPr>
                <w:rFonts w:ascii="宋体" w:hAnsi="宋体"/>
                <w:sz w:val="24"/>
              </w:rPr>
              <w:t>（备案）</w:t>
            </w:r>
          </w:p>
        </w:tc>
      </w:tr>
    </w:tbl>
    <w:p>
      <w:pPr>
        <w:pStyle w:val="4"/>
        <w:spacing w:line="240" w:lineRule="auto"/>
        <w:ind w:firstLine="1428" w:firstLineChars="395"/>
        <w:rPr>
          <w:sz w:val="36"/>
        </w:rPr>
      </w:pPr>
      <w:r>
        <w:rPr>
          <w:sz w:val="36"/>
        </w:rPr>
        <w:br w:type="page"/>
      </w:r>
      <w:bookmarkStart w:id="6" w:name="_Toc380681230"/>
      <w:bookmarkStart w:id="7" w:name="_Toc380681011"/>
      <w:bookmarkStart w:id="8" w:name="_Toc380680818"/>
      <w:bookmarkStart w:id="9" w:name="_Toc465181334"/>
      <w:bookmarkStart w:id="10" w:name="_Toc380680178"/>
      <w:r>
        <w:rPr>
          <w:rFonts w:hAnsi="宋体"/>
          <w:sz w:val="36"/>
        </w:rPr>
        <w:t>第一章投标人须知及投标人须知前附表</w:t>
      </w:r>
      <w:bookmarkEnd w:id="6"/>
      <w:bookmarkEnd w:id="7"/>
      <w:bookmarkEnd w:id="8"/>
      <w:bookmarkEnd w:id="9"/>
      <w:bookmarkEnd w:id="10"/>
    </w:p>
    <w:p>
      <w:pPr>
        <w:pStyle w:val="5"/>
        <w:spacing w:line="240" w:lineRule="auto"/>
        <w:jc w:val="center"/>
        <w:rPr>
          <w:rFonts w:ascii="Times New Roman" w:hAnsi="Times New Roman" w:eastAsia="宋体"/>
          <w:sz w:val="25"/>
        </w:rPr>
      </w:pPr>
      <w:bookmarkStart w:id="11" w:name="_Toc380680179"/>
      <w:bookmarkStart w:id="12" w:name="_Toc380681231"/>
      <w:bookmarkStart w:id="13" w:name="_Toc380680819"/>
      <w:bookmarkStart w:id="14" w:name="_Toc380681012"/>
      <w:r>
        <w:rPr>
          <w:rFonts w:ascii="Times New Roman" w:hAnsi="宋体" w:eastAsia="宋体"/>
          <w:sz w:val="30"/>
        </w:rPr>
        <w:t>一、投标人须知前附表</w:t>
      </w:r>
      <w:bookmarkEnd w:id="11"/>
      <w:bookmarkEnd w:id="12"/>
      <w:bookmarkEnd w:id="13"/>
      <w:bookmarkEnd w:id="14"/>
    </w:p>
    <w:tbl>
      <w:tblPr>
        <w:tblStyle w:val="57"/>
        <w:tblW w:w="94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992"/>
        <w:gridCol w:w="1843"/>
        <w:gridCol w:w="58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814" w:type="dxa"/>
            <w:vAlign w:val="center"/>
          </w:tcPr>
          <w:p>
            <w:pPr>
              <w:ind w:left="23" w:hanging="23" w:hangingChars="11"/>
              <w:jc w:val="center"/>
              <w:rPr>
                <w:rFonts w:ascii="宋体" w:hAnsi="宋体"/>
                <w:b/>
                <w:szCs w:val="21"/>
              </w:rPr>
            </w:pPr>
            <w:r>
              <w:rPr>
                <w:rFonts w:ascii="宋体" w:hAnsi="宋体"/>
                <w:b/>
                <w:szCs w:val="21"/>
              </w:rPr>
              <w:t>项号</w:t>
            </w:r>
          </w:p>
        </w:tc>
        <w:tc>
          <w:tcPr>
            <w:tcW w:w="992" w:type="dxa"/>
            <w:vAlign w:val="center"/>
          </w:tcPr>
          <w:p>
            <w:pPr>
              <w:jc w:val="center"/>
              <w:rPr>
                <w:rFonts w:ascii="宋体" w:hAnsi="宋体"/>
                <w:b/>
                <w:szCs w:val="21"/>
              </w:rPr>
            </w:pPr>
            <w:r>
              <w:rPr>
                <w:rFonts w:ascii="宋体" w:hAnsi="宋体"/>
                <w:b/>
                <w:szCs w:val="21"/>
              </w:rPr>
              <w:t>条款号</w:t>
            </w:r>
          </w:p>
        </w:tc>
        <w:tc>
          <w:tcPr>
            <w:tcW w:w="1843" w:type="dxa"/>
            <w:vAlign w:val="center"/>
          </w:tcPr>
          <w:p>
            <w:pPr>
              <w:jc w:val="center"/>
              <w:rPr>
                <w:rFonts w:ascii="宋体" w:hAnsi="宋体"/>
                <w:b/>
                <w:szCs w:val="21"/>
              </w:rPr>
            </w:pPr>
            <w:r>
              <w:rPr>
                <w:rFonts w:ascii="宋体" w:hAnsi="宋体"/>
                <w:b/>
                <w:szCs w:val="21"/>
              </w:rPr>
              <w:t>内容</w:t>
            </w:r>
          </w:p>
        </w:tc>
        <w:tc>
          <w:tcPr>
            <w:tcW w:w="5812" w:type="dxa"/>
            <w:vAlign w:val="center"/>
          </w:tcPr>
          <w:p>
            <w:pPr>
              <w:jc w:val="center"/>
              <w:rPr>
                <w:rFonts w:ascii="宋体" w:hAnsi="宋体"/>
                <w:b/>
                <w:szCs w:val="21"/>
              </w:rPr>
            </w:pPr>
            <w:r>
              <w:rPr>
                <w:rFonts w:ascii="宋体" w:hAnsi="宋体"/>
                <w:b/>
                <w:szCs w:val="21"/>
              </w:rPr>
              <w:t>说明与要求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1</w:t>
            </w:r>
          </w:p>
        </w:tc>
        <w:tc>
          <w:tcPr>
            <w:tcW w:w="992" w:type="dxa"/>
            <w:vAlign w:val="center"/>
          </w:tcPr>
          <w:p>
            <w:pPr>
              <w:jc w:val="center"/>
              <w:rPr>
                <w:rFonts w:ascii="宋体" w:hAnsi="宋体"/>
                <w:szCs w:val="21"/>
              </w:rPr>
            </w:pPr>
            <w:r>
              <w:rPr>
                <w:rFonts w:ascii="宋体" w:hAnsi="宋体"/>
                <w:szCs w:val="21"/>
              </w:rPr>
              <w:t>1.1</w:t>
            </w:r>
          </w:p>
        </w:tc>
        <w:tc>
          <w:tcPr>
            <w:tcW w:w="1843" w:type="dxa"/>
            <w:vAlign w:val="center"/>
          </w:tcPr>
          <w:p>
            <w:pPr>
              <w:jc w:val="center"/>
              <w:rPr>
                <w:rFonts w:ascii="宋体" w:hAnsi="宋体"/>
                <w:szCs w:val="21"/>
              </w:rPr>
            </w:pPr>
            <w:r>
              <w:rPr>
                <w:rFonts w:ascii="宋体" w:hAnsi="宋体"/>
                <w:szCs w:val="21"/>
              </w:rPr>
              <w:t>工程名称</w:t>
            </w:r>
          </w:p>
        </w:tc>
        <w:tc>
          <w:tcPr>
            <w:tcW w:w="5812" w:type="dxa"/>
            <w:vAlign w:val="center"/>
          </w:tcPr>
          <w:p>
            <w:pPr>
              <w:rPr>
                <w:rFonts w:ascii="宋体" w:hAnsi="宋体"/>
                <w:szCs w:val="21"/>
              </w:rPr>
            </w:pPr>
            <w:r>
              <w:rPr>
                <w:rFonts w:hint="eastAsia" w:ascii="宋体" w:hAnsi="宋体"/>
                <w:szCs w:val="21"/>
                <w:lang w:eastAsia="zh-CN"/>
              </w:rPr>
              <w:t>南通市崇川区荷兰街夜市</w:t>
            </w:r>
            <w:r>
              <w:rPr>
                <w:rFonts w:hint="eastAsia" w:ascii="宋体" w:hAnsi="宋体"/>
                <w:szCs w:val="21"/>
                <w:lang w:val="en-US" w:eastAsia="zh-CN"/>
              </w:rPr>
              <w:t>F-N栋</w:t>
            </w:r>
            <w:r>
              <w:rPr>
                <w:rFonts w:hint="eastAsia" w:ascii="宋体" w:hAnsi="宋体"/>
                <w:szCs w:val="21"/>
              </w:rPr>
              <w:t>消防维修改造工程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2</w:t>
            </w:r>
          </w:p>
        </w:tc>
        <w:tc>
          <w:tcPr>
            <w:tcW w:w="992" w:type="dxa"/>
            <w:vAlign w:val="center"/>
          </w:tcPr>
          <w:p>
            <w:pPr>
              <w:jc w:val="center"/>
              <w:rPr>
                <w:rFonts w:ascii="宋体" w:hAnsi="宋体"/>
                <w:szCs w:val="21"/>
              </w:rPr>
            </w:pPr>
            <w:r>
              <w:rPr>
                <w:rFonts w:ascii="宋体" w:hAnsi="宋体"/>
                <w:szCs w:val="21"/>
              </w:rPr>
              <w:t>1.1</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建设地点</w:t>
            </w:r>
          </w:p>
        </w:tc>
        <w:tc>
          <w:tcPr>
            <w:tcW w:w="5812" w:type="dxa"/>
            <w:vAlign w:val="center"/>
          </w:tcPr>
          <w:p>
            <w:pP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color w:val="000000" w:themeColor="text1"/>
                <w:szCs w:val="21"/>
                <w14:textFill>
                  <w14:solidFill>
                    <w14:schemeClr w14:val="tx1"/>
                  </w14:solidFill>
                </w14:textFill>
              </w:rPr>
              <w:t>崇川区</w:t>
            </w:r>
            <w:r>
              <w:rPr>
                <w:rFonts w:hint="eastAsia" w:ascii="宋体" w:hAnsi="宋体"/>
                <w:szCs w:val="21"/>
                <w:lang w:eastAsia="zh-CN"/>
              </w:rPr>
              <w:t>荷兰街夜市</w:t>
            </w:r>
            <w:r>
              <w:rPr>
                <w:rFonts w:hint="eastAsia" w:ascii="宋体" w:hAnsi="宋体"/>
                <w:szCs w:val="21"/>
                <w:lang w:val="en-US" w:eastAsia="zh-CN"/>
              </w:rPr>
              <w:t>F-N栋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3</w:t>
            </w:r>
          </w:p>
        </w:tc>
        <w:tc>
          <w:tcPr>
            <w:tcW w:w="992" w:type="dxa"/>
            <w:vAlign w:val="center"/>
          </w:tcPr>
          <w:p>
            <w:pPr>
              <w:jc w:val="center"/>
              <w:rPr>
                <w:rFonts w:ascii="宋体" w:hAnsi="宋体"/>
                <w:szCs w:val="21"/>
              </w:rPr>
            </w:pPr>
            <w:r>
              <w:rPr>
                <w:rFonts w:ascii="宋体" w:hAnsi="宋体"/>
                <w:szCs w:val="21"/>
              </w:rPr>
              <w:t>1.1</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建设规模</w:t>
            </w:r>
          </w:p>
        </w:tc>
        <w:tc>
          <w:tcPr>
            <w:tcW w:w="5812" w:type="dxa"/>
            <w:vAlign w:val="center"/>
          </w:tcPr>
          <w:p>
            <w:pP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 xml:space="preserve">约 </w:t>
            </w:r>
            <w:r>
              <w:rPr>
                <w:rFonts w:hint="eastAsia" w:ascii="宋体" w:hAnsi="宋体"/>
                <w:color w:val="000000" w:themeColor="text1"/>
                <w:szCs w:val="21"/>
                <w:lang w:val="en-US" w:eastAsia="zh-CN"/>
                <w14:textFill>
                  <w14:solidFill>
                    <w14:schemeClr w14:val="tx1"/>
                  </w14:solidFill>
                </w14:textFill>
              </w:rPr>
              <w:t>56</w:t>
            </w:r>
            <w:r>
              <w:rPr>
                <w:rFonts w:ascii="宋体" w:hAnsi="宋体"/>
                <w:color w:val="000000" w:themeColor="text1"/>
                <w:szCs w:val="21"/>
                <w14:textFill>
                  <w14:solidFill>
                    <w14:schemeClr w14:val="tx1"/>
                  </w14:solidFill>
                </w14:textFill>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4</w:t>
            </w:r>
          </w:p>
        </w:tc>
        <w:tc>
          <w:tcPr>
            <w:tcW w:w="992" w:type="dxa"/>
            <w:vAlign w:val="center"/>
          </w:tcPr>
          <w:p>
            <w:pPr>
              <w:jc w:val="center"/>
              <w:rPr>
                <w:rFonts w:ascii="宋体" w:hAnsi="宋体"/>
                <w:szCs w:val="21"/>
              </w:rPr>
            </w:pPr>
            <w:r>
              <w:rPr>
                <w:rFonts w:ascii="宋体" w:hAnsi="宋体"/>
                <w:szCs w:val="21"/>
              </w:rPr>
              <w:t>1.1</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承包方式</w:t>
            </w:r>
          </w:p>
        </w:tc>
        <w:tc>
          <w:tcPr>
            <w:tcW w:w="5812" w:type="dxa"/>
            <w:vAlign w:val="center"/>
          </w:tcPr>
          <w:p>
            <w:pP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包工包料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5</w:t>
            </w:r>
          </w:p>
        </w:tc>
        <w:tc>
          <w:tcPr>
            <w:tcW w:w="992" w:type="dxa"/>
            <w:vAlign w:val="center"/>
          </w:tcPr>
          <w:p>
            <w:pPr>
              <w:jc w:val="center"/>
              <w:rPr>
                <w:rFonts w:ascii="宋体" w:hAnsi="宋体"/>
                <w:szCs w:val="21"/>
              </w:rPr>
            </w:pPr>
            <w:r>
              <w:rPr>
                <w:rFonts w:ascii="宋体" w:hAnsi="宋体"/>
                <w:szCs w:val="21"/>
              </w:rPr>
              <w:t>1.1</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质量标准</w:t>
            </w:r>
          </w:p>
        </w:tc>
        <w:tc>
          <w:tcPr>
            <w:tcW w:w="5812" w:type="dxa"/>
            <w:vAlign w:val="center"/>
          </w:tcPr>
          <w:p>
            <w:pPr>
              <w:jc w:val="left"/>
              <w:rPr>
                <w:rFonts w:ascii="宋体" w:hAnsi="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合格。经具备相应资质的消防检测机构检测合格，出具检测报告，必须满足原消防要求。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jc w:val="center"/>
        </w:trPr>
        <w:tc>
          <w:tcPr>
            <w:tcW w:w="814" w:type="dxa"/>
            <w:vAlign w:val="center"/>
          </w:tcPr>
          <w:p>
            <w:pPr>
              <w:jc w:val="center"/>
              <w:rPr>
                <w:rFonts w:ascii="宋体" w:hAnsi="宋体"/>
                <w:szCs w:val="21"/>
              </w:rPr>
            </w:pPr>
            <w:r>
              <w:rPr>
                <w:rFonts w:ascii="宋体" w:hAnsi="宋体"/>
                <w:szCs w:val="21"/>
              </w:rPr>
              <w:t>6</w:t>
            </w:r>
          </w:p>
        </w:tc>
        <w:tc>
          <w:tcPr>
            <w:tcW w:w="992" w:type="dxa"/>
            <w:vAlign w:val="center"/>
          </w:tcPr>
          <w:p>
            <w:pPr>
              <w:jc w:val="center"/>
              <w:rPr>
                <w:rFonts w:ascii="宋体" w:hAnsi="宋体"/>
                <w:szCs w:val="21"/>
              </w:rPr>
            </w:pPr>
            <w:r>
              <w:rPr>
                <w:rFonts w:ascii="宋体" w:hAnsi="宋体"/>
                <w:szCs w:val="21"/>
              </w:rPr>
              <w:t>1.1</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工期要求</w:t>
            </w:r>
          </w:p>
        </w:tc>
        <w:tc>
          <w:tcPr>
            <w:tcW w:w="5812" w:type="dxa"/>
            <w:vAlign w:val="center"/>
          </w:tcPr>
          <w:p>
            <w:pP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计划开工时间：</w:t>
            </w:r>
            <w:r>
              <w:rPr>
                <w:rFonts w:ascii="宋体" w:hAnsi="宋体"/>
                <w:color w:val="000000" w:themeColor="text1"/>
                <w:szCs w:val="21"/>
                <w:u w:val="single"/>
                <w14:textFill>
                  <w14:solidFill>
                    <w14:schemeClr w14:val="tx1"/>
                  </w14:solidFill>
                </w14:textFill>
              </w:rPr>
              <w:t>20</w:t>
            </w:r>
            <w:r>
              <w:rPr>
                <w:rFonts w:hint="eastAsia" w:ascii="宋体" w:hAnsi="宋体"/>
                <w:color w:val="000000" w:themeColor="text1"/>
                <w:szCs w:val="21"/>
                <w:u w:val="single"/>
                <w14:textFill>
                  <w14:solidFill>
                    <w14:schemeClr w14:val="tx1"/>
                  </w14:solidFill>
                </w14:textFill>
              </w:rPr>
              <w:t>23</w:t>
            </w:r>
            <w:r>
              <w:rPr>
                <w:rFonts w:ascii="宋体" w:hAnsi="宋体"/>
                <w:color w:val="000000" w:themeColor="text1"/>
                <w:szCs w:val="21"/>
                <w:u w:val="single"/>
                <w14:textFill>
                  <w14:solidFill>
                    <w14:schemeClr w14:val="tx1"/>
                  </w14:solidFill>
                </w14:textFill>
              </w:rPr>
              <w:t>年</w:t>
            </w:r>
            <w:r>
              <w:rPr>
                <w:rFonts w:hint="eastAsia" w:ascii="宋体" w:hAnsi="宋体"/>
                <w:color w:val="000000" w:themeColor="text1"/>
                <w:szCs w:val="21"/>
                <w:u w:val="single"/>
                <w:lang w:val="en-US" w:eastAsia="zh-CN"/>
                <w14:textFill>
                  <w14:solidFill>
                    <w14:schemeClr w14:val="tx1"/>
                  </w14:solidFill>
                </w14:textFill>
              </w:rPr>
              <w:t>7</w:t>
            </w:r>
            <w:r>
              <w:rPr>
                <w:rFonts w:ascii="宋体" w:hAnsi="宋体"/>
                <w:color w:val="000000" w:themeColor="text1"/>
                <w:szCs w:val="21"/>
                <w:u w:val="single"/>
                <w14:textFill>
                  <w14:solidFill>
                    <w14:schemeClr w14:val="tx1"/>
                  </w14:solidFill>
                </w14:textFill>
              </w:rPr>
              <w:t>月</w:t>
            </w:r>
            <w:r>
              <w:rPr>
                <w:rFonts w:hint="eastAsia" w:ascii="宋体" w:hAnsi="宋体"/>
                <w:color w:val="000000" w:themeColor="text1"/>
                <w:szCs w:val="21"/>
                <w:u w:val="single"/>
                <w14:textFill>
                  <w14:solidFill>
                    <w14:schemeClr w14:val="tx1"/>
                  </w14:solidFill>
                </w14:textFill>
              </w:rPr>
              <w:t>；</w:t>
            </w:r>
            <w:r>
              <w:rPr>
                <w:rFonts w:ascii="宋体" w:hAnsi="宋体"/>
                <w:color w:val="000000" w:themeColor="text1"/>
                <w:szCs w:val="21"/>
                <w14:textFill>
                  <w14:solidFill>
                    <w14:schemeClr w14:val="tx1"/>
                  </w14:solidFill>
                </w14:textFill>
              </w:rPr>
              <w:t>计划竣工时间：</w:t>
            </w:r>
            <w:r>
              <w:rPr>
                <w:rFonts w:ascii="宋体" w:hAnsi="宋体"/>
                <w:color w:val="000000" w:themeColor="text1"/>
                <w:szCs w:val="21"/>
                <w:u w:val="single"/>
                <w14:textFill>
                  <w14:solidFill>
                    <w14:schemeClr w14:val="tx1"/>
                  </w14:solidFill>
                </w14:textFill>
              </w:rPr>
              <w:t>20</w:t>
            </w:r>
            <w:r>
              <w:rPr>
                <w:rFonts w:hint="eastAsia" w:ascii="宋体" w:hAnsi="宋体"/>
                <w:color w:val="000000" w:themeColor="text1"/>
                <w:szCs w:val="21"/>
                <w:u w:val="single"/>
                <w14:textFill>
                  <w14:solidFill>
                    <w14:schemeClr w14:val="tx1"/>
                  </w14:solidFill>
                </w14:textFill>
              </w:rPr>
              <w:t>23</w:t>
            </w:r>
            <w:r>
              <w:rPr>
                <w:rFonts w:ascii="宋体" w:hAnsi="宋体"/>
                <w:color w:val="000000" w:themeColor="text1"/>
                <w:szCs w:val="21"/>
                <w:u w:val="single"/>
                <w14:textFill>
                  <w14:solidFill>
                    <w14:schemeClr w14:val="tx1"/>
                  </w14:solidFill>
                </w14:textFill>
              </w:rPr>
              <w:t>年</w:t>
            </w:r>
            <w:r>
              <w:rPr>
                <w:rFonts w:hint="eastAsia" w:ascii="宋体" w:hAnsi="宋体"/>
                <w:color w:val="000000" w:themeColor="text1"/>
                <w:szCs w:val="21"/>
                <w:u w:val="single"/>
                <w:lang w:val="en-US" w:eastAsia="zh-CN"/>
                <w14:textFill>
                  <w14:solidFill>
                    <w14:schemeClr w14:val="tx1"/>
                  </w14:solidFill>
                </w14:textFill>
              </w:rPr>
              <w:t>8</w:t>
            </w:r>
            <w:r>
              <w:rPr>
                <w:rFonts w:ascii="宋体" w:hAnsi="宋体"/>
                <w:color w:val="000000" w:themeColor="text1"/>
                <w:szCs w:val="21"/>
                <w:u w:val="single"/>
                <w14:textFill>
                  <w14:solidFill>
                    <w14:schemeClr w14:val="tx1"/>
                  </w14:solidFill>
                </w14:textFill>
              </w:rPr>
              <w:t>月</w:t>
            </w:r>
            <w:r>
              <w:rPr>
                <w:rFonts w:hint="eastAsia" w:ascii="宋体" w:hAnsi="宋体"/>
                <w:color w:val="000000" w:themeColor="text1"/>
                <w:szCs w:val="21"/>
                <w:u w:val="single"/>
                <w14:textFill>
                  <w14:solidFill>
                    <w14:schemeClr w14:val="tx1"/>
                  </w14:solidFill>
                </w14:textFill>
              </w:rPr>
              <w:t>；</w:t>
            </w:r>
            <w:r>
              <w:rPr>
                <w:rFonts w:ascii="宋体" w:hAnsi="宋体"/>
                <w:color w:val="000000" w:themeColor="text1"/>
                <w:szCs w:val="21"/>
                <w14:textFill>
                  <w14:solidFill>
                    <w14:schemeClr w14:val="tx1"/>
                  </w14:solidFill>
                </w14:textFill>
              </w:rPr>
              <w:t>施工总</w:t>
            </w:r>
            <w:r>
              <w:rPr>
                <w:rFonts w:ascii="宋体" w:hAnsi="宋体"/>
                <w:color w:val="000000" w:themeColor="text1"/>
                <w:szCs w:val="21"/>
                <w:highlight w:val="none"/>
                <w14:textFill>
                  <w14:solidFill>
                    <w14:schemeClr w14:val="tx1"/>
                  </w14:solidFill>
                </w14:textFill>
              </w:rPr>
              <w:t>工期</w:t>
            </w:r>
            <w:r>
              <w:rPr>
                <w:rFonts w:hint="eastAsia" w:ascii="宋体" w:hAnsi="宋体"/>
                <w:bCs/>
                <w:color w:val="000000" w:themeColor="text1"/>
                <w:szCs w:val="21"/>
                <w:highlight w:val="none"/>
                <w:u w:val="single"/>
                <w:lang w:val="en-US" w:eastAsia="zh-CN"/>
                <w14:textFill>
                  <w14:solidFill>
                    <w14:schemeClr w14:val="tx1"/>
                  </w14:solidFill>
                </w14:textFill>
              </w:rPr>
              <w:t>3</w:t>
            </w:r>
            <w:r>
              <w:rPr>
                <w:rFonts w:ascii="宋体" w:hAnsi="宋体"/>
                <w:bCs/>
                <w:color w:val="000000" w:themeColor="text1"/>
                <w:szCs w:val="21"/>
                <w:highlight w:val="none"/>
                <w:u w:val="single"/>
                <w14:textFill>
                  <w14:solidFill>
                    <w14:schemeClr w14:val="tx1"/>
                  </w14:solidFill>
                </w14:textFill>
              </w:rPr>
              <w:t>0</w:t>
            </w:r>
            <w:r>
              <w:rPr>
                <w:rFonts w:ascii="宋体" w:hAnsi="宋体"/>
                <w:color w:val="000000" w:themeColor="text1"/>
                <w:szCs w:val="21"/>
                <w:highlight w:val="none"/>
                <w14:textFill>
                  <w14:solidFill>
                    <w14:schemeClr w14:val="tx1"/>
                  </w14:solidFill>
                </w14:textFill>
              </w:rPr>
              <w:t>日历</w:t>
            </w:r>
            <w:r>
              <w:rPr>
                <w:rFonts w:ascii="宋体" w:hAnsi="宋体"/>
                <w:color w:val="000000" w:themeColor="text1"/>
                <w:szCs w:val="21"/>
                <w14:textFill>
                  <w14:solidFill>
                    <w14:schemeClr w14:val="tx1"/>
                  </w14:solidFill>
                </w14:textFill>
              </w:rPr>
              <w:t>天</w:t>
            </w:r>
            <w:r>
              <w:rPr>
                <w:rFonts w:hint="eastAsia" w:ascii="宋体" w:hAnsi="宋体"/>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（具体开工时间以发包人签发的开工通知书为准）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7</w:t>
            </w:r>
          </w:p>
        </w:tc>
        <w:tc>
          <w:tcPr>
            <w:tcW w:w="992" w:type="dxa"/>
            <w:vAlign w:val="center"/>
          </w:tcPr>
          <w:p>
            <w:pPr>
              <w:jc w:val="center"/>
              <w:rPr>
                <w:rFonts w:ascii="宋体" w:hAnsi="宋体"/>
                <w:szCs w:val="21"/>
              </w:rPr>
            </w:pPr>
            <w:r>
              <w:rPr>
                <w:rFonts w:ascii="宋体" w:hAnsi="宋体"/>
                <w:szCs w:val="21"/>
              </w:rPr>
              <w:t>1.4</w:t>
            </w:r>
          </w:p>
        </w:tc>
        <w:tc>
          <w:tcPr>
            <w:tcW w:w="1843" w:type="dxa"/>
            <w:vAlign w:val="center"/>
          </w:tcPr>
          <w:p>
            <w:pPr>
              <w:jc w:val="center"/>
              <w:rPr>
                <w:rFonts w:ascii="宋体" w:hAnsi="宋体"/>
                <w:color w:val="000000" w:themeColor="text1"/>
                <w:kern w:val="0"/>
                <w:szCs w:val="21"/>
                <w14:textFill>
                  <w14:solidFill>
                    <w14:schemeClr w14:val="tx1"/>
                  </w14:solidFill>
                </w14:textFill>
              </w:rPr>
            </w:pPr>
            <w:r>
              <w:rPr>
                <w:rFonts w:ascii="宋体" w:hAnsi="宋体"/>
                <w:color w:val="000000" w:themeColor="text1"/>
                <w:kern w:val="0"/>
                <w:szCs w:val="21"/>
                <w14:textFill>
                  <w14:solidFill>
                    <w14:schemeClr w14:val="tx1"/>
                  </w14:solidFill>
                </w14:textFill>
              </w:rPr>
              <w:t>资金来源</w:t>
            </w:r>
          </w:p>
        </w:tc>
        <w:tc>
          <w:tcPr>
            <w:tcW w:w="5812" w:type="dxa"/>
            <w:vAlign w:val="center"/>
          </w:tcPr>
          <w:p>
            <w:pPr>
              <w:rPr>
                <w:rFonts w:ascii="宋体" w:hAnsi="宋体"/>
                <w:color w:val="000000" w:themeColor="text1"/>
                <w:kern w:val="0"/>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自筹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jc w:val="center"/>
        </w:trPr>
        <w:tc>
          <w:tcPr>
            <w:tcW w:w="814" w:type="dxa"/>
            <w:vAlign w:val="center"/>
          </w:tcPr>
          <w:p>
            <w:pPr>
              <w:jc w:val="center"/>
              <w:rPr>
                <w:rFonts w:ascii="宋体" w:hAnsi="宋体"/>
                <w:kern w:val="0"/>
                <w:szCs w:val="21"/>
              </w:rPr>
            </w:pPr>
            <w:r>
              <w:rPr>
                <w:rFonts w:ascii="宋体" w:hAnsi="宋体"/>
                <w:kern w:val="0"/>
                <w:szCs w:val="21"/>
              </w:rPr>
              <w:t>8</w:t>
            </w:r>
          </w:p>
        </w:tc>
        <w:tc>
          <w:tcPr>
            <w:tcW w:w="992" w:type="dxa"/>
            <w:vAlign w:val="center"/>
          </w:tcPr>
          <w:p>
            <w:pPr>
              <w:jc w:val="center"/>
              <w:rPr>
                <w:rFonts w:ascii="宋体" w:hAnsi="宋体"/>
                <w:kern w:val="0"/>
                <w:szCs w:val="21"/>
              </w:rPr>
            </w:pPr>
            <w:r>
              <w:rPr>
                <w:rFonts w:ascii="宋体" w:hAnsi="宋体"/>
                <w:kern w:val="0"/>
                <w:szCs w:val="21"/>
              </w:rPr>
              <w:t>2.1</w:t>
            </w:r>
          </w:p>
        </w:tc>
        <w:tc>
          <w:tcPr>
            <w:tcW w:w="1843" w:type="dxa"/>
            <w:vAlign w:val="center"/>
          </w:tcPr>
          <w:p>
            <w:pPr>
              <w:jc w:val="center"/>
              <w:rPr>
                <w:rFonts w:ascii="宋体" w:hAnsi="宋体"/>
                <w:color w:val="000000" w:themeColor="text1"/>
                <w:kern w:val="0"/>
                <w:szCs w:val="21"/>
                <w14:textFill>
                  <w14:solidFill>
                    <w14:schemeClr w14:val="tx1"/>
                  </w14:solidFill>
                </w14:textFill>
              </w:rPr>
            </w:pPr>
            <w:r>
              <w:rPr>
                <w:rFonts w:ascii="宋体" w:hAnsi="宋体"/>
                <w:color w:val="000000" w:themeColor="text1"/>
                <w:kern w:val="0"/>
                <w:szCs w:val="21"/>
                <w14:textFill>
                  <w14:solidFill>
                    <w14:schemeClr w14:val="tx1"/>
                  </w14:solidFill>
                </w14:textFill>
              </w:rPr>
              <w:t>招标范围</w:t>
            </w:r>
          </w:p>
        </w:tc>
        <w:tc>
          <w:tcPr>
            <w:tcW w:w="5812" w:type="dxa"/>
            <w:vAlign w:val="center"/>
          </w:tcPr>
          <w:p>
            <w:pPr>
              <w:adjustRightInd w:val="0"/>
              <w:snapToGrid w:val="0"/>
              <w:rPr>
                <w:rFonts w:ascii="宋体" w:hAnsi="宋体"/>
                <w:color w:val="000000" w:themeColor="text1"/>
                <w:kern w:val="0"/>
                <w:szCs w:val="21"/>
                <w14:textFill>
                  <w14:solidFill>
                    <w14:schemeClr w14:val="tx1"/>
                  </w14:solidFill>
                </w14:textFill>
              </w:rPr>
            </w:pPr>
            <w:r>
              <w:rPr>
                <w:rFonts w:hint="eastAsia" w:ascii="宋体" w:hAnsi="宋体"/>
                <w:szCs w:val="21"/>
                <w:lang w:eastAsia="zh-CN"/>
              </w:rPr>
              <w:t>荷兰街夜市</w:t>
            </w:r>
            <w:r>
              <w:rPr>
                <w:rFonts w:hint="eastAsia" w:ascii="宋体" w:hAnsi="宋体"/>
                <w:szCs w:val="21"/>
                <w:lang w:val="en-US" w:eastAsia="zh-CN"/>
              </w:rPr>
              <w:t>F-N栋</w:t>
            </w:r>
            <w:r>
              <w:rPr>
                <w:rFonts w:hint="eastAsia" w:hAnsi="宋体"/>
                <w:color w:val="000000" w:themeColor="text1"/>
                <w:szCs w:val="21"/>
                <w14:textFill>
                  <w14:solidFill>
                    <w14:schemeClr w14:val="tx1"/>
                  </w14:solidFill>
                </w14:textFill>
              </w:rPr>
              <w:t>消防维修改造工程检测报告</w:t>
            </w:r>
            <w:r>
              <w:rPr>
                <w:rFonts w:hAnsi="宋体"/>
                <w:color w:val="000000" w:themeColor="text1"/>
                <w:szCs w:val="21"/>
                <w14:textFill>
                  <w14:solidFill>
                    <w14:schemeClr w14:val="tx1"/>
                  </w14:solidFill>
                </w14:textFill>
              </w:rPr>
              <w:t>及</w:t>
            </w:r>
            <w:r>
              <w:rPr>
                <w:rFonts w:hint="eastAsia" w:hAnsi="宋体"/>
                <w:color w:val="000000" w:themeColor="text1"/>
                <w:szCs w:val="21"/>
                <w14:textFill>
                  <w14:solidFill>
                    <w14:schemeClr w14:val="tx1"/>
                  </w14:solidFill>
                </w14:textFill>
              </w:rPr>
              <w:t>工程量</w:t>
            </w:r>
            <w:r>
              <w:rPr>
                <w:rFonts w:hAnsi="宋体"/>
                <w:color w:val="000000" w:themeColor="text1"/>
                <w:szCs w:val="21"/>
                <w14:textFill>
                  <w14:solidFill>
                    <w14:schemeClr w14:val="tx1"/>
                  </w14:solidFill>
                </w14:textFill>
              </w:rPr>
              <w:t>清单中所示的内容。</w:t>
            </w:r>
            <w:r>
              <w:rPr>
                <w:rFonts w:hint="eastAsia" w:hAnsi="宋体"/>
                <w:color w:val="000000" w:themeColor="text1"/>
                <w:szCs w:val="21"/>
                <w14:textFill>
                  <w14:solidFill>
                    <w14:schemeClr w14:val="tx1"/>
                  </w14:solidFill>
                </w14:textFill>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9</w:t>
            </w:r>
          </w:p>
        </w:tc>
        <w:tc>
          <w:tcPr>
            <w:tcW w:w="992" w:type="dxa"/>
            <w:vAlign w:val="center"/>
          </w:tcPr>
          <w:p>
            <w:pPr>
              <w:jc w:val="center"/>
              <w:rPr>
                <w:rFonts w:ascii="宋体" w:hAnsi="宋体"/>
                <w:szCs w:val="21"/>
              </w:rPr>
            </w:pPr>
            <w:r>
              <w:rPr>
                <w:rFonts w:ascii="宋体" w:hAnsi="宋体"/>
                <w:szCs w:val="21"/>
              </w:rPr>
              <w:t>16</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工程报价方式</w:t>
            </w:r>
          </w:p>
        </w:tc>
        <w:tc>
          <w:tcPr>
            <w:tcW w:w="5812" w:type="dxa"/>
            <w:vAlign w:val="center"/>
          </w:tcPr>
          <w:p>
            <w:pPr>
              <w:jc w:val="left"/>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固定综合单价报价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pPr>
              <w:jc w:val="center"/>
              <w:rPr>
                <w:rFonts w:ascii="宋体" w:hAnsi="宋体"/>
                <w:szCs w:val="21"/>
              </w:rPr>
            </w:pPr>
            <w:r>
              <w:rPr>
                <w:rFonts w:ascii="宋体" w:hAnsi="宋体"/>
                <w:szCs w:val="21"/>
              </w:rPr>
              <w:t>10</w:t>
            </w:r>
          </w:p>
        </w:tc>
        <w:tc>
          <w:tcPr>
            <w:tcW w:w="992" w:type="dxa"/>
            <w:vAlign w:val="center"/>
          </w:tcPr>
          <w:p>
            <w:pPr>
              <w:jc w:val="center"/>
              <w:rPr>
                <w:rFonts w:ascii="宋体" w:hAnsi="宋体"/>
                <w:szCs w:val="21"/>
              </w:rPr>
            </w:pPr>
            <w:r>
              <w:rPr>
                <w:rFonts w:ascii="宋体" w:hAnsi="宋体"/>
                <w:szCs w:val="21"/>
              </w:rPr>
              <w:t>12</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投标有效期</w:t>
            </w:r>
          </w:p>
        </w:tc>
        <w:tc>
          <w:tcPr>
            <w:tcW w:w="5812" w:type="dxa"/>
            <w:vAlign w:val="center"/>
          </w:tcPr>
          <w:p>
            <w:pPr>
              <w:jc w:val="left"/>
              <w:rPr>
                <w:rFonts w:ascii="宋体" w:hAnsi="宋体"/>
                <w:color w:val="000000" w:themeColor="text1"/>
                <w:szCs w:val="21"/>
                <w14:textFill>
                  <w14:solidFill>
                    <w14:schemeClr w14:val="tx1"/>
                  </w14:solidFill>
                </w14:textFill>
              </w:rPr>
            </w:pPr>
            <w:r>
              <w:rPr>
                <w:rFonts w:ascii="宋体" w:hAnsi="宋体"/>
                <w:color w:val="000000" w:themeColor="text1"/>
                <w:szCs w:val="21"/>
                <w:u w:val="single"/>
                <w14:textFill>
                  <w14:solidFill>
                    <w14:schemeClr w14:val="tx1"/>
                  </w14:solidFill>
                </w14:textFill>
              </w:rPr>
              <w:t xml:space="preserve">  45  </w:t>
            </w:r>
            <w:r>
              <w:rPr>
                <w:rFonts w:ascii="宋体" w:hAnsi="宋体"/>
                <w:color w:val="000000" w:themeColor="text1"/>
                <w:szCs w:val="21"/>
                <w14:textFill>
                  <w14:solidFill>
                    <w14:schemeClr w14:val="tx1"/>
                  </w14:solidFill>
                </w14:textFill>
              </w:rPr>
              <w:t>日历天(从投标截止之日算起)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814" w:type="dxa"/>
            <w:vAlign w:val="center"/>
          </w:tcPr>
          <w:p>
            <w:pPr>
              <w:jc w:val="center"/>
              <w:rPr>
                <w:rFonts w:ascii="宋体" w:hAnsi="宋体"/>
                <w:szCs w:val="21"/>
              </w:rPr>
            </w:pPr>
            <w:r>
              <w:rPr>
                <w:rFonts w:ascii="宋体" w:hAnsi="宋体"/>
                <w:szCs w:val="21"/>
              </w:rPr>
              <w:t>11</w:t>
            </w:r>
          </w:p>
        </w:tc>
        <w:tc>
          <w:tcPr>
            <w:tcW w:w="992" w:type="dxa"/>
            <w:vAlign w:val="center"/>
          </w:tcPr>
          <w:p>
            <w:pPr>
              <w:jc w:val="center"/>
              <w:rPr>
                <w:rFonts w:ascii="宋体" w:hAnsi="宋体"/>
                <w:szCs w:val="21"/>
              </w:rPr>
            </w:pPr>
            <w:r>
              <w:rPr>
                <w:rFonts w:ascii="宋体" w:hAnsi="宋体"/>
                <w:szCs w:val="21"/>
              </w:rPr>
              <w:t>14</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投标保证金额</w:t>
            </w:r>
          </w:p>
        </w:tc>
        <w:tc>
          <w:tcPr>
            <w:tcW w:w="5812" w:type="dxa"/>
            <w:vAlign w:val="center"/>
          </w:tcPr>
          <w:p>
            <w:pPr>
              <w:adjustRightInd w:val="0"/>
              <w:snapToGrid w:val="0"/>
              <w:jc w:val="left"/>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人民币</w:t>
            </w:r>
            <w:r>
              <w:rPr>
                <w:rFonts w:hint="eastAsia" w:ascii="宋体" w:hAnsi="宋体"/>
                <w:b/>
                <w:color w:val="000000" w:themeColor="text1"/>
                <w:szCs w:val="21"/>
                <w:u w:val="single"/>
                <w14:textFill>
                  <w14:solidFill>
                    <w14:schemeClr w14:val="tx1"/>
                  </w14:solidFill>
                </w14:textFill>
              </w:rPr>
              <w:t xml:space="preserve"> </w:t>
            </w:r>
            <w:r>
              <w:rPr>
                <w:rFonts w:hint="eastAsia" w:ascii="宋体" w:hAnsi="宋体"/>
                <w:b/>
                <w:color w:val="000000" w:themeColor="text1"/>
                <w:szCs w:val="21"/>
                <w:u w:val="single"/>
                <w:lang w:val="en-US" w:eastAsia="zh-CN"/>
                <w14:textFill>
                  <w14:solidFill>
                    <w14:schemeClr w14:val="tx1"/>
                  </w14:solidFill>
                </w14:textFill>
              </w:rPr>
              <w:t>10</w:t>
            </w:r>
            <w:r>
              <w:rPr>
                <w:rFonts w:hint="eastAsia" w:ascii="宋体" w:hAnsi="宋体"/>
                <w:b/>
                <w:color w:val="000000" w:themeColor="text1"/>
                <w:szCs w:val="21"/>
                <w:u w:val="single"/>
                <w14:textFill>
                  <w14:solidFill>
                    <w14:schemeClr w14:val="tx1"/>
                  </w14:solidFill>
                </w14:textFill>
              </w:rPr>
              <w:t>000元</w:t>
            </w:r>
            <w:r>
              <w:rPr>
                <w:rFonts w:hint="eastAsia" w:ascii="宋体" w:hAnsi="宋体" w:cs="宋体"/>
                <w:color w:val="000000" w:themeColor="text1"/>
                <w:szCs w:val="21"/>
                <w14:textFill>
                  <w14:solidFill>
                    <w14:schemeClr w14:val="tx1"/>
                  </w14:solidFill>
                </w14:textFill>
              </w:rPr>
              <w:t>（递交方式：银行汇票，并非将保证金打入指定账户，在开标时和投标文件同时递交，请勿和投标文件密封）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jc w:val="center"/>
        </w:trPr>
        <w:tc>
          <w:tcPr>
            <w:tcW w:w="814" w:type="dxa"/>
            <w:vAlign w:val="center"/>
          </w:tcPr>
          <w:p>
            <w:pPr>
              <w:jc w:val="center"/>
              <w:rPr>
                <w:rFonts w:ascii="宋体" w:hAnsi="宋体"/>
                <w:szCs w:val="21"/>
              </w:rPr>
            </w:pPr>
            <w:r>
              <w:rPr>
                <w:rFonts w:ascii="宋体" w:hAnsi="宋体"/>
                <w:szCs w:val="21"/>
              </w:rPr>
              <w:t>12</w:t>
            </w:r>
          </w:p>
        </w:tc>
        <w:tc>
          <w:tcPr>
            <w:tcW w:w="992" w:type="dxa"/>
            <w:vAlign w:val="center"/>
          </w:tcPr>
          <w:p>
            <w:pPr>
              <w:jc w:val="center"/>
              <w:rPr>
                <w:rFonts w:ascii="宋体" w:hAnsi="宋体"/>
                <w:szCs w:val="21"/>
              </w:rPr>
            </w:pPr>
            <w:r>
              <w:rPr>
                <w:rFonts w:ascii="宋体" w:hAnsi="宋体"/>
                <w:szCs w:val="21"/>
              </w:rPr>
              <w:t>6.2</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提交疑问材料</w:t>
            </w:r>
          </w:p>
          <w:p>
            <w:pPr>
              <w:jc w:val="center"/>
              <w:rPr>
                <w:rFonts w:ascii="宋体" w:hAnsi="宋体"/>
                <w:color w:val="000000" w:themeColor="text1"/>
                <w:kern w:val="0"/>
                <w:szCs w:val="21"/>
                <w14:textFill>
                  <w14:solidFill>
                    <w14:schemeClr w14:val="tx1"/>
                  </w14:solidFill>
                </w14:textFill>
              </w:rPr>
            </w:pPr>
            <w:r>
              <w:rPr>
                <w:rFonts w:ascii="宋体" w:hAnsi="宋体"/>
                <w:color w:val="000000" w:themeColor="text1"/>
                <w:szCs w:val="21"/>
                <w14:textFill>
                  <w14:solidFill>
                    <w14:schemeClr w14:val="tx1"/>
                  </w14:solidFill>
                </w14:textFill>
              </w:rPr>
              <w:t>时间及方式</w:t>
            </w:r>
          </w:p>
        </w:tc>
        <w:tc>
          <w:tcPr>
            <w:tcW w:w="5812" w:type="dxa"/>
            <w:vAlign w:val="center"/>
          </w:tcPr>
          <w:p>
            <w:pPr>
              <w:adjustRightInd w:val="0"/>
              <w:snapToGrid w:val="0"/>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如有疑问需要招标人澄清应在</w:t>
            </w:r>
            <w:r>
              <w:rPr>
                <w:rFonts w:ascii="宋体" w:hAnsi="宋体"/>
                <w:color w:val="000000" w:themeColor="text1"/>
                <w:szCs w:val="21"/>
                <w:highlight w:val="none"/>
                <w:u w:val="single"/>
                <w14:textFill>
                  <w14:solidFill>
                    <w14:schemeClr w14:val="tx1"/>
                  </w14:solidFill>
                </w14:textFill>
              </w:rPr>
              <w:t>20</w:t>
            </w:r>
            <w:r>
              <w:rPr>
                <w:rFonts w:hint="eastAsia" w:ascii="宋体" w:hAnsi="宋体"/>
                <w:color w:val="000000" w:themeColor="text1"/>
                <w:szCs w:val="21"/>
                <w:highlight w:val="none"/>
                <w:u w:val="single"/>
                <w14:textFill>
                  <w14:solidFill>
                    <w14:schemeClr w14:val="tx1"/>
                  </w14:solidFill>
                </w14:textFill>
              </w:rPr>
              <w:t>23</w:t>
            </w:r>
            <w:r>
              <w:rPr>
                <w:rFonts w:ascii="宋体" w:hAnsi="宋体"/>
                <w:color w:val="000000" w:themeColor="text1"/>
                <w:szCs w:val="21"/>
                <w:highlight w:val="none"/>
                <w:u w:val="single"/>
                <w14:textFill>
                  <w14:solidFill>
                    <w14:schemeClr w14:val="tx1"/>
                  </w14:solidFill>
                </w14:textFill>
              </w:rPr>
              <w:t>年</w:t>
            </w:r>
            <w:r>
              <w:rPr>
                <w:rFonts w:hint="eastAsia" w:ascii="宋体" w:hAnsi="宋体"/>
                <w:color w:val="000000" w:themeColor="text1"/>
                <w:szCs w:val="21"/>
                <w:highlight w:val="none"/>
                <w:u w:val="single"/>
                <w:lang w:val="en-US" w:eastAsia="zh-CN"/>
                <w14:textFill>
                  <w14:solidFill>
                    <w14:schemeClr w14:val="tx1"/>
                  </w14:solidFill>
                </w14:textFill>
              </w:rPr>
              <w:t>06</w:t>
            </w:r>
            <w:r>
              <w:rPr>
                <w:rFonts w:ascii="宋体" w:hAnsi="宋体"/>
                <w:color w:val="000000" w:themeColor="text1"/>
                <w:szCs w:val="21"/>
                <w:highlight w:val="none"/>
                <w:u w:val="single"/>
                <w14:textFill>
                  <w14:solidFill>
                    <w14:schemeClr w14:val="tx1"/>
                  </w14:solidFill>
                </w14:textFill>
              </w:rPr>
              <w:t>月</w:t>
            </w:r>
            <w:r>
              <w:rPr>
                <w:rFonts w:hint="eastAsia" w:ascii="宋体" w:hAnsi="宋体"/>
                <w:color w:val="000000" w:themeColor="text1"/>
                <w:szCs w:val="21"/>
                <w:highlight w:val="none"/>
                <w:u w:val="single"/>
                <w:lang w:val="en-US" w:eastAsia="zh-CN"/>
                <w14:textFill>
                  <w14:solidFill>
                    <w14:schemeClr w14:val="tx1"/>
                  </w14:solidFill>
                </w14:textFill>
              </w:rPr>
              <w:t>13</w:t>
            </w:r>
            <w:r>
              <w:rPr>
                <w:rFonts w:ascii="宋体" w:hAnsi="宋体"/>
                <w:color w:val="000000" w:themeColor="text1"/>
                <w:szCs w:val="21"/>
                <w:highlight w:val="none"/>
                <w:u w:val="single"/>
                <w14:textFill>
                  <w14:solidFill>
                    <w14:schemeClr w14:val="tx1"/>
                  </w14:solidFill>
                </w14:textFill>
              </w:rPr>
              <w:t>日17时</w:t>
            </w:r>
            <w:r>
              <w:rPr>
                <w:rFonts w:ascii="宋体" w:hAnsi="宋体"/>
                <w:color w:val="000000" w:themeColor="text1"/>
                <w:szCs w:val="21"/>
                <w:highlight w:val="none"/>
                <w14:textFill>
                  <w14:solidFill>
                    <w14:schemeClr w14:val="tx1"/>
                  </w14:solidFill>
                </w14:textFill>
              </w:rPr>
              <w:t>前以电子文件形式（不具单位名称、不加盖单位公章）发送至指定邮箱</w:t>
            </w:r>
            <w:r>
              <w:rPr>
                <w:rFonts w:ascii="宋体" w:hAnsi="宋体"/>
                <w:color w:val="000000" w:themeColor="text1"/>
                <w:szCs w:val="21"/>
                <w:highlight w:val="none"/>
                <w:u w:val="single"/>
                <w14:textFill>
                  <w14:solidFill>
                    <w14:schemeClr w14:val="tx1"/>
                  </w14:solidFill>
                </w14:textFill>
              </w:rPr>
              <w:t>（</w:t>
            </w:r>
            <w:r>
              <w:rPr>
                <w:rFonts w:hint="eastAsia" w:ascii="宋体" w:hAnsi="宋体"/>
                <w:color w:val="000000" w:themeColor="text1"/>
                <w:szCs w:val="21"/>
                <w:highlight w:val="none"/>
                <w:u w:val="single"/>
                <w14:textFill>
                  <w14:solidFill>
                    <w14:schemeClr w14:val="tx1"/>
                  </w14:solidFill>
                </w14:textFill>
              </w:rPr>
              <w:t>1140550919@qq.com</w:t>
            </w:r>
            <w:r>
              <w:rPr>
                <w:rFonts w:ascii="宋体" w:hAnsi="宋体"/>
                <w:color w:val="000000" w:themeColor="text1"/>
                <w:szCs w:val="21"/>
                <w:highlight w:val="none"/>
                <w:u w:val="single"/>
                <w14:textFill>
                  <w14:solidFill>
                    <w14:schemeClr w14:val="tx1"/>
                  </w14:solidFill>
                </w14:textFill>
              </w:rPr>
              <w:t>）</w:t>
            </w:r>
            <w:r>
              <w:rPr>
                <w:rFonts w:ascii="宋体" w:hAnsi="宋体"/>
                <w:color w:val="000000" w:themeColor="text1"/>
                <w:szCs w:val="21"/>
                <w:highlight w:val="none"/>
                <w14:textFill>
                  <w14:solidFill>
                    <w14:schemeClr w14:val="tx1"/>
                  </w14:solidFill>
                </w14:textFill>
              </w:rPr>
              <w:t>向招标人提出，招标人予以解答，解答的内容报</w:t>
            </w:r>
            <w:r>
              <w:rPr>
                <w:rFonts w:hint="eastAsia" w:ascii="宋体" w:hAnsi="宋体"/>
                <w:color w:val="000000" w:themeColor="text1"/>
                <w:szCs w:val="21"/>
                <w:highlight w:val="none"/>
                <w14:textFill>
                  <w14:solidFill>
                    <w14:schemeClr w14:val="tx1"/>
                  </w14:solidFill>
                </w14:textFill>
              </w:rPr>
              <w:t>崇川区行政审批局交易科</w:t>
            </w:r>
            <w:r>
              <w:rPr>
                <w:rFonts w:ascii="宋体" w:hAnsi="宋体"/>
                <w:color w:val="000000" w:themeColor="text1"/>
                <w:szCs w:val="21"/>
                <w:highlight w:val="none"/>
                <w14:textFill>
                  <w14:solidFill>
                    <w14:schemeClr w14:val="tx1"/>
                  </w14:solidFill>
                </w14:textFill>
              </w:rPr>
              <w:t>备案后，将在</w:t>
            </w:r>
            <w:r>
              <w:rPr>
                <w:rFonts w:hint="eastAsia" w:ascii="宋体" w:hAnsi="宋体"/>
                <w:color w:val="000000" w:themeColor="text1"/>
                <w:szCs w:val="21"/>
                <w:highlight w:val="none"/>
                <w14:textFill>
                  <w14:solidFill>
                    <w14:schemeClr w14:val="tx1"/>
                  </w14:solidFill>
                </w14:textFill>
              </w:rPr>
              <w:t>南通市崇川区人民政府网（www.chongchuan.gov.cn）</w:t>
            </w:r>
            <w:r>
              <w:rPr>
                <w:rFonts w:ascii="宋体" w:hAnsi="宋体" w:cs="宋体"/>
                <w:color w:val="000000" w:themeColor="text1"/>
                <w:szCs w:val="21"/>
                <w:highlight w:val="none"/>
                <w14:textFill>
                  <w14:solidFill>
                    <w14:schemeClr w14:val="tx1"/>
                  </w14:solidFill>
                </w14:textFill>
              </w:rPr>
              <w:t>-政府采购工程招标板块</w:t>
            </w:r>
            <w:r>
              <w:rPr>
                <w:rFonts w:hint="eastAsia" w:ascii="宋体" w:hAnsi="宋体" w:cs="宋体"/>
                <w:color w:val="000000" w:themeColor="text1"/>
                <w:szCs w:val="21"/>
                <w:highlight w:val="none"/>
                <w14:textFill>
                  <w14:solidFill>
                    <w14:schemeClr w14:val="tx1"/>
                  </w14:solidFill>
                </w14:textFill>
              </w:rPr>
              <w:t>公布</w:t>
            </w:r>
            <w:r>
              <w:rPr>
                <w:rFonts w:hint="eastAsia" w:ascii="宋体" w:hAnsi="宋体"/>
                <w:color w:val="000000" w:themeColor="text1"/>
                <w:szCs w:val="21"/>
                <w:highlight w:val="none"/>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814" w:type="dxa"/>
            <w:vAlign w:val="center"/>
          </w:tcPr>
          <w:p>
            <w:pPr>
              <w:jc w:val="center"/>
              <w:rPr>
                <w:rFonts w:ascii="宋体" w:hAnsi="宋体"/>
                <w:szCs w:val="21"/>
              </w:rPr>
            </w:pPr>
            <w:r>
              <w:rPr>
                <w:rFonts w:ascii="宋体" w:hAnsi="宋体"/>
                <w:szCs w:val="21"/>
              </w:rPr>
              <w:t>13</w:t>
            </w:r>
          </w:p>
        </w:tc>
        <w:tc>
          <w:tcPr>
            <w:tcW w:w="992" w:type="dxa"/>
            <w:vAlign w:val="center"/>
          </w:tcPr>
          <w:p>
            <w:pPr>
              <w:jc w:val="center"/>
              <w:rPr>
                <w:rFonts w:ascii="宋体" w:hAnsi="宋体"/>
                <w:szCs w:val="21"/>
              </w:rPr>
            </w:pPr>
            <w:r>
              <w:rPr>
                <w:rFonts w:ascii="宋体" w:hAnsi="宋体"/>
                <w:szCs w:val="21"/>
              </w:rPr>
              <w:t>13.1</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踏勘现场答疑时间</w:t>
            </w:r>
          </w:p>
        </w:tc>
        <w:tc>
          <w:tcPr>
            <w:tcW w:w="5812" w:type="dxa"/>
            <w:vAlign w:val="center"/>
          </w:tcPr>
          <w:p>
            <w:pPr>
              <w:jc w:val="left"/>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投标人自行踏勘现场</w:t>
            </w:r>
          </w:p>
          <w:p>
            <w:pPr>
              <w:jc w:val="left"/>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答疑</w:t>
            </w:r>
            <w:r>
              <w:rPr>
                <w:rFonts w:hint="eastAsia" w:ascii="宋体" w:hAnsi="宋体"/>
                <w:color w:val="000000" w:themeColor="text1"/>
                <w:szCs w:val="21"/>
                <w:highlight w:val="none"/>
                <w14:textFill>
                  <w14:solidFill>
                    <w14:schemeClr w14:val="tx1"/>
                  </w14:solidFill>
                </w14:textFill>
              </w:rPr>
              <w:t>提交截止</w:t>
            </w:r>
            <w:r>
              <w:rPr>
                <w:rFonts w:ascii="宋体" w:hAnsi="宋体"/>
                <w:color w:val="000000" w:themeColor="text1"/>
                <w:szCs w:val="21"/>
                <w:highlight w:val="none"/>
                <w14:textFill>
                  <w14:solidFill>
                    <w14:schemeClr w14:val="tx1"/>
                  </w14:solidFill>
                </w14:textFill>
              </w:rPr>
              <w:t>时间：</w:t>
            </w:r>
            <w:r>
              <w:rPr>
                <w:rFonts w:ascii="宋体" w:hAnsi="宋体"/>
                <w:color w:val="000000" w:themeColor="text1"/>
                <w:szCs w:val="21"/>
                <w:highlight w:val="none"/>
                <w:u w:val="single"/>
                <w14:textFill>
                  <w14:solidFill>
                    <w14:schemeClr w14:val="tx1"/>
                  </w14:solidFill>
                </w14:textFill>
              </w:rPr>
              <w:t>20</w:t>
            </w:r>
            <w:r>
              <w:rPr>
                <w:rFonts w:hint="eastAsia" w:ascii="宋体" w:hAnsi="宋体"/>
                <w:color w:val="000000" w:themeColor="text1"/>
                <w:szCs w:val="21"/>
                <w:highlight w:val="none"/>
                <w:u w:val="single"/>
                <w14:textFill>
                  <w14:solidFill>
                    <w14:schemeClr w14:val="tx1"/>
                  </w14:solidFill>
                </w14:textFill>
              </w:rPr>
              <w:t>23</w:t>
            </w:r>
            <w:r>
              <w:rPr>
                <w:rFonts w:ascii="宋体" w:hAnsi="宋体"/>
                <w:color w:val="000000" w:themeColor="text1"/>
                <w:szCs w:val="21"/>
                <w:highlight w:val="none"/>
                <w:u w:val="single"/>
                <w14:textFill>
                  <w14:solidFill>
                    <w14:schemeClr w14:val="tx1"/>
                  </w14:solidFill>
                </w14:textFill>
              </w:rPr>
              <w:t>年</w:t>
            </w:r>
            <w:r>
              <w:rPr>
                <w:rFonts w:hint="eastAsia" w:ascii="宋体" w:hAnsi="宋体"/>
                <w:color w:val="000000" w:themeColor="text1"/>
                <w:szCs w:val="21"/>
                <w:highlight w:val="none"/>
                <w:u w:val="single"/>
                <w:lang w:val="en-US" w:eastAsia="zh-CN"/>
                <w14:textFill>
                  <w14:solidFill>
                    <w14:schemeClr w14:val="tx1"/>
                  </w14:solidFill>
                </w14:textFill>
              </w:rPr>
              <w:t>06</w:t>
            </w:r>
            <w:r>
              <w:rPr>
                <w:rFonts w:ascii="宋体" w:hAnsi="宋体"/>
                <w:color w:val="000000" w:themeColor="text1"/>
                <w:szCs w:val="21"/>
                <w:highlight w:val="none"/>
                <w:u w:val="single"/>
                <w14:textFill>
                  <w14:solidFill>
                    <w14:schemeClr w14:val="tx1"/>
                  </w14:solidFill>
                </w14:textFill>
              </w:rPr>
              <w:t>月</w:t>
            </w:r>
            <w:r>
              <w:rPr>
                <w:rFonts w:hint="eastAsia" w:ascii="宋体" w:hAnsi="宋体"/>
                <w:color w:val="000000" w:themeColor="text1"/>
                <w:szCs w:val="21"/>
                <w:highlight w:val="none"/>
                <w:u w:val="single"/>
                <w:lang w:val="en-US" w:eastAsia="zh-CN"/>
                <w14:textFill>
                  <w14:solidFill>
                    <w14:schemeClr w14:val="tx1"/>
                  </w14:solidFill>
                </w14:textFill>
              </w:rPr>
              <w:t>26</w:t>
            </w:r>
            <w:r>
              <w:rPr>
                <w:rFonts w:ascii="宋体" w:hAnsi="宋体"/>
                <w:color w:val="000000" w:themeColor="text1"/>
                <w:szCs w:val="21"/>
                <w:highlight w:val="none"/>
                <w:u w:val="single"/>
                <w14:textFill>
                  <w14:solidFill>
                    <w14:schemeClr w14:val="tx1"/>
                  </w14:solidFill>
                </w14:textFill>
              </w:rPr>
              <w:t>日17时前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jc w:val="center"/>
        </w:trPr>
        <w:tc>
          <w:tcPr>
            <w:tcW w:w="814" w:type="dxa"/>
            <w:vAlign w:val="center"/>
          </w:tcPr>
          <w:p>
            <w:pPr>
              <w:jc w:val="center"/>
              <w:rPr>
                <w:rFonts w:ascii="宋体" w:hAnsi="宋体"/>
                <w:szCs w:val="21"/>
              </w:rPr>
            </w:pPr>
            <w:r>
              <w:rPr>
                <w:rFonts w:ascii="宋体" w:hAnsi="宋体"/>
                <w:szCs w:val="21"/>
              </w:rPr>
              <w:t>14</w:t>
            </w:r>
          </w:p>
        </w:tc>
        <w:tc>
          <w:tcPr>
            <w:tcW w:w="992" w:type="dxa"/>
            <w:vAlign w:val="center"/>
          </w:tcPr>
          <w:p>
            <w:pPr>
              <w:jc w:val="center"/>
              <w:rPr>
                <w:rFonts w:ascii="宋体" w:hAnsi="宋体"/>
                <w:szCs w:val="21"/>
              </w:rPr>
            </w:pPr>
            <w:r>
              <w:rPr>
                <w:rFonts w:ascii="宋体" w:hAnsi="宋体"/>
                <w:szCs w:val="21"/>
              </w:rPr>
              <w:t>18.2</w:t>
            </w:r>
          </w:p>
        </w:tc>
        <w:tc>
          <w:tcPr>
            <w:tcW w:w="1843"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招标控制价编制依据</w:t>
            </w:r>
          </w:p>
        </w:tc>
        <w:tc>
          <w:tcPr>
            <w:tcW w:w="5812" w:type="dxa"/>
            <w:vAlign w:val="center"/>
          </w:tcPr>
          <w:p>
            <w:pPr>
              <w:adjustRightInd w:val="0"/>
              <w:snapToGrid w:val="0"/>
              <w:jc w:val="left"/>
              <w:rPr>
                <w:rFonts w:ascii="宋体" w:hAnsi="宋体"/>
                <w:color w:val="000000" w:themeColor="text1"/>
                <w:kern w:val="0"/>
                <w:szCs w:val="21"/>
                <w14:textFill>
                  <w14:solidFill>
                    <w14:schemeClr w14:val="tx1"/>
                  </w14:solidFill>
                </w14:textFill>
              </w:rPr>
            </w:pPr>
            <w:r>
              <w:rPr>
                <w:rFonts w:ascii="宋体" w:hAnsi="宋体"/>
                <w:color w:val="000000" w:themeColor="text1"/>
                <w:szCs w:val="21"/>
                <w14:textFill>
                  <w14:solidFill>
                    <w14:schemeClr w14:val="tx1"/>
                  </w14:solidFill>
                </w14:textFill>
              </w:rPr>
              <w:t>招标控制价编制执行：</w:t>
            </w:r>
          </w:p>
          <w:p>
            <w:pPr>
              <w:jc w:val="lef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1.</w:t>
            </w:r>
            <w:r>
              <w:rPr>
                <w:rFonts w:hAnsi="宋体"/>
                <w:color w:val="000000" w:themeColor="text1"/>
                <w:szCs w:val="21"/>
                <w14:textFill>
                  <w14:solidFill>
                    <w14:schemeClr w14:val="tx1"/>
                  </w14:solidFill>
                </w14:textFill>
              </w:rPr>
              <w:t>本工程施工图及其工程量清单；</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r>
              <w:rPr>
                <w:rFonts w:hint="eastAsia"/>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《建设工程工程量清单计价规范》（</w:t>
            </w:r>
            <w:r>
              <w:rPr>
                <w:color w:val="000000" w:themeColor="text1"/>
                <w:szCs w:val="21"/>
                <w14:textFill>
                  <w14:solidFill>
                    <w14:schemeClr w14:val="tx1"/>
                  </w14:solidFill>
                </w14:textFill>
              </w:rPr>
              <w:t>GB50500-2013</w:t>
            </w:r>
            <w:r>
              <w:rPr>
                <w:rFonts w:hAnsi="宋体"/>
                <w:color w:val="000000" w:themeColor="text1"/>
                <w:szCs w:val="21"/>
                <w14:textFill>
                  <w14:solidFill>
                    <w14:schemeClr w14:val="tx1"/>
                  </w14:solidFill>
                </w14:textFill>
              </w:rPr>
              <w:t>）；</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《江苏省建筑与装饰工程计价定额》（2014）；</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《江苏省安装工程计价定额》2014年版；</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《江苏省建设工程费用定额》2014年版；</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《南通建设工程造价信息》</w:t>
            </w:r>
            <w:r>
              <w:rPr>
                <w:rFonts w:hint="eastAsia"/>
                <w:color w:val="000000" w:themeColor="text1"/>
                <w:szCs w:val="21"/>
                <w14:textFill>
                  <w14:solidFill>
                    <w14:schemeClr w14:val="tx1"/>
                  </w14:solidFill>
                </w14:textFill>
              </w:rPr>
              <w:t>2023年第</w:t>
            </w:r>
            <w:r>
              <w:rPr>
                <w:rFonts w:hint="eastAsia"/>
                <w:color w:val="000000" w:themeColor="text1"/>
                <w:szCs w:val="21"/>
                <w:lang w:val="en-US" w:eastAsia="zh-CN"/>
                <w14:textFill>
                  <w14:solidFill>
                    <w14:schemeClr w14:val="tx1"/>
                  </w14:solidFill>
                </w14:textFill>
              </w:rPr>
              <w:t>5</w:t>
            </w:r>
            <w:r>
              <w:rPr>
                <w:rFonts w:hint="eastAsia"/>
                <w:color w:val="000000" w:themeColor="text1"/>
                <w:szCs w:val="21"/>
                <w14:textFill>
                  <w14:solidFill>
                    <w14:schemeClr w14:val="tx1"/>
                  </w14:solidFill>
                </w14:textFill>
              </w:rPr>
              <w:t>期</w:t>
            </w:r>
            <w:r>
              <w:rPr>
                <w:color w:val="000000" w:themeColor="text1"/>
                <w:szCs w:val="21"/>
                <w14:textFill>
                  <w14:solidFill>
                    <w14:schemeClr w14:val="tx1"/>
                  </w14:solidFill>
                </w14:textFill>
              </w:rPr>
              <w:t>；</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7</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江苏省住房和城乡建设厅关于发布建设工程人工工资指导价的通知（</w:t>
            </w:r>
            <w:r>
              <w:rPr>
                <w:rFonts w:hint="eastAsia"/>
                <w:color w:val="000000" w:themeColor="text1"/>
                <w:szCs w:val="21"/>
                <w14:textFill>
                  <w14:solidFill>
                    <w14:schemeClr w14:val="tx1"/>
                  </w14:solidFill>
                </w14:textFill>
              </w:rPr>
              <w:t>苏建函价[2023]63</w:t>
            </w:r>
            <w:r>
              <w:rPr>
                <w:color w:val="000000" w:themeColor="text1"/>
                <w:szCs w:val="21"/>
                <w14:textFill>
                  <w14:solidFill>
                    <w14:schemeClr w14:val="tx1"/>
                  </w14:solidFill>
                </w14:textFill>
              </w:rPr>
              <w:t>号）；</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8</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省住</w:t>
            </w:r>
            <w:r>
              <w:rPr>
                <w:rFonts w:hAnsi="宋体"/>
                <w:color w:val="000000" w:themeColor="text1"/>
                <w:szCs w:val="21"/>
                <w14:textFill>
                  <w14:solidFill>
                    <w14:schemeClr w14:val="tx1"/>
                  </w14:solidFill>
                </w14:textFill>
              </w:rPr>
              <w:t>房城乡建设厅关于建筑业实施营改增后江苏省建设工程计价依据调整的通知（苏建价〔</w:t>
            </w:r>
            <w:r>
              <w:rPr>
                <w:color w:val="000000" w:themeColor="text1"/>
                <w:szCs w:val="21"/>
                <w14:textFill>
                  <w14:solidFill>
                    <w14:schemeClr w14:val="tx1"/>
                  </w14:solidFill>
                </w14:textFill>
              </w:rPr>
              <w:t>2016</w:t>
            </w:r>
            <w:r>
              <w:rPr>
                <w:rFonts w:hAnsi="宋体"/>
                <w:color w:val="000000" w:themeColor="text1"/>
                <w:szCs w:val="21"/>
                <w14:textFill>
                  <w14:solidFill>
                    <w14:schemeClr w14:val="tx1"/>
                  </w14:solidFill>
                </w14:textFill>
              </w:rPr>
              <w:t>〕</w:t>
            </w:r>
            <w:r>
              <w:rPr>
                <w:color w:val="000000" w:themeColor="text1"/>
                <w:szCs w:val="21"/>
                <w14:textFill>
                  <w14:solidFill>
                    <w14:schemeClr w14:val="tx1"/>
                  </w14:solidFill>
                </w14:textFill>
              </w:rPr>
              <w:t>154</w:t>
            </w:r>
            <w:r>
              <w:rPr>
                <w:rFonts w:hAnsi="宋体"/>
                <w:color w:val="000000" w:themeColor="text1"/>
                <w:szCs w:val="21"/>
                <w14:textFill>
                  <w14:solidFill>
                    <w14:schemeClr w14:val="tx1"/>
                  </w14:solidFill>
                </w14:textFill>
              </w:rPr>
              <w:t>号文）；</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9</w:t>
            </w:r>
            <w:r>
              <w:rPr>
                <w:rFonts w:hint="eastAsia" w:hAnsi="宋体"/>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《省住房城乡建设厅关于调整建设工程计价增值税税率的通知》苏建函价〔</w:t>
            </w:r>
            <w:r>
              <w:rPr>
                <w:color w:val="000000" w:themeColor="text1"/>
                <w:szCs w:val="21"/>
                <w14:textFill>
                  <w14:solidFill>
                    <w14:schemeClr w14:val="tx1"/>
                  </w14:solidFill>
                </w14:textFill>
              </w:rPr>
              <w:t>2019</w:t>
            </w:r>
            <w:r>
              <w:rPr>
                <w:rFonts w:hAnsi="宋体"/>
                <w:color w:val="000000" w:themeColor="text1"/>
                <w:szCs w:val="21"/>
                <w14:textFill>
                  <w14:solidFill>
                    <w14:schemeClr w14:val="tx1"/>
                  </w14:solidFill>
                </w14:textFill>
              </w:rPr>
              <w:t>〕</w:t>
            </w:r>
            <w:r>
              <w:rPr>
                <w:color w:val="000000" w:themeColor="text1"/>
                <w:szCs w:val="21"/>
                <w14:textFill>
                  <w14:solidFill>
                    <w14:schemeClr w14:val="tx1"/>
                  </w14:solidFill>
                </w14:textFill>
              </w:rPr>
              <w:t>178</w:t>
            </w:r>
            <w:r>
              <w:rPr>
                <w:rFonts w:hAnsi="宋体"/>
                <w:color w:val="000000" w:themeColor="text1"/>
                <w:szCs w:val="21"/>
                <w14:textFill>
                  <w14:solidFill>
                    <w14:schemeClr w14:val="tx1"/>
                  </w14:solidFill>
                </w14:textFill>
              </w:rPr>
              <w:t>号文；</w:t>
            </w:r>
          </w:p>
          <w:p>
            <w:pPr>
              <w:adjustRightInd w:val="0"/>
              <w:snapToGrid w:val="0"/>
              <w:rPr>
                <w:rFonts w:hAnsi="宋体"/>
                <w:color w:val="000000" w:themeColor="text1"/>
                <w:szCs w:val="21"/>
                <w14:textFill>
                  <w14:solidFill>
                    <w14:schemeClr w14:val="tx1"/>
                  </w14:solidFill>
                </w14:textFill>
              </w:rPr>
            </w:pPr>
            <w:r>
              <w:rPr>
                <w:color w:val="000000" w:themeColor="text1"/>
                <w:szCs w:val="21"/>
                <w14:textFill>
                  <w14:solidFill>
                    <w14:schemeClr w14:val="tx1"/>
                  </w14:solidFill>
                </w14:textFill>
              </w:rPr>
              <w:t>10</w:t>
            </w:r>
            <w:r>
              <w:rPr>
                <w:rFonts w:hint="eastAsia"/>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江苏省南通市与本工程造价相关的补充定额、计价文件等。</w:t>
            </w:r>
          </w:p>
          <w:p>
            <w:pPr>
              <w:adjustRightInd w:val="0"/>
              <w:snapToGrid w:val="0"/>
              <w:rPr>
                <w:rFonts w:ascii="宋体" w:hAnsi="宋体"/>
                <w:color w:val="000000" w:themeColor="text1"/>
                <w:kern w:val="0"/>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11.</w:t>
            </w:r>
            <w:r>
              <w:rPr>
                <w:rFonts w:ascii="宋体" w:hAnsi="宋体"/>
                <w:color w:val="000000" w:themeColor="text1"/>
                <w:kern w:val="0"/>
                <w:szCs w:val="21"/>
                <w14:textFill>
                  <w14:solidFill>
                    <w14:schemeClr w14:val="tx1"/>
                  </w14:solidFill>
                </w14:textFill>
              </w:rPr>
              <w:t>答疑、补充通知或澄清文件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jc w:val="center"/>
        </w:trPr>
        <w:tc>
          <w:tcPr>
            <w:tcW w:w="814" w:type="dxa"/>
            <w:vAlign w:val="center"/>
          </w:tcPr>
          <w:p>
            <w:pPr>
              <w:jc w:val="center"/>
              <w:rPr>
                <w:rFonts w:ascii="宋体" w:hAnsi="宋体"/>
                <w:szCs w:val="21"/>
              </w:rPr>
            </w:pPr>
            <w:r>
              <w:rPr>
                <w:rFonts w:ascii="宋体" w:hAnsi="宋体"/>
                <w:szCs w:val="21"/>
              </w:rPr>
              <w:t>15</w:t>
            </w:r>
          </w:p>
        </w:tc>
        <w:tc>
          <w:tcPr>
            <w:tcW w:w="992" w:type="dxa"/>
            <w:vAlign w:val="center"/>
          </w:tcPr>
          <w:p>
            <w:pPr>
              <w:jc w:val="center"/>
              <w:rPr>
                <w:rFonts w:ascii="宋体" w:hAnsi="宋体"/>
                <w:szCs w:val="21"/>
              </w:rPr>
            </w:pPr>
            <w:r>
              <w:rPr>
                <w:rFonts w:ascii="宋体" w:hAnsi="宋体"/>
                <w:szCs w:val="21"/>
              </w:rPr>
              <w:t>18.3</w:t>
            </w:r>
          </w:p>
        </w:tc>
        <w:tc>
          <w:tcPr>
            <w:tcW w:w="1843" w:type="dxa"/>
            <w:vAlign w:val="center"/>
          </w:tcPr>
          <w:p>
            <w:pPr>
              <w:jc w:val="center"/>
              <w:rPr>
                <w:rFonts w:ascii="宋体" w:hAnsi="宋体"/>
                <w:szCs w:val="21"/>
              </w:rPr>
            </w:pPr>
            <w:r>
              <w:rPr>
                <w:rFonts w:ascii="宋体" w:hAnsi="宋体"/>
                <w:szCs w:val="21"/>
              </w:rPr>
              <w:t>公布的招标控制价文件组成</w:t>
            </w:r>
          </w:p>
        </w:tc>
        <w:tc>
          <w:tcPr>
            <w:tcW w:w="5812" w:type="dxa"/>
            <w:vAlign w:val="center"/>
          </w:tcPr>
          <w:p>
            <w:pPr>
              <w:jc w:val="left"/>
              <w:rPr>
                <w:rFonts w:ascii="宋体" w:hAnsi="宋体"/>
                <w:szCs w:val="21"/>
              </w:rPr>
            </w:pPr>
            <w:r>
              <w:rPr>
                <w:rFonts w:ascii="宋体" w:hAnsi="宋体"/>
                <w:szCs w:val="21"/>
              </w:rPr>
              <w:t>建设项目招标控制价汇总表、分部分项工程和单价措施项目清单与计价表、材料价格表……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5" w:hRule="atLeast"/>
          <w:jc w:val="center"/>
        </w:trPr>
        <w:tc>
          <w:tcPr>
            <w:tcW w:w="814" w:type="dxa"/>
            <w:vAlign w:val="center"/>
          </w:tcPr>
          <w:p>
            <w:pPr>
              <w:jc w:val="center"/>
              <w:rPr>
                <w:rFonts w:ascii="宋体" w:hAnsi="宋体"/>
                <w:szCs w:val="21"/>
              </w:rPr>
            </w:pPr>
            <w:r>
              <w:rPr>
                <w:rFonts w:ascii="宋体" w:hAnsi="宋体"/>
                <w:szCs w:val="21"/>
              </w:rPr>
              <w:t>16</w:t>
            </w:r>
          </w:p>
        </w:tc>
        <w:tc>
          <w:tcPr>
            <w:tcW w:w="992" w:type="dxa"/>
            <w:vAlign w:val="center"/>
          </w:tcPr>
          <w:p>
            <w:pPr>
              <w:jc w:val="center"/>
              <w:rPr>
                <w:rFonts w:ascii="宋体" w:hAnsi="宋体"/>
                <w:szCs w:val="21"/>
              </w:rPr>
            </w:pPr>
            <w:r>
              <w:rPr>
                <w:rFonts w:ascii="宋体" w:hAnsi="宋体"/>
                <w:szCs w:val="21"/>
              </w:rPr>
              <w:t>18.4</w:t>
            </w:r>
          </w:p>
        </w:tc>
        <w:tc>
          <w:tcPr>
            <w:tcW w:w="1843" w:type="dxa"/>
            <w:vAlign w:val="center"/>
          </w:tcPr>
          <w:p>
            <w:pPr>
              <w:jc w:val="center"/>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招标控制价公布时间</w:t>
            </w:r>
          </w:p>
        </w:tc>
        <w:tc>
          <w:tcPr>
            <w:tcW w:w="5812" w:type="dxa"/>
            <w:vAlign w:val="center"/>
          </w:tcPr>
          <w:p>
            <w:pPr>
              <w:jc w:val="left"/>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本工程招标控制价：</w:t>
            </w:r>
            <w:r>
              <w:rPr>
                <w:rFonts w:hint="eastAsia" w:ascii="宋体" w:hAnsi="宋体"/>
                <w:b/>
                <w:bCs/>
                <w:color w:val="000000" w:themeColor="text1"/>
                <w:szCs w:val="21"/>
                <w:highlight w:val="none"/>
                <w:u w:val="single"/>
                <w14:textFill>
                  <w14:solidFill>
                    <w14:schemeClr w14:val="tx1"/>
                  </w14:solidFill>
                </w14:textFill>
              </w:rPr>
              <w:t xml:space="preserve">   </w:t>
            </w:r>
            <w:r>
              <w:rPr>
                <w:rFonts w:hint="eastAsia" w:ascii="宋体" w:hAnsi="宋体"/>
                <w:b/>
                <w:bCs/>
                <w:color w:val="000000" w:themeColor="text1"/>
                <w:szCs w:val="21"/>
                <w:highlight w:val="none"/>
                <w:u w:val="single"/>
                <w:lang w:val="en-US" w:eastAsia="zh-CN"/>
                <w14:textFill>
                  <w14:solidFill>
                    <w14:schemeClr w14:val="tx1"/>
                  </w14:solidFill>
                </w14:textFill>
              </w:rPr>
              <w:t>565839.95</w:t>
            </w:r>
            <w:r>
              <w:rPr>
                <w:rFonts w:hint="eastAsia" w:ascii="宋体" w:hAnsi="宋体"/>
                <w:b/>
                <w:bCs/>
                <w:color w:val="000000" w:themeColor="text1"/>
                <w:szCs w:val="21"/>
                <w:highlight w:val="none"/>
                <w:u w:val="single"/>
                <w14:textFill>
                  <w14:solidFill>
                    <w14:schemeClr w14:val="tx1"/>
                  </w14:solidFill>
                </w14:textFill>
              </w:rPr>
              <w:t xml:space="preserve">    </w:t>
            </w:r>
            <w:r>
              <w:rPr>
                <w:rFonts w:hint="eastAsia" w:ascii="宋体" w:hAnsi="宋体"/>
                <w:color w:val="000000" w:themeColor="text1"/>
                <w:szCs w:val="21"/>
                <w:highlight w:val="none"/>
                <w14:textFill>
                  <w14:solidFill>
                    <w14:schemeClr w14:val="tx1"/>
                  </w14:solidFill>
                </w14:textFill>
              </w:rPr>
              <w:t>元。</w:t>
            </w:r>
          </w:p>
          <w:p>
            <w:pPr>
              <w:jc w:val="left"/>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招标控制价、标底等文件同招标文件同时在将在</w:t>
            </w:r>
            <w:r>
              <w:rPr>
                <w:rFonts w:hint="eastAsia" w:ascii="宋体" w:hAnsi="宋体"/>
                <w:color w:val="000000" w:themeColor="text1"/>
                <w:szCs w:val="21"/>
                <w:highlight w:val="none"/>
                <w14:textFill>
                  <w14:solidFill>
                    <w14:schemeClr w14:val="tx1"/>
                  </w14:solidFill>
                </w14:textFill>
              </w:rPr>
              <w:t>南通市崇川区人民政府网（www.chongchuan.gov.cn）</w:t>
            </w:r>
            <w:r>
              <w:rPr>
                <w:rFonts w:ascii="宋体" w:hAnsi="宋体" w:cs="宋体"/>
                <w:color w:val="000000" w:themeColor="text1"/>
                <w:szCs w:val="21"/>
                <w:highlight w:val="none"/>
                <w14:textFill>
                  <w14:solidFill>
                    <w14:schemeClr w14:val="tx1"/>
                  </w14:solidFill>
                </w14:textFill>
              </w:rPr>
              <w:t>-政府采购工程招标板块</w:t>
            </w:r>
            <w:r>
              <w:rPr>
                <w:rFonts w:hint="eastAsia" w:ascii="宋体" w:hAnsi="宋体"/>
                <w:color w:val="000000" w:themeColor="text1"/>
                <w:szCs w:val="21"/>
                <w:highlight w:val="none"/>
                <w14:textFill>
                  <w14:solidFill>
                    <w14:schemeClr w14:val="tx1"/>
                  </w14:solidFill>
                </w14:textFill>
              </w:rPr>
              <w:t>公布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5" w:hRule="atLeast"/>
          <w:jc w:val="center"/>
        </w:trPr>
        <w:tc>
          <w:tcPr>
            <w:tcW w:w="814" w:type="dxa"/>
            <w:vAlign w:val="center"/>
          </w:tcPr>
          <w:p>
            <w:pPr>
              <w:jc w:val="center"/>
              <w:rPr>
                <w:rFonts w:ascii="宋体" w:hAnsi="宋体"/>
                <w:szCs w:val="21"/>
              </w:rPr>
            </w:pPr>
            <w:r>
              <w:rPr>
                <w:rFonts w:ascii="宋体" w:hAnsi="宋体"/>
                <w:szCs w:val="21"/>
              </w:rPr>
              <w:t>17</w:t>
            </w:r>
          </w:p>
        </w:tc>
        <w:tc>
          <w:tcPr>
            <w:tcW w:w="992" w:type="dxa"/>
            <w:vAlign w:val="center"/>
          </w:tcPr>
          <w:p>
            <w:pPr>
              <w:jc w:val="center"/>
              <w:rPr>
                <w:rFonts w:ascii="宋体" w:hAnsi="宋体"/>
                <w:szCs w:val="21"/>
              </w:rPr>
            </w:pPr>
            <w:r>
              <w:rPr>
                <w:rFonts w:ascii="宋体" w:hAnsi="宋体"/>
                <w:szCs w:val="21"/>
              </w:rPr>
              <w:t>20.1</w:t>
            </w:r>
          </w:p>
        </w:tc>
        <w:tc>
          <w:tcPr>
            <w:tcW w:w="1843" w:type="dxa"/>
            <w:vAlign w:val="center"/>
          </w:tcPr>
          <w:p>
            <w:pPr>
              <w:jc w:val="center"/>
              <w:rPr>
                <w:rFonts w:ascii="宋体" w:hAnsi="宋体"/>
                <w:szCs w:val="21"/>
              </w:rPr>
            </w:pPr>
            <w:r>
              <w:rPr>
                <w:rFonts w:ascii="宋体" w:hAnsi="宋体"/>
                <w:szCs w:val="21"/>
              </w:rPr>
              <w:t>投标</w:t>
            </w:r>
          </w:p>
          <w:p>
            <w:pPr>
              <w:jc w:val="center"/>
              <w:rPr>
                <w:rFonts w:ascii="宋体" w:hAnsi="宋体"/>
                <w:szCs w:val="21"/>
              </w:rPr>
            </w:pPr>
            <w:r>
              <w:rPr>
                <w:rFonts w:ascii="宋体" w:hAnsi="宋体"/>
                <w:szCs w:val="21"/>
              </w:rPr>
              <w:t>文件份数</w:t>
            </w:r>
          </w:p>
        </w:tc>
        <w:tc>
          <w:tcPr>
            <w:tcW w:w="5812" w:type="dxa"/>
            <w:vAlign w:val="center"/>
          </w:tcPr>
          <w:p>
            <w:pPr>
              <w:jc w:val="left"/>
              <w:rPr>
                <w:rFonts w:ascii="宋体" w:hAnsi="宋体"/>
                <w:snapToGrid w:val="0"/>
                <w:kern w:val="0"/>
                <w:szCs w:val="21"/>
              </w:rPr>
            </w:pPr>
            <w:r>
              <w:rPr>
                <w:rFonts w:ascii="宋体" w:hAnsi="宋体"/>
                <w:b/>
                <w:snapToGrid w:val="0"/>
                <w:kern w:val="0"/>
                <w:szCs w:val="21"/>
              </w:rPr>
              <w:t>纸质文件</w:t>
            </w:r>
            <w:r>
              <w:rPr>
                <w:rFonts w:ascii="宋体" w:hAnsi="宋体"/>
                <w:snapToGrid w:val="0"/>
                <w:kern w:val="0"/>
                <w:szCs w:val="21"/>
              </w:rPr>
              <w:t>正本</w:t>
            </w:r>
            <w:r>
              <w:rPr>
                <w:rFonts w:ascii="宋体" w:hAnsi="宋体"/>
                <w:snapToGrid w:val="0"/>
                <w:kern w:val="0"/>
                <w:szCs w:val="21"/>
                <w:u w:val="single"/>
              </w:rPr>
              <w:t>壹</w:t>
            </w:r>
            <w:r>
              <w:rPr>
                <w:rFonts w:ascii="宋体" w:hAnsi="宋体"/>
                <w:snapToGrid w:val="0"/>
                <w:kern w:val="0"/>
                <w:szCs w:val="21"/>
              </w:rPr>
              <w:t>份（中标单位在领取中标通知书前再提供完整的投标文件(</w:t>
            </w:r>
            <w:r>
              <w:rPr>
                <w:rFonts w:hint="eastAsia" w:ascii="宋体" w:hAnsi="宋体"/>
                <w:snapToGrid w:val="0"/>
                <w:kern w:val="0"/>
                <w:szCs w:val="21"/>
              </w:rPr>
              <w:t>肆</w:t>
            </w:r>
            <w:r>
              <w:rPr>
                <w:rFonts w:ascii="宋体" w:hAnsi="宋体"/>
                <w:snapToGrid w:val="0"/>
                <w:kern w:val="0"/>
                <w:szCs w:val="21"/>
              </w:rPr>
              <w:t>份资格审查文件、</w:t>
            </w:r>
            <w:r>
              <w:rPr>
                <w:rFonts w:hint="eastAsia" w:ascii="宋体" w:hAnsi="宋体"/>
                <w:snapToGrid w:val="0"/>
                <w:kern w:val="0"/>
                <w:szCs w:val="21"/>
              </w:rPr>
              <w:t>肆</w:t>
            </w:r>
            <w:r>
              <w:rPr>
                <w:rFonts w:ascii="宋体" w:hAnsi="宋体"/>
                <w:snapToGrid w:val="0"/>
                <w:kern w:val="0"/>
                <w:szCs w:val="21"/>
              </w:rPr>
              <w:t>份商务标文件)）</w:t>
            </w:r>
          </w:p>
          <w:p>
            <w:pPr>
              <w:jc w:val="left"/>
              <w:rPr>
                <w:rFonts w:ascii="宋体" w:hAnsi="宋体"/>
                <w:snapToGrid w:val="0"/>
                <w:kern w:val="0"/>
                <w:szCs w:val="21"/>
              </w:rPr>
            </w:pPr>
            <w:r>
              <w:rPr>
                <w:rFonts w:ascii="宋体" w:hAnsi="宋体"/>
                <w:b/>
                <w:snapToGrid w:val="0"/>
                <w:kern w:val="0"/>
                <w:szCs w:val="21"/>
              </w:rPr>
              <w:t>电子投标文件</w:t>
            </w:r>
            <w:r>
              <w:rPr>
                <w:rFonts w:ascii="宋体" w:hAnsi="宋体"/>
                <w:snapToGrid w:val="0"/>
                <w:kern w:val="0"/>
                <w:szCs w:val="21"/>
              </w:rPr>
              <w:t>光盘一式</w:t>
            </w:r>
            <w:r>
              <w:rPr>
                <w:rFonts w:ascii="宋体" w:hAnsi="宋体"/>
                <w:b/>
                <w:snapToGrid w:val="0"/>
                <w:kern w:val="0"/>
                <w:szCs w:val="21"/>
                <w:u w:val="single"/>
              </w:rPr>
              <w:t>贰</w:t>
            </w:r>
            <w:r>
              <w:rPr>
                <w:rFonts w:ascii="宋体" w:hAnsi="宋体"/>
                <w:snapToGrid w:val="0"/>
                <w:kern w:val="0"/>
                <w:szCs w:val="21"/>
              </w:rPr>
              <w:t>份，正本</w:t>
            </w:r>
            <w:r>
              <w:rPr>
                <w:rFonts w:ascii="宋体" w:hAnsi="宋体"/>
                <w:b/>
                <w:snapToGrid w:val="0"/>
                <w:kern w:val="0"/>
                <w:szCs w:val="21"/>
                <w:u w:val="single"/>
              </w:rPr>
              <w:t>壹</w:t>
            </w:r>
            <w:r>
              <w:rPr>
                <w:rFonts w:ascii="宋体" w:hAnsi="宋体"/>
                <w:snapToGrid w:val="0"/>
                <w:kern w:val="0"/>
                <w:szCs w:val="21"/>
              </w:rPr>
              <w:t>份，备份</w:t>
            </w:r>
            <w:r>
              <w:rPr>
                <w:rFonts w:ascii="宋体" w:hAnsi="宋体"/>
                <w:b/>
                <w:snapToGrid w:val="0"/>
                <w:kern w:val="0"/>
                <w:szCs w:val="21"/>
                <w:u w:val="single"/>
              </w:rPr>
              <w:t>壹</w:t>
            </w:r>
            <w:r>
              <w:rPr>
                <w:rFonts w:ascii="宋体" w:hAnsi="宋体"/>
                <w:snapToGrid w:val="0"/>
                <w:kern w:val="0"/>
                <w:szCs w:val="21"/>
              </w:rPr>
              <w:t>份。</w:t>
            </w:r>
            <w:r>
              <w:rPr>
                <w:rFonts w:ascii="宋体" w:hAnsi="宋体"/>
                <w:b/>
                <w:bCs/>
                <w:snapToGrid w:val="0"/>
                <w:kern w:val="0"/>
                <w:szCs w:val="21"/>
              </w:rPr>
              <w:t>电子投标文件光盘单独密封，封袋上加盖投标人单位公章和法定代表人印章</w:t>
            </w:r>
          </w:p>
          <w:p>
            <w:pPr>
              <w:jc w:val="left"/>
              <w:rPr>
                <w:rFonts w:ascii="宋体" w:hAnsi="宋体"/>
                <w:b/>
                <w:snapToGrid w:val="0"/>
                <w:kern w:val="0"/>
                <w:szCs w:val="21"/>
              </w:rPr>
            </w:pPr>
            <w:r>
              <w:rPr>
                <w:rFonts w:ascii="宋体" w:hAnsi="宋体"/>
                <w:b/>
                <w:snapToGrid w:val="0"/>
                <w:kern w:val="0"/>
                <w:szCs w:val="21"/>
              </w:rPr>
              <w:t>投标人提供的纸质投标文件与电子投标文件（刻录于普通光盘）必须保持完全一致。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5" w:hRule="atLeast"/>
          <w:jc w:val="center"/>
        </w:trPr>
        <w:tc>
          <w:tcPr>
            <w:tcW w:w="814" w:type="dxa"/>
            <w:vAlign w:val="center"/>
          </w:tcPr>
          <w:p>
            <w:pPr>
              <w:jc w:val="center"/>
              <w:rPr>
                <w:rFonts w:ascii="宋体" w:hAnsi="宋体"/>
                <w:szCs w:val="21"/>
              </w:rPr>
            </w:pPr>
            <w:r>
              <w:rPr>
                <w:rFonts w:ascii="宋体" w:hAnsi="宋体"/>
                <w:szCs w:val="21"/>
              </w:rPr>
              <w:t>18</w:t>
            </w:r>
          </w:p>
        </w:tc>
        <w:tc>
          <w:tcPr>
            <w:tcW w:w="992" w:type="dxa"/>
            <w:vAlign w:val="center"/>
          </w:tcPr>
          <w:p>
            <w:pPr>
              <w:jc w:val="center"/>
              <w:rPr>
                <w:rFonts w:ascii="宋体" w:hAnsi="宋体"/>
                <w:szCs w:val="21"/>
              </w:rPr>
            </w:pPr>
            <w:r>
              <w:rPr>
                <w:rFonts w:ascii="宋体" w:hAnsi="宋体"/>
                <w:szCs w:val="21"/>
              </w:rPr>
              <w:t>21</w:t>
            </w:r>
          </w:p>
        </w:tc>
        <w:tc>
          <w:tcPr>
            <w:tcW w:w="1843" w:type="dxa"/>
            <w:vAlign w:val="center"/>
          </w:tcPr>
          <w:p>
            <w:pPr>
              <w:jc w:val="center"/>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投标文件提交地点及截止时间</w:t>
            </w:r>
          </w:p>
        </w:tc>
        <w:tc>
          <w:tcPr>
            <w:tcW w:w="5812" w:type="dxa"/>
            <w:vAlign w:val="center"/>
          </w:tcPr>
          <w:p>
            <w:pPr>
              <w:jc w:val="left"/>
              <w:rPr>
                <w:rFonts w:ascii="宋体" w:hAnsi="宋体"/>
                <w:color w:val="000000" w:themeColor="text1"/>
                <w:szCs w:val="21"/>
                <w:highlight w:val="none"/>
                <w14:textFill>
                  <w14:solidFill>
                    <w14:schemeClr w14:val="tx1"/>
                  </w14:solidFill>
                </w14:textFill>
              </w:rPr>
            </w:pPr>
            <w:r>
              <w:rPr>
                <w:rFonts w:ascii="宋体" w:hAnsi="宋体"/>
                <w:b/>
                <w:color w:val="000000" w:themeColor="text1"/>
                <w:szCs w:val="21"/>
                <w:highlight w:val="none"/>
                <w14:textFill>
                  <w14:solidFill>
                    <w14:schemeClr w14:val="tx1"/>
                  </w14:solidFill>
                </w14:textFill>
              </w:rPr>
              <w:t>收件人：</w:t>
            </w:r>
            <w:r>
              <w:rPr>
                <w:rFonts w:hint="eastAsia" w:ascii="宋体" w:hAnsi="宋体"/>
                <w:b/>
                <w:color w:val="000000" w:themeColor="text1"/>
                <w:szCs w:val="21"/>
                <w:highlight w:val="none"/>
                <w:lang w:eastAsia="zh-CN"/>
                <w14:textFill>
                  <w14:solidFill>
                    <w14:schemeClr w14:val="tx1"/>
                  </w14:solidFill>
                </w14:textFill>
              </w:rPr>
              <w:t>江苏华睿工程咨询有限公司</w:t>
            </w:r>
          </w:p>
          <w:p>
            <w:pPr>
              <w:jc w:val="left"/>
              <w:rPr>
                <w:rFonts w:ascii="宋体" w:hAnsi="宋体"/>
                <w:color w:val="000000" w:themeColor="text1"/>
                <w:szCs w:val="21"/>
                <w:highlight w:val="none"/>
                <w:u w:val="single"/>
                <w14:textFill>
                  <w14:solidFill>
                    <w14:schemeClr w14:val="tx1"/>
                  </w14:solidFill>
                </w14:textFill>
              </w:rPr>
            </w:pPr>
            <w:r>
              <w:rPr>
                <w:rFonts w:ascii="宋体" w:hAnsi="宋体"/>
                <w:b/>
                <w:color w:val="000000" w:themeColor="text1"/>
                <w:szCs w:val="21"/>
                <w:highlight w:val="none"/>
                <w14:textFill>
                  <w14:solidFill>
                    <w14:schemeClr w14:val="tx1"/>
                  </w14:solidFill>
                </w14:textFill>
              </w:rPr>
              <w:t>截止时间：</w:t>
            </w:r>
            <w:r>
              <w:rPr>
                <w:rFonts w:ascii="宋体" w:hAnsi="宋体"/>
                <w:b/>
                <w:color w:val="000000" w:themeColor="text1"/>
                <w:szCs w:val="21"/>
                <w:highlight w:val="none"/>
                <w:u w:val="single"/>
                <w14:textFill>
                  <w14:solidFill>
                    <w14:schemeClr w14:val="tx1"/>
                  </w14:solidFill>
                </w14:textFill>
              </w:rPr>
              <w:t>20</w:t>
            </w:r>
            <w:r>
              <w:rPr>
                <w:rFonts w:hint="eastAsia" w:ascii="宋体" w:hAnsi="宋体"/>
                <w:b/>
                <w:color w:val="000000" w:themeColor="text1"/>
                <w:szCs w:val="21"/>
                <w:highlight w:val="none"/>
                <w:u w:val="single"/>
                <w14:textFill>
                  <w14:solidFill>
                    <w14:schemeClr w14:val="tx1"/>
                  </w14:solidFill>
                </w14:textFill>
              </w:rPr>
              <w:t>23</w:t>
            </w:r>
            <w:r>
              <w:rPr>
                <w:rFonts w:ascii="宋体" w:hAnsi="宋体"/>
                <w:b/>
                <w:color w:val="000000" w:themeColor="text1"/>
                <w:szCs w:val="21"/>
                <w:highlight w:val="none"/>
                <w:u w:val="single"/>
                <w14:textFill>
                  <w14:solidFill>
                    <w14:schemeClr w14:val="tx1"/>
                  </w14:solidFill>
                </w14:textFill>
              </w:rPr>
              <w:t>年</w:t>
            </w:r>
            <w:r>
              <w:rPr>
                <w:rFonts w:hint="eastAsia" w:ascii="宋体" w:hAnsi="宋体"/>
                <w:b/>
                <w:color w:val="000000" w:themeColor="text1"/>
                <w:szCs w:val="21"/>
                <w:highlight w:val="none"/>
                <w:u w:val="single"/>
                <w:lang w:val="en-US" w:eastAsia="zh-CN"/>
                <w14:textFill>
                  <w14:solidFill>
                    <w14:schemeClr w14:val="tx1"/>
                  </w14:solidFill>
                </w14:textFill>
              </w:rPr>
              <w:t>07</w:t>
            </w:r>
            <w:r>
              <w:rPr>
                <w:rFonts w:ascii="宋体" w:hAnsi="宋体"/>
                <w:b/>
                <w:color w:val="000000" w:themeColor="text1"/>
                <w:szCs w:val="21"/>
                <w:highlight w:val="none"/>
                <w:u w:val="single"/>
                <w14:textFill>
                  <w14:solidFill>
                    <w14:schemeClr w14:val="tx1"/>
                  </w14:solidFill>
                </w14:textFill>
              </w:rPr>
              <w:t>月</w:t>
            </w:r>
            <w:r>
              <w:rPr>
                <w:rFonts w:hint="eastAsia" w:ascii="宋体" w:hAnsi="宋体"/>
                <w:b/>
                <w:color w:val="000000" w:themeColor="text1"/>
                <w:szCs w:val="21"/>
                <w:highlight w:val="none"/>
                <w:u w:val="single"/>
                <w:lang w:val="en-US" w:eastAsia="zh-CN"/>
                <w14:textFill>
                  <w14:solidFill>
                    <w14:schemeClr w14:val="tx1"/>
                  </w14:solidFill>
                </w14:textFill>
              </w:rPr>
              <w:t>06</w:t>
            </w:r>
            <w:r>
              <w:rPr>
                <w:rFonts w:ascii="宋体" w:hAnsi="宋体"/>
                <w:b/>
                <w:color w:val="000000" w:themeColor="text1"/>
                <w:szCs w:val="21"/>
                <w:highlight w:val="none"/>
                <w:u w:val="single"/>
                <w14:textFill>
                  <w14:solidFill>
                    <w14:schemeClr w14:val="tx1"/>
                  </w14:solidFill>
                </w14:textFill>
              </w:rPr>
              <w:t>日</w:t>
            </w:r>
            <w:r>
              <w:rPr>
                <w:rFonts w:hint="eastAsia" w:ascii="宋体" w:hAnsi="宋体"/>
                <w:b/>
                <w:color w:val="000000" w:themeColor="text1"/>
                <w:szCs w:val="21"/>
                <w:highlight w:val="none"/>
                <w:u w:val="single"/>
                <w:lang w:val="en-US" w:eastAsia="zh-CN"/>
                <w14:textFill>
                  <w14:solidFill>
                    <w14:schemeClr w14:val="tx1"/>
                  </w14:solidFill>
                </w14:textFill>
              </w:rPr>
              <w:t>1</w:t>
            </w:r>
            <w:r>
              <w:rPr>
                <w:rFonts w:hint="eastAsia" w:ascii="宋体" w:hAnsi="宋体"/>
                <w:b/>
                <w:color w:val="000000" w:themeColor="text1"/>
                <w:szCs w:val="21"/>
                <w:highlight w:val="none"/>
                <w:u w:val="single"/>
                <w:lang w:val="en-US" w:eastAsia="zh-CN"/>
                <w14:textFill>
                  <w14:solidFill>
                    <w14:schemeClr w14:val="tx1"/>
                  </w14:solidFill>
                </w14:textFill>
              </w:rPr>
              <w:t>4</w:t>
            </w:r>
            <w:r>
              <w:rPr>
                <w:rFonts w:ascii="宋体" w:hAnsi="宋体"/>
                <w:b/>
                <w:color w:val="000000" w:themeColor="text1"/>
                <w:szCs w:val="21"/>
                <w:highlight w:val="none"/>
                <w:u w:val="single"/>
                <w14:textFill>
                  <w14:solidFill>
                    <w14:schemeClr w14:val="tx1"/>
                  </w14:solidFill>
                </w14:textFill>
              </w:rPr>
              <w:t>时</w:t>
            </w:r>
            <w:r>
              <w:rPr>
                <w:rFonts w:hint="eastAsia" w:ascii="宋体" w:hAnsi="宋体"/>
                <w:b/>
                <w:color w:val="000000" w:themeColor="text1"/>
                <w:szCs w:val="21"/>
                <w:highlight w:val="none"/>
                <w:u w:val="single"/>
                <w:lang w:val="en-US" w:eastAsia="zh-CN"/>
                <w14:textFill>
                  <w14:solidFill>
                    <w14:schemeClr w14:val="tx1"/>
                  </w14:solidFill>
                </w14:textFill>
              </w:rPr>
              <w:t>00</w:t>
            </w:r>
            <w:r>
              <w:rPr>
                <w:rFonts w:ascii="宋体" w:hAnsi="宋体"/>
                <w:b/>
                <w:color w:val="000000" w:themeColor="text1"/>
                <w:szCs w:val="21"/>
                <w:highlight w:val="none"/>
                <w:u w:val="single"/>
                <w14:textFill>
                  <w14:solidFill>
                    <w14:schemeClr w14:val="tx1"/>
                  </w14:solidFill>
                </w14:textFill>
              </w:rPr>
              <w:t>分（以开标室电子时钟显示时间为准）</w:t>
            </w:r>
          </w:p>
          <w:p>
            <w:pPr>
              <w:jc w:val="left"/>
              <w:rPr>
                <w:rFonts w:ascii="宋体" w:hAnsi="宋体"/>
                <w:color w:val="000000" w:themeColor="text1"/>
                <w:szCs w:val="21"/>
                <w:highlight w:val="none"/>
                <w:u w:val="single"/>
                <w14:textFill>
                  <w14:solidFill>
                    <w14:schemeClr w14:val="tx1"/>
                  </w14:solidFill>
                </w14:textFill>
              </w:rPr>
            </w:pPr>
            <w:r>
              <w:rPr>
                <w:rFonts w:ascii="宋体" w:hAnsi="宋体"/>
                <w:b/>
                <w:color w:val="000000" w:themeColor="text1"/>
                <w:szCs w:val="21"/>
                <w:highlight w:val="none"/>
                <w14:textFill>
                  <w14:solidFill>
                    <w14:schemeClr w14:val="tx1"/>
                  </w14:solidFill>
                </w14:textFill>
              </w:rPr>
              <w:t>提交地点：</w:t>
            </w:r>
            <w:r>
              <w:rPr>
                <w:rFonts w:ascii="宋体" w:hAnsi="宋体"/>
                <w:b/>
                <w:snapToGrid w:val="0"/>
                <w:color w:val="000000" w:themeColor="text1"/>
                <w:kern w:val="0"/>
                <w:szCs w:val="21"/>
                <w:highlight w:val="none"/>
                <w14:textFill>
                  <w14:solidFill>
                    <w14:schemeClr w14:val="tx1"/>
                  </w14:solidFill>
                </w14:textFill>
              </w:rPr>
              <w:t>南通市崇川区青年中路128号，崇川区便民服务中心</w:t>
            </w:r>
            <w:r>
              <w:rPr>
                <w:rFonts w:ascii="宋体" w:hAnsi="宋体"/>
                <w:b/>
                <w:snapToGrid w:val="0"/>
                <w:color w:val="000000" w:themeColor="text1"/>
                <w:kern w:val="0"/>
                <w:szCs w:val="21"/>
                <w:highlight w:val="none"/>
                <w:u w:val="single"/>
                <w14:textFill>
                  <w14:solidFill>
                    <w14:schemeClr w14:val="tx1"/>
                  </w14:solidFill>
                </w14:textFill>
              </w:rPr>
              <w:t xml:space="preserve"> 314</w:t>
            </w:r>
            <w:r>
              <w:rPr>
                <w:rFonts w:ascii="宋体" w:hAnsi="宋体"/>
                <w:b/>
                <w:snapToGrid w:val="0"/>
                <w:color w:val="000000" w:themeColor="text1"/>
                <w:kern w:val="0"/>
                <w:szCs w:val="21"/>
                <w:highlight w:val="none"/>
                <w14:textFill>
                  <w14:solidFill>
                    <w14:schemeClr w14:val="tx1"/>
                  </w14:solidFill>
                </w14:textFill>
              </w:rPr>
              <w:t>会议室（东楼）</w:t>
            </w:r>
          </w:p>
          <w:p>
            <w:pPr>
              <w:jc w:val="left"/>
              <w:rPr>
                <w:rFonts w:ascii="宋体" w:hAnsi="宋体"/>
                <w:color w:val="000000" w:themeColor="text1"/>
                <w:szCs w:val="21"/>
                <w:highlight w:val="none"/>
                <w:u w:val="single"/>
                <w14:textFill>
                  <w14:solidFill>
                    <w14:schemeClr w14:val="tx1"/>
                  </w14:solidFill>
                </w14:textFill>
              </w:rPr>
            </w:pPr>
            <w:r>
              <w:rPr>
                <w:rFonts w:ascii="宋体" w:hAnsi="宋体"/>
                <w:b/>
                <w:snapToGrid w:val="0"/>
                <w:color w:val="000000" w:themeColor="text1"/>
                <w:kern w:val="0"/>
                <w:szCs w:val="21"/>
                <w:highlight w:val="none"/>
                <w14:textFill>
                  <w14:solidFill>
                    <w14:schemeClr w14:val="tx1"/>
                  </w14:solidFill>
                </w14:textFill>
              </w:rPr>
              <w:t>特别提醒：崇川区便民服务中心停车位有限，请各潜在投标人合理选择交通工具，或提前到达投标地点。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5" w:hRule="atLeast"/>
          <w:jc w:val="center"/>
        </w:trPr>
        <w:tc>
          <w:tcPr>
            <w:tcW w:w="814" w:type="dxa"/>
            <w:vAlign w:val="center"/>
          </w:tcPr>
          <w:p>
            <w:pPr>
              <w:jc w:val="center"/>
              <w:rPr>
                <w:rFonts w:ascii="宋体" w:hAnsi="宋体"/>
                <w:szCs w:val="21"/>
              </w:rPr>
            </w:pPr>
            <w:r>
              <w:rPr>
                <w:rFonts w:ascii="宋体" w:hAnsi="宋体"/>
                <w:szCs w:val="21"/>
              </w:rPr>
              <w:t>19</w:t>
            </w:r>
          </w:p>
        </w:tc>
        <w:tc>
          <w:tcPr>
            <w:tcW w:w="992" w:type="dxa"/>
            <w:vAlign w:val="center"/>
          </w:tcPr>
          <w:p>
            <w:pPr>
              <w:jc w:val="center"/>
              <w:rPr>
                <w:rFonts w:ascii="宋体" w:hAnsi="宋体"/>
                <w:szCs w:val="21"/>
              </w:rPr>
            </w:pPr>
            <w:r>
              <w:rPr>
                <w:rFonts w:ascii="宋体" w:hAnsi="宋体"/>
                <w:szCs w:val="21"/>
              </w:rPr>
              <w:t>24</w:t>
            </w:r>
          </w:p>
        </w:tc>
        <w:tc>
          <w:tcPr>
            <w:tcW w:w="1843" w:type="dxa"/>
            <w:vAlign w:val="center"/>
          </w:tcPr>
          <w:p>
            <w:pPr>
              <w:jc w:val="center"/>
              <w:rPr>
                <w:rFonts w:ascii="宋体" w:hAnsi="宋体"/>
                <w:color w:val="000000" w:themeColor="text1"/>
                <w:szCs w:val="21"/>
                <w:highlight w:val="none"/>
                <w14:textFill>
                  <w14:solidFill>
                    <w14:schemeClr w14:val="tx1"/>
                  </w14:solidFill>
                </w14:textFill>
              </w:rPr>
            </w:pPr>
            <w:r>
              <w:rPr>
                <w:rFonts w:ascii="宋体" w:hAnsi="宋体"/>
                <w:color w:val="000000" w:themeColor="text1"/>
                <w:szCs w:val="21"/>
                <w:highlight w:val="none"/>
                <w14:textFill>
                  <w14:solidFill>
                    <w14:schemeClr w14:val="tx1"/>
                  </w14:solidFill>
                </w14:textFill>
              </w:rPr>
              <w:t>开标</w:t>
            </w:r>
          </w:p>
        </w:tc>
        <w:tc>
          <w:tcPr>
            <w:tcW w:w="5812" w:type="dxa"/>
            <w:vAlign w:val="center"/>
          </w:tcPr>
          <w:p>
            <w:pPr>
              <w:jc w:val="left"/>
              <w:rPr>
                <w:rFonts w:ascii="宋体" w:hAnsi="宋体"/>
                <w:b/>
                <w:color w:val="000000" w:themeColor="text1"/>
                <w:szCs w:val="21"/>
                <w:highlight w:val="none"/>
                <w:u w:val="single"/>
                <w14:textFill>
                  <w14:solidFill>
                    <w14:schemeClr w14:val="tx1"/>
                  </w14:solidFill>
                </w14:textFill>
              </w:rPr>
            </w:pPr>
            <w:r>
              <w:rPr>
                <w:rFonts w:ascii="宋体" w:hAnsi="宋体"/>
                <w:b/>
                <w:color w:val="000000" w:themeColor="text1"/>
                <w:szCs w:val="21"/>
                <w:highlight w:val="none"/>
                <w14:textFill>
                  <w14:solidFill>
                    <w14:schemeClr w14:val="tx1"/>
                  </w14:solidFill>
                </w14:textFill>
              </w:rPr>
              <w:t>开标时间：</w:t>
            </w:r>
            <w:r>
              <w:rPr>
                <w:rFonts w:ascii="宋体" w:hAnsi="宋体"/>
                <w:b/>
                <w:color w:val="000000" w:themeColor="text1"/>
                <w:szCs w:val="21"/>
                <w:highlight w:val="none"/>
                <w:u w:val="single"/>
                <w14:textFill>
                  <w14:solidFill>
                    <w14:schemeClr w14:val="tx1"/>
                  </w14:solidFill>
                </w14:textFill>
              </w:rPr>
              <w:t>20</w:t>
            </w:r>
            <w:r>
              <w:rPr>
                <w:rFonts w:hint="eastAsia" w:ascii="宋体" w:hAnsi="宋体"/>
                <w:b/>
                <w:color w:val="000000" w:themeColor="text1"/>
                <w:szCs w:val="21"/>
                <w:highlight w:val="none"/>
                <w:u w:val="single"/>
                <w14:textFill>
                  <w14:solidFill>
                    <w14:schemeClr w14:val="tx1"/>
                  </w14:solidFill>
                </w14:textFill>
              </w:rPr>
              <w:t>23</w:t>
            </w:r>
            <w:r>
              <w:rPr>
                <w:rFonts w:ascii="宋体" w:hAnsi="宋体"/>
                <w:b/>
                <w:color w:val="000000" w:themeColor="text1"/>
                <w:szCs w:val="21"/>
                <w:highlight w:val="none"/>
                <w:u w:val="single"/>
                <w14:textFill>
                  <w14:solidFill>
                    <w14:schemeClr w14:val="tx1"/>
                  </w14:solidFill>
                </w14:textFill>
              </w:rPr>
              <w:t>年</w:t>
            </w:r>
            <w:r>
              <w:rPr>
                <w:rFonts w:hint="eastAsia" w:ascii="宋体" w:hAnsi="宋体"/>
                <w:b/>
                <w:color w:val="000000" w:themeColor="text1"/>
                <w:szCs w:val="21"/>
                <w:highlight w:val="none"/>
                <w:u w:val="single"/>
                <w:lang w:val="en-US" w:eastAsia="zh-CN"/>
                <w14:textFill>
                  <w14:solidFill>
                    <w14:schemeClr w14:val="tx1"/>
                  </w14:solidFill>
                </w14:textFill>
              </w:rPr>
              <w:t>07</w:t>
            </w:r>
            <w:r>
              <w:rPr>
                <w:rFonts w:ascii="宋体" w:hAnsi="宋体"/>
                <w:b/>
                <w:color w:val="000000" w:themeColor="text1"/>
                <w:szCs w:val="21"/>
                <w:highlight w:val="none"/>
                <w:u w:val="single"/>
                <w14:textFill>
                  <w14:solidFill>
                    <w14:schemeClr w14:val="tx1"/>
                  </w14:solidFill>
                </w14:textFill>
              </w:rPr>
              <w:t>月</w:t>
            </w:r>
            <w:r>
              <w:rPr>
                <w:rFonts w:hint="eastAsia" w:ascii="宋体" w:hAnsi="宋体"/>
                <w:b/>
                <w:color w:val="000000" w:themeColor="text1"/>
                <w:szCs w:val="21"/>
                <w:highlight w:val="none"/>
                <w:u w:val="single"/>
                <w:lang w:val="en-US" w:eastAsia="zh-CN"/>
                <w14:textFill>
                  <w14:solidFill>
                    <w14:schemeClr w14:val="tx1"/>
                  </w14:solidFill>
                </w14:textFill>
              </w:rPr>
              <w:t>06</w:t>
            </w:r>
            <w:r>
              <w:rPr>
                <w:rFonts w:ascii="宋体" w:hAnsi="宋体"/>
                <w:b/>
                <w:color w:val="000000" w:themeColor="text1"/>
                <w:szCs w:val="21"/>
                <w:highlight w:val="none"/>
                <w:u w:val="single"/>
                <w14:textFill>
                  <w14:solidFill>
                    <w14:schemeClr w14:val="tx1"/>
                  </w14:solidFill>
                </w14:textFill>
              </w:rPr>
              <w:t>日</w:t>
            </w:r>
            <w:r>
              <w:rPr>
                <w:rFonts w:hint="eastAsia" w:ascii="宋体" w:hAnsi="宋体"/>
                <w:b/>
                <w:color w:val="000000" w:themeColor="text1"/>
                <w:szCs w:val="21"/>
                <w:highlight w:val="none"/>
                <w:u w:val="single"/>
                <w:lang w:val="en-US" w:eastAsia="zh-CN"/>
                <w14:textFill>
                  <w14:solidFill>
                    <w14:schemeClr w14:val="tx1"/>
                  </w14:solidFill>
                </w14:textFill>
              </w:rPr>
              <w:t>14</w:t>
            </w:r>
            <w:r>
              <w:rPr>
                <w:rFonts w:ascii="宋体" w:hAnsi="宋体"/>
                <w:b/>
                <w:color w:val="000000" w:themeColor="text1"/>
                <w:szCs w:val="21"/>
                <w:highlight w:val="none"/>
                <w:u w:val="single"/>
                <w14:textFill>
                  <w14:solidFill>
                    <w14:schemeClr w14:val="tx1"/>
                  </w14:solidFill>
                </w14:textFill>
              </w:rPr>
              <w:t>时</w:t>
            </w:r>
            <w:r>
              <w:rPr>
                <w:rFonts w:hint="eastAsia" w:ascii="宋体" w:hAnsi="宋体"/>
                <w:b/>
                <w:color w:val="000000" w:themeColor="text1"/>
                <w:szCs w:val="21"/>
                <w:highlight w:val="none"/>
                <w:u w:val="single"/>
                <w:lang w:val="en-US" w:eastAsia="zh-CN"/>
                <w14:textFill>
                  <w14:solidFill>
                    <w14:schemeClr w14:val="tx1"/>
                  </w14:solidFill>
                </w14:textFill>
              </w:rPr>
              <w:t>00</w:t>
            </w:r>
            <w:r>
              <w:rPr>
                <w:rFonts w:ascii="宋体" w:hAnsi="宋体"/>
                <w:b/>
                <w:color w:val="000000" w:themeColor="text1"/>
                <w:szCs w:val="21"/>
                <w:highlight w:val="none"/>
                <w:u w:val="single"/>
                <w14:textFill>
                  <w14:solidFill>
                    <w14:schemeClr w14:val="tx1"/>
                  </w14:solidFill>
                </w14:textFill>
              </w:rPr>
              <w:t>分（以开标室电子时钟显示时间为准）</w:t>
            </w:r>
          </w:p>
          <w:p>
            <w:pPr>
              <w:jc w:val="left"/>
              <w:rPr>
                <w:rFonts w:ascii="宋体" w:hAnsi="宋体"/>
                <w:b/>
                <w:snapToGrid w:val="0"/>
                <w:color w:val="000000" w:themeColor="text1"/>
                <w:kern w:val="0"/>
                <w:szCs w:val="21"/>
                <w:highlight w:val="none"/>
                <w14:textFill>
                  <w14:solidFill>
                    <w14:schemeClr w14:val="tx1"/>
                  </w14:solidFill>
                </w14:textFill>
              </w:rPr>
            </w:pPr>
            <w:r>
              <w:rPr>
                <w:rFonts w:ascii="宋体" w:hAnsi="宋体"/>
                <w:b/>
                <w:color w:val="000000" w:themeColor="text1"/>
                <w:szCs w:val="21"/>
                <w:highlight w:val="none"/>
                <w14:textFill>
                  <w14:solidFill>
                    <w14:schemeClr w14:val="tx1"/>
                  </w14:solidFill>
                </w14:textFill>
              </w:rPr>
              <w:t>开标地点：</w:t>
            </w:r>
            <w:r>
              <w:rPr>
                <w:rFonts w:ascii="宋体" w:hAnsi="宋体"/>
                <w:b/>
                <w:snapToGrid w:val="0"/>
                <w:color w:val="000000" w:themeColor="text1"/>
                <w:kern w:val="0"/>
                <w:szCs w:val="21"/>
                <w:highlight w:val="none"/>
                <w14:textFill>
                  <w14:solidFill>
                    <w14:schemeClr w14:val="tx1"/>
                  </w14:solidFill>
                </w14:textFill>
              </w:rPr>
              <w:t>南通市崇川区青年中路128号，崇川区便民服务中心</w:t>
            </w:r>
            <w:r>
              <w:rPr>
                <w:rFonts w:ascii="宋体" w:hAnsi="宋体"/>
                <w:b/>
                <w:snapToGrid w:val="0"/>
                <w:color w:val="000000" w:themeColor="text1"/>
                <w:kern w:val="0"/>
                <w:szCs w:val="21"/>
                <w:highlight w:val="none"/>
                <w:u w:val="single"/>
                <w14:textFill>
                  <w14:solidFill>
                    <w14:schemeClr w14:val="tx1"/>
                  </w14:solidFill>
                </w14:textFill>
              </w:rPr>
              <w:t xml:space="preserve"> 314</w:t>
            </w:r>
            <w:r>
              <w:rPr>
                <w:rFonts w:ascii="宋体" w:hAnsi="宋体"/>
                <w:b/>
                <w:snapToGrid w:val="0"/>
                <w:color w:val="000000" w:themeColor="text1"/>
                <w:kern w:val="0"/>
                <w:szCs w:val="21"/>
                <w:highlight w:val="none"/>
                <w14:textFill>
                  <w14:solidFill>
                    <w14:schemeClr w14:val="tx1"/>
                  </w14:solidFill>
                </w14:textFill>
              </w:rPr>
              <w:t>会议室（东楼）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6" w:hRule="atLeast"/>
          <w:jc w:val="center"/>
        </w:trPr>
        <w:tc>
          <w:tcPr>
            <w:tcW w:w="814" w:type="dxa"/>
            <w:vAlign w:val="center"/>
          </w:tcPr>
          <w:p>
            <w:pPr>
              <w:jc w:val="center"/>
              <w:rPr>
                <w:rFonts w:ascii="宋体" w:hAnsi="宋体"/>
                <w:szCs w:val="21"/>
              </w:rPr>
            </w:pPr>
            <w:r>
              <w:rPr>
                <w:rFonts w:ascii="宋体" w:hAnsi="宋体"/>
                <w:szCs w:val="21"/>
              </w:rPr>
              <w:t>20</w:t>
            </w:r>
          </w:p>
        </w:tc>
        <w:tc>
          <w:tcPr>
            <w:tcW w:w="992" w:type="dxa"/>
            <w:vAlign w:val="center"/>
          </w:tcPr>
          <w:p>
            <w:pPr>
              <w:jc w:val="center"/>
              <w:rPr>
                <w:rFonts w:ascii="宋体" w:hAnsi="宋体"/>
                <w:szCs w:val="21"/>
              </w:rPr>
            </w:pPr>
            <w:r>
              <w:rPr>
                <w:rFonts w:ascii="宋体" w:hAnsi="宋体"/>
                <w:szCs w:val="21"/>
              </w:rPr>
              <w:t>25</w:t>
            </w:r>
          </w:p>
        </w:tc>
        <w:tc>
          <w:tcPr>
            <w:tcW w:w="1843" w:type="dxa"/>
            <w:vAlign w:val="center"/>
          </w:tcPr>
          <w:p>
            <w:pPr>
              <w:jc w:val="center"/>
              <w:rPr>
                <w:rFonts w:ascii="宋体" w:hAnsi="宋体"/>
                <w:szCs w:val="21"/>
              </w:rPr>
            </w:pPr>
            <w:r>
              <w:rPr>
                <w:rFonts w:ascii="宋体" w:hAnsi="宋体"/>
                <w:szCs w:val="21"/>
              </w:rPr>
              <w:t>评标委员会</w:t>
            </w:r>
          </w:p>
        </w:tc>
        <w:tc>
          <w:tcPr>
            <w:tcW w:w="5812" w:type="dxa"/>
            <w:vAlign w:val="center"/>
          </w:tcPr>
          <w:p>
            <w:pPr>
              <w:jc w:val="left"/>
              <w:rPr>
                <w:rFonts w:ascii="宋体" w:hAnsi="宋体"/>
                <w:szCs w:val="21"/>
              </w:rPr>
            </w:pPr>
            <w:r>
              <w:rPr>
                <w:rFonts w:hint="eastAsia" w:ascii="宋体" w:hAnsi="宋体"/>
                <w:snapToGrid w:val="0"/>
                <w:color w:val="000000"/>
                <w:kern w:val="0"/>
                <w:szCs w:val="21"/>
              </w:rPr>
              <w:t>评标委员</w:t>
            </w:r>
            <w:r>
              <w:rPr>
                <w:rFonts w:hint="eastAsia" w:ascii="宋体" w:hAnsi="宋体"/>
                <w:snapToGrid w:val="0"/>
                <w:kern w:val="0"/>
                <w:szCs w:val="21"/>
              </w:rPr>
              <w:t>会由</w:t>
            </w:r>
            <w:r>
              <w:rPr>
                <w:rFonts w:ascii="宋体" w:hAnsi="宋体"/>
                <w:snapToGrid w:val="0"/>
                <w:kern w:val="0"/>
                <w:szCs w:val="21"/>
                <w:u w:val="single"/>
              </w:rPr>
              <w:t xml:space="preserve"> 3 </w:t>
            </w:r>
            <w:r>
              <w:rPr>
                <w:rFonts w:hint="eastAsia" w:ascii="宋体" w:hAnsi="宋体"/>
                <w:snapToGrid w:val="0"/>
                <w:kern w:val="0"/>
                <w:szCs w:val="21"/>
              </w:rPr>
              <w:t>人构成，其中招标人代表</w:t>
            </w:r>
            <w:r>
              <w:rPr>
                <w:rFonts w:ascii="宋体" w:hAnsi="宋体"/>
                <w:snapToGrid w:val="0"/>
                <w:kern w:val="0"/>
                <w:szCs w:val="21"/>
                <w:u w:val="single"/>
              </w:rPr>
              <w:t xml:space="preserve"> 1 </w:t>
            </w:r>
            <w:r>
              <w:rPr>
                <w:rFonts w:hint="eastAsia" w:ascii="宋体" w:hAnsi="宋体"/>
                <w:snapToGrid w:val="0"/>
                <w:kern w:val="0"/>
                <w:szCs w:val="21"/>
              </w:rPr>
              <w:t>人，专家</w:t>
            </w:r>
            <w:r>
              <w:rPr>
                <w:rFonts w:ascii="宋体" w:hAnsi="宋体"/>
                <w:snapToGrid w:val="0"/>
                <w:kern w:val="0"/>
                <w:szCs w:val="21"/>
                <w:u w:val="single"/>
              </w:rPr>
              <w:t xml:space="preserve">2 </w:t>
            </w:r>
            <w:r>
              <w:rPr>
                <w:rFonts w:hint="eastAsia" w:ascii="宋体" w:hAnsi="宋体"/>
                <w:snapToGrid w:val="0"/>
                <w:kern w:val="0"/>
                <w:szCs w:val="21"/>
              </w:rPr>
              <w:t>人。</w:t>
            </w:r>
            <w:r>
              <w:rPr>
                <w:rFonts w:hint="eastAsia" w:ascii="宋体" w:hAnsi="宋体"/>
                <w:szCs w:val="21"/>
              </w:rPr>
              <w:t>评标专家在专家库中随机抽取组成，采用语音系统自</w:t>
            </w:r>
            <w:r>
              <w:rPr>
                <w:rFonts w:hint="eastAsia" w:ascii="宋体" w:hAnsi="宋体"/>
                <w:color w:val="000000"/>
                <w:szCs w:val="21"/>
              </w:rPr>
              <w:t>动通知。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814" w:type="dxa"/>
            <w:vAlign w:val="center"/>
          </w:tcPr>
          <w:p>
            <w:pPr>
              <w:jc w:val="center"/>
              <w:rPr>
                <w:rFonts w:ascii="宋体" w:hAnsi="宋体"/>
                <w:szCs w:val="21"/>
              </w:rPr>
            </w:pPr>
            <w:r>
              <w:rPr>
                <w:rFonts w:ascii="宋体" w:hAnsi="宋体"/>
                <w:szCs w:val="21"/>
              </w:rPr>
              <w:t>21</w:t>
            </w:r>
          </w:p>
        </w:tc>
        <w:tc>
          <w:tcPr>
            <w:tcW w:w="992" w:type="dxa"/>
            <w:vAlign w:val="center"/>
          </w:tcPr>
          <w:p>
            <w:pPr>
              <w:jc w:val="center"/>
              <w:rPr>
                <w:rFonts w:ascii="宋体" w:hAnsi="宋体"/>
                <w:szCs w:val="21"/>
              </w:rPr>
            </w:pPr>
            <w:r>
              <w:rPr>
                <w:rFonts w:ascii="宋体" w:hAnsi="宋体"/>
                <w:szCs w:val="21"/>
              </w:rPr>
              <w:t>35</w:t>
            </w:r>
          </w:p>
        </w:tc>
        <w:tc>
          <w:tcPr>
            <w:tcW w:w="1843" w:type="dxa"/>
            <w:vAlign w:val="center"/>
          </w:tcPr>
          <w:p>
            <w:pPr>
              <w:jc w:val="center"/>
              <w:rPr>
                <w:rFonts w:ascii="宋体" w:hAnsi="宋体"/>
                <w:szCs w:val="21"/>
              </w:rPr>
            </w:pPr>
            <w:r>
              <w:rPr>
                <w:rFonts w:ascii="宋体" w:hAnsi="宋体"/>
                <w:szCs w:val="21"/>
              </w:rPr>
              <w:t>履约担保金额</w:t>
            </w:r>
          </w:p>
        </w:tc>
        <w:tc>
          <w:tcPr>
            <w:tcW w:w="5812" w:type="dxa"/>
            <w:vAlign w:val="center"/>
          </w:tcPr>
          <w:p>
            <w:pPr>
              <w:jc w:val="left"/>
              <w:rPr>
                <w:rFonts w:ascii="宋体" w:hAnsi="宋体"/>
                <w:szCs w:val="21"/>
              </w:rPr>
            </w:pPr>
            <w:r>
              <w:rPr>
                <w:rFonts w:hint="eastAsia" w:ascii="宋体" w:hAnsi="宋体"/>
                <w:szCs w:val="21"/>
              </w:rPr>
              <w:t>投标人提供的履约保证金为合同价的10%；投标人在收到中标通知书后，</w:t>
            </w:r>
            <w:r>
              <w:rPr>
                <w:rFonts w:hint="eastAsia" w:ascii="宋体" w:hAnsi="宋体"/>
                <w:szCs w:val="21"/>
                <w:highlight w:val="none"/>
              </w:rPr>
              <w:t xml:space="preserve">须在5 </w:t>
            </w:r>
            <w:r>
              <w:rPr>
                <w:rFonts w:hint="eastAsia" w:ascii="宋体" w:hAnsi="宋体"/>
                <w:szCs w:val="21"/>
                <w:highlight w:val="none"/>
                <w:lang w:val="en-US" w:eastAsia="zh-CN"/>
              </w:rPr>
              <w:t>日</w:t>
            </w:r>
            <w:r>
              <w:rPr>
                <w:rFonts w:hint="eastAsia" w:ascii="宋体" w:hAnsi="宋体"/>
                <w:szCs w:val="21"/>
                <w:highlight w:val="none"/>
              </w:rPr>
              <w:t>内向招标人足额提交履约保证金</w:t>
            </w:r>
            <w:r>
              <w:rPr>
                <w:rFonts w:hint="eastAsia" w:ascii="宋体" w:hAnsi="宋体"/>
                <w:szCs w:val="21"/>
              </w:rPr>
              <w:t>，否则招标人可以取消其中标资格。</w:t>
            </w:r>
            <w:r>
              <w:rPr>
                <w:rFonts w:ascii="宋体" w:hAnsi="宋体"/>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36" w:hRule="atLeast"/>
          <w:jc w:val="center"/>
        </w:trPr>
        <w:tc>
          <w:tcPr>
            <w:tcW w:w="814" w:type="dxa"/>
            <w:tcBorders>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22</w:t>
            </w:r>
          </w:p>
        </w:tc>
        <w:tc>
          <w:tcPr>
            <w:tcW w:w="2835" w:type="dxa"/>
            <w:gridSpan w:val="2"/>
            <w:tcBorders>
              <w:left w:val="single" w:color="auto" w:sz="4" w:space="0"/>
              <w:bottom w:val="single" w:color="auto" w:sz="4" w:space="0"/>
              <w:right w:val="single" w:color="auto" w:sz="4" w:space="0"/>
            </w:tcBorders>
            <w:vAlign w:val="center"/>
          </w:tcPr>
          <w:p>
            <w:pPr>
              <w:jc w:val="center"/>
              <w:rPr>
                <w:rFonts w:ascii="宋体" w:hAnsi="宋体"/>
                <w:szCs w:val="21"/>
                <w:highlight w:val="none"/>
              </w:rPr>
            </w:pPr>
            <w:r>
              <w:rPr>
                <w:rFonts w:ascii="宋体" w:hAnsi="宋体"/>
                <w:szCs w:val="21"/>
                <w:highlight w:val="none"/>
              </w:rPr>
              <w:t>招标单位</w:t>
            </w:r>
          </w:p>
        </w:tc>
        <w:tc>
          <w:tcPr>
            <w:tcW w:w="581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left"/>
              <w:rPr>
                <w:rFonts w:hint="eastAsia" w:ascii="宋体" w:hAnsi="宋体"/>
                <w:szCs w:val="21"/>
                <w:highlight w:val="none"/>
              </w:rPr>
            </w:pPr>
            <w:r>
              <w:rPr>
                <w:rFonts w:hint="eastAsia" w:ascii="宋体" w:hAnsi="宋体"/>
                <w:szCs w:val="21"/>
                <w:highlight w:val="none"/>
              </w:rPr>
              <w:t>单位名称：南通市崇川区文峰街道办事处</w:t>
            </w:r>
          </w:p>
          <w:p>
            <w:pPr>
              <w:adjustRightInd w:val="0"/>
              <w:snapToGrid w:val="0"/>
              <w:jc w:val="left"/>
              <w:rPr>
                <w:rFonts w:hint="eastAsia" w:ascii="宋体" w:hAnsi="宋体" w:eastAsia="宋体"/>
                <w:szCs w:val="21"/>
                <w:highlight w:val="none"/>
                <w:lang w:eastAsia="zh-CN"/>
              </w:rPr>
            </w:pPr>
            <w:r>
              <w:rPr>
                <w:rFonts w:hint="eastAsia" w:ascii="宋体" w:hAnsi="宋体"/>
                <w:szCs w:val="21"/>
                <w:highlight w:val="none"/>
              </w:rPr>
              <w:t>联 系 人：</w:t>
            </w:r>
            <w:r>
              <w:rPr>
                <w:rFonts w:hint="eastAsia" w:ascii="宋体" w:hAnsi="宋体"/>
                <w:szCs w:val="21"/>
                <w:highlight w:val="none"/>
                <w:lang w:eastAsia="zh-CN"/>
              </w:rPr>
              <w:t>施先生</w:t>
            </w:r>
          </w:p>
          <w:p>
            <w:pPr>
              <w:adjustRightInd w:val="0"/>
              <w:snapToGrid w:val="0"/>
              <w:jc w:val="left"/>
              <w:rPr>
                <w:rFonts w:ascii="宋体" w:hAnsi="宋体"/>
                <w:szCs w:val="21"/>
                <w:highlight w:val="none"/>
              </w:rPr>
            </w:pPr>
            <w:r>
              <w:rPr>
                <w:rFonts w:hint="eastAsia" w:ascii="宋体" w:hAnsi="宋体"/>
                <w:szCs w:val="21"/>
                <w:highlight w:val="none"/>
              </w:rPr>
              <w:t>联系电话：0513-68151097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61" w:hRule="atLeast"/>
          <w:jc w:val="center"/>
        </w:trPr>
        <w:tc>
          <w:tcPr>
            <w:tcW w:w="814" w:type="dxa"/>
            <w:tcBorders>
              <w:left w:val="single" w:color="auto" w:sz="4" w:space="0"/>
              <w:bottom w:val="single" w:color="auto" w:sz="4" w:space="0"/>
              <w:right w:val="single" w:color="auto" w:sz="4" w:space="0"/>
            </w:tcBorders>
            <w:vAlign w:val="center"/>
          </w:tcPr>
          <w:p>
            <w:pPr>
              <w:jc w:val="center"/>
              <w:rPr>
                <w:rFonts w:ascii="宋体" w:hAnsi="宋体"/>
                <w:szCs w:val="21"/>
                <w:highlight w:val="none"/>
              </w:rPr>
            </w:pPr>
            <w:r>
              <w:rPr>
                <w:rFonts w:ascii="宋体" w:hAnsi="宋体"/>
                <w:szCs w:val="21"/>
                <w:highlight w:val="none"/>
              </w:rPr>
              <w:t>23</w:t>
            </w:r>
          </w:p>
        </w:tc>
        <w:tc>
          <w:tcPr>
            <w:tcW w:w="2835" w:type="dxa"/>
            <w:gridSpan w:val="2"/>
            <w:tcBorders>
              <w:left w:val="single" w:color="auto" w:sz="4" w:space="0"/>
              <w:bottom w:val="single" w:color="auto" w:sz="4" w:space="0"/>
              <w:right w:val="single" w:color="auto" w:sz="4" w:space="0"/>
            </w:tcBorders>
            <w:vAlign w:val="center"/>
          </w:tcPr>
          <w:p>
            <w:pPr>
              <w:jc w:val="center"/>
              <w:rPr>
                <w:rFonts w:ascii="宋体" w:hAnsi="宋体"/>
                <w:szCs w:val="21"/>
                <w:highlight w:val="none"/>
              </w:rPr>
            </w:pPr>
            <w:r>
              <w:rPr>
                <w:rFonts w:ascii="宋体" w:hAnsi="宋体"/>
                <w:szCs w:val="21"/>
                <w:highlight w:val="none"/>
              </w:rPr>
              <w:t>招标代理单位</w:t>
            </w:r>
          </w:p>
        </w:tc>
        <w:tc>
          <w:tcPr>
            <w:tcW w:w="581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left"/>
              <w:rPr>
                <w:rFonts w:hint="eastAsia" w:ascii="宋体" w:hAnsi="宋体"/>
                <w:szCs w:val="21"/>
                <w:highlight w:val="none"/>
                <w:lang w:eastAsia="zh-CN"/>
              </w:rPr>
            </w:pPr>
            <w:r>
              <w:rPr>
                <w:rFonts w:hint="eastAsia" w:ascii="宋体" w:hAnsi="宋体"/>
                <w:szCs w:val="21"/>
                <w:highlight w:val="none"/>
              </w:rPr>
              <w:t>招标代理单位名称：</w:t>
            </w:r>
            <w:r>
              <w:rPr>
                <w:rFonts w:hint="eastAsia" w:ascii="宋体" w:hAnsi="宋体"/>
                <w:szCs w:val="21"/>
                <w:highlight w:val="none"/>
                <w:lang w:eastAsia="zh-CN"/>
              </w:rPr>
              <w:t>江苏华睿工程咨询有限公司</w:t>
            </w:r>
          </w:p>
          <w:p>
            <w:pPr>
              <w:adjustRightInd w:val="0"/>
              <w:snapToGrid w:val="0"/>
              <w:jc w:val="left"/>
              <w:rPr>
                <w:rFonts w:hint="eastAsia" w:ascii="宋体" w:hAnsi="宋体" w:eastAsia="宋体"/>
                <w:szCs w:val="21"/>
                <w:highlight w:val="none"/>
                <w:lang w:eastAsia="zh-CN"/>
              </w:rPr>
            </w:pPr>
            <w:r>
              <w:rPr>
                <w:rFonts w:hint="eastAsia" w:ascii="宋体" w:hAnsi="宋体"/>
                <w:szCs w:val="21"/>
                <w:highlight w:val="none"/>
              </w:rPr>
              <w:t>地    址：</w:t>
            </w:r>
            <w:r>
              <w:rPr>
                <w:rFonts w:hint="eastAsia"/>
                <w:lang w:eastAsia="zh-CN"/>
              </w:rPr>
              <w:t>南通市崇川区</w:t>
            </w:r>
            <w:r>
              <w:rPr>
                <w:rFonts w:hint="eastAsia" w:ascii="宋体" w:hAnsi="宋体"/>
                <w:szCs w:val="21"/>
                <w:highlight w:val="none"/>
              </w:rPr>
              <w:t>山</w:t>
            </w:r>
            <w:r>
              <w:rPr>
                <w:rFonts w:hint="eastAsia" w:ascii="宋体" w:hAnsi="宋体"/>
                <w:szCs w:val="21"/>
                <w:highlight w:val="none"/>
                <w:lang w:eastAsia="zh-CN"/>
              </w:rPr>
              <w:t>城</w:t>
            </w:r>
            <w:r>
              <w:rPr>
                <w:rFonts w:hint="eastAsia" w:ascii="宋体" w:hAnsi="宋体"/>
                <w:szCs w:val="21"/>
                <w:highlight w:val="none"/>
              </w:rPr>
              <w:t>路129号3号楼202</w:t>
            </w:r>
            <w:r>
              <w:rPr>
                <w:rFonts w:hint="eastAsia" w:ascii="宋体" w:hAnsi="宋体"/>
                <w:szCs w:val="21"/>
                <w:highlight w:val="none"/>
                <w:lang w:eastAsia="zh-CN"/>
              </w:rPr>
              <w:t>室</w:t>
            </w:r>
          </w:p>
          <w:p>
            <w:pPr>
              <w:adjustRightInd w:val="0"/>
              <w:snapToGrid w:val="0"/>
              <w:jc w:val="left"/>
              <w:rPr>
                <w:rFonts w:ascii="宋体" w:hAnsi="宋体"/>
                <w:szCs w:val="21"/>
                <w:highlight w:val="none"/>
              </w:rPr>
            </w:pPr>
            <w:r>
              <w:rPr>
                <w:rFonts w:hint="eastAsia" w:ascii="宋体" w:hAnsi="宋体"/>
                <w:szCs w:val="21"/>
                <w:highlight w:val="none"/>
              </w:rPr>
              <w:t xml:space="preserve">联 系 人：张静炜   </w:t>
            </w:r>
          </w:p>
          <w:p>
            <w:pPr>
              <w:adjustRightInd w:val="0"/>
              <w:snapToGrid w:val="0"/>
              <w:jc w:val="left"/>
              <w:rPr>
                <w:rFonts w:ascii="宋体" w:hAnsi="宋体"/>
                <w:szCs w:val="21"/>
                <w:highlight w:val="none"/>
              </w:rPr>
            </w:pPr>
            <w:r>
              <w:rPr>
                <w:rFonts w:hint="eastAsia" w:ascii="宋体" w:hAnsi="宋体"/>
                <w:szCs w:val="21"/>
                <w:highlight w:val="none"/>
              </w:rPr>
              <w:t>电话：15262758956</w:t>
            </w:r>
            <w:r>
              <w:rPr>
                <w:rFonts w:ascii="宋体" w:hAnsi="宋体"/>
                <w:szCs w:val="21"/>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2" w:hRule="atLeast"/>
          <w:jc w:val="center"/>
        </w:trPr>
        <w:tc>
          <w:tcPr>
            <w:tcW w:w="814" w:type="dxa"/>
            <w:tcBorders>
              <w:left w:val="single" w:color="auto" w:sz="4" w:space="0"/>
              <w:right w:val="single" w:color="auto" w:sz="4" w:space="0"/>
            </w:tcBorders>
            <w:vAlign w:val="center"/>
          </w:tcPr>
          <w:p>
            <w:pPr>
              <w:jc w:val="center"/>
              <w:rPr>
                <w:rFonts w:ascii="宋体" w:hAnsi="宋体"/>
                <w:szCs w:val="21"/>
              </w:rPr>
            </w:pPr>
            <w:r>
              <w:rPr>
                <w:rFonts w:ascii="宋体" w:hAnsi="宋体"/>
                <w:szCs w:val="21"/>
              </w:rPr>
              <w:t>24</w:t>
            </w:r>
          </w:p>
        </w:tc>
        <w:tc>
          <w:tcPr>
            <w:tcW w:w="8647" w:type="dxa"/>
            <w:gridSpan w:val="3"/>
            <w:tcBorders>
              <w:left w:val="single" w:color="auto" w:sz="4" w:space="0"/>
              <w:right w:val="single" w:color="auto" w:sz="4" w:space="0"/>
            </w:tcBorders>
            <w:vAlign w:val="center"/>
          </w:tcPr>
          <w:p>
            <w:pPr>
              <w:spacing w:line="360" w:lineRule="auto"/>
              <w:rPr>
                <w:rFonts w:ascii="宋体" w:hAnsi="宋体"/>
                <w:szCs w:val="21"/>
              </w:rPr>
            </w:pPr>
            <w:r>
              <w:rPr>
                <w:rFonts w:ascii="宋体" w:hAnsi="宋体"/>
                <w:b/>
                <w:szCs w:val="21"/>
              </w:rPr>
              <w:t>其他要求</w:t>
            </w:r>
            <w:r>
              <w:rPr>
                <w:rFonts w:ascii="宋体" w:hAnsi="宋体"/>
                <w:szCs w:val="21"/>
              </w:rPr>
              <w:t>：</w:t>
            </w:r>
          </w:p>
          <w:p>
            <w:pPr>
              <w:spacing w:line="360" w:lineRule="auto"/>
              <w:jc w:val="left"/>
              <w:rPr>
                <w:rFonts w:ascii="宋体" w:hAnsi="宋体"/>
                <w:b/>
                <w:szCs w:val="21"/>
              </w:rPr>
            </w:pPr>
            <w:r>
              <w:rPr>
                <w:rFonts w:ascii="宋体" w:hAnsi="宋体"/>
                <w:b/>
                <w:bCs/>
                <w:szCs w:val="21"/>
              </w:rPr>
              <w:t>因本工程采用纸质+电子投标文件投标的方式，故</w:t>
            </w:r>
            <w:r>
              <w:rPr>
                <w:rFonts w:ascii="宋体" w:hAnsi="宋体"/>
                <w:b/>
                <w:szCs w:val="21"/>
              </w:rPr>
              <w:t>招标人特别说明如下：</w:t>
            </w:r>
          </w:p>
          <w:p>
            <w:pPr>
              <w:spacing w:line="360" w:lineRule="auto"/>
              <w:ind w:firstLine="413" w:firstLineChars="196"/>
              <w:rPr>
                <w:rFonts w:ascii="宋体" w:hAnsi="宋体"/>
                <w:b/>
                <w:szCs w:val="21"/>
              </w:rPr>
            </w:pPr>
            <w:r>
              <w:rPr>
                <w:rFonts w:ascii="宋体" w:hAnsi="宋体"/>
                <w:b/>
                <w:bCs/>
                <w:szCs w:val="21"/>
              </w:rPr>
              <w:t>1</w:t>
            </w:r>
            <w:r>
              <w:rPr>
                <w:rFonts w:hint="eastAsia" w:ascii="宋体" w:hAnsi="宋体"/>
                <w:b/>
                <w:bCs/>
                <w:szCs w:val="21"/>
              </w:rPr>
              <w:t>.</w:t>
            </w:r>
            <w:r>
              <w:rPr>
                <w:rFonts w:ascii="宋体" w:hAnsi="宋体"/>
                <w:b/>
                <w:bCs/>
                <w:szCs w:val="21"/>
              </w:rPr>
              <w:t>本工程采用软件清标方式评标，</w:t>
            </w:r>
            <w:r>
              <w:rPr>
                <w:rFonts w:ascii="宋体" w:hAnsi="宋体"/>
                <w:b/>
                <w:szCs w:val="21"/>
              </w:rPr>
              <w:t>投标人必须在按照招标文件的规定提交纸质投标文件的同时，提供电子投标文件。电子投标文件用于商务标评标。投标人应将电子投标文件刻录于普通空白光盘中，与纸质投标文件同时提交。</w:t>
            </w:r>
          </w:p>
          <w:p>
            <w:pPr>
              <w:spacing w:line="360" w:lineRule="auto"/>
              <w:ind w:firstLine="413" w:firstLineChars="196"/>
              <w:rPr>
                <w:rFonts w:ascii="宋体" w:hAnsi="宋体"/>
                <w:b/>
                <w:szCs w:val="21"/>
                <w:u w:val="single"/>
              </w:rPr>
            </w:pPr>
            <w:r>
              <w:rPr>
                <w:rFonts w:ascii="宋体" w:hAnsi="宋体"/>
                <w:b/>
                <w:szCs w:val="21"/>
                <w:u w:val="single"/>
              </w:rPr>
              <w:t>电子投标文件内容及格式要求详见招标文件9.1条款</w:t>
            </w:r>
          </w:p>
          <w:p>
            <w:pPr>
              <w:spacing w:line="360" w:lineRule="auto"/>
              <w:ind w:firstLine="413" w:firstLineChars="196"/>
              <w:rPr>
                <w:rFonts w:ascii="宋体" w:hAnsi="宋体"/>
                <w:b/>
                <w:bCs/>
                <w:szCs w:val="21"/>
              </w:rPr>
            </w:pPr>
            <w:r>
              <w:rPr>
                <w:rFonts w:ascii="宋体" w:hAnsi="宋体"/>
                <w:b/>
                <w:bCs/>
                <w:szCs w:val="21"/>
              </w:rPr>
              <w:t>2</w:t>
            </w:r>
            <w:r>
              <w:rPr>
                <w:rFonts w:hint="eastAsia" w:ascii="宋体" w:hAnsi="宋体"/>
                <w:b/>
                <w:bCs/>
                <w:szCs w:val="21"/>
              </w:rPr>
              <w:t>.</w:t>
            </w:r>
            <w:r>
              <w:rPr>
                <w:rFonts w:ascii="宋体" w:hAnsi="宋体"/>
                <w:b/>
                <w:bCs/>
                <w:szCs w:val="21"/>
              </w:rPr>
              <w:t>投标人递交的电子投标文件将为评标依据，投标人必须保证电子投标文件与纸质投标文件完全一致，并按要求刻录于普通空白光盘中（共刻录两份光盘、</w:t>
            </w:r>
            <w:r>
              <w:rPr>
                <w:rFonts w:ascii="宋体" w:hAnsi="宋体"/>
                <w:b/>
                <w:szCs w:val="21"/>
              </w:rPr>
              <w:t>一份商务标评标使用、一份商务标评标备用</w:t>
            </w:r>
            <w:r>
              <w:rPr>
                <w:rFonts w:ascii="宋体" w:hAnsi="宋体"/>
                <w:b/>
                <w:bCs/>
                <w:szCs w:val="21"/>
              </w:rPr>
              <w:t>）。光盘</w:t>
            </w:r>
            <w:r>
              <w:rPr>
                <w:rFonts w:ascii="宋体" w:hAnsi="宋体"/>
                <w:b/>
                <w:szCs w:val="21"/>
              </w:rPr>
              <w:t>与纸质投标文件同时提交，并单独密封，密封袋</w:t>
            </w:r>
            <w:r>
              <w:rPr>
                <w:rFonts w:ascii="宋体" w:hAnsi="宋体"/>
                <w:b/>
                <w:bCs/>
                <w:spacing w:val="-4"/>
                <w:szCs w:val="21"/>
              </w:rPr>
              <w:t>封套上应写明“项目名称”、“投标人名称”等并加盖投标人单位公章和法定代表人章。</w:t>
            </w:r>
          </w:p>
          <w:p>
            <w:pPr>
              <w:spacing w:line="360" w:lineRule="auto"/>
              <w:ind w:firstLine="413" w:firstLineChars="196"/>
              <w:rPr>
                <w:rFonts w:ascii="宋体" w:hAnsi="宋体"/>
                <w:b/>
                <w:bCs/>
                <w:szCs w:val="21"/>
              </w:rPr>
            </w:pPr>
            <w:r>
              <w:rPr>
                <w:rFonts w:ascii="宋体" w:hAnsi="宋体"/>
                <w:b/>
                <w:bCs/>
                <w:szCs w:val="21"/>
              </w:rPr>
              <w:t>3</w:t>
            </w:r>
            <w:r>
              <w:rPr>
                <w:rFonts w:hint="eastAsia" w:ascii="宋体" w:hAnsi="宋体"/>
                <w:b/>
                <w:bCs/>
                <w:szCs w:val="21"/>
              </w:rPr>
              <w:t>.</w:t>
            </w:r>
            <w:r>
              <w:rPr>
                <w:rFonts w:ascii="宋体" w:hAnsi="宋体"/>
                <w:b/>
                <w:bCs/>
                <w:szCs w:val="21"/>
              </w:rPr>
              <w:t>投标人投标文件的编制和递交，应依照招标文件的规定进行。如未按招标文件要求编制、递交电子投标文件，将可能导致废标，其后果由投标人自负。</w:t>
            </w:r>
          </w:p>
          <w:p>
            <w:pPr>
              <w:spacing w:line="360" w:lineRule="auto"/>
              <w:ind w:firstLine="413" w:firstLineChars="196"/>
              <w:rPr>
                <w:rFonts w:ascii="宋体" w:hAnsi="宋体"/>
                <w:b/>
                <w:bCs/>
                <w:szCs w:val="21"/>
              </w:rPr>
            </w:pPr>
            <w:r>
              <w:rPr>
                <w:rFonts w:ascii="宋体" w:hAnsi="宋体"/>
                <w:b/>
                <w:bCs/>
                <w:szCs w:val="21"/>
              </w:rPr>
              <w:t>投标人如对电子标书的制作、刻录存有疑问的，请尽早和招标代理公司工作人员联系，他们会提供必要的培训。</w:t>
            </w:r>
          </w:p>
          <w:p>
            <w:pPr>
              <w:spacing w:line="360" w:lineRule="auto"/>
              <w:ind w:firstLine="413" w:firstLineChars="196"/>
              <w:rPr>
                <w:rFonts w:ascii="宋体" w:hAnsi="宋体"/>
                <w:b/>
                <w:bCs/>
                <w:szCs w:val="21"/>
              </w:rPr>
            </w:pPr>
            <w:r>
              <w:rPr>
                <w:rFonts w:ascii="宋体" w:hAnsi="宋体"/>
                <w:b/>
                <w:bCs/>
                <w:szCs w:val="21"/>
              </w:rPr>
              <w:t>4</w:t>
            </w:r>
            <w:r>
              <w:rPr>
                <w:rFonts w:hint="eastAsia" w:ascii="宋体" w:hAnsi="宋体"/>
                <w:b/>
                <w:bCs/>
                <w:szCs w:val="21"/>
              </w:rPr>
              <w:t>.</w:t>
            </w:r>
            <w:r>
              <w:rPr>
                <w:rFonts w:ascii="宋体" w:hAnsi="宋体"/>
                <w:b/>
                <w:bCs/>
                <w:szCs w:val="21"/>
              </w:rPr>
              <w:t>因投标人自身原因致使电子投标文件（正本光盘、备份光盘）现场无法读取的，视为无效投标文件。</w:t>
            </w:r>
          </w:p>
          <w:p>
            <w:pPr>
              <w:rPr>
                <w:rFonts w:ascii="宋体" w:hAnsi="宋体"/>
                <w:b/>
                <w:bCs/>
                <w:szCs w:val="21"/>
              </w:rPr>
            </w:pPr>
            <w:r>
              <w:rPr>
                <w:rFonts w:ascii="宋体" w:hAnsi="宋体"/>
                <w:b/>
                <w:bCs/>
                <w:szCs w:val="21"/>
              </w:rPr>
              <w:t>5</w:t>
            </w:r>
            <w:r>
              <w:rPr>
                <w:rFonts w:hint="eastAsia" w:ascii="宋体" w:hAnsi="宋体"/>
                <w:b/>
                <w:bCs/>
                <w:szCs w:val="21"/>
              </w:rPr>
              <w:t>.</w:t>
            </w:r>
            <w:r>
              <w:rPr>
                <w:rFonts w:ascii="宋体" w:hAnsi="宋体"/>
                <w:b/>
                <w:bCs/>
                <w:szCs w:val="21"/>
              </w:rPr>
              <w:t>若因清标软件发生重大故障导致电子评标工作无法进行，将启动专家评委人工纸质评标。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2" w:hRule="atLeast"/>
          <w:jc w:val="center"/>
        </w:trPr>
        <w:tc>
          <w:tcPr>
            <w:tcW w:w="814" w:type="dxa"/>
            <w:tcBorders>
              <w:left w:val="single" w:color="auto" w:sz="4" w:space="0"/>
              <w:bottom w:val="single" w:color="auto" w:sz="4" w:space="0"/>
              <w:right w:val="single" w:color="auto" w:sz="4" w:space="0"/>
            </w:tcBorders>
            <w:vAlign w:val="center"/>
          </w:tcPr>
          <w:p>
            <w:pPr>
              <w:jc w:val="center"/>
              <w:rPr>
                <w:rFonts w:ascii="宋体" w:hAnsi="宋体"/>
                <w:szCs w:val="21"/>
              </w:rPr>
            </w:pPr>
            <w:bookmarkStart w:id="15" w:name="_Toc380680180"/>
            <w:bookmarkStart w:id="16" w:name="_Toc380681013"/>
            <w:bookmarkStart w:id="17" w:name="_Toc380680820"/>
            <w:bookmarkStart w:id="18" w:name="_Toc380681232"/>
            <w:r>
              <w:rPr>
                <w:rFonts w:hint="eastAsia" w:ascii="宋体" w:hAnsi="宋体"/>
                <w:szCs w:val="21"/>
              </w:rPr>
              <w:t>25</w:t>
            </w:r>
          </w:p>
        </w:tc>
        <w:tc>
          <w:tcPr>
            <w:tcW w:w="8647" w:type="dxa"/>
            <w:gridSpan w:val="3"/>
            <w:tcBorders>
              <w:left w:val="single" w:color="auto" w:sz="4" w:space="0"/>
              <w:bottom w:val="single" w:color="auto" w:sz="4" w:space="0"/>
              <w:right w:val="single" w:color="auto" w:sz="4" w:space="0"/>
            </w:tcBorders>
            <w:vAlign w:val="center"/>
          </w:tcPr>
          <w:p>
            <w:pPr>
              <w:spacing w:line="360" w:lineRule="auto"/>
              <w:ind w:firstLine="413" w:firstLineChars="196"/>
              <w:rPr>
                <w:rFonts w:ascii="宋体" w:hAnsi="宋体"/>
                <w:b/>
                <w:bCs/>
                <w:szCs w:val="21"/>
              </w:rPr>
            </w:pPr>
            <w:r>
              <w:rPr>
                <w:rFonts w:hint="eastAsia" w:ascii="宋体" w:hAnsi="宋体"/>
                <w:b/>
                <w:bCs/>
                <w:szCs w:val="21"/>
              </w:rPr>
              <w:t>特别提醒：</w:t>
            </w:r>
          </w:p>
          <w:p>
            <w:pPr>
              <w:spacing w:line="360" w:lineRule="auto"/>
              <w:ind w:firstLine="413" w:firstLineChars="196"/>
              <w:rPr>
                <w:rFonts w:ascii="宋体" w:hAnsi="宋体"/>
                <w:b/>
                <w:bCs/>
                <w:szCs w:val="21"/>
              </w:rPr>
            </w:pPr>
            <w:r>
              <w:rPr>
                <w:rFonts w:hint="eastAsia" w:ascii="宋体" w:hAnsi="宋体"/>
                <w:b/>
                <w:bCs/>
                <w:szCs w:val="21"/>
              </w:rPr>
              <w:t>根据《省住房城乡建设厅关于开展建筑业企业资质动态监管工作的公告》要求：资质核查结果为不合格的企业，通过省建筑业监管信息平台2.0自动推送到省建筑市场监管与诚信信息一体化平台，供公开查询；企业即时被锁定并进入整改期，自锁定之日起，不能参加招投标、合同备案等相关活动（仅对企业某项被核查为不达标的资质进行限制）。</w:t>
            </w:r>
          </w:p>
          <w:p>
            <w:pPr>
              <w:spacing w:line="360" w:lineRule="auto"/>
              <w:ind w:firstLine="413" w:firstLineChars="196"/>
              <w:rPr>
                <w:rFonts w:ascii="宋体" w:hAnsi="宋体"/>
                <w:b/>
                <w:bCs/>
                <w:szCs w:val="21"/>
              </w:rPr>
            </w:pPr>
            <w:r>
              <w:rPr>
                <w:rFonts w:hint="eastAsia" w:ascii="宋体" w:hAnsi="宋体"/>
                <w:b/>
                <w:bCs/>
                <w:szCs w:val="21"/>
              </w:rPr>
              <w:t>请各潜在投标人引起重视，公告发布之日起自行查询，及时整改，对于在中标通知书发出之前经查实存在投标资质不达标的企业,崇川区行政审批局将取消其中标资格,并进行相关处罚。</w:t>
            </w:r>
          </w:p>
          <w:p>
            <w:pPr>
              <w:spacing w:line="360" w:lineRule="auto"/>
              <w:ind w:firstLine="413" w:firstLineChars="196"/>
              <w:rPr>
                <w:rFonts w:ascii="宋体" w:hAnsi="宋体"/>
                <w:b/>
                <w:bCs/>
                <w:szCs w:val="21"/>
              </w:rPr>
            </w:pPr>
            <w:r>
              <w:rPr>
                <w:rFonts w:hint="eastAsia" w:ascii="宋体" w:hAnsi="宋体"/>
                <w:b/>
                <w:bCs/>
                <w:szCs w:val="21"/>
              </w:rPr>
              <w:t>查询方式：登陆江苏省建筑市场监管与诚信信息一体化平台</w:t>
            </w:r>
          </w:p>
          <w:p>
            <w:pPr>
              <w:rPr>
                <w:rFonts w:ascii="宋体" w:hAnsi="宋体"/>
                <w:b/>
                <w:bCs/>
                <w:szCs w:val="21"/>
              </w:rPr>
            </w:pPr>
            <w:r>
              <w:rPr>
                <w:rFonts w:hint="eastAsia" w:ascii="宋体" w:hAnsi="宋体"/>
                <w:b/>
                <w:bCs/>
                <w:szCs w:val="21"/>
              </w:rPr>
              <w:t>（http://58.213.147.230:7001/Jsjzyxyglpt/faces/public/default.jsp）-企业信息-建筑业企业-动态监管不合格资质查询。</w:t>
            </w:r>
          </w:p>
        </w:tc>
      </w:tr>
    </w:tbl>
    <w:p>
      <w:pPr>
        <w:pStyle w:val="5"/>
        <w:rPr>
          <w:rFonts w:ascii="Times New Roman" w:hAnsi="宋体" w:eastAsia="宋体"/>
          <w:sz w:val="30"/>
        </w:rPr>
      </w:pPr>
    </w:p>
    <w:p>
      <w:pPr>
        <w:widowControl/>
        <w:jc w:val="left"/>
        <w:rPr>
          <w:rFonts w:hAnsi="宋体"/>
          <w:b/>
          <w:bCs/>
          <w:sz w:val="30"/>
          <w:szCs w:val="32"/>
        </w:rPr>
      </w:pPr>
      <w:r>
        <w:rPr>
          <w:rFonts w:hAnsi="宋体"/>
          <w:sz w:val="30"/>
        </w:rPr>
        <w:br w:type="page"/>
      </w:r>
    </w:p>
    <w:p>
      <w:pPr>
        <w:pStyle w:val="5"/>
        <w:jc w:val="center"/>
        <w:rPr>
          <w:rFonts w:ascii="Times New Roman" w:hAnsi="Times New Roman" w:eastAsia="宋体"/>
          <w:sz w:val="30"/>
        </w:rPr>
      </w:pPr>
      <w:r>
        <w:rPr>
          <w:rFonts w:ascii="Times New Roman" w:hAnsi="宋体" w:eastAsia="宋体"/>
          <w:sz w:val="30"/>
        </w:rPr>
        <w:t>二、投标须知</w:t>
      </w:r>
      <w:bookmarkEnd w:id="15"/>
      <w:bookmarkEnd w:id="16"/>
      <w:bookmarkEnd w:id="17"/>
      <w:bookmarkEnd w:id="18"/>
    </w:p>
    <w:p>
      <w:pPr>
        <w:pStyle w:val="5"/>
        <w:jc w:val="center"/>
        <w:rPr>
          <w:rFonts w:ascii="Times New Roman" w:hAnsi="Times New Roman" w:eastAsia="宋体"/>
          <w:sz w:val="24"/>
          <w:szCs w:val="24"/>
        </w:rPr>
      </w:pPr>
      <w:bookmarkStart w:id="19" w:name="_Toc380681014"/>
      <w:bookmarkStart w:id="20" w:name="_Toc380680821"/>
      <w:bookmarkStart w:id="21" w:name="_Toc380680181"/>
      <w:bookmarkStart w:id="22" w:name="_Toc286661158"/>
      <w:bookmarkStart w:id="23" w:name="_Toc380681233"/>
      <w:r>
        <w:rPr>
          <w:rFonts w:ascii="Times New Roman" w:hAnsi="宋体" w:eastAsia="宋体"/>
          <w:sz w:val="24"/>
          <w:szCs w:val="24"/>
        </w:rPr>
        <w:t>（一）总则</w:t>
      </w:r>
      <w:bookmarkEnd w:id="19"/>
      <w:bookmarkEnd w:id="20"/>
      <w:bookmarkEnd w:id="21"/>
      <w:bookmarkEnd w:id="22"/>
      <w:bookmarkEnd w:id="23"/>
    </w:p>
    <w:p>
      <w:pPr>
        <w:autoSpaceDE w:val="0"/>
        <w:autoSpaceDN w:val="0"/>
        <w:adjustRightInd w:val="0"/>
        <w:spacing w:line="420" w:lineRule="exact"/>
        <w:ind w:left="500"/>
        <w:jc w:val="left"/>
        <w:rPr>
          <w:b/>
          <w:kern w:val="0"/>
          <w:szCs w:val="21"/>
        </w:rPr>
      </w:pPr>
      <w:r>
        <w:rPr>
          <w:b/>
          <w:kern w:val="0"/>
          <w:szCs w:val="21"/>
        </w:rPr>
        <w:t>1.</w:t>
      </w:r>
      <w:r>
        <w:rPr>
          <w:rFonts w:hAnsi="宋体"/>
          <w:b/>
          <w:kern w:val="0"/>
          <w:szCs w:val="21"/>
        </w:rPr>
        <w:t>工程概况</w:t>
      </w:r>
    </w:p>
    <w:p>
      <w:pPr>
        <w:spacing w:line="420" w:lineRule="exact"/>
        <w:ind w:firstLine="420" w:firstLineChars="200"/>
        <w:rPr>
          <w:szCs w:val="21"/>
        </w:rPr>
      </w:pPr>
      <w:r>
        <w:rPr>
          <w:szCs w:val="21"/>
        </w:rPr>
        <w:t>1.1</w:t>
      </w:r>
      <w:r>
        <w:rPr>
          <w:rFonts w:hAnsi="宋体"/>
          <w:szCs w:val="21"/>
        </w:rPr>
        <w:t>本招标工程项目说明详见本须知前附表第</w:t>
      </w:r>
      <w:r>
        <w:rPr>
          <w:szCs w:val="21"/>
        </w:rPr>
        <w:t>1</w:t>
      </w:r>
      <w:r>
        <w:rPr>
          <w:rFonts w:hAnsi="宋体"/>
          <w:szCs w:val="21"/>
        </w:rPr>
        <w:t>项～第</w:t>
      </w:r>
      <w:r>
        <w:rPr>
          <w:szCs w:val="21"/>
        </w:rPr>
        <w:t>7</w:t>
      </w:r>
      <w:r>
        <w:rPr>
          <w:rFonts w:hAnsi="宋体"/>
          <w:szCs w:val="21"/>
        </w:rPr>
        <w:t>项。</w:t>
      </w:r>
    </w:p>
    <w:p>
      <w:pPr>
        <w:spacing w:line="420" w:lineRule="exact"/>
        <w:ind w:firstLine="420" w:firstLineChars="200"/>
        <w:rPr>
          <w:szCs w:val="21"/>
        </w:rPr>
      </w:pPr>
      <w:r>
        <w:rPr>
          <w:szCs w:val="21"/>
        </w:rPr>
        <w:t>1.2</w:t>
      </w:r>
      <w:r>
        <w:rPr>
          <w:rFonts w:hAnsi="宋体"/>
          <w:szCs w:val="21"/>
        </w:rPr>
        <w:t>招标范围：见本须知前附表第</w:t>
      </w:r>
      <w:r>
        <w:rPr>
          <w:szCs w:val="21"/>
        </w:rPr>
        <w:t>8</w:t>
      </w:r>
      <w:r>
        <w:rPr>
          <w:rFonts w:hAnsi="宋体"/>
          <w:szCs w:val="21"/>
        </w:rPr>
        <w:t>项。</w:t>
      </w:r>
    </w:p>
    <w:p>
      <w:pPr>
        <w:spacing w:line="420" w:lineRule="exact"/>
        <w:ind w:firstLine="420" w:firstLineChars="200"/>
        <w:rPr>
          <w:szCs w:val="21"/>
        </w:rPr>
      </w:pPr>
      <w:r>
        <w:rPr>
          <w:szCs w:val="21"/>
        </w:rPr>
        <w:t>1.3</w:t>
      </w:r>
      <w:r>
        <w:rPr>
          <w:rFonts w:hAnsi="宋体"/>
          <w:szCs w:val="21"/>
        </w:rPr>
        <w:t>现场条件：</w:t>
      </w:r>
    </w:p>
    <w:p>
      <w:pPr>
        <w:spacing w:line="420" w:lineRule="exact"/>
        <w:rPr>
          <w:szCs w:val="21"/>
        </w:rPr>
      </w:pPr>
      <w:r>
        <w:rPr>
          <w:szCs w:val="21"/>
        </w:rPr>
        <w:t xml:space="preserve">    (1)</w:t>
      </w:r>
      <w:r>
        <w:rPr>
          <w:rFonts w:hAnsi="宋体"/>
          <w:szCs w:val="21"/>
        </w:rPr>
        <w:t>施工现场拆迁及平整情况：</w:t>
      </w:r>
      <w:r>
        <w:rPr>
          <w:rFonts w:hint="eastAsia" w:ascii="宋体" w:hAnsi="宋体" w:cs="宋体"/>
          <w:b/>
          <w:color w:val="000000"/>
          <w:szCs w:val="21"/>
          <w:u w:val="single"/>
        </w:rPr>
        <w:t>以施工场地的现状为准。招标人提供的现状场地，中标人必须无条件接受。各投标人根据踏勘现场的情况自行制定相应措施，所发生的费用由各投标人自行考虑，并列入投标报价，工程结算时不作调整</w:t>
      </w:r>
      <w:r>
        <w:rPr>
          <w:rFonts w:hAnsi="宋体"/>
          <w:bCs/>
          <w:snapToGrid w:val="0"/>
          <w:kern w:val="0"/>
          <w:szCs w:val="21"/>
          <w:u w:val="single"/>
        </w:rPr>
        <w:t>。</w:t>
      </w:r>
    </w:p>
    <w:p>
      <w:pPr>
        <w:spacing w:line="420" w:lineRule="exact"/>
        <w:ind w:firstLine="420" w:firstLineChars="200"/>
        <w:rPr>
          <w:szCs w:val="21"/>
        </w:rPr>
      </w:pPr>
      <w:r>
        <w:rPr>
          <w:szCs w:val="21"/>
        </w:rPr>
        <w:t>(2)施工用水、电</w:t>
      </w:r>
      <w:r>
        <w:rPr>
          <w:rFonts w:hint="eastAsia" w:ascii="宋体" w:hAnsi="宋体" w:cs="宋体"/>
          <w:color w:val="000000"/>
          <w:szCs w:val="21"/>
        </w:rPr>
        <w:t>、通信线路</w:t>
      </w:r>
      <w:r>
        <w:rPr>
          <w:rFonts w:hint="eastAsia" w:ascii="宋体" w:hAnsi="宋体" w:cs="宋体"/>
          <w:color w:val="000000" w:themeColor="text1"/>
          <w:szCs w:val="21"/>
          <w14:textFill>
            <w14:solidFill>
              <w14:schemeClr w14:val="tx1"/>
            </w14:solidFill>
          </w14:textFill>
        </w:rPr>
        <w:t>：</w:t>
      </w:r>
      <w:r>
        <w:rPr>
          <w:rFonts w:hint="eastAsia" w:ascii="宋体" w:hAnsi="宋体" w:cs="宋体"/>
          <w:b/>
          <w:color w:val="000000" w:themeColor="text1"/>
          <w:szCs w:val="21"/>
          <w:u w:val="single"/>
          <w14:textFill>
            <w14:solidFill>
              <w14:schemeClr w14:val="tx1"/>
            </w14:solidFill>
          </w14:textFill>
        </w:rPr>
        <w:t>由承包人自行解决，费用已包含在总价措施项目中，竣工结算时不再另行计量与支付（供配电设备、相应临建、临时用电申请等均由承包人自行解决，招标人予以配合，费用包含在投标总价内）</w:t>
      </w:r>
      <w:r>
        <w:rPr>
          <w:szCs w:val="21"/>
        </w:rPr>
        <w:t>。</w:t>
      </w:r>
    </w:p>
    <w:p>
      <w:pPr>
        <w:spacing w:line="420" w:lineRule="exact"/>
        <w:ind w:firstLine="420" w:firstLineChars="200"/>
        <w:rPr>
          <w:szCs w:val="21"/>
          <w:u w:val="single"/>
        </w:rPr>
      </w:pPr>
      <w:r>
        <w:rPr>
          <w:szCs w:val="21"/>
        </w:rPr>
        <w:t>(3)场内外道路：</w:t>
      </w:r>
      <w:r>
        <w:rPr>
          <w:rFonts w:hint="eastAsia" w:ascii="宋体" w:hAnsi="宋体" w:cs="宋体"/>
          <w:b/>
          <w:color w:val="000000"/>
          <w:szCs w:val="21"/>
          <w:u w:val="single"/>
        </w:rPr>
        <w:t>场内、外道路</w:t>
      </w:r>
      <w:r>
        <w:rPr>
          <w:rFonts w:hint="eastAsia" w:ascii="宋体" w:hAnsi="宋体"/>
          <w:b/>
          <w:color w:val="000000"/>
          <w:szCs w:val="21"/>
          <w:u w:val="single"/>
        </w:rPr>
        <w:t>以施工场地的现状为准。</w:t>
      </w:r>
      <w:r>
        <w:rPr>
          <w:rFonts w:hint="eastAsia" w:ascii="宋体" w:hAnsi="宋体" w:cs="宋体"/>
          <w:b/>
          <w:color w:val="000000"/>
          <w:szCs w:val="21"/>
          <w:u w:val="single"/>
        </w:rPr>
        <w:t>施工便道由投标人自行考虑，并列入投标报价，工程结算时不作调整</w:t>
      </w:r>
      <w:r>
        <w:rPr>
          <w:szCs w:val="21"/>
          <w:u w:val="single"/>
        </w:rPr>
        <w:t>。</w:t>
      </w:r>
    </w:p>
    <w:p>
      <w:pPr>
        <w:spacing w:line="420" w:lineRule="exact"/>
        <w:ind w:firstLine="420" w:firstLineChars="200"/>
        <w:rPr>
          <w:rFonts w:hAnsi="宋体"/>
          <w:bCs/>
          <w:szCs w:val="21"/>
        </w:rPr>
      </w:pPr>
      <w:r>
        <w:rPr>
          <w:szCs w:val="21"/>
        </w:rPr>
        <w:t>(4)</w:t>
      </w:r>
      <w:r>
        <w:rPr>
          <w:rFonts w:hAnsi="宋体"/>
          <w:szCs w:val="21"/>
        </w:rPr>
        <w:t>其他：</w:t>
      </w:r>
      <w:r>
        <w:rPr>
          <w:rFonts w:hAnsi="宋体"/>
          <w:bCs/>
          <w:spacing w:val="-6"/>
          <w:szCs w:val="21"/>
          <w:u w:val="single"/>
        </w:rPr>
        <w:t>投标人应认真对现场环境进行踏勘，对施工现场情况和影响施工的因素以及困难条件进行周密的勘察和研究，作出自己的判断结论和估价。中标后和签订合同时及施工过程中，投标人均不得以不了解现场情况为由，提出任何形式增加工程造价的要求，施工时因场地问题引起的成本费用增加，均由投标人自行承担，结算时不予调整</w:t>
      </w:r>
      <w:r>
        <w:rPr>
          <w:rFonts w:hAnsi="宋体"/>
          <w:bCs/>
          <w:szCs w:val="21"/>
        </w:rPr>
        <w:t>。</w:t>
      </w:r>
    </w:p>
    <w:p>
      <w:pPr>
        <w:spacing w:line="420" w:lineRule="exact"/>
        <w:ind w:firstLine="422" w:firstLineChars="200"/>
        <w:rPr>
          <w:rFonts w:hAnsi="宋体"/>
          <w:szCs w:val="21"/>
        </w:rPr>
      </w:pPr>
      <w:r>
        <w:rPr>
          <w:b/>
          <w:bCs/>
          <w:color w:val="FF0000"/>
          <w:szCs w:val="21"/>
        </w:rPr>
        <w:t>(</w:t>
      </w:r>
      <w:r>
        <w:rPr>
          <w:rFonts w:hint="eastAsia"/>
          <w:b/>
          <w:bCs/>
          <w:color w:val="FF0000"/>
          <w:szCs w:val="21"/>
        </w:rPr>
        <w:t>5</w:t>
      </w:r>
      <w:r>
        <w:rPr>
          <w:b/>
          <w:bCs/>
          <w:color w:val="FF0000"/>
          <w:szCs w:val="21"/>
        </w:rPr>
        <w:t>)</w:t>
      </w:r>
      <w:r>
        <w:rPr>
          <w:rFonts w:hint="eastAsia"/>
          <w:b/>
          <w:bCs/>
          <w:color w:val="FF0000"/>
        </w:rPr>
        <w:t>本项目为</w:t>
      </w:r>
      <w:r>
        <w:rPr>
          <w:rFonts w:hint="eastAsia"/>
          <w:b/>
          <w:bCs/>
          <w:color w:val="FF0000"/>
          <w:lang w:eastAsia="zh-CN"/>
        </w:rPr>
        <w:t>商业用房</w:t>
      </w:r>
      <w:r>
        <w:rPr>
          <w:rFonts w:hint="eastAsia"/>
          <w:b/>
          <w:bCs/>
          <w:color w:val="FF0000"/>
        </w:rPr>
        <w:t>消防维修改造工程，现场情况复杂，协调事宜较多，请各投标人慎重考虑投标风险，自行踏勘现场，谨慎报价。中标后必须无条件服从招标人的各项安排，如若不能按相关要求执行，视情况处以违约金处罚，直至退场。</w:t>
      </w:r>
    </w:p>
    <w:p>
      <w:pPr>
        <w:widowControl/>
        <w:tabs>
          <w:tab w:val="left" w:pos="0"/>
          <w:tab w:val="left" w:pos="993"/>
          <w:tab w:val="left" w:pos="1134"/>
        </w:tabs>
        <w:adjustRightInd w:val="0"/>
        <w:snapToGrid w:val="0"/>
        <w:spacing w:before="50" w:line="420" w:lineRule="exact"/>
        <w:ind w:firstLine="420" w:firstLineChars="200"/>
        <w:jc w:val="left"/>
        <w:rPr>
          <w:bCs/>
          <w:snapToGrid w:val="0"/>
          <w:kern w:val="0"/>
          <w:szCs w:val="21"/>
          <w:u w:val="single"/>
        </w:rPr>
      </w:pPr>
      <w:r>
        <w:rPr>
          <w:rFonts w:hAnsi="宋体"/>
          <w:szCs w:val="21"/>
          <w:u w:val="single"/>
        </w:rPr>
        <w:t>中标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结算时不作调整，并无条件接受发包单位、监理单位的协调、管理。投标人务必自行认真踏勘现场条件，如若对现场施工条件有疑问，请在提交疑问截止时间之</w:t>
      </w:r>
      <w:r>
        <w:rPr>
          <w:rFonts w:hAnsi="宋体"/>
          <w:bCs/>
          <w:szCs w:val="21"/>
          <w:u w:val="single"/>
        </w:rPr>
        <w:t>前</w:t>
      </w:r>
      <w:r>
        <w:rPr>
          <w:rFonts w:hAnsi="宋体"/>
          <w:szCs w:val="21"/>
          <w:u w:val="single"/>
        </w:rPr>
        <w:t>提出，否则视同认可。一旦中标不得对现场条件提出额外要求，且不得要求增加费用。</w:t>
      </w:r>
    </w:p>
    <w:p>
      <w:pPr>
        <w:spacing w:line="360" w:lineRule="auto"/>
        <w:ind w:firstLine="420" w:firstLineChars="200"/>
        <w:rPr>
          <w:rFonts w:hAnsi="宋体"/>
          <w:kern w:val="0"/>
          <w:szCs w:val="21"/>
        </w:rPr>
      </w:pPr>
      <w:r>
        <w:rPr>
          <w:rFonts w:hAnsi="宋体"/>
          <w:kern w:val="0"/>
          <w:szCs w:val="21"/>
        </w:rPr>
        <w:t>1.4承包方式说明：</w:t>
      </w:r>
    </w:p>
    <w:p>
      <w:pPr>
        <w:spacing w:line="360" w:lineRule="auto"/>
        <w:ind w:firstLine="420" w:firstLineChars="200"/>
        <w:rPr>
          <w:rFonts w:hAnsi="宋体"/>
          <w:kern w:val="0"/>
          <w:szCs w:val="21"/>
        </w:rPr>
      </w:pPr>
      <w:r>
        <w:rPr>
          <w:rFonts w:hAnsi="宋体"/>
          <w:kern w:val="0"/>
          <w:szCs w:val="21"/>
        </w:rPr>
        <w:t>工程发包范围内的包工、包料（发包人供应或发包人另行发包的除外）、包质量、包工期、包安全、包文明、包成品养护、包风险等。</w:t>
      </w:r>
    </w:p>
    <w:p>
      <w:pPr>
        <w:spacing w:line="360" w:lineRule="auto"/>
        <w:ind w:firstLine="420" w:firstLineChars="200"/>
        <w:rPr>
          <w:rFonts w:hAnsi="宋体"/>
          <w:kern w:val="0"/>
          <w:szCs w:val="21"/>
        </w:rPr>
      </w:pPr>
      <w:r>
        <w:rPr>
          <w:rFonts w:hAnsi="宋体"/>
          <w:kern w:val="0"/>
          <w:szCs w:val="21"/>
        </w:rPr>
        <w:t>1.5按照《中华人民共和国招标投标法》、《工程建设项目施工招标投标办法》及相关规定，上述工程已符合招标条件，现采用</w:t>
      </w:r>
      <w:r>
        <w:rPr>
          <w:rFonts w:hAnsi="宋体"/>
          <w:b/>
          <w:bCs/>
          <w:kern w:val="0"/>
          <w:szCs w:val="21"/>
        </w:rPr>
        <w:t>公开招标、资格后审</w:t>
      </w:r>
      <w:r>
        <w:rPr>
          <w:rFonts w:hAnsi="宋体"/>
          <w:kern w:val="0"/>
          <w:szCs w:val="21"/>
        </w:rPr>
        <w:t>招标方式，择优选定施工单位。</w:t>
      </w:r>
    </w:p>
    <w:p>
      <w:pPr>
        <w:spacing w:line="360" w:lineRule="auto"/>
        <w:ind w:firstLine="422" w:firstLineChars="200"/>
        <w:rPr>
          <w:rFonts w:hAnsi="宋体"/>
          <w:b/>
          <w:bCs/>
          <w:kern w:val="0"/>
          <w:szCs w:val="21"/>
        </w:rPr>
      </w:pPr>
      <w:bookmarkStart w:id="24" w:name="_Toc286661161"/>
      <w:r>
        <w:rPr>
          <w:rFonts w:hAnsi="宋体"/>
          <w:b/>
          <w:bCs/>
          <w:kern w:val="0"/>
          <w:szCs w:val="21"/>
        </w:rPr>
        <w:t>2.投标人资格要求</w:t>
      </w:r>
    </w:p>
    <w:p>
      <w:pPr>
        <w:spacing w:line="360" w:lineRule="auto"/>
        <w:ind w:firstLine="420" w:firstLineChars="200"/>
        <w:rPr>
          <w:rFonts w:hAnsi="宋体"/>
          <w:kern w:val="0"/>
          <w:szCs w:val="21"/>
        </w:rPr>
      </w:pPr>
      <w:r>
        <w:rPr>
          <w:rFonts w:hAnsi="宋体"/>
          <w:kern w:val="0"/>
          <w:szCs w:val="21"/>
        </w:rPr>
        <w:t>2.1投标人应具备承担本工程施工的资质条件、能力和信誉：</w:t>
      </w:r>
    </w:p>
    <w:p>
      <w:pPr>
        <w:spacing w:line="360" w:lineRule="auto"/>
        <w:ind w:firstLine="420" w:firstLineChars="200"/>
        <w:rPr>
          <w:rFonts w:hAnsi="宋体"/>
          <w:kern w:val="0"/>
          <w:szCs w:val="21"/>
          <w:highlight w:val="none"/>
        </w:rPr>
      </w:pPr>
      <w:r>
        <w:rPr>
          <w:rFonts w:hAnsi="宋体"/>
          <w:kern w:val="0"/>
          <w:szCs w:val="21"/>
          <w:highlight w:val="none"/>
        </w:rPr>
        <w:t>（1）企业资质条件：</w:t>
      </w:r>
      <w:r>
        <w:rPr>
          <w:rFonts w:hAnsi="宋体"/>
          <w:kern w:val="0"/>
          <w:szCs w:val="21"/>
          <w:highlight w:val="none"/>
          <w:u w:val="single"/>
        </w:rPr>
        <w:t>具有独立法人资格和</w:t>
      </w:r>
      <w:r>
        <w:rPr>
          <w:rFonts w:hint="eastAsia" w:hAnsi="宋体"/>
          <w:b/>
          <w:bCs/>
          <w:kern w:val="0"/>
          <w:szCs w:val="21"/>
          <w:highlight w:val="none"/>
          <w:u w:val="single"/>
        </w:rPr>
        <w:t>消防设施工程专业承包贰级及以上资质或</w:t>
      </w:r>
      <w:r>
        <w:rPr>
          <w:rFonts w:hint="eastAsia" w:hAnsi="宋体"/>
          <w:b/>
          <w:bCs/>
          <w:kern w:val="0"/>
          <w:szCs w:val="21"/>
          <w:highlight w:val="none"/>
          <w:u w:val="single"/>
          <w:lang w:eastAsia="zh-CN"/>
        </w:rPr>
        <w:t>机电工程施工总承包叁级</w:t>
      </w:r>
      <w:r>
        <w:rPr>
          <w:rFonts w:hAnsi="宋体"/>
          <w:kern w:val="0"/>
          <w:szCs w:val="21"/>
          <w:highlight w:val="none"/>
          <w:u w:val="single"/>
        </w:rPr>
        <w:t>；</w:t>
      </w:r>
    </w:p>
    <w:p>
      <w:pPr>
        <w:spacing w:line="360" w:lineRule="auto"/>
        <w:ind w:firstLine="420" w:firstLineChars="200"/>
        <w:rPr>
          <w:rFonts w:hAnsi="宋体"/>
          <w:kern w:val="0"/>
          <w:szCs w:val="21"/>
          <w:highlight w:val="none"/>
          <w:u w:val="single"/>
        </w:rPr>
      </w:pPr>
      <w:r>
        <w:rPr>
          <w:rFonts w:hAnsi="宋体"/>
          <w:kern w:val="0"/>
          <w:szCs w:val="21"/>
          <w:highlight w:val="none"/>
        </w:rPr>
        <w:t>（2）项目经理（项目负责人）资格：</w:t>
      </w:r>
      <w:r>
        <w:rPr>
          <w:rFonts w:hint="eastAsia" w:hAnsi="宋体"/>
          <w:b/>
          <w:bCs/>
          <w:kern w:val="0"/>
          <w:szCs w:val="21"/>
          <w:highlight w:val="none"/>
          <w:u w:val="single"/>
        </w:rPr>
        <w:t>机电</w:t>
      </w:r>
      <w:r>
        <w:rPr>
          <w:rFonts w:hAnsi="宋体"/>
          <w:b/>
          <w:bCs/>
          <w:kern w:val="0"/>
          <w:szCs w:val="21"/>
          <w:highlight w:val="none"/>
          <w:u w:val="single"/>
        </w:rPr>
        <w:t>工程专业</w:t>
      </w:r>
      <w:r>
        <w:rPr>
          <w:rFonts w:hint="eastAsia" w:hAnsi="宋体"/>
          <w:b/>
          <w:bCs/>
          <w:kern w:val="0"/>
          <w:szCs w:val="21"/>
          <w:highlight w:val="none"/>
          <w:u w:val="single"/>
        </w:rPr>
        <w:t>二</w:t>
      </w:r>
      <w:r>
        <w:rPr>
          <w:rFonts w:hAnsi="宋体"/>
          <w:b/>
          <w:bCs/>
          <w:kern w:val="0"/>
          <w:szCs w:val="21"/>
          <w:highlight w:val="none"/>
          <w:u w:val="single"/>
        </w:rPr>
        <w:t>级或以上注册建造师，并具备安全考核合格证书</w:t>
      </w:r>
      <w:r>
        <w:rPr>
          <w:rFonts w:hint="eastAsia" w:hAnsi="宋体"/>
          <w:b/>
          <w:bCs/>
          <w:kern w:val="0"/>
          <w:szCs w:val="21"/>
          <w:highlight w:val="none"/>
          <w:u w:val="single"/>
        </w:rPr>
        <w:t>(</w:t>
      </w:r>
      <w:r>
        <w:rPr>
          <w:rFonts w:hAnsi="宋体"/>
          <w:b/>
          <w:bCs/>
          <w:kern w:val="0"/>
          <w:szCs w:val="21"/>
          <w:highlight w:val="none"/>
          <w:u w:val="single"/>
        </w:rPr>
        <w:t>B证</w:t>
      </w:r>
      <w:r>
        <w:rPr>
          <w:rFonts w:hint="eastAsia" w:hAnsi="宋体"/>
          <w:b/>
          <w:bCs/>
          <w:kern w:val="0"/>
          <w:szCs w:val="21"/>
          <w:highlight w:val="none"/>
          <w:u w:val="single"/>
        </w:rPr>
        <w:t>)</w:t>
      </w:r>
      <w:r>
        <w:rPr>
          <w:rFonts w:hAnsi="宋体"/>
          <w:kern w:val="0"/>
          <w:szCs w:val="21"/>
          <w:highlight w:val="none"/>
          <w:u w:val="single"/>
        </w:rPr>
        <w:t>；且项目负责人不得为企业法定代表人或企业董事长或总经理。</w:t>
      </w:r>
    </w:p>
    <w:p>
      <w:pPr>
        <w:spacing w:line="360" w:lineRule="auto"/>
        <w:ind w:firstLine="420" w:firstLineChars="200"/>
        <w:rPr>
          <w:rFonts w:hAnsi="宋体"/>
          <w:kern w:val="0"/>
          <w:szCs w:val="21"/>
        </w:rPr>
      </w:pPr>
      <w:r>
        <w:rPr>
          <w:rFonts w:hAnsi="宋体"/>
          <w:kern w:val="0"/>
          <w:szCs w:val="21"/>
        </w:rPr>
        <w:t>（3）</w:t>
      </w:r>
      <w:r>
        <w:rPr>
          <w:rFonts w:hint="eastAsia" w:hAnsi="宋体"/>
          <w:kern w:val="0"/>
          <w:szCs w:val="21"/>
        </w:rPr>
        <w:t>企业具备安全生产条件，并取得安全生产许可证。</w:t>
      </w:r>
    </w:p>
    <w:p>
      <w:pPr>
        <w:spacing w:line="360" w:lineRule="auto"/>
        <w:ind w:firstLine="420" w:firstLineChars="200"/>
        <w:rPr>
          <w:rFonts w:hAnsi="宋体"/>
          <w:kern w:val="0"/>
          <w:szCs w:val="21"/>
        </w:rPr>
      </w:pPr>
      <w:r>
        <w:rPr>
          <w:rFonts w:hAnsi="宋体"/>
          <w:kern w:val="0"/>
          <w:szCs w:val="21"/>
        </w:rPr>
        <w:t>（4）未尽之处具体详见第二章“评标办法”中的“资格审查标准汇总表”。</w:t>
      </w:r>
    </w:p>
    <w:p>
      <w:pPr>
        <w:spacing w:line="360" w:lineRule="auto"/>
        <w:ind w:firstLine="420" w:firstLineChars="200"/>
        <w:rPr>
          <w:rFonts w:hAnsi="宋体"/>
          <w:kern w:val="0"/>
          <w:szCs w:val="21"/>
        </w:rPr>
      </w:pPr>
      <w:r>
        <w:rPr>
          <w:rFonts w:hAnsi="宋体"/>
          <w:kern w:val="0"/>
          <w:szCs w:val="21"/>
        </w:rPr>
        <w:t>（5）本工程不接受联合体方式的投标。</w:t>
      </w:r>
    </w:p>
    <w:p>
      <w:pPr>
        <w:spacing w:line="360" w:lineRule="auto"/>
        <w:ind w:firstLine="422" w:firstLineChars="200"/>
        <w:rPr>
          <w:rFonts w:hAnsi="宋体"/>
          <w:b/>
          <w:bCs/>
          <w:kern w:val="0"/>
          <w:szCs w:val="21"/>
        </w:rPr>
      </w:pPr>
      <w:r>
        <w:rPr>
          <w:rFonts w:hAnsi="宋体"/>
          <w:b/>
          <w:bCs/>
          <w:kern w:val="0"/>
          <w:szCs w:val="21"/>
        </w:rPr>
        <w:t>3.投标费用</w:t>
      </w:r>
    </w:p>
    <w:p>
      <w:pPr>
        <w:spacing w:line="360" w:lineRule="auto"/>
        <w:ind w:firstLine="420" w:firstLineChars="200"/>
        <w:rPr>
          <w:rFonts w:hAnsi="宋体"/>
          <w:kern w:val="0"/>
          <w:szCs w:val="21"/>
        </w:rPr>
      </w:pPr>
      <w:r>
        <w:rPr>
          <w:rFonts w:hAnsi="宋体"/>
          <w:kern w:val="0"/>
          <w:szCs w:val="21"/>
        </w:rPr>
        <w:t>3.1投标人在提交投标文件的同时提交300元（现金）招标文件相关费用，无论是否中标，该费用不予退还。</w:t>
      </w:r>
    </w:p>
    <w:p>
      <w:pPr>
        <w:spacing w:line="360" w:lineRule="auto"/>
        <w:ind w:firstLine="420" w:firstLineChars="200"/>
        <w:rPr>
          <w:rFonts w:hint="default" w:hAnsi="宋体" w:eastAsia="宋体"/>
          <w:kern w:val="0"/>
          <w:szCs w:val="21"/>
          <w:lang w:val="en-US" w:eastAsia="zh-CN"/>
        </w:rPr>
      </w:pPr>
      <w:r>
        <w:rPr>
          <w:rFonts w:hAnsi="宋体"/>
          <w:kern w:val="0"/>
          <w:szCs w:val="21"/>
        </w:rPr>
        <w:t>3.2投标人应承担其编制投标文件以及递交投标文件所涉及的一切费用。无论投标结果如何，招标人对上述费用不负任何责任。</w:t>
      </w:r>
      <w:r>
        <w:rPr>
          <w:rFonts w:hint="eastAsia" w:hAnsi="宋体"/>
          <w:kern w:val="0"/>
          <w:szCs w:val="21"/>
          <w:lang w:val="en-US" w:eastAsia="zh-CN"/>
        </w:rPr>
        <w:t>中标单位需支付本次招标的专家评审费。</w:t>
      </w:r>
    </w:p>
    <w:p>
      <w:pPr>
        <w:spacing w:line="360" w:lineRule="auto"/>
        <w:ind w:firstLine="420" w:firstLineChars="200"/>
        <w:rPr>
          <w:rFonts w:hAnsi="宋体"/>
          <w:kern w:val="0"/>
          <w:szCs w:val="21"/>
        </w:rPr>
      </w:pPr>
      <w:r>
        <w:rPr>
          <w:rFonts w:hAnsi="宋体"/>
          <w:kern w:val="0"/>
          <w:szCs w:val="21"/>
        </w:rPr>
        <w:t>4、踏勘现场</w:t>
      </w:r>
    </w:p>
    <w:p>
      <w:pPr>
        <w:spacing w:line="360" w:lineRule="auto"/>
        <w:ind w:firstLine="420" w:firstLineChars="200"/>
        <w:rPr>
          <w:rFonts w:hAnsi="宋体"/>
          <w:kern w:val="0"/>
          <w:szCs w:val="21"/>
        </w:rPr>
      </w:pPr>
      <w:r>
        <w:rPr>
          <w:rFonts w:hint="eastAsia" w:hAnsi="宋体"/>
          <w:kern w:val="0"/>
          <w:szCs w:val="21"/>
        </w:rPr>
        <w:t>4</w:t>
      </w:r>
      <w:r>
        <w:rPr>
          <w:rFonts w:hAnsi="宋体"/>
          <w:kern w:val="0"/>
          <w:szCs w:val="21"/>
        </w:rPr>
        <w:t>.1经招标人允许，投标人可为踏勘目的进入招标人的项目现场，但投标人不得因此使招标人承担有关的责任和蒙受损失，投标人应承担踏勘现场的责任和风险。</w:t>
      </w:r>
    </w:p>
    <w:p>
      <w:pPr>
        <w:spacing w:line="360" w:lineRule="auto"/>
        <w:ind w:firstLine="420" w:firstLineChars="200"/>
        <w:rPr>
          <w:rFonts w:hAnsi="宋体"/>
          <w:kern w:val="0"/>
          <w:szCs w:val="21"/>
        </w:rPr>
      </w:pPr>
      <w:r>
        <w:rPr>
          <w:rFonts w:hAnsi="宋体"/>
          <w:kern w:val="0"/>
          <w:szCs w:val="21"/>
        </w:rPr>
        <w:t>4.2投标人自行对工程现场及周围环境进行踏勘，以便投标人获取有关编制投标文件和签署合同所涉及的现场资料。投标人承担踏勘现场发生的一切费用。</w:t>
      </w:r>
    </w:p>
    <w:p>
      <w:pPr>
        <w:spacing w:line="360" w:lineRule="auto"/>
        <w:ind w:firstLine="420" w:firstLineChars="200"/>
        <w:rPr>
          <w:rFonts w:hAnsi="宋体"/>
          <w:kern w:val="0"/>
          <w:szCs w:val="21"/>
        </w:rPr>
      </w:pPr>
      <w:r>
        <w:rPr>
          <w:rFonts w:hint="eastAsia" w:hAnsi="宋体"/>
          <w:kern w:val="0"/>
          <w:szCs w:val="21"/>
        </w:rPr>
        <w:t>4</w:t>
      </w:r>
      <w:r>
        <w:rPr>
          <w:rFonts w:hAnsi="宋体"/>
          <w:kern w:val="0"/>
          <w:szCs w:val="21"/>
        </w:rPr>
        <w:t>.3招标人向投标人提供的有关现场的数据和资料，是招标人现有的能被投标人利用的资料，招标人对投标人作出的任何推论、理解和结论均不负责任。</w:t>
      </w:r>
    </w:p>
    <w:p>
      <w:pPr>
        <w:spacing w:line="360" w:lineRule="auto"/>
        <w:ind w:firstLine="420" w:firstLineChars="200"/>
        <w:rPr>
          <w:rFonts w:hAnsi="宋体"/>
          <w:kern w:val="0"/>
          <w:szCs w:val="21"/>
        </w:rPr>
      </w:pPr>
      <w:r>
        <w:rPr>
          <w:rFonts w:hAnsi="宋体"/>
          <w:kern w:val="0"/>
          <w:szCs w:val="21"/>
        </w:rPr>
        <w:t>4.4投标人应充分考虑标书制作过程中的数据变化因素，检查确认标书内容的正确完整和对招标文件的响应程度。</w:t>
      </w:r>
    </w:p>
    <w:p>
      <w:pPr>
        <w:pStyle w:val="5"/>
        <w:jc w:val="center"/>
        <w:rPr>
          <w:rFonts w:ascii="Times New Roman" w:hAnsi="Times New Roman" w:eastAsia="宋体"/>
          <w:sz w:val="24"/>
          <w:szCs w:val="24"/>
        </w:rPr>
      </w:pPr>
      <w:bookmarkStart w:id="25" w:name="_Toc380681234"/>
      <w:bookmarkStart w:id="26" w:name="_Toc380680822"/>
      <w:bookmarkStart w:id="27" w:name="_Toc380681015"/>
      <w:r>
        <w:rPr>
          <w:rFonts w:ascii="Times New Roman" w:hAnsi="宋体" w:eastAsia="宋体"/>
          <w:sz w:val="24"/>
          <w:szCs w:val="24"/>
        </w:rPr>
        <w:t>（二）招标文件</w:t>
      </w:r>
      <w:bookmarkEnd w:id="25"/>
      <w:bookmarkEnd w:id="26"/>
      <w:bookmarkEnd w:id="27"/>
    </w:p>
    <w:p>
      <w:pPr>
        <w:autoSpaceDE w:val="0"/>
        <w:autoSpaceDN w:val="0"/>
        <w:adjustRightInd w:val="0"/>
        <w:spacing w:line="420" w:lineRule="exact"/>
        <w:ind w:left="500"/>
        <w:jc w:val="left"/>
        <w:rPr>
          <w:b/>
          <w:kern w:val="0"/>
          <w:szCs w:val="21"/>
        </w:rPr>
      </w:pPr>
      <w:r>
        <w:rPr>
          <w:b/>
          <w:kern w:val="0"/>
          <w:szCs w:val="21"/>
        </w:rPr>
        <w:t>5.</w:t>
      </w:r>
      <w:r>
        <w:rPr>
          <w:rFonts w:hAnsi="宋体"/>
          <w:b/>
          <w:kern w:val="0"/>
          <w:szCs w:val="21"/>
        </w:rPr>
        <w:t>招标文件的组成</w:t>
      </w:r>
    </w:p>
    <w:p>
      <w:pPr>
        <w:spacing w:line="420" w:lineRule="exact"/>
        <w:ind w:firstLine="420" w:firstLineChars="200"/>
        <w:rPr>
          <w:szCs w:val="21"/>
        </w:rPr>
      </w:pPr>
      <w:r>
        <w:rPr>
          <w:szCs w:val="21"/>
        </w:rPr>
        <w:t>5.1.</w:t>
      </w:r>
      <w:r>
        <w:rPr>
          <w:rFonts w:hAnsi="宋体"/>
          <w:szCs w:val="21"/>
        </w:rPr>
        <w:t>招标文件包括下列内容：</w:t>
      </w:r>
    </w:p>
    <w:p>
      <w:pPr>
        <w:spacing w:line="420" w:lineRule="exact"/>
        <w:ind w:firstLine="420" w:firstLineChars="200"/>
        <w:rPr>
          <w:szCs w:val="21"/>
        </w:rPr>
      </w:pPr>
      <w:r>
        <w:rPr>
          <w:rFonts w:hAnsi="宋体"/>
          <w:szCs w:val="21"/>
        </w:rPr>
        <w:t>第一章：投标须知</w:t>
      </w:r>
    </w:p>
    <w:p>
      <w:pPr>
        <w:spacing w:line="420" w:lineRule="exact"/>
        <w:ind w:firstLine="480"/>
        <w:rPr>
          <w:szCs w:val="21"/>
        </w:rPr>
      </w:pPr>
      <w:r>
        <w:rPr>
          <w:rFonts w:hAnsi="宋体"/>
          <w:szCs w:val="21"/>
        </w:rPr>
        <w:t>第二章：评标办法</w:t>
      </w:r>
    </w:p>
    <w:p>
      <w:pPr>
        <w:spacing w:line="420" w:lineRule="exact"/>
        <w:ind w:firstLine="480"/>
        <w:rPr>
          <w:szCs w:val="21"/>
        </w:rPr>
      </w:pPr>
      <w:r>
        <w:rPr>
          <w:rFonts w:hAnsi="宋体"/>
          <w:szCs w:val="21"/>
        </w:rPr>
        <w:t>第三章：合同条款</w:t>
      </w:r>
    </w:p>
    <w:p>
      <w:pPr>
        <w:spacing w:line="420" w:lineRule="exact"/>
        <w:ind w:firstLine="480"/>
        <w:rPr>
          <w:szCs w:val="21"/>
        </w:rPr>
      </w:pPr>
      <w:r>
        <w:rPr>
          <w:rFonts w:hAnsi="宋体"/>
          <w:szCs w:val="21"/>
        </w:rPr>
        <w:t>第四章：工程建设标准</w:t>
      </w:r>
    </w:p>
    <w:p>
      <w:pPr>
        <w:spacing w:line="420" w:lineRule="exact"/>
        <w:ind w:firstLine="480"/>
        <w:rPr>
          <w:szCs w:val="21"/>
        </w:rPr>
      </w:pPr>
      <w:r>
        <w:rPr>
          <w:rFonts w:hAnsi="宋体"/>
          <w:szCs w:val="21"/>
        </w:rPr>
        <w:t>第五章：图纸、技术资料及附件</w:t>
      </w:r>
    </w:p>
    <w:p>
      <w:pPr>
        <w:spacing w:line="420" w:lineRule="exact"/>
        <w:ind w:firstLine="480"/>
        <w:rPr>
          <w:szCs w:val="21"/>
        </w:rPr>
      </w:pPr>
      <w:r>
        <w:rPr>
          <w:rFonts w:hAnsi="宋体"/>
          <w:szCs w:val="21"/>
        </w:rPr>
        <w:t>第六章：投标文件格式</w:t>
      </w:r>
    </w:p>
    <w:p>
      <w:pPr>
        <w:spacing w:line="420" w:lineRule="exact"/>
        <w:ind w:firstLine="480"/>
        <w:rPr>
          <w:szCs w:val="21"/>
        </w:rPr>
      </w:pPr>
      <w:r>
        <w:rPr>
          <w:rFonts w:hAnsi="宋体"/>
          <w:szCs w:val="21"/>
        </w:rPr>
        <w:t>第七章：资格审查证明材料</w:t>
      </w:r>
    </w:p>
    <w:p>
      <w:pPr>
        <w:spacing w:line="420" w:lineRule="exact"/>
        <w:ind w:firstLine="480"/>
        <w:rPr>
          <w:szCs w:val="21"/>
        </w:rPr>
      </w:pPr>
      <w:r>
        <w:rPr>
          <w:rFonts w:hAnsi="宋体"/>
          <w:szCs w:val="21"/>
        </w:rPr>
        <w:t>第八章：工程量清单</w:t>
      </w:r>
    </w:p>
    <w:p>
      <w:pPr>
        <w:spacing w:line="420" w:lineRule="exact"/>
        <w:ind w:firstLine="480"/>
        <w:rPr>
          <w:szCs w:val="21"/>
        </w:rPr>
      </w:pPr>
      <w:r>
        <w:rPr>
          <w:szCs w:val="21"/>
        </w:rPr>
        <w:t>5.2</w:t>
      </w:r>
      <w:r>
        <w:rPr>
          <w:rFonts w:hAnsi="宋体"/>
          <w:szCs w:val="21"/>
        </w:rPr>
        <w:t>根据本章第</w:t>
      </w:r>
      <w:r>
        <w:rPr>
          <w:szCs w:val="21"/>
        </w:rPr>
        <w:t>6</w:t>
      </w:r>
      <w:r>
        <w:rPr>
          <w:rFonts w:hAnsi="宋体"/>
          <w:szCs w:val="21"/>
        </w:rPr>
        <w:t>、</w:t>
      </w:r>
      <w:r>
        <w:rPr>
          <w:szCs w:val="21"/>
        </w:rPr>
        <w:t>7</w:t>
      </w:r>
      <w:r>
        <w:rPr>
          <w:rFonts w:hAnsi="宋体"/>
          <w:szCs w:val="21"/>
        </w:rPr>
        <w:t>款对招标文件所作的澄清、修改，构成招标文件的组成部分。投标人在投标截止时间前，应通过将在</w:t>
      </w:r>
      <w:r>
        <w:rPr>
          <w:rFonts w:hint="eastAsia" w:hAnsi="宋体"/>
          <w:szCs w:val="21"/>
        </w:rPr>
        <w:t>南通市崇川区人民政府网（www.chongchuan.gov.cn）</w:t>
      </w:r>
      <w:r>
        <w:rPr>
          <w:rFonts w:ascii="宋体" w:hAnsi="宋体" w:cs="宋体"/>
          <w:szCs w:val="21"/>
        </w:rPr>
        <w:t>-政府采购工程招标板块</w:t>
      </w:r>
      <w:r>
        <w:rPr>
          <w:rFonts w:hint="eastAsia" w:hAnsi="宋体"/>
          <w:szCs w:val="21"/>
        </w:rPr>
        <w:t>。</w:t>
      </w:r>
      <w:r>
        <w:rPr>
          <w:rFonts w:hAnsi="宋体"/>
          <w:szCs w:val="21"/>
        </w:rPr>
        <w:t>随时查阅有关该工程招标文件的澄清、招标文件的修改</w:t>
      </w:r>
      <w:r>
        <w:rPr>
          <w:szCs w:val="21"/>
        </w:rPr>
        <w:t>(</w:t>
      </w:r>
      <w:r>
        <w:rPr>
          <w:rFonts w:hAnsi="宋体"/>
          <w:szCs w:val="21"/>
        </w:rPr>
        <w:t>招标答疑、补遗文件</w:t>
      </w:r>
      <w:r>
        <w:rPr>
          <w:szCs w:val="21"/>
        </w:rPr>
        <w:t>)</w:t>
      </w:r>
      <w:r>
        <w:rPr>
          <w:rFonts w:hAnsi="宋体"/>
          <w:szCs w:val="21"/>
        </w:rPr>
        <w:t>、招标控制价公示等内容。</w:t>
      </w:r>
      <w:r>
        <w:rPr>
          <w:rFonts w:hAnsi="宋体"/>
          <w:b/>
          <w:szCs w:val="21"/>
        </w:rPr>
        <w:t>投标人查阅如有遗漏，其风险应由投标人自行承担。</w:t>
      </w:r>
    </w:p>
    <w:p>
      <w:pPr>
        <w:autoSpaceDE w:val="0"/>
        <w:autoSpaceDN w:val="0"/>
        <w:adjustRightInd w:val="0"/>
        <w:spacing w:line="420" w:lineRule="exact"/>
        <w:ind w:left="500"/>
        <w:jc w:val="left"/>
        <w:rPr>
          <w:b/>
          <w:kern w:val="0"/>
          <w:szCs w:val="21"/>
        </w:rPr>
      </w:pPr>
      <w:r>
        <w:rPr>
          <w:b/>
          <w:kern w:val="0"/>
          <w:szCs w:val="21"/>
        </w:rPr>
        <w:t>6</w:t>
      </w:r>
      <w:r>
        <w:rPr>
          <w:rFonts w:hAnsi="宋体"/>
          <w:b/>
          <w:kern w:val="0"/>
          <w:szCs w:val="21"/>
        </w:rPr>
        <w:t>、招标文件的澄清</w:t>
      </w:r>
    </w:p>
    <w:p>
      <w:pPr>
        <w:spacing w:line="420" w:lineRule="exact"/>
        <w:ind w:firstLine="480"/>
        <w:rPr>
          <w:szCs w:val="21"/>
        </w:rPr>
      </w:pPr>
      <w:r>
        <w:rPr>
          <w:szCs w:val="21"/>
        </w:rPr>
        <w:t>6.1</w:t>
      </w:r>
      <w:r>
        <w:rPr>
          <w:rFonts w:hAnsi="宋体"/>
          <w:szCs w:val="21"/>
        </w:rPr>
        <w:t>投标人从将在</w:t>
      </w:r>
      <w:r>
        <w:rPr>
          <w:rFonts w:hint="eastAsia" w:hAnsi="宋体"/>
          <w:b/>
          <w:bCs/>
          <w:szCs w:val="21"/>
        </w:rPr>
        <w:t>南通市崇川区人民政府网（www.chongchuan.gov.cn）</w:t>
      </w:r>
      <w:r>
        <w:rPr>
          <w:rFonts w:ascii="宋体" w:hAnsi="宋体" w:cs="宋体"/>
          <w:b/>
          <w:bCs/>
          <w:szCs w:val="21"/>
        </w:rPr>
        <w:t>-政府采购工程招标板块</w:t>
      </w:r>
      <w:r>
        <w:rPr>
          <w:rFonts w:hAnsi="宋体"/>
          <w:szCs w:val="21"/>
        </w:rPr>
        <w:t>下载招标文件后应仔细阅读和检查招标文件的全部内容。如发现缺页或附件不全，应及时向招标人提出，以便补齐。投标人应对招标人提供的工程量清单进行认真细致的复核。这种复核包括对招标人提供的工程量清单中的子目编码、子目名称、子目特征描述、计量单位、工程量的准确性以及可能存在的任何书写、打印错误进行检查和复核，特别是对</w:t>
      </w:r>
      <w:r>
        <w:rPr>
          <w:szCs w:val="21"/>
        </w:rPr>
        <w:t>“</w:t>
      </w:r>
      <w:r>
        <w:rPr>
          <w:rFonts w:hAnsi="宋体"/>
          <w:szCs w:val="21"/>
        </w:rPr>
        <w:t>分部分项工程和单价措施项目清单与计价表</w:t>
      </w:r>
      <w:r>
        <w:rPr>
          <w:szCs w:val="21"/>
        </w:rPr>
        <w:t>”</w:t>
      </w:r>
      <w:r>
        <w:rPr>
          <w:rFonts w:hAnsi="宋体"/>
          <w:szCs w:val="21"/>
        </w:rPr>
        <w:t>中每个工作子目的工程量进行重新计算和校核。如果投标人经过检查和复核以后认为招标人提供的工程量清单存在差异，则投标人应将此类差异的详细情况连同按投标人须知规定提交的要求招标人澄清的其他问题一起提交给招标人，招标人将根据实际情况决定是否颁发工程量清单的补充和</w:t>
      </w:r>
      <w:r>
        <w:rPr>
          <w:szCs w:val="21"/>
        </w:rPr>
        <w:t>(</w:t>
      </w:r>
      <w:r>
        <w:rPr>
          <w:rFonts w:hAnsi="宋体"/>
          <w:szCs w:val="21"/>
        </w:rPr>
        <w:t>或</w:t>
      </w:r>
      <w:r>
        <w:rPr>
          <w:szCs w:val="21"/>
        </w:rPr>
        <w:t>)</w:t>
      </w:r>
      <w:r>
        <w:rPr>
          <w:rFonts w:hAnsi="宋体"/>
          <w:szCs w:val="21"/>
        </w:rPr>
        <w:t>修改文件。</w:t>
      </w:r>
    </w:p>
    <w:p>
      <w:pPr>
        <w:spacing w:line="420" w:lineRule="exact"/>
        <w:ind w:firstLine="480"/>
        <w:rPr>
          <w:szCs w:val="21"/>
        </w:rPr>
      </w:pPr>
      <w:r>
        <w:rPr>
          <w:szCs w:val="21"/>
        </w:rPr>
        <w:t>6.2</w:t>
      </w:r>
      <w:r>
        <w:rPr>
          <w:rFonts w:hAnsi="宋体"/>
          <w:szCs w:val="21"/>
        </w:rPr>
        <w:t>招标人不组织集中答疑，投标人如对招标公告、招标文件、工程量清单、图纸、标底、招标控制价等文件存</w:t>
      </w:r>
      <w:r>
        <w:rPr>
          <w:rFonts w:hAnsi="宋体"/>
          <w:szCs w:val="21"/>
          <w:highlight w:val="none"/>
        </w:rPr>
        <w:t>在前后矛盾，部分条款说明不清、存在歧义、违反相关法律法规，存在限制性条款等有疑问的应</w:t>
      </w:r>
      <w:r>
        <w:rPr>
          <w:rFonts w:hAnsi="宋体"/>
          <w:color w:val="000000" w:themeColor="text1"/>
          <w:szCs w:val="21"/>
          <w:highlight w:val="none"/>
          <w14:textFill>
            <w14:solidFill>
              <w14:schemeClr w14:val="tx1"/>
            </w14:solidFill>
          </w14:textFill>
        </w:rPr>
        <w:t>在</w:t>
      </w:r>
      <w:r>
        <w:rPr>
          <w:color w:val="000000" w:themeColor="text1"/>
          <w:szCs w:val="21"/>
          <w:highlight w:val="none"/>
          <w:u w:val="single"/>
          <w14:textFill>
            <w14:solidFill>
              <w14:schemeClr w14:val="tx1"/>
            </w14:solidFill>
          </w14:textFill>
        </w:rPr>
        <w:t>20</w:t>
      </w:r>
      <w:r>
        <w:rPr>
          <w:rFonts w:hint="eastAsia"/>
          <w:color w:val="000000" w:themeColor="text1"/>
          <w:szCs w:val="21"/>
          <w:highlight w:val="none"/>
          <w:u w:val="single"/>
          <w14:textFill>
            <w14:solidFill>
              <w14:schemeClr w14:val="tx1"/>
            </w14:solidFill>
          </w14:textFill>
        </w:rPr>
        <w:t>23</w:t>
      </w:r>
      <w:r>
        <w:rPr>
          <w:rFonts w:hAnsi="宋体"/>
          <w:color w:val="000000" w:themeColor="text1"/>
          <w:szCs w:val="21"/>
          <w:highlight w:val="none"/>
          <w:u w:val="single"/>
          <w14:textFill>
            <w14:solidFill>
              <w14:schemeClr w14:val="tx1"/>
            </w14:solidFill>
          </w14:textFill>
        </w:rPr>
        <w:t>年</w:t>
      </w:r>
      <w:r>
        <w:rPr>
          <w:rFonts w:hint="eastAsia" w:hAnsi="宋体"/>
          <w:color w:val="000000" w:themeColor="text1"/>
          <w:szCs w:val="21"/>
          <w:highlight w:val="none"/>
          <w:u w:val="single"/>
          <w:lang w:val="en-US" w:eastAsia="zh-CN"/>
          <w14:textFill>
            <w14:solidFill>
              <w14:schemeClr w14:val="tx1"/>
            </w14:solidFill>
          </w14:textFill>
        </w:rPr>
        <w:t>06</w:t>
      </w:r>
      <w:r>
        <w:rPr>
          <w:rFonts w:hAnsi="宋体"/>
          <w:color w:val="000000" w:themeColor="text1"/>
          <w:szCs w:val="21"/>
          <w:highlight w:val="none"/>
          <w:u w:val="single"/>
          <w14:textFill>
            <w14:solidFill>
              <w14:schemeClr w14:val="tx1"/>
            </w14:solidFill>
          </w14:textFill>
        </w:rPr>
        <w:t>月</w:t>
      </w:r>
      <w:r>
        <w:rPr>
          <w:rFonts w:hint="eastAsia" w:hAnsi="宋体"/>
          <w:color w:val="000000" w:themeColor="text1"/>
          <w:szCs w:val="21"/>
          <w:highlight w:val="none"/>
          <w:u w:val="single"/>
          <w:lang w:val="en-US" w:eastAsia="zh-CN"/>
          <w14:textFill>
            <w14:solidFill>
              <w14:schemeClr w14:val="tx1"/>
            </w14:solidFill>
          </w14:textFill>
        </w:rPr>
        <w:t>26</w:t>
      </w:r>
      <w:r>
        <w:rPr>
          <w:rFonts w:hAnsi="宋体"/>
          <w:color w:val="000000" w:themeColor="text1"/>
          <w:szCs w:val="21"/>
          <w:highlight w:val="none"/>
          <w:u w:val="single"/>
          <w14:textFill>
            <w14:solidFill>
              <w14:schemeClr w14:val="tx1"/>
            </w14:solidFill>
          </w14:textFill>
        </w:rPr>
        <w:t>日</w:t>
      </w:r>
      <w:r>
        <w:rPr>
          <w:color w:val="000000" w:themeColor="text1"/>
          <w:szCs w:val="21"/>
          <w:highlight w:val="none"/>
          <w:u w:val="single"/>
          <w14:textFill>
            <w14:solidFill>
              <w14:schemeClr w14:val="tx1"/>
            </w14:solidFill>
          </w14:textFill>
        </w:rPr>
        <w:t>17</w:t>
      </w:r>
      <w:r>
        <w:rPr>
          <w:rFonts w:hAnsi="宋体"/>
          <w:color w:val="000000" w:themeColor="text1"/>
          <w:szCs w:val="21"/>
          <w:highlight w:val="none"/>
          <w:u w:val="single"/>
          <w14:textFill>
            <w14:solidFill>
              <w14:schemeClr w14:val="tx1"/>
            </w14:solidFill>
          </w14:textFill>
        </w:rPr>
        <w:t>时</w:t>
      </w:r>
      <w:r>
        <w:rPr>
          <w:rFonts w:hAnsi="宋体"/>
          <w:color w:val="000000" w:themeColor="text1"/>
          <w:szCs w:val="21"/>
          <w:highlight w:val="none"/>
          <w:u w:val="single"/>
          <w14:textFill>
            <w14:solidFill>
              <w14:schemeClr w14:val="tx1"/>
            </w14:solidFill>
          </w14:textFill>
        </w:rPr>
        <w:t>前</w:t>
      </w:r>
      <w:bookmarkStart w:id="597" w:name="_GoBack"/>
      <w:bookmarkEnd w:id="597"/>
      <w:r>
        <w:rPr>
          <w:rFonts w:hAnsi="宋体"/>
          <w:color w:val="000000" w:themeColor="text1"/>
          <w:szCs w:val="21"/>
          <w:highlight w:val="none"/>
          <w14:textFill>
            <w14:solidFill>
              <w14:schemeClr w14:val="tx1"/>
            </w14:solidFill>
          </w14:textFill>
        </w:rPr>
        <w:t>向招标人提出澄清要求，</w:t>
      </w:r>
      <w:r>
        <w:rPr>
          <w:highlight w:val="none"/>
        </w:rPr>
        <w:fldChar w:fldCharType="begin"/>
      </w:r>
      <w:r>
        <w:rPr>
          <w:highlight w:val="none"/>
        </w:rPr>
        <w:instrText xml:space="preserve"> HYPERLINK "mailto:以电子文件形式发送至550362779@qq.com" </w:instrText>
      </w:r>
      <w:r>
        <w:rPr>
          <w:highlight w:val="none"/>
        </w:rPr>
        <w:fldChar w:fldCharType="separate"/>
      </w:r>
      <w:r>
        <w:rPr>
          <w:rFonts w:hAnsi="宋体"/>
          <w:color w:val="000000" w:themeColor="text1"/>
          <w:szCs w:val="21"/>
          <w:highlight w:val="none"/>
          <w14:textFill>
            <w14:solidFill>
              <w14:schemeClr w14:val="tx1"/>
            </w14:solidFill>
          </w14:textFill>
        </w:rPr>
        <w:t>以电子文件形式发送至</w:t>
      </w:r>
      <w:r>
        <w:rPr>
          <w:rFonts w:hAnsi="宋体"/>
          <w:color w:val="000000" w:themeColor="text1"/>
          <w:szCs w:val="21"/>
          <w:highlight w:val="none"/>
          <w14:textFill>
            <w14:solidFill>
              <w14:schemeClr w14:val="tx1"/>
            </w14:solidFill>
          </w14:textFill>
        </w:rPr>
        <w:fldChar w:fldCharType="end"/>
      </w:r>
      <w:r>
        <w:rPr>
          <w:rFonts w:hAnsi="宋体"/>
          <w:color w:val="000000" w:themeColor="text1"/>
          <w:szCs w:val="21"/>
          <w:highlight w:val="none"/>
          <w14:textFill>
            <w14:solidFill>
              <w14:schemeClr w14:val="tx1"/>
            </w14:solidFill>
          </w14:textFill>
        </w:rPr>
        <w:t>指定邮箱：</w:t>
      </w:r>
      <w:r>
        <w:rPr>
          <w:rFonts w:hint="eastAsia"/>
          <w:szCs w:val="21"/>
          <w:highlight w:val="none"/>
        </w:rPr>
        <w:t>1140550919@qq.com</w:t>
      </w:r>
      <w:r>
        <w:rPr>
          <w:rFonts w:hAnsi="宋体"/>
          <w:szCs w:val="21"/>
          <w:highlight w:val="none"/>
        </w:rPr>
        <w:t>（不具单位名称，不加盖单位公章）。招标人在收到疑问材料后</w:t>
      </w:r>
      <w:r>
        <w:rPr>
          <w:rFonts w:hint="eastAsia"/>
          <w:szCs w:val="21"/>
          <w:highlight w:val="none"/>
        </w:rPr>
        <w:t>2</w:t>
      </w:r>
      <w:r>
        <w:rPr>
          <w:rFonts w:hAnsi="宋体"/>
          <w:szCs w:val="21"/>
          <w:highlight w:val="none"/>
        </w:rPr>
        <w:t>日内予以解答，并于</w:t>
      </w:r>
      <w:r>
        <w:rPr>
          <w:szCs w:val="21"/>
          <w:highlight w:val="none"/>
        </w:rPr>
        <w:t>20</w:t>
      </w:r>
      <w:r>
        <w:rPr>
          <w:rFonts w:hint="eastAsia"/>
          <w:szCs w:val="21"/>
          <w:highlight w:val="none"/>
        </w:rPr>
        <w:t>23</w:t>
      </w:r>
      <w:r>
        <w:rPr>
          <w:rFonts w:hAnsi="宋体"/>
          <w:szCs w:val="21"/>
          <w:highlight w:val="none"/>
        </w:rPr>
        <w:t>年</w:t>
      </w:r>
      <w:r>
        <w:rPr>
          <w:rFonts w:hint="eastAsia"/>
          <w:color w:val="000000" w:themeColor="text1"/>
          <w:szCs w:val="21"/>
          <w:highlight w:val="none"/>
          <w:u w:val="single"/>
          <w:lang w:val="en-US" w:eastAsia="zh-CN"/>
          <w14:textFill>
            <w14:solidFill>
              <w14:schemeClr w14:val="tx1"/>
            </w14:solidFill>
          </w14:textFill>
        </w:rPr>
        <w:t>6</w:t>
      </w:r>
      <w:r>
        <w:rPr>
          <w:rFonts w:hAnsi="宋体"/>
          <w:color w:val="000000" w:themeColor="text1"/>
          <w:szCs w:val="21"/>
          <w:highlight w:val="none"/>
          <w:u w:val="single"/>
          <w14:textFill>
            <w14:solidFill>
              <w14:schemeClr w14:val="tx1"/>
            </w14:solidFill>
          </w14:textFill>
        </w:rPr>
        <w:t>月</w:t>
      </w:r>
      <w:r>
        <w:rPr>
          <w:rFonts w:hint="eastAsia" w:hAnsi="宋体"/>
          <w:color w:val="000000" w:themeColor="text1"/>
          <w:szCs w:val="21"/>
          <w:highlight w:val="none"/>
          <w:u w:val="single"/>
          <w:lang w:val="en-US" w:eastAsia="zh-CN"/>
          <w14:textFill>
            <w14:solidFill>
              <w14:schemeClr w14:val="tx1"/>
            </w14:solidFill>
          </w14:textFill>
        </w:rPr>
        <w:t>27</w:t>
      </w:r>
      <w:r>
        <w:rPr>
          <w:rFonts w:hAnsi="宋体"/>
          <w:color w:val="000000" w:themeColor="text1"/>
          <w:szCs w:val="21"/>
          <w:highlight w:val="none"/>
          <w:u w:val="single"/>
          <w14:textFill>
            <w14:solidFill>
              <w14:schemeClr w14:val="tx1"/>
            </w14:solidFill>
          </w14:textFill>
        </w:rPr>
        <w:t>日</w:t>
      </w:r>
      <w:r>
        <w:rPr>
          <w:color w:val="000000" w:themeColor="text1"/>
          <w:szCs w:val="21"/>
          <w:highlight w:val="none"/>
          <w:u w:val="single"/>
          <w14:textFill>
            <w14:solidFill>
              <w14:schemeClr w14:val="tx1"/>
            </w14:solidFill>
          </w14:textFill>
        </w:rPr>
        <w:t>17</w:t>
      </w:r>
      <w:r>
        <w:rPr>
          <w:rFonts w:hAnsi="宋体"/>
          <w:color w:val="000000" w:themeColor="text1"/>
          <w:szCs w:val="21"/>
          <w:highlight w:val="none"/>
          <w:u w:val="single"/>
          <w14:textFill>
            <w14:solidFill>
              <w14:schemeClr w14:val="tx1"/>
            </w14:solidFill>
          </w14:textFill>
        </w:rPr>
        <w:t>时</w:t>
      </w:r>
      <w:r>
        <w:rPr>
          <w:rFonts w:hAnsi="宋体"/>
          <w:color w:val="000000" w:themeColor="text1"/>
          <w:szCs w:val="21"/>
          <w:highlight w:val="none"/>
          <w:u w:val="single"/>
          <w14:textFill>
            <w14:solidFill>
              <w14:schemeClr w14:val="tx1"/>
            </w14:solidFill>
          </w14:textFill>
        </w:rPr>
        <w:t>前</w:t>
      </w:r>
      <w:r>
        <w:rPr>
          <w:rFonts w:hAnsi="宋体"/>
          <w:color w:val="000000" w:themeColor="text1"/>
          <w:szCs w:val="21"/>
          <w:highlight w:val="none"/>
          <w14:textFill>
            <w14:solidFill>
              <w14:schemeClr w14:val="tx1"/>
            </w14:solidFill>
          </w14:textFill>
        </w:rPr>
        <w:t>将解</w:t>
      </w:r>
      <w:r>
        <w:rPr>
          <w:rFonts w:hAnsi="宋体"/>
          <w:szCs w:val="21"/>
          <w:highlight w:val="none"/>
        </w:rPr>
        <w:t>答</w:t>
      </w:r>
      <w:r>
        <w:rPr>
          <w:rFonts w:hAnsi="宋体"/>
          <w:szCs w:val="21"/>
        </w:rPr>
        <w:t>内容（若有）以电子文档上传至将在</w:t>
      </w:r>
      <w:r>
        <w:rPr>
          <w:rFonts w:hint="eastAsia" w:hAnsi="宋体"/>
          <w:b/>
          <w:bCs/>
          <w:szCs w:val="21"/>
        </w:rPr>
        <w:t>南通市崇川区人民政府网（www.chongchuan.gov.cn）</w:t>
      </w:r>
      <w:r>
        <w:rPr>
          <w:rFonts w:ascii="宋体" w:hAnsi="宋体" w:cs="宋体"/>
          <w:b/>
          <w:bCs/>
          <w:szCs w:val="21"/>
        </w:rPr>
        <w:t>-政府采购工程招标板块</w:t>
      </w:r>
      <w:r>
        <w:rPr>
          <w:rFonts w:hAnsi="宋体"/>
          <w:szCs w:val="21"/>
        </w:rPr>
        <w:t>，请各潜在投标人在将在</w:t>
      </w:r>
      <w:r>
        <w:rPr>
          <w:rFonts w:hint="eastAsia" w:hAnsi="宋体"/>
          <w:b/>
          <w:bCs/>
          <w:szCs w:val="21"/>
        </w:rPr>
        <w:t>南通市崇川区人民政府网（www.chongchuan.gov.cn）</w:t>
      </w:r>
      <w:r>
        <w:rPr>
          <w:rFonts w:ascii="宋体" w:hAnsi="宋体" w:cs="宋体"/>
          <w:b/>
          <w:bCs/>
          <w:szCs w:val="21"/>
        </w:rPr>
        <w:t>-政府采购工程招标板块</w:t>
      </w:r>
      <w:r>
        <w:rPr>
          <w:rFonts w:hAnsi="宋体"/>
          <w:szCs w:val="21"/>
        </w:rPr>
        <w:t>自行下载。</w:t>
      </w:r>
    </w:p>
    <w:p>
      <w:pPr>
        <w:spacing w:line="420" w:lineRule="exact"/>
        <w:ind w:firstLine="480"/>
        <w:rPr>
          <w:b/>
          <w:szCs w:val="21"/>
        </w:rPr>
      </w:pPr>
      <w:r>
        <w:rPr>
          <w:rFonts w:hAnsi="宋体"/>
          <w:b/>
          <w:szCs w:val="21"/>
        </w:rPr>
        <w:t>在开标截止时间前，投标人未以书面、电子文件形式提出疑问（质疑）的，视为投标人接受招标公告、招标文件所注全部条款。开标后投标人再对招标公告、招标文件等提出质疑或投诉的，招标人有理由不予受理，由此引起的损失由投标人自行承担。</w:t>
      </w:r>
    </w:p>
    <w:p>
      <w:pPr>
        <w:spacing w:line="420" w:lineRule="exact"/>
        <w:ind w:firstLine="480"/>
        <w:rPr>
          <w:szCs w:val="21"/>
        </w:rPr>
      </w:pPr>
      <w:r>
        <w:rPr>
          <w:szCs w:val="21"/>
        </w:rPr>
        <w:t>6.3</w:t>
      </w:r>
      <w:r>
        <w:rPr>
          <w:rFonts w:hAnsi="宋体"/>
          <w:szCs w:val="21"/>
        </w:rPr>
        <w:t>招标文件的澄清</w:t>
      </w:r>
      <w:r>
        <w:rPr>
          <w:rFonts w:hint="eastAsia" w:hAnsi="宋体"/>
          <w:szCs w:val="21"/>
        </w:rPr>
        <w:t>答疑将在投标人须知前附表规定的时间前，在</w:t>
      </w:r>
      <w:r>
        <w:rPr>
          <w:rFonts w:hint="eastAsia" w:hAnsi="宋体"/>
          <w:b/>
          <w:bCs/>
          <w:szCs w:val="21"/>
        </w:rPr>
        <w:t>南通市崇川区人民政府网（www.chongchuan.gov.cn）</w:t>
      </w:r>
      <w:r>
        <w:rPr>
          <w:rFonts w:ascii="宋体" w:hAnsi="宋体" w:cs="宋体"/>
          <w:b/>
          <w:bCs/>
          <w:szCs w:val="21"/>
        </w:rPr>
        <w:t>-政府采购工程招标板块</w:t>
      </w:r>
      <w:r>
        <w:rPr>
          <w:rFonts w:hint="eastAsia" w:hAnsi="宋体"/>
          <w:szCs w:val="21"/>
        </w:rPr>
        <w:t>向所有投标人公示，同时报崇川区行政审批局交易科</w:t>
      </w:r>
      <w:r>
        <w:rPr>
          <w:rFonts w:hAnsi="宋体"/>
          <w:szCs w:val="21"/>
        </w:rPr>
        <w:t>备案，但招标人不指明澄清问题的来源。如果招标人在检查投标人提交的工程量差异问题后认为没有必要对工程量清单进行补充和</w:t>
      </w:r>
      <w:r>
        <w:rPr>
          <w:szCs w:val="21"/>
        </w:rPr>
        <w:t>(</w:t>
      </w:r>
      <w:r>
        <w:rPr>
          <w:rFonts w:hAnsi="宋体"/>
          <w:szCs w:val="21"/>
        </w:rPr>
        <w:t>或</w:t>
      </w:r>
      <w:r>
        <w:rPr>
          <w:szCs w:val="21"/>
        </w:rPr>
        <w:t>)</w:t>
      </w:r>
      <w:r>
        <w:rPr>
          <w:rFonts w:hAnsi="宋体"/>
          <w:szCs w:val="21"/>
        </w:rPr>
        <w:t>修改，或者招标人根据投标人所提问题对工程量清单进行了补充和</w:t>
      </w:r>
      <w:r>
        <w:rPr>
          <w:szCs w:val="21"/>
        </w:rPr>
        <w:t>(</w:t>
      </w:r>
      <w:r>
        <w:rPr>
          <w:rFonts w:hAnsi="宋体"/>
          <w:szCs w:val="21"/>
        </w:rPr>
        <w:t>或</w:t>
      </w:r>
      <w:r>
        <w:rPr>
          <w:szCs w:val="21"/>
        </w:rPr>
        <w:t>)</w:t>
      </w:r>
      <w:r>
        <w:rPr>
          <w:rFonts w:hAnsi="宋体"/>
          <w:szCs w:val="21"/>
        </w:rPr>
        <w:t>修改，但投标人认为工程量清单中的工程量依然存在差异，则此类差异不再提交招标人答疑和修正，而是直接按招标人提供的工程量清单</w:t>
      </w:r>
      <w:r>
        <w:rPr>
          <w:szCs w:val="21"/>
        </w:rPr>
        <w:t>(</w:t>
      </w:r>
      <w:r>
        <w:rPr>
          <w:rFonts w:hAnsi="宋体"/>
          <w:szCs w:val="21"/>
        </w:rPr>
        <w:t>包括招标人已作的补充和</w:t>
      </w:r>
      <w:r>
        <w:rPr>
          <w:szCs w:val="21"/>
        </w:rPr>
        <w:t>(</w:t>
      </w:r>
      <w:r>
        <w:rPr>
          <w:rFonts w:hAnsi="宋体"/>
          <w:szCs w:val="21"/>
        </w:rPr>
        <w:t>或</w:t>
      </w:r>
      <w:r>
        <w:rPr>
          <w:szCs w:val="21"/>
        </w:rPr>
        <w:t>)</w:t>
      </w:r>
      <w:r>
        <w:rPr>
          <w:rFonts w:hAnsi="宋体"/>
          <w:szCs w:val="21"/>
        </w:rPr>
        <w:t>修改</w:t>
      </w:r>
      <w:r>
        <w:rPr>
          <w:szCs w:val="21"/>
        </w:rPr>
        <w:t>)</w:t>
      </w:r>
      <w:r>
        <w:rPr>
          <w:rFonts w:hAnsi="宋体"/>
          <w:szCs w:val="21"/>
        </w:rPr>
        <w:t>进行投标报价。</w:t>
      </w:r>
    </w:p>
    <w:p>
      <w:pPr>
        <w:spacing w:line="420" w:lineRule="exact"/>
        <w:ind w:firstLine="480"/>
        <w:rPr>
          <w:szCs w:val="21"/>
        </w:rPr>
      </w:pPr>
      <w:r>
        <w:rPr>
          <w:rFonts w:hAnsi="宋体"/>
          <w:szCs w:val="21"/>
        </w:rPr>
        <w:t>投标人对招标人提供的招标文件所做出的推论、解释和结论，招标人概不负责。投标人由于对招标文件的任何推论和误解均由投标人自负。</w:t>
      </w:r>
    </w:p>
    <w:p>
      <w:pPr>
        <w:spacing w:line="420" w:lineRule="exact"/>
        <w:ind w:firstLine="480"/>
        <w:rPr>
          <w:szCs w:val="21"/>
        </w:rPr>
      </w:pPr>
      <w:r>
        <w:rPr>
          <w:rFonts w:hAnsi="宋体"/>
          <w:szCs w:val="21"/>
        </w:rPr>
        <w:t>在投标截止时间</w:t>
      </w:r>
      <w:r>
        <w:rPr>
          <w:rFonts w:hint="eastAsia"/>
          <w:szCs w:val="21"/>
        </w:rPr>
        <w:t>3</w:t>
      </w:r>
      <w:r>
        <w:rPr>
          <w:rFonts w:hAnsi="宋体"/>
          <w:szCs w:val="21"/>
        </w:rPr>
        <w:t>天前，招标人可以修改招标文件，并以书面形式经</w:t>
      </w:r>
      <w:r>
        <w:rPr>
          <w:rFonts w:hint="eastAsia" w:hAnsi="宋体"/>
          <w:szCs w:val="21"/>
        </w:rPr>
        <w:t>崇川区行政审批局交易科</w:t>
      </w:r>
      <w:r>
        <w:rPr>
          <w:rFonts w:hAnsi="宋体"/>
          <w:szCs w:val="21"/>
        </w:rPr>
        <w:t>备案后以电子文档形式在将在</w:t>
      </w:r>
      <w:r>
        <w:rPr>
          <w:rFonts w:hint="eastAsia" w:hAnsi="宋体"/>
          <w:b/>
          <w:bCs/>
          <w:szCs w:val="21"/>
        </w:rPr>
        <w:t>南通市崇川区人民政府网（www.chongchuan.gov.cn）</w:t>
      </w:r>
      <w:r>
        <w:rPr>
          <w:rFonts w:ascii="宋体" w:hAnsi="宋体" w:cs="宋体"/>
          <w:b/>
          <w:bCs/>
          <w:szCs w:val="21"/>
        </w:rPr>
        <w:t>-政府采购工程招标板块</w:t>
      </w:r>
      <w:r>
        <w:rPr>
          <w:rFonts w:hAnsi="宋体"/>
          <w:szCs w:val="21"/>
        </w:rPr>
        <w:t>发布。如果修改招标文件的时间距投标截止时间不足</w:t>
      </w:r>
      <w:r>
        <w:rPr>
          <w:rFonts w:hint="eastAsia"/>
          <w:szCs w:val="21"/>
        </w:rPr>
        <w:t>3</w:t>
      </w:r>
      <w:r>
        <w:rPr>
          <w:rFonts w:hAnsi="宋体"/>
          <w:szCs w:val="21"/>
        </w:rPr>
        <w:t>天，相应延长投标截止时间。</w:t>
      </w:r>
    </w:p>
    <w:p>
      <w:pPr>
        <w:autoSpaceDE w:val="0"/>
        <w:autoSpaceDN w:val="0"/>
        <w:adjustRightInd w:val="0"/>
        <w:spacing w:line="420" w:lineRule="exact"/>
        <w:ind w:left="500"/>
        <w:jc w:val="left"/>
        <w:rPr>
          <w:b/>
          <w:kern w:val="0"/>
          <w:szCs w:val="21"/>
        </w:rPr>
      </w:pPr>
      <w:r>
        <w:rPr>
          <w:b/>
          <w:kern w:val="0"/>
          <w:szCs w:val="21"/>
        </w:rPr>
        <w:t>7</w:t>
      </w:r>
      <w:r>
        <w:rPr>
          <w:rFonts w:hAnsi="宋体"/>
          <w:b/>
          <w:kern w:val="0"/>
          <w:szCs w:val="21"/>
        </w:rPr>
        <w:t>、招标文件的修改</w:t>
      </w:r>
    </w:p>
    <w:p>
      <w:pPr>
        <w:spacing w:line="420" w:lineRule="exact"/>
        <w:ind w:firstLine="480"/>
        <w:rPr>
          <w:szCs w:val="21"/>
        </w:rPr>
      </w:pPr>
      <w:r>
        <w:rPr>
          <w:szCs w:val="21"/>
        </w:rPr>
        <w:t>7.1</w:t>
      </w:r>
      <w:r>
        <w:rPr>
          <w:rFonts w:hAnsi="宋体"/>
          <w:szCs w:val="21"/>
        </w:rPr>
        <w:t>招标文件发布后，在投标截止期前，确需对招标文件进行修改的，招标人以招标文件澄清、答疑方式，经将在</w:t>
      </w:r>
      <w:r>
        <w:rPr>
          <w:rFonts w:hint="eastAsia" w:hAnsi="宋体"/>
          <w:szCs w:val="21"/>
        </w:rPr>
        <w:t>南通市崇川区人民政府网（www.chongchuan.gov.cn）</w:t>
      </w:r>
      <w:r>
        <w:rPr>
          <w:rFonts w:ascii="宋体" w:hAnsi="宋体" w:cs="宋体"/>
          <w:szCs w:val="21"/>
        </w:rPr>
        <w:t>-政府采购工程招标板块</w:t>
      </w:r>
      <w:r>
        <w:rPr>
          <w:rFonts w:hAnsi="宋体"/>
          <w:szCs w:val="21"/>
        </w:rPr>
        <w:t>向所有投标人公示，并报招投标监管部门备案。</w:t>
      </w:r>
    </w:p>
    <w:p>
      <w:pPr>
        <w:spacing w:line="420" w:lineRule="exact"/>
        <w:ind w:firstLine="480"/>
        <w:rPr>
          <w:rFonts w:hAnsi="宋体"/>
          <w:szCs w:val="21"/>
        </w:rPr>
      </w:pPr>
      <w:r>
        <w:rPr>
          <w:rFonts w:hAnsi="宋体"/>
          <w:szCs w:val="21"/>
        </w:rPr>
        <w:t>7.2招标人在投标截止期前对招标文件的所作澄清、答疑、修改作为招标文件的组成部分，对招标人、投标人均具有约束力。如果修改招标文件时间距投标截止时间不足</w:t>
      </w:r>
      <w:r>
        <w:rPr>
          <w:rFonts w:hint="eastAsia" w:hAnsi="宋体"/>
          <w:szCs w:val="21"/>
        </w:rPr>
        <w:t>3</w:t>
      </w:r>
      <w:r>
        <w:rPr>
          <w:rFonts w:hAnsi="宋体"/>
          <w:szCs w:val="21"/>
        </w:rPr>
        <w:t>天，为保证投标人合理时间编制投标文件，招标人应合理延长递交投标文件的截止日期。</w:t>
      </w:r>
    </w:p>
    <w:p>
      <w:pPr>
        <w:spacing w:line="420" w:lineRule="exact"/>
        <w:ind w:firstLine="480"/>
        <w:rPr>
          <w:rFonts w:hAnsi="宋体"/>
          <w:szCs w:val="21"/>
        </w:rPr>
      </w:pPr>
      <w:r>
        <w:rPr>
          <w:rFonts w:hAnsi="宋体"/>
          <w:szCs w:val="21"/>
        </w:rPr>
        <w:t>7.3本工程采用电子答疑，招标人对招标文件的所作澄清、答疑、修改均以将在</w:t>
      </w:r>
      <w:r>
        <w:rPr>
          <w:rFonts w:hint="eastAsia" w:hAnsi="宋体"/>
          <w:szCs w:val="21"/>
        </w:rPr>
        <w:t>南通市崇川区人民政府网（www.chongchuan.gov.cn）</w:t>
      </w:r>
      <w:r>
        <w:rPr>
          <w:rFonts w:ascii="宋体" w:hAnsi="宋体" w:cs="宋体"/>
          <w:szCs w:val="21"/>
        </w:rPr>
        <w:t>-政府采购工程招标板块</w:t>
      </w:r>
      <w:r>
        <w:rPr>
          <w:rFonts w:hAnsi="宋体"/>
          <w:szCs w:val="21"/>
        </w:rPr>
        <w:t>上公布的内容为准。招标文件的答疑内容前后期相互矛盾时，以公示时间在后的文件为准。投标人应在投标截止时间前随时查看将在</w:t>
      </w:r>
      <w:r>
        <w:rPr>
          <w:rFonts w:hint="eastAsia" w:hAnsi="宋体"/>
          <w:szCs w:val="21"/>
        </w:rPr>
        <w:t>南通市崇川区人民政府网（www.chongchuan.gov.cn）</w:t>
      </w:r>
      <w:r>
        <w:rPr>
          <w:rFonts w:hAnsi="宋体"/>
          <w:szCs w:val="21"/>
        </w:rPr>
        <w:t>中有关该工程招标文件的答疑内容。投标人因自身原因未能及时掌握上述网上公示信息，由此造成投标损失自负。</w:t>
      </w:r>
    </w:p>
    <w:p>
      <w:pPr>
        <w:spacing w:before="156" w:beforeLines="50" w:after="156" w:afterLines="50" w:line="420" w:lineRule="exact"/>
        <w:jc w:val="center"/>
        <w:rPr>
          <w:sz w:val="24"/>
        </w:rPr>
      </w:pPr>
    </w:p>
    <w:p>
      <w:pPr>
        <w:pStyle w:val="5"/>
        <w:jc w:val="center"/>
        <w:rPr>
          <w:rFonts w:ascii="Times New Roman" w:hAnsi="Times New Roman" w:eastAsia="宋体"/>
          <w:sz w:val="24"/>
          <w:szCs w:val="24"/>
        </w:rPr>
      </w:pPr>
      <w:r>
        <w:rPr>
          <w:rFonts w:ascii="Times New Roman" w:hAnsi="宋体" w:eastAsia="宋体"/>
          <w:sz w:val="24"/>
          <w:szCs w:val="24"/>
        </w:rPr>
        <w:t>（三）投标文件</w:t>
      </w:r>
    </w:p>
    <w:p>
      <w:pPr>
        <w:spacing w:line="360" w:lineRule="auto"/>
        <w:ind w:firstLine="422" w:firstLineChars="200"/>
        <w:rPr>
          <w:szCs w:val="21"/>
        </w:rPr>
      </w:pPr>
      <w:r>
        <w:rPr>
          <w:b/>
          <w:kern w:val="0"/>
          <w:szCs w:val="21"/>
        </w:rPr>
        <w:t xml:space="preserve">8. </w:t>
      </w:r>
      <w:r>
        <w:rPr>
          <w:rFonts w:hAnsi="宋体"/>
          <w:szCs w:val="21"/>
        </w:rPr>
        <w:t>投标人应认真阅读招标文件所有内容，未按招标文件要求编制的投标文件将被拒绝或者作为废标处理。</w:t>
      </w:r>
    </w:p>
    <w:p>
      <w:pPr>
        <w:spacing w:line="360" w:lineRule="auto"/>
        <w:ind w:firstLine="422" w:firstLineChars="200"/>
        <w:rPr>
          <w:szCs w:val="21"/>
        </w:rPr>
      </w:pPr>
      <w:r>
        <w:rPr>
          <w:b/>
          <w:kern w:val="0"/>
          <w:szCs w:val="21"/>
        </w:rPr>
        <w:t xml:space="preserve">9. </w:t>
      </w:r>
      <w:r>
        <w:rPr>
          <w:rFonts w:hAnsi="宋体"/>
          <w:szCs w:val="21"/>
        </w:rPr>
        <w:t>本工程投标文件由</w:t>
      </w:r>
      <w:r>
        <w:rPr>
          <w:rFonts w:hAnsi="宋体"/>
          <w:b/>
          <w:szCs w:val="21"/>
          <w:u w:val="single"/>
        </w:rPr>
        <w:t>电子投标文件</w:t>
      </w:r>
      <w:r>
        <w:rPr>
          <w:rFonts w:hint="eastAsia" w:hAnsi="宋体"/>
          <w:b/>
          <w:szCs w:val="21"/>
          <w:u w:val="single"/>
        </w:rPr>
        <w:t>(</w:t>
      </w:r>
      <w:r>
        <w:rPr>
          <w:rFonts w:hAnsi="宋体"/>
          <w:b/>
          <w:szCs w:val="21"/>
          <w:u w:val="single"/>
        </w:rPr>
        <w:t>光盘</w:t>
      </w:r>
      <w:r>
        <w:rPr>
          <w:rFonts w:hint="eastAsia" w:hAnsi="宋体"/>
          <w:b/>
          <w:szCs w:val="21"/>
          <w:u w:val="single"/>
        </w:rPr>
        <w:t>)</w:t>
      </w:r>
      <w:r>
        <w:rPr>
          <w:rFonts w:hAnsi="宋体"/>
          <w:b/>
          <w:szCs w:val="21"/>
          <w:u w:val="single"/>
        </w:rPr>
        <w:t>、资格审查资料包、商务标、资格审查资料原件包</w:t>
      </w:r>
      <w:r>
        <w:rPr>
          <w:rFonts w:hAnsi="宋体"/>
          <w:szCs w:val="21"/>
        </w:rPr>
        <w:t>四部分组成，具体应包括以下内容：</w:t>
      </w:r>
    </w:p>
    <w:p>
      <w:pPr>
        <w:spacing w:line="360" w:lineRule="auto"/>
        <w:ind w:firstLine="480"/>
        <w:rPr>
          <w:b/>
          <w:szCs w:val="21"/>
        </w:rPr>
      </w:pPr>
      <w:r>
        <w:rPr>
          <w:b/>
          <w:bCs/>
          <w:szCs w:val="21"/>
        </w:rPr>
        <w:t>9.1</w:t>
      </w:r>
      <w:r>
        <w:rPr>
          <w:rFonts w:hAnsi="宋体"/>
          <w:b/>
          <w:bCs/>
          <w:szCs w:val="21"/>
        </w:rPr>
        <w:t>电子投标文件包括</w:t>
      </w:r>
      <w:r>
        <w:rPr>
          <w:b/>
          <w:bCs/>
          <w:szCs w:val="21"/>
          <w:u w:val="single"/>
        </w:rPr>
        <w:t xml:space="preserve">9.2.1 </w:t>
      </w:r>
      <w:r>
        <w:rPr>
          <w:rFonts w:hAnsi="宋体"/>
          <w:b/>
          <w:bCs/>
          <w:szCs w:val="21"/>
        </w:rPr>
        <w:t>、</w:t>
      </w:r>
      <w:r>
        <w:rPr>
          <w:b/>
          <w:bCs/>
          <w:szCs w:val="21"/>
          <w:u w:val="single"/>
        </w:rPr>
        <w:t>9.2.2</w:t>
      </w:r>
      <w:r>
        <w:rPr>
          <w:rFonts w:hAnsi="宋体"/>
          <w:b/>
          <w:bCs/>
          <w:szCs w:val="21"/>
        </w:rPr>
        <w:t>所有内容，投标人应将所有资料</w:t>
      </w:r>
      <w:r>
        <w:rPr>
          <w:rFonts w:hAnsi="宋体"/>
          <w:b/>
          <w:szCs w:val="21"/>
        </w:rPr>
        <w:t>刻录于普通空白光盘，共刻录两份，一份商务标评标使用、一份商务标评标备用。</w:t>
      </w:r>
    </w:p>
    <w:p>
      <w:pPr>
        <w:spacing w:line="360" w:lineRule="auto"/>
        <w:ind w:firstLine="480"/>
        <w:rPr>
          <w:b/>
          <w:bCs/>
          <w:szCs w:val="21"/>
        </w:rPr>
      </w:pPr>
      <w:r>
        <w:rPr>
          <w:b/>
          <w:bCs/>
          <w:szCs w:val="21"/>
        </w:rPr>
        <w:t>9.1.1</w:t>
      </w:r>
      <w:r>
        <w:rPr>
          <w:rFonts w:hAnsi="宋体"/>
          <w:b/>
          <w:bCs/>
          <w:szCs w:val="21"/>
        </w:rPr>
        <w:t>电子投标文件格式要求</w:t>
      </w:r>
    </w:p>
    <w:p>
      <w:pPr>
        <w:spacing w:line="360" w:lineRule="auto"/>
        <w:ind w:firstLine="480"/>
        <w:rPr>
          <w:b/>
          <w:szCs w:val="21"/>
        </w:rPr>
      </w:pPr>
      <w:r>
        <w:rPr>
          <w:rFonts w:hAnsi="宋体"/>
          <w:b/>
          <w:szCs w:val="21"/>
        </w:rPr>
        <w:t>（</w:t>
      </w:r>
      <w:r>
        <w:rPr>
          <w:b/>
          <w:szCs w:val="21"/>
        </w:rPr>
        <w:t>1</w:t>
      </w:r>
      <w:r>
        <w:rPr>
          <w:rFonts w:hAnsi="宋体"/>
          <w:b/>
          <w:szCs w:val="21"/>
        </w:rPr>
        <w:t>）应将</w:t>
      </w:r>
      <w:r>
        <w:rPr>
          <w:b/>
          <w:szCs w:val="21"/>
          <w:u w:val="single"/>
        </w:rPr>
        <w:t xml:space="preserve"> 9.2.1</w:t>
      </w:r>
      <w:r>
        <w:rPr>
          <w:rFonts w:hAnsi="宋体"/>
          <w:b/>
          <w:szCs w:val="21"/>
          <w:u w:val="single"/>
        </w:rPr>
        <w:t>条所有资料</w:t>
      </w:r>
      <w:r>
        <w:rPr>
          <w:rFonts w:hAnsi="宋体"/>
          <w:b/>
          <w:szCs w:val="21"/>
        </w:rPr>
        <w:t>原件扫描保存为</w:t>
      </w:r>
      <w:r>
        <w:rPr>
          <w:b/>
          <w:szCs w:val="21"/>
        </w:rPr>
        <w:t>JPGE</w:t>
      </w:r>
      <w:r>
        <w:rPr>
          <w:rFonts w:hAnsi="宋体"/>
          <w:b/>
          <w:szCs w:val="21"/>
        </w:rPr>
        <w:t>图片格式或</w:t>
      </w:r>
      <w:r>
        <w:rPr>
          <w:b/>
          <w:szCs w:val="21"/>
        </w:rPr>
        <w:t>pdf</w:t>
      </w:r>
      <w:r>
        <w:rPr>
          <w:rFonts w:hAnsi="宋体"/>
          <w:b/>
          <w:szCs w:val="21"/>
        </w:rPr>
        <w:t>格式</w:t>
      </w:r>
      <w:r>
        <w:rPr>
          <w:rFonts w:hint="eastAsia" w:hAnsi="宋体"/>
          <w:b/>
          <w:szCs w:val="21"/>
        </w:rPr>
        <w:t>；</w:t>
      </w:r>
      <w:r>
        <w:rPr>
          <w:b/>
          <w:szCs w:val="21"/>
        </w:rPr>
        <w:t>9.2.1</w:t>
      </w:r>
      <w:r>
        <w:rPr>
          <w:rFonts w:hAnsi="宋体"/>
          <w:b/>
          <w:szCs w:val="21"/>
        </w:rPr>
        <w:t>条所有资料保存刻录于光盘中。提供资料扫描件均须完整的原件扫描，否则视为不实质性响应招标文件。投标人须对所提供资料的真实性承担相应的法律责任。</w:t>
      </w:r>
    </w:p>
    <w:p>
      <w:pPr>
        <w:spacing w:line="360" w:lineRule="auto"/>
        <w:ind w:firstLine="480"/>
        <w:rPr>
          <w:b/>
          <w:szCs w:val="21"/>
        </w:rPr>
      </w:pPr>
      <w:r>
        <w:rPr>
          <w:rFonts w:hAnsi="宋体"/>
          <w:b/>
          <w:szCs w:val="21"/>
        </w:rPr>
        <w:t>（</w:t>
      </w:r>
      <w:r>
        <w:rPr>
          <w:b/>
          <w:szCs w:val="21"/>
        </w:rPr>
        <w:t>2</w:t>
      </w:r>
      <w:r>
        <w:rPr>
          <w:rFonts w:hAnsi="宋体"/>
          <w:b/>
          <w:szCs w:val="21"/>
        </w:rPr>
        <w:t>）商务标中</w:t>
      </w:r>
      <w:r>
        <w:rPr>
          <w:rFonts w:hAnsi="宋体"/>
          <w:b/>
          <w:szCs w:val="21"/>
          <w:u w:val="single"/>
        </w:rPr>
        <w:t>已标价的工程量清单，必须保存为</w:t>
      </w:r>
      <w:r>
        <w:rPr>
          <w:b/>
          <w:szCs w:val="21"/>
          <w:u w:val="single"/>
        </w:rPr>
        <w:t>13jt</w:t>
      </w:r>
      <w:r>
        <w:rPr>
          <w:rFonts w:hAnsi="宋体"/>
          <w:b/>
          <w:szCs w:val="21"/>
          <w:u w:val="single"/>
        </w:rPr>
        <w:t>格式，</w:t>
      </w:r>
      <w:r>
        <w:rPr>
          <w:rFonts w:hAnsi="宋体"/>
          <w:b/>
          <w:szCs w:val="21"/>
        </w:rPr>
        <w:t>除已标价的工程量外的其他文件资料应保存为</w:t>
      </w:r>
      <w:r>
        <w:rPr>
          <w:b/>
          <w:szCs w:val="21"/>
        </w:rPr>
        <w:t xml:space="preserve">office word </w:t>
      </w:r>
      <w:r>
        <w:rPr>
          <w:rFonts w:hAnsi="宋体"/>
          <w:b/>
          <w:szCs w:val="21"/>
        </w:rPr>
        <w:t>格式（</w:t>
      </w:r>
      <w:r>
        <w:rPr>
          <w:b/>
          <w:szCs w:val="21"/>
        </w:rPr>
        <w:t>.doc</w:t>
      </w:r>
      <w:r>
        <w:rPr>
          <w:rFonts w:hAnsi="宋体"/>
          <w:b/>
          <w:szCs w:val="21"/>
        </w:rPr>
        <w:t>或</w:t>
      </w:r>
      <w:r>
        <w:rPr>
          <w:b/>
          <w:szCs w:val="21"/>
        </w:rPr>
        <w:t>.docx</w:t>
      </w:r>
      <w:r>
        <w:rPr>
          <w:rFonts w:hAnsi="宋体"/>
          <w:b/>
          <w:szCs w:val="21"/>
        </w:rPr>
        <w:t>格式），</w:t>
      </w:r>
      <w:r>
        <w:rPr>
          <w:b/>
          <w:szCs w:val="21"/>
        </w:rPr>
        <w:t>9.2.2</w:t>
      </w:r>
      <w:r>
        <w:rPr>
          <w:rFonts w:hAnsi="宋体"/>
          <w:b/>
          <w:szCs w:val="21"/>
        </w:rPr>
        <w:t>条商务标文件应保存刻录于光盘中。</w:t>
      </w:r>
      <w:r>
        <w:rPr>
          <w:rFonts w:hAnsi="宋体"/>
          <w:b/>
          <w:szCs w:val="21"/>
          <w:u w:val="single"/>
        </w:rPr>
        <w:t>如投标人未提供</w:t>
      </w:r>
      <w:r>
        <w:rPr>
          <w:b/>
          <w:szCs w:val="21"/>
          <w:u w:val="single"/>
        </w:rPr>
        <w:t>13jt</w:t>
      </w:r>
      <w:r>
        <w:rPr>
          <w:rFonts w:hAnsi="宋体"/>
          <w:b/>
          <w:szCs w:val="21"/>
          <w:u w:val="single"/>
        </w:rPr>
        <w:t>格式的已标价工程量清单将导致废标，</w:t>
      </w:r>
      <w:r>
        <w:rPr>
          <w:rFonts w:hAnsi="宋体"/>
          <w:b/>
          <w:bCs/>
          <w:szCs w:val="21"/>
          <w:u w:val="single"/>
        </w:rPr>
        <w:t>其后果由投标人自负。</w:t>
      </w:r>
      <w:r>
        <w:rPr>
          <w:rFonts w:hAnsi="宋体"/>
          <w:b/>
          <w:szCs w:val="21"/>
          <w:u w:val="single"/>
        </w:rPr>
        <w:t>）</w:t>
      </w:r>
    </w:p>
    <w:p>
      <w:pPr>
        <w:spacing w:line="360" w:lineRule="auto"/>
        <w:ind w:firstLine="480"/>
        <w:rPr>
          <w:rFonts w:hAnsi="宋体"/>
          <w:b/>
          <w:szCs w:val="21"/>
        </w:rPr>
      </w:pPr>
      <w:r>
        <w:rPr>
          <w:rFonts w:hAnsi="宋体"/>
          <w:b/>
          <w:bCs/>
          <w:szCs w:val="21"/>
        </w:rPr>
        <w:t>光盘</w:t>
      </w:r>
      <w:r>
        <w:rPr>
          <w:rFonts w:hAnsi="宋体"/>
          <w:b/>
          <w:szCs w:val="21"/>
        </w:rPr>
        <w:t>与纸质投标文件同时提交，并单独密封，封袋上加盖投标人单位公章和法定代表人印章。</w:t>
      </w:r>
    </w:p>
    <w:p>
      <w:pPr>
        <w:spacing w:line="360" w:lineRule="auto"/>
        <w:ind w:firstLine="480"/>
        <w:rPr>
          <w:b/>
          <w:bCs/>
          <w:szCs w:val="21"/>
        </w:rPr>
      </w:pPr>
      <w:r>
        <w:rPr>
          <w:rFonts w:hint="eastAsia" w:hAnsi="宋体"/>
          <w:b/>
          <w:szCs w:val="21"/>
        </w:rPr>
        <w:t>因投标人自身软件原因（如word、excel等软件版本过低）引起文件显示或其他问题，进而导致其投标无效，由投标人自行承担责任。</w:t>
      </w:r>
    </w:p>
    <w:p>
      <w:pPr>
        <w:spacing w:line="360" w:lineRule="auto"/>
        <w:ind w:firstLine="422" w:firstLineChars="200"/>
        <w:rPr>
          <w:b/>
          <w:szCs w:val="21"/>
        </w:rPr>
      </w:pPr>
      <w:r>
        <w:rPr>
          <w:b/>
          <w:szCs w:val="21"/>
        </w:rPr>
        <w:t xml:space="preserve">9.2.1 </w:t>
      </w:r>
      <w:r>
        <w:rPr>
          <w:rFonts w:hAnsi="宋体"/>
          <w:b/>
          <w:szCs w:val="21"/>
        </w:rPr>
        <w:t>资格审查资料包包括内容：</w:t>
      </w:r>
    </w:p>
    <w:p>
      <w:pPr>
        <w:spacing w:line="360" w:lineRule="auto"/>
        <w:ind w:firstLine="420" w:firstLineChars="200"/>
        <w:rPr>
          <w:szCs w:val="21"/>
        </w:rPr>
      </w:pPr>
      <w:r>
        <w:rPr>
          <w:szCs w:val="21"/>
        </w:rPr>
        <w:t>(1)</w:t>
      </w:r>
      <w:r>
        <w:rPr>
          <w:rFonts w:hAnsi="宋体"/>
          <w:szCs w:val="21"/>
        </w:rPr>
        <w:t>有效的企业法人营业执照（副本）复印件；</w:t>
      </w:r>
    </w:p>
    <w:p>
      <w:pPr>
        <w:spacing w:line="360" w:lineRule="auto"/>
        <w:ind w:firstLine="420" w:firstLineChars="200"/>
        <w:rPr>
          <w:szCs w:val="21"/>
        </w:rPr>
      </w:pPr>
      <w:r>
        <w:rPr>
          <w:szCs w:val="21"/>
        </w:rPr>
        <w:t>(2)</w:t>
      </w:r>
      <w:r>
        <w:rPr>
          <w:rFonts w:hAnsi="宋体"/>
          <w:szCs w:val="21"/>
        </w:rPr>
        <w:t>企业资质证书（副本）复印件；</w:t>
      </w:r>
    </w:p>
    <w:p>
      <w:pPr>
        <w:spacing w:line="360" w:lineRule="auto"/>
        <w:ind w:firstLine="420" w:firstLineChars="200"/>
        <w:rPr>
          <w:szCs w:val="21"/>
        </w:rPr>
      </w:pPr>
      <w:r>
        <w:rPr>
          <w:szCs w:val="21"/>
        </w:rPr>
        <w:t>(3)</w:t>
      </w:r>
      <w:r>
        <w:rPr>
          <w:rFonts w:hAnsi="宋体"/>
          <w:szCs w:val="21"/>
        </w:rPr>
        <w:t>企业安全生产许可证（副本）复印件；</w:t>
      </w:r>
    </w:p>
    <w:p>
      <w:pPr>
        <w:spacing w:line="360" w:lineRule="auto"/>
        <w:ind w:firstLine="315" w:firstLineChars="150"/>
        <w:rPr>
          <w:szCs w:val="21"/>
        </w:rPr>
      </w:pPr>
      <w:r>
        <w:rPr>
          <w:szCs w:val="21"/>
        </w:rPr>
        <w:t xml:space="preserve"> (</w:t>
      </w:r>
      <w:r>
        <w:rPr>
          <w:rFonts w:hint="eastAsia"/>
          <w:szCs w:val="21"/>
        </w:rPr>
        <w:t>4</w:t>
      </w:r>
      <w:r>
        <w:rPr>
          <w:szCs w:val="21"/>
        </w:rPr>
        <w:t>)</w:t>
      </w:r>
      <w:r>
        <w:rPr>
          <w:rFonts w:hAnsi="宋体"/>
          <w:szCs w:val="21"/>
        </w:rPr>
        <w:t>拟派项目负责人的建造师资格证书复印件；</w:t>
      </w:r>
    </w:p>
    <w:p>
      <w:pPr>
        <w:spacing w:line="360" w:lineRule="auto"/>
        <w:ind w:firstLine="420" w:firstLineChars="200"/>
        <w:rPr>
          <w:szCs w:val="21"/>
        </w:rPr>
      </w:pPr>
      <w:r>
        <w:rPr>
          <w:szCs w:val="21"/>
        </w:rPr>
        <w:t>(</w:t>
      </w:r>
      <w:r>
        <w:rPr>
          <w:rFonts w:hint="eastAsia"/>
          <w:szCs w:val="21"/>
        </w:rPr>
        <w:t>5</w:t>
      </w:r>
      <w:r>
        <w:rPr>
          <w:szCs w:val="21"/>
        </w:rPr>
        <w:t>)</w:t>
      </w:r>
      <w:r>
        <w:rPr>
          <w:rFonts w:hAnsi="宋体"/>
          <w:szCs w:val="21"/>
        </w:rPr>
        <w:t>拟派项目负责人安全生产考核合格证（</w:t>
      </w:r>
      <w:r>
        <w:rPr>
          <w:szCs w:val="21"/>
        </w:rPr>
        <w:t>B</w:t>
      </w:r>
      <w:r>
        <w:rPr>
          <w:rFonts w:hAnsi="宋体"/>
          <w:szCs w:val="21"/>
        </w:rPr>
        <w:t>证）复印件；</w:t>
      </w:r>
    </w:p>
    <w:p>
      <w:pPr>
        <w:spacing w:line="360" w:lineRule="auto"/>
        <w:ind w:firstLine="420" w:firstLineChars="200"/>
        <w:rPr>
          <w:szCs w:val="21"/>
        </w:rPr>
      </w:pPr>
      <w:r>
        <w:rPr>
          <w:szCs w:val="21"/>
        </w:rPr>
        <w:t>(</w:t>
      </w:r>
      <w:r>
        <w:rPr>
          <w:rFonts w:hint="eastAsia"/>
          <w:szCs w:val="21"/>
        </w:rPr>
        <w:t>6</w:t>
      </w:r>
      <w:r>
        <w:rPr>
          <w:szCs w:val="21"/>
        </w:rPr>
        <w:t>)</w:t>
      </w:r>
      <w:r>
        <w:rPr>
          <w:rFonts w:hAnsi="宋体"/>
          <w:szCs w:val="21"/>
        </w:rPr>
        <w:t>拟派项目负责人为投标企业正式人员证明材料复印件；</w:t>
      </w:r>
    </w:p>
    <w:p>
      <w:pPr>
        <w:spacing w:line="360" w:lineRule="auto"/>
        <w:ind w:firstLine="420" w:firstLineChars="200"/>
        <w:rPr>
          <w:szCs w:val="21"/>
        </w:rPr>
      </w:pPr>
      <w:r>
        <w:rPr>
          <w:rFonts w:hAnsi="宋体"/>
          <w:szCs w:val="21"/>
        </w:rPr>
        <w:t>（投标企业必须提供：投标企业与项目经理双方签订的有效劳动合同书）</w:t>
      </w:r>
    </w:p>
    <w:p>
      <w:pPr>
        <w:spacing w:line="360" w:lineRule="auto"/>
        <w:ind w:firstLine="420" w:firstLineChars="200"/>
        <w:rPr>
          <w:rFonts w:hAnsi="宋体"/>
          <w:szCs w:val="21"/>
        </w:rPr>
      </w:pPr>
      <w:r>
        <w:rPr>
          <w:szCs w:val="21"/>
        </w:rPr>
        <w:t>(</w:t>
      </w:r>
      <w:r>
        <w:rPr>
          <w:rFonts w:hint="eastAsia"/>
          <w:szCs w:val="21"/>
        </w:rPr>
        <w:t>7</w:t>
      </w:r>
      <w:r>
        <w:rPr>
          <w:szCs w:val="21"/>
        </w:rPr>
        <w:t xml:space="preserve">) </w:t>
      </w:r>
      <w:r>
        <w:rPr>
          <w:rFonts w:hAnsi="宋体"/>
          <w:szCs w:val="21"/>
        </w:rPr>
        <w:t>拟派项目负责人无在建工程（详见第七章</w:t>
      </w:r>
      <w:r>
        <w:rPr>
          <w:szCs w:val="21"/>
        </w:rPr>
        <w:t>—</w:t>
      </w:r>
      <w:r>
        <w:rPr>
          <w:rFonts w:hAnsi="宋体"/>
          <w:szCs w:val="21"/>
        </w:rPr>
        <w:t>诚信承诺书）；</w:t>
      </w:r>
    </w:p>
    <w:p>
      <w:pPr>
        <w:spacing w:line="360" w:lineRule="auto"/>
        <w:ind w:firstLine="420" w:firstLineChars="200"/>
        <w:rPr>
          <w:szCs w:val="21"/>
        </w:rPr>
      </w:pPr>
      <w:r>
        <w:rPr>
          <w:szCs w:val="21"/>
        </w:rPr>
        <w:t xml:space="preserve">(8) </w:t>
      </w:r>
      <w:r>
        <w:rPr>
          <w:rFonts w:hAnsi="宋体"/>
          <w:szCs w:val="21"/>
        </w:rPr>
        <w:t>工程完工证明复印件</w:t>
      </w:r>
      <w:r>
        <w:rPr>
          <w:rFonts w:hAnsi="宋体"/>
          <w:b/>
          <w:szCs w:val="21"/>
        </w:rPr>
        <w:t>（如有）</w:t>
      </w:r>
    </w:p>
    <w:p>
      <w:pPr>
        <w:spacing w:line="360" w:lineRule="auto"/>
        <w:ind w:firstLine="420" w:firstLineChars="200"/>
        <w:rPr>
          <w:szCs w:val="21"/>
        </w:rPr>
      </w:pPr>
      <w:r>
        <w:rPr>
          <w:rFonts w:hAnsi="宋体"/>
          <w:szCs w:val="21"/>
        </w:rPr>
        <w:t>拟派项目经理在崇川区范围内有在建工程的，虽然未正式竣工验收但工程确已完工的，必须有由建设单位出具</w:t>
      </w:r>
      <w:r>
        <w:rPr>
          <w:szCs w:val="21"/>
        </w:rPr>
        <w:t>“</w:t>
      </w:r>
      <w:r>
        <w:rPr>
          <w:rFonts w:hAnsi="宋体"/>
          <w:szCs w:val="21"/>
        </w:rPr>
        <w:t>工程已完工，同意项目经理参加其他工程招投标活动</w:t>
      </w:r>
      <w:r>
        <w:rPr>
          <w:szCs w:val="21"/>
        </w:rPr>
        <w:t>”</w:t>
      </w:r>
      <w:r>
        <w:rPr>
          <w:rFonts w:hAnsi="宋体"/>
          <w:szCs w:val="21"/>
        </w:rPr>
        <w:t>的证明。无此证明的一律做废标处理。证明格式详见第七章</w:t>
      </w:r>
      <w:r>
        <w:rPr>
          <w:szCs w:val="21"/>
        </w:rPr>
        <w:t>—</w:t>
      </w:r>
      <w:r>
        <w:rPr>
          <w:rFonts w:hAnsi="宋体"/>
          <w:szCs w:val="21"/>
        </w:rPr>
        <w:t>工程完工证明</w:t>
      </w:r>
    </w:p>
    <w:p>
      <w:pPr>
        <w:spacing w:line="360" w:lineRule="auto"/>
        <w:ind w:firstLine="420" w:firstLineChars="200"/>
        <w:rPr>
          <w:szCs w:val="21"/>
        </w:rPr>
      </w:pPr>
      <w:r>
        <w:rPr>
          <w:szCs w:val="21"/>
        </w:rPr>
        <w:t xml:space="preserve"> (</w:t>
      </w:r>
      <w:r>
        <w:rPr>
          <w:rFonts w:hint="eastAsia"/>
          <w:szCs w:val="21"/>
        </w:rPr>
        <w:t>9</w:t>
      </w:r>
      <w:r>
        <w:rPr>
          <w:szCs w:val="21"/>
        </w:rPr>
        <w:t xml:space="preserve">) </w:t>
      </w:r>
      <w:r>
        <w:rPr>
          <w:rFonts w:hAnsi="宋体"/>
          <w:szCs w:val="21"/>
        </w:rPr>
        <w:t>资格审查文件表格</w:t>
      </w:r>
      <w:r>
        <w:rPr>
          <w:rFonts w:hAnsi="宋体"/>
          <w:b/>
          <w:szCs w:val="21"/>
        </w:rPr>
        <w:t>（格式详见招标文件第七章的）</w:t>
      </w:r>
      <w:r>
        <w:rPr>
          <w:rFonts w:hAnsi="宋体"/>
          <w:szCs w:val="21"/>
        </w:rPr>
        <w:t>。</w:t>
      </w:r>
    </w:p>
    <w:p>
      <w:pPr>
        <w:spacing w:line="360" w:lineRule="auto"/>
        <w:ind w:firstLine="527" w:firstLineChars="250"/>
        <w:rPr>
          <w:szCs w:val="21"/>
        </w:rPr>
      </w:pPr>
      <w:r>
        <w:rPr>
          <w:rFonts w:hAnsi="宋体"/>
          <w:b/>
          <w:szCs w:val="21"/>
          <w:u w:val="single"/>
        </w:rPr>
        <w:t>具体要求详见本招标文件第二章中附件《资格审查标准汇总表》。提供的资格审查材料及审查标准，前后矛盾的以《资格审查标准汇总表》为准。</w:t>
      </w:r>
    </w:p>
    <w:p>
      <w:pPr>
        <w:spacing w:line="360" w:lineRule="auto"/>
        <w:ind w:firstLine="527" w:firstLineChars="250"/>
        <w:rPr>
          <w:szCs w:val="21"/>
        </w:rPr>
      </w:pPr>
      <w:r>
        <w:rPr>
          <w:rFonts w:hAnsi="宋体"/>
          <w:b/>
          <w:szCs w:val="21"/>
          <w:u w:val="single"/>
        </w:rPr>
        <w:t>以上复印件须加盖投标单位公章，所有材料须统一密封在一个封袋中并编写材料目录，以便在开标时核查，并在封袋上加盖投标人单位公章和法定代表人印章。</w:t>
      </w:r>
    </w:p>
    <w:p>
      <w:pPr>
        <w:spacing w:line="360" w:lineRule="auto"/>
        <w:ind w:firstLine="422" w:firstLineChars="200"/>
        <w:rPr>
          <w:b/>
          <w:szCs w:val="21"/>
        </w:rPr>
      </w:pPr>
      <w:r>
        <w:rPr>
          <w:b/>
          <w:szCs w:val="21"/>
        </w:rPr>
        <w:t xml:space="preserve">9.2.2 </w:t>
      </w:r>
      <w:r>
        <w:rPr>
          <w:rFonts w:hAnsi="宋体"/>
          <w:b/>
          <w:szCs w:val="21"/>
        </w:rPr>
        <w:t>商务标</w:t>
      </w:r>
    </w:p>
    <w:p>
      <w:pPr>
        <w:spacing w:line="360" w:lineRule="auto"/>
        <w:ind w:firstLine="420" w:firstLineChars="200"/>
        <w:rPr>
          <w:szCs w:val="21"/>
        </w:rPr>
      </w:pPr>
      <w:r>
        <w:rPr>
          <w:rFonts w:hAnsi="宋体"/>
          <w:szCs w:val="21"/>
        </w:rPr>
        <w:t>（</w:t>
      </w:r>
      <w:r>
        <w:rPr>
          <w:szCs w:val="21"/>
        </w:rPr>
        <w:t>1</w:t>
      </w:r>
      <w:r>
        <w:rPr>
          <w:rFonts w:hAnsi="宋体"/>
          <w:szCs w:val="21"/>
        </w:rPr>
        <w:t>）投标函；</w:t>
      </w:r>
    </w:p>
    <w:p>
      <w:pPr>
        <w:spacing w:line="360" w:lineRule="auto"/>
        <w:ind w:firstLine="420" w:firstLineChars="200"/>
        <w:rPr>
          <w:szCs w:val="21"/>
        </w:rPr>
      </w:pPr>
      <w:r>
        <w:rPr>
          <w:rFonts w:hAnsi="宋体"/>
          <w:szCs w:val="21"/>
        </w:rPr>
        <w:t>（</w:t>
      </w:r>
      <w:r>
        <w:rPr>
          <w:szCs w:val="21"/>
        </w:rPr>
        <w:t>2</w:t>
      </w:r>
      <w:r>
        <w:rPr>
          <w:rFonts w:hAnsi="宋体"/>
          <w:szCs w:val="21"/>
        </w:rPr>
        <w:t>）法定代表人身份证明书；</w:t>
      </w:r>
    </w:p>
    <w:p>
      <w:pPr>
        <w:spacing w:line="360" w:lineRule="auto"/>
        <w:ind w:firstLine="420" w:firstLineChars="200"/>
        <w:rPr>
          <w:szCs w:val="21"/>
        </w:rPr>
      </w:pPr>
      <w:r>
        <w:rPr>
          <w:rFonts w:hAnsi="宋体"/>
          <w:szCs w:val="21"/>
        </w:rPr>
        <w:t>（</w:t>
      </w:r>
      <w:r>
        <w:rPr>
          <w:szCs w:val="21"/>
        </w:rPr>
        <w:t>3</w:t>
      </w:r>
      <w:r>
        <w:rPr>
          <w:rFonts w:hAnsi="宋体"/>
          <w:szCs w:val="21"/>
        </w:rPr>
        <w:t>）授权委托书</w:t>
      </w:r>
      <w:r>
        <w:rPr>
          <w:szCs w:val="21"/>
        </w:rPr>
        <w:t>(</w:t>
      </w:r>
      <w:r>
        <w:rPr>
          <w:rFonts w:hAnsi="宋体"/>
          <w:szCs w:val="21"/>
        </w:rPr>
        <w:t>如有授权</w:t>
      </w:r>
      <w:r>
        <w:rPr>
          <w:szCs w:val="21"/>
        </w:rPr>
        <w:t>)</w:t>
      </w:r>
      <w:r>
        <w:rPr>
          <w:rFonts w:hAnsi="宋体"/>
          <w:szCs w:val="21"/>
        </w:rPr>
        <w:t>；</w:t>
      </w:r>
    </w:p>
    <w:p>
      <w:pPr>
        <w:spacing w:line="360" w:lineRule="auto"/>
        <w:ind w:firstLine="420" w:firstLineChars="200"/>
        <w:rPr>
          <w:szCs w:val="21"/>
        </w:rPr>
      </w:pPr>
      <w:r>
        <w:rPr>
          <w:rFonts w:hAnsi="宋体"/>
          <w:szCs w:val="21"/>
        </w:rPr>
        <w:t>（</w:t>
      </w:r>
      <w:r>
        <w:rPr>
          <w:szCs w:val="21"/>
        </w:rPr>
        <w:t>4</w:t>
      </w:r>
      <w:r>
        <w:rPr>
          <w:rFonts w:hAnsi="宋体"/>
          <w:szCs w:val="21"/>
        </w:rPr>
        <w:t>）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w:t>
      </w:r>
      <w:r>
        <w:rPr>
          <w:szCs w:val="21"/>
        </w:rPr>
        <w:t>(</w:t>
      </w:r>
      <w:r>
        <w:rPr>
          <w:rFonts w:hAnsi="宋体"/>
          <w:szCs w:val="21"/>
        </w:rPr>
        <w:t>工程设备</w:t>
      </w:r>
      <w:r>
        <w:rPr>
          <w:szCs w:val="21"/>
        </w:rPr>
        <w:t>)</w:t>
      </w:r>
      <w:r>
        <w:rPr>
          <w:rFonts w:hAnsi="宋体"/>
          <w:szCs w:val="21"/>
        </w:rPr>
        <w:t>暂估单价及调整表、专业工程暂估价及结算价表、计日工表、总承包服务费计价表、规费、税金项目清单与计价表等；</w:t>
      </w:r>
    </w:p>
    <w:p>
      <w:pPr>
        <w:spacing w:line="360" w:lineRule="auto"/>
        <w:ind w:firstLine="420" w:firstLineChars="200"/>
        <w:rPr>
          <w:szCs w:val="21"/>
        </w:rPr>
      </w:pPr>
      <w:r>
        <w:rPr>
          <w:rFonts w:hAnsi="宋体"/>
          <w:szCs w:val="21"/>
        </w:rPr>
        <w:t>（</w:t>
      </w:r>
      <w:r>
        <w:rPr>
          <w:szCs w:val="21"/>
        </w:rPr>
        <w:t>5</w:t>
      </w:r>
      <w:r>
        <w:rPr>
          <w:rFonts w:hAnsi="宋体"/>
          <w:szCs w:val="21"/>
        </w:rPr>
        <w:t>）主材、特材和其他需发包人供应的材料用量；发包人供应材料一览表、承包人供应主要材料一览表；</w:t>
      </w:r>
    </w:p>
    <w:p>
      <w:pPr>
        <w:spacing w:line="360" w:lineRule="auto"/>
        <w:ind w:left="-315" w:leftChars="-150" w:firstLine="693" w:firstLineChars="330"/>
        <w:rPr>
          <w:rFonts w:hAnsi="宋体"/>
          <w:szCs w:val="21"/>
        </w:rPr>
      </w:pPr>
      <w:r>
        <w:rPr>
          <w:rFonts w:hAnsi="宋体"/>
          <w:szCs w:val="21"/>
        </w:rPr>
        <w:t>（</w:t>
      </w:r>
      <w:r>
        <w:rPr>
          <w:szCs w:val="21"/>
        </w:rPr>
        <w:t>6</w:t>
      </w:r>
      <w:r>
        <w:rPr>
          <w:rFonts w:hAnsi="宋体"/>
          <w:szCs w:val="21"/>
        </w:rPr>
        <w:t>）计划投入的主要施工机械设备表、主要施工管理人员表</w:t>
      </w:r>
      <w:r>
        <w:rPr>
          <w:rFonts w:hint="eastAsia" w:hAnsi="宋体"/>
          <w:szCs w:val="21"/>
        </w:rPr>
        <w:t>；</w:t>
      </w:r>
    </w:p>
    <w:p>
      <w:pPr>
        <w:spacing w:line="360" w:lineRule="auto"/>
        <w:ind w:firstLine="480"/>
        <w:rPr>
          <w:b/>
          <w:szCs w:val="21"/>
        </w:rPr>
      </w:pPr>
      <w:r>
        <w:rPr>
          <w:b/>
          <w:szCs w:val="21"/>
        </w:rPr>
        <w:t xml:space="preserve">9.3 </w:t>
      </w:r>
      <w:r>
        <w:rPr>
          <w:rFonts w:hAnsi="宋体"/>
          <w:b/>
          <w:szCs w:val="21"/>
        </w:rPr>
        <w:t>资格审查资料原件包包括以下内容：</w:t>
      </w:r>
    </w:p>
    <w:p>
      <w:pPr>
        <w:spacing w:line="360" w:lineRule="auto"/>
        <w:ind w:firstLine="420" w:firstLineChars="200"/>
        <w:rPr>
          <w:szCs w:val="21"/>
        </w:rPr>
      </w:pPr>
      <w:r>
        <w:rPr>
          <w:szCs w:val="21"/>
        </w:rPr>
        <w:t>(1)</w:t>
      </w:r>
      <w:r>
        <w:rPr>
          <w:rFonts w:hAnsi="宋体"/>
          <w:szCs w:val="21"/>
        </w:rPr>
        <w:t>有效的企业法人营业执照（副本）；</w:t>
      </w:r>
    </w:p>
    <w:p>
      <w:pPr>
        <w:spacing w:line="360" w:lineRule="auto"/>
        <w:ind w:firstLine="420" w:firstLineChars="200"/>
        <w:rPr>
          <w:szCs w:val="21"/>
        </w:rPr>
      </w:pPr>
      <w:r>
        <w:rPr>
          <w:szCs w:val="21"/>
        </w:rPr>
        <w:t>(2)</w:t>
      </w:r>
      <w:r>
        <w:rPr>
          <w:rFonts w:hAnsi="宋体"/>
          <w:szCs w:val="21"/>
        </w:rPr>
        <w:t>企业资质证书（副本）；</w:t>
      </w:r>
    </w:p>
    <w:p>
      <w:pPr>
        <w:spacing w:line="360" w:lineRule="auto"/>
        <w:ind w:firstLine="420" w:firstLineChars="200"/>
        <w:rPr>
          <w:szCs w:val="21"/>
        </w:rPr>
      </w:pPr>
      <w:r>
        <w:rPr>
          <w:szCs w:val="21"/>
        </w:rPr>
        <w:t>(3)</w:t>
      </w:r>
      <w:r>
        <w:rPr>
          <w:rFonts w:hAnsi="宋体"/>
          <w:szCs w:val="21"/>
        </w:rPr>
        <w:t>企业安全生产许可证（副本）；</w:t>
      </w:r>
    </w:p>
    <w:p>
      <w:pPr>
        <w:spacing w:line="360" w:lineRule="auto"/>
        <w:ind w:firstLine="315" w:firstLineChars="150"/>
        <w:rPr>
          <w:szCs w:val="21"/>
        </w:rPr>
      </w:pPr>
      <w:r>
        <w:rPr>
          <w:szCs w:val="21"/>
        </w:rPr>
        <w:t xml:space="preserve"> (</w:t>
      </w:r>
      <w:r>
        <w:rPr>
          <w:rFonts w:hint="eastAsia"/>
          <w:szCs w:val="21"/>
        </w:rPr>
        <w:t>4</w:t>
      </w:r>
      <w:r>
        <w:rPr>
          <w:szCs w:val="21"/>
        </w:rPr>
        <w:t>)</w:t>
      </w:r>
      <w:r>
        <w:rPr>
          <w:rFonts w:hAnsi="宋体"/>
          <w:szCs w:val="21"/>
        </w:rPr>
        <w:t>拟派项目负责人的建造师资格证书；</w:t>
      </w:r>
    </w:p>
    <w:p>
      <w:pPr>
        <w:spacing w:line="360" w:lineRule="auto"/>
        <w:ind w:firstLine="420" w:firstLineChars="200"/>
        <w:rPr>
          <w:szCs w:val="21"/>
        </w:rPr>
      </w:pPr>
      <w:r>
        <w:rPr>
          <w:szCs w:val="21"/>
        </w:rPr>
        <w:t>(</w:t>
      </w:r>
      <w:r>
        <w:rPr>
          <w:rFonts w:hint="eastAsia"/>
          <w:szCs w:val="21"/>
        </w:rPr>
        <w:t>5</w:t>
      </w:r>
      <w:r>
        <w:rPr>
          <w:szCs w:val="21"/>
        </w:rPr>
        <w:t>)</w:t>
      </w:r>
      <w:r>
        <w:rPr>
          <w:rFonts w:hAnsi="宋体"/>
          <w:szCs w:val="21"/>
        </w:rPr>
        <w:t>拟派项目负责人安全生产考核合格证（</w:t>
      </w:r>
      <w:r>
        <w:rPr>
          <w:szCs w:val="21"/>
        </w:rPr>
        <w:t>B</w:t>
      </w:r>
      <w:r>
        <w:rPr>
          <w:rFonts w:hAnsi="宋体"/>
          <w:szCs w:val="21"/>
        </w:rPr>
        <w:t>证）；</w:t>
      </w:r>
    </w:p>
    <w:p>
      <w:pPr>
        <w:spacing w:line="360" w:lineRule="auto"/>
        <w:ind w:firstLine="420" w:firstLineChars="200"/>
        <w:rPr>
          <w:szCs w:val="21"/>
        </w:rPr>
      </w:pPr>
      <w:r>
        <w:rPr>
          <w:szCs w:val="21"/>
        </w:rPr>
        <w:t>(</w:t>
      </w:r>
      <w:r>
        <w:rPr>
          <w:rFonts w:hint="eastAsia"/>
          <w:szCs w:val="21"/>
        </w:rPr>
        <w:t>6</w:t>
      </w:r>
      <w:r>
        <w:rPr>
          <w:szCs w:val="21"/>
        </w:rPr>
        <w:t>)</w:t>
      </w:r>
      <w:r>
        <w:rPr>
          <w:rFonts w:hAnsi="宋体"/>
          <w:szCs w:val="21"/>
        </w:rPr>
        <w:t>拟派项目负责人为投标企业正式人员证明材料</w:t>
      </w:r>
      <w:r>
        <w:rPr>
          <w:rFonts w:hAnsi="宋体"/>
          <w:b/>
          <w:szCs w:val="21"/>
        </w:rPr>
        <w:t>原件</w:t>
      </w:r>
      <w:r>
        <w:rPr>
          <w:rFonts w:hAnsi="宋体"/>
          <w:szCs w:val="21"/>
        </w:rPr>
        <w:t>；</w:t>
      </w:r>
    </w:p>
    <w:p>
      <w:pPr>
        <w:spacing w:line="360" w:lineRule="auto"/>
        <w:ind w:firstLine="420" w:firstLineChars="200"/>
        <w:rPr>
          <w:szCs w:val="21"/>
        </w:rPr>
      </w:pPr>
      <w:r>
        <w:rPr>
          <w:rFonts w:hAnsi="宋体"/>
          <w:szCs w:val="21"/>
        </w:rPr>
        <w:t>（投标企业必须提供：投标企业与项目经理双方签订的有效劳动合同书）</w:t>
      </w:r>
    </w:p>
    <w:p>
      <w:pPr>
        <w:spacing w:line="360" w:lineRule="auto"/>
        <w:ind w:firstLine="420" w:firstLineChars="200"/>
        <w:rPr>
          <w:rFonts w:hAnsi="宋体"/>
          <w:szCs w:val="21"/>
        </w:rPr>
      </w:pPr>
      <w:r>
        <w:rPr>
          <w:szCs w:val="21"/>
        </w:rPr>
        <w:t>(</w:t>
      </w:r>
      <w:r>
        <w:rPr>
          <w:rFonts w:hint="eastAsia"/>
          <w:szCs w:val="21"/>
        </w:rPr>
        <w:t>7</w:t>
      </w:r>
      <w:r>
        <w:rPr>
          <w:szCs w:val="21"/>
        </w:rPr>
        <w:t xml:space="preserve">) </w:t>
      </w:r>
      <w:r>
        <w:rPr>
          <w:rFonts w:hAnsi="宋体"/>
          <w:szCs w:val="21"/>
        </w:rPr>
        <w:t>拟派项目负责人无在建工程原件（详见第七章</w:t>
      </w:r>
      <w:r>
        <w:rPr>
          <w:szCs w:val="21"/>
        </w:rPr>
        <w:t>—</w:t>
      </w:r>
      <w:r>
        <w:rPr>
          <w:rFonts w:hAnsi="宋体"/>
          <w:szCs w:val="21"/>
        </w:rPr>
        <w:t>诚信承诺书）；</w:t>
      </w:r>
    </w:p>
    <w:p>
      <w:pPr>
        <w:spacing w:line="360" w:lineRule="auto"/>
        <w:ind w:firstLine="420" w:firstLineChars="200"/>
        <w:rPr>
          <w:szCs w:val="21"/>
        </w:rPr>
      </w:pPr>
      <w:r>
        <w:rPr>
          <w:szCs w:val="21"/>
        </w:rPr>
        <w:t xml:space="preserve">(8) </w:t>
      </w:r>
      <w:r>
        <w:rPr>
          <w:rFonts w:hAnsi="宋体"/>
          <w:szCs w:val="21"/>
        </w:rPr>
        <w:t>工程完工证明原件</w:t>
      </w:r>
      <w:r>
        <w:rPr>
          <w:rFonts w:hAnsi="宋体"/>
          <w:b/>
          <w:szCs w:val="21"/>
        </w:rPr>
        <w:t>（如有）</w:t>
      </w:r>
    </w:p>
    <w:p>
      <w:pPr>
        <w:spacing w:line="360" w:lineRule="auto"/>
        <w:ind w:firstLine="420" w:firstLineChars="200"/>
        <w:rPr>
          <w:szCs w:val="21"/>
        </w:rPr>
      </w:pPr>
      <w:r>
        <w:rPr>
          <w:rFonts w:hAnsi="宋体"/>
          <w:szCs w:val="21"/>
        </w:rPr>
        <w:t>拟派项目经理在崇川区范围内有在建工程的，虽然未正式竣工验收但工程确已完工的，必须有由建设单位出具</w:t>
      </w:r>
      <w:r>
        <w:rPr>
          <w:szCs w:val="21"/>
        </w:rPr>
        <w:t>“</w:t>
      </w:r>
      <w:r>
        <w:rPr>
          <w:rFonts w:hAnsi="宋体"/>
          <w:szCs w:val="21"/>
        </w:rPr>
        <w:t>工程已完工，同意项目经理参加其他工程招投标活动</w:t>
      </w:r>
      <w:r>
        <w:rPr>
          <w:szCs w:val="21"/>
        </w:rPr>
        <w:t>”</w:t>
      </w:r>
      <w:r>
        <w:rPr>
          <w:rFonts w:hAnsi="宋体"/>
          <w:szCs w:val="21"/>
        </w:rPr>
        <w:t>的证明。无此证明的一律做废标处理。证明格式详见第七章</w:t>
      </w:r>
      <w:r>
        <w:rPr>
          <w:szCs w:val="21"/>
        </w:rPr>
        <w:t>—</w:t>
      </w:r>
      <w:r>
        <w:rPr>
          <w:rFonts w:hAnsi="宋体"/>
          <w:szCs w:val="21"/>
        </w:rPr>
        <w:t>工程完工证明</w:t>
      </w:r>
    </w:p>
    <w:p>
      <w:pPr>
        <w:spacing w:line="360" w:lineRule="auto"/>
        <w:ind w:firstLine="527" w:firstLineChars="250"/>
        <w:rPr>
          <w:szCs w:val="21"/>
        </w:rPr>
      </w:pPr>
      <w:r>
        <w:rPr>
          <w:rFonts w:hAnsi="宋体"/>
          <w:b/>
          <w:szCs w:val="21"/>
          <w:u w:val="single"/>
        </w:rPr>
        <w:t>未尽之处具体详见第二章</w:t>
      </w:r>
      <w:r>
        <w:rPr>
          <w:b/>
          <w:szCs w:val="21"/>
          <w:u w:val="single"/>
        </w:rPr>
        <w:t>“</w:t>
      </w:r>
      <w:r>
        <w:rPr>
          <w:rFonts w:hAnsi="宋体"/>
          <w:b/>
          <w:szCs w:val="21"/>
          <w:u w:val="single"/>
        </w:rPr>
        <w:t>评标办法</w:t>
      </w:r>
      <w:r>
        <w:rPr>
          <w:b/>
          <w:szCs w:val="21"/>
          <w:u w:val="single"/>
        </w:rPr>
        <w:t>”</w:t>
      </w:r>
      <w:r>
        <w:rPr>
          <w:rFonts w:hAnsi="宋体"/>
          <w:b/>
          <w:szCs w:val="21"/>
          <w:u w:val="single"/>
        </w:rPr>
        <w:t>中的</w:t>
      </w:r>
      <w:r>
        <w:rPr>
          <w:b/>
          <w:szCs w:val="21"/>
          <w:u w:val="single"/>
        </w:rPr>
        <w:t>“</w:t>
      </w:r>
      <w:r>
        <w:rPr>
          <w:rFonts w:hAnsi="宋体"/>
          <w:b/>
          <w:szCs w:val="21"/>
          <w:u w:val="single"/>
        </w:rPr>
        <w:t>资格审查标准汇总表</w:t>
      </w:r>
      <w:r>
        <w:rPr>
          <w:b/>
          <w:szCs w:val="21"/>
          <w:u w:val="single"/>
        </w:rPr>
        <w:t>”</w:t>
      </w:r>
      <w:r>
        <w:rPr>
          <w:rFonts w:hAnsi="宋体"/>
          <w:b/>
          <w:szCs w:val="21"/>
          <w:u w:val="single"/>
        </w:rPr>
        <w:t>提供的资格审查材料及审查标准，前后矛盾的以《资格审查标准汇总表》为准。</w:t>
      </w:r>
    </w:p>
    <w:p>
      <w:pPr>
        <w:spacing w:line="360" w:lineRule="auto"/>
        <w:ind w:firstLine="527" w:firstLineChars="250"/>
        <w:rPr>
          <w:rFonts w:hAnsi="宋体"/>
          <w:b/>
          <w:szCs w:val="21"/>
        </w:rPr>
      </w:pPr>
      <w:r>
        <w:rPr>
          <w:rFonts w:hAnsi="宋体"/>
          <w:b/>
          <w:szCs w:val="21"/>
        </w:rPr>
        <w:t>以上原件密封在一个封袋中（以便在开标时核查），并在封袋上加盖投标人单位公章和法定代表人印章。</w:t>
      </w:r>
    </w:p>
    <w:p>
      <w:pPr>
        <w:spacing w:line="360" w:lineRule="auto"/>
        <w:ind w:firstLine="527" w:firstLineChars="250"/>
        <w:rPr>
          <w:rFonts w:hAnsi="宋体"/>
          <w:b/>
          <w:szCs w:val="21"/>
        </w:rPr>
      </w:pPr>
      <w:r>
        <w:rPr>
          <w:rFonts w:hint="eastAsia" w:hAnsi="宋体"/>
          <w:b/>
          <w:szCs w:val="21"/>
        </w:rPr>
        <w:t>本项目资格审查以资格审查资料包的内容为准，招标文件中要求提交的资料请各投标人务必提供齐全，资格审查资料原件包仅做备查，仅在资料包内容存在字迹模糊、分辨不清等情形时予以查验。</w:t>
      </w:r>
    </w:p>
    <w:p>
      <w:pPr>
        <w:spacing w:line="420" w:lineRule="exact"/>
        <w:ind w:firstLine="480"/>
        <w:rPr>
          <w:szCs w:val="21"/>
        </w:rPr>
      </w:pPr>
      <w:r>
        <w:rPr>
          <w:b/>
          <w:kern w:val="0"/>
          <w:szCs w:val="21"/>
        </w:rPr>
        <w:t>10.</w:t>
      </w:r>
      <w:r>
        <w:rPr>
          <w:rFonts w:hAnsi="宋体"/>
          <w:szCs w:val="21"/>
        </w:rPr>
        <w:t>招标文件提供的文件格式</w:t>
      </w:r>
      <w:r>
        <w:rPr>
          <w:szCs w:val="21"/>
        </w:rPr>
        <w:t>(</w:t>
      </w:r>
      <w:r>
        <w:rPr>
          <w:rFonts w:hAnsi="宋体"/>
          <w:szCs w:val="21"/>
        </w:rPr>
        <w:t>第六章</w:t>
      </w:r>
      <w:r>
        <w:rPr>
          <w:szCs w:val="21"/>
        </w:rPr>
        <w:t>)</w:t>
      </w:r>
      <w:r>
        <w:rPr>
          <w:rFonts w:hAnsi="宋体"/>
          <w:szCs w:val="21"/>
        </w:rPr>
        <w:t>投标人必须使用。但表式可以按同样格式进行扩展。</w:t>
      </w:r>
    </w:p>
    <w:p>
      <w:pPr>
        <w:spacing w:line="420" w:lineRule="exact"/>
        <w:ind w:firstLine="422" w:firstLineChars="200"/>
        <w:outlineLvl w:val="3"/>
        <w:rPr>
          <w:szCs w:val="21"/>
        </w:rPr>
      </w:pPr>
      <w:r>
        <w:rPr>
          <w:b/>
          <w:kern w:val="0"/>
          <w:szCs w:val="21"/>
        </w:rPr>
        <w:t>11.</w:t>
      </w:r>
      <w:r>
        <w:rPr>
          <w:rFonts w:hAnsi="宋体"/>
          <w:szCs w:val="21"/>
        </w:rPr>
        <w:t>纸质投标文件正本须用不能擦去的墨水书写或打印，投标文件副本可以复印，其正、副本都应装订成册，并在封面上正确标明</w:t>
      </w:r>
      <w:r>
        <w:rPr>
          <w:szCs w:val="21"/>
        </w:rPr>
        <w:t>“</w:t>
      </w:r>
      <w:r>
        <w:rPr>
          <w:rFonts w:hAnsi="宋体"/>
          <w:szCs w:val="21"/>
        </w:rPr>
        <w:t>正本</w:t>
      </w:r>
      <w:r>
        <w:rPr>
          <w:szCs w:val="21"/>
        </w:rPr>
        <w:t>”</w:t>
      </w:r>
      <w:r>
        <w:rPr>
          <w:rFonts w:hAnsi="宋体"/>
          <w:szCs w:val="21"/>
        </w:rPr>
        <w:t>、</w:t>
      </w:r>
      <w:r>
        <w:rPr>
          <w:szCs w:val="21"/>
        </w:rPr>
        <w:t>“</w:t>
      </w:r>
      <w:r>
        <w:rPr>
          <w:rFonts w:hAnsi="宋体"/>
          <w:szCs w:val="21"/>
        </w:rPr>
        <w:t>副本</w:t>
      </w:r>
      <w:r>
        <w:rPr>
          <w:szCs w:val="21"/>
        </w:rPr>
        <w:t>”</w:t>
      </w:r>
      <w:r>
        <w:rPr>
          <w:rFonts w:hAnsi="宋体"/>
          <w:szCs w:val="21"/>
        </w:rPr>
        <w:t>字样</w:t>
      </w:r>
      <w:r>
        <w:rPr>
          <w:rFonts w:hAnsi="宋体"/>
          <w:b/>
          <w:szCs w:val="21"/>
        </w:rPr>
        <w:t>（本项目仅需提供正本）</w:t>
      </w:r>
      <w:r>
        <w:rPr>
          <w:rFonts w:hAnsi="宋体"/>
          <w:szCs w:val="21"/>
        </w:rPr>
        <w:t>。电子标书、资格审查资料原件包、资格审查资料包、商务标分开装袋密封。</w:t>
      </w:r>
    </w:p>
    <w:p>
      <w:pPr>
        <w:spacing w:line="420" w:lineRule="exact"/>
        <w:ind w:firstLine="420" w:firstLineChars="200"/>
        <w:outlineLvl w:val="3"/>
        <w:rPr>
          <w:szCs w:val="21"/>
        </w:rPr>
      </w:pPr>
      <w:r>
        <w:rPr>
          <w:rFonts w:hAnsi="宋体"/>
          <w:szCs w:val="21"/>
        </w:rPr>
        <w:t>全套投标文件应无修改和行间插字。如有修改，须在修改处加盖投标人法定代表人或其代理人的印鉴。</w:t>
      </w:r>
    </w:p>
    <w:p>
      <w:pPr>
        <w:autoSpaceDE w:val="0"/>
        <w:autoSpaceDN w:val="0"/>
        <w:adjustRightInd w:val="0"/>
        <w:spacing w:line="420" w:lineRule="exact"/>
        <w:ind w:left="500"/>
        <w:jc w:val="left"/>
        <w:rPr>
          <w:b/>
          <w:kern w:val="0"/>
          <w:szCs w:val="21"/>
        </w:rPr>
      </w:pPr>
      <w:r>
        <w:rPr>
          <w:b/>
          <w:kern w:val="0"/>
          <w:szCs w:val="21"/>
        </w:rPr>
        <w:t>12.</w:t>
      </w:r>
      <w:r>
        <w:rPr>
          <w:rFonts w:hAnsi="宋体"/>
          <w:b/>
          <w:kern w:val="0"/>
          <w:szCs w:val="21"/>
        </w:rPr>
        <w:t>投标有效期</w:t>
      </w:r>
    </w:p>
    <w:p>
      <w:pPr>
        <w:autoSpaceDE w:val="0"/>
        <w:autoSpaceDN w:val="0"/>
        <w:adjustRightInd w:val="0"/>
        <w:spacing w:line="420" w:lineRule="exact"/>
        <w:ind w:left="500"/>
        <w:jc w:val="left"/>
        <w:rPr>
          <w:b/>
          <w:kern w:val="0"/>
          <w:szCs w:val="21"/>
        </w:rPr>
      </w:pPr>
      <w:r>
        <w:rPr>
          <w:b/>
          <w:kern w:val="0"/>
          <w:szCs w:val="21"/>
        </w:rPr>
        <w:t>投标文件自投标截止时间起至投标须知前附表规定的时间内有效。</w:t>
      </w:r>
    </w:p>
    <w:p>
      <w:pPr>
        <w:autoSpaceDE w:val="0"/>
        <w:autoSpaceDN w:val="0"/>
        <w:adjustRightInd w:val="0"/>
        <w:spacing w:line="420" w:lineRule="exact"/>
        <w:ind w:left="500"/>
        <w:jc w:val="left"/>
        <w:rPr>
          <w:b/>
          <w:kern w:val="0"/>
          <w:szCs w:val="21"/>
        </w:rPr>
      </w:pPr>
      <w:r>
        <w:rPr>
          <w:b/>
          <w:kern w:val="0"/>
          <w:szCs w:val="21"/>
        </w:rPr>
        <w:t>13.投标保证金</w:t>
      </w:r>
    </w:p>
    <w:p>
      <w:pPr>
        <w:spacing w:line="420" w:lineRule="exact"/>
        <w:ind w:firstLine="422" w:firstLineChars="200"/>
        <w:outlineLvl w:val="3"/>
        <w:rPr>
          <w:rFonts w:hAnsi="宋体"/>
          <w:b/>
          <w:bCs/>
          <w:szCs w:val="21"/>
        </w:rPr>
      </w:pPr>
      <w:r>
        <w:rPr>
          <w:rFonts w:hint="eastAsia" w:hAnsi="宋体"/>
          <w:b/>
          <w:bCs/>
          <w:szCs w:val="21"/>
        </w:rPr>
        <w:t>13.1投标人必须按照前附表第11项规定于投标文件提交截止时间前将投标保证金汇票和基本账户开户许可证（或基本存款账户信息）复印件（加盖单位公章）递交给招标代理查验；投标保证金（银行汇票形式）上必须注明收款人</w:t>
      </w:r>
      <w:r>
        <w:rPr>
          <w:rFonts w:hint="eastAsia" w:hAnsi="宋体"/>
          <w:b/>
          <w:bCs/>
          <w:szCs w:val="21"/>
          <w:highlight w:val="none"/>
        </w:rPr>
        <w:t>：南通市崇川区文峰街道办事处 ，用途：</w:t>
      </w:r>
      <w:r>
        <w:rPr>
          <w:rFonts w:hint="eastAsia" w:hAnsi="宋体"/>
          <w:b/>
          <w:bCs/>
          <w:szCs w:val="21"/>
          <w:highlight w:val="yellow"/>
          <w:lang w:val="en-US" w:eastAsia="zh-CN"/>
        </w:rPr>
        <w:t>112</w:t>
      </w:r>
      <w:r>
        <w:rPr>
          <w:rFonts w:hint="eastAsia" w:hAnsi="宋体"/>
          <w:b/>
          <w:bCs/>
          <w:szCs w:val="21"/>
          <w:highlight w:val="yellow"/>
        </w:rPr>
        <w:t>号投标保证</w:t>
      </w:r>
      <w:r>
        <w:rPr>
          <w:rFonts w:hint="eastAsia" w:hAnsi="宋体"/>
          <w:b/>
          <w:bCs/>
          <w:szCs w:val="21"/>
          <w:highlight w:val="none"/>
        </w:rPr>
        <w:t>金；汇款人：投标单位名称。（帐户名：南通市崇川区文峰街道办事处，江苏银行</w:t>
      </w:r>
      <w:r>
        <w:rPr>
          <w:rFonts w:hint="eastAsia" w:hAnsi="宋体"/>
          <w:b/>
          <w:bCs/>
          <w:szCs w:val="21"/>
          <w:highlight w:val="none"/>
          <w:lang w:eastAsia="zh-CN"/>
        </w:rPr>
        <w:t>南通汇丰</w:t>
      </w:r>
      <w:r>
        <w:rPr>
          <w:rFonts w:hint="eastAsia" w:hAnsi="宋体"/>
          <w:b/>
          <w:bCs/>
          <w:szCs w:val="21"/>
          <w:highlight w:val="none"/>
        </w:rPr>
        <w:t>支行，账号：500</w:t>
      </w:r>
      <w:r>
        <w:rPr>
          <w:rFonts w:hint="eastAsia" w:hAnsi="宋体"/>
          <w:b/>
          <w:bCs/>
          <w:szCs w:val="21"/>
          <w:highlight w:val="none"/>
          <w:lang w:val="en-US" w:eastAsia="zh-CN"/>
        </w:rPr>
        <w:t>30188000003292092001</w:t>
      </w:r>
      <w:r>
        <w:rPr>
          <w:rFonts w:hint="eastAsia" w:hAnsi="宋体"/>
          <w:b/>
          <w:bCs/>
          <w:szCs w:val="21"/>
          <w:highlight w:val="none"/>
        </w:rPr>
        <w:t>）。中标单位的投标保证</w:t>
      </w:r>
      <w:r>
        <w:rPr>
          <w:rFonts w:hint="eastAsia" w:hAnsi="宋体"/>
          <w:b/>
          <w:bCs/>
          <w:szCs w:val="21"/>
        </w:rPr>
        <w:t>金有效期在投标截止日后45天内有效；特别提醒：</w:t>
      </w:r>
    </w:p>
    <w:p>
      <w:pPr>
        <w:spacing w:line="420" w:lineRule="exact"/>
        <w:ind w:firstLine="422" w:firstLineChars="200"/>
        <w:outlineLvl w:val="3"/>
        <w:rPr>
          <w:rFonts w:hAnsi="宋体"/>
          <w:b/>
          <w:bCs/>
          <w:szCs w:val="21"/>
        </w:rPr>
      </w:pPr>
      <w:r>
        <w:rPr>
          <w:rFonts w:hAnsi="宋体"/>
          <w:b/>
          <w:bCs/>
          <w:szCs w:val="21"/>
        </w:rPr>
        <w:t>（1）本工程投标保证金的形式必须为银行汇票（并非将保证金款打入指定账户）。若投标人以其他形式提交投标保证金的，其投标文件不予接收。</w:t>
      </w:r>
    </w:p>
    <w:p>
      <w:pPr>
        <w:spacing w:line="420" w:lineRule="exact"/>
        <w:ind w:firstLine="422" w:firstLineChars="200"/>
        <w:outlineLvl w:val="3"/>
        <w:rPr>
          <w:rFonts w:hAnsi="宋体"/>
          <w:b/>
          <w:bCs/>
          <w:szCs w:val="21"/>
        </w:rPr>
      </w:pPr>
      <w:r>
        <w:rPr>
          <w:rFonts w:hAnsi="宋体"/>
          <w:b/>
          <w:bCs/>
          <w:szCs w:val="21"/>
        </w:rPr>
        <w:t>（2）保证金形式，收款人、用途、汇款人等必须符合招标文件规定，否则其投标文件不予接收。</w:t>
      </w:r>
    </w:p>
    <w:p>
      <w:pPr>
        <w:spacing w:line="420" w:lineRule="exact"/>
        <w:ind w:firstLine="422" w:firstLineChars="200"/>
        <w:outlineLvl w:val="3"/>
        <w:rPr>
          <w:rFonts w:hAnsi="宋体"/>
          <w:b/>
          <w:bCs/>
          <w:szCs w:val="21"/>
        </w:rPr>
      </w:pPr>
      <w:r>
        <w:rPr>
          <w:rFonts w:hAnsi="宋体"/>
          <w:b/>
          <w:bCs/>
          <w:szCs w:val="21"/>
        </w:rPr>
        <w:t>（3）投标保证金必须由企业法人基本存款帐户汇出，否则不予接受。</w:t>
      </w:r>
    </w:p>
    <w:p>
      <w:pPr>
        <w:spacing w:line="420" w:lineRule="exact"/>
        <w:ind w:firstLine="422" w:firstLineChars="200"/>
        <w:outlineLvl w:val="3"/>
        <w:rPr>
          <w:rFonts w:hAnsi="宋体"/>
          <w:b/>
          <w:bCs/>
          <w:szCs w:val="21"/>
        </w:rPr>
      </w:pPr>
      <w:r>
        <w:rPr>
          <w:rFonts w:hAnsi="宋体"/>
          <w:b/>
          <w:bCs/>
          <w:szCs w:val="21"/>
        </w:rPr>
        <w:t>（4）</w:t>
      </w:r>
      <w:r>
        <w:rPr>
          <w:rFonts w:hint="eastAsia" w:hAnsi="宋体"/>
          <w:b/>
          <w:bCs/>
          <w:szCs w:val="21"/>
        </w:rPr>
        <w:t>各投标人在递交投标文件的同时需递交投标保证金银行汇票原件（无须密封）和基本账户开户许可证复印件（加盖单位公章）或开户行出具的《基本存款账户信息》（加盖单位公章，无须密封）供招标人代表查验，否则其投标文件不予接收</w:t>
      </w:r>
      <w:r>
        <w:rPr>
          <w:rFonts w:hAnsi="宋体"/>
          <w:b/>
          <w:bCs/>
          <w:szCs w:val="21"/>
        </w:rPr>
        <w:t>。</w:t>
      </w:r>
    </w:p>
    <w:p>
      <w:pPr>
        <w:spacing w:line="420" w:lineRule="exact"/>
        <w:ind w:firstLine="422" w:firstLineChars="200"/>
        <w:outlineLvl w:val="3"/>
        <w:rPr>
          <w:rFonts w:hAnsi="宋体"/>
          <w:b/>
          <w:bCs/>
          <w:szCs w:val="21"/>
        </w:rPr>
      </w:pPr>
      <w:r>
        <w:rPr>
          <w:rFonts w:hAnsi="宋体"/>
          <w:b/>
          <w:bCs/>
          <w:szCs w:val="21"/>
        </w:rPr>
        <w:t>14.投标保证金退还</w:t>
      </w:r>
    </w:p>
    <w:p>
      <w:pPr>
        <w:spacing w:line="420" w:lineRule="exact"/>
        <w:ind w:firstLine="422" w:firstLineChars="200"/>
        <w:outlineLvl w:val="3"/>
        <w:rPr>
          <w:rFonts w:hAnsi="宋体"/>
          <w:b/>
          <w:bCs/>
          <w:szCs w:val="21"/>
        </w:rPr>
      </w:pPr>
      <w:r>
        <w:rPr>
          <w:rFonts w:hAnsi="宋体"/>
          <w:b/>
          <w:bCs/>
          <w:szCs w:val="21"/>
        </w:rPr>
        <w:t>14.1 未中标单位的投标保证金在其定标后予以退还。</w:t>
      </w:r>
    </w:p>
    <w:p>
      <w:pPr>
        <w:spacing w:line="420" w:lineRule="exact"/>
        <w:ind w:firstLine="422" w:firstLineChars="200"/>
        <w:outlineLvl w:val="3"/>
        <w:rPr>
          <w:rFonts w:hAnsi="宋体"/>
          <w:b/>
          <w:bCs/>
          <w:szCs w:val="21"/>
        </w:rPr>
      </w:pPr>
      <w:r>
        <w:rPr>
          <w:rFonts w:hAnsi="宋体"/>
          <w:b/>
          <w:bCs/>
          <w:szCs w:val="21"/>
        </w:rPr>
        <w:t>14.2 中标单位的投标保证金在施工合同生效后</w:t>
      </w:r>
      <w:r>
        <w:rPr>
          <w:rFonts w:hint="eastAsia" w:hAnsi="宋体"/>
          <w:b/>
          <w:bCs/>
          <w:szCs w:val="21"/>
          <w:lang w:val="en-US" w:eastAsia="zh-CN"/>
        </w:rPr>
        <w:t>5日</w:t>
      </w:r>
      <w:r>
        <w:rPr>
          <w:rFonts w:hAnsi="宋体"/>
          <w:b/>
          <w:bCs/>
          <w:szCs w:val="21"/>
        </w:rPr>
        <w:t>内予以退还。</w:t>
      </w:r>
    </w:p>
    <w:p>
      <w:pPr>
        <w:spacing w:line="420" w:lineRule="exact"/>
        <w:ind w:firstLine="422" w:firstLineChars="200"/>
        <w:outlineLvl w:val="3"/>
        <w:rPr>
          <w:rFonts w:hAnsi="宋体"/>
          <w:b/>
          <w:bCs/>
          <w:szCs w:val="21"/>
        </w:rPr>
      </w:pPr>
      <w:r>
        <w:rPr>
          <w:rFonts w:hAnsi="宋体"/>
          <w:b/>
          <w:bCs/>
          <w:szCs w:val="21"/>
        </w:rPr>
        <w:t>14.3 投标人出现下列情况，其投标保证金一律不予退还。</w:t>
      </w:r>
    </w:p>
    <w:p>
      <w:pPr>
        <w:spacing w:line="420" w:lineRule="exact"/>
        <w:ind w:firstLine="422" w:firstLineChars="200"/>
        <w:outlineLvl w:val="3"/>
        <w:rPr>
          <w:rFonts w:hAnsi="宋体"/>
          <w:b/>
          <w:bCs/>
          <w:szCs w:val="21"/>
        </w:rPr>
      </w:pPr>
      <w:r>
        <w:rPr>
          <w:rFonts w:hAnsi="宋体"/>
          <w:b/>
          <w:bCs/>
          <w:szCs w:val="21"/>
        </w:rPr>
        <w:t>14.3.1投标人在投标有效期内撤回其投标文件；</w:t>
      </w:r>
    </w:p>
    <w:p>
      <w:pPr>
        <w:spacing w:line="420" w:lineRule="exact"/>
        <w:ind w:firstLine="422" w:firstLineChars="200"/>
        <w:outlineLvl w:val="3"/>
        <w:rPr>
          <w:rFonts w:hAnsi="宋体"/>
          <w:b/>
          <w:bCs/>
          <w:szCs w:val="21"/>
        </w:rPr>
      </w:pPr>
      <w:r>
        <w:rPr>
          <w:rFonts w:hAnsi="宋体"/>
          <w:b/>
          <w:bCs/>
          <w:szCs w:val="21"/>
        </w:rPr>
        <w:t>14.3.2投标人存在《江苏省房屋建筑和市政基础设施工程招标投标中串通投标和弄虚作假行为认定处理办法（试行）》（苏建规字〔2014〕2号）第四条、第五条、第六条、第七条规定的串通投标、弄虚作假等行为的；</w:t>
      </w:r>
    </w:p>
    <w:p>
      <w:pPr>
        <w:spacing w:line="420" w:lineRule="exact"/>
        <w:ind w:firstLine="422" w:firstLineChars="200"/>
        <w:outlineLvl w:val="3"/>
        <w:rPr>
          <w:rFonts w:hAnsi="宋体"/>
          <w:b/>
          <w:bCs/>
          <w:szCs w:val="21"/>
        </w:rPr>
      </w:pPr>
      <w:r>
        <w:rPr>
          <w:rFonts w:hAnsi="宋体"/>
          <w:b/>
          <w:bCs/>
          <w:szCs w:val="21"/>
        </w:rPr>
        <w:t>14.3.3不同投标人的投标文件、已标价的工程量清单经清标软件分析，出现了评标委员会认为不应当雷同的情况（相同错误）的，且被评委认定为串标的。</w:t>
      </w:r>
    </w:p>
    <w:p>
      <w:pPr>
        <w:spacing w:line="420" w:lineRule="exact"/>
        <w:ind w:firstLine="422" w:firstLineChars="200"/>
        <w:outlineLvl w:val="3"/>
        <w:rPr>
          <w:rFonts w:hAnsi="宋体"/>
          <w:b/>
          <w:bCs/>
          <w:szCs w:val="21"/>
        </w:rPr>
      </w:pPr>
      <w:r>
        <w:rPr>
          <w:rFonts w:hAnsi="宋体"/>
          <w:b/>
          <w:bCs/>
          <w:szCs w:val="21"/>
        </w:rPr>
        <w:t>14.3.4投标人已签订《诚信承诺书》（详见招标文件标准格式）的，自投标之日起，中标公示结束之日止，经举报或区招标监管机构（评标委员会）复核，有悖于《诚信承诺书》相关承诺的，且查证属实的。</w:t>
      </w:r>
    </w:p>
    <w:p>
      <w:pPr>
        <w:spacing w:line="420" w:lineRule="exact"/>
        <w:ind w:firstLine="422" w:firstLineChars="200"/>
        <w:outlineLvl w:val="3"/>
        <w:rPr>
          <w:rFonts w:hAnsi="宋体"/>
          <w:b/>
          <w:bCs/>
          <w:szCs w:val="21"/>
        </w:rPr>
      </w:pPr>
      <w:r>
        <w:rPr>
          <w:rFonts w:hAnsi="宋体"/>
          <w:b/>
          <w:bCs/>
          <w:szCs w:val="21"/>
        </w:rPr>
        <w:t>14.4中标通知书发出后，除不可抗力情况外，中标人出现下列情形之一的，招标人必须取消其中标资格，并不予退还其投标保证金：</w:t>
      </w:r>
    </w:p>
    <w:p>
      <w:pPr>
        <w:spacing w:line="420" w:lineRule="exact"/>
        <w:ind w:firstLine="422" w:firstLineChars="200"/>
        <w:outlineLvl w:val="3"/>
        <w:rPr>
          <w:rFonts w:hAnsi="宋体"/>
          <w:b/>
          <w:bCs/>
          <w:szCs w:val="21"/>
        </w:rPr>
      </w:pPr>
      <w:r>
        <w:rPr>
          <w:rFonts w:hAnsi="宋体"/>
          <w:b/>
          <w:bCs/>
          <w:szCs w:val="21"/>
        </w:rPr>
        <w:t>14.4.1放弃中标项目的；</w:t>
      </w:r>
    </w:p>
    <w:p>
      <w:pPr>
        <w:spacing w:line="420" w:lineRule="exact"/>
        <w:ind w:firstLine="422" w:firstLineChars="200"/>
        <w:outlineLvl w:val="3"/>
        <w:rPr>
          <w:rFonts w:hAnsi="宋体"/>
          <w:b/>
          <w:bCs/>
          <w:szCs w:val="21"/>
        </w:rPr>
      </w:pPr>
      <w:r>
        <w:rPr>
          <w:rFonts w:hAnsi="宋体"/>
          <w:b/>
          <w:bCs/>
          <w:szCs w:val="21"/>
        </w:rPr>
        <w:t>14.4.2拒不按照招标文件的要求提交履约保证金的；</w:t>
      </w:r>
    </w:p>
    <w:p>
      <w:pPr>
        <w:spacing w:line="420" w:lineRule="exact"/>
        <w:ind w:firstLine="422" w:firstLineChars="200"/>
        <w:outlineLvl w:val="3"/>
        <w:rPr>
          <w:rFonts w:hAnsi="宋体"/>
          <w:b/>
          <w:bCs/>
          <w:szCs w:val="21"/>
        </w:rPr>
      </w:pPr>
      <w:r>
        <w:rPr>
          <w:rFonts w:hAnsi="宋体"/>
          <w:b/>
          <w:bCs/>
          <w:szCs w:val="21"/>
        </w:rPr>
        <w:t>14.4.3除不可抗力情况外不执行本招标文件第一章第34条款、35条款的</w:t>
      </w:r>
    </w:p>
    <w:p>
      <w:pPr>
        <w:spacing w:line="420" w:lineRule="exact"/>
        <w:ind w:firstLine="422" w:firstLineChars="200"/>
        <w:outlineLvl w:val="3"/>
        <w:rPr>
          <w:rFonts w:hAnsi="宋体"/>
          <w:b/>
          <w:bCs/>
          <w:szCs w:val="21"/>
        </w:rPr>
      </w:pPr>
      <w:r>
        <w:rPr>
          <w:rFonts w:hAnsi="宋体"/>
          <w:b/>
          <w:bCs/>
          <w:szCs w:val="21"/>
        </w:rPr>
        <w:t>14.4.4不与招标人签订合同的，或者在签订合同时向招标人提出附加条件或者更改合同实质性内容的。</w:t>
      </w:r>
    </w:p>
    <w:p>
      <w:pPr>
        <w:spacing w:line="420" w:lineRule="exact"/>
        <w:ind w:firstLine="422" w:firstLineChars="200"/>
        <w:outlineLvl w:val="3"/>
        <w:rPr>
          <w:rFonts w:hAnsi="宋体"/>
          <w:b/>
          <w:bCs/>
          <w:szCs w:val="21"/>
        </w:rPr>
      </w:pPr>
      <w:r>
        <w:rPr>
          <w:rFonts w:hAnsi="宋体"/>
          <w:b/>
          <w:bCs/>
          <w:szCs w:val="21"/>
        </w:rPr>
        <w:t>存在上述14.3--14.4行为的，招标人不退还投标保证金并上交国库，并自认定之日起一年内不得参与崇川区任何招投标活动，并在中国崇川网滚动公示直至解禁。参与投标的企业将视为遵守以上处理条款。</w:t>
      </w:r>
    </w:p>
    <w:p>
      <w:pPr>
        <w:spacing w:line="420" w:lineRule="exact"/>
        <w:rPr>
          <w:sz w:val="24"/>
        </w:rPr>
      </w:pPr>
    </w:p>
    <w:p>
      <w:pPr>
        <w:pStyle w:val="76"/>
        <w:spacing w:line="420" w:lineRule="exact"/>
        <w:outlineLvl w:val="1"/>
        <w:rPr>
          <w:b/>
          <w:szCs w:val="24"/>
        </w:rPr>
      </w:pPr>
      <w:r>
        <w:rPr>
          <w:rFonts w:hAnsi="宋体"/>
          <w:b/>
          <w:szCs w:val="24"/>
        </w:rPr>
        <w:t>（四）投标报价</w:t>
      </w:r>
      <w:bookmarkEnd w:id="24"/>
    </w:p>
    <w:p>
      <w:pPr>
        <w:spacing w:line="420" w:lineRule="exact"/>
        <w:ind w:firstLine="422" w:firstLineChars="200"/>
        <w:rPr>
          <w:szCs w:val="21"/>
        </w:rPr>
      </w:pPr>
      <w:r>
        <w:rPr>
          <w:b/>
          <w:kern w:val="0"/>
          <w:szCs w:val="21"/>
        </w:rPr>
        <w:t>15</w:t>
      </w:r>
      <w:r>
        <w:rPr>
          <w:rFonts w:hAnsi="宋体"/>
          <w:b/>
          <w:kern w:val="0"/>
          <w:szCs w:val="21"/>
        </w:rPr>
        <w:t>、</w:t>
      </w:r>
      <w:r>
        <w:rPr>
          <w:rFonts w:hAnsi="宋体"/>
          <w:spacing w:val="-2"/>
          <w:szCs w:val="21"/>
        </w:rPr>
        <w:t>投标报价应包括招标文件所确定的招标范围内相应工程量清单及相关资料及规范、规定等全部内容，以及为完成上述内容所必须的附属工程、临时工程、材料、劳务、机械、成品保护、垂直运输、脚手架搭设使用、与各工种间的协调配合工作、清洗、养护、验收、创优、安全措施、技术措施，作为一名有经验的投标人所应考虑到的各种因素、风险及所需的全部费用</w:t>
      </w:r>
      <w:r>
        <w:rPr>
          <w:rFonts w:hAnsi="宋体"/>
          <w:szCs w:val="21"/>
        </w:rPr>
        <w:t>。</w:t>
      </w:r>
    </w:p>
    <w:p>
      <w:pPr>
        <w:spacing w:line="420" w:lineRule="exact"/>
        <w:ind w:firstLine="420" w:firstLineChars="200"/>
        <w:rPr>
          <w:szCs w:val="21"/>
        </w:rPr>
      </w:pPr>
      <w:r>
        <w:rPr>
          <w:rFonts w:hAnsi="宋体"/>
          <w:szCs w:val="21"/>
        </w:rPr>
        <w:t>招标文件后附的工程量清单标明的工程量清单表是投标人投标报价的共同基础。招标人提供的工程量清单，投标人应结合投标须知、投标须知前附表、合同条款、技术标准和要求与图纸一起阅读理解。</w:t>
      </w:r>
    </w:p>
    <w:p>
      <w:pPr>
        <w:spacing w:line="420" w:lineRule="exact"/>
        <w:ind w:firstLine="422" w:firstLineChars="200"/>
        <w:rPr>
          <w:b/>
          <w:kern w:val="0"/>
          <w:szCs w:val="21"/>
        </w:rPr>
      </w:pPr>
      <w:r>
        <w:rPr>
          <w:b/>
          <w:kern w:val="0"/>
          <w:szCs w:val="21"/>
        </w:rPr>
        <w:t>16</w:t>
      </w:r>
      <w:r>
        <w:rPr>
          <w:rFonts w:hAnsi="宋体"/>
          <w:b/>
          <w:kern w:val="0"/>
          <w:szCs w:val="21"/>
        </w:rPr>
        <w:t>、投标报价方式：</w:t>
      </w:r>
    </w:p>
    <w:p>
      <w:pPr>
        <w:spacing w:line="480" w:lineRule="exact"/>
        <w:ind w:firstLine="420" w:firstLineChars="200"/>
        <w:rPr>
          <w:szCs w:val="21"/>
        </w:rPr>
      </w:pPr>
      <w:r>
        <w:rPr>
          <w:szCs w:val="21"/>
        </w:rPr>
        <w:t>16.1</w:t>
      </w:r>
      <w:r>
        <w:rPr>
          <w:rFonts w:hAnsi="宋体"/>
          <w:szCs w:val="21"/>
        </w:rPr>
        <w:t>本工程项目采用</w:t>
      </w:r>
      <w:r>
        <w:rPr>
          <w:rFonts w:hAnsi="宋体"/>
          <w:b/>
          <w:szCs w:val="21"/>
          <w:u w:val="single"/>
        </w:rPr>
        <w:t>固定综合单价报价</w:t>
      </w:r>
      <w:r>
        <w:rPr>
          <w:rFonts w:hAnsi="宋体"/>
          <w:szCs w:val="21"/>
        </w:rPr>
        <w:t>方式。投标人报价时应充分考虑施工期间各类建材的市场风险。工程量的风险由发包人承担，价格风险在约定风险范围内的，由承包人承担，风险范围以外的按合同约定承担。竣工结算的工程量按发承包双方在合同中约定应予计量且实际完成的工程量确定，完成发包人要求的合同以外的零星工作或发生非承包人责任事件的工程量按现场签证确定。</w:t>
      </w:r>
    </w:p>
    <w:p>
      <w:pPr>
        <w:spacing w:line="480" w:lineRule="exact"/>
        <w:ind w:firstLine="420" w:firstLineChars="200"/>
        <w:rPr>
          <w:szCs w:val="21"/>
        </w:rPr>
      </w:pPr>
      <w:r>
        <w:rPr>
          <w:szCs w:val="21"/>
        </w:rPr>
        <w:t>16.2</w:t>
      </w:r>
      <w:r>
        <w:rPr>
          <w:rFonts w:hAnsi="宋体"/>
          <w:szCs w:val="21"/>
        </w:rPr>
        <w:t>除下列条款中风险范围的内容可调整外，其余不可调整。</w:t>
      </w:r>
    </w:p>
    <w:p>
      <w:pPr>
        <w:adjustRightInd w:val="0"/>
        <w:snapToGrid w:val="0"/>
        <w:spacing w:line="480" w:lineRule="exact"/>
        <w:ind w:firstLine="420" w:firstLineChars="200"/>
        <w:rPr>
          <w:szCs w:val="21"/>
        </w:rPr>
      </w:pPr>
      <w:r>
        <w:rPr>
          <w:rFonts w:hAnsi="宋体"/>
          <w:szCs w:val="21"/>
        </w:rPr>
        <w:t>（</w:t>
      </w:r>
      <w:r>
        <w:rPr>
          <w:szCs w:val="21"/>
        </w:rPr>
        <w:t>1</w:t>
      </w:r>
      <w:r>
        <w:rPr>
          <w:rFonts w:hAnsi="宋体"/>
          <w:szCs w:val="21"/>
        </w:rPr>
        <w:t>）工程量；</w:t>
      </w:r>
    </w:p>
    <w:p>
      <w:pPr>
        <w:adjustRightInd w:val="0"/>
        <w:snapToGrid w:val="0"/>
        <w:spacing w:line="480" w:lineRule="exact"/>
        <w:ind w:firstLine="420" w:firstLineChars="200"/>
        <w:rPr>
          <w:szCs w:val="21"/>
        </w:rPr>
      </w:pPr>
      <w:r>
        <w:rPr>
          <w:rFonts w:hAnsi="宋体"/>
          <w:szCs w:val="21"/>
        </w:rPr>
        <w:t>（</w:t>
      </w:r>
      <w:r>
        <w:rPr>
          <w:szCs w:val="21"/>
        </w:rPr>
        <w:t>2</w:t>
      </w:r>
      <w:r>
        <w:rPr>
          <w:rFonts w:hAnsi="宋体"/>
          <w:szCs w:val="21"/>
        </w:rPr>
        <w:t>）设计变更引起的工程量变化或直接造成的费用增加；</w:t>
      </w:r>
    </w:p>
    <w:p>
      <w:pPr>
        <w:adjustRightInd w:val="0"/>
        <w:snapToGrid w:val="0"/>
        <w:spacing w:line="480" w:lineRule="exact"/>
        <w:ind w:firstLine="420" w:firstLineChars="200"/>
        <w:rPr>
          <w:szCs w:val="21"/>
        </w:rPr>
      </w:pPr>
      <w:r>
        <w:rPr>
          <w:rFonts w:hAnsi="宋体"/>
          <w:szCs w:val="21"/>
        </w:rPr>
        <w:t>（</w:t>
      </w:r>
      <w:r>
        <w:rPr>
          <w:szCs w:val="21"/>
        </w:rPr>
        <w:t>3</w:t>
      </w:r>
      <w:r>
        <w:rPr>
          <w:rFonts w:hAnsi="宋体"/>
          <w:szCs w:val="21"/>
        </w:rPr>
        <w:t>）发包人要求的承包范围以外的附加工程量；</w:t>
      </w:r>
    </w:p>
    <w:p>
      <w:pPr>
        <w:adjustRightInd w:val="0"/>
        <w:snapToGrid w:val="0"/>
        <w:spacing w:line="480" w:lineRule="exact"/>
        <w:ind w:firstLine="420" w:firstLineChars="200"/>
        <w:rPr>
          <w:szCs w:val="21"/>
        </w:rPr>
      </w:pPr>
      <w:r>
        <w:rPr>
          <w:rFonts w:hAnsi="宋体"/>
          <w:szCs w:val="21"/>
        </w:rPr>
        <w:t>（</w:t>
      </w:r>
      <w:r>
        <w:rPr>
          <w:szCs w:val="21"/>
        </w:rPr>
        <w:t>4</w:t>
      </w:r>
      <w:r>
        <w:rPr>
          <w:rFonts w:hAnsi="宋体"/>
          <w:szCs w:val="21"/>
        </w:rPr>
        <w:t>）暂列金额及暂估价；</w:t>
      </w:r>
    </w:p>
    <w:p>
      <w:pPr>
        <w:widowControl/>
        <w:snapToGrid w:val="0"/>
        <w:spacing w:line="480" w:lineRule="exact"/>
        <w:ind w:firstLine="420" w:firstLineChars="200"/>
        <w:jc w:val="left"/>
        <w:rPr>
          <w:szCs w:val="21"/>
        </w:rPr>
      </w:pPr>
      <w:r>
        <w:rPr>
          <w:rFonts w:hAnsi="宋体"/>
          <w:szCs w:val="21"/>
        </w:rPr>
        <w:t>（</w:t>
      </w:r>
      <w:r>
        <w:rPr>
          <w:szCs w:val="21"/>
        </w:rPr>
        <w:t>5</w:t>
      </w:r>
      <w:r>
        <w:rPr>
          <w:rFonts w:hAnsi="宋体"/>
          <w:szCs w:val="21"/>
        </w:rPr>
        <w:t>）发包人确认的其它费用。</w:t>
      </w:r>
    </w:p>
    <w:p>
      <w:pPr>
        <w:widowControl/>
        <w:snapToGrid w:val="0"/>
        <w:spacing w:line="480" w:lineRule="exact"/>
        <w:ind w:firstLine="420" w:firstLineChars="200"/>
        <w:jc w:val="left"/>
        <w:rPr>
          <w:szCs w:val="21"/>
        </w:rPr>
      </w:pPr>
      <w:r>
        <w:rPr>
          <w:szCs w:val="21"/>
        </w:rPr>
        <w:t>16.3</w:t>
      </w:r>
      <w:r>
        <w:rPr>
          <w:rFonts w:hAnsi="宋体"/>
          <w:szCs w:val="21"/>
        </w:rPr>
        <w:t>工程价款调整</w:t>
      </w:r>
    </w:p>
    <w:p>
      <w:pPr>
        <w:spacing w:line="420" w:lineRule="exact"/>
        <w:ind w:firstLine="420" w:firstLineChars="200"/>
        <w:rPr>
          <w:szCs w:val="21"/>
        </w:rPr>
      </w:pPr>
      <w:r>
        <w:rPr>
          <w:rFonts w:hint="eastAsia"/>
          <w:szCs w:val="21"/>
        </w:rPr>
        <w:t>详见招标文件第三章合同条款专用合同条款第12条。</w:t>
      </w:r>
    </w:p>
    <w:p>
      <w:pPr>
        <w:spacing w:line="420" w:lineRule="exact"/>
        <w:ind w:firstLine="422" w:firstLineChars="200"/>
        <w:rPr>
          <w:b/>
          <w:kern w:val="0"/>
          <w:szCs w:val="21"/>
        </w:rPr>
      </w:pPr>
      <w:r>
        <w:rPr>
          <w:b/>
          <w:kern w:val="0"/>
          <w:szCs w:val="21"/>
        </w:rPr>
        <w:t>17、投标报价的计价方法</w:t>
      </w:r>
    </w:p>
    <w:p>
      <w:pPr>
        <w:widowControl/>
        <w:snapToGrid w:val="0"/>
        <w:spacing w:line="480" w:lineRule="exact"/>
        <w:ind w:firstLine="420" w:firstLineChars="200"/>
        <w:jc w:val="left"/>
        <w:rPr>
          <w:rFonts w:hAnsi="宋体"/>
          <w:szCs w:val="21"/>
        </w:rPr>
      </w:pPr>
      <w:r>
        <w:rPr>
          <w:rFonts w:hAnsi="宋体"/>
          <w:szCs w:val="21"/>
        </w:rPr>
        <w:t>按照“省住房和城乡建设厅关于建筑业实施营改增后江苏省建设工程计价依据调整的通知”苏建价（2016）154号文、《建设工程工程量清单计价规范》（GB50500-2013）、</w:t>
      </w:r>
      <w:r>
        <w:rPr>
          <w:rFonts w:hint="eastAsia" w:hAnsi="宋体"/>
          <w:szCs w:val="21"/>
        </w:rPr>
        <w:t>《通用安装工程工程量计算规范》（GB50856-2013）、</w:t>
      </w:r>
      <w:r>
        <w:rPr>
          <w:rFonts w:hAnsi="宋体"/>
          <w:szCs w:val="21"/>
        </w:rPr>
        <w:t>《江苏省建设工程费用定额》2014年版</w:t>
      </w:r>
      <w:r>
        <w:rPr>
          <w:rFonts w:hint="eastAsia" w:hAnsi="宋体"/>
          <w:szCs w:val="21"/>
        </w:rPr>
        <w:t>、《江苏省安装工程计价定额》（2014年）</w:t>
      </w:r>
      <w:r>
        <w:rPr>
          <w:rFonts w:hAnsi="宋体"/>
          <w:szCs w:val="21"/>
        </w:rPr>
        <w:t>以及相应补充规定和现行省、市有关规定。由招标人(发包人)提供工程量数量，投标人(承包人)自主报价确定工程造价的计价方式。</w:t>
      </w:r>
    </w:p>
    <w:p>
      <w:pPr>
        <w:spacing w:line="420" w:lineRule="exact"/>
        <w:ind w:firstLine="422" w:firstLineChars="200"/>
        <w:rPr>
          <w:b/>
          <w:kern w:val="0"/>
          <w:szCs w:val="21"/>
        </w:rPr>
      </w:pPr>
      <w:r>
        <w:rPr>
          <w:b/>
          <w:kern w:val="0"/>
          <w:szCs w:val="21"/>
        </w:rPr>
        <w:t>18．招标控制价</w:t>
      </w:r>
    </w:p>
    <w:p>
      <w:pPr>
        <w:spacing w:line="420" w:lineRule="exact"/>
        <w:ind w:firstLine="420" w:firstLineChars="200"/>
        <w:rPr>
          <w:rFonts w:hAnsi="宋体"/>
          <w:szCs w:val="21"/>
        </w:rPr>
      </w:pPr>
      <w:r>
        <w:rPr>
          <w:rFonts w:hAnsi="宋体"/>
          <w:szCs w:val="21"/>
        </w:rPr>
        <w:t>18.1本工程全部使用国有资金，实行工程量清单招标，招标人委托编制招标控制价。投标人的投标报价高于招标控制价的，招标人将作废标处理。</w:t>
      </w:r>
    </w:p>
    <w:p>
      <w:pPr>
        <w:widowControl/>
        <w:snapToGrid w:val="0"/>
        <w:spacing w:line="480" w:lineRule="exact"/>
        <w:ind w:firstLine="420" w:firstLineChars="200"/>
        <w:jc w:val="left"/>
        <w:rPr>
          <w:rFonts w:hAnsi="宋体"/>
          <w:szCs w:val="21"/>
        </w:rPr>
      </w:pPr>
      <w:r>
        <w:rPr>
          <w:rFonts w:hAnsi="宋体"/>
          <w:szCs w:val="21"/>
        </w:rPr>
        <w:t>18.2招标控制价编制依据</w:t>
      </w:r>
      <w:r>
        <w:rPr>
          <w:rFonts w:hint="eastAsia" w:hAnsi="宋体"/>
          <w:szCs w:val="21"/>
        </w:rPr>
        <w:t>：</w:t>
      </w:r>
    </w:p>
    <w:p>
      <w:pPr>
        <w:spacing w:line="420" w:lineRule="exact"/>
        <w:ind w:firstLine="420" w:firstLineChars="200"/>
        <w:rPr>
          <w:rFonts w:hAnsi="宋体"/>
          <w:szCs w:val="21"/>
        </w:rPr>
      </w:pPr>
      <w:r>
        <w:rPr>
          <w:rFonts w:hAnsi="宋体"/>
          <w:szCs w:val="21"/>
        </w:rPr>
        <w:t>18.2.1本工程施工图及其工程量清单。</w:t>
      </w:r>
    </w:p>
    <w:p>
      <w:pPr>
        <w:spacing w:line="420" w:lineRule="exact"/>
        <w:ind w:firstLine="420" w:firstLineChars="200"/>
        <w:rPr>
          <w:rFonts w:hAnsi="宋体"/>
          <w:szCs w:val="21"/>
        </w:rPr>
      </w:pPr>
      <w:r>
        <w:rPr>
          <w:rFonts w:hAnsi="宋体"/>
          <w:szCs w:val="21"/>
        </w:rPr>
        <w:t>18.2.2 《建设工程工程量清单计价规范》（GB50500-2013）、</w:t>
      </w:r>
      <w:r>
        <w:rPr>
          <w:rFonts w:hint="eastAsia" w:hAnsi="宋体"/>
          <w:szCs w:val="21"/>
        </w:rPr>
        <w:t>《通用安装工程工程量计算规范》（GB50856-2013）、</w:t>
      </w:r>
      <w:r>
        <w:rPr>
          <w:rFonts w:hAnsi="宋体"/>
          <w:szCs w:val="21"/>
        </w:rPr>
        <w:t>《江苏省建设工程费用定额》2014年版</w:t>
      </w:r>
      <w:r>
        <w:rPr>
          <w:rFonts w:hint="eastAsia" w:hAnsi="宋体"/>
          <w:szCs w:val="21"/>
        </w:rPr>
        <w:t>、《江苏省安装工程计价定额》（2014年）</w:t>
      </w:r>
      <w:r>
        <w:rPr>
          <w:rFonts w:hAnsi="宋体"/>
          <w:szCs w:val="21"/>
        </w:rPr>
        <w:t>等国家或省级、行业建设主管部门颁发的计价办法；企业定额，国家或省级、行业建设主管部门颁发的计价定额。</w:t>
      </w:r>
    </w:p>
    <w:p>
      <w:pPr>
        <w:spacing w:line="420" w:lineRule="exact"/>
        <w:ind w:firstLine="420" w:firstLineChars="200"/>
        <w:rPr>
          <w:rFonts w:hAnsi="宋体"/>
          <w:szCs w:val="21"/>
        </w:rPr>
      </w:pPr>
      <w:r>
        <w:rPr>
          <w:rFonts w:hAnsi="宋体"/>
          <w:szCs w:val="21"/>
        </w:rPr>
        <w:t>18.2.3人工工资执行《省住房城乡建设厅关于发布建设工程人工工资指导价的通知》（</w:t>
      </w:r>
      <w:r>
        <w:rPr>
          <w:rFonts w:hint="eastAsia" w:hAnsi="宋体"/>
          <w:szCs w:val="21"/>
        </w:rPr>
        <w:t>苏建函价[2023]63号</w:t>
      </w:r>
      <w:r>
        <w:rPr>
          <w:rFonts w:hAnsi="宋体"/>
          <w:szCs w:val="21"/>
        </w:rPr>
        <w:t>），</w:t>
      </w:r>
      <w:r>
        <w:rPr>
          <w:rFonts w:hint="eastAsia" w:hAnsi="宋体"/>
          <w:szCs w:val="21"/>
        </w:rPr>
        <w:t>结算不作调整，</w:t>
      </w:r>
      <w:r>
        <w:rPr>
          <w:rFonts w:hAnsi="宋体"/>
          <w:szCs w:val="21"/>
        </w:rPr>
        <w:t>材料价格参</w:t>
      </w:r>
      <w:r>
        <w:rPr>
          <w:rFonts w:hAnsi="宋体"/>
          <w:color w:val="000000" w:themeColor="text1"/>
          <w:szCs w:val="21"/>
          <w14:textFill>
            <w14:solidFill>
              <w14:schemeClr w14:val="tx1"/>
            </w14:solidFill>
          </w14:textFill>
        </w:rPr>
        <w:t>照</w:t>
      </w:r>
      <w:r>
        <w:rPr>
          <w:rFonts w:hint="eastAsia" w:hAnsi="宋体"/>
          <w:color w:val="000000" w:themeColor="text1"/>
          <w:szCs w:val="21"/>
          <w14:textFill>
            <w14:solidFill>
              <w14:schemeClr w14:val="tx1"/>
            </w14:solidFill>
          </w14:textFill>
        </w:rPr>
        <w:t>2023年第</w:t>
      </w:r>
      <w:r>
        <w:rPr>
          <w:rFonts w:hint="eastAsia" w:hAnsi="宋体"/>
          <w:color w:val="000000" w:themeColor="text1"/>
          <w:szCs w:val="21"/>
          <w:lang w:val="en-US" w:eastAsia="zh-CN"/>
          <w14:textFill>
            <w14:solidFill>
              <w14:schemeClr w14:val="tx1"/>
            </w14:solidFill>
          </w14:textFill>
        </w:rPr>
        <w:t>5</w:t>
      </w:r>
      <w:r>
        <w:rPr>
          <w:rFonts w:hint="eastAsia" w:hAnsi="宋体"/>
          <w:color w:val="000000" w:themeColor="text1"/>
          <w:szCs w:val="21"/>
          <w14:textFill>
            <w14:solidFill>
              <w14:schemeClr w14:val="tx1"/>
            </w14:solidFill>
          </w14:textFill>
        </w:rPr>
        <w:t>期</w:t>
      </w:r>
      <w:r>
        <w:rPr>
          <w:rFonts w:hAnsi="宋体"/>
          <w:color w:val="000000" w:themeColor="text1"/>
          <w:szCs w:val="21"/>
          <w14:textFill>
            <w14:solidFill>
              <w14:schemeClr w14:val="tx1"/>
            </w14:solidFill>
          </w14:textFill>
        </w:rPr>
        <w:t>《南通建设工程造价信息》中的指导价及市场价。若《南通建设工程造价信息》无指导价的材料的价格，则按市场</w:t>
      </w:r>
      <w:r>
        <w:rPr>
          <w:rFonts w:hAnsi="宋体"/>
          <w:szCs w:val="21"/>
        </w:rPr>
        <w:t>价执行。</w:t>
      </w:r>
    </w:p>
    <w:p>
      <w:pPr>
        <w:spacing w:line="420" w:lineRule="exact"/>
        <w:ind w:firstLine="420" w:firstLineChars="200"/>
        <w:rPr>
          <w:rFonts w:hAnsi="宋体"/>
          <w:szCs w:val="21"/>
        </w:rPr>
      </w:pPr>
      <w:r>
        <w:rPr>
          <w:rFonts w:hAnsi="宋体"/>
          <w:szCs w:val="21"/>
        </w:rPr>
        <w:t>18.2.4本工程采用一般计税方法，具体按“省住房和城乡建设厅关于建筑业实施营改增后江苏省建设工程计价依据调整的通知”苏建价（2016）154号文相关要求执行</w:t>
      </w:r>
      <w:r>
        <w:rPr>
          <w:rFonts w:hint="eastAsia" w:hAnsi="宋体"/>
          <w:szCs w:val="21"/>
        </w:rPr>
        <w:t>、税率按</w:t>
      </w:r>
      <w:r>
        <w:rPr>
          <w:rFonts w:hAnsi="宋体"/>
          <w:szCs w:val="21"/>
        </w:rPr>
        <w:t>省住房城乡建设厅关于建筑业增值税计价政策调整的通知</w:t>
      </w:r>
      <w:r>
        <w:rPr>
          <w:rFonts w:hint="eastAsia" w:hAnsi="宋体"/>
          <w:szCs w:val="21"/>
        </w:rPr>
        <w:t>（苏建函价〔</w:t>
      </w:r>
      <w:r>
        <w:rPr>
          <w:rFonts w:hAnsi="宋体"/>
          <w:szCs w:val="21"/>
        </w:rPr>
        <w:t>20</w:t>
      </w:r>
      <w:r>
        <w:rPr>
          <w:rFonts w:hint="eastAsia" w:hAnsi="宋体"/>
          <w:szCs w:val="21"/>
        </w:rPr>
        <w:t>19〕178号）</w:t>
      </w:r>
      <w:r>
        <w:rPr>
          <w:rFonts w:hAnsi="宋体"/>
          <w:szCs w:val="21"/>
        </w:rPr>
        <w:t>。</w:t>
      </w:r>
    </w:p>
    <w:p>
      <w:pPr>
        <w:spacing w:line="420" w:lineRule="exact"/>
        <w:ind w:firstLine="420" w:firstLineChars="200"/>
        <w:rPr>
          <w:rFonts w:hAnsi="宋体"/>
          <w:szCs w:val="21"/>
        </w:rPr>
      </w:pPr>
      <w:r>
        <w:rPr>
          <w:rFonts w:hAnsi="宋体"/>
          <w:szCs w:val="21"/>
        </w:rPr>
        <w:t>18.2.5本工程不可竞争费用项目及其费率见下表</w:t>
      </w:r>
      <w:r>
        <w:rPr>
          <w:rFonts w:hint="eastAsia" w:hAnsi="宋体"/>
          <w:szCs w:val="21"/>
        </w:rPr>
        <w:t>(%)</w:t>
      </w:r>
      <w:r>
        <w:rPr>
          <w:rFonts w:hAnsi="宋体"/>
          <w:szCs w:val="21"/>
        </w:rPr>
        <w:t>：</w:t>
      </w:r>
    </w:p>
    <w:tbl>
      <w:tblPr>
        <w:tblStyle w:val="57"/>
        <w:tblW w:w="7969" w:type="dxa"/>
        <w:tblInd w:w="60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1785"/>
        <w:gridCol w:w="2546"/>
        <w:gridCol w:w="1624"/>
        <w:gridCol w:w="1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710" w:type="dxa"/>
            <w:vAlign w:val="center"/>
          </w:tcPr>
          <w:p>
            <w:pPr>
              <w:jc w:val="center"/>
              <w:rPr>
                <w:rFonts w:ascii="宋体" w:hAnsi="宋体"/>
                <w:color w:val="000000"/>
                <w:szCs w:val="21"/>
              </w:rPr>
            </w:pPr>
            <w:r>
              <w:rPr>
                <w:rFonts w:ascii="宋体" w:hAnsi="宋体"/>
                <w:color w:val="000000"/>
                <w:szCs w:val="21"/>
              </w:rPr>
              <w:t>序号</w:t>
            </w:r>
          </w:p>
        </w:tc>
        <w:tc>
          <w:tcPr>
            <w:tcW w:w="1785" w:type="dxa"/>
            <w:vAlign w:val="center"/>
          </w:tcPr>
          <w:p>
            <w:pPr>
              <w:jc w:val="center"/>
              <w:rPr>
                <w:rFonts w:ascii="宋体" w:hAnsi="宋体"/>
                <w:color w:val="000000"/>
                <w:szCs w:val="21"/>
              </w:rPr>
            </w:pPr>
            <w:r>
              <w:rPr>
                <w:rFonts w:ascii="宋体" w:hAnsi="宋体"/>
                <w:color w:val="000000"/>
                <w:szCs w:val="21"/>
              </w:rPr>
              <w:t>费用类别</w:t>
            </w:r>
          </w:p>
        </w:tc>
        <w:tc>
          <w:tcPr>
            <w:tcW w:w="2546" w:type="dxa"/>
            <w:vAlign w:val="center"/>
          </w:tcPr>
          <w:p>
            <w:pPr>
              <w:ind w:firstLine="105" w:firstLineChars="50"/>
              <w:jc w:val="center"/>
              <w:rPr>
                <w:rFonts w:ascii="宋体" w:hAnsi="宋体"/>
                <w:color w:val="000000"/>
                <w:szCs w:val="21"/>
              </w:rPr>
            </w:pPr>
            <w:r>
              <w:rPr>
                <w:rFonts w:ascii="宋体" w:hAnsi="宋体"/>
                <w:color w:val="000000"/>
                <w:szCs w:val="21"/>
              </w:rPr>
              <w:t>费用名称</w:t>
            </w:r>
          </w:p>
        </w:tc>
        <w:tc>
          <w:tcPr>
            <w:tcW w:w="1624" w:type="dxa"/>
            <w:vAlign w:val="center"/>
          </w:tcPr>
          <w:p>
            <w:pPr>
              <w:jc w:val="center"/>
              <w:rPr>
                <w:rFonts w:ascii="宋体" w:hAnsi="宋体"/>
                <w:color w:val="000000"/>
                <w:szCs w:val="21"/>
              </w:rPr>
            </w:pPr>
            <w:r>
              <w:rPr>
                <w:rFonts w:ascii="宋体" w:hAnsi="宋体"/>
                <w:color w:val="000000"/>
                <w:szCs w:val="21"/>
              </w:rPr>
              <w:t>计费基数</w:t>
            </w:r>
          </w:p>
        </w:tc>
        <w:tc>
          <w:tcPr>
            <w:tcW w:w="1304" w:type="dxa"/>
            <w:vAlign w:val="center"/>
          </w:tcPr>
          <w:p>
            <w:pPr>
              <w:jc w:val="center"/>
              <w:rPr>
                <w:rFonts w:ascii="宋体" w:hAnsi="宋体"/>
                <w:color w:val="000000"/>
                <w:szCs w:val="21"/>
              </w:rPr>
            </w:pPr>
            <w:r>
              <w:rPr>
                <w:rFonts w:hint="eastAsia" w:ascii="宋体" w:hAnsi="宋体"/>
                <w:color w:val="000000"/>
                <w:szCs w:val="21"/>
              </w:rPr>
              <w:t>安装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1</w:t>
            </w:r>
          </w:p>
        </w:tc>
        <w:tc>
          <w:tcPr>
            <w:tcW w:w="1785" w:type="dxa"/>
            <w:vMerge w:val="restart"/>
            <w:vAlign w:val="center"/>
          </w:tcPr>
          <w:p>
            <w:pPr>
              <w:jc w:val="center"/>
              <w:rPr>
                <w:rFonts w:ascii="宋体" w:hAnsi="宋体"/>
                <w:color w:val="000000"/>
                <w:szCs w:val="21"/>
              </w:rPr>
            </w:pPr>
            <w:r>
              <w:rPr>
                <w:rFonts w:ascii="宋体" w:hAnsi="宋体"/>
                <w:color w:val="000000"/>
                <w:szCs w:val="21"/>
              </w:rPr>
              <w:t>规 费</w:t>
            </w: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环境保护税</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A+B+C-D</w:t>
            </w:r>
          </w:p>
        </w:tc>
        <w:tc>
          <w:tcPr>
            <w:tcW w:w="1304" w:type="dxa"/>
            <w:vAlign w:val="center"/>
          </w:tcPr>
          <w:p>
            <w:pPr>
              <w:jc w:val="center"/>
              <w:rPr>
                <w:rFonts w:ascii="宋体" w:hAnsi="宋体"/>
                <w:color w:val="000000" w:themeColor="text1"/>
                <w:kern w:val="0"/>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2</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社会保障费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A+B+C-D</w:t>
            </w:r>
          </w:p>
        </w:tc>
        <w:tc>
          <w:tcPr>
            <w:tcW w:w="1304" w:type="dxa"/>
            <w:vAlign w:val="center"/>
          </w:tcPr>
          <w:p>
            <w:pPr>
              <w:spacing w:line="360" w:lineRule="auto"/>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3</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住房公积金</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A+B+C-D</w:t>
            </w:r>
          </w:p>
        </w:tc>
        <w:tc>
          <w:tcPr>
            <w:tcW w:w="1304" w:type="dxa"/>
            <w:vAlign w:val="center"/>
          </w:tcPr>
          <w:p>
            <w:pPr>
              <w:spacing w:line="360" w:lineRule="auto"/>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0.42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4</w:t>
            </w:r>
          </w:p>
        </w:tc>
        <w:tc>
          <w:tcPr>
            <w:tcW w:w="1785" w:type="dxa"/>
            <w:vMerge w:val="restart"/>
            <w:vAlign w:val="center"/>
          </w:tcPr>
          <w:p>
            <w:pPr>
              <w:jc w:val="center"/>
              <w:rPr>
                <w:rFonts w:ascii="宋体" w:hAnsi="宋体"/>
                <w:color w:val="000000"/>
                <w:szCs w:val="21"/>
              </w:rPr>
            </w:pPr>
            <w:r>
              <w:rPr>
                <w:rFonts w:ascii="宋体" w:hAnsi="宋体"/>
                <w:color w:val="000000"/>
                <w:szCs w:val="21"/>
              </w:rPr>
              <w:t>现场安全</w:t>
            </w:r>
          </w:p>
          <w:p>
            <w:pPr>
              <w:jc w:val="center"/>
              <w:rPr>
                <w:rFonts w:ascii="宋体" w:hAnsi="宋体"/>
                <w:color w:val="000000"/>
                <w:szCs w:val="21"/>
              </w:rPr>
            </w:pPr>
            <w:r>
              <w:rPr>
                <w:rFonts w:ascii="宋体" w:hAnsi="宋体"/>
                <w:color w:val="000000"/>
                <w:szCs w:val="21"/>
              </w:rPr>
              <w:t>文明施工</w:t>
            </w:r>
          </w:p>
          <w:p>
            <w:pPr>
              <w:jc w:val="center"/>
              <w:rPr>
                <w:rFonts w:ascii="宋体" w:hAnsi="宋体"/>
                <w:color w:val="000000"/>
                <w:szCs w:val="21"/>
              </w:rPr>
            </w:pPr>
            <w:r>
              <w:rPr>
                <w:rFonts w:ascii="宋体" w:hAnsi="宋体"/>
                <w:color w:val="000000"/>
                <w:szCs w:val="21"/>
              </w:rPr>
              <w:t>措施费</w:t>
            </w: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基本费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A+B1-D</w:t>
            </w:r>
          </w:p>
        </w:tc>
        <w:tc>
          <w:tcPr>
            <w:tcW w:w="130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1.5</w:t>
            </w:r>
            <w:r>
              <w:rPr>
                <w:rFonts w:hint="eastAsia" w:ascii="宋体" w:hAnsi="宋体"/>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5</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扬尘污染防治增加费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A+B1-D</w:t>
            </w:r>
          </w:p>
        </w:tc>
        <w:tc>
          <w:tcPr>
            <w:tcW w:w="130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hint="eastAsia" w:ascii="宋体" w:hAnsi="宋体"/>
                <w:color w:val="000000"/>
                <w:szCs w:val="21"/>
              </w:rPr>
              <w:t>6</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标准化增加费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A+B1-D</w:t>
            </w:r>
          </w:p>
        </w:tc>
        <w:tc>
          <w:tcPr>
            <w:tcW w:w="1304" w:type="dxa"/>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hint="eastAsia" w:ascii="宋体" w:hAnsi="宋体"/>
                <w:color w:val="000000"/>
                <w:szCs w:val="21"/>
              </w:rPr>
              <w:t>8</w:t>
            </w:r>
          </w:p>
        </w:tc>
        <w:tc>
          <w:tcPr>
            <w:tcW w:w="1785" w:type="dxa"/>
            <w:vAlign w:val="center"/>
          </w:tcPr>
          <w:p>
            <w:pPr>
              <w:jc w:val="center"/>
              <w:rPr>
                <w:rFonts w:ascii="宋体" w:hAnsi="宋体"/>
                <w:color w:val="000000"/>
                <w:szCs w:val="21"/>
              </w:rPr>
            </w:pPr>
            <w:r>
              <w:rPr>
                <w:rFonts w:ascii="宋体" w:hAnsi="宋体"/>
                <w:color w:val="000000"/>
                <w:szCs w:val="21"/>
              </w:rPr>
              <w:t>税  金</w:t>
            </w:r>
          </w:p>
        </w:tc>
        <w:tc>
          <w:tcPr>
            <w:tcW w:w="2546" w:type="dxa"/>
            <w:vAlign w:val="center"/>
          </w:tcPr>
          <w:p>
            <w:pPr>
              <w:ind w:left="160" w:hanging="159" w:hangingChars="76"/>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税   金</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除税造价</w:t>
            </w:r>
          </w:p>
        </w:tc>
        <w:tc>
          <w:tcPr>
            <w:tcW w:w="130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9.00</w:t>
            </w:r>
          </w:p>
        </w:tc>
      </w:tr>
    </w:tbl>
    <w:p>
      <w:pPr>
        <w:adjustRightInd w:val="0"/>
        <w:snapToGrid w:val="0"/>
        <w:spacing w:line="360" w:lineRule="auto"/>
        <w:ind w:firstLine="420" w:firstLineChars="200"/>
        <w:rPr>
          <w:rFonts w:ascii="宋体" w:hAnsi="宋体"/>
          <w:color w:val="000000"/>
          <w:szCs w:val="21"/>
        </w:rPr>
      </w:pPr>
      <w:r>
        <w:rPr>
          <w:rFonts w:ascii="宋体" w:hAnsi="宋体"/>
          <w:color w:val="000000"/>
          <w:szCs w:val="21"/>
        </w:rPr>
        <w:t>注：</w:t>
      </w:r>
      <w:r>
        <w:rPr>
          <w:rFonts w:hint="eastAsia" w:ascii="宋体" w:hAnsi="宋体"/>
          <w:color w:val="000000"/>
          <w:szCs w:val="21"/>
        </w:rPr>
        <w:t>1、</w:t>
      </w:r>
      <w:r>
        <w:rPr>
          <w:rFonts w:ascii="宋体" w:hAnsi="宋体"/>
          <w:color w:val="000000"/>
          <w:szCs w:val="21"/>
        </w:rPr>
        <w:t>计算基础：A为分部分项工程费，B为措施项目清单费用，B1为单价措施项目费，C其它项目费，D为除税工程设备费。</w:t>
      </w:r>
    </w:p>
    <w:p>
      <w:pPr>
        <w:adjustRightInd w:val="0"/>
        <w:snapToGrid w:val="0"/>
        <w:spacing w:line="360" w:lineRule="auto"/>
        <w:ind w:firstLine="420" w:firstLineChars="200"/>
        <w:rPr>
          <w:rFonts w:hAnsi="宋体"/>
          <w:szCs w:val="21"/>
        </w:rPr>
      </w:pPr>
      <w:r>
        <w:rPr>
          <w:rFonts w:hint="eastAsia" w:hAnsi="宋体"/>
          <w:szCs w:val="21"/>
        </w:rPr>
        <w:t>18.2.6其他取费：详见工程量清单</w:t>
      </w:r>
    </w:p>
    <w:p>
      <w:pPr>
        <w:adjustRightInd w:val="0"/>
        <w:snapToGrid w:val="0"/>
        <w:spacing w:line="360" w:lineRule="auto"/>
        <w:ind w:firstLine="420" w:firstLineChars="200"/>
        <w:rPr>
          <w:rFonts w:hAnsi="宋体"/>
          <w:szCs w:val="21"/>
        </w:rPr>
      </w:pPr>
      <w:r>
        <w:rPr>
          <w:rFonts w:hint="eastAsia" w:hAnsi="宋体"/>
          <w:szCs w:val="21"/>
        </w:rPr>
        <w:t>18.2.7本工程执行《省住房城乡建设厅关于建筑工人实名制费用计取方法的公告》【2019】第19号。</w:t>
      </w:r>
    </w:p>
    <w:p>
      <w:pPr>
        <w:adjustRightInd w:val="0"/>
        <w:snapToGrid w:val="0"/>
        <w:spacing w:line="360" w:lineRule="auto"/>
        <w:ind w:firstLine="420" w:firstLineChars="200"/>
        <w:rPr>
          <w:rFonts w:hAnsi="宋体"/>
          <w:szCs w:val="21"/>
        </w:rPr>
      </w:pPr>
      <w:r>
        <w:rPr>
          <w:rFonts w:hint="eastAsia" w:hAnsi="宋体"/>
          <w:szCs w:val="21"/>
        </w:rPr>
        <w:t>18.3 招标控制价文件组成。</w:t>
      </w:r>
    </w:p>
    <w:p>
      <w:pPr>
        <w:spacing w:line="360" w:lineRule="auto"/>
        <w:ind w:firstLine="420" w:firstLineChars="200"/>
        <w:rPr>
          <w:rFonts w:hAnsi="宋体"/>
          <w:szCs w:val="21"/>
        </w:rPr>
      </w:pPr>
      <w:r>
        <w:rPr>
          <w:rFonts w:hAnsi="宋体"/>
          <w:szCs w:val="21"/>
        </w:rPr>
        <w:t>招标人公布的招标控制价应当包括单位工程招标控制价汇总表、分部分项工程和单价措施项目清单与计价表、相关说明以及招标价调整等系数的取值。</w:t>
      </w:r>
    </w:p>
    <w:p>
      <w:pPr>
        <w:adjustRightInd w:val="0"/>
        <w:snapToGrid w:val="0"/>
        <w:spacing w:line="360" w:lineRule="auto"/>
        <w:ind w:firstLine="420" w:firstLineChars="200"/>
        <w:rPr>
          <w:szCs w:val="21"/>
        </w:rPr>
      </w:pPr>
      <w:r>
        <w:rPr>
          <w:szCs w:val="21"/>
        </w:rPr>
        <w:t xml:space="preserve">18.4 </w:t>
      </w:r>
      <w:r>
        <w:rPr>
          <w:rFonts w:hAnsi="宋体"/>
          <w:szCs w:val="21"/>
        </w:rPr>
        <w:t>公布招标控制价时间。</w:t>
      </w:r>
    </w:p>
    <w:p>
      <w:pPr>
        <w:spacing w:line="360" w:lineRule="auto"/>
        <w:ind w:left="105" w:leftChars="50" w:firstLine="315" w:firstLineChars="150"/>
        <w:rPr>
          <w:szCs w:val="21"/>
        </w:rPr>
      </w:pPr>
      <w:r>
        <w:rPr>
          <w:rFonts w:hAnsi="宋体"/>
          <w:szCs w:val="21"/>
        </w:rPr>
        <w:t>招标控制价经崇川区公管办备案后，和招标文件同时在</w:t>
      </w:r>
      <w:r>
        <w:rPr>
          <w:rFonts w:hint="eastAsia" w:hAnsi="宋体"/>
          <w:szCs w:val="21"/>
        </w:rPr>
        <w:t>南通市崇川区人民政府网</w:t>
      </w:r>
      <w:r>
        <w:rPr>
          <w:rFonts w:hAnsi="宋体"/>
          <w:szCs w:val="21"/>
        </w:rPr>
        <w:t>上发布。</w:t>
      </w:r>
    </w:p>
    <w:p>
      <w:pPr>
        <w:spacing w:line="360" w:lineRule="auto"/>
        <w:ind w:firstLine="420" w:firstLineChars="200"/>
        <w:rPr>
          <w:szCs w:val="21"/>
        </w:rPr>
      </w:pPr>
      <w:r>
        <w:rPr>
          <w:szCs w:val="21"/>
        </w:rPr>
        <w:t xml:space="preserve">18.5 </w:t>
      </w:r>
      <w:r>
        <w:rPr>
          <w:rFonts w:hAnsi="宋体"/>
          <w:szCs w:val="21"/>
        </w:rPr>
        <w:t>招标控制价异议处理：</w:t>
      </w:r>
    </w:p>
    <w:p>
      <w:pPr>
        <w:spacing w:line="360" w:lineRule="auto"/>
        <w:ind w:firstLine="420" w:firstLineChars="200"/>
        <w:rPr>
          <w:b/>
          <w:szCs w:val="21"/>
          <w:u w:val="single"/>
        </w:rPr>
      </w:pPr>
      <w:r>
        <w:rPr>
          <w:rFonts w:hAnsi="宋体"/>
          <w:szCs w:val="21"/>
        </w:rPr>
        <w:t>投标人对招标控制价有异议的，应在控制价发布后</w:t>
      </w:r>
      <w:r>
        <w:rPr>
          <w:szCs w:val="21"/>
        </w:rPr>
        <w:t>2</w:t>
      </w:r>
      <w:r>
        <w:rPr>
          <w:rFonts w:hAnsi="宋体"/>
          <w:szCs w:val="21"/>
        </w:rPr>
        <w:t>日内向招标人书面提出；招标人不答复或对招标人答复不满意时，投标人可按规定程序向工程所在地造价管理机构投诉。</w:t>
      </w:r>
      <w:r>
        <w:rPr>
          <w:rFonts w:hAnsi="宋体"/>
          <w:b/>
          <w:szCs w:val="21"/>
          <w:u w:val="single"/>
        </w:rPr>
        <w:t>具体请参照通建工【</w:t>
      </w:r>
      <w:r>
        <w:rPr>
          <w:b/>
          <w:szCs w:val="21"/>
          <w:u w:val="single"/>
        </w:rPr>
        <w:t>2014</w:t>
      </w:r>
      <w:r>
        <w:rPr>
          <w:rFonts w:hAnsi="宋体"/>
          <w:b/>
          <w:szCs w:val="21"/>
          <w:u w:val="single"/>
        </w:rPr>
        <w:t>】</w:t>
      </w:r>
      <w:r>
        <w:rPr>
          <w:b/>
          <w:szCs w:val="21"/>
          <w:u w:val="single"/>
        </w:rPr>
        <w:t>369</w:t>
      </w:r>
      <w:r>
        <w:rPr>
          <w:rFonts w:hAnsi="宋体"/>
          <w:b/>
          <w:szCs w:val="21"/>
          <w:u w:val="single"/>
        </w:rPr>
        <w:t>号文。</w:t>
      </w:r>
    </w:p>
    <w:p>
      <w:pPr>
        <w:spacing w:line="360" w:lineRule="auto"/>
        <w:ind w:firstLine="420" w:firstLineChars="200"/>
        <w:rPr>
          <w:szCs w:val="21"/>
        </w:rPr>
      </w:pPr>
      <w:r>
        <w:rPr>
          <w:rFonts w:hAnsi="宋体"/>
          <w:szCs w:val="21"/>
        </w:rPr>
        <w:t>招标人根据招标控制价复查结论需要重新公布招标控制价的，其最终公布的时间至招标文件要求提交投标文件截止时间不足</w:t>
      </w:r>
      <w:r>
        <w:rPr>
          <w:rFonts w:hint="eastAsia"/>
          <w:szCs w:val="21"/>
        </w:rPr>
        <w:t>3</w:t>
      </w:r>
      <w:r>
        <w:rPr>
          <w:rFonts w:hAnsi="宋体"/>
          <w:szCs w:val="21"/>
        </w:rPr>
        <w:t>天的，将相应延长投标文件的截止时间。</w:t>
      </w:r>
    </w:p>
    <w:p>
      <w:pPr>
        <w:spacing w:line="360" w:lineRule="auto"/>
        <w:ind w:firstLine="422" w:firstLineChars="200"/>
        <w:rPr>
          <w:b/>
          <w:szCs w:val="21"/>
        </w:rPr>
      </w:pPr>
      <w:r>
        <w:rPr>
          <w:b/>
          <w:szCs w:val="21"/>
        </w:rPr>
        <w:t>19.</w:t>
      </w:r>
      <w:r>
        <w:rPr>
          <w:rFonts w:hAnsi="宋体"/>
          <w:b/>
          <w:szCs w:val="21"/>
        </w:rPr>
        <w:t>投标报价编制要求</w:t>
      </w:r>
    </w:p>
    <w:p>
      <w:pPr>
        <w:spacing w:line="360" w:lineRule="auto"/>
        <w:ind w:firstLine="420" w:firstLineChars="200"/>
        <w:rPr>
          <w:rFonts w:ascii="宋体" w:hAnsi="宋体"/>
          <w:szCs w:val="21"/>
        </w:rPr>
      </w:pPr>
      <w:r>
        <w:rPr>
          <w:rFonts w:hint="eastAsia" w:ascii="宋体" w:hAnsi="宋体"/>
          <w:szCs w:val="21"/>
        </w:rPr>
        <w:t>19.1采用工程量清单计价方式，投标人不得采用总价让利或以总价百分比让利等办法进行投标报价。</w:t>
      </w:r>
    </w:p>
    <w:p>
      <w:pPr>
        <w:spacing w:line="360" w:lineRule="auto"/>
        <w:ind w:firstLine="420" w:firstLineChars="200"/>
        <w:rPr>
          <w:rFonts w:ascii="宋体" w:hAnsi="宋体"/>
          <w:szCs w:val="21"/>
        </w:rPr>
      </w:pPr>
      <w:r>
        <w:rPr>
          <w:rFonts w:hint="eastAsia" w:ascii="宋体" w:hAnsi="宋体"/>
          <w:szCs w:val="21"/>
        </w:rPr>
        <w:t>19.2除投标人自行补充的措施项目外，投标报价的项目编码、项目名称、计量单位、工程量必须与招标人提供的一致。</w:t>
      </w:r>
    </w:p>
    <w:p>
      <w:pPr>
        <w:spacing w:line="360" w:lineRule="auto"/>
        <w:ind w:firstLine="420" w:firstLineChars="200"/>
        <w:rPr>
          <w:rFonts w:ascii="宋体" w:hAnsi="宋体"/>
          <w:szCs w:val="21"/>
        </w:rPr>
      </w:pPr>
      <w:r>
        <w:rPr>
          <w:rFonts w:hint="eastAsia" w:ascii="宋体" w:hAnsi="宋体"/>
          <w:szCs w:val="21"/>
        </w:rPr>
        <w:t xml:space="preserve">19.3工程量清单中投标人没有填入单价或价格的子目，其费用视为已分摊在工程量清单中其他子目的单价或价格之中。 </w:t>
      </w:r>
    </w:p>
    <w:p>
      <w:pPr>
        <w:spacing w:line="360" w:lineRule="auto"/>
        <w:ind w:firstLine="420" w:firstLineChars="200"/>
        <w:rPr>
          <w:rFonts w:ascii="宋体" w:hAnsi="宋体"/>
          <w:szCs w:val="21"/>
        </w:rPr>
      </w:pPr>
      <w:r>
        <w:rPr>
          <w:rFonts w:hint="eastAsia" w:ascii="宋体" w:hAnsi="宋体"/>
          <w:szCs w:val="21"/>
        </w:rPr>
        <w:t>19.4投标报价应根据招标文件中的工程量清单和有关要求、施工现场实际情况及拟定的施工方案或施工组织设计，依据企业定额和市场价格信息，实行自主报价（已列入不可竞争的项目除外）。投标人所报设备价、材料价如低于同期的省、市、县的造价信息或低于同期的市场价格信息，视为对招标人的优惠。投标人标函中所报设备、材料其规格、尺寸、等级不得低于清单的要求。中标人应根据清单确定的标准、等级、规格组织施工。</w:t>
      </w:r>
    </w:p>
    <w:p>
      <w:pPr>
        <w:spacing w:line="360" w:lineRule="auto"/>
        <w:ind w:firstLine="420" w:firstLineChars="200"/>
        <w:rPr>
          <w:rFonts w:ascii="宋体" w:hAnsi="宋体"/>
          <w:szCs w:val="21"/>
        </w:rPr>
      </w:pPr>
      <w:r>
        <w:rPr>
          <w:rFonts w:hint="eastAsia" w:ascii="宋体" w:hAnsi="宋体"/>
          <w:szCs w:val="21"/>
        </w:rPr>
        <w:t>19.5 投标人不得擅自改动招标人提供的工程量清单上的内容。若对提供的工程量清单内容有疑义，请将书面疑问材料在规定的时间和方法向招标代理单位提出，其中清单内容的书面疑问材料经招标人组织核实确认后提供最终工程量清单，投标人在投标报价时，不得增减清单工程量。</w:t>
      </w:r>
    </w:p>
    <w:p>
      <w:pPr>
        <w:spacing w:line="360" w:lineRule="auto"/>
        <w:ind w:firstLine="420" w:firstLineChars="200"/>
        <w:rPr>
          <w:rFonts w:ascii="宋体" w:hAnsi="宋体"/>
          <w:szCs w:val="21"/>
        </w:rPr>
      </w:pPr>
      <w:r>
        <w:rPr>
          <w:rFonts w:hint="eastAsia" w:ascii="宋体" w:hAnsi="宋体"/>
          <w:szCs w:val="21"/>
        </w:rPr>
        <w:t>19.6套用本企业定额，无本企业定额可参照《建设工程工程量清单计价规范》（GB50500-2013）、《房屋建筑装饰工程工程量计算规范》（GB50854-2013）、《园林绿化工程工程量计算规范》（GB20858-2013）、《市政工程工程量计算规范》（GB50857-2013），执行《江苏省建筑与装饰工程计价定额》2014年版、《江苏省安装工程计价定额》（2014）、《江苏省仿古建筑与园林工程计价表》2007年版、《江苏省市政工程计价定额》2014年版、《江苏省建筑工程费用定额》2014年版以及相应的补充规定和南通市现行的有关文件。</w:t>
      </w:r>
    </w:p>
    <w:p>
      <w:pPr>
        <w:spacing w:line="360" w:lineRule="auto"/>
        <w:ind w:firstLine="420" w:firstLineChars="200"/>
        <w:rPr>
          <w:rFonts w:ascii="宋体" w:hAnsi="宋体"/>
          <w:szCs w:val="21"/>
        </w:rPr>
      </w:pPr>
      <w:r>
        <w:rPr>
          <w:rFonts w:hint="eastAsia" w:ascii="宋体" w:hAnsi="宋体"/>
          <w:szCs w:val="21"/>
        </w:rPr>
        <w:t>19.7本工程施工期间涉及环保、消防、城市卫生、市政、居委会、派出所等相关部门收取的费用，以及夜间文明施工、保护周边地下管线和架空线的安全的费用等，投标人均应综合考虑在投标报价中，竣工结算时一律不作调整。</w:t>
      </w:r>
    </w:p>
    <w:p>
      <w:pPr>
        <w:spacing w:line="360" w:lineRule="auto"/>
        <w:ind w:firstLine="420" w:firstLineChars="200"/>
        <w:rPr>
          <w:rFonts w:ascii="宋体" w:hAnsi="宋体"/>
          <w:szCs w:val="21"/>
        </w:rPr>
      </w:pPr>
      <w:r>
        <w:rPr>
          <w:rFonts w:hint="eastAsia" w:ascii="宋体" w:hAnsi="宋体"/>
          <w:szCs w:val="21"/>
        </w:rPr>
        <w:t>19.8本工程不可竞争费用项目及其费率见下表（按苏建（2016）154号文，征税方式采用一般计税法）：</w:t>
      </w:r>
    </w:p>
    <w:tbl>
      <w:tblPr>
        <w:tblStyle w:val="57"/>
        <w:tblW w:w="7969" w:type="dxa"/>
        <w:tblInd w:w="60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1785"/>
        <w:gridCol w:w="2546"/>
        <w:gridCol w:w="1624"/>
        <w:gridCol w:w="1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710" w:type="dxa"/>
            <w:vAlign w:val="center"/>
          </w:tcPr>
          <w:p>
            <w:pPr>
              <w:jc w:val="center"/>
              <w:rPr>
                <w:rFonts w:ascii="宋体" w:hAnsi="宋体"/>
                <w:color w:val="000000"/>
                <w:szCs w:val="21"/>
              </w:rPr>
            </w:pPr>
            <w:r>
              <w:rPr>
                <w:rFonts w:ascii="宋体" w:hAnsi="宋体"/>
                <w:color w:val="000000"/>
                <w:szCs w:val="21"/>
              </w:rPr>
              <w:t>序号</w:t>
            </w:r>
          </w:p>
        </w:tc>
        <w:tc>
          <w:tcPr>
            <w:tcW w:w="1785" w:type="dxa"/>
            <w:vAlign w:val="center"/>
          </w:tcPr>
          <w:p>
            <w:pPr>
              <w:jc w:val="center"/>
              <w:rPr>
                <w:rFonts w:ascii="宋体" w:hAnsi="宋体"/>
                <w:color w:val="000000"/>
                <w:szCs w:val="21"/>
              </w:rPr>
            </w:pPr>
            <w:r>
              <w:rPr>
                <w:rFonts w:ascii="宋体" w:hAnsi="宋体"/>
                <w:color w:val="000000"/>
                <w:szCs w:val="21"/>
              </w:rPr>
              <w:t>费用类别</w:t>
            </w:r>
          </w:p>
        </w:tc>
        <w:tc>
          <w:tcPr>
            <w:tcW w:w="2546" w:type="dxa"/>
            <w:vAlign w:val="center"/>
          </w:tcPr>
          <w:p>
            <w:pPr>
              <w:ind w:firstLine="105" w:firstLineChars="50"/>
              <w:jc w:val="center"/>
              <w:rPr>
                <w:rFonts w:ascii="宋体" w:hAnsi="宋体"/>
                <w:color w:val="000000"/>
                <w:szCs w:val="21"/>
              </w:rPr>
            </w:pPr>
            <w:r>
              <w:rPr>
                <w:rFonts w:ascii="宋体" w:hAnsi="宋体"/>
                <w:color w:val="000000"/>
                <w:szCs w:val="21"/>
              </w:rPr>
              <w:t>费用名称</w:t>
            </w:r>
          </w:p>
        </w:tc>
        <w:tc>
          <w:tcPr>
            <w:tcW w:w="1624" w:type="dxa"/>
            <w:vAlign w:val="center"/>
          </w:tcPr>
          <w:p>
            <w:pPr>
              <w:jc w:val="center"/>
              <w:rPr>
                <w:rFonts w:ascii="宋体" w:hAnsi="宋体"/>
                <w:color w:val="000000"/>
                <w:szCs w:val="21"/>
              </w:rPr>
            </w:pPr>
            <w:r>
              <w:rPr>
                <w:rFonts w:ascii="宋体" w:hAnsi="宋体"/>
                <w:color w:val="000000"/>
                <w:szCs w:val="21"/>
              </w:rPr>
              <w:t>计费基数</w:t>
            </w:r>
          </w:p>
        </w:tc>
        <w:tc>
          <w:tcPr>
            <w:tcW w:w="1304" w:type="dxa"/>
            <w:vAlign w:val="center"/>
          </w:tcPr>
          <w:p>
            <w:pPr>
              <w:jc w:val="center"/>
              <w:rPr>
                <w:rFonts w:ascii="宋体" w:hAnsi="宋体"/>
                <w:color w:val="000000"/>
                <w:szCs w:val="21"/>
              </w:rPr>
            </w:pPr>
            <w:r>
              <w:rPr>
                <w:rFonts w:hint="eastAsia" w:ascii="宋体" w:hAnsi="宋体"/>
                <w:color w:val="000000"/>
                <w:szCs w:val="21"/>
              </w:rPr>
              <w:t>安装（%）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1</w:t>
            </w:r>
          </w:p>
        </w:tc>
        <w:tc>
          <w:tcPr>
            <w:tcW w:w="1785" w:type="dxa"/>
            <w:vMerge w:val="restart"/>
            <w:vAlign w:val="center"/>
          </w:tcPr>
          <w:p>
            <w:pPr>
              <w:jc w:val="center"/>
              <w:rPr>
                <w:rFonts w:ascii="宋体" w:hAnsi="宋体"/>
                <w:color w:val="000000"/>
                <w:szCs w:val="21"/>
              </w:rPr>
            </w:pPr>
            <w:r>
              <w:rPr>
                <w:rFonts w:ascii="宋体" w:hAnsi="宋体"/>
                <w:color w:val="000000"/>
                <w:szCs w:val="21"/>
              </w:rPr>
              <w:t>规 费</w:t>
            </w: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环境保护税</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A+B+C-D</w:t>
            </w:r>
          </w:p>
        </w:tc>
        <w:tc>
          <w:tcPr>
            <w:tcW w:w="1304" w:type="dxa"/>
            <w:vAlign w:val="center"/>
          </w:tcPr>
          <w:p>
            <w:pPr>
              <w:jc w:val="center"/>
              <w:rPr>
                <w:rFonts w:ascii="宋体" w:hAnsi="宋体"/>
                <w:color w:val="000000" w:themeColor="text1"/>
                <w:kern w:val="0"/>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2</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社会保障费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A+B+C-D</w:t>
            </w:r>
          </w:p>
        </w:tc>
        <w:tc>
          <w:tcPr>
            <w:tcW w:w="1304" w:type="dxa"/>
            <w:vAlign w:val="center"/>
          </w:tcPr>
          <w:p>
            <w:pPr>
              <w:spacing w:line="360" w:lineRule="auto"/>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3</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住房公积金</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A+B+C-D</w:t>
            </w:r>
          </w:p>
        </w:tc>
        <w:tc>
          <w:tcPr>
            <w:tcW w:w="1304" w:type="dxa"/>
            <w:vAlign w:val="center"/>
          </w:tcPr>
          <w:p>
            <w:pPr>
              <w:spacing w:line="360" w:lineRule="auto"/>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0.42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4</w:t>
            </w:r>
          </w:p>
        </w:tc>
        <w:tc>
          <w:tcPr>
            <w:tcW w:w="1785" w:type="dxa"/>
            <w:vMerge w:val="restart"/>
            <w:vAlign w:val="center"/>
          </w:tcPr>
          <w:p>
            <w:pPr>
              <w:jc w:val="center"/>
              <w:rPr>
                <w:rFonts w:ascii="宋体" w:hAnsi="宋体"/>
                <w:color w:val="000000"/>
                <w:szCs w:val="21"/>
              </w:rPr>
            </w:pPr>
            <w:r>
              <w:rPr>
                <w:rFonts w:ascii="宋体" w:hAnsi="宋体"/>
                <w:color w:val="000000"/>
                <w:szCs w:val="21"/>
              </w:rPr>
              <w:t>现场安全</w:t>
            </w:r>
          </w:p>
          <w:p>
            <w:pPr>
              <w:jc w:val="center"/>
              <w:rPr>
                <w:rFonts w:ascii="宋体" w:hAnsi="宋体"/>
                <w:color w:val="000000"/>
                <w:szCs w:val="21"/>
              </w:rPr>
            </w:pPr>
            <w:r>
              <w:rPr>
                <w:rFonts w:ascii="宋体" w:hAnsi="宋体"/>
                <w:color w:val="000000"/>
                <w:szCs w:val="21"/>
              </w:rPr>
              <w:t>文明施工</w:t>
            </w:r>
          </w:p>
          <w:p>
            <w:pPr>
              <w:jc w:val="center"/>
              <w:rPr>
                <w:rFonts w:ascii="宋体" w:hAnsi="宋体"/>
                <w:color w:val="000000"/>
                <w:szCs w:val="21"/>
              </w:rPr>
            </w:pPr>
            <w:r>
              <w:rPr>
                <w:rFonts w:ascii="宋体" w:hAnsi="宋体"/>
                <w:color w:val="000000"/>
                <w:szCs w:val="21"/>
              </w:rPr>
              <w:t>措施费</w:t>
            </w: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基本费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A+B1-D</w:t>
            </w:r>
          </w:p>
        </w:tc>
        <w:tc>
          <w:tcPr>
            <w:tcW w:w="130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1.5</w:t>
            </w:r>
            <w:r>
              <w:rPr>
                <w:rFonts w:hint="eastAsia" w:ascii="宋体" w:hAnsi="宋体"/>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ascii="宋体" w:hAnsi="宋体"/>
                <w:color w:val="000000"/>
                <w:szCs w:val="21"/>
              </w:rPr>
              <w:t>5</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扬尘污染防治增加费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A+B1-D</w:t>
            </w:r>
          </w:p>
        </w:tc>
        <w:tc>
          <w:tcPr>
            <w:tcW w:w="130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hint="eastAsia" w:ascii="宋体" w:hAnsi="宋体"/>
                <w:color w:val="000000"/>
                <w:szCs w:val="21"/>
              </w:rPr>
              <w:t>6</w:t>
            </w:r>
          </w:p>
        </w:tc>
        <w:tc>
          <w:tcPr>
            <w:tcW w:w="1785" w:type="dxa"/>
            <w:vMerge w:val="continue"/>
            <w:vAlign w:val="center"/>
          </w:tcPr>
          <w:p>
            <w:pPr>
              <w:ind w:firstLine="480"/>
              <w:jc w:val="center"/>
              <w:rPr>
                <w:rFonts w:ascii="宋体" w:hAnsi="宋体"/>
                <w:color w:val="000000"/>
                <w:szCs w:val="21"/>
              </w:rPr>
            </w:pPr>
          </w:p>
        </w:tc>
        <w:tc>
          <w:tcPr>
            <w:tcW w:w="2546" w:type="dxa"/>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标准化增加费</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A+B1-D</w:t>
            </w:r>
          </w:p>
        </w:tc>
        <w:tc>
          <w:tcPr>
            <w:tcW w:w="1304" w:type="dxa"/>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0" w:type="dxa"/>
            <w:vAlign w:val="center"/>
          </w:tcPr>
          <w:p>
            <w:pPr>
              <w:jc w:val="center"/>
              <w:rPr>
                <w:rFonts w:ascii="宋体" w:hAnsi="宋体"/>
                <w:color w:val="000000"/>
                <w:szCs w:val="21"/>
              </w:rPr>
            </w:pPr>
            <w:r>
              <w:rPr>
                <w:rFonts w:hint="eastAsia" w:ascii="宋体" w:hAnsi="宋体"/>
                <w:color w:val="000000"/>
                <w:szCs w:val="21"/>
              </w:rPr>
              <w:t>8</w:t>
            </w:r>
          </w:p>
        </w:tc>
        <w:tc>
          <w:tcPr>
            <w:tcW w:w="1785" w:type="dxa"/>
            <w:vAlign w:val="center"/>
          </w:tcPr>
          <w:p>
            <w:pPr>
              <w:jc w:val="center"/>
              <w:rPr>
                <w:rFonts w:ascii="宋体" w:hAnsi="宋体"/>
                <w:color w:val="000000"/>
                <w:szCs w:val="21"/>
              </w:rPr>
            </w:pPr>
            <w:r>
              <w:rPr>
                <w:rFonts w:ascii="宋体" w:hAnsi="宋体"/>
                <w:color w:val="000000"/>
                <w:szCs w:val="21"/>
              </w:rPr>
              <w:t>税  金</w:t>
            </w:r>
          </w:p>
        </w:tc>
        <w:tc>
          <w:tcPr>
            <w:tcW w:w="2546" w:type="dxa"/>
            <w:vAlign w:val="center"/>
          </w:tcPr>
          <w:p>
            <w:pPr>
              <w:ind w:left="160" w:hanging="159" w:hangingChars="76"/>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税   金</w:t>
            </w:r>
          </w:p>
        </w:tc>
        <w:tc>
          <w:tcPr>
            <w:tcW w:w="162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除税造价</w:t>
            </w:r>
          </w:p>
        </w:tc>
        <w:tc>
          <w:tcPr>
            <w:tcW w:w="1304" w:type="dxa"/>
            <w:vAlign w:val="center"/>
          </w:tcPr>
          <w:p>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9.00</w:t>
            </w:r>
          </w:p>
        </w:tc>
      </w:tr>
    </w:tbl>
    <w:p>
      <w:pPr>
        <w:spacing w:line="360" w:lineRule="auto"/>
        <w:ind w:firstLine="420" w:firstLineChars="200"/>
        <w:rPr>
          <w:rFonts w:ascii="宋体" w:hAnsi="宋体"/>
          <w:bCs/>
          <w:szCs w:val="21"/>
        </w:rPr>
      </w:pPr>
      <w:r>
        <w:rPr>
          <w:rFonts w:hint="eastAsia" w:ascii="宋体" w:hAnsi="宋体"/>
          <w:bCs/>
          <w:szCs w:val="21"/>
        </w:rPr>
        <w:t>注：a、计算基数：A为分部分项工程量清单费用，B为措施项目清单费用，C其它项目的费用，D工程设备费、E单价措施项目费。现场安全文明施工措施费率为暂定、最终以南通市建设工程造价管理处核定为准，否则在总价中扣除。</w:t>
      </w:r>
    </w:p>
    <w:p>
      <w:pPr>
        <w:spacing w:line="360" w:lineRule="auto"/>
        <w:ind w:firstLine="422" w:firstLineChars="200"/>
        <w:rPr>
          <w:rFonts w:ascii="宋体" w:hAnsi="宋体"/>
          <w:b/>
          <w:szCs w:val="21"/>
        </w:rPr>
      </w:pPr>
      <w:r>
        <w:rPr>
          <w:rFonts w:hint="eastAsia" w:ascii="宋体" w:hAnsi="宋体"/>
          <w:b/>
          <w:szCs w:val="21"/>
        </w:rPr>
        <w:t>19.9投标报价应包括招标文件所确定的招标范围内相应设计图纸及相关资料的全部内容，以及为完成上述内容所必须的附属工程、临时工程、材料、劳务及所需的全部费用。其中应包括材料、设备、存贮、运输、劳务、安装、调试、测试、检测（本项目的检测必须由市级及以上权威检测机构进行检测）、成品保护、缺陷修补、维护、培训、售后服务、管理、利润、规费、措施费、税金、技术措施、施工方法、甲供材料的下车力资、设备档案、工程档案、合同履行过程中可能发生的风险及所需的全部费用。</w:t>
      </w:r>
    </w:p>
    <w:p>
      <w:pPr>
        <w:spacing w:line="360" w:lineRule="auto"/>
        <w:ind w:firstLine="422" w:firstLineChars="200"/>
        <w:rPr>
          <w:rFonts w:ascii="宋体" w:hAnsi="宋体"/>
          <w:b/>
          <w:szCs w:val="21"/>
        </w:rPr>
      </w:pPr>
      <w:r>
        <w:rPr>
          <w:rFonts w:hint="eastAsia" w:ascii="宋体" w:hAnsi="宋体"/>
          <w:b/>
          <w:szCs w:val="21"/>
        </w:rPr>
        <w:t>19.10各投标人必须认真仔细踏勘施工现场并根据现场情况及本工程特点，并在投标报价时综合考虑赶工费、按质论价费、二次搬运费、特殊条件下施工增加费、冬雨季施工增加费、夜间施工增加费、临时设施费、已完工程及设备保护费等该类措施项目费由各投标人自行报价，一次性包定，结算时一律不作调整。如有已完工程及设备损坏，应按照不低于原设计标准恢复，费用列入报价。</w:t>
      </w:r>
    </w:p>
    <w:p>
      <w:pPr>
        <w:spacing w:line="360" w:lineRule="auto"/>
        <w:ind w:firstLine="422" w:firstLineChars="200"/>
        <w:rPr>
          <w:rFonts w:ascii="宋体" w:hAnsi="宋体"/>
          <w:b/>
          <w:szCs w:val="21"/>
        </w:rPr>
      </w:pPr>
      <w:r>
        <w:rPr>
          <w:rFonts w:hint="eastAsia" w:ascii="宋体" w:hAnsi="宋体"/>
          <w:b/>
          <w:szCs w:val="21"/>
        </w:rPr>
        <w:t>19.11投标单位根据施工现场情况及现行规定，自行根据可行的施工方案对措施费自行增加清单进行报价，结算时，除工程变更引起施工方案改变外，分包人不得以招标工程措施项目缺项为由要求新增措施项目，结算时一律不作调整。</w:t>
      </w:r>
    </w:p>
    <w:p>
      <w:pPr>
        <w:spacing w:line="360" w:lineRule="auto"/>
        <w:ind w:firstLine="422" w:firstLineChars="200"/>
        <w:rPr>
          <w:rFonts w:ascii="宋体" w:hAnsi="宋体"/>
          <w:b/>
          <w:szCs w:val="21"/>
        </w:rPr>
      </w:pPr>
      <w:r>
        <w:rPr>
          <w:rFonts w:hint="eastAsia" w:ascii="宋体" w:hAnsi="宋体"/>
          <w:b/>
          <w:szCs w:val="21"/>
        </w:rPr>
        <w:t>19.12余土、施工范围内的渣土及运距由各投标人根据现场实际情况自行考虑，计入报价，竣工结算时不予调整。</w:t>
      </w:r>
    </w:p>
    <w:p>
      <w:pPr>
        <w:spacing w:line="360" w:lineRule="auto"/>
        <w:ind w:firstLine="422" w:firstLineChars="200"/>
        <w:rPr>
          <w:rFonts w:ascii="宋体" w:hAnsi="宋体"/>
          <w:b/>
          <w:szCs w:val="21"/>
        </w:rPr>
      </w:pPr>
      <w:r>
        <w:rPr>
          <w:rFonts w:hint="eastAsia" w:ascii="宋体" w:hAnsi="宋体"/>
          <w:b/>
          <w:szCs w:val="21"/>
        </w:rPr>
        <w:t>19.1</w:t>
      </w:r>
      <w:r>
        <w:rPr>
          <w:rFonts w:hint="eastAsia" w:ascii="宋体" w:hAnsi="宋体"/>
          <w:b/>
          <w:szCs w:val="21"/>
          <w:lang w:val="en-US" w:eastAsia="zh-CN"/>
        </w:rPr>
        <w:t>3</w:t>
      </w:r>
      <w:r>
        <w:rPr>
          <w:rFonts w:hint="eastAsia" w:ascii="宋体" w:hAnsi="宋体"/>
          <w:b/>
          <w:szCs w:val="21"/>
        </w:rPr>
        <w:t>本工程未提供推荐品牌的材料，中标人须使用国产中档以上且符合国家标准的合格产品，其规格、技术指标、质量等级必须满足相应技术规范或技术标准的要求。</w:t>
      </w:r>
    </w:p>
    <w:p>
      <w:pPr>
        <w:spacing w:line="360" w:lineRule="auto"/>
        <w:ind w:firstLine="422" w:firstLineChars="200"/>
        <w:rPr>
          <w:rFonts w:ascii="宋体" w:hAnsi="宋体"/>
          <w:b/>
          <w:szCs w:val="21"/>
        </w:rPr>
      </w:pPr>
      <w:r>
        <w:rPr>
          <w:rFonts w:hint="eastAsia" w:ascii="宋体" w:hAnsi="宋体"/>
          <w:b/>
          <w:szCs w:val="21"/>
        </w:rPr>
        <w:t>19.1</w:t>
      </w:r>
      <w:r>
        <w:rPr>
          <w:rFonts w:hint="eastAsia" w:ascii="宋体" w:hAnsi="宋体"/>
          <w:b/>
          <w:szCs w:val="21"/>
          <w:lang w:val="en-US" w:eastAsia="zh-CN"/>
        </w:rPr>
        <w:t>4</w:t>
      </w:r>
      <w:r>
        <w:rPr>
          <w:rFonts w:hint="eastAsia" w:ascii="宋体" w:hAnsi="宋体" w:cs="宋体"/>
          <w:b/>
          <w:bCs/>
          <w:color w:val="000000"/>
          <w:kern w:val="0"/>
          <w:szCs w:val="21"/>
        </w:rPr>
        <w:t>与其他承包商间的协调、配合、通信关系，由中标人自行解决，确保各分项工程满足设计图纸、验收规范等要求，发生的费用由投标人自行承担，并相互做好成品保护工作，建设单位不再另行支付任何涉及工序交叉影响的费用。</w:t>
      </w:r>
    </w:p>
    <w:p>
      <w:pPr>
        <w:spacing w:line="360" w:lineRule="auto"/>
        <w:ind w:firstLine="422" w:firstLineChars="200"/>
        <w:rPr>
          <w:rFonts w:ascii="宋体" w:hAnsi="宋体"/>
          <w:b/>
          <w:szCs w:val="21"/>
        </w:rPr>
      </w:pPr>
      <w:r>
        <w:rPr>
          <w:rFonts w:hint="eastAsia" w:ascii="宋体" w:hAnsi="宋体"/>
          <w:b/>
          <w:szCs w:val="21"/>
        </w:rPr>
        <w:t>19.1</w:t>
      </w:r>
      <w:r>
        <w:rPr>
          <w:rFonts w:hint="eastAsia" w:ascii="宋体" w:hAnsi="宋体"/>
          <w:b/>
          <w:szCs w:val="21"/>
          <w:lang w:val="en-US" w:eastAsia="zh-CN"/>
        </w:rPr>
        <w:t>5</w:t>
      </w:r>
      <w:r>
        <w:rPr>
          <w:rFonts w:hint="eastAsia" w:ascii="宋体" w:hAnsi="宋体" w:cs="宋体"/>
          <w:b/>
          <w:bCs/>
          <w:color w:val="000000"/>
          <w:kern w:val="0"/>
          <w:szCs w:val="21"/>
        </w:rPr>
        <w:t>投标人在施工期间应根据南通市人民政府办公室文件通政办法［2019］58 号文《关于开展南通市区施工扬尘专治整理的实施意见》中的相关要求，强化施工扬尘治理责任，严格根据工地扬尘防治标准执行，费用在投标报价时综合考虑。</w:t>
      </w:r>
    </w:p>
    <w:p>
      <w:pPr>
        <w:spacing w:line="360" w:lineRule="auto"/>
        <w:ind w:firstLine="422" w:firstLineChars="200"/>
        <w:rPr>
          <w:rFonts w:ascii="宋体" w:hAnsi="宋体"/>
          <w:b/>
          <w:szCs w:val="21"/>
        </w:rPr>
      </w:pPr>
      <w:r>
        <w:rPr>
          <w:rFonts w:hint="eastAsia" w:ascii="宋体" w:hAnsi="宋体"/>
          <w:b/>
          <w:szCs w:val="21"/>
        </w:rPr>
        <w:t>19.1</w:t>
      </w:r>
      <w:r>
        <w:rPr>
          <w:rFonts w:hint="eastAsia" w:ascii="宋体" w:hAnsi="宋体"/>
          <w:b/>
          <w:szCs w:val="21"/>
          <w:lang w:val="en-US" w:eastAsia="zh-CN"/>
        </w:rPr>
        <w:t>6</w:t>
      </w:r>
      <w:r>
        <w:rPr>
          <w:rFonts w:hint="eastAsia" w:ascii="宋体" w:hAnsi="宋体" w:cs="宋体"/>
          <w:b/>
          <w:bCs/>
          <w:kern w:val="0"/>
          <w:szCs w:val="21"/>
        </w:rPr>
        <w:t>投标单位在投标报价时应充分考虑施工过程中对原有建筑工程结构、饰面及绿化、铺装等造成破损及损坏部分进行修复，使其恢复原样等所包含的各项费用，并综合考虑在投标报价中，结算时不再另行支付其费用。</w:t>
      </w:r>
    </w:p>
    <w:p>
      <w:pPr>
        <w:spacing w:line="360" w:lineRule="auto"/>
        <w:ind w:firstLine="422" w:firstLineChars="200"/>
        <w:rPr>
          <w:rFonts w:ascii="宋体" w:hAnsi="宋体"/>
          <w:b/>
          <w:szCs w:val="21"/>
        </w:rPr>
      </w:pPr>
      <w:r>
        <w:rPr>
          <w:rFonts w:hint="eastAsia" w:ascii="宋体" w:hAnsi="宋体"/>
          <w:b/>
          <w:szCs w:val="21"/>
        </w:rPr>
        <w:t>19.1</w:t>
      </w:r>
      <w:r>
        <w:rPr>
          <w:rFonts w:hint="eastAsia" w:ascii="宋体" w:hAnsi="宋体"/>
          <w:b/>
          <w:szCs w:val="21"/>
          <w:lang w:val="en-US" w:eastAsia="zh-CN"/>
        </w:rPr>
        <w:t>7</w:t>
      </w:r>
      <w:r>
        <w:rPr>
          <w:rFonts w:hint="eastAsia" w:ascii="宋体" w:hAnsi="宋体" w:cs="宋体"/>
          <w:b/>
          <w:bCs/>
          <w:color w:val="000000"/>
          <w:kern w:val="0"/>
          <w:szCs w:val="21"/>
        </w:rPr>
        <w:t>在实际施工中，发包人可以无条件要求施工单位更换不符合要求的产品，购进的材料设备与提供的样品不一致时，由承包人无条件退货，如因使用不符合国家标准及各项指标的材料，由此引起的相关费用由承包人承担，结算时一律不作调整。</w:t>
      </w:r>
    </w:p>
    <w:p>
      <w:pPr>
        <w:spacing w:line="360" w:lineRule="auto"/>
        <w:ind w:firstLine="422" w:firstLineChars="200"/>
        <w:rPr>
          <w:rFonts w:ascii="宋体" w:hAnsi="宋体"/>
          <w:b/>
          <w:szCs w:val="21"/>
        </w:rPr>
      </w:pPr>
      <w:r>
        <w:rPr>
          <w:rFonts w:hint="eastAsia" w:ascii="宋体" w:hAnsi="宋体"/>
          <w:b/>
          <w:szCs w:val="21"/>
        </w:rPr>
        <w:t>19.1</w:t>
      </w:r>
      <w:r>
        <w:rPr>
          <w:rFonts w:hint="eastAsia" w:ascii="宋体" w:hAnsi="宋体"/>
          <w:b/>
          <w:szCs w:val="21"/>
          <w:lang w:val="en-US" w:eastAsia="zh-CN"/>
        </w:rPr>
        <w:t>8</w:t>
      </w:r>
      <w:r>
        <w:rPr>
          <w:rFonts w:hint="eastAsia" w:ascii="宋体" w:hAnsi="宋体" w:cs="宋体"/>
          <w:b/>
          <w:bCs/>
          <w:color w:val="000000"/>
          <w:kern w:val="0"/>
          <w:szCs w:val="21"/>
        </w:rPr>
        <w:t>报价书中的工程数量乘以综合单价必须等于合价。如有误差，在结算时以综合单价金额小的为计算依据。</w:t>
      </w:r>
    </w:p>
    <w:p>
      <w:pPr>
        <w:spacing w:line="360" w:lineRule="auto"/>
        <w:ind w:firstLine="422" w:firstLineChars="200"/>
        <w:rPr>
          <w:rFonts w:ascii="宋体" w:hAnsi="宋体"/>
          <w:b/>
          <w:szCs w:val="21"/>
        </w:rPr>
      </w:pPr>
      <w:r>
        <w:rPr>
          <w:rFonts w:hint="eastAsia" w:ascii="宋体" w:hAnsi="宋体"/>
          <w:b/>
          <w:szCs w:val="21"/>
        </w:rPr>
        <w:t>19.</w:t>
      </w:r>
      <w:r>
        <w:rPr>
          <w:rFonts w:hint="eastAsia" w:ascii="宋体" w:hAnsi="宋体"/>
          <w:b/>
          <w:szCs w:val="21"/>
          <w:lang w:val="en-US" w:eastAsia="zh-CN"/>
        </w:rPr>
        <w:t>19</w:t>
      </w:r>
      <w:r>
        <w:rPr>
          <w:rFonts w:hint="eastAsia" w:ascii="宋体" w:hAnsi="宋体"/>
          <w:b/>
          <w:szCs w:val="21"/>
        </w:rPr>
        <w:t xml:space="preserve"> </w:t>
      </w:r>
      <w:r>
        <w:rPr>
          <w:rFonts w:hint="eastAsia" w:ascii="宋体" w:hAnsi="宋体" w:cs="宋体"/>
          <w:b/>
          <w:bCs/>
          <w:color w:val="000000"/>
          <w:kern w:val="0"/>
          <w:szCs w:val="21"/>
        </w:rPr>
        <w:t>本工程所有乙供材料均由承包人在确保质量的前提下自行采购，材料价格按照中档的质量自行市场询价进入报价。发包人对材料的质量有认定权（如发包人对承包人采购的材料认定为不合格的，承包人必须重新采购，直至合格为止），使用不符合标准、规格、质量和品牌要求（包括建设单位供应材料由于承包人验收把关不严）的工程材料承包人无条件更换和返工，并按照不合格材料购进总额的 30%向发包人支付违约金。 如购进的材料设备与提供的样品不一致时，由承包人无条件退货，造成的损失由承包人负责。</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0</w:t>
      </w:r>
      <w:r>
        <w:rPr>
          <w:rFonts w:hint="eastAsia" w:ascii="宋体" w:hAnsi="宋体" w:cs="宋体"/>
          <w:b/>
          <w:bCs/>
          <w:color w:val="000000"/>
          <w:kern w:val="0"/>
          <w:szCs w:val="21"/>
        </w:rPr>
        <w:t>承包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竣工结算时不作调整。</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1</w:t>
      </w:r>
      <w:r>
        <w:rPr>
          <w:rFonts w:hint="eastAsia" w:ascii="宋体" w:hAnsi="宋体" w:cs="宋体"/>
          <w:b/>
          <w:bCs/>
          <w:color w:val="000000"/>
          <w:kern w:val="0"/>
          <w:szCs w:val="21"/>
        </w:rPr>
        <w:t>本工程运出的建筑垃圾等必须运出崇川区范围之外，否则发现一车，招标人将向承包人收取 1-10 万元/车的违约金，并有权要求其重新清运出崇川区。渣土堆放地点(必须符合南通市崇川区建筑垃圾(渣土)管理中心要求，南通市崇川区建筑垃圾(渣土)管理中心收取的建筑垃圾处置费由投标人考虑在报价中。</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2</w:t>
      </w:r>
      <w:r>
        <w:rPr>
          <w:rFonts w:hint="eastAsia" w:ascii="宋体" w:hAnsi="宋体"/>
          <w:b/>
          <w:szCs w:val="21"/>
        </w:rPr>
        <w:t xml:space="preserve"> </w:t>
      </w:r>
      <w:r>
        <w:rPr>
          <w:rFonts w:hint="eastAsia" w:ascii="宋体" w:hAnsi="宋体" w:cs="宋体"/>
          <w:b/>
          <w:bCs/>
          <w:color w:val="000000"/>
          <w:kern w:val="0"/>
          <w:szCs w:val="21"/>
        </w:rPr>
        <w:t>本工程量清单的特征应与施工图、招标文件、技术要求、技术规范等文件结合起来阅读， 招标人在工程量清单中项目特征描述不全，但投标人为满足设计图纸中该清单项目的要求而必须完成的工作，投标人应计入工程量清单相应子目中，工程结算时招标人不为此类项目另外支付费用。</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3</w:t>
      </w:r>
      <w:r>
        <w:rPr>
          <w:rFonts w:hint="eastAsia" w:ascii="宋体" w:hAnsi="宋体" w:cs="宋体"/>
          <w:b/>
          <w:bCs/>
          <w:color w:val="000000"/>
          <w:kern w:val="0"/>
          <w:szCs w:val="21"/>
        </w:rPr>
        <w:t>若投标单位在投标报价时擅自改变暂估价或暂列金额且评审时未被发现，报价低于暂估价或暂列金额结算时统一先按招标文件明确暂估价或暂列金额扣除，报价高于暂估价或暂列金额时统一先按报价扣除；若擅自改变招标文件及清单内容，且评标时未被发现的，实际施工时一律以招标文件及清单内容执行，结算价格不予调整。</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4</w:t>
      </w:r>
      <w:r>
        <w:rPr>
          <w:rFonts w:hint="eastAsia" w:ascii="宋体" w:hAnsi="宋体" w:cs="宋体"/>
          <w:b/>
          <w:bCs/>
          <w:color w:val="000000"/>
          <w:kern w:val="0"/>
          <w:szCs w:val="21"/>
        </w:rPr>
        <w:t>投标人在投标报价时应考虑中标后需由总包单位代为缴纳的相关费用以及根据国家、 省、市、工程所在地政府及相关部门的规定缴纳有关费用，招标人不另行给付，费用缴纳的标准投标人可自行咨询。</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5</w:t>
      </w:r>
      <w:r>
        <w:rPr>
          <w:rFonts w:hint="eastAsia" w:ascii="宋体" w:hAnsi="宋体" w:cs="宋体"/>
          <w:b/>
          <w:bCs/>
          <w:color w:val="000000"/>
          <w:kern w:val="0"/>
          <w:szCs w:val="21"/>
        </w:rPr>
        <w:t>投标单位应充分了解工地位置、环境、道路、储存空间、装卸条件及任何其他足以影响承包价的情况。任何忽视、猜测或误解工地情况而导致的成本增加或工期延长等申请一律不予认可。</w:t>
      </w:r>
    </w:p>
    <w:p>
      <w:pPr>
        <w:spacing w:line="360" w:lineRule="auto"/>
        <w:ind w:firstLine="422" w:firstLineChars="200"/>
        <w:rPr>
          <w:rFonts w:ascii="宋体" w:hAnsi="宋体"/>
          <w:b/>
          <w:szCs w:val="21"/>
        </w:rPr>
      </w:pPr>
      <w:r>
        <w:rPr>
          <w:rFonts w:hint="eastAsia" w:ascii="宋体" w:hAnsi="宋体"/>
          <w:b/>
          <w:szCs w:val="21"/>
        </w:rPr>
        <w:t>19.2</w:t>
      </w:r>
      <w:r>
        <w:rPr>
          <w:rFonts w:hint="eastAsia" w:ascii="宋体" w:hAnsi="宋体"/>
          <w:b/>
          <w:szCs w:val="21"/>
          <w:lang w:val="en-US" w:eastAsia="zh-CN"/>
        </w:rPr>
        <w:t>6</w:t>
      </w:r>
      <w:r>
        <w:rPr>
          <w:rFonts w:hint="eastAsia" w:ascii="宋体" w:hAnsi="宋体" w:cs="宋体"/>
          <w:b/>
          <w:bCs/>
          <w:color w:val="000000"/>
          <w:kern w:val="0"/>
          <w:szCs w:val="21"/>
        </w:rPr>
        <w:t>投标人应充分考虑开工时间、季节、气候问题对投标报价时的影响，一旦中标，不得提出额外增加费用的要求。</w:t>
      </w:r>
    </w:p>
    <w:p>
      <w:pPr>
        <w:spacing w:line="360" w:lineRule="auto"/>
        <w:ind w:firstLine="422" w:firstLineChars="200"/>
        <w:rPr>
          <w:rFonts w:ascii="宋体" w:hAnsi="宋体"/>
          <w:b/>
          <w:szCs w:val="21"/>
        </w:rPr>
      </w:pPr>
      <w:r>
        <w:rPr>
          <w:rFonts w:hint="eastAsia" w:ascii="宋体" w:hAnsi="宋体"/>
          <w:b/>
          <w:szCs w:val="21"/>
        </w:rPr>
        <w:t>19.</w:t>
      </w:r>
      <w:r>
        <w:rPr>
          <w:rFonts w:hint="eastAsia" w:ascii="宋体" w:hAnsi="宋体"/>
          <w:b/>
          <w:szCs w:val="21"/>
          <w:lang w:val="en-US" w:eastAsia="zh-CN"/>
        </w:rPr>
        <w:t>27</w:t>
      </w:r>
      <w:r>
        <w:rPr>
          <w:rFonts w:hint="eastAsia" w:ascii="宋体" w:hAnsi="宋体" w:cs="宋体"/>
          <w:b/>
          <w:bCs/>
          <w:color w:val="000000"/>
          <w:kern w:val="0"/>
          <w:szCs w:val="21"/>
        </w:rPr>
        <w:t>投标人确定投标报价，同时应考虑合同中包含的风险、责任等各项费用。</w:t>
      </w:r>
    </w:p>
    <w:p>
      <w:pPr>
        <w:widowControl/>
        <w:spacing w:line="360" w:lineRule="auto"/>
        <w:ind w:firstLine="422" w:firstLineChars="200"/>
        <w:jc w:val="left"/>
      </w:pPr>
      <w:r>
        <w:rPr>
          <w:rFonts w:hint="eastAsia" w:ascii="宋体" w:hAnsi="宋体" w:cs="宋体"/>
          <w:b/>
          <w:bCs/>
          <w:color w:val="000000"/>
          <w:kern w:val="0"/>
          <w:szCs w:val="21"/>
        </w:rPr>
        <w:t>19.2</w:t>
      </w:r>
      <w:r>
        <w:rPr>
          <w:rFonts w:hint="eastAsia" w:ascii="宋体" w:hAnsi="宋体" w:cs="宋体"/>
          <w:b/>
          <w:bCs/>
          <w:color w:val="000000"/>
          <w:kern w:val="0"/>
          <w:szCs w:val="21"/>
          <w:lang w:val="en-US" w:eastAsia="zh-CN"/>
        </w:rPr>
        <w:t>8</w:t>
      </w:r>
      <w:r>
        <w:rPr>
          <w:rFonts w:hint="eastAsia" w:ascii="宋体" w:hAnsi="宋体" w:cs="宋体"/>
          <w:b/>
          <w:bCs/>
          <w:color w:val="000000"/>
          <w:kern w:val="0"/>
          <w:szCs w:val="21"/>
        </w:rPr>
        <w:t xml:space="preserve">投标人应在投标报价中根据自身管理水平，材料采购及机械配备等因素，考虑实际可抵扣进项税，合理确定增值税应纳税额进行自主报价。 </w:t>
      </w:r>
    </w:p>
    <w:p>
      <w:pPr>
        <w:widowControl/>
        <w:spacing w:line="360" w:lineRule="auto"/>
        <w:ind w:firstLine="422" w:firstLineChars="200"/>
        <w:jc w:val="left"/>
      </w:pPr>
      <w:r>
        <w:rPr>
          <w:rFonts w:hint="eastAsia" w:ascii="宋体" w:hAnsi="宋体" w:cs="宋体"/>
          <w:b/>
          <w:bCs/>
          <w:color w:val="000000"/>
          <w:kern w:val="0"/>
          <w:szCs w:val="21"/>
        </w:rPr>
        <w:t>19.</w:t>
      </w:r>
      <w:r>
        <w:rPr>
          <w:rFonts w:hint="eastAsia" w:ascii="宋体" w:hAnsi="宋体" w:cs="宋体"/>
          <w:b/>
          <w:bCs/>
          <w:color w:val="000000"/>
          <w:kern w:val="0"/>
          <w:szCs w:val="21"/>
          <w:lang w:val="en-US" w:eastAsia="zh-CN"/>
        </w:rPr>
        <w:t>29</w:t>
      </w:r>
      <w:r>
        <w:rPr>
          <w:rFonts w:hint="eastAsia" w:ascii="宋体" w:hAnsi="宋体" w:cs="宋体"/>
          <w:b/>
          <w:bCs/>
          <w:color w:val="000000"/>
          <w:kern w:val="0"/>
          <w:szCs w:val="21"/>
        </w:rPr>
        <w:t xml:space="preserve">承包人在施工过程中必须收集变更、签证及所有隐蔽项目的施工全过程影响视频资料以供后期审计使用，在送审结算资料中光盘或u盘必须一并提交。所有签证资料必须附有详细影像彩色照片，所摄照片必须有可参照性。如影像资料未能反映签证、掩蔽项目清单或招标文件等列明的工作内容则结算时该项内容不予认可。 </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0</w:t>
      </w:r>
      <w:r>
        <w:rPr>
          <w:rFonts w:hint="eastAsia" w:ascii="宋体" w:hAnsi="宋体" w:cs="宋体"/>
          <w:b/>
          <w:bCs/>
          <w:color w:val="000000"/>
          <w:kern w:val="0"/>
          <w:szCs w:val="21"/>
        </w:rPr>
        <w:t xml:space="preserve">本工程中标人不得拒绝完成发包人在施工地点范围内的变更或要求增减的工程内容。 </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1</w:t>
      </w:r>
      <w:r>
        <w:rPr>
          <w:rFonts w:hint="eastAsia" w:ascii="宋体" w:hAnsi="宋体" w:cs="宋体"/>
          <w:b/>
          <w:bCs/>
          <w:color w:val="000000"/>
          <w:kern w:val="0"/>
          <w:szCs w:val="21"/>
        </w:rPr>
        <w:t xml:space="preserve">本工程中标人需保证通过具备相应资质的消防检测机构检测合格，出具检测报告。否则，招标人有权不支付工程费用。消防检测单位由招标人指定。 </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2</w:t>
      </w:r>
      <w:r>
        <w:rPr>
          <w:rFonts w:hint="eastAsia" w:ascii="宋体" w:hAnsi="宋体" w:cs="宋体"/>
          <w:b/>
          <w:bCs/>
          <w:color w:val="000000"/>
          <w:kern w:val="0"/>
          <w:szCs w:val="21"/>
        </w:rPr>
        <w:t xml:space="preserve">本项目原设备、管线的拆除由本工程中标人实施，费用包含在投标报价中，投标单位在投标报价时综合考虑该部分费用，结算时不予调整。 </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3</w:t>
      </w:r>
      <w:r>
        <w:rPr>
          <w:rFonts w:hint="eastAsia" w:ascii="宋体" w:hAnsi="宋体" w:cs="宋体"/>
          <w:b/>
          <w:bCs/>
          <w:color w:val="000000"/>
          <w:kern w:val="0"/>
          <w:szCs w:val="21"/>
        </w:rPr>
        <w:t>本工程中标人在施工过程中，应将建筑垃圾清运至物业指定位置，同时接受物业公司的现场管理。</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4</w:t>
      </w:r>
      <w:r>
        <w:rPr>
          <w:rFonts w:hint="eastAsia" w:ascii="宋体" w:hAnsi="宋体" w:cs="宋体"/>
          <w:b/>
          <w:bCs/>
          <w:color w:val="000000"/>
          <w:kern w:val="0"/>
          <w:szCs w:val="21"/>
        </w:rPr>
        <w:t>本工程中标人应充分考虑物业可能收取的包含垃圾清运费、电梯装修使用费等，此部分费用投标人自行考虑在报价当中，结算时不再调整。</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5</w:t>
      </w:r>
      <w:r>
        <w:rPr>
          <w:rFonts w:hint="eastAsia" w:ascii="宋体" w:hAnsi="宋体" w:cs="宋体"/>
          <w:b/>
          <w:bCs/>
          <w:color w:val="000000"/>
          <w:kern w:val="0"/>
          <w:szCs w:val="21"/>
        </w:rPr>
        <w:t>施工期间，本工程中标人应严格按照国家及相关部门规定的作业时间，同时需遵守小区物业的相关规定。</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6</w:t>
      </w:r>
      <w:r>
        <w:rPr>
          <w:rFonts w:hint="eastAsia" w:ascii="宋体" w:hAnsi="宋体" w:cs="宋体"/>
          <w:b/>
          <w:bCs/>
          <w:color w:val="000000"/>
          <w:kern w:val="0"/>
          <w:szCs w:val="21"/>
        </w:rPr>
        <w:t>本次招标更换的消防管道施工范围包含各楼栋单元管道接入点至外网阀门井处的管道。</w:t>
      </w:r>
    </w:p>
    <w:p>
      <w:pPr>
        <w:widowControl/>
        <w:spacing w:line="360" w:lineRule="auto"/>
        <w:ind w:firstLine="422" w:firstLineChars="200"/>
        <w:jc w:val="left"/>
        <w:rPr>
          <w:rFonts w:ascii="宋体" w:hAnsi="宋体" w:cs="宋体"/>
          <w:b/>
          <w:bCs/>
          <w:color w:val="000000"/>
          <w:kern w:val="0"/>
          <w:szCs w:val="21"/>
        </w:rPr>
      </w:pPr>
      <w:r>
        <w:rPr>
          <w:rFonts w:hint="eastAsia" w:ascii="宋体" w:hAnsi="宋体" w:cs="宋体"/>
          <w:b/>
          <w:bCs/>
          <w:color w:val="000000"/>
          <w:kern w:val="0"/>
          <w:szCs w:val="21"/>
        </w:rPr>
        <w:t>19.3</w:t>
      </w:r>
      <w:r>
        <w:rPr>
          <w:rFonts w:hint="eastAsia" w:ascii="宋体" w:hAnsi="宋体" w:cs="宋体"/>
          <w:b/>
          <w:bCs/>
          <w:color w:val="000000"/>
          <w:kern w:val="0"/>
          <w:szCs w:val="21"/>
          <w:lang w:val="en-US" w:eastAsia="zh-CN"/>
        </w:rPr>
        <w:t>7</w:t>
      </w:r>
      <w:r>
        <w:rPr>
          <w:rFonts w:hint="eastAsia" w:ascii="宋体" w:hAnsi="宋体" w:cs="宋体"/>
          <w:b/>
          <w:bCs/>
          <w:color w:val="000000"/>
          <w:kern w:val="0"/>
          <w:szCs w:val="21"/>
        </w:rPr>
        <w:t>其他未尽事宜在书面答疑中明确。</w:t>
      </w:r>
    </w:p>
    <w:p>
      <w:pPr>
        <w:pStyle w:val="76"/>
        <w:spacing w:line="420" w:lineRule="exact"/>
        <w:outlineLvl w:val="1"/>
        <w:rPr>
          <w:b/>
          <w:szCs w:val="24"/>
        </w:rPr>
      </w:pPr>
      <w:r>
        <w:rPr>
          <w:b/>
          <w:szCs w:val="24"/>
        </w:rPr>
        <w:t>(</w:t>
      </w:r>
      <w:r>
        <w:rPr>
          <w:rFonts w:hAnsi="宋体"/>
          <w:b/>
          <w:szCs w:val="24"/>
        </w:rPr>
        <w:t>五</w:t>
      </w:r>
      <w:r>
        <w:rPr>
          <w:b/>
          <w:szCs w:val="24"/>
        </w:rPr>
        <w:t xml:space="preserve">) </w:t>
      </w:r>
      <w:r>
        <w:rPr>
          <w:rFonts w:hAnsi="宋体"/>
          <w:b/>
          <w:szCs w:val="24"/>
        </w:rPr>
        <w:t>投标文件的密封和递交</w:t>
      </w:r>
    </w:p>
    <w:p>
      <w:pPr>
        <w:spacing w:line="360" w:lineRule="auto"/>
        <w:ind w:firstLine="422" w:firstLineChars="200"/>
        <w:rPr>
          <w:b/>
          <w:szCs w:val="21"/>
        </w:rPr>
      </w:pPr>
      <w:r>
        <w:rPr>
          <w:b/>
          <w:szCs w:val="21"/>
        </w:rPr>
        <w:t>20</w:t>
      </w:r>
      <w:r>
        <w:rPr>
          <w:rFonts w:hint="eastAsia"/>
          <w:b/>
          <w:szCs w:val="21"/>
        </w:rPr>
        <w:t>、</w:t>
      </w:r>
      <w:r>
        <w:rPr>
          <w:rFonts w:hAnsi="宋体"/>
          <w:b/>
          <w:szCs w:val="21"/>
        </w:rPr>
        <w:t>投标文件的密封与标志</w:t>
      </w:r>
    </w:p>
    <w:p>
      <w:pPr>
        <w:spacing w:line="360" w:lineRule="auto"/>
        <w:ind w:firstLine="480"/>
        <w:rPr>
          <w:szCs w:val="21"/>
        </w:rPr>
      </w:pPr>
      <w:r>
        <w:rPr>
          <w:szCs w:val="21"/>
        </w:rPr>
        <w:t xml:space="preserve">20.1 </w:t>
      </w:r>
      <w:r>
        <w:rPr>
          <w:rFonts w:hAnsi="宋体"/>
          <w:szCs w:val="21"/>
        </w:rPr>
        <w:t>本工程投标文件由</w:t>
      </w:r>
      <w:r>
        <w:rPr>
          <w:rFonts w:hAnsi="宋体"/>
          <w:b/>
          <w:szCs w:val="21"/>
          <w:u w:val="single"/>
        </w:rPr>
        <w:t>电子投标文件（光盘）、资格审查资料包、商务标、资格审查资料原件包</w:t>
      </w:r>
      <w:r>
        <w:rPr>
          <w:rFonts w:hAnsi="宋体"/>
          <w:szCs w:val="21"/>
        </w:rPr>
        <w:t>四部分组成。</w:t>
      </w:r>
    </w:p>
    <w:p>
      <w:pPr>
        <w:spacing w:line="360" w:lineRule="auto"/>
        <w:ind w:firstLine="480"/>
        <w:rPr>
          <w:szCs w:val="21"/>
        </w:rPr>
      </w:pPr>
      <w:r>
        <w:rPr>
          <w:szCs w:val="21"/>
        </w:rPr>
        <w:t xml:space="preserve">20.1.1 </w:t>
      </w:r>
      <w:r>
        <w:rPr>
          <w:rFonts w:hAnsi="宋体"/>
          <w:b/>
          <w:szCs w:val="21"/>
        </w:rPr>
        <w:t>电子投标文件</w:t>
      </w:r>
      <w:r>
        <w:rPr>
          <w:rFonts w:hAnsi="宋体"/>
          <w:szCs w:val="21"/>
        </w:rPr>
        <w:t>（光盘）包含内容详见本招标文件第</w:t>
      </w:r>
      <w:r>
        <w:rPr>
          <w:szCs w:val="21"/>
        </w:rPr>
        <w:t>9.1</w:t>
      </w:r>
      <w:r>
        <w:rPr>
          <w:rFonts w:hAnsi="宋体"/>
          <w:szCs w:val="21"/>
        </w:rPr>
        <w:t>条款。</w:t>
      </w:r>
    </w:p>
    <w:p>
      <w:pPr>
        <w:spacing w:line="360" w:lineRule="auto"/>
        <w:ind w:firstLine="480"/>
        <w:rPr>
          <w:szCs w:val="21"/>
        </w:rPr>
      </w:pPr>
      <w:r>
        <w:rPr>
          <w:szCs w:val="21"/>
        </w:rPr>
        <w:t xml:space="preserve">20.1.2 </w:t>
      </w:r>
      <w:r>
        <w:rPr>
          <w:rFonts w:hAnsi="宋体"/>
          <w:b/>
          <w:szCs w:val="21"/>
        </w:rPr>
        <w:t>纸质投标文件</w:t>
      </w:r>
      <w:r>
        <w:rPr>
          <w:rFonts w:hAnsi="宋体"/>
          <w:szCs w:val="21"/>
        </w:rPr>
        <w:t>由</w:t>
      </w:r>
      <w:r>
        <w:rPr>
          <w:rFonts w:hAnsi="宋体"/>
          <w:szCs w:val="21"/>
          <w:u w:val="single"/>
        </w:rPr>
        <w:t>资格审查资料包、商务标、资格审查资料原件包</w:t>
      </w:r>
      <w:r>
        <w:rPr>
          <w:rFonts w:hAnsi="宋体"/>
          <w:szCs w:val="21"/>
        </w:rPr>
        <w:t>三部分组成。</w:t>
      </w:r>
    </w:p>
    <w:p>
      <w:pPr>
        <w:spacing w:line="360" w:lineRule="auto"/>
        <w:ind w:firstLine="480"/>
        <w:rPr>
          <w:b/>
          <w:snapToGrid w:val="0"/>
          <w:kern w:val="0"/>
          <w:szCs w:val="21"/>
        </w:rPr>
      </w:pPr>
      <w:r>
        <w:rPr>
          <w:rFonts w:hAnsi="宋体"/>
          <w:snapToGrid w:val="0"/>
          <w:kern w:val="0"/>
          <w:szCs w:val="21"/>
        </w:rPr>
        <w:t>纸质投标文件与评标时的电子投标文件应保持完全一致。</w:t>
      </w:r>
      <w:r>
        <w:rPr>
          <w:rFonts w:hAnsi="宋体"/>
          <w:b/>
          <w:snapToGrid w:val="0"/>
          <w:kern w:val="0"/>
          <w:szCs w:val="21"/>
        </w:rPr>
        <w:t>纸质商务标报价与电子商务标报价不一致的，作废标处理。</w:t>
      </w:r>
    </w:p>
    <w:p>
      <w:pPr>
        <w:spacing w:line="360" w:lineRule="auto"/>
        <w:ind w:firstLine="480"/>
        <w:rPr>
          <w:b/>
          <w:bCs/>
          <w:szCs w:val="21"/>
        </w:rPr>
      </w:pPr>
      <w:r>
        <w:rPr>
          <w:snapToGrid w:val="0"/>
          <w:kern w:val="0"/>
          <w:szCs w:val="21"/>
        </w:rPr>
        <w:t xml:space="preserve">20.2 </w:t>
      </w:r>
      <w:r>
        <w:rPr>
          <w:rFonts w:hAnsi="宋体"/>
          <w:snapToGrid w:val="0"/>
          <w:kern w:val="0"/>
          <w:szCs w:val="21"/>
        </w:rPr>
        <w:t>电子投标文件，应按照本文件第</w:t>
      </w:r>
      <w:r>
        <w:rPr>
          <w:snapToGrid w:val="0"/>
          <w:kern w:val="0"/>
          <w:szCs w:val="21"/>
        </w:rPr>
        <w:t>9.1</w:t>
      </w:r>
      <w:r>
        <w:rPr>
          <w:rFonts w:hAnsi="宋体"/>
          <w:snapToGrid w:val="0"/>
          <w:kern w:val="0"/>
          <w:szCs w:val="21"/>
        </w:rPr>
        <w:t>、</w:t>
      </w:r>
      <w:r>
        <w:rPr>
          <w:snapToGrid w:val="0"/>
          <w:kern w:val="0"/>
          <w:szCs w:val="21"/>
        </w:rPr>
        <w:t>9.1.1</w:t>
      </w:r>
      <w:r>
        <w:rPr>
          <w:rFonts w:hAnsi="宋体"/>
          <w:snapToGrid w:val="0"/>
          <w:kern w:val="0"/>
          <w:szCs w:val="21"/>
        </w:rPr>
        <w:t>条款规定的内容、格式制作电子投标文件光盘。电子投标文件光盘</w:t>
      </w:r>
      <w:r>
        <w:rPr>
          <w:rFonts w:hAnsi="宋体"/>
          <w:szCs w:val="21"/>
        </w:rPr>
        <w:t>一式</w:t>
      </w:r>
      <w:r>
        <w:rPr>
          <w:rFonts w:hAnsi="宋体"/>
          <w:b/>
          <w:szCs w:val="21"/>
          <w:u w:val="single"/>
        </w:rPr>
        <w:t>贰</w:t>
      </w:r>
      <w:r>
        <w:rPr>
          <w:rFonts w:hAnsi="宋体"/>
          <w:szCs w:val="21"/>
        </w:rPr>
        <w:t>份，正本</w:t>
      </w:r>
      <w:r>
        <w:rPr>
          <w:rFonts w:hAnsi="宋体"/>
          <w:b/>
          <w:szCs w:val="21"/>
          <w:u w:val="single"/>
        </w:rPr>
        <w:t>壹</w:t>
      </w:r>
      <w:r>
        <w:rPr>
          <w:rFonts w:hAnsi="宋体"/>
          <w:szCs w:val="21"/>
        </w:rPr>
        <w:t>份，备份</w:t>
      </w:r>
      <w:r>
        <w:rPr>
          <w:rFonts w:hAnsi="宋体"/>
          <w:b/>
          <w:szCs w:val="21"/>
          <w:u w:val="single"/>
        </w:rPr>
        <w:t>壹</w:t>
      </w:r>
      <w:r>
        <w:rPr>
          <w:rFonts w:hAnsi="宋体"/>
          <w:szCs w:val="21"/>
        </w:rPr>
        <w:t>份。</w:t>
      </w:r>
      <w:r>
        <w:rPr>
          <w:rFonts w:hAnsi="宋体"/>
          <w:b/>
          <w:bCs/>
          <w:szCs w:val="21"/>
        </w:rPr>
        <w:t>电子投标文件光盘单独密封，封袋上加盖投标人单位公章和法定代表人印章。</w:t>
      </w:r>
      <w:r>
        <w:rPr>
          <w:rFonts w:hAnsi="宋体"/>
          <w:b/>
          <w:szCs w:val="21"/>
        </w:rPr>
        <w:t>另须在封袋上标明</w:t>
      </w:r>
      <w:r>
        <w:rPr>
          <w:b/>
          <w:szCs w:val="21"/>
        </w:rPr>
        <w:t>“</w:t>
      </w:r>
      <w:r>
        <w:rPr>
          <w:rFonts w:hAnsi="宋体"/>
          <w:b/>
          <w:szCs w:val="21"/>
        </w:rPr>
        <w:t>电子投标文件光盘</w:t>
      </w:r>
      <w:r>
        <w:rPr>
          <w:b/>
          <w:szCs w:val="21"/>
        </w:rPr>
        <w:t>”</w:t>
      </w:r>
      <w:r>
        <w:rPr>
          <w:rFonts w:hAnsi="宋体"/>
          <w:b/>
          <w:szCs w:val="21"/>
        </w:rPr>
        <w:t>，同时还要写明工程名称。</w:t>
      </w:r>
    </w:p>
    <w:p>
      <w:pPr>
        <w:spacing w:line="360" w:lineRule="auto"/>
        <w:ind w:firstLine="480"/>
        <w:rPr>
          <w:b/>
          <w:szCs w:val="21"/>
        </w:rPr>
      </w:pPr>
      <w:r>
        <w:rPr>
          <w:rFonts w:hAnsi="宋体"/>
          <w:b/>
          <w:szCs w:val="21"/>
        </w:rPr>
        <w:t>投标人可将</w:t>
      </w:r>
      <w:r>
        <w:rPr>
          <w:rFonts w:hAnsi="宋体"/>
          <w:b/>
          <w:bCs/>
          <w:szCs w:val="21"/>
        </w:rPr>
        <w:t>电子投标文件光盘</w:t>
      </w:r>
      <w:r>
        <w:rPr>
          <w:rFonts w:hAnsi="宋体"/>
          <w:b/>
          <w:szCs w:val="21"/>
        </w:rPr>
        <w:t>正本、备份本统一密封于一个密封袋，但应在光盘上标记</w:t>
      </w:r>
      <w:r>
        <w:rPr>
          <w:b/>
          <w:szCs w:val="21"/>
        </w:rPr>
        <w:t>“</w:t>
      </w:r>
      <w:r>
        <w:rPr>
          <w:rFonts w:hAnsi="宋体"/>
          <w:b/>
          <w:szCs w:val="21"/>
        </w:rPr>
        <w:t>正本</w:t>
      </w:r>
      <w:r>
        <w:rPr>
          <w:b/>
          <w:szCs w:val="21"/>
        </w:rPr>
        <w:t>”</w:t>
      </w:r>
      <w:r>
        <w:rPr>
          <w:rFonts w:hAnsi="宋体"/>
          <w:b/>
          <w:szCs w:val="21"/>
        </w:rPr>
        <w:t>、</w:t>
      </w:r>
      <w:r>
        <w:rPr>
          <w:b/>
          <w:szCs w:val="21"/>
        </w:rPr>
        <w:t>“</w:t>
      </w:r>
      <w:r>
        <w:rPr>
          <w:rFonts w:hAnsi="宋体"/>
          <w:b/>
          <w:szCs w:val="21"/>
        </w:rPr>
        <w:t>备份本</w:t>
      </w:r>
      <w:r>
        <w:rPr>
          <w:b/>
          <w:szCs w:val="21"/>
        </w:rPr>
        <w:t>”</w:t>
      </w:r>
      <w:r>
        <w:rPr>
          <w:rFonts w:hAnsi="宋体"/>
          <w:b/>
          <w:szCs w:val="21"/>
        </w:rPr>
        <w:t>。如正本和备份本分别密封的，应在封袋上标明正、备份本字样。特别提醒：投标人应妥善密封</w:t>
      </w:r>
      <w:r>
        <w:rPr>
          <w:rFonts w:hAnsi="宋体"/>
          <w:b/>
          <w:bCs/>
          <w:szCs w:val="21"/>
        </w:rPr>
        <w:t>电子投标文件光盘，做好相应防护措施，以免光盘刮花无法读取。因投标人自身原因致使电子投标文件（正本光盘、备份光盘）现场无法读取的，视为无效投标文件，投标文件不再评审。</w:t>
      </w:r>
    </w:p>
    <w:p>
      <w:pPr>
        <w:spacing w:line="360" w:lineRule="auto"/>
        <w:ind w:firstLine="413" w:firstLineChars="196"/>
        <w:rPr>
          <w:b/>
          <w:snapToGrid w:val="0"/>
          <w:kern w:val="0"/>
          <w:szCs w:val="21"/>
        </w:rPr>
      </w:pPr>
      <w:r>
        <w:rPr>
          <w:b/>
          <w:snapToGrid w:val="0"/>
          <w:kern w:val="0"/>
          <w:szCs w:val="21"/>
        </w:rPr>
        <w:t xml:space="preserve">20.3 </w:t>
      </w:r>
      <w:r>
        <w:rPr>
          <w:rFonts w:hAnsi="宋体"/>
          <w:b/>
          <w:snapToGrid w:val="0"/>
          <w:kern w:val="0"/>
          <w:szCs w:val="21"/>
        </w:rPr>
        <w:t>纸质投标文件由</w:t>
      </w:r>
      <w:r>
        <w:rPr>
          <w:rFonts w:hAnsi="宋体"/>
          <w:b/>
          <w:snapToGrid w:val="0"/>
          <w:kern w:val="0"/>
          <w:szCs w:val="21"/>
          <w:u w:val="single"/>
        </w:rPr>
        <w:t>资格审查资料包、商务标、资格审查资料原件包</w:t>
      </w:r>
      <w:r>
        <w:rPr>
          <w:rFonts w:hAnsi="宋体"/>
          <w:b/>
          <w:snapToGrid w:val="0"/>
          <w:kern w:val="0"/>
          <w:szCs w:val="21"/>
        </w:rPr>
        <w:t>三部分组成。</w:t>
      </w:r>
      <w:r>
        <w:rPr>
          <w:rFonts w:hAnsi="宋体"/>
          <w:b/>
          <w:bCs/>
          <w:szCs w:val="21"/>
        </w:rPr>
        <w:t>资格审查资料原件包</w:t>
      </w:r>
      <w:r>
        <w:rPr>
          <w:rFonts w:hAnsi="宋体"/>
          <w:b/>
          <w:bCs/>
          <w:szCs w:val="21"/>
          <w:u w:val="single"/>
        </w:rPr>
        <w:t>壹</w:t>
      </w:r>
      <w:r>
        <w:rPr>
          <w:rFonts w:hAnsi="宋体"/>
          <w:b/>
          <w:bCs/>
          <w:szCs w:val="21"/>
        </w:rPr>
        <w:t>份；资格审查资料包</w:t>
      </w:r>
      <w:r>
        <w:rPr>
          <w:rFonts w:hAnsi="宋体"/>
          <w:b/>
          <w:bCs/>
          <w:szCs w:val="21"/>
          <w:u w:val="single"/>
        </w:rPr>
        <w:t>壹</w:t>
      </w:r>
      <w:r>
        <w:rPr>
          <w:rFonts w:hAnsi="宋体"/>
          <w:b/>
          <w:bCs/>
          <w:szCs w:val="21"/>
        </w:rPr>
        <w:t>份；商务标包</w:t>
      </w:r>
      <w:r>
        <w:rPr>
          <w:rFonts w:hAnsi="宋体"/>
          <w:b/>
          <w:bCs/>
          <w:szCs w:val="21"/>
          <w:u w:val="single"/>
        </w:rPr>
        <w:t>壹</w:t>
      </w:r>
      <w:r>
        <w:rPr>
          <w:rFonts w:hAnsi="宋体"/>
          <w:b/>
          <w:bCs/>
          <w:szCs w:val="21"/>
        </w:rPr>
        <w:t>份。资格审查资料原件包、资格审查资料包、商务标分别标明</w:t>
      </w:r>
      <w:r>
        <w:rPr>
          <w:b/>
          <w:bCs/>
          <w:szCs w:val="21"/>
        </w:rPr>
        <w:t>“</w:t>
      </w:r>
      <w:r>
        <w:rPr>
          <w:rFonts w:hAnsi="宋体"/>
          <w:b/>
          <w:bCs/>
          <w:szCs w:val="21"/>
        </w:rPr>
        <w:t>正本</w:t>
      </w:r>
      <w:r>
        <w:rPr>
          <w:b/>
          <w:bCs/>
          <w:szCs w:val="21"/>
        </w:rPr>
        <w:t>”</w:t>
      </w:r>
      <w:r>
        <w:rPr>
          <w:rFonts w:hAnsi="宋体"/>
          <w:b/>
          <w:bCs/>
          <w:szCs w:val="21"/>
        </w:rPr>
        <w:t>。</w:t>
      </w:r>
      <w:r>
        <w:rPr>
          <w:rFonts w:hAnsi="宋体"/>
          <w:b/>
          <w:snapToGrid w:val="0"/>
          <w:kern w:val="0"/>
          <w:szCs w:val="21"/>
        </w:rPr>
        <w:t>中标人在领取中标通知书前再提供完整投标文件（资格审查文件</w:t>
      </w:r>
      <w:r>
        <w:rPr>
          <w:rFonts w:hint="eastAsia" w:hAnsi="宋体"/>
          <w:b/>
          <w:snapToGrid w:val="0"/>
          <w:kern w:val="0"/>
          <w:szCs w:val="21"/>
        </w:rPr>
        <w:t>肆</w:t>
      </w:r>
      <w:r>
        <w:rPr>
          <w:rFonts w:hAnsi="宋体"/>
          <w:b/>
          <w:snapToGrid w:val="0"/>
          <w:kern w:val="0"/>
          <w:szCs w:val="21"/>
        </w:rPr>
        <w:t>份，商务标</w:t>
      </w:r>
      <w:r>
        <w:rPr>
          <w:rFonts w:hint="eastAsia" w:hAnsi="宋体"/>
          <w:b/>
          <w:snapToGrid w:val="0"/>
          <w:kern w:val="0"/>
          <w:szCs w:val="21"/>
        </w:rPr>
        <w:t>肆</w:t>
      </w:r>
      <w:r>
        <w:rPr>
          <w:rFonts w:hAnsi="宋体"/>
          <w:b/>
          <w:snapToGrid w:val="0"/>
          <w:kern w:val="0"/>
          <w:szCs w:val="21"/>
        </w:rPr>
        <w:t>份）。</w:t>
      </w:r>
    </w:p>
    <w:p>
      <w:pPr>
        <w:spacing w:line="360" w:lineRule="auto"/>
        <w:ind w:firstLine="413" w:firstLineChars="196"/>
        <w:rPr>
          <w:b/>
          <w:snapToGrid w:val="0"/>
          <w:kern w:val="0"/>
          <w:szCs w:val="21"/>
        </w:rPr>
      </w:pPr>
      <w:r>
        <w:rPr>
          <w:rFonts w:hAnsi="宋体"/>
          <w:b/>
          <w:snapToGrid w:val="0"/>
          <w:kern w:val="0"/>
          <w:szCs w:val="21"/>
        </w:rPr>
        <w:t>资格审查资料原件包、资格审查资料包、商务标三部分，必须分袋密封，并在封袋上加盖投标人单位公章和单位法定代表人章，另须在封袋上标明</w:t>
      </w:r>
      <w:r>
        <w:rPr>
          <w:b/>
          <w:snapToGrid w:val="0"/>
          <w:kern w:val="0"/>
          <w:szCs w:val="21"/>
        </w:rPr>
        <w:t>“</w:t>
      </w:r>
      <w:r>
        <w:rPr>
          <w:rFonts w:hAnsi="宋体"/>
          <w:b/>
          <w:snapToGrid w:val="0"/>
          <w:kern w:val="0"/>
          <w:szCs w:val="21"/>
        </w:rPr>
        <w:t>资格审查资料原件包</w:t>
      </w:r>
      <w:r>
        <w:rPr>
          <w:b/>
          <w:snapToGrid w:val="0"/>
          <w:kern w:val="0"/>
          <w:szCs w:val="21"/>
        </w:rPr>
        <w:t xml:space="preserve">” </w:t>
      </w:r>
      <w:r>
        <w:rPr>
          <w:rFonts w:hAnsi="宋体"/>
          <w:b/>
          <w:snapToGrid w:val="0"/>
          <w:kern w:val="0"/>
          <w:szCs w:val="21"/>
        </w:rPr>
        <w:t>或</w:t>
      </w:r>
      <w:r>
        <w:rPr>
          <w:b/>
          <w:snapToGrid w:val="0"/>
          <w:kern w:val="0"/>
          <w:szCs w:val="21"/>
        </w:rPr>
        <w:t>“</w:t>
      </w:r>
      <w:r>
        <w:rPr>
          <w:rFonts w:hAnsi="宋体"/>
          <w:b/>
          <w:snapToGrid w:val="0"/>
          <w:kern w:val="0"/>
          <w:szCs w:val="21"/>
        </w:rPr>
        <w:t>资格审查资料包</w:t>
      </w:r>
      <w:r>
        <w:rPr>
          <w:b/>
          <w:snapToGrid w:val="0"/>
          <w:kern w:val="0"/>
          <w:szCs w:val="21"/>
        </w:rPr>
        <w:t>”</w:t>
      </w:r>
      <w:r>
        <w:rPr>
          <w:rFonts w:hAnsi="宋体"/>
          <w:b/>
          <w:snapToGrid w:val="0"/>
          <w:kern w:val="0"/>
          <w:szCs w:val="21"/>
        </w:rPr>
        <w:t>或</w:t>
      </w:r>
      <w:r>
        <w:rPr>
          <w:b/>
          <w:snapToGrid w:val="0"/>
          <w:kern w:val="0"/>
          <w:szCs w:val="21"/>
        </w:rPr>
        <w:t>“</w:t>
      </w:r>
      <w:r>
        <w:rPr>
          <w:rFonts w:hAnsi="宋体"/>
          <w:b/>
          <w:snapToGrid w:val="0"/>
          <w:kern w:val="0"/>
          <w:szCs w:val="21"/>
        </w:rPr>
        <w:t>商务标</w:t>
      </w:r>
      <w:r>
        <w:rPr>
          <w:b/>
          <w:snapToGrid w:val="0"/>
          <w:kern w:val="0"/>
          <w:szCs w:val="21"/>
        </w:rPr>
        <w:t>”</w:t>
      </w:r>
      <w:r>
        <w:rPr>
          <w:rFonts w:hAnsi="宋体"/>
          <w:b/>
          <w:snapToGrid w:val="0"/>
          <w:kern w:val="0"/>
          <w:szCs w:val="21"/>
        </w:rPr>
        <w:t>，同时还要写明工程名称。</w:t>
      </w:r>
    </w:p>
    <w:p>
      <w:pPr>
        <w:spacing w:line="360" w:lineRule="auto"/>
        <w:ind w:firstLine="420" w:firstLineChars="200"/>
        <w:rPr>
          <w:snapToGrid w:val="0"/>
          <w:kern w:val="0"/>
          <w:szCs w:val="21"/>
        </w:rPr>
      </w:pPr>
      <w:r>
        <w:rPr>
          <w:snapToGrid w:val="0"/>
          <w:kern w:val="0"/>
          <w:szCs w:val="21"/>
        </w:rPr>
        <w:t xml:space="preserve">20.4 </w:t>
      </w:r>
      <w:r>
        <w:rPr>
          <w:rFonts w:hAnsi="宋体"/>
          <w:b/>
          <w:snapToGrid w:val="0"/>
          <w:kern w:val="0"/>
          <w:szCs w:val="21"/>
        </w:rPr>
        <w:t>所有投标文件的密封袋上均应加盖投标人公章</w:t>
      </w:r>
      <w:r>
        <w:rPr>
          <w:rFonts w:hAnsi="宋体"/>
          <w:b/>
          <w:bCs/>
          <w:snapToGrid w:val="0"/>
          <w:kern w:val="0"/>
          <w:szCs w:val="21"/>
        </w:rPr>
        <w:t>和法定代表人印章</w:t>
      </w:r>
      <w:r>
        <w:rPr>
          <w:rFonts w:hAnsi="宋体"/>
          <w:b/>
          <w:snapToGrid w:val="0"/>
          <w:kern w:val="0"/>
          <w:szCs w:val="21"/>
        </w:rPr>
        <w:t>。</w:t>
      </w:r>
      <w:r>
        <w:rPr>
          <w:rFonts w:hAnsi="宋体"/>
          <w:snapToGrid w:val="0"/>
          <w:kern w:val="0"/>
          <w:szCs w:val="21"/>
        </w:rPr>
        <w:t>投标人未按上述规定提交投标文件，其投标文件将被拒绝，并退还给投标人。</w:t>
      </w:r>
    </w:p>
    <w:p>
      <w:pPr>
        <w:spacing w:line="360" w:lineRule="auto"/>
        <w:ind w:firstLine="420" w:firstLineChars="200"/>
        <w:rPr>
          <w:b/>
          <w:snapToGrid w:val="0"/>
          <w:kern w:val="0"/>
          <w:szCs w:val="21"/>
        </w:rPr>
      </w:pPr>
      <w:r>
        <w:rPr>
          <w:snapToGrid w:val="0"/>
          <w:kern w:val="0"/>
          <w:szCs w:val="21"/>
        </w:rPr>
        <w:t xml:space="preserve">20.5 </w:t>
      </w:r>
      <w:r>
        <w:rPr>
          <w:rFonts w:hAnsi="宋体"/>
          <w:snapToGrid w:val="0"/>
          <w:kern w:val="0"/>
          <w:szCs w:val="21"/>
        </w:rPr>
        <w:t>投标文件正、副本不一致时，以正本为准。</w:t>
      </w:r>
    </w:p>
    <w:p>
      <w:pPr>
        <w:spacing w:line="360" w:lineRule="auto"/>
        <w:rPr>
          <w:b/>
          <w:szCs w:val="21"/>
        </w:rPr>
      </w:pPr>
      <w:r>
        <w:rPr>
          <w:b/>
          <w:szCs w:val="21"/>
        </w:rPr>
        <w:t>21.</w:t>
      </w:r>
      <w:r>
        <w:rPr>
          <w:rFonts w:hAnsi="宋体"/>
          <w:b/>
          <w:szCs w:val="21"/>
        </w:rPr>
        <w:t>投标文件的递交</w:t>
      </w:r>
    </w:p>
    <w:p>
      <w:pPr>
        <w:spacing w:line="360" w:lineRule="auto"/>
        <w:ind w:firstLine="480"/>
        <w:rPr>
          <w:szCs w:val="21"/>
        </w:rPr>
      </w:pPr>
      <w:r>
        <w:rPr>
          <w:szCs w:val="21"/>
        </w:rPr>
        <w:t>21.1</w:t>
      </w:r>
      <w:r>
        <w:rPr>
          <w:rFonts w:hAnsi="宋体"/>
          <w:szCs w:val="21"/>
        </w:rPr>
        <w:t>投标人应在投标人须知前附表</w:t>
      </w:r>
      <w:r>
        <w:rPr>
          <w:rFonts w:hAnsi="宋体"/>
          <w:szCs w:val="21"/>
          <w:u w:val="single"/>
        </w:rPr>
        <w:t>第</w:t>
      </w:r>
      <w:r>
        <w:rPr>
          <w:szCs w:val="21"/>
          <w:u w:val="single"/>
        </w:rPr>
        <w:t>18</w:t>
      </w:r>
      <w:r>
        <w:rPr>
          <w:rFonts w:hAnsi="宋体"/>
          <w:szCs w:val="21"/>
          <w:u w:val="single"/>
        </w:rPr>
        <w:t>条</w:t>
      </w:r>
      <w:r>
        <w:rPr>
          <w:rFonts w:hAnsi="宋体"/>
          <w:szCs w:val="21"/>
        </w:rPr>
        <w:t>规定的投标文件递交截止时间之前完成电子投标文件、纸质投标文件的递交。招标人延长递交投标文件截止时间的，招标人与投标人在原投标截止期的全部权利、义务、责任将适用于延长后新的投标截止期。</w:t>
      </w:r>
    </w:p>
    <w:p>
      <w:pPr>
        <w:spacing w:line="360" w:lineRule="auto"/>
        <w:ind w:firstLine="480"/>
        <w:rPr>
          <w:szCs w:val="21"/>
        </w:rPr>
      </w:pPr>
      <w:r>
        <w:rPr>
          <w:szCs w:val="21"/>
        </w:rPr>
        <w:t>21.2</w:t>
      </w:r>
      <w:r>
        <w:rPr>
          <w:rFonts w:hAnsi="宋体"/>
          <w:szCs w:val="21"/>
        </w:rPr>
        <w:t>逾期送达的或者未送达指定地点的投标文件，招标人不予受理。</w:t>
      </w:r>
    </w:p>
    <w:p>
      <w:pPr>
        <w:spacing w:line="360" w:lineRule="auto"/>
        <w:ind w:firstLine="480"/>
        <w:rPr>
          <w:b/>
          <w:szCs w:val="21"/>
        </w:rPr>
      </w:pPr>
      <w:r>
        <w:rPr>
          <w:b/>
          <w:szCs w:val="21"/>
        </w:rPr>
        <w:t>22.</w:t>
      </w:r>
      <w:r>
        <w:rPr>
          <w:rFonts w:hAnsi="宋体"/>
          <w:b/>
          <w:szCs w:val="21"/>
        </w:rPr>
        <w:t>投标文件的修改与撤回</w:t>
      </w:r>
    </w:p>
    <w:p>
      <w:pPr>
        <w:spacing w:line="360" w:lineRule="auto"/>
        <w:ind w:firstLine="480"/>
        <w:rPr>
          <w:b/>
          <w:szCs w:val="21"/>
        </w:rPr>
      </w:pPr>
      <w:r>
        <w:rPr>
          <w:rFonts w:hAnsi="宋体"/>
          <w:szCs w:val="21"/>
        </w:rPr>
        <w:t>投标截止时间之前，投标人可对所递交的投标文件进行修改或撤回，但所递交的修改或撤回通知必须按招标文件的规定进行编制、密封、标志</w:t>
      </w:r>
      <w:r>
        <w:rPr>
          <w:szCs w:val="21"/>
        </w:rPr>
        <w:t>(</w:t>
      </w:r>
      <w:r>
        <w:rPr>
          <w:rFonts w:hAnsi="宋体"/>
          <w:szCs w:val="21"/>
        </w:rPr>
        <w:t>在包封上标明</w:t>
      </w:r>
      <w:r>
        <w:rPr>
          <w:szCs w:val="21"/>
        </w:rPr>
        <w:t>“</w:t>
      </w:r>
      <w:r>
        <w:rPr>
          <w:rFonts w:hAnsi="宋体"/>
          <w:szCs w:val="21"/>
        </w:rPr>
        <w:t>修改</w:t>
      </w:r>
      <w:r>
        <w:rPr>
          <w:szCs w:val="21"/>
        </w:rPr>
        <w:t>”</w:t>
      </w:r>
      <w:r>
        <w:rPr>
          <w:rFonts w:hAnsi="宋体"/>
          <w:szCs w:val="21"/>
        </w:rPr>
        <w:t>或</w:t>
      </w:r>
      <w:r>
        <w:rPr>
          <w:szCs w:val="21"/>
        </w:rPr>
        <w:t>“</w:t>
      </w:r>
      <w:r>
        <w:rPr>
          <w:rFonts w:hAnsi="宋体"/>
          <w:szCs w:val="21"/>
        </w:rPr>
        <w:t>撤回</w:t>
      </w:r>
      <w:r>
        <w:rPr>
          <w:szCs w:val="21"/>
        </w:rPr>
        <w:t>”</w:t>
      </w:r>
      <w:r>
        <w:rPr>
          <w:rFonts w:hAnsi="宋体"/>
          <w:szCs w:val="21"/>
        </w:rPr>
        <w:t>字样，并注明修改或撤回的时间</w:t>
      </w:r>
      <w:r>
        <w:rPr>
          <w:szCs w:val="21"/>
        </w:rPr>
        <w:t>)</w:t>
      </w:r>
      <w:r>
        <w:rPr>
          <w:rFonts w:hAnsi="宋体"/>
          <w:szCs w:val="21"/>
        </w:rPr>
        <w:t>和递交。投标截止时间之后，投标人不得修改或撤回投标文件。</w:t>
      </w:r>
    </w:p>
    <w:p>
      <w:pPr>
        <w:pStyle w:val="5"/>
        <w:jc w:val="center"/>
        <w:rPr>
          <w:rFonts w:ascii="Times New Roman" w:hAnsi="Times New Roman" w:eastAsia="宋体"/>
          <w:b w:val="0"/>
          <w:sz w:val="24"/>
        </w:rPr>
      </w:pPr>
      <w:r>
        <w:rPr>
          <w:rFonts w:ascii="Times New Roman" w:hAnsi="Times New Roman" w:eastAsia="宋体"/>
          <w:b w:val="0"/>
          <w:sz w:val="24"/>
        </w:rPr>
        <w:t xml:space="preserve"> (</w:t>
      </w:r>
      <w:r>
        <w:rPr>
          <w:rFonts w:ascii="Times New Roman" w:hAnsi="宋体" w:eastAsia="宋体"/>
          <w:b w:val="0"/>
          <w:sz w:val="24"/>
        </w:rPr>
        <w:t>六</w:t>
      </w:r>
      <w:r>
        <w:rPr>
          <w:rFonts w:ascii="Times New Roman" w:hAnsi="Times New Roman" w:eastAsia="宋体"/>
          <w:b w:val="0"/>
          <w:sz w:val="24"/>
        </w:rPr>
        <w:t xml:space="preserve">) </w:t>
      </w:r>
      <w:r>
        <w:rPr>
          <w:rFonts w:ascii="Times New Roman" w:hAnsi="宋体" w:eastAsia="宋体"/>
          <w:b w:val="0"/>
          <w:sz w:val="24"/>
        </w:rPr>
        <w:t>开标、评标和定标</w:t>
      </w:r>
    </w:p>
    <w:p>
      <w:pPr>
        <w:spacing w:line="360" w:lineRule="auto"/>
        <w:ind w:firstLine="480"/>
        <w:rPr>
          <w:szCs w:val="21"/>
        </w:rPr>
      </w:pPr>
      <w:r>
        <w:rPr>
          <w:b/>
          <w:szCs w:val="21"/>
        </w:rPr>
        <w:t>23.</w:t>
      </w:r>
      <w:r>
        <w:rPr>
          <w:rFonts w:hAnsi="宋体"/>
          <w:szCs w:val="21"/>
        </w:rPr>
        <w:t>本工程评标、定标办法采用下列</w:t>
      </w:r>
      <w:r>
        <w:rPr>
          <w:b/>
          <w:szCs w:val="21"/>
          <w:u w:val="single"/>
        </w:rPr>
        <w:t xml:space="preserve">  23.1 </w:t>
      </w:r>
      <w:r>
        <w:rPr>
          <w:rFonts w:hAnsi="宋体"/>
          <w:szCs w:val="21"/>
        </w:rPr>
        <w:t>种方式</w:t>
      </w:r>
    </w:p>
    <w:p>
      <w:pPr>
        <w:spacing w:line="360" w:lineRule="auto"/>
        <w:ind w:firstLine="480"/>
        <w:rPr>
          <w:szCs w:val="21"/>
        </w:rPr>
      </w:pPr>
      <w:r>
        <w:rPr>
          <w:szCs w:val="21"/>
        </w:rPr>
        <w:t>23.1.</w:t>
      </w:r>
      <w:r>
        <w:rPr>
          <w:rFonts w:hAnsi="宋体"/>
          <w:szCs w:val="21"/>
        </w:rPr>
        <w:t>价格单因素评标办法</w:t>
      </w:r>
    </w:p>
    <w:p>
      <w:pPr>
        <w:spacing w:line="360" w:lineRule="auto"/>
        <w:ind w:firstLine="480"/>
        <w:rPr>
          <w:szCs w:val="21"/>
        </w:rPr>
      </w:pPr>
      <w:r>
        <w:rPr>
          <w:szCs w:val="21"/>
        </w:rPr>
        <w:t>23.2.</w:t>
      </w:r>
      <w:r>
        <w:rPr>
          <w:rFonts w:hAnsi="宋体"/>
          <w:szCs w:val="21"/>
        </w:rPr>
        <w:t>含施工组织设计的价格单因素评标方法</w:t>
      </w:r>
    </w:p>
    <w:p>
      <w:pPr>
        <w:spacing w:line="360" w:lineRule="auto"/>
        <w:ind w:firstLine="480"/>
        <w:rPr>
          <w:szCs w:val="21"/>
        </w:rPr>
      </w:pPr>
      <w:r>
        <w:rPr>
          <w:szCs w:val="21"/>
        </w:rPr>
        <w:t>23.3</w:t>
      </w:r>
      <w:r>
        <w:rPr>
          <w:rFonts w:hAnsi="宋体"/>
          <w:szCs w:val="21"/>
        </w:rPr>
        <w:t>综合评估法</w:t>
      </w:r>
    </w:p>
    <w:p>
      <w:pPr>
        <w:spacing w:line="360" w:lineRule="auto"/>
        <w:ind w:firstLine="480"/>
        <w:rPr>
          <w:szCs w:val="21"/>
        </w:rPr>
      </w:pPr>
      <w:r>
        <w:rPr>
          <w:b/>
          <w:szCs w:val="21"/>
        </w:rPr>
        <w:t xml:space="preserve">24. </w:t>
      </w:r>
      <w:r>
        <w:rPr>
          <w:rFonts w:hAnsi="宋体"/>
          <w:szCs w:val="21"/>
        </w:rPr>
        <w:t>招标人按本须知前附表</w:t>
      </w:r>
      <w:r>
        <w:rPr>
          <w:rFonts w:hAnsi="宋体"/>
          <w:szCs w:val="21"/>
          <w:u w:val="single"/>
        </w:rPr>
        <w:t>第</w:t>
      </w:r>
      <w:r>
        <w:rPr>
          <w:szCs w:val="21"/>
          <w:u w:val="single"/>
        </w:rPr>
        <w:t>19</w:t>
      </w:r>
      <w:r>
        <w:rPr>
          <w:rFonts w:hAnsi="宋体"/>
          <w:szCs w:val="21"/>
          <w:u w:val="single"/>
        </w:rPr>
        <w:t>项</w:t>
      </w:r>
      <w:r>
        <w:rPr>
          <w:rFonts w:hAnsi="宋体"/>
          <w:szCs w:val="21"/>
        </w:rPr>
        <w:t>规定的时间、地点公开开标。开标会由招标代理机构主持，</w:t>
      </w:r>
      <w:r>
        <w:rPr>
          <w:rFonts w:hint="eastAsia" w:hAnsi="宋体"/>
          <w:szCs w:val="21"/>
        </w:rPr>
        <w:t>由投标人或者其推选的代表检查投标文件的密封情况，也可以由招标人委托的公证机构检查并公证。经确认无误签字确认后，当众启封投标文件及修改文件，公布投标文件的主要内容。</w:t>
      </w:r>
    </w:p>
    <w:p>
      <w:pPr>
        <w:spacing w:line="360" w:lineRule="auto"/>
        <w:ind w:firstLine="480"/>
        <w:rPr>
          <w:szCs w:val="21"/>
        </w:rPr>
      </w:pPr>
      <w:r>
        <w:rPr>
          <w:b/>
          <w:szCs w:val="21"/>
        </w:rPr>
        <w:t xml:space="preserve">25. </w:t>
      </w:r>
      <w:r>
        <w:rPr>
          <w:rFonts w:hAnsi="宋体"/>
          <w:szCs w:val="21"/>
        </w:rPr>
        <w:t>评标委员会应当审查每一投标文件是否对招标文件提出的所有实质性要求和条件作出响应。</w:t>
      </w:r>
    </w:p>
    <w:p>
      <w:pPr>
        <w:spacing w:line="360" w:lineRule="auto"/>
        <w:ind w:firstLine="422" w:firstLineChars="200"/>
        <w:rPr>
          <w:b/>
          <w:szCs w:val="21"/>
        </w:rPr>
      </w:pPr>
      <w:r>
        <w:rPr>
          <w:b/>
          <w:szCs w:val="21"/>
        </w:rPr>
        <w:t xml:space="preserve">26. </w:t>
      </w:r>
      <w:r>
        <w:rPr>
          <w:rFonts w:hAnsi="宋体"/>
          <w:b/>
          <w:kern w:val="0"/>
          <w:szCs w:val="21"/>
        </w:rPr>
        <w:t>凡</w:t>
      </w:r>
      <w:r>
        <w:rPr>
          <w:rFonts w:hAnsi="宋体"/>
          <w:b/>
          <w:szCs w:val="21"/>
        </w:rPr>
        <w:t>投标文件有下列情况之一的，属于重大偏差，视同未能对招标文件作出实质性响应，按废标处理。</w:t>
      </w:r>
    </w:p>
    <w:p>
      <w:pPr>
        <w:spacing w:line="360" w:lineRule="auto"/>
        <w:ind w:firstLine="480"/>
        <w:rPr>
          <w:rFonts w:hAnsi="宋体" w:cs="宋体"/>
          <w:b/>
          <w:bCs/>
          <w:szCs w:val="21"/>
        </w:rPr>
      </w:pPr>
      <w:r>
        <w:rPr>
          <w:b/>
          <w:bCs/>
          <w:szCs w:val="21"/>
        </w:rPr>
        <w:t>26.1</w:t>
      </w:r>
      <w:r>
        <w:rPr>
          <w:rFonts w:hint="eastAsia" w:hAnsi="宋体" w:cs="宋体"/>
          <w:b/>
          <w:bCs/>
          <w:szCs w:val="21"/>
        </w:rPr>
        <w:t>投标文件中的投标函未加盖投标人的公章；</w:t>
      </w:r>
    </w:p>
    <w:p>
      <w:pPr>
        <w:spacing w:line="360" w:lineRule="auto"/>
        <w:ind w:firstLine="480"/>
        <w:rPr>
          <w:rFonts w:hAnsi="宋体" w:cs="宋体"/>
          <w:b/>
          <w:bCs/>
          <w:szCs w:val="21"/>
        </w:rPr>
      </w:pPr>
      <w:r>
        <w:rPr>
          <w:b/>
          <w:bCs/>
          <w:szCs w:val="21"/>
        </w:rPr>
        <w:t xml:space="preserve">    26.2</w:t>
      </w:r>
      <w:r>
        <w:rPr>
          <w:rFonts w:hint="eastAsia" w:hAnsi="宋体" w:cs="宋体"/>
          <w:b/>
          <w:bCs/>
          <w:szCs w:val="21"/>
        </w:rPr>
        <w:t>投标文件中的投标函未加盖企业法定代表人（或委托代理人）印章（或签字）的；</w:t>
      </w:r>
    </w:p>
    <w:p>
      <w:pPr>
        <w:spacing w:line="360" w:lineRule="auto"/>
        <w:ind w:firstLine="480"/>
        <w:rPr>
          <w:rFonts w:hAnsi="宋体" w:cs="宋体"/>
          <w:b/>
          <w:bCs/>
          <w:szCs w:val="21"/>
        </w:rPr>
      </w:pPr>
      <w:r>
        <w:rPr>
          <w:b/>
          <w:bCs/>
          <w:szCs w:val="21"/>
        </w:rPr>
        <w:t xml:space="preserve">    26.3</w:t>
      </w:r>
      <w:r>
        <w:rPr>
          <w:rFonts w:hint="eastAsia" w:hAnsi="宋体" w:cs="宋体"/>
          <w:b/>
          <w:bCs/>
          <w:szCs w:val="21"/>
        </w:rPr>
        <w:t>如投标函加盖企业委托代理人印章（或签字）的，委托代理人没有合法、有效的委托书（原件）的；</w:t>
      </w:r>
    </w:p>
    <w:p>
      <w:pPr>
        <w:spacing w:line="360" w:lineRule="auto"/>
        <w:ind w:firstLine="480"/>
        <w:rPr>
          <w:rFonts w:hAnsi="宋体" w:cs="宋体"/>
          <w:b/>
          <w:bCs/>
          <w:szCs w:val="21"/>
        </w:rPr>
      </w:pPr>
      <w:r>
        <w:rPr>
          <w:b/>
          <w:bCs/>
          <w:szCs w:val="21"/>
        </w:rPr>
        <w:t xml:space="preserve">    26.4</w:t>
      </w:r>
      <w:r>
        <w:rPr>
          <w:rFonts w:hint="eastAsia" w:hAnsi="宋体" w:cs="宋体"/>
          <w:b/>
          <w:bCs/>
          <w:szCs w:val="21"/>
        </w:rPr>
        <w:t>投标人资格条件不符合国家有关规定或招标文件要求的；</w:t>
      </w:r>
    </w:p>
    <w:p>
      <w:pPr>
        <w:spacing w:line="360" w:lineRule="auto"/>
        <w:ind w:firstLine="480"/>
        <w:rPr>
          <w:rFonts w:hAnsi="宋体" w:cs="宋体"/>
          <w:b/>
          <w:bCs/>
          <w:szCs w:val="21"/>
        </w:rPr>
      </w:pPr>
      <w:r>
        <w:rPr>
          <w:b/>
          <w:bCs/>
          <w:szCs w:val="21"/>
        </w:rPr>
        <w:t xml:space="preserve">    26.5</w:t>
      </w:r>
      <w:r>
        <w:rPr>
          <w:rFonts w:hint="eastAsia" w:hAnsi="宋体" w:cs="宋体"/>
          <w:b/>
          <w:bCs/>
          <w:szCs w:val="21"/>
        </w:rPr>
        <w:t>投标人名称或组织结构与资格预审时不一致的；</w:t>
      </w:r>
    </w:p>
    <w:p>
      <w:pPr>
        <w:spacing w:line="360" w:lineRule="auto"/>
        <w:ind w:firstLine="480"/>
        <w:rPr>
          <w:rFonts w:hAnsi="宋体" w:cs="宋体"/>
          <w:b/>
          <w:bCs/>
          <w:szCs w:val="21"/>
        </w:rPr>
      </w:pPr>
      <w:r>
        <w:rPr>
          <w:b/>
          <w:bCs/>
          <w:szCs w:val="21"/>
        </w:rPr>
        <w:t xml:space="preserve">    26.6</w:t>
      </w:r>
      <w:r>
        <w:rPr>
          <w:rFonts w:hint="eastAsia" w:hAnsi="宋体" w:cs="宋体"/>
          <w:b/>
          <w:bCs/>
          <w:szCs w:val="21"/>
        </w:rPr>
        <w:t>除在投标截止时间前经招标人书面同意外，项目负责人与资格预审时不一致的；</w:t>
      </w:r>
    </w:p>
    <w:p>
      <w:pPr>
        <w:spacing w:line="360" w:lineRule="auto"/>
        <w:ind w:firstLine="480"/>
        <w:rPr>
          <w:rFonts w:hAnsi="宋体" w:cs="宋体"/>
          <w:b/>
          <w:bCs/>
          <w:szCs w:val="21"/>
        </w:rPr>
      </w:pPr>
      <w:r>
        <w:rPr>
          <w:b/>
          <w:bCs/>
          <w:szCs w:val="21"/>
        </w:rPr>
        <w:t xml:space="preserve">    26.7</w:t>
      </w:r>
      <w:r>
        <w:rPr>
          <w:rFonts w:hint="eastAsia" w:hAnsi="宋体" w:cs="宋体"/>
          <w:b/>
          <w:bCs/>
          <w:szCs w:val="21"/>
        </w:rPr>
        <w:t>组成联合体投标未提供联合体各方共同投标协议的（本工程不接受联合体）；</w:t>
      </w:r>
    </w:p>
    <w:p>
      <w:pPr>
        <w:spacing w:line="360" w:lineRule="auto"/>
        <w:ind w:firstLine="480"/>
        <w:rPr>
          <w:rFonts w:hAnsi="宋体" w:cs="宋体"/>
          <w:b/>
          <w:bCs/>
          <w:szCs w:val="21"/>
        </w:rPr>
      </w:pPr>
      <w:r>
        <w:rPr>
          <w:b/>
          <w:bCs/>
          <w:szCs w:val="21"/>
        </w:rPr>
        <w:t xml:space="preserve">    26.8</w:t>
      </w:r>
      <w:r>
        <w:rPr>
          <w:rFonts w:hint="eastAsia" w:hAnsi="宋体" w:cs="宋体"/>
          <w:b/>
          <w:bCs/>
          <w:szCs w:val="21"/>
        </w:rPr>
        <w:t>在同一招标项目中，联合体成员以自己名义单独投标或者参加其他联合体投标的；</w:t>
      </w:r>
    </w:p>
    <w:p>
      <w:pPr>
        <w:spacing w:line="360" w:lineRule="auto"/>
        <w:ind w:firstLine="480"/>
        <w:rPr>
          <w:rFonts w:hAnsi="宋体" w:cs="宋体"/>
          <w:b/>
          <w:bCs/>
          <w:szCs w:val="21"/>
        </w:rPr>
      </w:pPr>
      <w:r>
        <w:rPr>
          <w:b/>
          <w:bCs/>
          <w:szCs w:val="21"/>
        </w:rPr>
        <w:t xml:space="preserve">    26.9</w:t>
      </w:r>
      <w:r>
        <w:rPr>
          <w:rFonts w:hint="eastAsia" w:hAnsi="宋体" w:cs="宋体"/>
          <w:b/>
          <w:bCs/>
          <w:szCs w:val="21"/>
        </w:rPr>
        <w:t>联合体成员与资格预审确定的结果不一致的；</w:t>
      </w:r>
    </w:p>
    <w:p>
      <w:pPr>
        <w:spacing w:line="360" w:lineRule="auto"/>
        <w:ind w:firstLine="480"/>
        <w:rPr>
          <w:rFonts w:hAnsi="宋体" w:cs="宋体"/>
          <w:b/>
          <w:bCs/>
          <w:szCs w:val="21"/>
        </w:rPr>
      </w:pPr>
      <w:r>
        <w:rPr>
          <w:b/>
          <w:bCs/>
          <w:szCs w:val="21"/>
        </w:rPr>
        <w:t xml:space="preserve">    26.10</w:t>
      </w:r>
      <w:r>
        <w:rPr>
          <w:rFonts w:hint="eastAsia" w:hAnsi="宋体" w:cs="宋体"/>
          <w:b/>
          <w:bCs/>
          <w:szCs w:val="21"/>
        </w:rPr>
        <w:t>投标报价低于成本或者高于招标文件设定的招标控制价的；</w:t>
      </w:r>
    </w:p>
    <w:p>
      <w:pPr>
        <w:spacing w:line="360" w:lineRule="auto"/>
        <w:ind w:firstLine="480"/>
        <w:rPr>
          <w:rFonts w:hAnsi="宋体" w:cs="宋体"/>
          <w:b/>
          <w:bCs/>
          <w:szCs w:val="21"/>
        </w:rPr>
      </w:pPr>
      <w:r>
        <w:rPr>
          <w:b/>
          <w:bCs/>
          <w:szCs w:val="21"/>
        </w:rPr>
        <w:t xml:space="preserve">    26.11</w:t>
      </w:r>
      <w:r>
        <w:rPr>
          <w:rFonts w:hint="eastAsia" w:hAnsi="宋体" w:cs="宋体"/>
          <w:b/>
          <w:bCs/>
          <w:szCs w:val="21"/>
        </w:rPr>
        <w:t>同一投标人提交两个及以上不同的投标文件或者投标报价，但招标文件要求提交备选投标的除外；</w:t>
      </w:r>
    </w:p>
    <w:p>
      <w:pPr>
        <w:spacing w:line="360" w:lineRule="auto"/>
        <w:ind w:firstLine="480"/>
        <w:rPr>
          <w:rFonts w:hAnsi="宋体" w:cs="宋体"/>
          <w:b/>
          <w:bCs/>
          <w:szCs w:val="21"/>
        </w:rPr>
      </w:pPr>
      <w:r>
        <w:rPr>
          <w:b/>
          <w:bCs/>
          <w:szCs w:val="21"/>
        </w:rPr>
        <w:t xml:space="preserve">    26.12</w:t>
      </w:r>
      <w:r>
        <w:rPr>
          <w:rFonts w:hint="eastAsia" w:hAnsi="宋体" w:cs="宋体"/>
          <w:b/>
          <w:bCs/>
          <w:szCs w:val="21"/>
        </w:rPr>
        <w:t>与招标文件规定的暂估价、暂列金额及甲供材料价格不一致的；</w:t>
      </w:r>
    </w:p>
    <w:p>
      <w:pPr>
        <w:spacing w:line="360" w:lineRule="auto"/>
        <w:ind w:firstLine="480"/>
        <w:rPr>
          <w:rFonts w:hAnsi="宋体" w:cs="宋体"/>
          <w:b/>
          <w:bCs/>
          <w:szCs w:val="21"/>
        </w:rPr>
      </w:pPr>
      <w:r>
        <w:rPr>
          <w:b/>
          <w:bCs/>
          <w:szCs w:val="21"/>
        </w:rPr>
        <w:t xml:space="preserve">    26.13</w:t>
      </w:r>
      <w:r>
        <w:rPr>
          <w:rFonts w:hint="eastAsia" w:hAnsi="宋体" w:cs="宋体"/>
          <w:b/>
          <w:bCs/>
          <w:szCs w:val="21"/>
        </w:rPr>
        <w:t>与招标文件明确列出的不可竞争费用项目或费率或计算基础不一致的；</w:t>
      </w:r>
    </w:p>
    <w:p>
      <w:pPr>
        <w:spacing w:line="360" w:lineRule="auto"/>
        <w:ind w:firstLine="480"/>
        <w:rPr>
          <w:rFonts w:hAnsi="宋体" w:cs="宋体"/>
          <w:b/>
          <w:bCs/>
          <w:szCs w:val="21"/>
        </w:rPr>
      </w:pPr>
      <w:r>
        <w:rPr>
          <w:b/>
          <w:bCs/>
          <w:szCs w:val="21"/>
        </w:rPr>
        <w:t xml:space="preserve">    26.14</w:t>
      </w:r>
      <w:r>
        <w:rPr>
          <w:rFonts w:hint="eastAsia" w:hAnsi="宋体" w:cs="宋体"/>
          <w:b/>
          <w:bCs/>
          <w:szCs w:val="21"/>
        </w:rPr>
        <w:t>与招标文件提供的工程量清单中的项目编码、项目名称、项目特征、计量单位、工程量不一致的；</w:t>
      </w:r>
    </w:p>
    <w:p>
      <w:pPr>
        <w:spacing w:line="360" w:lineRule="auto"/>
        <w:ind w:firstLine="480"/>
        <w:rPr>
          <w:rFonts w:hAnsi="宋体" w:cs="宋体"/>
          <w:b/>
          <w:bCs/>
          <w:szCs w:val="21"/>
        </w:rPr>
      </w:pPr>
      <w:r>
        <w:rPr>
          <w:b/>
          <w:bCs/>
          <w:szCs w:val="21"/>
        </w:rPr>
        <w:t xml:space="preserve">    26.15</w:t>
      </w:r>
      <w:r>
        <w:rPr>
          <w:rFonts w:hint="eastAsia" w:hAnsi="宋体" w:cs="宋体"/>
          <w:b/>
          <w:bCs/>
          <w:szCs w:val="21"/>
        </w:rPr>
        <w:t>未按招标文件要求提供投标保证金的；</w:t>
      </w:r>
    </w:p>
    <w:p>
      <w:pPr>
        <w:spacing w:line="360" w:lineRule="auto"/>
        <w:ind w:firstLine="480"/>
        <w:rPr>
          <w:rFonts w:hAnsi="宋体" w:cs="宋体"/>
          <w:b/>
          <w:bCs/>
          <w:szCs w:val="21"/>
        </w:rPr>
      </w:pPr>
      <w:r>
        <w:rPr>
          <w:b/>
          <w:bCs/>
          <w:szCs w:val="21"/>
        </w:rPr>
        <w:t xml:space="preserve">    26.16</w:t>
      </w:r>
      <w:r>
        <w:rPr>
          <w:rFonts w:hint="eastAsia" w:hAnsi="宋体" w:cs="宋体"/>
          <w:b/>
          <w:bCs/>
          <w:szCs w:val="21"/>
        </w:rPr>
        <w:t>投标文件载明的招标项目完成期限超过招标文件规定的期限的；</w:t>
      </w:r>
    </w:p>
    <w:p>
      <w:pPr>
        <w:spacing w:line="360" w:lineRule="auto"/>
        <w:ind w:firstLine="480"/>
        <w:rPr>
          <w:rFonts w:hAnsi="宋体" w:cs="宋体"/>
          <w:b/>
          <w:bCs/>
          <w:szCs w:val="21"/>
        </w:rPr>
      </w:pPr>
      <w:r>
        <w:rPr>
          <w:b/>
          <w:bCs/>
          <w:szCs w:val="21"/>
        </w:rPr>
        <w:t xml:space="preserve">    26.17</w:t>
      </w:r>
      <w:r>
        <w:rPr>
          <w:rFonts w:hint="eastAsia" w:hAnsi="宋体" w:cs="宋体"/>
          <w:b/>
          <w:bCs/>
          <w:szCs w:val="21"/>
        </w:rPr>
        <w:t>明显不符合技术规范、技术标准的要求的；</w:t>
      </w:r>
    </w:p>
    <w:p>
      <w:pPr>
        <w:spacing w:line="360" w:lineRule="auto"/>
        <w:ind w:firstLine="480"/>
        <w:rPr>
          <w:rFonts w:hAnsi="宋体" w:cs="宋体"/>
          <w:b/>
          <w:bCs/>
          <w:szCs w:val="21"/>
        </w:rPr>
      </w:pPr>
      <w:r>
        <w:rPr>
          <w:b/>
          <w:bCs/>
          <w:szCs w:val="21"/>
        </w:rPr>
        <w:t xml:space="preserve">    26.18</w:t>
      </w:r>
      <w:r>
        <w:rPr>
          <w:rFonts w:hint="eastAsia" w:hAnsi="宋体" w:cs="宋体"/>
          <w:b/>
          <w:bCs/>
          <w:szCs w:val="21"/>
        </w:rPr>
        <w:t>投标文件载明的货物包装方式、检验标准和方法等不符合招标文件的要求的；</w:t>
      </w:r>
    </w:p>
    <w:p>
      <w:pPr>
        <w:spacing w:line="360" w:lineRule="auto"/>
        <w:ind w:firstLine="480"/>
        <w:rPr>
          <w:rFonts w:hAnsi="宋体" w:cs="宋体"/>
          <w:b/>
          <w:bCs/>
          <w:szCs w:val="21"/>
        </w:rPr>
      </w:pPr>
      <w:r>
        <w:rPr>
          <w:b/>
          <w:bCs/>
          <w:szCs w:val="21"/>
        </w:rPr>
        <w:t xml:space="preserve">    26.19</w:t>
      </w:r>
      <w:r>
        <w:rPr>
          <w:rFonts w:hint="eastAsia" w:hAnsi="宋体" w:cs="宋体"/>
          <w:b/>
          <w:bCs/>
          <w:szCs w:val="21"/>
        </w:rPr>
        <w:t>投标文件提出了不能满足招标文件要求或招标人不能接受的工程验收、计量、价款结算和支付办法的；</w:t>
      </w:r>
    </w:p>
    <w:p>
      <w:pPr>
        <w:spacing w:line="360" w:lineRule="auto"/>
        <w:ind w:firstLine="480"/>
        <w:rPr>
          <w:rFonts w:hAnsi="宋体" w:cs="宋体"/>
          <w:b/>
          <w:bCs/>
          <w:szCs w:val="21"/>
        </w:rPr>
      </w:pPr>
      <w:r>
        <w:rPr>
          <w:b/>
          <w:bCs/>
          <w:szCs w:val="21"/>
        </w:rPr>
        <w:t xml:space="preserve">    26.20</w:t>
      </w:r>
      <w:r>
        <w:rPr>
          <w:rFonts w:hint="eastAsia" w:hAnsi="宋体" w:cs="宋体"/>
          <w:b/>
          <w:bCs/>
          <w:szCs w:val="21"/>
        </w:rPr>
        <w:t>未按招标文件要求提供电子投标文件，或者电子投标文件（已标价的工程量清单）保存格式不正确，致使软件无法读取的，且补救方案补救不成功的；</w:t>
      </w:r>
    </w:p>
    <w:p>
      <w:pPr>
        <w:spacing w:line="360" w:lineRule="auto"/>
        <w:ind w:firstLine="480"/>
        <w:rPr>
          <w:rFonts w:hAnsi="宋体" w:cs="宋体"/>
          <w:b/>
          <w:bCs/>
          <w:szCs w:val="21"/>
        </w:rPr>
      </w:pPr>
      <w:r>
        <w:rPr>
          <w:b/>
          <w:bCs/>
          <w:szCs w:val="21"/>
        </w:rPr>
        <w:t xml:space="preserve">    26.21</w:t>
      </w:r>
      <w:r>
        <w:rPr>
          <w:rFonts w:hint="eastAsia" w:hAnsi="宋体" w:cs="宋体"/>
          <w:b/>
          <w:bCs/>
          <w:szCs w:val="21"/>
        </w:rPr>
        <w:t>不同投标人的投标文件以及投标文件制作过程出现了评标委员会认为不应当雷同的情况的；</w:t>
      </w:r>
    </w:p>
    <w:p>
      <w:pPr>
        <w:spacing w:line="360" w:lineRule="auto"/>
        <w:ind w:firstLine="480"/>
        <w:rPr>
          <w:rFonts w:hAnsi="宋体" w:cs="宋体"/>
          <w:b/>
          <w:bCs/>
          <w:szCs w:val="21"/>
        </w:rPr>
      </w:pPr>
      <w:r>
        <w:rPr>
          <w:b/>
          <w:bCs/>
          <w:szCs w:val="21"/>
        </w:rPr>
        <w:t xml:space="preserve">    26.22</w:t>
      </w:r>
      <w:r>
        <w:rPr>
          <w:rFonts w:hint="eastAsia" w:hAnsi="宋体" w:cs="宋体"/>
          <w:b/>
          <w:bCs/>
          <w:szCs w:val="21"/>
        </w:rPr>
        <w:t>以他人的名义投标、串通投标、以行贿手段谋取中标或者以其他弄虚作假方式投标的；</w:t>
      </w:r>
    </w:p>
    <w:p>
      <w:pPr>
        <w:spacing w:line="360" w:lineRule="auto"/>
        <w:ind w:firstLine="480"/>
        <w:rPr>
          <w:b/>
          <w:bCs/>
          <w:szCs w:val="21"/>
        </w:rPr>
      </w:pPr>
      <w:r>
        <w:rPr>
          <w:b/>
          <w:bCs/>
          <w:szCs w:val="21"/>
        </w:rPr>
        <w:t xml:space="preserve">    26.23</w:t>
      </w:r>
      <w:r>
        <w:rPr>
          <w:rFonts w:hint="eastAsia" w:hAnsi="宋体" w:cs="宋体"/>
          <w:b/>
          <w:bCs/>
          <w:szCs w:val="21"/>
        </w:rPr>
        <w:t>不符合招标文件有关暗标的要求。</w:t>
      </w:r>
    </w:p>
    <w:p>
      <w:pPr>
        <w:spacing w:line="360" w:lineRule="auto"/>
        <w:ind w:firstLine="441" w:firstLineChars="209"/>
        <w:rPr>
          <w:rFonts w:hAnsi="宋体" w:cs="宋体"/>
          <w:b/>
          <w:bCs/>
          <w:szCs w:val="21"/>
        </w:rPr>
      </w:pPr>
      <w:r>
        <w:rPr>
          <w:rFonts w:hAnsi="宋体"/>
          <w:b/>
          <w:bCs/>
          <w:szCs w:val="21"/>
        </w:rPr>
        <w:t>26.24</w:t>
      </w:r>
      <w:r>
        <w:rPr>
          <w:rFonts w:hint="eastAsia" w:hAnsi="宋体" w:cs="宋体"/>
          <w:b/>
          <w:bCs/>
          <w:szCs w:val="21"/>
        </w:rPr>
        <w:t>纸质商务标报价与电子商务标报价不一致的。</w:t>
      </w:r>
    </w:p>
    <w:p>
      <w:pPr>
        <w:spacing w:line="360" w:lineRule="auto"/>
        <w:ind w:firstLine="441" w:firstLineChars="209"/>
        <w:rPr>
          <w:rFonts w:hAnsi="宋体"/>
          <w:b/>
          <w:bCs/>
          <w:szCs w:val="21"/>
        </w:rPr>
      </w:pPr>
      <w:bookmarkStart w:id="28" w:name="_Hlk99729053"/>
      <w:r>
        <w:rPr>
          <w:rFonts w:hint="eastAsia" w:hAnsi="宋体" w:cs="宋体"/>
          <w:b/>
          <w:bCs/>
          <w:szCs w:val="21"/>
        </w:rPr>
        <w:t>2</w:t>
      </w:r>
      <w:r>
        <w:rPr>
          <w:rFonts w:hAnsi="宋体" w:cs="宋体"/>
          <w:b/>
          <w:bCs/>
          <w:szCs w:val="21"/>
        </w:rPr>
        <w:t>6.25</w:t>
      </w:r>
      <w:r>
        <w:rPr>
          <w:rFonts w:hint="eastAsia" w:hAnsi="宋体" w:cs="宋体"/>
          <w:b/>
          <w:bCs/>
          <w:szCs w:val="21"/>
        </w:rPr>
        <w:t>未按招标文件要求提供承诺书的。</w:t>
      </w:r>
    </w:p>
    <w:p>
      <w:pPr>
        <w:spacing w:line="360" w:lineRule="auto"/>
        <w:ind w:firstLine="441" w:firstLineChars="209"/>
        <w:rPr>
          <w:rFonts w:hAnsi="宋体"/>
          <w:b/>
          <w:bCs/>
          <w:szCs w:val="21"/>
        </w:rPr>
      </w:pPr>
      <w:r>
        <w:rPr>
          <w:rFonts w:hAnsi="宋体"/>
          <w:b/>
          <w:bCs/>
          <w:szCs w:val="21"/>
        </w:rPr>
        <w:t>26.26</w:t>
      </w:r>
      <w:r>
        <w:rPr>
          <w:rFonts w:hint="eastAsia" w:hAnsi="宋体" w:cs="宋体"/>
          <w:b/>
          <w:bCs/>
          <w:szCs w:val="21"/>
        </w:rPr>
        <w:t>纸质投标文件、电子投标文件未按照招标文件规定密封、分装的。</w:t>
      </w:r>
    </w:p>
    <w:p>
      <w:pPr>
        <w:spacing w:line="360" w:lineRule="auto"/>
        <w:ind w:firstLine="441" w:firstLineChars="209"/>
        <w:rPr>
          <w:b/>
          <w:szCs w:val="21"/>
        </w:rPr>
      </w:pPr>
      <w:r>
        <w:rPr>
          <w:rFonts w:hAnsi="宋体"/>
          <w:b/>
          <w:bCs/>
          <w:szCs w:val="21"/>
        </w:rPr>
        <w:t>26.27</w:t>
      </w:r>
      <w:r>
        <w:rPr>
          <w:rFonts w:hint="eastAsia" w:hAnsi="宋体" w:cs="宋体"/>
          <w:b/>
          <w:bCs/>
          <w:szCs w:val="21"/>
        </w:rPr>
        <w:t>不同投标人的电子投标文件出自同一台电脑、不同投标人的投标报价用同一个预算编制软件密码锁制作或者出自同一电子文档的、不同投标人的投标文件的编制者为同一人的，在作废标处理的同时，按照招标文件第一章第</w:t>
      </w:r>
      <w:r>
        <w:rPr>
          <w:rFonts w:hAnsi="宋体"/>
          <w:b/>
          <w:bCs/>
          <w:szCs w:val="21"/>
        </w:rPr>
        <w:t>14</w:t>
      </w:r>
      <w:r>
        <w:rPr>
          <w:rFonts w:hint="eastAsia" w:hAnsi="宋体" w:cs="宋体"/>
          <w:b/>
          <w:bCs/>
          <w:szCs w:val="21"/>
        </w:rPr>
        <w:t>款处理。</w:t>
      </w:r>
    </w:p>
    <w:bookmarkEnd w:id="28"/>
    <w:p>
      <w:pPr>
        <w:spacing w:line="360" w:lineRule="auto"/>
        <w:ind w:firstLine="422" w:firstLineChars="200"/>
        <w:rPr>
          <w:szCs w:val="21"/>
        </w:rPr>
      </w:pPr>
      <w:r>
        <w:rPr>
          <w:b/>
          <w:szCs w:val="21"/>
        </w:rPr>
        <w:t>27.</w:t>
      </w:r>
      <w:r>
        <w:rPr>
          <w:rFonts w:hAnsi="宋体"/>
          <w:szCs w:val="21"/>
        </w:rPr>
        <w:t>评标、定标工作在</w:t>
      </w:r>
      <w:r>
        <w:rPr>
          <w:rFonts w:hint="eastAsia" w:hAnsi="宋体"/>
          <w:szCs w:val="21"/>
        </w:rPr>
        <w:t>崇川区行政审批局交易科</w:t>
      </w:r>
      <w:r>
        <w:rPr>
          <w:rFonts w:hAnsi="宋体"/>
          <w:szCs w:val="21"/>
        </w:rPr>
        <w:t>的监督下由招标人或代理机构组织进行。</w:t>
      </w:r>
    </w:p>
    <w:p>
      <w:pPr>
        <w:spacing w:line="360" w:lineRule="auto"/>
        <w:ind w:firstLine="422" w:firstLineChars="200"/>
        <w:rPr>
          <w:szCs w:val="21"/>
        </w:rPr>
      </w:pPr>
      <w:r>
        <w:rPr>
          <w:b/>
          <w:szCs w:val="21"/>
        </w:rPr>
        <w:t>28.</w:t>
      </w:r>
      <w:r>
        <w:rPr>
          <w:rFonts w:hAnsi="宋体"/>
          <w:szCs w:val="21"/>
        </w:rPr>
        <w:t>投标文件的澄清</w:t>
      </w:r>
    </w:p>
    <w:p>
      <w:pPr>
        <w:spacing w:line="360" w:lineRule="auto"/>
        <w:ind w:firstLine="480"/>
        <w:rPr>
          <w:szCs w:val="21"/>
        </w:rPr>
      </w:pPr>
      <w:r>
        <w:rPr>
          <w:rFonts w:hAnsi="宋体"/>
          <w:szCs w:val="21"/>
        </w:rPr>
        <w:t>在评标过程中，评标委员会认为需要，在</w:t>
      </w:r>
      <w:r>
        <w:rPr>
          <w:rFonts w:hint="eastAsia" w:hAnsi="宋体"/>
          <w:szCs w:val="21"/>
        </w:rPr>
        <w:t>崇川区行政审批局交易科</w:t>
      </w:r>
      <w:r>
        <w:rPr>
          <w:rFonts w:hAnsi="宋体"/>
          <w:szCs w:val="21"/>
        </w:rPr>
        <w:t>经办人员在场的情况下，可以书面形式要求投标人对投标文件中的有关问题进行澄清或提供补充说明及有关资料，投标人应作出书面答复。书面答复中不得有变更价格、工期、自报质量等级等实质性内容。</w:t>
      </w:r>
    </w:p>
    <w:p>
      <w:pPr>
        <w:spacing w:line="360" w:lineRule="auto"/>
        <w:ind w:firstLine="480"/>
        <w:rPr>
          <w:szCs w:val="21"/>
        </w:rPr>
      </w:pPr>
      <w:r>
        <w:rPr>
          <w:rFonts w:hAnsi="宋体"/>
          <w:spacing w:val="-2"/>
          <w:szCs w:val="21"/>
        </w:rPr>
        <w:t>书面答复须经投标人法定代表人或经其授权的委托代理人的签字或加盖印鉴，签字或加盖印鉴的书面答复将被视为投标文件的组成部分。投标截止日后，投标人对投标报价或其他实质性内容修正的函件和增加的任何优惠条件，一律不得作为评标、定标的依据</w:t>
      </w:r>
      <w:r>
        <w:rPr>
          <w:rFonts w:hAnsi="宋体"/>
          <w:szCs w:val="21"/>
        </w:rPr>
        <w:t>。</w:t>
      </w:r>
    </w:p>
    <w:p>
      <w:pPr>
        <w:spacing w:line="360" w:lineRule="auto"/>
        <w:ind w:firstLine="480"/>
        <w:rPr>
          <w:szCs w:val="21"/>
        </w:rPr>
      </w:pPr>
      <w:r>
        <w:rPr>
          <w:b/>
          <w:szCs w:val="21"/>
        </w:rPr>
        <w:t>29.</w:t>
      </w:r>
      <w:r>
        <w:rPr>
          <w:rFonts w:hAnsi="宋体"/>
          <w:szCs w:val="21"/>
        </w:rPr>
        <w:t>评标委员会在对实质性响应招标文件要求的投标进行报价评估时，除招标文件另有约定外，应当按下列原则进行修正：</w:t>
      </w:r>
      <w:r>
        <w:rPr>
          <w:szCs w:val="21"/>
        </w:rPr>
        <w:t>(</w:t>
      </w:r>
      <w:r>
        <w:rPr>
          <w:rFonts w:hAnsi="宋体"/>
          <w:szCs w:val="21"/>
        </w:rPr>
        <w:t>一</w:t>
      </w:r>
      <w:r>
        <w:rPr>
          <w:szCs w:val="21"/>
        </w:rPr>
        <w:t>)</w:t>
      </w:r>
      <w:r>
        <w:rPr>
          <w:rFonts w:hAnsi="宋体"/>
          <w:szCs w:val="21"/>
        </w:rPr>
        <w:t>投标文件中的大写金额与小写金额不一致，以大写金额为准；</w:t>
      </w:r>
      <w:r>
        <w:rPr>
          <w:szCs w:val="21"/>
        </w:rPr>
        <w:t>(</w:t>
      </w:r>
      <w:r>
        <w:rPr>
          <w:rFonts w:hAnsi="宋体"/>
          <w:szCs w:val="21"/>
        </w:rPr>
        <w:t>二</w:t>
      </w:r>
      <w:r>
        <w:rPr>
          <w:szCs w:val="21"/>
        </w:rPr>
        <w:t>)</w:t>
      </w:r>
      <w:r>
        <w:rPr>
          <w:rFonts w:hAnsi="宋体"/>
          <w:szCs w:val="21"/>
        </w:rPr>
        <w:t>总价金额与单价不一致的，以单价金额为准，但单价金额小数点有明显错误的除外；</w:t>
      </w:r>
      <w:r>
        <w:rPr>
          <w:szCs w:val="21"/>
        </w:rPr>
        <w:t>(</w:t>
      </w:r>
      <w:r>
        <w:rPr>
          <w:rFonts w:hAnsi="宋体"/>
          <w:szCs w:val="21"/>
        </w:rPr>
        <w:t>三</w:t>
      </w:r>
      <w:r>
        <w:rPr>
          <w:szCs w:val="21"/>
        </w:rPr>
        <w:t>)</w:t>
      </w:r>
      <w:r>
        <w:rPr>
          <w:rFonts w:hAnsi="宋体"/>
          <w:szCs w:val="21"/>
        </w:rPr>
        <w:t>对不同文字文本投标文件的解释发生异议的，以中文文本为准。</w:t>
      </w:r>
    </w:p>
    <w:p>
      <w:pPr>
        <w:spacing w:line="360" w:lineRule="auto"/>
        <w:ind w:firstLine="480"/>
        <w:rPr>
          <w:szCs w:val="21"/>
        </w:rPr>
      </w:pPr>
      <w:r>
        <w:rPr>
          <w:b/>
          <w:szCs w:val="21"/>
        </w:rPr>
        <w:t>30.</w:t>
      </w:r>
      <w:r>
        <w:rPr>
          <w:rFonts w:hAnsi="宋体"/>
          <w:szCs w:val="21"/>
        </w:rPr>
        <w:t>投标报价可以四舍五入到</w:t>
      </w:r>
      <w:r>
        <w:rPr>
          <w:szCs w:val="21"/>
        </w:rPr>
        <w:t>“</w:t>
      </w:r>
      <w:r>
        <w:rPr>
          <w:rFonts w:hAnsi="宋体"/>
          <w:szCs w:val="21"/>
        </w:rPr>
        <w:t>元</w:t>
      </w:r>
      <w:r>
        <w:rPr>
          <w:szCs w:val="21"/>
        </w:rPr>
        <w:t>”</w:t>
      </w:r>
      <w:r>
        <w:rPr>
          <w:rFonts w:hAnsi="宋体"/>
          <w:szCs w:val="21"/>
        </w:rPr>
        <w:t>。</w:t>
      </w:r>
    </w:p>
    <w:p>
      <w:pPr>
        <w:spacing w:line="360" w:lineRule="auto"/>
        <w:ind w:firstLine="480"/>
        <w:rPr>
          <w:szCs w:val="21"/>
        </w:rPr>
      </w:pPr>
      <w:r>
        <w:rPr>
          <w:b/>
          <w:szCs w:val="21"/>
        </w:rPr>
        <w:t>31.</w:t>
      </w:r>
      <w:r>
        <w:rPr>
          <w:rFonts w:hAnsi="宋体"/>
          <w:szCs w:val="21"/>
        </w:rPr>
        <w:t>在投标文件的审查、澄清、评价和比较以及授予合同的过程中，投标人对招标人和评标组织成员施加影响的任何行为，都将导致取消其中标资格。</w:t>
      </w:r>
    </w:p>
    <w:p>
      <w:pPr>
        <w:widowControl/>
        <w:spacing w:line="360" w:lineRule="auto"/>
        <w:ind w:firstLine="422" w:firstLineChars="200"/>
        <w:rPr>
          <w:szCs w:val="21"/>
        </w:rPr>
      </w:pPr>
      <w:r>
        <w:rPr>
          <w:b/>
          <w:szCs w:val="21"/>
        </w:rPr>
        <w:t>32.</w:t>
      </w:r>
      <w:r>
        <w:rPr>
          <w:rFonts w:hAnsi="宋体"/>
          <w:spacing w:val="-2"/>
          <w:szCs w:val="21"/>
        </w:rPr>
        <w:t>评标委员会在评标工作完成后，将在评标报告之外按照统一格式公布评标结果公开的内容，在中标结果公示的同时一并在</w:t>
      </w:r>
      <w:r>
        <w:rPr>
          <w:spacing w:val="-2"/>
          <w:szCs w:val="21"/>
        </w:rPr>
        <w:t>“</w:t>
      </w:r>
      <w:r>
        <w:rPr>
          <w:rFonts w:hAnsi="宋体"/>
          <w:spacing w:val="-2"/>
          <w:szCs w:val="21"/>
        </w:rPr>
        <w:t>中国崇川网</w:t>
      </w:r>
      <w:r>
        <w:rPr>
          <w:spacing w:val="-2"/>
          <w:szCs w:val="21"/>
        </w:rPr>
        <w:t>”</w:t>
      </w:r>
      <w:r>
        <w:rPr>
          <w:rFonts w:hAnsi="宋体"/>
          <w:spacing w:val="-2"/>
          <w:szCs w:val="21"/>
        </w:rPr>
        <w:t>中标公示栏公示，公布的时间为三日</w:t>
      </w:r>
      <w:r>
        <w:rPr>
          <w:rFonts w:hAnsi="宋体"/>
          <w:szCs w:val="21"/>
        </w:rPr>
        <w:t>。</w:t>
      </w:r>
    </w:p>
    <w:p>
      <w:pPr>
        <w:pStyle w:val="5"/>
        <w:jc w:val="center"/>
        <w:rPr>
          <w:rFonts w:ascii="Times New Roman" w:hAnsi="Times New Roman" w:eastAsia="宋体"/>
          <w:sz w:val="30"/>
        </w:rPr>
      </w:pPr>
      <w:r>
        <w:rPr>
          <w:rFonts w:ascii="Times New Roman" w:hAnsi="宋体" w:eastAsia="宋体"/>
          <w:sz w:val="30"/>
        </w:rPr>
        <w:t>（七）授予合同</w:t>
      </w:r>
    </w:p>
    <w:p>
      <w:pPr>
        <w:spacing w:line="480" w:lineRule="exact"/>
        <w:ind w:firstLine="422" w:firstLineChars="200"/>
        <w:jc w:val="left"/>
        <w:rPr>
          <w:szCs w:val="21"/>
        </w:rPr>
      </w:pPr>
      <w:r>
        <w:rPr>
          <w:b/>
          <w:szCs w:val="21"/>
        </w:rPr>
        <w:t>33.</w:t>
      </w:r>
      <w:r>
        <w:rPr>
          <w:rFonts w:hAnsi="宋体"/>
          <w:szCs w:val="21"/>
        </w:rPr>
        <w:t>定标后，招标人在</w:t>
      </w:r>
      <w:r>
        <w:rPr>
          <w:szCs w:val="21"/>
        </w:rPr>
        <w:t>15</w:t>
      </w:r>
      <w:r>
        <w:rPr>
          <w:rFonts w:hAnsi="宋体"/>
          <w:szCs w:val="21"/>
        </w:rPr>
        <w:t>日内向工程所在地建设行政主管部门提交施工招投标情况的书面报告，书面报告应包括下列内容：</w:t>
      </w:r>
    </w:p>
    <w:p>
      <w:pPr>
        <w:spacing w:line="480" w:lineRule="exact"/>
        <w:ind w:firstLine="420" w:firstLineChars="200"/>
        <w:jc w:val="left"/>
        <w:rPr>
          <w:szCs w:val="21"/>
        </w:rPr>
      </w:pPr>
      <w:r>
        <w:rPr>
          <w:szCs w:val="21"/>
        </w:rPr>
        <w:t>33.1</w:t>
      </w:r>
      <w:r>
        <w:rPr>
          <w:rFonts w:hAnsi="宋体"/>
          <w:szCs w:val="21"/>
        </w:rPr>
        <w:t>施工招标投标的基本情况，包括施工招标范围、施工招标方式、资格审查、开标评标过程和确定中标人的方式及理由等。</w:t>
      </w:r>
    </w:p>
    <w:p>
      <w:pPr>
        <w:spacing w:line="480" w:lineRule="exact"/>
        <w:ind w:firstLine="422" w:firstLineChars="200"/>
        <w:jc w:val="left"/>
        <w:rPr>
          <w:b/>
          <w:szCs w:val="21"/>
        </w:rPr>
      </w:pPr>
      <w:r>
        <w:rPr>
          <w:b/>
          <w:szCs w:val="21"/>
        </w:rPr>
        <w:t>33.2相关的文件资料包括招标公告或者投标邀请书、投标报名表、资格审查文件、招标文件、评标委员会的评标报告(应当附招标控制价组成文件)、中标人的投标文件。委托工程招标代理的，应当附工程施工招标代理委托合同。单独委托编制招标控制价的，还应当附招标控制价编制委托合同。</w:t>
      </w:r>
    </w:p>
    <w:p>
      <w:pPr>
        <w:spacing w:line="480" w:lineRule="exact"/>
        <w:ind w:firstLine="420" w:firstLineChars="200"/>
        <w:jc w:val="left"/>
        <w:rPr>
          <w:bCs/>
          <w:szCs w:val="21"/>
        </w:rPr>
      </w:pPr>
      <w:bookmarkStart w:id="29" w:name="_Toc465181335"/>
      <w:bookmarkStart w:id="30" w:name="_Toc404159959"/>
      <w:r>
        <w:rPr>
          <w:bCs/>
          <w:szCs w:val="21"/>
        </w:rPr>
        <w:t>34</w:t>
      </w:r>
      <w:r>
        <w:rPr>
          <w:rFonts w:hint="eastAsia"/>
          <w:bCs/>
          <w:szCs w:val="21"/>
        </w:rPr>
        <w:t>、中标人需在中标公示后中标通知书发放前，及时向招标人提供招标项目的项目部组成人员表，招标人按合同相关要求对其人员进行考核。如若招标人项目组成人员不到位或考核不合格，招标人有权要求中标人其更换人员并按合同相关条款进行处罚。</w:t>
      </w:r>
    </w:p>
    <w:p>
      <w:pPr>
        <w:spacing w:line="480" w:lineRule="exact"/>
        <w:ind w:firstLine="420" w:firstLineChars="200"/>
        <w:jc w:val="left"/>
        <w:rPr>
          <w:bCs/>
          <w:szCs w:val="21"/>
        </w:rPr>
      </w:pPr>
      <w:r>
        <w:rPr>
          <w:rFonts w:hint="eastAsia"/>
          <w:bCs/>
          <w:szCs w:val="21"/>
        </w:rPr>
        <w:t>35</w:t>
      </w:r>
      <w:r>
        <w:rPr>
          <w:bCs/>
          <w:szCs w:val="21"/>
        </w:rPr>
        <w:t>招标人和中标人应当自中标通知书发出之日起</w:t>
      </w:r>
      <w:r>
        <w:rPr>
          <w:rFonts w:hint="eastAsia"/>
          <w:bCs/>
          <w:szCs w:val="21"/>
        </w:rPr>
        <w:t>30</w:t>
      </w:r>
      <w:r>
        <w:rPr>
          <w:bCs/>
          <w:szCs w:val="21"/>
        </w:rPr>
        <w:t>日内，按照本招标文件和中标人的投标文件订立书面合同。招标人和中标人不得再订立背离合同实质性内容的其他协议。</w:t>
      </w:r>
    </w:p>
    <w:p>
      <w:pPr>
        <w:spacing w:line="480" w:lineRule="exact"/>
        <w:ind w:firstLine="420" w:firstLineChars="200"/>
        <w:jc w:val="left"/>
        <w:rPr>
          <w:bCs/>
          <w:szCs w:val="21"/>
        </w:rPr>
      </w:pPr>
      <w:r>
        <w:rPr>
          <w:bCs/>
          <w:szCs w:val="21"/>
        </w:rPr>
        <w:t>3</w:t>
      </w:r>
      <w:r>
        <w:rPr>
          <w:rFonts w:hint="eastAsia"/>
          <w:bCs/>
          <w:szCs w:val="21"/>
        </w:rPr>
        <w:t>6、</w:t>
      </w:r>
      <w:r>
        <w:rPr>
          <w:bCs/>
          <w:szCs w:val="21"/>
        </w:rPr>
        <w:t>中标通知书发出</w:t>
      </w:r>
      <w:r>
        <w:rPr>
          <w:rFonts w:hint="eastAsia"/>
          <w:bCs/>
          <w:szCs w:val="21"/>
        </w:rPr>
        <w:t>前</w:t>
      </w:r>
      <w:r>
        <w:rPr>
          <w:bCs/>
          <w:szCs w:val="21"/>
        </w:rPr>
        <w:t>，中标人应按本须知前附表第21项规定的金额向招标人提交履约担保，担保的形式为银行转账，不接受银行保函。</w:t>
      </w:r>
    </w:p>
    <w:p>
      <w:pPr>
        <w:spacing w:line="480" w:lineRule="exact"/>
        <w:ind w:firstLine="420" w:firstLineChars="200"/>
        <w:jc w:val="left"/>
        <w:rPr>
          <w:bCs/>
          <w:szCs w:val="21"/>
        </w:rPr>
      </w:pPr>
      <w:r>
        <w:rPr>
          <w:bCs/>
          <w:szCs w:val="21"/>
        </w:rPr>
        <w:t>3</w:t>
      </w:r>
      <w:r>
        <w:rPr>
          <w:rFonts w:hint="eastAsia"/>
          <w:bCs/>
          <w:szCs w:val="21"/>
        </w:rPr>
        <w:t>7、</w:t>
      </w:r>
      <w:r>
        <w:rPr>
          <w:bCs/>
          <w:szCs w:val="21"/>
        </w:rPr>
        <w:t>若中标人不能按本须知第34条、35条款</w:t>
      </w:r>
      <w:r>
        <w:rPr>
          <w:rFonts w:hint="eastAsia"/>
          <w:bCs/>
          <w:szCs w:val="21"/>
        </w:rPr>
        <w:t>、</w:t>
      </w:r>
      <w:r>
        <w:rPr>
          <w:bCs/>
          <w:szCs w:val="21"/>
        </w:rPr>
        <w:t>第3</w:t>
      </w:r>
      <w:r>
        <w:rPr>
          <w:rFonts w:hint="eastAsia"/>
          <w:bCs/>
          <w:szCs w:val="21"/>
        </w:rPr>
        <w:t>6</w:t>
      </w:r>
      <w:r>
        <w:rPr>
          <w:bCs/>
          <w:szCs w:val="21"/>
        </w:rPr>
        <w:t>的规定执行，招标人将有充分的理由认为中标人放弃中标项目及签订合同的权利，并没收其投标保证金，中标人的行为给招标人造成损失超过投标保证金数额的，还应当对超过部分予以赔偿。</w:t>
      </w:r>
      <w:r>
        <w:rPr>
          <w:rFonts w:hint="default" w:ascii="Times New Roman" w:hAnsi="Times New Roman"/>
          <w:b w:val="0"/>
          <w:bCs/>
          <w:szCs w:val="21"/>
        </w:rPr>
        <w:t>招标人可以按照评标委员会提出的中标候选人名单排序依次确定其他中标候选人为中标人，也可以重新招标。</w:t>
      </w:r>
    </w:p>
    <w:p>
      <w:pPr>
        <w:spacing w:line="480" w:lineRule="exact"/>
        <w:ind w:firstLine="420" w:firstLineChars="200"/>
        <w:jc w:val="left"/>
        <w:rPr>
          <w:bCs/>
          <w:szCs w:val="21"/>
        </w:rPr>
      </w:pPr>
      <w:r>
        <w:rPr>
          <w:bCs/>
          <w:szCs w:val="21"/>
        </w:rPr>
        <w:t>3</w:t>
      </w:r>
      <w:r>
        <w:rPr>
          <w:rFonts w:hint="eastAsia"/>
          <w:bCs/>
          <w:szCs w:val="21"/>
        </w:rPr>
        <w:t>8、</w:t>
      </w:r>
      <w:r>
        <w:rPr>
          <w:bCs/>
          <w:szCs w:val="21"/>
        </w:rPr>
        <w:t>中标人在中标后或施工期间不得随意变更中标项目负责人。如果出现特殊情况，确需更换的，应当经招标人同意，并提供必要的证明文件报招标投标行政监督部门备案。</w:t>
      </w:r>
    </w:p>
    <w:p>
      <w:pPr>
        <w:spacing w:line="480" w:lineRule="exact"/>
        <w:ind w:firstLine="420" w:firstLineChars="200"/>
        <w:jc w:val="left"/>
        <w:rPr>
          <w:bCs/>
          <w:szCs w:val="21"/>
        </w:rPr>
      </w:pPr>
      <w:r>
        <w:rPr>
          <w:bCs/>
          <w:szCs w:val="21"/>
        </w:rPr>
        <w:t>注：自备案之日起至原合同期满止，原中标项目负责人不得作为项目负责人承接其他工程，如备案之日至原合同工期期满之日不足六个月，则限制其承接工程的期限为六个月。</w:t>
      </w:r>
    </w:p>
    <w:p>
      <w:pPr>
        <w:spacing w:line="480" w:lineRule="exact"/>
        <w:ind w:firstLine="420" w:firstLineChars="200"/>
        <w:jc w:val="left"/>
        <w:rPr>
          <w:bCs/>
          <w:szCs w:val="21"/>
        </w:rPr>
      </w:pPr>
      <w:r>
        <w:rPr>
          <w:rFonts w:hint="eastAsia"/>
          <w:bCs/>
          <w:szCs w:val="21"/>
        </w:rPr>
        <w:t>崇川区行政审批局交易科</w:t>
      </w:r>
      <w:r>
        <w:rPr>
          <w:bCs/>
          <w:szCs w:val="21"/>
        </w:rPr>
        <w:t>将在备案手续上注明限制承接工程的起止日期，并在办理备案手续之日起的三个工作日内将项目负责人变更情况、限制承接的期限在网上给予公布。</w:t>
      </w:r>
    </w:p>
    <w:p>
      <w:pPr>
        <w:spacing w:line="360" w:lineRule="auto"/>
        <w:rPr>
          <w:rFonts w:ascii="宋体" w:hAnsi="宋体"/>
          <w:sz w:val="24"/>
        </w:rPr>
      </w:pPr>
    </w:p>
    <w:p>
      <w:pPr>
        <w:spacing w:line="360" w:lineRule="auto"/>
        <w:rPr>
          <w:rFonts w:ascii="宋体" w:hAnsi="宋体"/>
          <w:sz w:val="24"/>
        </w:rPr>
      </w:pPr>
    </w:p>
    <w:p>
      <w:pPr>
        <w:spacing w:line="360" w:lineRule="auto"/>
        <w:rPr>
          <w:rFonts w:ascii="宋体" w:hAnsi="宋体"/>
          <w:sz w:val="24"/>
        </w:rPr>
      </w:pPr>
    </w:p>
    <w:p>
      <w:pPr>
        <w:spacing w:line="360" w:lineRule="auto"/>
        <w:rPr>
          <w:rFonts w:ascii="宋体" w:hAnsi="宋体"/>
          <w:sz w:val="24"/>
        </w:rPr>
      </w:pPr>
    </w:p>
    <w:p>
      <w:pPr>
        <w:spacing w:line="360" w:lineRule="auto"/>
        <w:rPr>
          <w:rFonts w:ascii="宋体" w:hAnsi="宋体"/>
          <w:sz w:val="24"/>
        </w:rPr>
      </w:pPr>
    </w:p>
    <w:p>
      <w:pPr>
        <w:spacing w:line="360" w:lineRule="auto"/>
        <w:rPr>
          <w:rFonts w:ascii="宋体" w:hAnsi="宋体"/>
          <w:sz w:val="24"/>
        </w:rPr>
      </w:pPr>
    </w:p>
    <w:p>
      <w:pPr>
        <w:spacing w:line="360" w:lineRule="auto"/>
        <w:rPr>
          <w:rFonts w:ascii="宋体" w:hAnsi="宋体"/>
          <w:sz w:val="24"/>
        </w:rPr>
      </w:pPr>
    </w:p>
    <w:p>
      <w:pPr>
        <w:rPr>
          <w:rFonts w:hAnsi="宋体"/>
          <w:b/>
          <w:sz w:val="36"/>
          <w:szCs w:val="36"/>
        </w:rPr>
      </w:pPr>
      <w:r>
        <w:rPr>
          <w:rFonts w:hAnsi="宋体"/>
          <w:b/>
          <w:sz w:val="36"/>
          <w:szCs w:val="36"/>
        </w:rPr>
        <w:br w:type="page"/>
      </w:r>
    </w:p>
    <w:p>
      <w:pPr>
        <w:spacing w:line="360" w:lineRule="auto"/>
        <w:ind w:firstLine="482"/>
        <w:jc w:val="center"/>
        <w:rPr>
          <w:rFonts w:hAnsi="宋体"/>
          <w:b/>
          <w:sz w:val="24"/>
        </w:rPr>
      </w:pPr>
      <w:r>
        <w:rPr>
          <w:rFonts w:hAnsi="宋体"/>
          <w:b/>
          <w:sz w:val="36"/>
          <w:szCs w:val="36"/>
        </w:rPr>
        <w:t>第二章评标办法</w:t>
      </w:r>
      <w:r>
        <w:rPr>
          <w:rFonts w:hAnsi="宋体"/>
          <w:b/>
          <w:sz w:val="32"/>
          <w:szCs w:val="32"/>
        </w:rPr>
        <w:t>（价格单因素评标办法）</w:t>
      </w:r>
      <w:bookmarkEnd w:id="29"/>
      <w:bookmarkEnd w:id="30"/>
    </w:p>
    <w:p>
      <w:pPr>
        <w:spacing w:line="360" w:lineRule="auto"/>
        <w:ind w:firstLine="482"/>
        <w:rPr>
          <w:rFonts w:ascii="宋体" w:hAnsi="宋体"/>
          <w:b/>
          <w:bCs/>
          <w:kern w:val="0"/>
          <w:szCs w:val="21"/>
        </w:rPr>
      </w:pPr>
      <w:r>
        <w:rPr>
          <w:rFonts w:hint="eastAsia" w:ascii="宋体" w:hAnsi="宋体" w:cs="仿宋_GB2312"/>
          <w:b/>
          <w:bCs/>
          <w:kern w:val="0"/>
          <w:szCs w:val="21"/>
        </w:rPr>
        <w:t>本工程采用软件对已标价的工程量清单进行初步评审（清单符合性检查、其他符合性检查、取费检查、计算错误检查等）、详细评审（投标价格分析、清单项目分析、措施项目分析、各投标人清单雷同性等），各投标人须提供与纸质商务标完全一致的电子版本的已标价工程量清单（</w:t>
      </w:r>
      <w:r>
        <w:rPr>
          <w:rFonts w:ascii="宋体" w:hAnsi="宋体" w:cs="仿宋_GB2312"/>
          <w:b/>
          <w:bCs/>
          <w:kern w:val="0"/>
          <w:szCs w:val="21"/>
        </w:rPr>
        <w:t>13jt</w:t>
      </w:r>
      <w:r>
        <w:rPr>
          <w:rFonts w:hint="eastAsia" w:ascii="宋体" w:hAnsi="宋体" w:cs="仿宋_GB2312"/>
          <w:b/>
          <w:bCs/>
          <w:kern w:val="0"/>
          <w:szCs w:val="21"/>
        </w:rPr>
        <w:t>格式），否则，由此造成的后果由投标人自行承担。</w:t>
      </w:r>
    </w:p>
    <w:p>
      <w:pPr>
        <w:autoSpaceDE w:val="0"/>
        <w:adjustRightInd w:val="0"/>
        <w:snapToGrid w:val="0"/>
        <w:spacing w:line="440" w:lineRule="exact"/>
        <w:ind w:firstLine="422" w:firstLineChars="200"/>
        <w:jc w:val="left"/>
        <w:rPr>
          <w:rFonts w:ascii="宋体" w:hAnsi="宋体" w:cs="宋体"/>
          <w:b/>
          <w:bCs/>
          <w:szCs w:val="21"/>
        </w:rPr>
      </w:pPr>
      <w:r>
        <w:rPr>
          <w:rFonts w:hint="eastAsia" w:ascii="宋体" w:hAnsi="宋体" w:cs="宋体"/>
          <w:b/>
          <w:bCs/>
          <w:szCs w:val="21"/>
        </w:rPr>
        <w:t>一、本工程采用价格单因素评标办法，且采用资格后审，具体资格审查及评标细则如下：</w:t>
      </w:r>
    </w:p>
    <w:p>
      <w:pPr>
        <w:autoSpaceDE w:val="0"/>
        <w:adjustRightInd w:val="0"/>
        <w:snapToGrid w:val="0"/>
        <w:spacing w:line="440" w:lineRule="exact"/>
        <w:ind w:firstLine="420" w:firstLineChars="200"/>
        <w:jc w:val="left"/>
        <w:rPr>
          <w:rFonts w:ascii="宋体" w:hAnsi="宋体" w:cs="宋体"/>
          <w:szCs w:val="21"/>
        </w:rPr>
      </w:pPr>
      <w:r>
        <w:rPr>
          <w:rFonts w:hint="eastAsia" w:ascii="宋体" w:hAnsi="宋体" w:cs="宋体"/>
          <w:szCs w:val="21"/>
        </w:rPr>
        <w:t>（一）评标程序</w:t>
      </w:r>
    </w:p>
    <w:p>
      <w:pPr>
        <w:autoSpaceDE w:val="0"/>
        <w:adjustRightInd w:val="0"/>
        <w:snapToGrid w:val="0"/>
        <w:spacing w:line="440" w:lineRule="exact"/>
        <w:ind w:firstLine="420" w:firstLineChars="200"/>
        <w:jc w:val="left"/>
        <w:rPr>
          <w:rFonts w:ascii="宋体" w:hAnsi="宋体" w:cs="宋体"/>
          <w:szCs w:val="21"/>
        </w:rPr>
      </w:pPr>
      <w:r>
        <w:rPr>
          <w:rFonts w:hint="eastAsia" w:ascii="宋体" w:hAnsi="宋体" w:cs="宋体"/>
          <w:szCs w:val="21"/>
        </w:rPr>
        <w:t>商务标开标</w:t>
      </w:r>
      <w:r>
        <w:rPr>
          <w:rFonts w:ascii="宋体" w:hAnsi="宋体" w:cs="宋体"/>
          <w:szCs w:val="21"/>
        </w:rPr>
        <w:t>→</w:t>
      </w:r>
      <w:r>
        <w:rPr>
          <w:rFonts w:hint="eastAsia" w:ascii="宋体" w:hAnsi="宋体" w:cs="宋体"/>
          <w:szCs w:val="21"/>
        </w:rPr>
        <w:t>入围合格条件审查</w:t>
      </w:r>
      <w:r>
        <w:rPr>
          <w:rFonts w:ascii="宋体" w:hAnsi="宋体" w:cs="宋体"/>
          <w:szCs w:val="21"/>
        </w:rPr>
        <w:t>→</w:t>
      </w:r>
      <w:r>
        <w:rPr>
          <w:rFonts w:hint="eastAsia" w:ascii="宋体" w:hAnsi="宋体" w:cs="宋体"/>
          <w:szCs w:val="21"/>
        </w:rPr>
        <w:t>资格符合性评审</w:t>
      </w:r>
      <w:r>
        <w:rPr>
          <w:rFonts w:ascii="宋体" w:hAnsi="宋体" w:cs="宋体"/>
          <w:szCs w:val="21"/>
        </w:rPr>
        <w:t>→</w:t>
      </w:r>
      <w:r>
        <w:rPr>
          <w:rFonts w:hint="eastAsia" w:ascii="宋体" w:hAnsi="宋体" w:cs="宋体"/>
          <w:szCs w:val="21"/>
        </w:rPr>
        <w:t>商务标评审方法及相关系数</w:t>
      </w:r>
      <w:r>
        <w:rPr>
          <w:rFonts w:ascii="宋体" w:hAnsi="宋体" w:cs="宋体"/>
          <w:szCs w:val="21"/>
        </w:rPr>
        <w:t>→</w:t>
      </w:r>
      <w:r>
        <w:rPr>
          <w:rFonts w:hint="eastAsia" w:ascii="宋体" w:hAnsi="宋体" w:cs="宋体"/>
          <w:szCs w:val="21"/>
        </w:rPr>
        <w:t>电子商务标评审</w:t>
      </w:r>
      <w:r>
        <w:rPr>
          <w:rFonts w:ascii="宋体" w:hAnsi="宋体" w:cs="宋体"/>
          <w:szCs w:val="21"/>
        </w:rPr>
        <w:t>→</w:t>
      </w:r>
      <w:r>
        <w:rPr>
          <w:rFonts w:hint="eastAsia" w:ascii="宋体" w:hAnsi="宋体" w:cs="宋体"/>
          <w:szCs w:val="21"/>
        </w:rPr>
        <w:t>商务标评委详细评审</w:t>
      </w:r>
      <w:r>
        <w:rPr>
          <w:rFonts w:ascii="宋体" w:hAnsi="宋体" w:cs="宋体"/>
          <w:szCs w:val="21"/>
        </w:rPr>
        <w:t>→</w:t>
      </w:r>
      <w:r>
        <w:rPr>
          <w:rFonts w:hint="eastAsia" w:ascii="宋体" w:hAnsi="宋体" w:cs="宋体"/>
          <w:szCs w:val="21"/>
        </w:rPr>
        <w:t>确定中标候选人</w:t>
      </w:r>
    </w:p>
    <w:p>
      <w:pPr>
        <w:widowControl/>
        <w:adjustRightInd w:val="0"/>
        <w:snapToGrid w:val="0"/>
        <w:spacing w:line="440" w:lineRule="exact"/>
        <w:jc w:val="left"/>
        <w:rPr>
          <w:rFonts w:ascii="宋体"/>
          <w:b/>
          <w:bCs/>
          <w:kern w:val="0"/>
          <w:szCs w:val="21"/>
        </w:rPr>
      </w:pPr>
      <w:r>
        <w:rPr>
          <w:rFonts w:hint="eastAsia" w:ascii="宋体" w:hAnsi="宋体" w:cs="宋体"/>
          <w:b/>
          <w:bCs/>
          <w:kern w:val="0"/>
          <w:szCs w:val="21"/>
        </w:rPr>
        <w:t xml:space="preserve">    评标入围：本项目将在开标后，首先由评标委员会根据招标文件载明的评标入围合格条件进行审查，确定进入后续评标环节的投标人。</w:t>
      </w:r>
    </w:p>
    <w:p>
      <w:pPr>
        <w:adjustRightInd w:val="0"/>
        <w:snapToGrid w:val="0"/>
        <w:spacing w:line="440" w:lineRule="exact"/>
        <w:ind w:firstLine="420" w:firstLineChars="200"/>
        <w:rPr>
          <w:rFonts w:ascii="宋体"/>
          <w:szCs w:val="21"/>
        </w:rPr>
      </w:pPr>
      <w:r>
        <w:rPr>
          <w:rFonts w:hint="eastAsia" w:ascii="宋体" w:hAnsi="宋体" w:cs="宋体"/>
          <w:szCs w:val="21"/>
        </w:rPr>
        <w:t>（</w:t>
      </w:r>
      <w:r>
        <w:rPr>
          <w:rFonts w:ascii="宋体" w:hAnsi="宋体" w:cs="宋体"/>
          <w:szCs w:val="21"/>
        </w:rPr>
        <w:t>1</w:t>
      </w:r>
      <w:r>
        <w:rPr>
          <w:rFonts w:hint="eastAsia" w:ascii="宋体" w:hAnsi="宋体" w:cs="宋体"/>
          <w:szCs w:val="21"/>
        </w:rPr>
        <w:t>）评标入围合格条件如下：</w:t>
      </w:r>
    </w:p>
    <w:p>
      <w:pPr>
        <w:numPr>
          <w:ilvl w:val="0"/>
          <w:numId w:val="2"/>
        </w:numPr>
        <w:adjustRightInd w:val="0"/>
        <w:snapToGrid w:val="0"/>
        <w:spacing w:line="440" w:lineRule="exact"/>
        <w:ind w:firstLine="420" w:firstLineChars="200"/>
        <w:rPr>
          <w:rFonts w:ascii="宋体"/>
          <w:szCs w:val="21"/>
        </w:rPr>
      </w:pPr>
      <w:r>
        <w:rPr>
          <w:rFonts w:hint="eastAsia" w:ascii="宋体" w:hAnsi="宋体" w:cs="宋体"/>
          <w:szCs w:val="21"/>
        </w:rPr>
        <w:t>至投标截止时间止，已足额递交投标保证金；</w:t>
      </w:r>
    </w:p>
    <w:p>
      <w:pPr>
        <w:numPr>
          <w:ilvl w:val="0"/>
          <w:numId w:val="2"/>
        </w:numPr>
        <w:adjustRightInd w:val="0"/>
        <w:snapToGrid w:val="0"/>
        <w:spacing w:line="440" w:lineRule="exact"/>
        <w:ind w:firstLine="420" w:firstLineChars="200"/>
        <w:rPr>
          <w:rFonts w:ascii="宋体"/>
          <w:szCs w:val="21"/>
        </w:rPr>
      </w:pPr>
      <w:r>
        <w:rPr>
          <w:rFonts w:hint="eastAsia" w:ascii="宋体" w:hAnsi="宋体" w:cs="宋体"/>
          <w:szCs w:val="21"/>
        </w:rPr>
        <w:t>投标函中载明的招标项目完成期限未超过招标文件规定的期限；</w:t>
      </w:r>
    </w:p>
    <w:p>
      <w:pPr>
        <w:numPr>
          <w:ilvl w:val="0"/>
          <w:numId w:val="2"/>
        </w:numPr>
        <w:adjustRightInd w:val="0"/>
        <w:snapToGrid w:val="0"/>
        <w:spacing w:line="440" w:lineRule="exact"/>
        <w:ind w:firstLine="420" w:firstLineChars="200"/>
        <w:rPr>
          <w:rFonts w:ascii="宋体"/>
          <w:szCs w:val="21"/>
        </w:rPr>
      </w:pPr>
      <w:r>
        <w:rPr>
          <w:rFonts w:hint="eastAsia" w:ascii="宋体" w:hAnsi="宋体" w:cs="宋体"/>
          <w:szCs w:val="21"/>
        </w:rPr>
        <w:t>投标函中载明的投标质量标准响应招标文件的实质性要求和条件；</w:t>
      </w:r>
    </w:p>
    <w:p>
      <w:pPr>
        <w:numPr>
          <w:ilvl w:val="0"/>
          <w:numId w:val="2"/>
        </w:numPr>
        <w:adjustRightInd w:val="0"/>
        <w:snapToGrid w:val="0"/>
        <w:spacing w:line="440" w:lineRule="exact"/>
        <w:ind w:firstLine="420" w:firstLineChars="200"/>
        <w:rPr>
          <w:rFonts w:ascii="宋体"/>
          <w:szCs w:val="21"/>
        </w:rPr>
      </w:pPr>
      <w:r>
        <w:rPr>
          <w:rFonts w:hint="eastAsia" w:ascii="宋体" w:hAnsi="宋体" w:cs="宋体"/>
          <w:szCs w:val="21"/>
        </w:rPr>
        <w:t>投标函中载明的投标报价未高于招标控制价。</w:t>
      </w:r>
    </w:p>
    <w:p>
      <w:pPr>
        <w:adjustRightInd w:val="0"/>
        <w:snapToGrid w:val="0"/>
        <w:spacing w:line="440" w:lineRule="exact"/>
        <w:ind w:firstLine="420" w:firstLineChars="200"/>
        <w:rPr>
          <w:rFonts w:ascii="宋体"/>
          <w:szCs w:val="21"/>
        </w:rPr>
      </w:pPr>
      <w:r>
        <w:rPr>
          <w:rFonts w:hint="eastAsia" w:ascii="宋体" w:hAnsi="宋体" w:cs="宋体"/>
          <w:szCs w:val="21"/>
        </w:rPr>
        <w:t>全部满足上述条件的投标人进入评标入围环节，未满足上述情况之一的，不再进行后续评标。</w:t>
      </w:r>
    </w:p>
    <w:p>
      <w:pPr>
        <w:adjustRightInd w:val="0"/>
        <w:snapToGrid w:val="0"/>
        <w:spacing w:line="440" w:lineRule="exact"/>
        <w:ind w:firstLine="420" w:firstLineChars="200"/>
        <w:rPr>
          <w:rFonts w:ascii="宋体"/>
          <w:szCs w:val="21"/>
        </w:rPr>
      </w:pPr>
      <w:r>
        <w:rPr>
          <w:rFonts w:hint="eastAsia" w:ascii="宋体" w:hAnsi="宋体" w:cs="宋体"/>
          <w:szCs w:val="21"/>
        </w:rPr>
        <w:t>（</w:t>
      </w:r>
      <w:r>
        <w:rPr>
          <w:rFonts w:ascii="宋体" w:hAnsi="宋体" w:cs="宋体"/>
          <w:szCs w:val="21"/>
        </w:rPr>
        <w:t>2</w:t>
      </w:r>
      <w:r>
        <w:rPr>
          <w:rFonts w:hint="eastAsia" w:ascii="宋体" w:hAnsi="宋体" w:cs="宋体"/>
          <w:szCs w:val="21"/>
        </w:rPr>
        <w:t>）评标入围方法：</w:t>
      </w:r>
    </w:p>
    <w:p>
      <w:pPr>
        <w:adjustRightInd w:val="0"/>
        <w:snapToGrid w:val="0"/>
        <w:spacing w:line="440" w:lineRule="exact"/>
        <w:ind w:firstLine="420" w:firstLineChars="200"/>
        <w:rPr>
          <w:rFonts w:ascii="宋体"/>
          <w:b/>
          <w:bCs/>
          <w:szCs w:val="21"/>
        </w:rPr>
      </w:pPr>
      <w:r>
        <w:rPr>
          <w:rFonts w:ascii="宋体" w:hAnsi="宋体" w:cs="宋体"/>
          <w:szCs w:val="21"/>
        </w:rPr>
        <w:t>1</w:t>
      </w:r>
      <w:r>
        <w:rPr>
          <w:rFonts w:hint="eastAsia" w:ascii="宋体" w:hAnsi="宋体" w:cs="宋体"/>
          <w:szCs w:val="21"/>
        </w:rPr>
        <w:t>、当满足评标入围条件的投标人未超过</w:t>
      </w:r>
      <w:r>
        <w:rPr>
          <w:rFonts w:ascii="宋体" w:hAnsi="宋体" w:cs="宋体"/>
          <w:szCs w:val="21"/>
        </w:rPr>
        <w:t>20</w:t>
      </w:r>
      <w:r>
        <w:rPr>
          <w:rFonts w:hint="eastAsia" w:ascii="宋体" w:hAnsi="宋体" w:cs="宋体"/>
          <w:szCs w:val="21"/>
        </w:rPr>
        <w:t>家（含</w:t>
      </w:r>
      <w:r>
        <w:rPr>
          <w:rFonts w:ascii="宋体" w:hAnsi="宋体" w:cs="宋体"/>
          <w:szCs w:val="21"/>
        </w:rPr>
        <w:t>20</w:t>
      </w:r>
      <w:r>
        <w:rPr>
          <w:rFonts w:hint="eastAsia" w:ascii="宋体" w:hAnsi="宋体" w:cs="宋体"/>
          <w:szCs w:val="21"/>
        </w:rPr>
        <w:t>家）时，本项目采用</w:t>
      </w:r>
      <w:r>
        <w:rPr>
          <w:rFonts w:hint="eastAsia" w:ascii="宋体" w:hAnsi="宋体" w:cs="宋体"/>
          <w:b/>
          <w:bCs/>
          <w:szCs w:val="21"/>
        </w:rPr>
        <w:t>全部入围法：进入评标入围环节的投标人全部进入后续评标程序。</w:t>
      </w:r>
    </w:p>
    <w:p>
      <w:pPr>
        <w:autoSpaceDE w:val="0"/>
        <w:adjustRightInd w:val="0"/>
        <w:snapToGrid w:val="0"/>
        <w:spacing w:line="440" w:lineRule="exact"/>
        <w:ind w:firstLine="420" w:firstLineChars="200"/>
        <w:jc w:val="left"/>
        <w:rPr>
          <w:rFonts w:ascii="宋体"/>
          <w:kern w:val="0"/>
          <w:szCs w:val="21"/>
        </w:rPr>
      </w:pPr>
      <w:r>
        <w:rPr>
          <w:rFonts w:ascii="宋体" w:hAnsi="宋体" w:cs="宋体"/>
          <w:szCs w:val="21"/>
        </w:rPr>
        <w:t>2</w:t>
      </w:r>
      <w:r>
        <w:rPr>
          <w:rFonts w:hint="eastAsia" w:ascii="宋体" w:hAnsi="宋体" w:cs="宋体"/>
          <w:szCs w:val="21"/>
        </w:rPr>
        <w:t>、当满足评标入围条件的投标人超过</w:t>
      </w:r>
      <w:r>
        <w:rPr>
          <w:rFonts w:ascii="宋体" w:hAnsi="宋体" w:cs="宋体"/>
          <w:szCs w:val="21"/>
        </w:rPr>
        <w:t>20</w:t>
      </w:r>
      <w:r>
        <w:rPr>
          <w:rFonts w:hint="eastAsia" w:ascii="宋体" w:hAnsi="宋体" w:cs="宋体"/>
          <w:szCs w:val="21"/>
        </w:rPr>
        <w:t>家时，</w:t>
      </w:r>
      <w:r>
        <w:rPr>
          <w:rFonts w:hint="eastAsia" w:ascii="宋体" w:hAnsi="宋体" w:cs="宋体"/>
          <w:kern w:val="0"/>
          <w:szCs w:val="21"/>
        </w:rPr>
        <w:t>本项目将由招标人代表从下列二种入围方法中抽签，具体如下：</w:t>
      </w:r>
    </w:p>
    <w:p>
      <w:pPr>
        <w:adjustRightInd w:val="0"/>
        <w:snapToGrid w:val="0"/>
        <w:spacing w:line="440" w:lineRule="exact"/>
        <w:ind w:firstLine="482"/>
        <w:rPr>
          <w:rFonts w:ascii="宋体"/>
          <w:b/>
          <w:bCs/>
          <w:kern w:val="0"/>
          <w:szCs w:val="21"/>
        </w:rPr>
      </w:pPr>
      <w:r>
        <w:rPr>
          <w:rFonts w:hint="eastAsia" w:ascii="宋体" w:hAnsi="宋体" w:cs="宋体"/>
          <w:kern w:val="0"/>
          <w:szCs w:val="21"/>
        </w:rPr>
        <w:t>方法一：</w:t>
      </w:r>
      <w:r>
        <w:rPr>
          <w:rFonts w:hint="eastAsia" w:ascii="宋体" w:hAnsi="宋体" w:cs="宋体"/>
          <w:b/>
          <w:bCs/>
          <w:kern w:val="0"/>
          <w:szCs w:val="21"/>
        </w:rPr>
        <w:t>低价排序法。先按报价由低到高去除进入评标入围环节的投标人数量</w:t>
      </w:r>
      <w:r>
        <w:rPr>
          <w:rFonts w:ascii="宋体" w:hAnsi="宋体" w:cs="宋体"/>
          <w:b/>
          <w:bCs/>
          <w:kern w:val="0"/>
          <w:szCs w:val="21"/>
        </w:rPr>
        <w:t>*10%</w:t>
      </w:r>
      <w:r>
        <w:rPr>
          <w:rFonts w:hint="eastAsia" w:ascii="宋体" w:hAnsi="宋体" w:cs="宋体"/>
          <w:b/>
          <w:bCs/>
          <w:kern w:val="0"/>
          <w:szCs w:val="21"/>
        </w:rPr>
        <w:t>（去尾取整）的最低报价的投标人</w:t>
      </w:r>
      <w:r>
        <w:rPr>
          <w:rFonts w:ascii="宋体" w:hAnsi="宋体" w:cs="宋体"/>
          <w:b/>
          <w:bCs/>
          <w:kern w:val="0"/>
          <w:szCs w:val="21"/>
        </w:rPr>
        <w:t>(</w:t>
      </w:r>
      <w:r>
        <w:rPr>
          <w:rFonts w:hint="eastAsia" w:ascii="宋体" w:hAnsi="宋体" w:cs="宋体"/>
          <w:b/>
          <w:bCs/>
          <w:kern w:val="0"/>
          <w:szCs w:val="21"/>
        </w:rPr>
        <w:t>末位投标报价相同的均去除</w:t>
      </w:r>
      <w:r>
        <w:rPr>
          <w:rFonts w:ascii="宋体" w:hAnsi="宋体" w:cs="宋体"/>
          <w:b/>
          <w:bCs/>
          <w:kern w:val="0"/>
          <w:szCs w:val="21"/>
        </w:rPr>
        <w:t>),</w:t>
      </w:r>
      <w:r>
        <w:rPr>
          <w:rFonts w:hint="eastAsia" w:ascii="宋体" w:hAnsi="宋体" w:cs="宋体"/>
          <w:b/>
          <w:bCs/>
          <w:kern w:val="0"/>
          <w:szCs w:val="21"/>
        </w:rPr>
        <w:t>再按报价由低到高取</w:t>
      </w:r>
      <w:r>
        <w:rPr>
          <w:rFonts w:ascii="宋体" w:hAnsi="宋体" w:cs="宋体"/>
          <w:b/>
          <w:bCs/>
          <w:kern w:val="0"/>
          <w:szCs w:val="21"/>
        </w:rPr>
        <w:t>15</w:t>
      </w:r>
      <w:r>
        <w:rPr>
          <w:rFonts w:hint="eastAsia" w:ascii="宋体" w:hAnsi="宋体" w:cs="宋体"/>
          <w:b/>
          <w:bCs/>
          <w:kern w:val="0"/>
          <w:szCs w:val="21"/>
        </w:rPr>
        <w:t>家投标人进入后续评标程序。投标报价相同的</w:t>
      </w:r>
      <w:r>
        <w:rPr>
          <w:rFonts w:ascii="宋体" w:cs="宋体"/>
          <w:b/>
          <w:bCs/>
          <w:kern w:val="0"/>
          <w:szCs w:val="21"/>
        </w:rPr>
        <w:t>,</w:t>
      </w:r>
      <w:r>
        <w:rPr>
          <w:rFonts w:hint="eastAsia" w:ascii="宋体" w:hAnsi="宋体" w:cs="宋体"/>
          <w:b/>
          <w:bCs/>
          <w:kern w:val="0"/>
          <w:szCs w:val="21"/>
        </w:rPr>
        <w:t>同时入围</w:t>
      </w:r>
      <w:r>
        <w:rPr>
          <w:rFonts w:ascii="宋体" w:hAnsi="宋体" w:cs="宋体"/>
          <w:b/>
          <w:bCs/>
          <w:kern w:val="0"/>
          <w:szCs w:val="21"/>
        </w:rPr>
        <w:t>;</w:t>
      </w:r>
      <w:r>
        <w:rPr>
          <w:rFonts w:hint="eastAsia" w:ascii="宋体" w:hAnsi="宋体" w:cs="宋体"/>
          <w:b/>
          <w:bCs/>
          <w:kern w:val="0"/>
          <w:szCs w:val="21"/>
        </w:rPr>
        <w:t>不足</w:t>
      </w:r>
      <w:r>
        <w:rPr>
          <w:rFonts w:ascii="宋体" w:hAnsi="宋体" w:cs="宋体"/>
          <w:b/>
          <w:bCs/>
          <w:kern w:val="0"/>
          <w:szCs w:val="21"/>
        </w:rPr>
        <w:t>15</w:t>
      </w:r>
      <w:r>
        <w:rPr>
          <w:rFonts w:hint="eastAsia" w:ascii="宋体" w:hAnsi="宋体" w:cs="宋体"/>
          <w:b/>
          <w:bCs/>
          <w:kern w:val="0"/>
          <w:szCs w:val="21"/>
        </w:rPr>
        <w:t>家时</w:t>
      </w:r>
      <w:r>
        <w:rPr>
          <w:rFonts w:ascii="宋体" w:cs="宋体"/>
          <w:b/>
          <w:bCs/>
          <w:kern w:val="0"/>
          <w:szCs w:val="21"/>
        </w:rPr>
        <w:t>,</w:t>
      </w:r>
      <w:r>
        <w:rPr>
          <w:rFonts w:hint="eastAsia" w:ascii="宋体" w:hAnsi="宋体" w:cs="宋体"/>
          <w:b/>
          <w:bCs/>
          <w:kern w:val="0"/>
          <w:szCs w:val="21"/>
        </w:rPr>
        <w:t>按实际数量计取。</w:t>
      </w:r>
    </w:p>
    <w:p>
      <w:pPr>
        <w:adjustRightInd w:val="0"/>
        <w:snapToGrid w:val="0"/>
        <w:spacing w:line="440" w:lineRule="exact"/>
        <w:ind w:firstLine="482"/>
        <w:rPr>
          <w:rFonts w:ascii="宋体"/>
          <w:b/>
          <w:bCs/>
          <w:kern w:val="0"/>
          <w:szCs w:val="21"/>
        </w:rPr>
      </w:pPr>
      <w:r>
        <w:rPr>
          <w:rFonts w:hint="eastAsia" w:ascii="宋体" w:hAnsi="宋体" w:cs="宋体"/>
          <w:kern w:val="0"/>
          <w:szCs w:val="21"/>
        </w:rPr>
        <w:t>方法二</w:t>
      </w:r>
      <w:r>
        <w:rPr>
          <w:rFonts w:ascii="宋体" w:hAnsi="宋体" w:cs="宋体"/>
          <w:kern w:val="0"/>
          <w:szCs w:val="21"/>
        </w:rPr>
        <w:t>:</w:t>
      </w:r>
      <w:r>
        <w:rPr>
          <w:rFonts w:hint="eastAsia" w:ascii="宋体" w:hAnsi="宋体" w:cs="宋体"/>
          <w:b/>
          <w:bCs/>
          <w:kern w:val="0"/>
          <w:szCs w:val="21"/>
        </w:rPr>
        <w:t>均值入围法。先按报价由高到低去除进入评标入围环节的投标人数量</w:t>
      </w:r>
      <w:r>
        <w:rPr>
          <w:rFonts w:ascii="宋体" w:hAnsi="宋体" w:cs="宋体"/>
          <w:b/>
          <w:bCs/>
          <w:kern w:val="0"/>
          <w:szCs w:val="21"/>
        </w:rPr>
        <w:t>*10%(</w:t>
      </w:r>
      <w:r>
        <w:rPr>
          <w:rFonts w:hint="eastAsia" w:ascii="宋体" w:hAnsi="宋体" w:cs="宋体"/>
          <w:b/>
          <w:bCs/>
          <w:kern w:val="0"/>
          <w:szCs w:val="21"/>
        </w:rPr>
        <w:t>去尾取整</w:t>
      </w:r>
      <w:r>
        <w:rPr>
          <w:rFonts w:ascii="宋体" w:hAnsi="宋体" w:cs="宋体"/>
          <w:b/>
          <w:bCs/>
          <w:kern w:val="0"/>
          <w:szCs w:val="21"/>
        </w:rPr>
        <w:t>)</w:t>
      </w:r>
      <w:r>
        <w:rPr>
          <w:rFonts w:hint="eastAsia" w:ascii="宋体" w:hAnsi="宋体" w:cs="宋体"/>
          <w:b/>
          <w:bCs/>
          <w:kern w:val="0"/>
          <w:szCs w:val="21"/>
        </w:rPr>
        <w:t>的最高报价的投标人后</w:t>
      </w:r>
      <w:r>
        <w:rPr>
          <w:rFonts w:ascii="宋体" w:hAnsi="宋体" w:cs="宋体"/>
          <w:b/>
          <w:bCs/>
          <w:kern w:val="0"/>
          <w:szCs w:val="21"/>
        </w:rPr>
        <w:t>(</w:t>
      </w:r>
      <w:r>
        <w:rPr>
          <w:rFonts w:hint="eastAsia" w:ascii="宋体" w:hAnsi="宋体" w:cs="宋体"/>
          <w:b/>
          <w:bCs/>
          <w:kern w:val="0"/>
          <w:szCs w:val="21"/>
        </w:rPr>
        <w:t>末位投标报价相同的均去除</w:t>
      </w:r>
      <w:r>
        <w:rPr>
          <w:rFonts w:ascii="宋体" w:hAnsi="宋体" w:cs="宋体"/>
          <w:b/>
          <w:bCs/>
          <w:kern w:val="0"/>
          <w:szCs w:val="21"/>
        </w:rPr>
        <w:t>),</w:t>
      </w:r>
      <w:r>
        <w:rPr>
          <w:rFonts w:hint="eastAsia" w:ascii="宋体" w:hAnsi="宋体" w:cs="宋体"/>
          <w:b/>
          <w:bCs/>
          <w:kern w:val="0"/>
          <w:szCs w:val="21"/>
        </w:rPr>
        <w:t>计算剩余投标人的报价平均值</w:t>
      </w:r>
      <w:r>
        <w:rPr>
          <w:rFonts w:ascii="宋体" w:cs="宋体"/>
          <w:b/>
          <w:bCs/>
          <w:kern w:val="0"/>
          <w:szCs w:val="21"/>
        </w:rPr>
        <w:t>,</w:t>
      </w:r>
      <w:r>
        <w:rPr>
          <w:rFonts w:hint="eastAsia" w:ascii="宋体" w:hAnsi="宋体" w:cs="宋体"/>
          <w:b/>
          <w:bCs/>
          <w:kern w:val="0"/>
          <w:szCs w:val="21"/>
        </w:rPr>
        <w:t>取平均值以上</w:t>
      </w:r>
      <w:r>
        <w:rPr>
          <w:rFonts w:ascii="宋体" w:hAnsi="宋体" w:cs="宋体"/>
          <w:b/>
          <w:bCs/>
          <w:kern w:val="0"/>
          <w:szCs w:val="21"/>
        </w:rPr>
        <w:t>7</w:t>
      </w:r>
      <w:r>
        <w:rPr>
          <w:rFonts w:hint="eastAsia" w:ascii="宋体" w:hAnsi="宋体" w:cs="宋体"/>
          <w:b/>
          <w:bCs/>
          <w:kern w:val="0"/>
          <w:szCs w:val="21"/>
        </w:rPr>
        <w:t>家和以下</w:t>
      </w:r>
      <w:r>
        <w:rPr>
          <w:rFonts w:ascii="宋体" w:hAnsi="宋体" w:cs="宋体"/>
          <w:b/>
          <w:bCs/>
          <w:kern w:val="0"/>
          <w:szCs w:val="21"/>
        </w:rPr>
        <w:t>8</w:t>
      </w:r>
      <w:r>
        <w:rPr>
          <w:rFonts w:hint="eastAsia" w:ascii="宋体" w:hAnsi="宋体" w:cs="宋体"/>
          <w:b/>
          <w:bCs/>
          <w:kern w:val="0"/>
          <w:szCs w:val="21"/>
        </w:rPr>
        <w:t>家投标人进入后续评标程序。评标入围过程中</w:t>
      </w:r>
      <w:r>
        <w:rPr>
          <w:rFonts w:ascii="宋体" w:cs="宋体"/>
          <w:b/>
          <w:bCs/>
          <w:kern w:val="0"/>
          <w:szCs w:val="21"/>
        </w:rPr>
        <w:t>,</w:t>
      </w:r>
      <w:r>
        <w:rPr>
          <w:rFonts w:hint="eastAsia" w:ascii="宋体" w:hAnsi="宋体" w:cs="宋体"/>
          <w:b/>
          <w:bCs/>
          <w:kern w:val="0"/>
          <w:szCs w:val="21"/>
        </w:rPr>
        <w:t>当投标人平均值以上</w:t>
      </w:r>
      <w:r>
        <w:rPr>
          <w:rFonts w:ascii="宋体" w:hAnsi="宋体" w:cs="宋体"/>
          <w:b/>
          <w:bCs/>
          <w:kern w:val="0"/>
          <w:szCs w:val="21"/>
        </w:rPr>
        <w:t>(</w:t>
      </w:r>
      <w:r>
        <w:rPr>
          <w:rFonts w:hint="eastAsia" w:ascii="宋体" w:hAnsi="宋体" w:cs="宋体"/>
          <w:b/>
          <w:bCs/>
          <w:kern w:val="0"/>
          <w:szCs w:val="21"/>
        </w:rPr>
        <w:t>或以下</w:t>
      </w:r>
      <w:r>
        <w:rPr>
          <w:rFonts w:ascii="宋体" w:hAnsi="宋体" w:cs="宋体"/>
          <w:b/>
          <w:bCs/>
          <w:kern w:val="0"/>
          <w:szCs w:val="21"/>
        </w:rPr>
        <w:t>)</w:t>
      </w:r>
      <w:r>
        <w:rPr>
          <w:rFonts w:hint="eastAsia" w:ascii="宋体" w:hAnsi="宋体" w:cs="宋体"/>
          <w:b/>
          <w:bCs/>
          <w:kern w:val="0"/>
          <w:szCs w:val="21"/>
        </w:rPr>
        <w:t>的数量不足时按实际数量计取</w:t>
      </w:r>
      <w:r>
        <w:rPr>
          <w:rFonts w:ascii="宋体" w:cs="宋体"/>
          <w:b/>
          <w:bCs/>
          <w:kern w:val="0"/>
          <w:szCs w:val="21"/>
        </w:rPr>
        <w:t>,</w:t>
      </w:r>
      <w:r>
        <w:rPr>
          <w:rFonts w:hint="eastAsia" w:ascii="宋体" w:hAnsi="宋体" w:cs="宋体"/>
          <w:b/>
          <w:bCs/>
          <w:kern w:val="0"/>
          <w:szCs w:val="21"/>
        </w:rPr>
        <w:t>但不因此增加平均值以下</w:t>
      </w:r>
      <w:r>
        <w:rPr>
          <w:rFonts w:ascii="宋体" w:hAnsi="宋体" w:cs="宋体"/>
          <w:b/>
          <w:bCs/>
          <w:kern w:val="0"/>
          <w:szCs w:val="21"/>
        </w:rPr>
        <w:t>(</w:t>
      </w:r>
      <w:r>
        <w:rPr>
          <w:rFonts w:hint="eastAsia" w:ascii="宋体" w:hAnsi="宋体" w:cs="宋体"/>
          <w:b/>
          <w:bCs/>
          <w:kern w:val="0"/>
          <w:szCs w:val="21"/>
        </w:rPr>
        <w:t>或以上</w:t>
      </w:r>
      <w:r>
        <w:rPr>
          <w:rFonts w:ascii="宋体" w:hAnsi="宋体" w:cs="宋体"/>
          <w:b/>
          <w:bCs/>
          <w:kern w:val="0"/>
          <w:szCs w:val="21"/>
        </w:rPr>
        <w:t>)</w:t>
      </w:r>
      <w:r>
        <w:rPr>
          <w:rFonts w:hint="eastAsia" w:ascii="宋体" w:hAnsi="宋体" w:cs="宋体"/>
          <w:b/>
          <w:bCs/>
          <w:kern w:val="0"/>
          <w:szCs w:val="21"/>
        </w:rPr>
        <w:t>的数量。按顺序取平均值以上的投标人时</w:t>
      </w:r>
      <w:r>
        <w:rPr>
          <w:rFonts w:ascii="宋体" w:cs="宋体"/>
          <w:b/>
          <w:bCs/>
          <w:kern w:val="0"/>
          <w:szCs w:val="21"/>
        </w:rPr>
        <w:t>,</w:t>
      </w:r>
      <w:r>
        <w:rPr>
          <w:rFonts w:hint="eastAsia" w:ascii="宋体" w:hAnsi="宋体" w:cs="宋体"/>
          <w:b/>
          <w:bCs/>
          <w:kern w:val="0"/>
          <w:szCs w:val="21"/>
        </w:rPr>
        <w:t>报价相同的投标人均不入围</w:t>
      </w:r>
      <w:r>
        <w:rPr>
          <w:rFonts w:ascii="宋体" w:hAnsi="宋体" w:cs="宋体"/>
          <w:b/>
          <w:bCs/>
          <w:kern w:val="0"/>
          <w:szCs w:val="21"/>
        </w:rPr>
        <w:t>;</w:t>
      </w:r>
      <w:r>
        <w:rPr>
          <w:rFonts w:hint="eastAsia" w:ascii="宋体" w:hAnsi="宋体" w:cs="宋体"/>
          <w:b/>
          <w:bCs/>
          <w:kern w:val="0"/>
          <w:szCs w:val="21"/>
        </w:rPr>
        <w:t>按顺序取平均值以下的投标人时</w:t>
      </w:r>
      <w:r>
        <w:rPr>
          <w:rFonts w:ascii="宋体" w:cs="宋体"/>
          <w:b/>
          <w:bCs/>
          <w:kern w:val="0"/>
          <w:szCs w:val="21"/>
        </w:rPr>
        <w:t>,</w:t>
      </w:r>
      <w:r>
        <w:rPr>
          <w:rFonts w:hint="eastAsia" w:ascii="宋体" w:hAnsi="宋体" w:cs="宋体"/>
          <w:b/>
          <w:bCs/>
          <w:kern w:val="0"/>
          <w:szCs w:val="21"/>
        </w:rPr>
        <w:t>报价相同的投标人同时入围。</w:t>
      </w:r>
      <w:r>
        <w:rPr>
          <w:rFonts w:hint="eastAsia" w:hAnsi="宋体" w:cs="宋体"/>
          <w:b/>
          <w:bCs/>
          <w:kern w:val="0"/>
          <w:szCs w:val="21"/>
        </w:rPr>
        <w:t>投标单位报价</w:t>
      </w:r>
      <w:r>
        <w:rPr>
          <w:rFonts w:hint="eastAsia" w:hAnsi="宋体"/>
          <w:b/>
          <w:bCs/>
          <w:kern w:val="0"/>
          <w:szCs w:val="21"/>
        </w:rPr>
        <w:t>等于</w:t>
      </w:r>
      <w:r>
        <w:rPr>
          <w:rFonts w:hint="eastAsia" w:hAnsi="宋体" w:cs="宋体"/>
          <w:b/>
          <w:bCs/>
          <w:kern w:val="0"/>
          <w:szCs w:val="21"/>
        </w:rPr>
        <w:t>平均值也入围。</w:t>
      </w:r>
    </w:p>
    <w:p>
      <w:pPr>
        <w:adjustRightInd w:val="0"/>
        <w:snapToGrid w:val="0"/>
        <w:spacing w:line="440" w:lineRule="exact"/>
        <w:ind w:firstLine="482"/>
        <w:rPr>
          <w:rFonts w:ascii="宋体" w:hAnsi="宋体" w:cs="宋体"/>
          <w:kern w:val="0"/>
          <w:szCs w:val="21"/>
        </w:rPr>
      </w:pPr>
      <w:r>
        <w:rPr>
          <w:rFonts w:hint="eastAsia" w:ascii="宋体" w:hAnsi="宋体" w:cs="宋体"/>
          <w:kern w:val="0"/>
          <w:szCs w:val="21"/>
        </w:rPr>
        <w:t>当出现招投标当事人的质疑、投诉以及评委评审和计算存在错误情形的</w:t>
      </w:r>
      <w:r>
        <w:rPr>
          <w:rFonts w:ascii="宋体" w:cs="宋体"/>
          <w:kern w:val="0"/>
          <w:szCs w:val="21"/>
        </w:rPr>
        <w:t>,</w:t>
      </w:r>
      <w:r>
        <w:rPr>
          <w:rFonts w:hint="eastAsia" w:ascii="宋体" w:hAnsi="宋体" w:cs="宋体"/>
          <w:kern w:val="0"/>
          <w:szCs w:val="21"/>
        </w:rPr>
        <w:t>评标入围除计算错误外其他情形不再重新确定。</w:t>
      </w:r>
    </w:p>
    <w:p>
      <w:pPr>
        <w:adjustRightInd w:val="0"/>
        <w:snapToGrid w:val="0"/>
        <w:spacing w:line="440" w:lineRule="exact"/>
        <w:ind w:firstLine="482"/>
        <w:rPr>
          <w:rFonts w:ascii="宋体" w:hAnsi="宋体" w:cs="宋体"/>
          <w:kern w:val="0"/>
          <w:szCs w:val="21"/>
        </w:rPr>
      </w:pPr>
      <w:r>
        <w:rPr>
          <w:rFonts w:hint="eastAsia" w:hAnsi="宋体"/>
          <w:color w:val="000000"/>
          <w:kern w:val="0"/>
          <w:szCs w:val="21"/>
        </w:rPr>
        <w:t>商务标评审方法由招标人代表现场抽取确定，相关系数由投标人代表现场抽取确定后进入评标程序。</w:t>
      </w:r>
    </w:p>
    <w:p>
      <w:pPr>
        <w:adjustRightInd w:val="0"/>
        <w:snapToGrid w:val="0"/>
        <w:spacing w:line="440" w:lineRule="exact"/>
        <w:ind w:firstLine="482"/>
        <w:rPr>
          <w:rFonts w:ascii="宋体"/>
          <w:b/>
          <w:bCs/>
          <w:kern w:val="0"/>
          <w:szCs w:val="21"/>
        </w:rPr>
      </w:pPr>
      <w:r>
        <w:rPr>
          <w:rFonts w:hAnsi="宋体"/>
          <w:kern w:val="0"/>
          <w:szCs w:val="21"/>
        </w:rPr>
        <w:t>（二）评审标准</w:t>
      </w:r>
    </w:p>
    <w:p>
      <w:pPr>
        <w:adjustRightInd w:val="0"/>
        <w:snapToGrid w:val="0"/>
        <w:spacing w:line="440" w:lineRule="exact"/>
        <w:ind w:firstLine="482"/>
        <w:rPr>
          <w:rFonts w:ascii="宋体"/>
          <w:b/>
          <w:bCs/>
          <w:kern w:val="0"/>
          <w:szCs w:val="21"/>
        </w:rPr>
      </w:pPr>
      <w:r>
        <w:rPr>
          <w:rFonts w:hAnsi="宋体"/>
          <w:kern w:val="0"/>
          <w:szCs w:val="21"/>
        </w:rPr>
        <w:t>评标委员会将按评审标准、资格评审标准的合格条件，对各投标人递交的资格审查书面资料进行评审，并公布资格审查合格者名单。</w:t>
      </w:r>
    </w:p>
    <w:p>
      <w:pPr>
        <w:widowControl/>
        <w:spacing w:line="360" w:lineRule="auto"/>
        <w:ind w:firstLine="420" w:firstLineChars="200"/>
        <w:jc w:val="left"/>
        <w:rPr>
          <w:kern w:val="0"/>
          <w:szCs w:val="21"/>
        </w:rPr>
      </w:pPr>
      <w:r>
        <w:rPr>
          <w:kern w:val="0"/>
          <w:szCs w:val="21"/>
        </w:rPr>
        <w:t>1</w:t>
      </w:r>
      <w:r>
        <w:rPr>
          <w:rFonts w:hAnsi="宋体"/>
          <w:kern w:val="0"/>
          <w:szCs w:val="21"/>
        </w:rPr>
        <w:t>、资格符合性评审</w:t>
      </w:r>
    </w:p>
    <w:p>
      <w:pPr>
        <w:widowControl/>
        <w:spacing w:line="360" w:lineRule="auto"/>
        <w:ind w:firstLine="482" w:firstLineChars="200"/>
        <w:jc w:val="center"/>
        <w:rPr>
          <w:kern w:val="0"/>
          <w:sz w:val="24"/>
        </w:rPr>
      </w:pPr>
      <w:r>
        <w:rPr>
          <w:rFonts w:hAnsi="宋体"/>
          <w:b/>
          <w:sz w:val="24"/>
          <w:u w:val="single"/>
        </w:rPr>
        <w:t>资格审查标准汇总表</w:t>
      </w:r>
    </w:p>
    <w:tbl>
      <w:tblPr>
        <w:tblStyle w:val="57"/>
        <w:tblW w:w="9569"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52"/>
        <w:gridCol w:w="1800"/>
        <w:gridCol w:w="3369"/>
        <w:gridCol w:w="38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0" w:hRule="atLeast"/>
          <w:tblHeader/>
          <w:tblCellSpacing w:w="0" w:type="dxa"/>
          <w:jc w:val="center"/>
        </w:trPr>
        <w:tc>
          <w:tcPr>
            <w:tcW w:w="552" w:type="dxa"/>
            <w:vAlign w:val="center"/>
          </w:tcPr>
          <w:p>
            <w:pPr>
              <w:widowControl/>
              <w:jc w:val="center"/>
              <w:rPr>
                <w:b/>
                <w:kern w:val="0"/>
                <w:szCs w:val="21"/>
              </w:rPr>
            </w:pPr>
            <w:bookmarkStart w:id="31" w:name="OLE_LINK2"/>
            <w:r>
              <w:rPr>
                <w:rFonts w:hAnsi="宋体"/>
                <w:b/>
                <w:kern w:val="0"/>
                <w:szCs w:val="21"/>
              </w:rPr>
              <w:t>序号</w:t>
            </w:r>
          </w:p>
        </w:tc>
        <w:tc>
          <w:tcPr>
            <w:tcW w:w="1800" w:type="dxa"/>
            <w:vAlign w:val="center"/>
          </w:tcPr>
          <w:p>
            <w:pPr>
              <w:widowControl/>
              <w:jc w:val="center"/>
              <w:rPr>
                <w:b/>
                <w:kern w:val="0"/>
                <w:szCs w:val="21"/>
              </w:rPr>
            </w:pPr>
            <w:r>
              <w:rPr>
                <w:rFonts w:hAnsi="宋体"/>
                <w:b/>
                <w:kern w:val="0"/>
                <w:szCs w:val="21"/>
              </w:rPr>
              <w:t>项目内容</w:t>
            </w:r>
          </w:p>
        </w:tc>
        <w:tc>
          <w:tcPr>
            <w:tcW w:w="3369" w:type="dxa"/>
            <w:vAlign w:val="center"/>
          </w:tcPr>
          <w:p>
            <w:pPr>
              <w:widowControl/>
              <w:jc w:val="center"/>
              <w:rPr>
                <w:b/>
                <w:kern w:val="0"/>
                <w:szCs w:val="21"/>
              </w:rPr>
            </w:pPr>
            <w:r>
              <w:rPr>
                <w:rFonts w:hAnsi="宋体"/>
                <w:b/>
                <w:kern w:val="0"/>
                <w:szCs w:val="21"/>
              </w:rPr>
              <w:t>合格条件</w:t>
            </w:r>
          </w:p>
        </w:tc>
        <w:tc>
          <w:tcPr>
            <w:tcW w:w="3848" w:type="dxa"/>
            <w:vAlign w:val="center"/>
          </w:tcPr>
          <w:p>
            <w:pPr>
              <w:widowControl/>
              <w:jc w:val="center"/>
              <w:rPr>
                <w:b/>
                <w:kern w:val="0"/>
                <w:szCs w:val="21"/>
              </w:rPr>
            </w:pPr>
            <w:r>
              <w:rPr>
                <w:rFonts w:hAnsi="宋体"/>
                <w:b/>
                <w:kern w:val="0"/>
                <w:szCs w:val="21"/>
              </w:rPr>
              <w:t>投标人需提供的材料</w:t>
            </w:r>
          </w:p>
        </w:tc>
      </w:tr>
      <w:bookmarkEnd w:id="31"/>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87" w:hRule="atLeast"/>
          <w:tblCellSpacing w:w="0" w:type="dxa"/>
          <w:jc w:val="center"/>
        </w:trPr>
        <w:tc>
          <w:tcPr>
            <w:tcW w:w="552" w:type="dxa"/>
            <w:vAlign w:val="center"/>
          </w:tcPr>
          <w:p>
            <w:pPr>
              <w:widowControl/>
              <w:jc w:val="center"/>
              <w:rPr>
                <w:kern w:val="0"/>
                <w:szCs w:val="21"/>
              </w:rPr>
            </w:pPr>
            <w:r>
              <w:rPr>
                <w:kern w:val="0"/>
                <w:szCs w:val="21"/>
              </w:rPr>
              <w:t>1</w:t>
            </w:r>
          </w:p>
        </w:tc>
        <w:tc>
          <w:tcPr>
            <w:tcW w:w="1800" w:type="dxa"/>
            <w:vAlign w:val="center"/>
          </w:tcPr>
          <w:p>
            <w:pPr>
              <w:widowControl/>
              <w:jc w:val="left"/>
              <w:rPr>
                <w:kern w:val="0"/>
                <w:szCs w:val="21"/>
              </w:rPr>
            </w:pPr>
            <w:r>
              <w:rPr>
                <w:rFonts w:hAnsi="宋体"/>
                <w:kern w:val="0"/>
                <w:szCs w:val="21"/>
              </w:rPr>
              <w:t>具有独立订立合同的能力</w:t>
            </w:r>
          </w:p>
        </w:tc>
        <w:tc>
          <w:tcPr>
            <w:tcW w:w="3369" w:type="dxa"/>
            <w:vAlign w:val="center"/>
          </w:tcPr>
          <w:p>
            <w:pPr>
              <w:widowControl/>
              <w:jc w:val="left"/>
              <w:rPr>
                <w:kern w:val="0"/>
                <w:szCs w:val="21"/>
              </w:rPr>
            </w:pPr>
            <w:r>
              <w:rPr>
                <w:rFonts w:hAnsi="宋体"/>
                <w:kern w:val="0"/>
                <w:szCs w:val="21"/>
              </w:rPr>
              <w:t>有效的工商行政管理部门颁发的法人营业执照</w:t>
            </w:r>
          </w:p>
        </w:tc>
        <w:tc>
          <w:tcPr>
            <w:tcW w:w="3848" w:type="dxa"/>
            <w:vAlign w:val="center"/>
          </w:tcPr>
          <w:p>
            <w:pPr>
              <w:widowControl/>
              <w:jc w:val="left"/>
              <w:rPr>
                <w:kern w:val="0"/>
                <w:szCs w:val="21"/>
              </w:rPr>
            </w:pPr>
            <w:r>
              <w:rPr>
                <w:rFonts w:hAnsi="宋体"/>
                <w:kern w:val="0"/>
                <w:szCs w:val="21"/>
              </w:rPr>
              <w:t>有效的企业营业执照（副本）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81" w:hRule="atLeast"/>
          <w:tblCellSpacing w:w="0" w:type="dxa"/>
          <w:jc w:val="center"/>
        </w:trPr>
        <w:tc>
          <w:tcPr>
            <w:tcW w:w="552" w:type="dxa"/>
            <w:vAlign w:val="center"/>
          </w:tcPr>
          <w:p>
            <w:pPr>
              <w:widowControl/>
              <w:jc w:val="center"/>
              <w:rPr>
                <w:kern w:val="0"/>
                <w:szCs w:val="21"/>
              </w:rPr>
            </w:pPr>
            <w:r>
              <w:rPr>
                <w:kern w:val="0"/>
                <w:szCs w:val="21"/>
              </w:rPr>
              <w:t>2</w:t>
            </w:r>
          </w:p>
        </w:tc>
        <w:tc>
          <w:tcPr>
            <w:tcW w:w="1800" w:type="dxa"/>
            <w:vAlign w:val="center"/>
          </w:tcPr>
          <w:p>
            <w:pPr>
              <w:widowControl/>
              <w:jc w:val="left"/>
              <w:rPr>
                <w:kern w:val="0"/>
                <w:szCs w:val="21"/>
                <w:highlight w:val="none"/>
              </w:rPr>
            </w:pPr>
            <w:r>
              <w:rPr>
                <w:rFonts w:hAnsi="宋体"/>
                <w:kern w:val="0"/>
                <w:szCs w:val="21"/>
                <w:highlight w:val="none"/>
              </w:rPr>
              <w:t>企业资质类别等级</w:t>
            </w:r>
          </w:p>
        </w:tc>
        <w:tc>
          <w:tcPr>
            <w:tcW w:w="3369" w:type="dxa"/>
            <w:vAlign w:val="center"/>
          </w:tcPr>
          <w:p>
            <w:pPr>
              <w:widowControl/>
              <w:jc w:val="left"/>
              <w:rPr>
                <w:kern w:val="0"/>
                <w:szCs w:val="21"/>
                <w:highlight w:val="none"/>
                <w:u w:val="single"/>
              </w:rPr>
            </w:pPr>
            <w:r>
              <w:rPr>
                <w:rFonts w:hint="eastAsia" w:ascii="宋体" w:hAnsi="宋体"/>
                <w:color w:val="000000"/>
                <w:kern w:val="0"/>
                <w:szCs w:val="21"/>
                <w:highlight w:val="none"/>
              </w:rPr>
              <w:t>消防设施工程专业承包贰级及以上资质或</w:t>
            </w:r>
            <w:r>
              <w:rPr>
                <w:rFonts w:hint="eastAsia" w:ascii="宋体" w:hAnsi="宋体"/>
                <w:color w:val="000000"/>
                <w:kern w:val="0"/>
                <w:szCs w:val="21"/>
                <w:highlight w:val="none"/>
                <w:lang w:eastAsia="zh-CN"/>
              </w:rPr>
              <w:t>机电工程施工总承包叁级</w:t>
            </w:r>
            <w:r>
              <w:rPr>
                <w:rFonts w:hint="eastAsia" w:ascii="宋体" w:hAnsi="宋体"/>
                <w:color w:val="000000"/>
                <w:kern w:val="0"/>
                <w:szCs w:val="21"/>
                <w:highlight w:val="none"/>
              </w:rPr>
              <w:t>（在有效期内）</w:t>
            </w:r>
          </w:p>
        </w:tc>
        <w:tc>
          <w:tcPr>
            <w:tcW w:w="3848" w:type="dxa"/>
            <w:vAlign w:val="center"/>
          </w:tcPr>
          <w:p>
            <w:pPr>
              <w:widowControl/>
              <w:jc w:val="left"/>
              <w:rPr>
                <w:kern w:val="0"/>
                <w:szCs w:val="21"/>
              </w:rPr>
            </w:pPr>
            <w:r>
              <w:rPr>
                <w:rFonts w:hAnsi="宋体"/>
                <w:kern w:val="0"/>
                <w:szCs w:val="21"/>
              </w:rPr>
              <w:t>有效期内的企业资质证书（副本，可仅提供复印件）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13" w:hRule="atLeast"/>
          <w:tblCellSpacing w:w="0" w:type="dxa"/>
          <w:jc w:val="center"/>
        </w:trPr>
        <w:tc>
          <w:tcPr>
            <w:tcW w:w="552" w:type="dxa"/>
            <w:vAlign w:val="center"/>
          </w:tcPr>
          <w:p>
            <w:pPr>
              <w:widowControl/>
              <w:jc w:val="center"/>
              <w:rPr>
                <w:kern w:val="0"/>
                <w:szCs w:val="21"/>
              </w:rPr>
            </w:pPr>
            <w:r>
              <w:rPr>
                <w:kern w:val="0"/>
                <w:szCs w:val="21"/>
              </w:rPr>
              <w:t>3</w:t>
            </w:r>
          </w:p>
        </w:tc>
        <w:tc>
          <w:tcPr>
            <w:tcW w:w="1800" w:type="dxa"/>
            <w:vAlign w:val="center"/>
          </w:tcPr>
          <w:p>
            <w:pPr>
              <w:widowControl/>
              <w:jc w:val="left"/>
              <w:rPr>
                <w:kern w:val="0"/>
                <w:szCs w:val="21"/>
              </w:rPr>
            </w:pPr>
            <w:r>
              <w:rPr>
                <w:rFonts w:hAnsi="宋体"/>
                <w:kern w:val="0"/>
                <w:szCs w:val="21"/>
              </w:rPr>
              <w:t>企业安全生产许可证</w:t>
            </w:r>
          </w:p>
        </w:tc>
        <w:tc>
          <w:tcPr>
            <w:tcW w:w="3369" w:type="dxa"/>
            <w:vAlign w:val="center"/>
          </w:tcPr>
          <w:p>
            <w:pPr>
              <w:widowControl/>
              <w:jc w:val="left"/>
              <w:rPr>
                <w:kern w:val="0"/>
                <w:szCs w:val="21"/>
              </w:rPr>
            </w:pPr>
            <w:r>
              <w:rPr>
                <w:rFonts w:hAnsi="宋体"/>
                <w:kern w:val="0"/>
                <w:szCs w:val="21"/>
              </w:rPr>
              <w:t>企业具备安全产生条件，并取得安全生产许可证。</w:t>
            </w:r>
          </w:p>
        </w:tc>
        <w:tc>
          <w:tcPr>
            <w:tcW w:w="3848" w:type="dxa"/>
            <w:vAlign w:val="center"/>
          </w:tcPr>
          <w:p>
            <w:pPr>
              <w:widowControl/>
              <w:jc w:val="left"/>
              <w:rPr>
                <w:kern w:val="0"/>
                <w:szCs w:val="21"/>
              </w:rPr>
            </w:pPr>
            <w:r>
              <w:rPr>
                <w:rFonts w:hAnsi="宋体"/>
                <w:kern w:val="0"/>
                <w:szCs w:val="21"/>
              </w:rPr>
              <w:t>有效的安全生产许可证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552" w:type="dxa"/>
            <w:vAlign w:val="center"/>
          </w:tcPr>
          <w:p>
            <w:pPr>
              <w:widowControl/>
              <w:jc w:val="center"/>
              <w:rPr>
                <w:kern w:val="0"/>
                <w:szCs w:val="21"/>
              </w:rPr>
            </w:pPr>
            <w:r>
              <w:rPr>
                <w:rFonts w:hint="eastAsia"/>
                <w:kern w:val="0"/>
                <w:szCs w:val="21"/>
              </w:rPr>
              <w:t>4</w:t>
            </w:r>
          </w:p>
        </w:tc>
        <w:tc>
          <w:tcPr>
            <w:tcW w:w="1800" w:type="dxa"/>
            <w:vAlign w:val="center"/>
          </w:tcPr>
          <w:p>
            <w:pPr>
              <w:widowControl/>
              <w:jc w:val="left"/>
              <w:rPr>
                <w:kern w:val="0"/>
                <w:szCs w:val="21"/>
              </w:rPr>
            </w:pPr>
            <w:r>
              <w:rPr>
                <w:rFonts w:hAnsi="宋体"/>
                <w:kern w:val="0"/>
                <w:szCs w:val="21"/>
              </w:rPr>
              <w:t>拟派项目负责人（项目经理）资质等级</w:t>
            </w:r>
          </w:p>
        </w:tc>
        <w:tc>
          <w:tcPr>
            <w:tcW w:w="3369" w:type="dxa"/>
            <w:vAlign w:val="center"/>
          </w:tcPr>
          <w:p>
            <w:pPr>
              <w:widowControl/>
              <w:jc w:val="left"/>
              <w:rPr>
                <w:rFonts w:hAnsi="宋体"/>
                <w:kern w:val="0"/>
                <w:szCs w:val="21"/>
              </w:rPr>
            </w:pPr>
            <w:r>
              <w:rPr>
                <w:rFonts w:hint="eastAsia" w:ascii="宋体" w:hAnsi="宋体"/>
                <w:color w:val="000000"/>
                <w:kern w:val="0"/>
                <w:szCs w:val="21"/>
              </w:rPr>
              <w:t>机电</w:t>
            </w:r>
            <w:r>
              <w:rPr>
                <w:rFonts w:ascii="宋体" w:hAnsi="宋体"/>
                <w:color w:val="000000"/>
                <w:kern w:val="0"/>
                <w:szCs w:val="21"/>
              </w:rPr>
              <w:t>工程专业贰级</w:t>
            </w:r>
            <w:r>
              <w:rPr>
                <w:rFonts w:hint="eastAsia" w:ascii="宋体" w:hAnsi="宋体"/>
                <w:color w:val="000000"/>
                <w:kern w:val="0"/>
                <w:szCs w:val="21"/>
              </w:rPr>
              <w:t>或以上</w:t>
            </w:r>
            <w:r>
              <w:rPr>
                <w:rFonts w:ascii="宋体" w:hAnsi="宋体"/>
                <w:color w:val="000000"/>
                <w:kern w:val="0"/>
                <w:szCs w:val="21"/>
              </w:rPr>
              <w:t>注册建造师。项目负责人不得为企业法定代表人或企业董事长或总经理。</w:t>
            </w:r>
          </w:p>
        </w:tc>
        <w:tc>
          <w:tcPr>
            <w:tcW w:w="3848" w:type="dxa"/>
            <w:vAlign w:val="center"/>
          </w:tcPr>
          <w:p>
            <w:pPr>
              <w:widowControl/>
              <w:jc w:val="left"/>
            </w:pPr>
            <w:r>
              <w:t>①中华人民共和国建造师注册证书(注册在投标人单位)；</w:t>
            </w:r>
          </w:p>
          <w:p>
            <w:pPr>
              <w:widowControl/>
              <w:jc w:val="left"/>
            </w:pPr>
            <w:r>
              <w:t>②凡建造师注册证书未发放到位的，可由省辖市建设（建筑）行政主管部门出具注册建造师执业证明</w:t>
            </w:r>
          </w:p>
          <w:p>
            <w:pPr>
              <w:widowControl/>
              <w:jc w:val="left"/>
              <w:rPr>
                <w:rFonts w:cs="宋体" w:asciiTheme="minorEastAsia" w:hAnsiTheme="minorEastAsia" w:eastAsiaTheme="minorEastAsia"/>
                <w:b/>
                <w:kern w:val="0"/>
                <w:szCs w:val="21"/>
              </w:rPr>
            </w:pPr>
            <w:r>
              <w:rPr>
                <w:rFonts w:cs="宋体" w:asciiTheme="minorEastAsia" w:hAnsiTheme="minorEastAsia" w:eastAsiaTheme="minorEastAsia"/>
                <w:b/>
                <w:kern w:val="0"/>
                <w:szCs w:val="21"/>
              </w:rPr>
              <w:t>特别提醒：</w:t>
            </w:r>
            <w:r>
              <w:rPr>
                <w:rFonts w:hint="eastAsia" w:cs="宋体" w:asciiTheme="minorEastAsia" w:hAnsiTheme="minorEastAsia" w:eastAsiaTheme="minorEastAsia"/>
                <w:b/>
                <w:kern w:val="0"/>
                <w:szCs w:val="21"/>
              </w:rPr>
              <w:t>根据</w:t>
            </w:r>
            <w:r>
              <w:rPr>
                <w:rFonts w:cs="宋体" w:asciiTheme="minorEastAsia" w:hAnsiTheme="minorEastAsia" w:eastAsiaTheme="minorEastAsia"/>
                <w:b/>
                <w:kern w:val="0"/>
                <w:szCs w:val="21"/>
              </w:rPr>
              <w:t>《</w:t>
            </w:r>
            <w:r>
              <w:rPr>
                <w:rFonts w:hint="eastAsia" w:cs="宋体" w:asciiTheme="minorEastAsia" w:hAnsiTheme="minorEastAsia" w:eastAsiaTheme="minorEastAsia"/>
                <w:b/>
                <w:kern w:val="0"/>
                <w:szCs w:val="21"/>
              </w:rPr>
              <w:t>住房和城乡建设部</w:t>
            </w:r>
            <w:r>
              <w:rPr>
                <w:rFonts w:cs="宋体" w:asciiTheme="minorEastAsia" w:hAnsiTheme="minorEastAsia" w:eastAsiaTheme="minorEastAsia"/>
                <w:b/>
                <w:kern w:val="0"/>
                <w:szCs w:val="21"/>
              </w:rPr>
              <w:t>办公厅关于全面实行一级建造师电子注册证书的通知》(建办市〔2021〕40号)文件</w:t>
            </w:r>
            <w:r>
              <w:rPr>
                <w:rFonts w:hint="eastAsia" w:cs="宋体" w:asciiTheme="minorEastAsia" w:hAnsiTheme="minorEastAsia" w:eastAsiaTheme="minorEastAsia"/>
                <w:b/>
                <w:kern w:val="0"/>
                <w:szCs w:val="21"/>
              </w:rPr>
              <w:t>规定</w:t>
            </w:r>
            <w:r>
              <w:rPr>
                <w:rFonts w:cs="宋体" w:asciiTheme="minorEastAsia" w:hAnsiTheme="minorEastAsia" w:eastAsiaTheme="minorEastAsia"/>
                <w:b/>
                <w:kern w:val="0"/>
                <w:szCs w:val="21"/>
              </w:rPr>
              <w:t>，自</w:t>
            </w:r>
            <w:r>
              <w:rPr>
                <w:rFonts w:hint="eastAsia" w:cs="宋体" w:asciiTheme="minorEastAsia" w:hAnsiTheme="minorEastAsia" w:eastAsiaTheme="minorEastAsia"/>
                <w:b/>
                <w:kern w:val="0"/>
                <w:szCs w:val="21"/>
              </w:rPr>
              <w:t>2022年1月1日起，一级建造师统一使用电子证书，纸质注册证书作废。拟派的项目负责人如为一级注册建造师，电子证书须符合《办公厅关于全面实行一级建造师电子注册证书的通知》（建办市〔2021〕040号）文件要求规定。包含但不限于：一级建造师打印电子证书后，应在个人签名处手写本人签名，未手写签名或与签名图像笔迹不一致的，该电子证书无效。</w:t>
            </w:r>
          </w:p>
          <w:p>
            <w:pPr>
              <w:pStyle w:val="2"/>
              <w:spacing w:line="240" w:lineRule="auto"/>
            </w:pPr>
            <w:r>
              <w:rPr>
                <w:rFonts w:hint="eastAsia" w:cs="宋体" w:asciiTheme="minorEastAsia" w:hAnsiTheme="minorEastAsia" w:eastAsiaTheme="minorEastAsia"/>
                <w:b/>
                <w:sz w:val="21"/>
                <w:szCs w:val="21"/>
              </w:rPr>
              <w:t>一级</w:t>
            </w:r>
            <w:r>
              <w:rPr>
                <w:rFonts w:cs="宋体" w:asciiTheme="minorEastAsia" w:hAnsiTheme="minorEastAsia" w:eastAsiaTheme="minorEastAsia"/>
                <w:b/>
                <w:sz w:val="21"/>
                <w:szCs w:val="21"/>
              </w:rPr>
              <w:t>建造师电子证书截至开标当天应处于有效期内。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8" w:hRule="atLeast"/>
          <w:tblCellSpacing w:w="0" w:type="dxa"/>
          <w:jc w:val="center"/>
        </w:trPr>
        <w:tc>
          <w:tcPr>
            <w:tcW w:w="552" w:type="dxa"/>
            <w:vAlign w:val="center"/>
          </w:tcPr>
          <w:p>
            <w:pPr>
              <w:widowControl/>
              <w:jc w:val="center"/>
              <w:rPr>
                <w:kern w:val="0"/>
                <w:szCs w:val="21"/>
              </w:rPr>
            </w:pPr>
            <w:r>
              <w:rPr>
                <w:rFonts w:hint="eastAsia"/>
                <w:kern w:val="0"/>
                <w:szCs w:val="21"/>
              </w:rPr>
              <w:t>5</w:t>
            </w:r>
          </w:p>
        </w:tc>
        <w:tc>
          <w:tcPr>
            <w:tcW w:w="1800" w:type="dxa"/>
            <w:vAlign w:val="center"/>
          </w:tcPr>
          <w:p>
            <w:pPr>
              <w:widowControl/>
              <w:jc w:val="left"/>
              <w:rPr>
                <w:kern w:val="0"/>
                <w:szCs w:val="21"/>
              </w:rPr>
            </w:pPr>
            <w:r>
              <w:rPr>
                <w:rFonts w:hAnsi="宋体"/>
                <w:kern w:val="0"/>
                <w:szCs w:val="21"/>
              </w:rPr>
              <w:t>拟派项目负责人（项目经理）安全生产考核</w:t>
            </w:r>
          </w:p>
        </w:tc>
        <w:tc>
          <w:tcPr>
            <w:tcW w:w="3369" w:type="dxa"/>
            <w:vAlign w:val="center"/>
          </w:tcPr>
          <w:p>
            <w:pPr>
              <w:widowControl/>
              <w:jc w:val="left"/>
              <w:rPr>
                <w:kern w:val="0"/>
                <w:szCs w:val="21"/>
              </w:rPr>
            </w:pPr>
            <w:r>
              <w:rPr>
                <w:rFonts w:hAnsi="宋体"/>
                <w:kern w:val="0"/>
                <w:szCs w:val="21"/>
              </w:rPr>
              <w:t>拟派项目负责人具有有效的施工项目负责人安全生产考核合格证书（</w:t>
            </w:r>
            <w:r>
              <w:rPr>
                <w:kern w:val="0"/>
                <w:szCs w:val="21"/>
              </w:rPr>
              <w:t>B</w:t>
            </w:r>
            <w:r>
              <w:rPr>
                <w:rFonts w:hAnsi="宋体"/>
                <w:kern w:val="0"/>
                <w:szCs w:val="21"/>
              </w:rPr>
              <w:t>类）</w:t>
            </w:r>
          </w:p>
        </w:tc>
        <w:tc>
          <w:tcPr>
            <w:tcW w:w="3848" w:type="dxa"/>
            <w:vAlign w:val="center"/>
          </w:tcPr>
          <w:p>
            <w:pPr>
              <w:widowControl/>
              <w:jc w:val="left"/>
              <w:rPr>
                <w:kern w:val="0"/>
                <w:szCs w:val="21"/>
              </w:rPr>
            </w:pPr>
            <w:r>
              <w:rPr>
                <w:rFonts w:hAnsi="宋体"/>
                <w:kern w:val="0"/>
                <w:szCs w:val="21"/>
              </w:rPr>
              <w:t>施工项目负责人安全生产考核合格证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88" w:hRule="atLeast"/>
          <w:tblCellSpacing w:w="0" w:type="dxa"/>
          <w:jc w:val="center"/>
        </w:trPr>
        <w:tc>
          <w:tcPr>
            <w:tcW w:w="552" w:type="dxa"/>
            <w:vAlign w:val="center"/>
          </w:tcPr>
          <w:p>
            <w:pPr>
              <w:widowControl/>
              <w:jc w:val="center"/>
              <w:rPr>
                <w:kern w:val="0"/>
                <w:szCs w:val="21"/>
              </w:rPr>
            </w:pPr>
            <w:r>
              <w:rPr>
                <w:rFonts w:hint="eastAsia"/>
                <w:kern w:val="0"/>
                <w:szCs w:val="21"/>
              </w:rPr>
              <w:t>6</w:t>
            </w:r>
          </w:p>
        </w:tc>
        <w:tc>
          <w:tcPr>
            <w:tcW w:w="1800" w:type="dxa"/>
            <w:vAlign w:val="center"/>
          </w:tcPr>
          <w:p>
            <w:pPr>
              <w:autoSpaceDE w:val="0"/>
              <w:autoSpaceDN w:val="0"/>
              <w:adjustRightInd w:val="0"/>
              <w:snapToGrid w:val="0"/>
              <w:spacing w:line="240" w:lineRule="atLeast"/>
              <w:rPr>
                <w:kern w:val="0"/>
                <w:szCs w:val="21"/>
              </w:rPr>
            </w:pPr>
            <w:r>
              <w:rPr>
                <w:rFonts w:hAnsi="宋体"/>
                <w:kern w:val="0"/>
                <w:szCs w:val="21"/>
              </w:rPr>
              <w:t>拟派项目负责人（项目经理）为投标企业正式人员</w:t>
            </w:r>
          </w:p>
        </w:tc>
        <w:tc>
          <w:tcPr>
            <w:tcW w:w="3369" w:type="dxa"/>
            <w:vAlign w:val="center"/>
          </w:tcPr>
          <w:p>
            <w:pPr>
              <w:autoSpaceDE w:val="0"/>
              <w:autoSpaceDN w:val="0"/>
              <w:adjustRightInd w:val="0"/>
              <w:snapToGrid w:val="0"/>
              <w:spacing w:line="240" w:lineRule="atLeast"/>
              <w:rPr>
                <w:kern w:val="0"/>
                <w:szCs w:val="21"/>
              </w:rPr>
            </w:pPr>
            <w:r>
              <w:rPr>
                <w:rFonts w:hAnsi="宋体"/>
                <w:szCs w:val="21"/>
              </w:rPr>
              <w:t>拟派项目负责人为投标企业正式人员</w:t>
            </w:r>
          </w:p>
        </w:tc>
        <w:tc>
          <w:tcPr>
            <w:tcW w:w="3848" w:type="dxa"/>
            <w:vAlign w:val="center"/>
          </w:tcPr>
          <w:p>
            <w:pPr>
              <w:autoSpaceDE w:val="0"/>
              <w:autoSpaceDN w:val="0"/>
              <w:adjustRightInd w:val="0"/>
              <w:snapToGrid w:val="0"/>
              <w:spacing w:line="240" w:lineRule="atLeast"/>
              <w:rPr>
                <w:rFonts w:hAnsi="宋体"/>
                <w:kern w:val="0"/>
                <w:szCs w:val="21"/>
              </w:rPr>
            </w:pPr>
            <w:r>
              <w:rPr>
                <w:rFonts w:hint="eastAsia" w:ascii="宋体" w:hAnsi="宋体" w:cs="宋体"/>
                <w:szCs w:val="21"/>
              </w:rPr>
              <w:t>投标企业与拟派项目负责人双方签订的</w:t>
            </w:r>
            <w:r>
              <w:rPr>
                <w:rFonts w:hint="eastAsia" w:hAnsi="宋体"/>
                <w:kern w:val="0"/>
                <w:szCs w:val="21"/>
              </w:rPr>
              <w:t>有效的</w:t>
            </w:r>
            <w:r>
              <w:rPr>
                <w:rFonts w:hAnsi="宋体"/>
                <w:kern w:val="0"/>
                <w:szCs w:val="21"/>
              </w:rPr>
              <w:t>劳动合同书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9" w:hRule="atLeast"/>
          <w:tblCellSpacing w:w="0" w:type="dxa"/>
          <w:jc w:val="center"/>
        </w:trPr>
        <w:tc>
          <w:tcPr>
            <w:tcW w:w="552" w:type="dxa"/>
            <w:vAlign w:val="center"/>
          </w:tcPr>
          <w:p>
            <w:pPr>
              <w:widowControl/>
              <w:jc w:val="center"/>
              <w:rPr>
                <w:kern w:val="0"/>
                <w:szCs w:val="21"/>
              </w:rPr>
            </w:pPr>
            <w:r>
              <w:rPr>
                <w:rFonts w:hint="eastAsia"/>
                <w:kern w:val="0"/>
                <w:szCs w:val="21"/>
              </w:rPr>
              <w:t>7</w:t>
            </w:r>
          </w:p>
        </w:tc>
        <w:tc>
          <w:tcPr>
            <w:tcW w:w="1800" w:type="dxa"/>
            <w:vAlign w:val="center"/>
          </w:tcPr>
          <w:p>
            <w:pPr>
              <w:widowControl/>
              <w:jc w:val="left"/>
              <w:rPr>
                <w:kern w:val="0"/>
                <w:szCs w:val="21"/>
              </w:rPr>
            </w:pPr>
            <w:r>
              <w:rPr>
                <w:rFonts w:hAnsi="宋体"/>
                <w:kern w:val="0"/>
                <w:szCs w:val="21"/>
              </w:rPr>
              <w:t>拟派项目负责人（项目经理）无在建工程</w:t>
            </w:r>
          </w:p>
        </w:tc>
        <w:tc>
          <w:tcPr>
            <w:tcW w:w="3369" w:type="dxa"/>
            <w:vAlign w:val="center"/>
          </w:tcPr>
          <w:p>
            <w:pPr>
              <w:widowControl/>
              <w:jc w:val="left"/>
              <w:rPr>
                <w:kern w:val="0"/>
                <w:szCs w:val="21"/>
              </w:rPr>
            </w:pPr>
            <w:r>
              <w:rPr>
                <w:rFonts w:ascii="宋体" w:hAnsi="宋体"/>
                <w:kern w:val="0"/>
                <w:szCs w:val="21"/>
              </w:rPr>
              <w:t>①</w:t>
            </w:r>
            <w:r>
              <w:rPr>
                <w:rFonts w:hAnsi="宋体"/>
                <w:kern w:val="0"/>
                <w:szCs w:val="21"/>
              </w:rPr>
              <w:t>项目负责人是非变更后无在建工程的；</w:t>
            </w:r>
          </w:p>
          <w:p>
            <w:pPr>
              <w:widowControl/>
              <w:jc w:val="left"/>
              <w:rPr>
                <w:kern w:val="0"/>
                <w:szCs w:val="21"/>
              </w:rPr>
            </w:pPr>
            <w:r>
              <w:rPr>
                <w:rFonts w:hAnsi="宋体"/>
                <w:kern w:val="0"/>
                <w:szCs w:val="21"/>
              </w:rPr>
              <w:t>②项目负责人是变更后无在建工程的，并且：原合同工期已满且变更备案之日已满</w:t>
            </w:r>
            <w:r>
              <w:rPr>
                <w:kern w:val="0"/>
                <w:szCs w:val="21"/>
              </w:rPr>
              <w:t>6</w:t>
            </w:r>
            <w:r>
              <w:rPr>
                <w:rFonts w:hAnsi="宋体"/>
                <w:kern w:val="0"/>
                <w:szCs w:val="21"/>
              </w:rPr>
              <w:t>个月；或者，因非承包原因致使工程项目停工超过</w:t>
            </w:r>
            <w:r>
              <w:rPr>
                <w:kern w:val="0"/>
                <w:szCs w:val="21"/>
              </w:rPr>
              <w:t>120</w:t>
            </w:r>
            <w:r>
              <w:rPr>
                <w:rFonts w:hAnsi="宋体"/>
                <w:kern w:val="0"/>
                <w:szCs w:val="21"/>
              </w:rPr>
              <w:t>天，且经建设单位同意并已经办理项目负责人变更手续的；</w:t>
            </w:r>
          </w:p>
          <w:p>
            <w:pPr>
              <w:widowControl/>
              <w:jc w:val="left"/>
              <w:rPr>
                <w:kern w:val="0"/>
                <w:szCs w:val="21"/>
              </w:rPr>
            </w:pPr>
            <w:r>
              <w:rPr>
                <w:rFonts w:hAnsi="宋体"/>
                <w:kern w:val="0"/>
                <w:szCs w:val="21"/>
              </w:rPr>
              <w:t>③项目负责人有在建工程，但该在建工程与本次招标的工程属于同一工程项目、同一项目批文、同一施工地点分段发包或分期施工的情况。</w:t>
            </w:r>
          </w:p>
        </w:tc>
        <w:tc>
          <w:tcPr>
            <w:tcW w:w="3848" w:type="dxa"/>
            <w:vAlign w:val="center"/>
          </w:tcPr>
          <w:p>
            <w:pPr>
              <w:widowControl/>
              <w:jc w:val="left"/>
              <w:rPr>
                <w:kern w:val="0"/>
                <w:szCs w:val="21"/>
              </w:rPr>
            </w:pPr>
            <w:r>
              <w:rPr>
                <w:rFonts w:ascii="宋体" w:hAnsi="宋体"/>
                <w:kern w:val="0"/>
                <w:szCs w:val="21"/>
              </w:rPr>
              <w:t>①</w:t>
            </w:r>
            <w:r>
              <w:rPr>
                <w:rFonts w:hAnsi="宋体"/>
                <w:kern w:val="0"/>
                <w:szCs w:val="21"/>
              </w:rPr>
              <w:t>诚信承诺书（详见第七章</w:t>
            </w:r>
            <w:r>
              <w:rPr>
                <w:kern w:val="0"/>
                <w:szCs w:val="21"/>
              </w:rPr>
              <w:t>—</w:t>
            </w:r>
            <w:r>
              <w:rPr>
                <w:rFonts w:hAnsi="宋体"/>
                <w:kern w:val="0"/>
                <w:szCs w:val="21"/>
              </w:rPr>
              <w:t>诚信承诺书）</w:t>
            </w:r>
          </w:p>
          <w:p>
            <w:pPr>
              <w:widowControl/>
              <w:jc w:val="left"/>
              <w:rPr>
                <w:kern w:val="0"/>
                <w:szCs w:val="21"/>
              </w:rPr>
            </w:pPr>
            <w:r>
              <w:rPr>
                <w:rFonts w:hAnsi="宋体"/>
                <w:kern w:val="0"/>
                <w:szCs w:val="21"/>
              </w:rPr>
              <w:t>②原合同工期已满且变更备案之日已满</w:t>
            </w:r>
            <w:r>
              <w:rPr>
                <w:kern w:val="0"/>
                <w:szCs w:val="21"/>
              </w:rPr>
              <w:t>6</w:t>
            </w:r>
            <w:r>
              <w:rPr>
                <w:rFonts w:hAnsi="宋体"/>
                <w:kern w:val="0"/>
                <w:szCs w:val="21"/>
              </w:rPr>
              <w:t>个月的证明或建设单位同意并已办理项目负责人变更手续的证明。</w:t>
            </w:r>
          </w:p>
          <w:p>
            <w:pPr>
              <w:widowControl/>
              <w:jc w:val="left"/>
              <w:rPr>
                <w:kern w:val="0"/>
                <w:szCs w:val="21"/>
              </w:rPr>
            </w:pPr>
            <w:r>
              <w:rPr>
                <w:rFonts w:hAnsi="宋体"/>
                <w:kern w:val="0"/>
                <w:szCs w:val="21"/>
              </w:rPr>
              <w:t>③工程完工证明（如有）（详见第七章</w:t>
            </w:r>
            <w:r>
              <w:rPr>
                <w:kern w:val="0"/>
                <w:szCs w:val="21"/>
              </w:rPr>
              <w:t>“</w:t>
            </w:r>
            <w:r>
              <w:rPr>
                <w:rFonts w:hAnsi="宋体"/>
                <w:kern w:val="0"/>
                <w:szCs w:val="21"/>
              </w:rPr>
              <w:t>工程完工证明</w:t>
            </w:r>
            <w:r>
              <w:rPr>
                <w:kern w:val="0"/>
                <w:szCs w:val="21"/>
              </w:rPr>
              <w:t>”</w:t>
            </w:r>
            <w:r>
              <w:rPr>
                <w:rFonts w:hAnsi="宋体"/>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9" w:hRule="atLeast"/>
          <w:tblCellSpacing w:w="0" w:type="dxa"/>
          <w:jc w:val="center"/>
        </w:trPr>
        <w:tc>
          <w:tcPr>
            <w:tcW w:w="552" w:type="dxa"/>
            <w:vAlign w:val="center"/>
          </w:tcPr>
          <w:p>
            <w:pPr>
              <w:widowControl/>
              <w:jc w:val="center"/>
              <w:rPr>
                <w:kern w:val="0"/>
                <w:szCs w:val="21"/>
              </w:rPr>
            </w:pPr>
            <w:r>
              <w:rPr>
                <w:rFonts w:hint="eastAsia"/>
                <w:kern w:val="0"/>
                <w:szCs w:val="21"/>
              </w:rPr>
              <w:t>8</w:t>
            </w:r>
          </w:p>
        </w:tc>
        <w:tc>
          <w:tcPr>
            <w:tcW w:w="9017" w:type="dxa"/>
            <w:gridSpan w:val="3"/>
            <w:vAlign w:val="center"/>
          </w:tcPr>
          <w:p>
            <w:pPr>
              <w:widowControl/>
              <w:jc w:val="left"/>
              <w:rPr>
                <w:rFonts w:hAnsi="宋体"/>
                <w:kern w:val="0"/>
                <w:szCs w:val="21"/>
              </w:rPr>
            </w:pPr>
            <w:r>
              <w:rPr>
                <w:rFonts w:hAnsi="宋体"/>
                <w:kern w:val="0"/>
                <w:szCs w:val="21"/>
              </w:rPr>
              <w:t>资格审查文件表格</w:t>
            </w:r>
            <w:r>
              <w:rPr>
                <w:rFonts w:hAnsi="宋体"/>
                <w:b/>
                <w:kern w:val="0"/>
                <w:szCs w:val="21"/>
              </w:rPr>
              <w:t>（格式详见招标文件第七章）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9" w:hRule="atLeast"/>
          <w:tblCellSpacing w:w="0" w:type="dxa"/>
          <w:jc w:val="center"/>
        </w:trPr>
        <w:tc>
          <w:tcPr>
            <w:tcW w:w="552" w:type="dxa"/>
            <w:vAlign w:val="center"/>
          </w:tcPr>
          <w:p>
            <w:pPr>
              <w:widowControl/>
              <w:jc w:val="center"/>
              <w:rPr>
                <w:kern w:val="0"/>
                <w:szCs w:val="21"/>
              </w:rPr>
            </w:pPr>
            <w:r>
              <w:rPr>
                <w:rFonts w:hint="eastAsia"/>
                <w:kern w:val="0"/>
                <w:szCs w:val="21"/>
              </w:rPr>
              <w:t>9</w:t>
            </w:r>
          </w:p>
        </w:tc>
        <w:tc>
          <w:tcPr>
            <w:tcW w:w="1800" w:type="dxa"/>
            <w:vAlign w:val="center"/>
          </w:tcPr>
          <w:p>
            <w:pPr>
              <w:spacing w:line="360" w:lineRule="exact"/>
              <w:jc w:val="left"/>
              <w:rPr>
                <w:rFonts w:hAnsi="宋体"/>
                <w:kern w:val="0"/>
                <w:szCs w:val="21"/>
              </w:rPr>
            </w:pPr>
            <w:r>
              <w:rPr>
                <w:rFonts w:asciiTheme="minorEastAsia" w:hAnsiTheme="minorEastAsia" w:eastAsiaTheme="minorEastAsia"/>
                <w:szCs w:val="21"/>
              </w:rPr>
              <w:t>建筑企业资质动态监管均不处于不合格状态。</w:t>
            </w:r>
          </w:p>
        </w:tc>
        <w:tc>
          <w:tcPr>
            <w:tcW w:w="3369" w:type="dxa"/>
            <w:vAlign w:val="center"/>
          </w:tcPr>
          <w:p>
            <w:pPr>
              <w:spacing w:line="360" w:lineRule="exact"/>
              <w:jc w:val="left"/>
              <w:rPr>
                <w:rFonts w:hAnsi="宋体"/>
                <w:kern w:val="0"/>
                <w:szCs w:val="21"/>
              </w:rPr>
            </w:pPr>
            <w:r>
              <w:rPr>
                <w:rFonts w:hint="eastAsia" w:asciiTheme="minorEastAsia" w:hAnsiTheme="minorEastAsia" w:eastAsiaTheme="minorEastAsia"/>
                <w:szCs w:val="21"/>
              </w:rPr>
              <w:t>投标人</w:t>
            </w:r>
            <w:r>
              <w:rPr>
                <w:rFonts w:asciiTheme="minorEastAsia" w:hAnsiTheme="minorEastAsia" w:eastAsiaTheme="minorEastAsia"/>
                <w:szCs w:val="21"/>
              </w:rPr>
              <w:t>在投标文件递交截止</w:t>
            </w:r>
            <w:r>
              <w:rPr>
                <w:rFonts w:hint="eastAsia" w:asciiTheme="minorEastAsia" w:hAnsiTheme="minorEastAsia" w:eastAsiaTheme="minorEastAsia"/>
                <w:szCs w:val="21"/>
              </w:rPr>
              <w:t>时间</w:t>
            </w:r>
            <w:r>
              <w:rPr>
                <w:rFonts w:asciiTheme="minorEastAsia" w:hAnsiTheme="minorEastAsia" w:eastAsiaTheme="minorEastAsia"/>
                <w:szCs w:val="21"/>
              </w:rPr>
              <w:t>当日，建筑企业资质动态监管</w:t>
            </w:r>
            <w:r>
              <w:rPr>
                <w:rFonts w:hint="eastAsia" w:asciiTheme="minorEastAsia" w:hAnsiTheme="minorEastAsia" w:eastAsiaTheme="minorEastAsia"/>
                <w:szCs w:val="21"/>
              </w:rPr>
              <w:t>（指本项目要求资质）</w:t>
            </w:r>
            <w:r>
              <w:rPr>
                <w:rFonts w:asciiTheme="minorEastAsia" w:hAnsiTheme="minorEastAsia" w:eastAsiaTheme="minorEastAsia"/>
                <w:szCs w:val="21"/>
              </w:rPr>
              <w:t>均不处于不合格状态。</w:t>
            </w:r>
          </w:p>
        </w:tc>
        <w:tc>
          <w:tcPr>
            <w:tcW w:w="3848" w:type="dxa"/>
            <w:vAlign w:val="center"/>
          </w:tcPr>
          <w:p>
            <w:pPr>
              <w:spacing w:line="360" w:lineRule="exact"/>
              <w:jc w:val="left"/>
              <w:rPr>
                <w:rFonts w:hAnsi="宋体"/>
                <w:kern w:val="0"/>
                <w:szCs w:val="21"/>
              </w:rPr>
            </w:pPr>
            <w:r>
              <w:rPr>
                <w:rFonts w:hint="eastAsia" w:asciiTheme="minorEastAsia" w:hAnsiTheme="minorEastAsia" w:eastAsiaTheme="minorEastAsia"/>
                <w:szCs w:val="21"/>
              </w:rPr>
              <w:t>招标人</w:t>
            </w:r>
            <w:r>
              <w:rPr>
                <w:rFonts w:asciiTheme="minorEastAsia" w:hAnsiTheme="minorEastAsia" w:eastAsiaTheme="minorEastAsia"/>
                <w:szCs w:val="21"/>
              </w:rPr>
              <w:t>开标</w:t>
            </w:r>
            <w:r>
              <w:rPr>
                <w:rFonts w:hint="eastAsia" w:asciiTheme="minorEastAsia" w:hAnsiTheme="minorEastAsia" w:eastAsiaTheme="minorEastAsia"/>
                <w:szCs w:val="21"/>
              </w:rPr>
              <w:t>当日</w:t>
            </w:r>
            <w:r>
              <w:rPr>
                <w:rFonts w:asciiTheme="minorEastAsia" w:hAnsiTheme="minorEastAsia" w:eastAsiaTheme="minorEastAsia"/>
                <w:szCs w:val="21"/>
              </w:rPr>
              <w:t>登录</w:t>
            </w:r>
            <w:r>
              <w:rPr>
                <w:rFonts w:hint="eastAsia" w:asciiTheme="minorEastAsia" w:hAnsiTheme="minorEastAsia" w:eastAsiaTheme="minorEastAsia"/>
                <w:b/>
                <w:szCs w:val="21"/>
              </w:rPr>
              <w:t>江苏省建筑市场监管与诚信信息一体化平台（http://58.213.147.230:7001/Jsjzyxyglpt/faces/public/default.jsp）-企业信息-建筑企业-动态监管不合格资质查询。对动态</w:t>
            </w:r>
            <w:r>
              <w:rPr>
                <w:rFonts w:asciiTheme="minorEastAsia" w:hAnsiTheme="minorEastAsia" w:eastAsiaTheme="minorEastAsia"/>
                <w:b/>
                <w:szCs w:val="21"/>
              </w:rPr>
              <w:t>监管处于不合格的资格预审申请人和投标人进行截图保</w:t>
            </w:r>
            <w:r>
              <w:rPr>
                <w:rFonts w:hint="eastAsia" w:asciiTheme="minorEastAsia" w:hAnsiTheme="minorEastAsia" w:eastAsiaTheme="minorEastAsia"/>
                <w:b/>
                <w:szCs w:val="21"/>
              </w:rPr>
              <w:t>存</w:t>
            </w:r>
            <w:r>
              <w:rPr>
                <w:rFonts w:asciiTheme="minorEastAsia" w:hAnsiTheme="minorEastAsia" w:eastAsiaTheme="minorEastAsia"/>
                <w:b/>
                <w:szCs w:val="21"/>
              </w:rPr>
              <w:t>，提供给评标委员会。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552" w:type="dxa"/>
            <w:vAlign w:val="center"/>
          </w:tcPr>
          <w:p>
            <w:pPr>
              <w:widowControl/>
              <w:jc w:val="center"/>
              <w:rPr>
                <w:kern w:val="0"/>
                <w:szCs w:val="21"/>
              </w:rPr>
            </w:pPr>
          </w:p>
        </w:tc>
        <w:tc>
          <w:tcPr>
            <w:tcW w:w="9017" w:type="dxa"/>
            <w:gridSpan w:val="3"/>
            <w:vAlign w:val="center"/>
          </w:tcPr>
          <w:p>
            <w:pPr>
              <w:widowControl/>
              <w:adjustRightInd w:val="0"/>
              <w:snapToGrid w:val="0"/>
              <w:jc w:val="left"/>
              <w:rPr>
                <w:kern w:val="0"/>
                <w:szCs w:val="21"/>
              </w:rPr>
            </w:pPr>
            <w:r>
              <w:rPr>
                <w:kern w:val="0"/>
                <w:szCs w:val="21"/>
              </w:rPr>
              <w:t>1</w:t>
            </w:r>
            <w:r>
              <w:rPr>
                <w:rFonts w:hAnsi="宋体"/>
                <w:kern w:val="0"/>
                <w:szCs w:val="21"/>
              </w:rPr>
              <w:t>、资格审查阶段，评标委员会根据</w:t>
            </w:r>
            <w:r>
              <w:rPr>
                <w:rFonts w:hAnsi="宋体"/>
                <w:b/>
                <w:kern w:val="0"/>
                <w:szCs w:val="21"/>
                <w:u w:val="single"/>
              </w:rPr>
              <w:t>资格审查标准、</w:t>
            </w:r>
            <w:r>
              <w:rPr>
                <w:rFonts w:hAnsi="宋体"/>
                <w:kern w:val="0"/>
                <w:szCs w:val="21"/>
              </w:rPr>
              <w:t>资格审查条件、</w:t>
            </w:r>
            <w:r>
              <w:rPr>
                <w:kern w:val="0"/>
                <w:szCs w:val="21"/>
              </w:rPr>
              <w:t>“</w:t>
            </w:r>
            <w:r>
              <w:rPr>
                <w:rFonts w:hAnsi="宋体"/>
                <w:kern w:val="0"/>
                <w:szCs w:val="21"/>
              </w:rPr>
              <w:t>资格审查资料包</w:t>
            </w:r>
            <w:r>
              <w:rPr>
                <w:kern w:val="0"/>
                <w:szCs w:val="21"/>
              </w:rPr>
              <w:t>”</w:t>
            </w:r>
            <w:r>
              <w:rPr>
                <w:rFonts w:hAnsi="宋体"/>
                <w:kern w:val="0"/>
                <w:szCs w:val="21"/>
              </w:rPr>
              <w:t>、</w:t>
            </w:r>
            <w:r>
              <w:rPr>
                <w:kern w:val="0"/>
                <w:szCs w:val="21"/>
              </w:rPr>
              <w:t>“</w:t>
            </w:r>
            <w:r>
              <w:rPr>
                <w:rFonts w:hAnsi="宋体"/>
                <w:kern w:val="0"/>
                <w:szCs w:val="21"/>
              </w:rPr>
              <w:t>资格审查资料原件包</w:t>
            </w:r>
            <w:r>
              <w:rPr>
                <w:kern w:val="0"/>
                <w:szCs w:val="21"/>
              </w:rPr>
              <w:t>”</w:t>
            </w:r>
            <w:r>
              <w:rPr>
                <w:rFonts w:hAnsi="宋体"/>
                <w:kern w:val="0"/>
                <w:szCs w:val="21"/>
              </w:rPr>
              <w:t>中的资料进行资格评审，请投标人按照本招标文件要求准确提供全部资料，否则做废标处理。承诺书的原件须放在资格审查文件原件包中。</w:t>
            </w:r>
          </w:p>
          <w:p>
            <w:pPr>
              <w:widowControl/>
              <w:adjustRightInd w:val="0"/>
              <w:snapToGrid w:val="0"/>
              <w:jc w:val="left"/>
              <w:rPr>
                <w:kern w:val="0"/>
                <w:szCs w:val="21"/>
              </w:rPr>
            </w:pPr>
            <w:r>
              <w:rPr>
                <w:kern w:val="0"/>
                <w:szCs w:val="21"/>
              </w:rPr>
              <w:t>2</w:t>
            </w:r>
            <w:r>
              <w:rPr>
                <w:rFonts w:hAnsi="宋体"/>
                <w:kern w:val="0"/>
                <w:szCs w:val="21"/>
              </w:rPr>
              <w:t>、上述所有材料</w:t>
            </w:r>
            <w:r>
              <w:rPr>
                <w:kern w:val="0"/>
                <w:szCs w:val="21"/>
              </w:rPr>
              <w:t>1-7</w:t>
            </w:r>
            <w:r>
              <w:rPr>
                <w:rFonts w:hAnsi="宋体"/>
                <w:kern w:val="0"/>
                <w:szCs w:val="21"/>
              </w:rPr>
              <w:t>均要以原件扫描格式（</w:t>
            </w:r>
            <w:r>
              <w:rPr>
                <w:kern w:val="0"/>
                <w:szCs w:val="21"/>
              </w:rPr>
              <w:t>JPGE</w:t>
            </w:r>
            <w:r>
              <w:rPr>
                <w:rFonts w:hAnsi="宋体"/>
                <w:kern w:val="0"/>
                <w:szCs w:val="21"/>
              </w:rPr>
              <w:t>图片或</w:t>
            </w:r>
            <w:r>
              <w:rPr>
                <w:kern w:val="0"/>
                <w:szCs w:val="21"/>
              </w:rPr>
              <w:t>PDF</w:t>
            </w:r>
            <w:r>
              <w:rPr>
                <w:rFonts w:hAnsi="宋体"/>
                <w:kern w:val="0"/>
                <w:szCs w:val="21"/>
              </w:rPr>
              <w:t>格式），在电子投标文件中体现（仅用于电子存档），且同时提供原件查验。</w:t>
            </w:r>
          </w:p>
          <w:p>
            <w:pPr>
              <w:widowControl/>
              <w:adjustRightInd w:val="0"/>
              <w:snapToGrid w:val="0"/>
              <w:jc w:val="left"/>
              <w:rPr>
                <w:kern w:val="0"/>
                <w:szCs w:val="21"/>
              </w:rPr>
            </w:pPr>
            <w:r>
              <w:rPr>
                <w:kern w:val="0"/>
                <w:szCs w:val="21"/>
              </w:rPr>
              <w:t>3</w:t>
            </w:r>
            <w:r>
              <w:rPr>
                <w:rFonts w:hAnsi="宋体"/>
                <w:kern w:val="0"/>
                <w:szCs w:val="21"/>
              </w:rPr>
              <w:t>、原件因年检无法带来的，须出具年检行政主管部门</w:t>
            </w:r>
            <w:r>
              <w:rPr>
                <w:kern w:val="0"/>
                <w:szCs w:val="21"/>
              </w:rPr>
              <w:t>“</w:t>
            </w:r>
            <w:r>
              <w:rPr>
                <w:rFonts w:hAnsi="宋体"/>
                <w:kern w:val="0"/>
                <w:szCs w:val="21"/>
              </w:rPr>
              <w:t>年检证明</w:t>
            </w:r>
            <w:r>
              <w:rPr>
                <w:kern w:val="0"/>
                <w:szCs w:val="21"/>
              </w:rPr>
              <w:t>”</w:t>
            </w:r>
            <w:r>
              <w:rPr>
                <w:rFonts w:hAnsi="宋体"/>
                <w:kern w:val="0"/>
                <w:szCs w:val="21"/>
              </w:rPr>
              <w:t>材料，否则作废标处理。</w:t>
            </w:r>
          </w:p>
        </w:tc>
      </w:tr>
    </w:tbl>
    <w:p>
      <w:pPr>
        <w:spacing w:line="420" w:lineRule="exact"/>
        <w:ind w:firstLine="420" w:firstLineChars="200"/>
        <w:rPr>
          <w:rFonts w:cs="宋体" w:asciiTheme="minorEastAsia" w:hAnsiTheme="minorEastAsia" w:eastAsiaTheme="minorEastAsia"/>
          <w:szCs w:val="21"/>
        </w:rPr>
      </w:pPr>
      <w:bookmarkStart w:id="32" w:name="_Toc404159960"/>
      <w:r>
        <w:rPr>
          <w:rFonts w:hint="eastAsia" w:cs="宋体" w:asciiTheme="minorEastAsia" w:hAnsiTheme="minorEastAsia" w:eastAsiaTheme="minorEastAsia"/>
          <w:szCs w:val="21"/>
        </w:rPr>
        <w:t>（</w:t>
      </w:r>
      <w:r>
        <w:rPr>
          <w:rFonts w:asciiTheme="minorEastAsia" w:hAnsiTheme="minorEastAsia" w:eastAsiaTheme="minorEastAsia"/>
          <w:szCs w:val="21"/>
        </w:rPr>
        <w:t>3</w:t>
      </w:r>
      <w:r>
        <w:rPr>
          <w:rFonts w:hint="eastAsia" w:cs="宋体" w:asciiTheme="minorEastAsia" w:hAnsiTheme="minorEastAsia" w:eastAsiaTheme="minorEastAsia"/>
          <w:szCs w:val="21"/>
        </w:rPr>
        <w:t>）本次资格审查采用合格制，各投标人只有满足资格审查必要合格条件后，方可参与商务标的评审。</w:t>
      </w:r>
    </w:p>
    <w:p>
      <w:pPr>
        <w:spacing w:line="360" w:lineRule="auto"/>
        <w:ind w:firstLine="420" w:firstLineChars="200"/>
        <w:rPr>
          <w:rFonts w:ascii="宋体" w:hAnsi="宋体"/>
          <w:szCs w:val="21"/>
        </w:rPr>
      </w:pPr>
      <w:bookmarkStart w:id="33" w:name="_Toc465181336"/>
      <w:r>
        <w:rPr>
          <w:rFonts w:ascii="宋体" w:hAnsi="宋体"/>
          <w:szCs w:val="21"/>
        </w:rPr>
        <w:t>2</w:t>
      </w:r>
      <w:r>
        <w:rPr>
          <w:rFonts w:hint="eastAsia" w:ascii="宋体" w:hAnsi="宋体" w:cs="宋体"/>
          <w:szCs w:val="21"/>
        </w:rPr>
        <w:t>、商务标评审</w:t>
      </w:r>
    </w:p>
    <w:p>
      <w:pPr>
        <w:autoSpaceDE w:val="0"/>
        <w:autoSpaceDN w:val="0"/>
        <w:adjustRightInd w:val="0"/>
        <w:snapToGrid w:val="0"/>
        <w:spacing w:line="360" w:lineRule="auto"/>
        <w:ind w:firstLine="411" w:firstLineChars="196"/>
        <w:rPr>
          <w:rFonts w:ascii="宋体" w:hAnsi="宋体" w:cs="宋体"/>
          <w:szCs w:val="21"/>
        </w:rPr>
      </w:pPr>
      <w:r>
        <w:rPr>
          <w:rFonts w:ascii="宋体" w:hAnsi="宋体" w:cs="宋体"/>
          <w:szCs w:val="21"/>
        </w:rPr>
        <w:t>1)</w:t>
      </w:r>
      <w:r>
        <w:rPr>
          <w:rFonts w:hint="eastAsia" w:ascii="宋体" w:hAnsi="宋体" w:cs="宋体"/>
          <w:szCs w:val="21"/>
        </w:rPr>
        <w:t>只有通过资格审查的投标人，才能参加商务标的评标。</w:t>
      </w:r>
    </w:p>
    <w:p>
      <w:pPr>
        <w:autoSpaceDE w:val="0"/>
        <w:autoSpaceDN w:val="0"/>
        <w:adjustRightInd w:val="0"/>
        <w:snapToGrid w:val="0"/>
        <w:spacing w:line="360" w:lineRule="auto"/>
        <w:ind w:firstLine="413" w:firstLineChars="196"/>
        <w:rPr>
          <w:rFonts w:ascii="宋体" w:hAnsi="宋体"/>
          <w:b/>
          <w:color w:val="000000" w:themeColor="text1"/>
          <w:szCs w:val="21"/>
          <w14:textFill>
            <w14:solidFill>
              <w14:schemeClr w14:val="tx1"/>
            </w14:solidFill>
          </w14:textFill>
        </w:rPr>
      </w:pPr>
      <w:r>
        <w:rPr>
          <w:rFonts w:hint="eastAsia" w:ascii="宋体" w:hAnsi="宋体"/>
          <w:b/>
          <w:color w:val="000000" w:themeColor="text1"/>
          <w:szCs w:val="21"/>
          <w14:textFill>
            <w14:solidFill>
              <w14:schemeClr w14:val="tx1"/>
            </w14:solidFill>
          </w14:textFill>
        </w:rPr>
        <w:t>本工程</w:t>
      </w:r>
      <w:r>
        <w:rPr>
          <w:rFonts w:hint="eastAsia" w:ascii="宋体" w:hAnsi="宋体"/>
          <w:b/>
          <w:color w:val="000000" w:themeColor="text1"/>
          <w:szCs w:val="21"/>
          <w:highlight w:val="none"/>
          <w14:textFill>
            <w14:solidFill>
              <w14:schemeClr w14:val="tx1"/>
            </w14:solidFill>
          </w14:textFill>
        </w:rPr>
        <w:t>招标控制价：</w:t>
      </w:r>
      <w:r>
        <w:rPr>
          <w:rFonts w:hint="eastAsia" w:ascii="宋体" w:hAnsi="宋体"/>
          <w:b/>
          <w:bCs/>
          <w:color w:val="000000" w:themeColor="text1"/>
          <w:szCs w:val="21"/>
          <w:highlight w:val="none"/>
          <w:u w:val="single"/>
          <w14:textFill>
            <w14:solidFill>
              <w14:schemeClr w14:val="tx1"/>
            </w14:solidFill>
          </w14:textFill>
        </w:rPr>
        <w:t xml:space="preserve">  565839.95 </w:t>
      </w:r>
      <w:r>
        <w:rPr>
          <w:rFonts w:hint="eastAsia" w:ascii="宋体" w:hAnsi="宋体"/>
          <w:b/>
          <w:color w:val="000000" w:themeColor="text1"/>
          <w:szCs w:val="21"/>
          <w:highlight w:val="none"/>
          <w:u w:val="single"/>
          <w14:textFill>
            <w14:solidFill>
              <w14:schemeClr w14:val="tx1"/>
            </w14:solidFill>
          </w14:textFill>
        </w:rPr>
        <w:t>元</w:t>
      </w:r>
      <w:r>
        <w:rPr>
          <w:rFonts w:hint="eastAsia" w:ascii="宋体" w:hAnsi="宋体"/>
          <w:b/>
          <w:color w:val="000000" w:themeColor="text1"/>
          <w:szCs w:val="21"/>
          <w:highlight w:val="none"/>
          <w14:textFill>
            <w14:solidFill>
              <w14:schemeClr w14:val="tx1"/>
            </w14:solidFill>
          </w14:textFill>
        </w:rPr>
        <w:t>，与招</w:t>
      </w:r>
      <w:r>
        <w:rPr>
          <w:rFonts w:hint="eastAsia" w:ascii="宋体" w:hAnsi="宋体"/>
          <w:b/>
          <w:color w:val="000000" w:themeColor="text1"/>
          <w:szCs w:val="21"/>
          <w14:textFill>
            <w14:solidFill>
              <w14:schemeClr w14:val="tx1"/>
            </w14:solidFill>
          </w14:textFill>
        </w:rPr>
        <w:t>标文件同时发布。</w:t>
      </w:r>
    </w:p>
    <w:p>
      <w:pPr>
        <w:spacing w:line="360" w:lineRule="auto"/>
        <w:ind w:firstLine="420" w:firstLineChars="200"/>
        <w:rPr>
          <w:rFonts w:ascii="宋体" w:hAnsi="宋体"/>
          <w:szCs w:val="21"/>
        </w:rPr>
      </w:pPr>
      <w:r>
        <w:rPr>
          <w:rFonts w:ascii="宋体" w:hAnsi="宋体" w:cs="宋体"/>
          <w:szCs w:val="21"/>
        </w:rPr>
        <w:t>2)</w:t>
      </w:r>
      <w:r>
        <w:rPr>
          <w:rFonts w:hint="eastAsia" w:ascii="宋体" w:hAnsi="宋体" w:cs="宋体"/>
          <w:b/>
          <w:bCs/>
          <w:szCs w:val="21"/>
        </w:rPr>
        <w:t>商务标评审共设两种方法，</w:t>
      </w:r>
      <w:r>
        <w:rPr>
          <w:rFonts w:hint="eastAsia" w:ascii="宋体" w:hAnsi="宋体" w:cs="宋体"/>
          <w:szCs w:val="21"/>
        </w:rPr>
        <w:t>由招标人代表在开标时现场抽取确定，相关系数由投标人代表现场抽取确定后进入评标程序。</w:t>
      </w:r>
    </w:p>
    <w:p>
      <w:pPr>
        <w:spacing w:line="360" w:lineRule="auto"/>
        <w:ind w:firstLine="420" w:firstLineChars="200"/>
        <w:rPr>
          <w:rFonts w:ascii="宋体" w:hAnsi="宋体"/>
          <w:szCs w:val="21"/>
        </w:rPr>
      </w:pPr>
      <w:r>
        <w:rPr>
          <w:rFonts w:ascii="宋体" w:hAnsi="宋体" w:cs="宋体"/>
          <w:szCs w:val="21"/>
        </w:rPr>
        <w:t>3)</w:t>
      </w:r>
      <w:r>
        <w:rPr>
          <w:rFonts w:hint="eastAsia" w:ascii="宋体" w:hAnsi="宋体" w:cs="宋体"/>
          <w:szCs w:val="21"/>
        </w:rPr>
        <w:t>评分标准</w:t>
      </w:r>
      <w:r>
        <w:rPr>
          <w:rFonts w:ascii="宋体" w:hAnsi="宋体" w:cs="宋体"/>
          <w:szCs w:val="21"/>
        </w:rPr>
        <w:t>(</w:t>
      </w:r>
      <w:r>
        <w:rPr>
          <w:rFonts w:hint="eastAsia" w:ascii="宋体" w:hAnsi="宋体" w:cs="宋体"/>
          <w:szCs w:val="21"/>
        </w:rPr>
        <w:t>满分</w:t>
      </w:r>
      <w:r>
        <w:rPr>
          <w:rFonts w:ascii="宋体" w:hAnsi="宋体" w:cs="宋体"/>
          <w:szCs w:val="21"/>
        </w:rPr>
        <w:t>100</w:t>
      </w:r>
      <w:r>
        <w:rPr>
          <w:rFonts w:hint="eastAsia" w:ascii="宋体" w:hAnsi="宋体" w:cs="宋体"/>
          <w:szCs w:val="21"/>
        </w:rPr>
        <w:t>分</w:t>
      </w:r>
      <w:r>
        <w:rPr>
          <w:rFonts w:ascii="宋体" w:hAnsi="宋体" w:cs="宋体"/>
          <w:szCs w:val="21"/>
        </w:rPr>
        <w:t>)</w:t>
      </w:r>
    </w:p>
    <w:p>
      <w:pPr>
        <w:spacing w:line="360" w:lineRule="auto"/>
        <w:ind w:firstLine="422" w:firstLineChars="200"/>
        <w:rPr>
          <w:rFonts w:ascii="宋体" w:hAnsi="宋体"/>
          <w:szCs w:val="21"/>
        </w:rPr>
      </w:pPr>
      <w:r>
        <w:rPr>
          <w:rFonts w:hint="eastAsia" w:ascii="宋体" w:hAnsi="宋体" w:cs="宋体"/>
          <w:b/>
          <w:bCs/>
          <w:szCs w:val="21"/>
        </w:rPr>
        <w:t>合理低价法</w:t>
      </w:r>
      <w:r>
        <w:rPr>
          <w:rFonts w:hint="eastAsia" w:ascii="宋体" w:hAnsi="宋体" w:cs="宋体"/>
          <w:szCs w:val="21"/>
        </w:rPr>
        <w:t>（由招标人代表在①②中当场抽取一种）</w:t>
      </w:r>
    </w:p>
    <w:p>
      <w:pPr>
        <w:spacing w:line="360" w:lineRule="auto"/>
        <w:ind w:firstLine="420" w:firstLineChars="200"/>
        <w:rPr>
          <w:rFonts w:ascii="宋体" w:hAnsi="宋体"/>
          <w:szCs w:val="21"/>
        </w:rPr>
      </w:pPr>
      <w:r>
        <w:rPr>
          <w:rFonts w:hint="eastAsia" w:ascii="宋体" w:hAnsi="宋体" w:cs="宋体"/>
          <w:szCs w:val="21"/>
        </w:rPr>
        <w:t>（</w:t>
      </w:r>
      <w:r>
        <w:rPr>
          <w:rFonts w:ascii="宋体" w:hAnsi="宋体" w:cs="宋体"/>
          <w:szCs w:val="21"/>
        </w:rPr>
        <w:t>1</w:t>
      </w:r>
      <w:r>
        <w:rPr>
          <w:rFonts w:hint="eastAsia" w:ascii="宋体" w:hAnsi="宋体" w:cs="宋体"/>
          <w:szCs w:val="21"/>
        </w:rPr>
        <w:t>）确定有效报价有效报价是指投标人投标报价低于</w:t>
      </w:r>
      <w:r>
        <w:rPr>
          <w:rFonts w:hint="eastAsia" w:ascii="宋体" w:hAnsi="宋体" w:cs="宋体"/>
          <w:szCs w:val="21"/>
          <w:lang w:val="en-US" w:eastAsia="zh-CN"/>
        </w:rPr>
        <w:t>或等于</w:t>
      </w:r>
      <w:r>
        <w:rPr>
          <w:rFonts w:hint="eastAsia" w:ascii="宋体" w:hAnsi="宋体" w:cs="宋体"/>
          <w:szCs w:val="21"/>
        </w:rPr>
        <w:t>招标人设定的招标控制价，投标报价高于招标控制价的为无效报价，作废标处理。</w:t>
      </w:r>
    </w:p>
    <w:p>
      <w:pPr>
        <w:spacing w:line="360" w:lineRule="auto"/>
        <w:ind w:firstLine="420" w:firstLineChars="200"/>
        <w:rPr>
          <w:rFonts w:ascii="宋体" w:hAnsi="宋体"/>
          <w:szCs w:val="21"/>
        </w:rPr>
      </w:pPr>
      <w:r>
        <w:rPr>
          <w:rFonts w:hint="eastAsia" w:ascii="宋体" w:hAnsi="宋体" w:cs="宋体"/>
          <w:szCs w:val="21"/>
        </w:rPr>
        <w:t>无效报价、被宣布为废标的投标报价均不参与评标基准价的计算。</w:t>
      </w:r>
    </w:p>
    <w:p>
      <w:pPr>
        <w:spacing w:line="360" w:lineRule="auto"/>
        <w:ind w:firstLine="420" w:firstLineChars="200"/>
        <w:rPr>
          <w:rFonts w:ascii="宋体" w:hAnsi="宋体"/>
          <w:szCs w:val="21"/>
        </w:rPr>
      </w:pPr>
      <w:r>
        <w:rPr>
          <w:rFonts w:hint="eastAsia" w:ascii="宋体" w:hAnsi="宋体" w:cs="宋体"/>
          <w:szCs w:val="21"/>
        </w:rPr>
        <w:t>（</w:t>
      </w:r>
      <w:r>
        <w:rPr>
          <w:rFonts w:ascii="宋体" w:hAnsi="宋体" w:cs="宋体"/>
          <w:szCs w:val="21"/>
        </w:rPr>
        <w:t>2</w:t>
      </w:r>
      <w:r>
        <w:rPr>
          <w:rFonts w:hint="eastAsia" w:ascii="宋体" w:hAnsi="宋体" w:cs="宋体"/>
          <w:szCs w:val="21"/>
        </w:rPr>
        <w:t>）确定评标基准价</w:t>
      </w:r>
    </w:p>
    <w:p>
      <w:pPr>
        <w:spacing w:line="360" w:lineRule="auto"/>
        <w:ind w:firstLine="422" w:firstLineChars="200"/>
        <w:rPr>
          <w:rFonts w:ascii="宋体" w:hAnsi="宋体"/>
          <w:szCs w:val="21"/>
        </w:rPr>
      </w:pPr>
      <w:r>
        <w:rPr>
          <w:rFonts w:hint="eastAsia" w:ascii="宋体" w:hAnsi="宋体" w:cs="宋体"/>
          <w:b/>
          <w:bCs/>
          <w:szCs w:val="21"/>
        </w:rPr>
        <w:t>①：以有效投标文件的评标价算术平均值为</w:t>
      </w:r>
      <w:r>
        <w:rPr>
          <w:rFonts w:ascii="宋体" w:hAnsi="宋体" w:cs="宋体"/>
          <w:b/>
          <w:bCs/>
          <w:szCs w:val="21"/>
        </w:rPr>
        <w:t xml:space="preserve"> A</w:t>
      </w:r>
      <w:r>
        <w:rPr>
          <w:rFonts w:hint="eastAsia" w:ascii="宋体" w:hAnsi="宋体" w:cs="宋体"/>
          <w:szCs w:val="21"/>
        </w:rPr>
        <w:t>（当有效投标文件≥</w:t>
      </w:r>
      <w:r>
        <w:rPr>
          <w:rFonts w:ascii="宋体" w:hAnsi="宋体" w:cs="宋体"/>
          <w:szCs w:val="21"/>
        </w:rPr>
        <w:t>7</w:t>
      </w:r>
      <w:r>
        <w:rPr>
          <w:rFonts w:hint="eastAsia" w:ascii="宋体" w:hAnsi="宋体" w:cs="宋体"/>
          <w:szCs w:val="21"/>
        </w:rPr>
        <w:t>家时，去掉最高和最低的</w:t>
      </w:r>
      <w:r>
        <w:rPr>
          <w:rFonts w:ascii="宋体" w:hAnsi="宋体" w:cs="宋体"/>
          <w:szCs w:val="21"/>
        </w:rPr>
        <w:t>20%</w:t>
      </w:r>
      <w:r>
        <w:rPr>
          <w:rFonts w:hint="eastAsia" w:ascii="宋体" w:hAnsi="宋体" w:cs="宋体"/>
          <w:szCs w:val="21"/>
        </w:rPr>
        <w:t>（四舍五入取整，末位投标价相同的均保留）后进行平均；当有效投标文件</w:t>
      </w:r>
      <w:r>
        <w:rPr>
          <w:rFonts w:ascii="宋体" w:hAnsi="宋体" w:cs="宋体"/>
          <w:szCs w:val="21"/>
        </w:rPr>
        <w:t>4-6</w:t>
      </w:r>
      <w:r>
        <w:rPr>
          <w:rFonts w:hint="eastAsia" w:ascii="宋体" w:hAnsi="宋体" w:cs="宋体"/>
          <w:szCs w:val="21"/>
        </w:rPr>
        <w:t>家时，剔除最高报价（最高报价相同的均剔除）后进行算术平均；当有效投标文件＜</w:t>
      </w:r>
      <w:r>
        <w:rPr>
          <w:rFonts w:ascii="宋体" w:hAnsi="宋体" w:cs="宋体"/>
          <w:szCs w:val="21"/>
        </w:rPr>
        <w:t>4</w:t>
      </w:r>
      <w:r>
        <w:rPr>
          <w:rFonts w:hint="eastAsia" w:ascii="宋体" w:hAnsi="宋体" w:cs="宋体"/>
          <w:szCs w:val="21"/>
        </w:rPr>
        <w:t>价时，则次低报价作为投标平均价</w:t>
      </w:r>
      <w:r>
        <w:rPr>
          <w:rFonts w:ascii="宋体" w:hAnsi="宋体" w:cs="宋体"/>
          <w:szCs w:val="21"/>
        </w:rPr>
        <w:t>A</w:t>
      </w:r>
      <w:r>
        <w:rPr>
          <w:rFonts w:hint="eastAsia" w:ascii="宋体" w:hAnsi="宋体" w:cs="宋体"/>
          <w:szCs w:val="21"/>
        </w:rPr>
        <w:t>）。</w:t>
      </w:r>
    </w:p>
    <w:p>
      <w:pPr>
        <w:spacing w:line="360" w:lineRule="auto"/>
        <w:ind w:firstLine="420" w:firstLineChars="200"/>
        <w:rPr>
          <w:rFonts w:ascii="宋体" w:hAnsi="宋体"/>
          <w:szCs w:val="21"/>
        </w:rPr>
      </w:pPr>
      <w:r>
        <w:rPr>
          <w:rFonts w:hint="eastAsia" w:ascii="宋体" w:hAnsi="宋体" w:cs="宋体"/>
          <w:szCs w:val="21"/>
        </w:rPr>
        <w:t>评标基准价</w:t>
      </w:r>
      <w:r>
        <w:rPr>
          <w:rFonts w:ascii="宋体" w:hAnsi="宋体" w:cs="宋体"/>
          <w:szCs w:val="21"/>
        </w:rPr>
        <w:t xml:space="preserve"> =A</w:t>
      </w:r>
      <w:r>
        <w:rPr>
          <w:rFonts w:hint="eastAsia" w:ascii="宋体" w:hAnsi="宋体" w:cs="宋体"/>
          <w:szCs w:val="21"/>
        </w:rPr>
        <w:t>×</w:t>
      </w:r>
      <w:r>
        <w:rPr>
          <w:rFonts w:ascii="宋体" w:hAnsi="宋体" w:cs="宋体"/>
          <w:szCs w:val="21"/>
        </w:rPr>
        <w:t>K</w:t>
      </w:r>
      <w:r>
        <w:rPr>
          <w:rFonts w:hint="eastAsia" w:ascii="宋体" w:hAnsi="宋体" w:cs="宋体"/>
          <w:szCs w:val="21"/>
        </w:rPr>
        <w:t>，</w:t>
      </w:r>
      <w:r>
        <w:rPr>
          <w:rFonts w:ascii="宋体" w:hAnsi="宋体" w:cs="宋体"/>
          <w:szCs w:val="21"/>
        </w:rPr>
        <w:t xml:space="preserve">K </w:t>
      </w:r>
      <w:r>
        <w:rPr>
          <w:rFonts w:hint="eastAsia" w:ascii="宋体" w:hAnsi="宋体" w:cs="宋体"/>
          <w:szCs w:val="21"/>
        </w:rPr>
        <w:t>值在开标时由投标人代表抽取确定，</w:t>
      </w:r>
      <w:r>
        <w:rPr>
          <w:rFonts w:ascii="宋体" w:hAnsi="宋体" w:cs="宋体"/>
          <w:szCs w:val="21"/>
        </w:rPr>
        <w:t xml:space="preserve">K </w:t>
      </w:r>
      <w:r>
        <w:rPr>
          <w:rFonts w:hint="eastAsia" w:ascii="宋体" w:hAnsi="宋体" w:cs="宋体"/>
          <w:szCs w:val="21"/>
        </w:rPr>
        <w:t>值的取值范围为</w:t>
      </w:r>
      <w:r>
        <w:rPr>
          <w:rFonts w:ascii="宋体" w:hAnsi="宋体" w:cs="宋体"/>
          <w:szCs w:val="21"/>
        </w:rPr>
        <w:t>95%</w:t>
      </w:r>
      <w:r>
        <w:rPr>
          <w:rFonts w:hint="eastAsia" w:ascii="宋体" w:hAnsi="宋体" w:cs="宋体"/>
          <w:szCs w:val="21"/>
        </w:rPr>
        <w:t>、</w:t>
      </w:r>
      <w:r>
        <w:rPr>
          <w:rFonts w:ascii="宋体" w:hAnsi="宋体" w:cs="宋体"/>
          <w:szCs w:val="21"/>
        </w:rPr>
        <w:t>96%</w:t>
      </w:r>
      <w:r>
        <w:rPr>
          <w:rFonts w:hint="eastAsia" w:ascii="宋体" w:hAnsi="宋体" w:cs="宋体"/>
          <w:szCs w:val="21"/>
        </w:rPr>
        <w:t>、</w:t>
      </w:r>
      <w:r>
        <w:rPr>
          <w:rFonts w:ascii="宋体" w:hAnsi="宋体" w:cs="宋体"/>
          <w:szCs w:val="21"/>
        </w:rPr>
        <w:t>97%</w:t>
      </w:r>
      <w:r>
        <w:rPr>
          <w:rFonts w:hint="eastAsia" w:ascii="宋体" w:hAnsi="宋体" w:cs="宋体"/>
          <w:szCs w:val="21"/>
        </w:rPr>
        <w:t>、</w:t>
      </w:r>
      <w:r>
        <w:rPr>
          <w:rFonts w:ascii="宋体" w:hAnsi="宋体" w:cs="宋体"/>
          <w:szCs w:val="21"/>
        </w:rPr>
        <w:t>98%</w:t>
      </w:r>
      <w:r>
        <w:rPr>
          <w:rFonts w:hint="eastAsia" w:ascii="宋体" w:hAnsi="宋体" w:cs="宋体"/>
          <w:szCs w:val="21"/>
        </w:rPr>
        <w:t>。投标人的投标报价与评标基准价相等的得</w:t>
      </w:r>
      <w:r>
        <w:rPr>
          <w:rFonts w:ascii="宋体" w:hAnsi="宋体" w:cs="宋体"/>
          <w:szCs w:val="21"/>
        </w:rPr>
        <w:t>100</w:t>
      </w:r>
      <w:r>
        <w:rPr>
          <w:rFonts w:hint="eastAsia" w:ascii="宋体" w:hAnsi="宋体" w:cs="宋体"/>
          <w:szCs w:val="21"/>
        </w:rPr>
        <w:t>分，与评标基准价相比较，每上浮</w:t>
      </w:r>
      <w:r>
        <w:rPr>
          <w:rFonts w:ascii="宋体" w:hAnsi="宋体" w:cs="宋体"/>
          <w:szCs w:val="21"/>
        </w:rPr>
        <w:t>1%</w:t>
      </w:r>
      <w:r>
        <w:rPr>
          <w:rFonts w:hint="eastAsia" w:ascii="宋体" w:hAnsi="宋体" w:cs="宋体"/>
          <w:szCs w:val="21"/>
        </w:rPr>
        <w:t>扣</w:t>
      </w:r>
      <w:r>
        <w:rPr>
          <w:rFonts w:ascii="宋体" w:hAnsi="宋体" w:cs="宋体"/>
          <w:szCs w:val="21"/>
        </w:rPr>
        <w:t xml:space="preserve"> 0.9 </w:t>
      </w:r>
      <w:r>
        <w:rPr>
          <w:rFonts w:hint="eastAsia" w:ascii="宋体" w:hAnsi="宋体" w:cs="宋体"/>
          <w:szCs w:val="21"/>
        </w:rPr>
        <w:t>分，下浮</w:t>
      </w:r>
      <w:r>
        <w:rPr>
          <w:rFonts w:ascii="宋体" w:hAnsi="宋体" w:cs="宋体"/>
          <w:szCs w:val="21"/>
        </w:rPr>
        <w:t>1%</w:t>
      </w:r>
      <w:r>
        <w:rPr>
          <w:rFonts w:hint="eastAsia" w:ascii="宋体" w:hAnsi="宋体" w:cs="宋体"/>
          <w:szCs w:val="21"/>
        </w:rPr>
        <w:t>扣</w:t>
      </w:r>
      <w:r>
        <w:rPr>
          <w:rFonts w:ascii="宋体" w:hAnsi="宋体" w:cs="宋体"/>
          <w:szCs w:val="21"/>
        </w:rPr>
        <w:t xml:space="preserve"> 0.6 </w:t>
      </w:r>
      <w:r>
        <w:rPr>
          <w:rFonts w:hint="eastAsia" w:ascii="宋体" w:hAnsi="宋体" w:cs="宋体"/>
          <w:szCs w:val="21"/>
        </w:rPr>
        <w:t>分。</w:t>
      </w:r>
      <w:r>
        <w:rPr>
          <w:rFonts w:ascii="宋体" w:hAnsi="宋体" w:cs="宋体"/>
          <w:szCs w:val="21"/>
        </w:rPr>
        <w:t>(</w:t>
      </w:r>
      <w:r>
        <w:rPr>
          <w:rFonts w:hint="eastAsia" w:ascii="宋体" w:hAnsi="宋体" w:cs="宋体"/>
          <w:szCs w:val="21"/>
        </w:rPr>
        <w:t>不足</w:t>
      </w:r>
      <w:r>
        <w:rPr>
          <w:rFonts w:ascii="宋体" w:hAnsi="宋体" w:cs="宋体"/>
          <w:szCs w:val="21"/>
        </w:rPr>
        <w:t>1%</w:t>
      </w:r>
      <w:r>
        <w:rPr>
          <w:rFonts w:hint="eastAsia" w:ascii="宋体" w:hAnsi="宋体" w:cs="宋体"/>
          <w:szCs w:val="21"/>
        </w:rPr>
        <w:t>的，采用插入法，得分保留两位小数</w:t>
      </w:r>
      <w:r>
        <w:rPr>
          <w:rFonts w:ascii="宋体" w:hAnsi="宋体" w:cs="宋体"/>
          <w:szCs w:val="21"/>
        </w:rPr>
        <w:t>)</w:t>
      </w:r>
    </w:p>
    <w:p>
      <w:pPr>
        <w:spacing w:line="360" w:lineRule="auto"/>
        <w:ind w:firstLine="422" w:firstLineChars="200"/>
        <w:rPr>
          <w:rFonts w:ascii="宋体" w:hAnsi="宋体"/>
          <w:szCs w:val="21"/>
        </w:rPr>
      </w:pPr>
      <w:r>
        <w:rPr>
          <w:rFonts w:hint="eastAsia" w:ascii="宋体" w:hAnsi="宋体" w:cs="宋体"/>
          <w:b/>
          <w:bCs/>
          <w:szCs w:val="21"/>
        </w:rPr>
        <w:t>②：以有效投标文件的评标价算术平均值为</w:t>
      </w:r>
      <w:r>
        <w:rPr>
          <w:rFonts w:ascii="宋体" w:hAnsi="宋体" w:cs="宋体"/>
          <w:b/>
          <w:bCs/>
          <w:szCs w:val="21"/>
        </w:rPr>
        <w:t>A</w:t>
      </w:r>
      <w:r>
        <w:rPr>
          <w:rFonts w:hint="eastAsia" w:ascii="宋体" w:hAnsi="宋体" w:cs="宋体"/>
          <w:szCs w:val="21"/>
        </w:rPr>
        <w:t>（当有效投标文件≥</w:t>
      </w:r>
      <w:r>
        <w:rPr>
          <w:rFonts w:ascii="宋体" w:hAnsi="宋体" w:cs="宋体"/>
          <w:szCs w:val="21"/>
        </w:rPr>
        <w:t>7</w:t>
      </w:r>
      <w:r>
        <w:rPr>
          <w:rFonts w:hint="eastAsia" w:ascii="宋体" w:hAnsi="宋体" w:cs="宋体"/>
          <w:szCs w:val="21"/>
        </w:rPr>
        <w:t>家时，去掉最高和最低的</w:t>
      </w:r>
      <w:r>
        <w:rPr>
          <w:rFonts w:ascii="宋体" w:hAnsi="宋体" w:cs="宋体"/>
          <w:szCs w:val="21"/>
        </w:rPr>
        <w:t>20%</w:t>
      </w:r>
      <w:r>
        <w:rPr>
          <w:rFonts w:hint="eastAsia" w:ascii="宋体" w:hAnsi="宋体" w:cs="宋体"/>
          <w:szCs w:val="21"/>
        </w:rPr>
        <w:t>（四舍五入取整，末位投标价相同的均保留）后进行平均；当有效投标文件</w:t>
      </w:r>
      <w:r>
        <w:rPr>
          <w:rFonts w:ascii="宋体" w:hAnsi="宋体" w:cs="宋体"/>
          <w:szCs w:val="21"/>
        </w:rPr>
        <w:t>4-6</w:t>
      </w:r>
      <w:r>
        <w:rPr>
          <w:rFonts w:hint="eastAsia" w:ascii="宋体" w:hAnsi="宋体" w:cs="宋体"/>
          <w:szCs w:val="21"/>
        </w:rPr>
        <w:t>家时，剔除最高报价（最高报价相同的均剔除）后进行算术平均；当有效投标文件＜</w:t>
      </w:r>
      <w:r>
        <w:rPr>
          <w:rFonts w:ascii="宋体" w:hAnsi="宋体" w:cs="宋体"/>
          <w:szCs w:val="21"/>
        </w:rPr>
        <w:t>4</w:t>
      </w:r>
      <w:r>
        <w:rPr>
          <w:rFonts w:hint="eastAsia" w:ascii="宋体" w:hAnsi="宋体" w:cs="宋体"/>
          <w:szCs w:val="21"/>
        </w:rPr>
        <w:t>家时，则次低报价作为投标平均价</w:t>
      </w:r>
      <w:r>
        <w:rPr>
          <w:rFonts w:ascii="宋体" w:hAnsi="宋体" w:cs="宋体"/>
          <w:szCs w:val="21"/>
        </w:rPr>
        <w:t>A</w:t>
      </w:r>
      <w:r>
        <w:rPr>
          <w:rFonts w:hint="eastAsia" w:ascii="宋体" w:hAnsi="宋体" w:cs="宋体"/>
          <w:szCs w:val="21"/>
        </w:rPr>
        <w:t>）；招标控制价为</w:t>
      </w:r>
      <w:r>
        <w:rPr>
          <w:rFonts w:ascii="宋体" w:hAnsi="宋体" w:cs="宋体"/>
          <w:szCs w:val="21"/>
        </w:rPr>
        <w:t>B</w:t>
      </w:r>
      <w:r>
        <w:rPr>
          <w:rFonts w:hint="eastAsia" w:ascii="宋体" w:hAnsi="宋体" w:cs="宋体"/>
          <w:szCs w:val="21"/>
        </w:rPr>
        <w:t>，则：</w:t>
      </w:r>
      <w:r>
        <w:rPr>
          <w:rFonts w:ascii="宋体" w:hAnsi="宋体" w:cs="宋体"/>
          <w:szCs w:val="21"/>
        </w:rPr>
        <w:t xml:space="preserve"> </w:t>
      </w:r>
    </w:p>
    <w:p>
      <w:pPr>
        <w:spacing w:line="360" w:lineRule="auto"/>
        <w:ind w:firstLine="420" w:firstLineChars="200"/>
        <w:rPr>
          <w:rFonts w:ascii="宋体" w:hAnsi="宋体"/>
          <w:szCs w:val="21"/>
        </w:rPr>
      </w:pPr>
      <w:r>
        <w:rPr>
          <w:rFonts w:hint="eastAsia" w:ascii="宋体" w:hAnsi="宋体" w:cs="宋体"/>
          <w:szCs w:val="21"/>
        </w:rPr>
        <w:t>评标基准价</w:t>
      </w:r>
      <w:r>
        <w:rPr>
          <w:rFonts w:ascii="宋体" w:hAnsi="宋体" w:cs="宋体"/>
          <w:szCs w:val="21"/>
        </w:rPr>
        <w:t xml:space="preserve"> =A</w:t>
      </w:r>
      <w:r>
        <w:rPr>
          <w:rFonts w:hint="eastAsia" w:ascii="宋体" w:hAnsi="宋体" w:cs="宋体"/>
          <w:szCs w:val="21"/>
        </w:rPr>
        <w:t>×</w:t>
      </w:r>
      <w:r>
        <w:rPr>
          <w:rFonts w:ascii="宋体" w:hAnsi="宋体" w:cs="宋体"/>
          <w:szCs w:val="21"/>
        </w:rPr>
        <w:t>K1</w:t>
      </w:r>
      <w:r>
        <w:rPr>
          <w:rFonts w:hint="eastAsia" w:ascii="宋体" w:hAnsi="宋体" w:cs="宋体"/>
          <w:szCs w:val="21"/>
        </w:rPr>
        <w:t>×</w:t>
      </w:r>
      <w:r>
        <w:rPr>
          <w:rFonts w:ascii="宋体" w:hAnsi="宋体" w:cs="宋体"/>
          <w:szCs w:val="21"/>
        </w:rPr>
        <w:t>Q1+B</w:t>
      </w:r>
      <w:r>
        <w:rPr>
          <w:rFonts w:hint="eastAsia" w:ascii="宋体" w:hAnsi="宋体" w:cs="宋体"/>
          <w:szCs w:val="21"/>
        </w:rPr>
        <w:t>×</w:t>
      </w:r>
      <w:r>
        <w:rPr>
          <w:rFonts w:ascii="宋体" w:hAnsi="宋体" w:cs="宋体"/>
          <w:szCs w:val="21"/>
        </w:rPr>
        <w:t>K2</w:t>
      </w:r>
      <w:r>
        <w:rPr>
          <w:rFonts w:hint="eastAsia" w:ascii="宋体" w:hAnsi="宋体" w:cs="宋体"/>
          <w:szCs w:val="21"/>
        </w:rPr>
        <w:t>×</w:t>
      </w:r>
      <w:r>
        <w:rPr>
          <w:rFonts w:ascii="宋体" w:hAnsi="宋体" w:cs="宋体"/>
          <w:szCs w:val="21"/>
        </w:rPr>
        <w:t>Q2</w:t>
      </w:r>
    </w:p>
    <w:p>
      <w:pPr>
        <w:spacing w:line="360" w:lineRule="auto"/>
        <w:ind w:firstLine="420" w:firstLineChars="200"/>
        <w:rPr>
          <w:rFonts w:ascii="宋体" w:hAnsi="宋体"/>
          <w:szCs w:val="21"/>
        </w:rPr>
      </w:pPr>
      <w:r>
        <w:rPr>
          <w:rFonts w:ascii="宋体" w:hAnsi="宋体" w:cs="宋体"/>
          <w:szCs w:val="21"/>
        </w:rPr>
        <w:t>Q2=1-Q1, Q1</w:t>
      </w:r>
      <w:r>
        <w:rPr>
          <w:rFonts w:hint="eastAsia" w:ascii="宋体" w:hAnsi="宋体" w:cs="宋体"/>
          <w:szCs w:val="21"/>
        </w:rPr>
        <w:t>的取值范围为</w:t>
      </w:r>
      <w:r>
        <w:rPr>
          <w:rFonts w:ascii="宋体" w:hAnsi="宋体" w:cs="宋体"/>
          <w:szCs w:val="21"/>
        </w:rPr>
        <w:t>65%</w:t>
      </w:r>
      <w:r>
        <w:rPr>
          <w:rFonts w:hint="eastAsia" w:ascii="宋体" w:hAnsi="宋体" w:cs="宋体"/>
          <w:szCs w:val="21"/>
        </w:rPr>
        <w:t>、</w:t>
      </w:r>
      <w:r>
        <w:rPr>
          <w:rFonts w:ascii="宋体" w:hAnsi="宋体" w:cs="宋体"/>
          <w:szCs w:val="21"/>
        </w:rPr>
        <w:t>70%</w:t>
      </w:r>
      <w:r>
        <w:rPr>
          <w:rFonts w:hint="eastAsia" w:ascii="宋体" w:hAnsi="宋体" w:cs="宋体"/>
          <w:szCs w:val="21"/>
        </w:rPr>
        <w:t>、</w:t>
      </w:r>
      <w:r>
        <w:rPr>
          <w:rFonts w:ascii="宋体" w:hAnsi="宋体" w:cs="宋体"/>
          <w:szCs w:val="21"/>
        </w:rPr>
        <w:t>75%</w:t>
      </w:r>
      <w:r>
        <w:rPr>
          <w:rFonts w:hint="eastAsia" w:ascii="宋体" w:hAnsi="宋体" w:cs="宋体"/>
          <w:szCs w:val="21"/>
        </w:rPr>
        <w:t>、</w:t>
      </w:r>
      <w:r>
        <w:rPr>
          <w:rFonts w:ascii="宋体" w:hAnsi="宋体" w:cs="宋体"/>
          <w:szCs w:val="21"/>
        </w:rPr>
        <w:t>80%</w:t>
      </w:r>
      <w:r>
        <w:rPr>
          <w:rFonts w:hint="eastAsia" w:ascii="宋体" w:hAnsi="宋体" w:cs="宋体"/>
          <w:szCs w:val="21"/>
        </w:rPr>
        <w:t>、</w:t>
      </w:r>
      <w:r>
        <w:rPr>
          <w:rFonts w:ascii="宋体" w:hAnsi="宋体" w:cs="宋体"/>
          <w:szCs w:val="21"/>
        </w:rPr>
        <w:t>85%</w:t>
      </w:r>
      <w:r>
        <w:rPr>
          <w:rFonts w:hint="eastAsia" w:ascii="宋体" w:hAnsi="宋体" w:cs="宋体"/>
          <w:szCs w:val="21"/>
        </w:rPr>
        <w:t>；</w:t>
      </w:r>
      <w:r>
        <w:rPr>
          <w:rFonts w:ascii="宋体" w:hAnsi="宋体" w:cs="宋体"/>
          <w:szCs w:val="21"/>
        </w:rPr>
        <w:t>K1</w:t>
      </w:r>
      <w:r>
        <w:rPr>
          <w:rFonts w:hint="eastAsia" w:ascii="宋体" w:hAnsi="宋体" w:cs="宋体"/>
          <w:szCs w:val="21"/>
        </w:rPr>
        <w:t>的取值范围为</w:t>
      </w:r>
      <w:r>
        <w:rPr>
          <w:rFonts w:ascii="宋体" w:hAnsi="宋体" w:cs="宋体"/>
          <w:szCs w:val="21"/>
        </w:rPr>
        <w:t>95%</w:t>
      </w:r>
      <w:r>
        <w:rPr>
          <w:rFonts w:hint="eastAsia" w:ascii="宋体" w:hAnsi="宋体" w:cs="宋体"/>
          <w:szCs w:val="21"/>
        </w:rPr>
        <w:t>、</w:t>
      </w:r>
      <w:r>
        <w:rPr>
          <w:rFonts w:ascii="宋体" w:hAnsi="宋体" w:cs="宋体"/>
          <w:szCs w:val="21"/>
        </w:rPr>
        <w:t>96%</w:t>
      </w:r>
      <w:r>
        <w:rPr>
          <w:rFonts w:hint="eastAsia" w:ascii="宋体" w:hAnsi="宋体" w:cs="宋体"/>
          <w:szCs w:val="21"/>
        </w:rPr>
        <w:t>、</w:t>
      </w:r>
      <w:r>
        <w:rPr>
          <w:rFonts w:ascii="宋体" w:hAnsi="宋体" w:cs="宋体"/>
          <w:szCs w:val="21"/>
        </w:rPr>
        <w:t>97%</w:t>
      </w:r>
      <w:r>
        <w:rPr>
          <w:rFonts w:hint="eastAsia" w:ascii="宋体" w:hAnsi="宋体" w:cs="宋体"/>
          <w:szCs w:val="21"/>
        </w:rPr>
        <w:t>、</w:t>
      </w:r>
      <w:r>
        <w:rPr>
          <w:rFonts w:ascii="宋体" w:hAnsi="宋体" w:cs="宋体"/>
          <w:szCs w:val="21"/>
        </w:rPr>
        <w:t>98%</w:t>
      </w:r>
      <w:r>
        <w:rPr>
          <w:rFonts w:hint="eastAsia" w:ascii="宋体" w:hAnsi="宋体" w:cs="宋体"/>
          <w:szCs w:val="21"/>
        </w:rPr>
        <w:t>；</w:t>
      </w:r>
      <w:r>
        <w:rPr>
          <w:rFonts w:ascii="宋体" w:hAnsi="宋体" w:cs="宋体"/>
          <w:szCs w:val="21"/>
        </w:rPr>
        <w:t xml:space="preserve">K2 </w:t>
      </w:r>
      <w:r>
        <w:rPr>
          <w:rFonts w:hint="eastAsia" w:ascii="宋体" w:hAnsi="宋体" w:cs="宋体"/>
          <w:szCs w:val="21"/>
        </w:rPr>
        <w:t>的取值为88</w:t>
      </w:r>
      <w:r>
        <w:rPr>
          <w:rFonts w:ascii="宋体" w:hAnsi="宋体" w:cs="宋体"/>
          <w:szCs w:val="21"/>
        </w:rPr>
        <w:t>%</w:t>
      </w:r>
      <w:r>
        <w:rPr>
          <w:rFonts w:hint="eastAsia" w:ascii="宋体" w:hAnsi="宋体" w:cs="宋体"/>
          <w:szCs w:val="21"/>
        </w:rPr>
        <w:t>；</w:t>
      </w:r>
      <w:r>
        <w:rPr>
          <w:rFonts w:ascii="宋体" w:hAnsi="宋体" w:cs="宋体"/>
          <w:szCs w:val="21"/>
        </w:rPr>
        <w:t>Q1</w:t>
      </w:r>
      <w:r>
        <w:rPr>
          <w:rFonts w:hint="eastAsia" w:ascii="宋体" w:hAnsi="宋体" w:cs="宋体"/>
          <w:szCs w:val="21"/>
        </w:rPr>
        <w:t>、</w:t>
      </w:r>
      <w:r>
        <w:rPr>
          <w:rFonts w:ascii="宋体" w:hAnsi="宋体" w:cs="宋体"/>
          <w:szCs w:val="21"/>
        </w:rPr>
        <w:t xml:space="preserve">K1 </w:t>
      </w:r>
      <w:r>
        <w:rPr>
          <w:rFonts w:hint="eastAsia" w:ascii="宋体" w:hAnsi="宋体" w:cs="宋体"/>
          <w:szCs w:val="21"/>
        </w:rPr>
        <w:t>值在开标时由投标人代表抽取确定。投标人的投标报价与评标基准价相等的得</w:t>
      </w:r>
      <w:r>
        <w:rPr>
          <w:rFonts w:ascii="宋体" w:hAnsi="宋体" w:cs="宋体"/>
          <w:szCs w:val="21"/>
        </w:rPr>
        <w:t>100</w:t>
      </w:r>
      <w:r>
        <w:rPr>
          <w:rFonts w:hint="eastAsia" w:ascii="宋体" w:hAnsi="宋体" w:cs="宋体"/>
          <w:szCs w:val="21"/>
        </w:rPr>
        <w:t>分，与评标基准价相比较，每上浮</w:t>
      </w:r>
      <w:r>
        <w:rPr>
          <w:rFonts w:ascii="宋体" w:hAnsi="宋体" w:cs="宋体"/>
          <w:szCs w:val="21"/>
        </w:rPr>
        <w:t>1%</w:t>
      </w:r>
      <w:r>
        <w:rPr>
          <w:rFonts w:hint="eastAsia" w:ascii="宋体" w:hAnsi="宋体" w:cs="宋体"/>
          <w:szCs w:val="21"/>
        </w:rPr>
        <w:t>扣</w:t>
      </w:r>
      <w:r>
        <w:rPr>
          <w:rFonts w:ascii="宋体" w:hAnsi="宋体" w:cs="宋体"/>
          <w:szCs w:val="21"/>
        </w:rPr>
        <w:t xml:space="preserve"> 0.9</w:t>
      </w:r>
      <w:r>
        <w:rPr>
          <w:rFonts w:hint="eastAsia" w:ascii="宋体" w:hAnsi="宋体" w:cs="宋体"/>
          <w:szCs w:val="21"/>
        </w:rPr>
        <w:t>分，下浮</w:t>
      </w:r>
      <w:r>
        <w:rPr>
          <w:rFonts w:ascii="宋体" w:hAnsi="宋体" w:cs="宋体"/>
          <w:szCs w:val="21"/>
        </w:rPr>
        <w:t>1%</w:t>
      </w:r>
      <w:r>
        <w:rPr>
          <w:rFonts w:hint="eastAsia" w:ascii="宋体" w:hAnsi="宋体" w:cs="宋体"/>
          <w:szCs w:val="21"/>
        </w:rPr>
        <w:t>扣</w:t>
      </w:r>
      <w:r>
        <w:rPr>
          <w:rFonts w:ascii="宋体" w:hAnsi="宋体" w:cs="宋体"/>
          <w:szCs w:val="21"/>
        </w:rPr>
        <w:t>0.6</w:t>
      </w:r>
      <w:r>
        <w:rPr>
          <w:rFonts w:hint="eastAsia" w:ascii="宋体" w:hAnsi="宋体" w:cs="宋体"/>
          <w:szCs w:val="21"/>
        </w:rPr>
        <w:t>分。</w:t>
      </w:r>
      <w:r>
        <w:rPr>
          <w:rFonts w:ascii="宋体" w:hAnsi="宋体" w:cs="宋体"/>
          <w:szCs w:val="21"/>
        </w:rPr>
        <w:t>(</w:t>
      </w:r>
      <w:r>
        <w:rPr>
          <w:rFonts w:hint="eastAsia" w:ascii="宋体" w:hAnsi="宋体" w:cs="宋体"/>
          <w:szCs w:val="21"/>
        </w:rPr>
        <w:t>不足</w:t>
      </w:r>
      <w:r>
        <w:rPr>
          <w:rFonts w:ascii="宋体" w:hAnsi="宋体" w:cs="宋体"/>
          <w:szCs w:val="21"/>
        </w:rPr>
        <w:t>1%</w:t>
      </w:r>
      <w:r>
        <w:rPr>
          <w:rFonts w:hint="eastAsia" w:ascii="宋体" w:hAnsi="宋体" w:cs="宋体"/>
          <w:szCs w:val="21"/>
        </w:rPr>
        <w:t>的，采用插入法，得分保留两位小数</w:t>
      </w:r>
      <w:r>
        <w:rPr>
          <w:rFonts w:ascii="宋体" w:hAnsi="宋体" w:cs="宋体"/>
          <w:szCs w:val="21"/>
        </w:rPr>
        <w:t>)</w:t>
      </w:r>
      <w:r>
        <w:rPr>
          <w:rFonts w:hint="eastAsia" w:ascii="宋体" w:hAnsi="宋体" w:cs="宋体"/>
          <w:szCs w:val="21"/>
        </w:rPr>
        <w:t>。</w:t>
      </w:r>
    </w:p>
    <w:p>
      <w:pPr>
        <w:autoSpaceDE w:val="0"/>
        <w:autoSpaceDN w:val="0"/>
        <w:adjustRightInd w:val="0"/>
        <w:snapToGrid w:val="0"/>
        <w:spacing w:line="360" w:lineRule="auto"/>
        <w:ind w:firstLine="411" w:firstLineChars="196"/>
        <w:rPr>
          <w:rFonts w:ascii="宋体" w:hAnsi="宋体"/>
          <w:szCs w:val="21"/>
        </w:rPr>
      </w:pPr>
      <w:r>
        <w:rPr>
          <w:rFonts w:ascii="宋体" w:hAnsi="宋体"/>
          <w:szCs w:val="21"/>
        </w:rPr>
        <w:t xml:space="preserve"> </w:t>
      </w:r>
      <w:r>
        <w:rPr>
          <w:rFonts w:hint="eastAsia" w:ascii="宋体" w:hAnsi="宋体"/>
          <w:szCs w:val="21"/>
        </w:rPr>
        <w:t>注：评标委员会在评标报告签字后，评标基准价不因招投标当事人质疑、投诉、复议以及其他任何情形而改变，但评标过程中的计算错误可作调整。</w:t>
      </w:r>
    </w:p>
    <w:p>
      <w:pPr>
        <w:autoSpaceDE w:val="0"/>
        <w:autoSpaceDN w:val="0"/>
        <w:adjustRightInd w:val="0"/>
        <w:snapToGrid w:val="0"/>
        <w:spacing w:line="360" w:lineRule="auto"/>
        <w:ind w:firstLine="413" w:firstLineChars="196"/>
        <w:rPr>
          <w:rFonts w:ascii="宋体" w:hAnsi="宋体"/>
          <w:b/>
          <w:bCs/>
          <w:szCs w:val="21"/>
        </w:rPr>
      </w:pPr>
      <w:r>
        <w:rPr>
          <w:rFonts w:hint="eastAsia" w:ascii="宋体" w:hAnsi="宋体"/>
          <w:b/>
          <w:bCs/>
          <w:szCs w:val="21"/>
        </w:rPr>
        <w:t>评标委员会按照各投标人的投标报价，按得分从高到低的顺序确定前三名中标候选人，中标价为其投标报价。若投标报价得分相同，则投标报价低者优先；若投标报价仍相同，则采取现场随机抽签的方式确定最终的中标候选人。</w:t>
      </w:r>
    </w:p>
    <w:p>
      <w:pPr>
        <w:autoSpaceDE w:val="0"/>
        <w:autoSpaceDN w:val="0"/>
        <w:adjustRightInd w:val="0"/>
        <w:snapToGrid w:val="0"/>
        <w:spacing w:line="360" w:lineRule="auto"/>
        <w:ind w:firstLine="413" w:firstLineChars="196"/>
        <w:rPr>
          <w:rFonts w:ascii="宋体" w:hAnsi="宋体"/>
          <w:b/>
          <w:bCs/>
          <w:szCs w:val="21"/>
        </w:rPr>
      </w:pPr>
      <w:r>
        <w:rPr>
          <w:rFonts w:hint="eastAsia" w:ascii="宋体" w:hAnsi="宋体"/>
          <w:b/>
          <w:bCs/>
          <w:szCs w:val="21"/>
        </w:rPr>
        <w:t>本工程第一中标候选人原则上为中标人。当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p>
    <w:p>
      <w:pPr>
        <w:spacing w:line="360" w:lineRule="auto"/>
        <w:ind w:firstLine="422" w:firstLineChars="200"/>
        <w:rPr>
          <w:rFonts w:ascii="宋体" w:hAnsi="宋体"/>
          <w:b/>
          <w:bCs/>
          <w:szCs w:val="21"/>
        </w:rPr>
      </w:pPr>
      <w:r>
        <w:rPr>
          <w:rFonts w:hint="eastAsia" w:ascii="宋体" w:hAnsi="宋体"/>
          <w:b/>
          <w:bCs/>
          <w:szCs w:val="21"/>
        </w:rPr>
        <w:t>评标过程中出现本评标办法未尽事宜，由评标委员会根据有关法律、法规讨论决定。</w:t>
      </w:r>
    </w:p>
    <w:p>
      <w:pPr>
        <w:rPr>
          <w:rFonts w:ascii="宋体" w:hAnsi="宋体"/>
          <w:b/>
          <w:bCs/>
          <w:szCs w:val="21"/>
        </w:rPr>
      </w:pPr>
      <w:r>
        <w:rPr>
          <w:rFonts w:hint="eastAsia" w:ascii="宋体" w:hAnsi="宋体"/>
          <w:b/>
          <w:bCs/>
          <w:szCs w:val="21"/>
        </w:rPr>
        <w:br w:type="page"/>
      </w:r>
    </w:p>
    <w:p>
      <w:pPr>
        <w:pStyle w:val="576"/>
      </w:pPr>
      <w:r>
        <w:rPr>
          <w:rFonts w:hint="eastAsia"/>
          <w:kern w:val="0"/>
        </w:rPr>
        <w:t>附件1</w:t>
      </w:r>
      <w:r>
        <w:rPr>
          <w:rFonts w:hint="eastAsia"/>
        </w:rPr>
        <w:t>《办公厅关于全面实行一级建造师电子注册证书的通知》（建办市〔2021〕40号）文件</w:t>
      </w:r>
    </w:p>
    <w:p>
      <w:pPr>
        <w:ind w:firstLine="420" w:firstLineChars="200"/>
        <w:rPr>
          <w:rFonts w:ascii="Calibri" w:hAnsi="Calibri"/>
          <w:szCs w:val="22"/>
        </w:rPr>
      </w:pPr>
      <w:r>
        <w:rPr>
          <w:rFonts w:ascii="Calibri" w:hAnsi="Calibri"/>
          <w:szCs w:val="22"/>
        </w:rPr>
        <w:drawing>
          <wp:inline distT="0" distB="0" distL="114300" distR="114300">
            <wp:extent cx="5351780" cy="3674110"/>
            <wp:effectExtent l="0" t="0" r="1270" b="254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a:stretch>
                      <a:fillRect/>
                    </a:stretch>
                  </pic:blipFill>
                  <pic:spPr>
                    <a:xfrm>
                      <a:off x="0" y="0"/>
                      <a:ext cx="5351780" cy="3674110"/>
                    </a:xfrm>
                    <a:prstGeom prst="rect">
                      <a:avLst/>
                    </a:prstGeom>
                    <a:noFill/>
                    <a:ln>
                      <a:noFill/>
                    </a:ln>
                  </pic:spPr>
                </pic:pic>
              </a:graphicData>
            </a:graphic>
          </wp:inline>
        </w:drawing>
      </w:r>
    </w:p>
    <w:p>
      <w:pPr>
        <w:ind w:firstLine="420" w:firstLineChars="200"/>
        <w:rPr>
          <w:rFonts w:ascii="Calibri" w:hAnsi="Calibri"/>
          <w:szCs w:val="22"/>
        </w:rPr>
      </w:pPr>
    </w:p>
    <w:p>
      <w:pPr>
        <w:ind w:firstLine="420" w:firstLineChars="200"/>
        <w:rPr>
          <w:rFonts w:ascii="Calibri" w:hAnsi="Calibri"/>
          <w:szCs w:val="22"/>
        </w:rPr>
      </w:pPr>
      <w:r>
        <w:rPr>
          <w:rFonts w:hint="eastAsia" w:ascii="Calibri" w:hAnsi="Calibri"/>
          <w:szCs w:val="22"/>
        </w:rPr>
        <w:t>网址：</w:t>
      </w:r>
      <w:r>
        <w:rPr>
          <w:rFonts w:ascii="Calibri" w:hAnsi="Calibri"/>
          <w:szCs w:val="22"/>
        </w:rPr>
        <w:t>https://www.mohurd.gov.cn/gongkai/fdzdgknr/zfhcxjsbwj/202109/20210926_762262.html</w:t>
      </w:r>
    </w:p>
    <w:p>
      <w:pPr>
        <w:ind w:firstLine="600" w:firstLineChars="200"/>
        <w:rPr>
          <w:rFonts w:ascii="Calibri" w:hAnsi="Calibri"/>
          <w:sz w:val="30"/>
          <w:szCs w:val="30"/>
        </w:rPr>
      </w:pPr>
    </w:p>
    <w:p>
      <w:pPr>
        <w:jc w:val="center"/>
        <w:rPr>
          <w:rFonts w:ascii="Calibri" w:hAnsi="Calibri"/>
          <w:b/>
          <w:sz w:val="30"/>
          <w:szCs w:val="30"/>
        </w:rPr>
      </w:pPr>
    </w:p>
    <w:p>
      <w:pPr>
        <w:pStyle w:val="41"/>
        <w:rPr>
          <w:b/>
          <w:sz w:val="30"/>
          <w:szCs w:val="30"/>
        </w:rPr>
      </w:pPr>
    </w:p>
    <w:p>
      <w:pPr>
        <w:pStyle w:val="17"/>
        <w:ind w:left="1680"/>
        <w:rPr>
          <w:b/>
          <w:sz w:val="30"/>
          <w:szCs w:val="30"/>
        </w:rPr>
      </w:pPr>
    </w:p>
    <w:p>
      <w:pPr>
        <w:rPr>
          <w:rFonts w:ascii="Calibri" w:hAnsi="Calibri"/>
          <w:b/>
          <w:sz w:val="30"/>
          <w:szCs w:val="30"/>
        </w:rPr>
      </w:pPr>
    </w:p>
    <w:p>
      <w:pPr>
        <w:pStyle w:val="41"/>
        <w:rPr>
          <w:b/>
          <w:sz w:val="30"/>
          <w:szCs w:val="30"/>
        </w:rPr>
      </w:pPr>
    </w:p>
    <w:p>
      <w:pPr>
        <w:pStyle w:val="17"/>
        <w:ind w:left="1680"/>
        <w:rPr>
          <w:b/>
          <w:sz w:val="30"/>
          <w:szCs w:val="30"/>
        </w:rPr>
      </w:pPr>
    </w:p>
    <w:p>
      <w:pPr>
        <w:rPr>
          <w:rFonts w:ascii="Calibri" w:hAnsi="Calibri"/>
          <w:b/>
          <w:sz w:val="30"/>
          <w:szCs w:val="30"/>
        </w:rPr>
      </w:pPr>
    </w:p>
    <w:p>
      <w:pPr>
        <w:pStyle w:val="41"/>
      </w:pPr>
    </w:p>
    <w:p>
      <w:pPr>
        <w:rPr>
          <w:rFonts w:ascii="Calibri" w:hAnsi="Calibri"/>
          <w:b/>
          <w:sz w:val="30"/>
          <w:szCs w:val="30"/>
        </w:rPr>
      </w:pPr>
    </w:p>
    <w:p>
      <w:pPr>
        <w:rPr>
          <w:rFonts w:ascii="Calibri" w:hAnsi="Calibri"/>
          <w:b/>
          <w:sz w:val="30"/>
          <w:szCs w:val="30"/>
        </w:rPr>
      </w:pPr>
      <w:r>
        <w:rPr>
          <w:rFonts w:hint="eastAsia" w:ascii="Calibri" w:hAnsi="Calibri"/>
          <w:b/>
          <w:sz w:val="30"/>
          <w:szCs w:val="30"/>
        </w:rPr>
        <w:br w:type="page"/>
      </w:r>
    </w:p>
    <w:p>
      <w:pPr>
        <w:jc w:val="center"/>
        <w:rPr>
          <w:rFonts w:ascii="Calibri" w:hAnsi="Calibri"/>
          <w:b/>
          <w:sz w:val="30"/>
          <w:szCs w:val="30"/>
        </w:rPr>
      </w:pPr>
      <w:r>
        <w:rPr>
          <w:rFonts w:hint="eastAsia" w:ascii="Calibri" w:hAnsi="Calibri"/>
          <w:b/>
          <w:sz w:val="30"/>
          <w:szCs w:val="30"/>
        </w:rPr>
        <w:t>住房和城乡建设部办公厅关于全面实行</w:t>
      </w:r>
    </w:p>
    <w:p>
      <w:pPr>
        <w:jc w:val="center"/>
        <w:rPr>
          <w:rFonts w:ascii="Calibri" w:hAnsi="Calibri"/>
          <w:b/>
          <w:sz w:val="30"/>
          <w:szCs w:val="30"/>
        </w:rPr>
      </w:pPr>
      <w:r>
        <w:rPr>
          <w:rFonts w:hint="eastAsia" w:ascii="Calibri" w:hAnsi="Calibri"/>
          <w:b/>
          <w:sz w:val="30"/>
          <w:szCs w:val="30"/>
        </w:rPr>
        <w:t>一级建造师电子注册证书的通知</w:t>
      </w:r>
    </w:p>
    <w:p>
      <w:pPr>
        <w:tabs>
          <w:tab w:val="left" w:pos="2410"/>
        </w:tabs>
        <w:spacing w:line="360" w:lineRule="auto"/>
        <w:ind w:firstLine="420" w:firstLineChars="200"/>
        <w:rPr>
          <w:rFonts w:ascii="宋体" w:hAnsi="宋体" w:cs="宋体"/>
        </w:rPr>
      </w:pPr>
      <w:r>
        <w:rPr>
          <w:rFonts w:hint="eastAsia" w:ascii="宋体" w:hAnsi="宋体" w:cs="宋体"/>
        </w:rPr>
        <w:t>各省、自治区住房和城乡建设厅，直辖市住房和城乡建设（管）委，新疆生产建设兵团住房和城乡建设局，国务院有关部门建设司（局），中央军委后勤保障部军事设施建设局，有关中央企业：</w:t>
      </w:r>
    </w:p>
    <w:p>
      <w:pPr>
        <w:tabs>
          <w:tab w:val="left" w:pos="2410"/>
        </w:tabs>
        <w:spacing w:line="360" w:lineRule="auto"/>
        <w:ind w:firstLine="420" w:firstLineChars="200"/>
        <w:rPr>
          <w:rFonts w:ascii="宋体" w:hAnsi="宋体" w:cs="宋体"/>
        </w:rPr>
      </w:pPr>
      <w:r>
        <w:rPr>
          <w:rFonts w:hint="eastAsia" w:ascii="宋体" w:hAnsi="宋体" w:cs="宋体"/>
        </w:rPr>
        <w:t>为扎实推进“我为群众办实事”实践活动，深化建筑业“放管服”改革，进一步提升政务服务规范化、便利化水平，我部决定在全国范围内实行一级建造师电子注册证书（以下简称电子证书），并开展延续注册工作。现将有关事项通知如下：</w:t>
      </w:r>
    </w:p>
    <w:p>
      <w:pPr>
        <w:tabs>
          <w:tab w:val="left" w:pos="2410"/>
        </w:tabs>
        <w:spacing w:line="360" w:lineRule="auto"/>
        <w:ind w:firstLine="420" w:firstLineChars="200"/>
        <w:rPr>
          <w:rFonts w:ascii="宋体" w:hAnsi="宋体" w:cs="宋体"/>
        </w:rPr>
      </w:pPr>
      <w:r>
        <w:rPr>
          <w:rFonts w:hint="eastAsia" w:ascii="宋体" w:hAnsi="宋体" w:cs="宋体"/>
        </w:rPr>
        <w:t>一、工作内容</w:t>
      </w:r>
    </w:p>
    <w:p>
      <w:pPr>
        <w:tabs>
          <w:tab w:val="left" w:pos="2410"/>
        </w:tabs>
        <w:spacing w:line="360" w:lineRule="auto"/>
        <w:ind w:firstLine="420" w:firstLineChars="200"/>
        <w:rPr>
          <w:rFonts w:ascii="宋体" w:hAnsi="宋体" w:cs="宋体"/>
        </w:rPr>
      </w:pPr>
      <w:r>
        <w:rPr>
          <w:rFonts w:hint="eastAsia" w:ascii="宋体" w:hAnsi="宋体" w:cs="宋体"/>
        </w:rPr>
        <w:t>（一）实行电子证书。</w:t>
      </w:r>
    </w:p>
    <w:p>
      <w:pPr>
        <w:tabs>
          <w:tab w:val="left" w:pos="2410"/>
        </w:tabs>
        <w:spacing w:line="360" w:lineRule="auto"/>
        <w:ind w:firstLine="420" w:firstLineChars="200"/>
        <w:rPr>
          <w:rFonts w:ascii="宋体" w:hAnsi="宋体" w:cs="宋体"/>
        </w:rPr>
      </w:pPr>
      <w:r>
        <w:rPr>
          <w:rFonts w:hint="eastAsia" w:ascii="宋体" w:hAnsi="宋体" w:cs="宋体"/>
        </w:rPr>
        <w:t>1．自 2021年10月15日起，在全国范围内实行一级建造师电子证书（具体示例及说明见附件1），电子证书式样按照《全国一体化在线政务服务平台电子证照一级建造师注册证书》标准执行（具体式样见附件2）。自 2022年1月1日起，一级建造师统一使用电子证书，纸质注册证书作废。</w:t>
      </w:r>
    </w:p>
    <w:p>
      <w:pPr>
        <w:tabs>
          <w:tab w:val="left" w:pos="2410"/>
        </w:tabs>
        <w:spacing w:line="360" w:lineRule="auto"/>
        <w:ind w:firstLine="420" w:firstLineChars="200"/>
        <w:rPr>
          <w:rFonts w:ascii="宋体" w:hAnsi="宋体" w:cs="宋体"/>
        </w:rPr>
      </w:pPr>
      <w:r>
        <w:rPr>
          <w:rFonts w:hint="eastAsia" w:ascii="宋体" w:hAnsi="宋体" w:cs="宋体"/>
        </w:rPr>
        <w:t>2．自 2021年10月15日起，全国范围内准予一级建造师初始注册、增项注册、重新注册、延续注册的，不再发放纸质注册证书或加贴防伪贴；聘用单位基本信息修改的，不再加贴防伪贴；因纸质注册证书遗失、污损或个人信息修改等需重新发放注册证书的，不再补发或更换纸质注册证书。</w:t>
      </w:r>
    </w:p>
    <w:p>
      <w:pPr>
        <w:tabs>
          <w:tab w:val="left" w:pos="2410"/>
        </w:tabs>
        <w:spacing w:line="360" w:lineRule="auto"/>
        <w:ind w:firstLine="420" w:firstLineChars="200"/>
        <w:rPr>
          <w:rFonts w:ascii="宋体" w:hAnsi="宋体" w:cs="宋体"/>
        </w:rPr>
      </w:pPr>
      <w:r>
        <w:rPr>
          <w:rFonts w:hint="eastAsia" w:ascii="宋体" w:hAnsi="宋体" w:cs="宋体"/>
        </w:rPr>
        <w:t>3．电子证书与纸质注册证书并行使用期间，其注册编号同时有效。2022年1月1日起，一级建造师应重新刻制执业印章，并使用电子证书上的注册编号。</w:t>
      </w:r>
    </w:p>
    <w:p>
      <w:pPr>
        <w:tabs>
          <w:tab w:val="left" w:pos="2410"/>
        </w:tabs>
        <w:spacing w:line="360" w:lineRule="auto"/>
        <w:ind w:firstLine="420" w:firstLineChars="200"/>
        <w:rPr>
          <w:rFonts w:ascii="宋体" w:hAnsi="宋体" w:cs="宋体"/>
        </w:rPr>
      </w:pPr>
      <w:r>
        <w:rPr>
          <w:rFonts w:hint="eastAsia" w:ascii="宋体" w:hAnsi="宋体" w:cs="宋体"/>
        </w:rPr>
        <w:t>4．各省（区、市）住房和城乡建设主管部门要会同有关行业主管部门创新监管模式，充分运用信息化手段，加快实现电子证书在招标投标、审批许可、项目管理、行业监管等环节的应用。</w:t>
      </w:r>
    </w:p>
    <w:p>
      <w:pPr>
        <w:tabs>
          <w:tab w:val="left" w:pos="2410"/>
        </w:tabs>
        <w:spacing w:line="360" w:lineRule="auto"/>
        <w:ind w:firstLine="420" w:firstLineChars="200"/>
        <w:rPr>
          <w:rFonts w:ascii="宋体" w:hAnsi="宋体" w:cs="宋体"/>
        </w:rPr>
      </w:pPr>
      <w:r>
        <w:rPr>
          <w:rFonts w:hint="eastAsia" w:ascii="宋体" w:hAnsi="宋体" w:cs="宋体"/>
        </w:rPr>
        <w:t>（二）开展延续注册。</w:t>
      </w:r>
    </w:p>
    <w:p>
      <w:pPr>
        <w:tabs>
          <w:tab w:val="left" w:pos="2410"/>
        </w:tabs>
        <w:spacing w:line="360" w:lineRule="auto"/>
        <w:ind w:firstLine="420" w:firstLineChars="200"/>
        <w:rPr>
          <w:rFonts w:ascii="宋体" w:hAnsi="宋体" w:cs="宋体"/>
        </w:rPr>
      </w:pPr>
      <w:r>
        <w:rPr>
          <w:rFonts w:hint="eastAsia" w:ascii="宋体" w:hAnsi="宋体" w:cs="宋体"/>
        </w:rPr>
        <w:t>1．一级建造师注册专业有效期已过期的，应于2021年12月15日前提出延续注册申请；注册专业仍在有效期内的，应在有效期届满30日前提出延续注册申请；注册专业有效期届满且未提出延续注册申请的，自2022年1月1日起注册专业失效。</w:t>
      </w:r>
    </w:p>
    <w:p>
      <w:pPr>
        <w:tabs>
          <w:tab w:val="left" w:pos="2410"/>
        </w:tabs>
        <w:spacing w:line="360" w:lineRule="auto"/>
        <w:ind w:firstLine="420" w:firstLineChars="200"/>
        <w:rPr>
          <w:rFonts w:ascii="宋体" w:hAnsi="宋体" w:cs="宋体"/>
        </w:rPr>
      </w:pPr>
      <w:r>
        <w:rPr>
          <w:rFonts w:hint="eastAsia" w:ascii="宋体" w:hAnsi="宋体" w:cs="宋体"/>
        </w:rPr>
        <w:t>2．一级建造师申请延续注册的，应达到继续教育要求，并对本人完成继续教育情况作出承诺。</w:t>
      </w:r>
    </w:p>
    <w:p>
      <w:pPr>
        <w:tabs>
          <w:tab w:val="left" w:pos="2410"/>
        </w:tabs>
        <w:spacing w:line="360" w:lineRule="auto"/>
        <w:ind w:firstLine="420" w:firstLineChars="200"/>
        <w:rPr>
          <w:rFonts w:ascii="宋体" w:hAnsi="宋体" w:cs="宋体"/>
        </w:rPr>
      </w:pPr>
      <w:r>
        <w:rPr>
          <w:rFonts w:hint="eastAsia" w:ascii="宋体" w:hAnsi="宋体" w:cs="宋体"/>
        </w:rPr>
        <w:t>3．准予延续注册的注册专业，其注册专业有效期从准予延续注册之日起计算。准予延续注册之日距65周岁不满3年的，有效期至 65 周岁当日。</w:t>
      </w:r>
    </w:p>
    <w:p>
      <w:pPr>
        <w:tabs>
          <w:tab w:val="left" w:pos="2410"/>
        </w:tabs>
        <w:spacing w:line="360" w:lineRule="auto"/>
        <w:ind w:firstLine="420" w:firstLineChars="200"/>
        <w:rPr>
          <w:rFonts w:ascii="宋体" w:hAnsi="宋体" w:cs="宋体"/>
        </w:rPr>
      </w:pPr>
      <w:r>
        <w:rPr>
          <w:rFonts w:hint="eastAsia" w:ascii="宋体" w:hAnsi="宋体" w:cs="宋体"/>
        </w:rPr>
        <w:t>二、电子证书有关使用要求</w:t>
      </w:r>
    </w:p>
    <w:p>
      <w:pPr>
        <w:tabs>
          <w:tab w:val="left" w:pos="2410"/>
        </w:tabs>
        <w:spacing w:line="360" w:lineRule="auto"/>
        <w:ind w:firstLine="420" w:firstLineChars="200"/>
        <w:rPr>
          <w:rFonts w:ascii="宋体" w:hAnsi="宋体" w:cs="宋体"/>
        </w:rPr>
      </w:pPr>
      <w:r>
        <w:rPr>
          <w:rFonts w:hint="eastAsia" w:ascii="宋体" w:hAnsi="宋体" w:cs="宋体"/>
        </w:rPr>
        <w:t>（一）一级建造师可登录国家政务服务平台、住房和城乡建设部政务服务门户查看和下载电子证书，具体操作流程可查阅《住房和城乡建设部一级建造师电子证照申领和使用手册》。查看和下载电子证书时，本人应确认该证书的使用时限。电子证书使用时限为180天，但使用时限距注册专业有效期或建造师满65周岁不足180天的，使用时限截止日期以注册专业有效期截止日期或建造师满65周岁当日为准。超出使用时限的电子证书无效，需重新下载电子证书并再次确认使用时限。</w:t>
      </w:r>
    </w:p>
    <w:p>
      <w:pPr>
        <w:tabs>
          <w:tab w:val="left" w:pos="2410"/>
        </w:tabs>
        <w:spacing w:line="360" w:lineRule="auto"/>
        <w:ind w:firstLine="420" w:firstLineChars="200"/>
        <w:rPr>
          <w:rFonts w:ascii="宋体" w:hAnsi="宋体" w:cs="宋体"/>
        </w:rPr>
      </w:pPr>
      <w:r>
        <w:rPr>
          <w:rFonts w:hint="eastAsia" w:ascii="宋体" w:hAnsi="宋体" w:cs="宋体"/>
        </w:rPr>
        <w:t>（二）一级建造师打印电子证书后，应在个人签名处手写本人签名，未手写签名或与签名图像笔迹不一致的，该电子证书无效。</w:t>
      </w:r>
    </w:p>
    <w:p>
      <w:pPr>
        <w:tabs>
          <w:tab w:val="left" w:pos="2410"/>
        </w:tabs>
        <w:spacing w:line="360" w:lineRule="auto"/>
        <w:ind w:firstLine="420" w:firstLineChars="200"/>
        <w:rPr>
          <w:rFonts w:ascii="宋体" w:hAnsi="宋体" w:cs="宋体"/>
        </w:rPr>
      </w:pPr>
      <w:r>
        <w:rPr>
          <w:rFonts w:hint="eastAsia" w:ascii="宋体" w:hAnsi="宋体" w:cs="宋体"/>
        </w:rPr>
        <w:t>（三）一级建造师应妥善保管本人的国家政务服务平台账号，因本人保管不善造成账号信息泄露所产生的一切后果由本人承担。</w:t>
      </w:r>
    </w:p>
    <w:p>
      <w:pPr>
        <w:tabs>
          <w:tab w:val="left" w:pos="2410"/>
        </w:tabs>
        <w:spacing w:line="360" w:lineRule="auto"/>
        <w:ind w:firstLine="420" w:firstLineChars="200"/>
        <w:rPr>
          <w:rFonts w:ascii="宋体" w:hAnsi="宋体" w:cs="宋体"/>
        </w:rPr>
      </w:pPr>
      <w:r>
        <w:rPr>
          <w:rFonts w:hint="eastAsia" w:ascii="宋体" w:hAnsi="宋体" w:cs="宋体"/>
        </w:rPr>
        <w:t>（四）有关单位和个人可通过“中国建造师网”微信公众号扫描电子证书上的二维码，查询一级建造师注册信息。</w:t>
      </w:r>
    </w:p>
    <w:p>
      <w:pPr>
        <w:tabs>
          <w:tab w:val="left" w:pos="2410"/>
        </w:tabs>
        <w:spacing w:line="360" w:lineRule="auto"/>
        <w:ind w:firstLine="420" w:firstLineChars="200"/>
        <w:rPr>
          <w:rFonts w:ascii="宋体" w:hAnsi="宋体" w:cs="宋体"/>
        </w:rPr>
      </w:pPr>
      <w:r>
        <w:rPr>
          <w:rFonts w:hint="eastAsia" w:ascii="宋体" w:hAnsi="宋体" w:cs="宋体"/>
        </w:rPr>
        <w:t>（五）电子证书与纸质注册证书的聘用单位信息、个人基本信息、注册专业有效期等不一致的，以电子证书信息为准。电子证书信息发生变更的，需登录国家政务服务平台或住房和城乡建设部政务服务门户重新下载。</w:t>
      </w:r>
    </w:p>
    <w:p>
      <w:pPr>
        <w:tabs>
          <w:tab w:val="left" w:pos="2410"/>
        </w:tabs>
        <w:spacing w:line="360" w:lineRule="auto"/>
        <w:ind w:firstLine="420" w:firstLineChars="200"/>
        <w:rPr>
          <w:rFonts w:ascii="宋体" w:hAnsi="宋体" w:cs="宋体"/>
        </w:rPr>
      </w:pPr>
      <w:r>
        <w:rPr>
          <w:rFonts w:hint="eastAsia" w:ascii="宋体" w:hAnsi="宋体" w:cs="宋体"/>
        </w:rPr>
        <w:t>　　附件：1．一级建造师电子注册证书示例及说明</w:t>
      </w:r>
    </w:p>
    <w:p>
      <w:pPr>
        <w:tabs>
          <w:tab w:val="left" w:pos="2410"/>
        </w:tabs>
        <w:spacing w:line="360" w:lineRule="auto"/>
        <w:ind w:firstLine="420" w:firstLineChars="200"/>
        <w:rPr>
          <w:rFonts w:ascii="宋体" w:hAnsi="宋体" w:cs="宋体"/>
        </w:rPr>
      </w:pPr>
      <w:r>
        <w:rPr>
          <w:rFonts w:hint="eastAsia" w:ascii="宋体" w:hAnsi="宋体" w:cs="宋体"/>
        </w:rPr>
        <w:t>　　　　　2．一级建造师电子注册证书式样</w:t>
      </w:r>
    </w:p>
    <w:p>
      <w:pPr>
        <w:tabs>
          <w:tab w:val="left" w:pos="2410"/>
        </w:tabs>
        <w:spacing w:line="360" w:lineRule="auto"/>
        <w:ind w:firstLine="420" w:firstLineChars="200"/>
        <w:jc w:val="right"/>
        <w:rPr>
          <w:rFonts w:ascii="宋体" w:hAnsi="宋体" w:cs="宋体"/>
        </w:rPr>
      </w:pPr>
      <w:r>
        <w:rPr>
          <w:rFonts w:hint="eastAsia" w:ascii="宋体" w:hAnsi="宋体" w:cs="宋体"/>
        </w:rPr>
        <w:t>　　　　　　　　　　　　　　　　　　　　　　　　　　　　住房和城乡建设部办公厅　　　　　　　　　　　　　　　　　　　　　　　　　　　　　　　　　2021年9月18日</w:t>
      </w:r>
    </w:p>
    <w:p>
      <w:pPr>
        <w:ind w:right="600" w:firstLine="420" w:firstLineChars="200"/>
        <w:rPr>
          <w:rFonts w:ascii="Calibri" w:hAnsi="Calibri"/>
          <w:sz w:val="30"/>
          <w:szCs w:val="30"/>
        </w:rPr>
      </w:pPr>
      <w:r>
        <w:rPr>
          <w:rFonts w:ascii="Calibri" w:hAnsi="Calibri"/>
          <w:szCs w:val="22"/>
        </w:rPr>
        <w:drawing>
          <wp:inline distT="0" distB="0" distL="114300" distR="114300">
            <wp:extent cx="5485130" cy="7316470"/>
            <wp:effectExtent l="0" t="0" r="1270" b="1778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8"/>
                    <a:stretch>
                      <a:fillRect/>
                    </a:stretch>
                  </pic:blipFill>
                  <pic:spPr>
                    <a:xfrm>
                      <a:off x="0" y="0"/>
                      <a:ext cx="5485130" cy="7316470"/>
                    </a:xfrm>
                    <a:prstGeom prst="rect">
                      <a:avLst/>
                    </a:prstGeom>
                    <a:noFill/>
                    <a:ln>
                      <a:noFill/>
                    </a:ln>
                  </pic:spPr>
                </pic:pic>
              </a:graphicData>
            </a:graphic>
          </wp:inline>
        </w:drawing>
      </w:r>
      <w:r>
        <w:rPr>
          <w:rFonts w:ascii="Calibri" w:hAnsi="Calibri"/>
          <w:szCs w:val="22"/>
        </w:rPr>
        <w:drawing>
          <wp:inline distT="0" distB="0" distL="114300" distR="114300">
            <wp:extent cx="5485765" cy="7654290"/>
            <wp:effectExtent l="0" t="0" r="635" b="381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9"/>
                    <a:stretch>
                      <a:fillRect/>
                    </a:stretch>
                  </pic:blipFill>
                  <pic:spPr>
                    <a:xfrm>
                      <a:off x="0" y="0"/>
                      <a:ext cx="5485765" cy="7654290"/>
                    </a:xfrm>
                    <a:prstGeom prst="rect">
                      <a:avLst/>
                    </a:prstGeom>
                    <a:noFill/>
                    <a:ln>
                      <a:noFill/>
                    </a:ln>
                  </pic:spPr>
                </pic:pic>
              </a:graphicData>
            </a:graphic>
          </wp:inline>
        </w:drawing>
      </w:r>
    </w:p>
    <w:p>
      <w:pPr>
        <w:spacing w:line="360" w:lineRule="auto"/>
        <w:rPr>
          <w:rFonts w:asciiTheme="minorEastAsia" w:hAnsiTheme="minorEastAsia" w:eastAsiaTheme="minorEastAsia"/>
          <w:sz w:val="24"/>
        </w:rPr>
      </w:pPr>
      <w:r>
        <w:rPr>
          <w:rFonts w:asciiTheme="minorEastAsia" w:hAnsiTheme="minorEastAsia" w:eastAsiaTheme="minorEastAsia"/>
          <w:sz w:val="24"/>
        </w:rPr>
        <w:br w:type="page"/>
      </w:r>
      <w:bookmarkEnd w:id="32"/>
      <w:bookmarkEnd w:id="33"/>
    </w:p>
    <w:p>
      <w:pPr>
        <w:spacing w:line="360" w:lineRule="auto"/>
        <w:ind w:firstLine="2168" w:firstLineChars="600"/>
        <w:rPr>
          <w:rFonts w:ascii="宋体" w:hAnsi="宋体"/>
          <w:color w:val="000000"/>
          <w:kern w:val="44"/>
          <w:sz w:val="44"/>
          <w:szCs w:val="44"/>
        </w:rPr>
      </w:pPr>
      <w:r>
        <w:rPr>
          <w:rFonts w:hint="eastAsia" w:ascii="Cambria Math" w:hAnsi="Cambria Math"/>
          <w:b/>
          <w:bCs/>
          <w:color w:val="000000"/>
          <w:kern w:val="44"/>
          <w:sz w:val="36"/>
          <w:szCs w:val="44"/>
        </w:rPr>
        <w:t>第三章   建设工程施工合同</w:t>
      </w:r>
    </w:p>
    <w:p>
      <w:pPr>
        <w:pStyle w:val="28"/>
        <w:jc w:val="center"/>
        <w:rPr>
          <w:rFonts w:ascii="宋体"/>
          <w:b/>
          <w:sz w:val="52"/>
          <w:szCs w:val="52"/>
        </w:rPr>
      </w:pPr>
      <w:r>
        <w:rPr>
          <w:rFonts w:hint="eastAsia" w:ascii="宋体"/>
          <w:bCs/>
          <w:sz w:val="28"/>
          <w:szCs w:val="28"/>
        </w:rPr>
        <w:t xml:space="preserve">  </w:t>
      </w:r>
      <w:r>
        <w:rPr>
          <w:rFonts w:hint="eastAsia" w:ascii="宋体"/>
          <w:b/>
          <w:sz w:val="52"/>
          <w:szCs w:val="52"/>
        </w:rPr>
        <w:t>(示范文本)</w:t>
      </w:r>
    </w:p>
    <w:p>
      <w:pPr>
        <w:pStyle w:val="28"/>
        <w:jc w:val="center"/>
        <w:rPr>
          <w:rFonts w:ascii="宋体"/>
          <w:bCs/>
          <w:sz w:val="32"/>
          <w:szCs w:val="32"/>
        </w:rPr>
      </w:pPr>
      <w:r>
        <w:rPr>
          <w:rFonts w:hint="eastAsia" w:ascii="宋体"/>
          <w:bCs/>
          <w:sz w:val="32"/>
          <w:szCs w:val="32"/>
        </w:rPr>
        <w:t>(GF—2017—0201)</w:t>
      </w:r>
    </w:p>
    <w:p>
      <w:pPr>
        <w:jc w:val="center"/>
        <w:rPr>
          <w:rFonts w:ascii="宋体"/>
          <w:bCs/>
          <w:sz w:val="28"/>
          <w:szCs w:val="28"/>
        </w:rPr>
      </w:pPr>
    </w:p>
    <w:p>
      <w:pPr>
        <w:rPr>
          <w:rFonts w:ascii="宋体"/>
          <w:bCs/>
          <w:sz w:val="24"/>
        </w:rPr>
      </w:pPr>
    </w:p>
    <w:p>
      <w:pPr>
        <w:rPr>
          <w:rFonts w:ascii="宋体"/>
          <w:bCs/>
          <w:sz w:val="24"/>
        </w:rPr>
      </w:pPr>
    </w:p>
    <w:p>
      <w:pPr>
        <w:rPr>
          <w:rFonts w:ascii="宋体"/>
          <w:bCs/>
          <w:sz w:val="24"/>
        </w:rPr>
      </w:pPr>
    </w:p>
    <w:p>
      <w:pPr>
        <w:rPr>
          <w:rFonts w:ascii="宋体"/>
          <w:bCs/>
          <w:sz w:val="24"/>
        </w:rPr>
      </w:pPr>
    </w:p>
    <w:p>
      <w:pPr>
        <w:rPr>
          <w:rFonts w:ascii="宋体"/>
          <w:bCs/>
          <w:sz w:val="44"/>
          <w:szCs w:val="44"/>
        </w:rPr>
      </w:pPr>
    </w:p>
    <w:p>
      <w:pPr>
        <w:rPr>
          <w:rFonts w:ascii="宋体"/>
          <w:bCs/>
          <w:sz w:val="44"/>
          <w:szCs w:val="44"/>
        </w:rPr>
      </w:pPr>
    </w:p>
    <w:p>
      <w:pPr>
        <w:rPr>
          <w:rFonts w:ascii="宋体"/>
          <w:bCs/>
          <w:sz w:val="44"/>
          <w:szCs w:val="44"/>
        </w:rPr>
      </w:pPr>
    </w:p>
    <w:p>
      <w:pPr>
        <w:rPr>
          <w:rFonts w:ascii="宋体"/>
          <w:bCs/>
          <w:sz w:val="72"/>
          <w:szCs w:val="72"/>
        </w:rPr>
      </w:pPr>
    </w:p>
    <w:p>
      <w:pPr>
        <w:rPr>
          <w:rFonts w:ascii="宋体"/>
          <w:bCs/>
          <w:sz w:val="72"/>
          <w:szCs w:val="72"/>
        </w:rPr>
      </w:pPr>
    </w:p>
    <w:p>
      <w:pPr>
        <w:rPr>
          <w:rFonts w:ascii="宋体"/>
          <w:bCs/>
          <w:sz w:val="72"/>
          <w:szCs w:val="72"/>
        </w:rPr>
      </w:pPr>
    </w:p>
    <w:p>
      <w:pPr>
        <w:rPr>
          <w:rFonts w:ascii="宋体"/>
          <w:bCs/>
          <w:sz w:val="72"/>
          <w:szCs w:val="72"/>
        </w:rPr>
      </w:pPr>
    </w:p>
    <w:p>
      <w:pPr>
        <w:rPr>
          <w:rFonts w:ascii="宋体"/>
          <w:bCs/>
          <w:sz w:val="72"/>
          <w:szCs w:val="72"/>
        </w:rPr>
      </w:pPr>
    </w:p>
    <w:p>
      <w:pPr>
        <w:rPr>
          <w:rFonts w:ascii="宋体"/>
          <w:bCs/>
          <w:sz w:val="72"/>
          <w:szCs w:val="72"/>
        </w:rPr>
      </w:pPr>
    </w:p>
    <w:p>
      <w:pPr>
        <w:rPr>
          <w:rFonts w:ascii="宋体"/>
          <w:bCs/>
          <w:sz w:val="72"/>
          <w:szCs w:val="72"/>
        </w:rPr>
      </w:pPr>
    </w:p>
    <w:p>
      <w:pPr>
        <w:ind w:right="2719" w:rightChars="1295"/>
        <w:jc w:val="center"/>
        <w:rPr>
          <w:rFonts w:ascii="宋体"/>
          <w:b/>
          <w:sz w:val="28"/>
          <w:szCs w:val="28"/>
        </w:rPr>
      </w:pPr>
      <w:r>
        <w:rPr>
          <w:rFonts w:ascii="宋体"/>
        </w:rPr>
        <mc:AlternateContent>
          <mc:Choice Requires="wps">
            <w:drawing>
              <wp:anchor distT="0" distB="0" distL="114300" distR="114300" simplePos="0" relativeHeight="251663360" behindDoc="0" locked="0" layoutInCell="1" allowOverlap="1">
                <wp:simplePos x="0" y="0"/>
                <wp:positionH relativeFrom="column">
                  <wp:posOffset>3500755</wp:posOffset>
                </wp:positionH>
                <wp:positionV relativeFrom="paragraph">
                  <wp:posOffset>33020</wp:posOffset>
                </wp:positionV>
                <wp:extent cx="716280" cy="475615"/>
                <wp:effectExtent l="4445" t="4445" r="22225" b="15240"/>
                <wp:wrapNone/>
                <wp:docPr id="8" name="文本框 1"/>
                <wp:cNvGraphicFramePr/>
                <a:graphic xmlns:a="http://schemas.openxmlformats.org/drawingml/2006/main">
                  <a:graphicData uri="http://schemas.microsoft.com/office/word/2010/wordprocessingShape">
                    <wps:wsp>
                      <wps:cNvSpPr txBox="1"/>
                      <wps:spPr>
                        <a:xfrm>
                          <a:off x="0" y="0"/>
                          <a:ext cx="716280" cy="475615"/>
                        </a:xfrm>
                        <a:prstGeom prst="rect">
                          <a:avLst/>
                        </a:prstGeom>
                        <a:noFill/>
                        <a:ln w="9525" cap="flat" cmpd="sng">
                          <a:solidFill>
                            <a:srgbClr val="FFFFFF"/>
                          </a:solidFill>
                          <a:prstDash val="solid"/>
                          <a:miter/>
                          <a:headEnd type="none" w="med" len="med"/>
                          <a:tailEnd type="none" w="med" len="med"/>
                        </a:ln>
                        <a:effectLst/>
                      </wps:spPr>
                      <wps:txbx>
                        <w:txbxContent>
                          <w:p>
                            <w:pPr>
                              <w:rPr>
                                <w:b/>
                                <w:bCs/>
                                <w:sz w:val="32"/>
                              </w:rPr>
                            </w:pPr>
                            <w:r>
                              <w:rPr>
                                <w:rFonts w:hint="eastAsia"/>
                                <w:b/>
                                <w:bCs/>
                                <w:sz w:val="32"/>
                              </w:rPr>
                              <w:t>制定</w:t>
                            </w:r>
                          </w:p>
                        </w:txbxContent>
                      </wps:txbx>
                      <wps:bodyPr upright="1"/>
                    </wps:wsp>
                  </a:graphicData>
                </a:graphic>
              </wp:anchor>
            </w:drawing>
          </mc:Choice>
          <mc:Fallback>
            <w:pict>
              <v:shape id="文本框 1" o:spid="_x0000_s1026" o:spt="202" type="#_x0000_t202" style="position:absolute;left:0pt;margin-left:275.65pt;margin-top:2.6pt;height:37.45pt;width:56.4pt;z-index:251663360;mso-width-relative:page;mso-height-relative:page;" filled="f" stroked="t" coordsize="21600,21600" o:gfxdata="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fCHLtgAAAAIAQAADwAAAAAAAAABACAAAAAi&#10;AAAAZHJzL2Rvd25yZXYueG1sUEsBAhQAFAAAAAgAh07iQMCllXUKAgAAGgQAAA4AAAAAAAAAAQAg&#10;AAAAJwEAAGRycy9lMm9Eb2MueG1sUEsFBgAAAAAGAAYAWQEAAKMFAAAAAA==&#10;">
                <v:fill on="f" focussize="0,0"/>
                <v:stroke color="#FFFFFF" joinstyle="miter"/>
                <v:imagedata o:title=""/>
                <o:lock v:ext="edit" aspectratio="f"/>
                <v:textbox>
                  <w:txbxContent>
                    <w:p>
                      <w:pPr>
                        <w:rPr>
                          <w:b/>
                          <w:bCs/>
                          <w:sz w:val="32"/>
                        </w:rPr>
                      </w:pPr>
                      <w:r>
                        <w:rPr>
                          <w:rFonts w:hint="eastAsia"/>
                          <w:b/>
                          <w:bCs/>
                          <w:sz w:val="32"/>
                        </w:rPr>
                        <w:t>制定</w:t>
                      </w:r>
                    </w:p>
                  </w:txbxContent>
                </v:textbox>
              </v:shape>
            </w:pict>
          </mc:Fallback>
        </mc:AlternateContent>
      </w:r>
      <w:r>
        <w:rPr>
          <w:rFonts w:hint="eastAsia" w:ascii="宋体"/>
          <w:b/>
          <w:spacing w:val="70"/>
          <w:kern w:val="0"/>
          <w:sz w:val="28"/>
          <w:szCs w:val="28"/>
        </w:rPr>
        <w:t>住房城乡建设</w:t>
      </w:r>
      <w:r>
        <w:rPr>
          <w:rFonts w:hint="eastAsia" w:ascii="宋体"/>
          <w:b/>
          <w:spacing w:val="1"/>
          <w:kern w:val="0"/>
          <w:sz w:val="28"/>
          <w:szCs w:val="28"/>
        </w:rPr>
        <w:t>部</w:t>
      </w:r>
    </w:p>
    <w:p>
      <w:pPr>
        <w:ind w:right="2719" w:rightChars="1295"/>
        <w:jc w:val="center"/>
        <w:rPr>
          <w:rFonts w:ascii="宋体"/>
          <w:b/>
          <w:sz w:val="28"/>
          <w:szCs w:val="28"/>
        </w:rPr>
      </w:pPr>
      <w:r>
        <w:rPr>
          <w:rFonts w:hint="eastAsia" w:ascii="宋体"/>
          <w:b/>
          <w:sz w:val="28"/>
          <w:szCs w:val="28"/>
        </w:rPr>
        <w:t>国家工商行政管理总局</w:t>
      </w:r>
    </w:p>
    <w:p>
      <w:pPr>
        <w:keepNext/>
        <w:keepLines/>
        <w:spacing w:line="440" w:lineRule="exact"/>
        <w:jc w:val="center"/>
        <w:outlineLvl w:val="2"/>
        <w:rPr>
          <w:rFonts w:ascii="宋体" w:hAnsi="宋体"/>
          <w:bCs/>
          <w:color w:val="000000"/>
          <w:sz w:val="30"/>
          <w:szCs w:val="30"/>
        </w:rPr>
      </w:pPr>
      <w:r>
        <w:rPr>
          <w:rFonts w:hint="eastAsia" w:ascii="宋体" w:hAnsi="宋体"/>
          <w:b/>
          <w:bCs/>
          <w:color w:val="000000"/>
          <w:sz w:val="30"/>
          <w:szCs w:val="30"/>
        </w:rPr>
        <w:t>第一部分</w:t>
      </w:r>
      <w:r>
        <w:rPr>
          <w:rFonts w:ascii="宋体" w:hAnsi="宋体"/>
          <w:b/>
          <w:bCs/>
          <w:color w:val="000000"/>
          <w:sz w:val="30"/>
          <w:szCs w:val="30"/>
        </w:rPr>
        <w:t xml:space="preserve"> </w:t>
      </w:r>
      <w:r>
        <w:rPr>
          <w:rFonts w:hint="eastAsia" w:ascii="宋体" w:hAnsi="宋体"/>
          <w:b/>
          <w:bCs/>
          <w:color w:val="000000"/>
          <w:sz w:val="30"/>
          <w:szCs w:val="30"/>
        </w:rPr>
        <w:t>合同协议书</w:t>
      </w:r>
    </w:p>
    <w:p>
      <w:pPr>
        <w:spacing w:line="360" w:lineRule="auto"/>
        <w:rPr>
          <w:rFonts w:ascii="宋体" w:hAnsi="宋体"/>
          <w:b/>
          <w:szCs w:val="21"/>
          <w:u w:val="single"/>
        </w:rPr>
      </w:pPr>
      <w:bookmarkStart w:id="34" w:name="_Toc404159961"/>
      <w:r>
        <w:rPr>
          <w:rFonts w:hint="eastAsia" w:ascii="宋体" w:hAnsi="宋体"/>
          <w:b/>
          <w:szCs w:val="30"/>
        </w:rPr>
        <w:t>发包</w:t>
      </w:r>
      <w:r>
        <w:rPr>
          <w:rFonts w:hint="eastAsia" w:ascii="宋体" w:hAnsi="宋体"/>
          <w:b/>
          <w:szCs w:val="21"/>
        </w:rPr>
        <w:t>人（全称）：</w:t>
      </w:r>
      <w:r>
        <w:rPr>
          <w:rFonts w:hint="eastAsia" w:ascii="宋体" w:hAnsi="宋体" w:cs="宋体"/>
          <w:b/>
          <w:bCs/>
          <w:szCs w:val="21"/>
          <w:u w:val="single"/>
        </w:rPr>
        <w:t xml:space="preserve">南通市崇川区文峰街道办事处 </w:t>
      </w:r>
    </w:p>
    <w:p>
      <w:pPr>
        <w:spacing w:line="360" w:lineRule="auto"/>
        <w:rPr>
          <w:rFonts w:ascii="宋体" w:hAnsi="宋体"/>
          <w:b/>
          <w:szCs w:val="21"/>
          <w:u w:val="single"/>
        </w:rPr>
      </w:pPr>
      <w:r>
        <w:rPr>
          <w:rFonts w:hint="eastAsia" w:ascii="宋体" w:hAnsi="宋体"/>
          <w:b/>
          <w:szCs w:val="21"/>
        </w:rPr>
        <w:t>承包人（全称）：</w:t>
      </w:r>
    </w:p>
    <w:p>
      <w:pPr>
        <w:spacing w:line="360" w:lineRule="auto"/>
        <w:ind w:firstLine="420" w:firstLineChars="200"/>
        <w:rPr>
          <w:rFonts w:ascii="宋体" w:hAnsi="宋体"/>
          <w:szCs w:val="21"/>
        </w:rPr>
      </w:pPr>
      <w:r>
        <w:rPr>
          <w:rFonts w:hint="eastAsia" w:ascii="宋体" w:hAnsi="宋体"/>
          <w:szCs w:val="21"/>
        </w:rPr>
        <w:t>根据《中华人民共和国民法典》、《中华人民共和国建筑法》及有关法律规定，遵循平等、自愿、公平和诚实信用的原则，双方就工程施工及有关事项协商一致，共同达成如下协议：</w:t>
      </w:r>
    </w:p>
    <w:p>
      <w:pPr>
        <w:keepNext/>
        <w:keepLines/>
        <w:spacing w:line="360" w:lineRule="auto"/>
        <w:outlineLvl w:val="3"/>
        <w:rPr>
          <w:rFonts w:ascii="宋体" w:hAnsi="宋体"/>
          <w:b/>
          <w:szCs w:val="21"/>
        </w:rPr>
      </w:pPr>
      <w:bookmarkStart w:id="35" w:name="_Toc351203481"/>
      <w:r>
        <w:rPr>
          <w:rFonts w:hint="eastAsia" w:ascii="宋体" w:hAnsi="宋体"/>
          <w:b/>
          <w:szCs w:val="21"/>
        </w:rPr>
        <w:t>一、工程概况</w:t>
      </w:r>
      <w:bookmarkEnd w:id="35"/>
    </w:p>
    <w:p>
      <w:pPr>
        <w:spacing w:line="360" w:lineRule="auto"/>
        <w:ind w:firstLine="420" w:firstLineChars="200"/>
        <w:rPr>
          <w:rFonts w:ascii="宋体" w:hAnsi="宋体"/>
          <w:szCs w:val="21"/>
          <w:u w:val="single"/>
        </w:rPr>
      </w:pPr>
      <w:r>
        <w:rPr>
          <w:rFonts w:ascii="宋体" w:hAnsi="宋体"/>
          <w:bCs/>
          <w:szCs w:val="21"/>
        </w:rPr>
        <w:t>1.</w:t>
      </w:r>
      <w:r>
        <w:rPr>
          <w:rFonts w:hint="eastAsia" w:ascii="宋体" w:hAnsi="宋体"/>
          <w:bCs/>
          <w:szCs w:val="21"/>
        </w:rPr>
        <w:t>工程名称</w:t>
      </w:r>
      <w:r>
        <w:rPr>
          <w:rFonts w:hint="eastAsia" w:ascii="宋体" w:hAnsi="宋体"/>
          <w:szCs w:val="21"/>
        </w:rPr>
        <w:t>：</w:t>
      </w:r>
      <w:r>
        <w:rPr>
          <w:rFonts w:hint="eastAsia" w:ascii="宋体" w:hAnsi="宋体"/>
          <w:szCs w:val="21"/>
          <w:u w:val="single"/>
        </w:rPr>
        <w:t xml:space="preserve">                    。</w:t>
      </w:r>
    </w:p>
    <w:p>
      <w:pPr>
        <w:adjustRightInd w:val="0"/>
        <w:snapToGrid w:val="0"/>
        <w:spacing w:line="440" w:lineRule="exact"/>
        <w:ind w:firstLine="420" w:firstLineChars="200"/>
        <w:rPr>
          <w:rFonts w:ascii="宋体" w:hAnsi="宋体"/>
          <w:bCs/>
          <w:szCs w:val="21"/>
        </w:rPr>
      </w:pPr>
      <w:r>
        <w:rPr>
          <w:rFonts w:ascii="宋体" w:hAnsi="宋体"/>
          <w:bCs/>
          <w:szCs w:val="21"/>
        </w:rPr>
        <w:t>2.</w:t>
      </w:r>
      <w:r>
        <w:rPr>
          <w:rFonts w:hint="eastAsia" w:ascii="宋体" w:hAnsi="宋体"/>
          <w:bCs/>
          <w:szCs w:val="21"/>
        </w:rPr>
        <w:t>工程地点：</w:t>
      </w:r>
      <w:r>
        <w:rPr>
          <w:rFonts w:hint="eastAsia"/>
          <w:color w:val="000000"/>
          <w:u w:val="single"/>
        </w:rPr>
        <w:t xml:space="preserve">                    </w:t>
      </w:r>
      <w:r>
        <w:rPr>
          <w:rFonts w:hint="eastAsia" w:ascii="宋体" w:hAnsi="宋体"/>
          <w:szCs w:val="21"/>
          <w:u w:val="single"/>
        </w:rPr>
        <w:t>。</w:t>
      </w:r>
    </w:p>
    <w:p>
      <w:pPr>
        <w:spacing w:line="360" w:lineRule="auto"/>
        <w:ind w:firstLine="420" w:firstLineChars="200"/>
        <w:rPr>
          <w:rFonts w:ascii="宋体" w:hAnsi="宋体"/>
          <w:bCs/>
          <w:szCs w:val="21"/>
        </w:rPr>
      </w:pPr>
      <w:r>
        <w:rPr>
          <w:rFonts w:ascii="宋体" w:hAnsi="宋体"/>
          <w:bCs/>
          <w:szCs w:val="21"/>
        </w:rPr>
        <w:t>3.</w:t>
      </w:r>
      <w:r>
        <w:rPr>
          <w:rFonts w:hint="eastAsia" w:ascii="宋体" w:hAnsi="宋体"/>
          <w:bCs/>
          <w:szCs w:val="21"/>
        </w:rPr>
        <w:t>工程立项批准文号：</w:t>
      </w:r>
      <w:r>
        <w:rPr>
          <w:rFonts w:hint="eastAsia" w:ascii="宋体" w:hAnsi="宋体"/>
          <w:bCs/>
          <w:szCs w:val="21"/>
          <w:u w:val="single"/>
        </w:rPr>
        <w:t xml:space="preserve"> / </w:t>
      </w:r>
      <w:r>
        <w:rPr>
          <w:rFonts w:hint="eastAsia" w:ascii="宋体" w:hAnsi="宋体"/>
          <w:bCs/>
          <w:szCs w:val="21"/>
        </w:rPr>
        <w:t>。</w:t>
      </w:r>
    </w:p>
    <w:p>
      <w:pPr>
        <w:spacing w:line="360" w:lineRule="auto"/>
        <w:ind w:firstLine="420" w:firstLineChars="200"/>
        <w:rPr>
          <w:rFonts w:ascii="宋体" w:hAnsi="宋体"/>
          <w:bCs/>
          <w:szCs w:val="21"/>
        </w:rPr>
      </w:pPr>
      <w:r>
        <w:rPr>
          <w:rFonts w:ascii="宋体" w:hAnsi="宋体"/>
          <w:bCs/>
          <w:szCs w:val="21"/>
        </w:rPr>
        <w:t>4.</w:t>
      </w:r>
      <w:r>
        <w:rPr>
          <w:rFonts w:hint="eastAsia" w:ascii="宋体" w:hAnsi="宋体"/>
          <w:bCs/>
          <w:szCs w:val="21"/>
        </w:rPr>
        <w:t>资金来源：</w:t>
      </w:r>
      <w:r>
        <w:rPr>
          <w:rFonts w:hint="eastAsia" w:ascii="宋体" w:hAnsi="宋体"/>
          <w:bCs/>
          <w:szCs w:val="21"/>
          <w:u w:val="single"/>
        </w:rPr>
        <w:t xml:space="preserve"> 自筹 </w:t>
      </w:r>
      <w:r>
        <w:rPr>
          <w:rFonts w:hint="eastAsia" w:ascii="宋体" w:hAnsi="宋体"/>
          <w:bCs/>
          <w:szCs w:val="21"/>
        </w:rPr>
        <w:t>。</w:t>
      </w:r>
    </w:p>
    <w:p>
      <w:pPr>
        <w:spacing w:line="360" w:lineRule="auto"/>
        <w:ind w:firstLine="420" w:firstLineChars="200"/>
        <w:rPr>
          <w:rFonts w:ascii="宋体" w:hAnsi="宋体"/>
          <w:bCs/>
          <w:szCs w:val="21"/>
        </w:rPr>
      </w:pPr>
      <w:r>
        <w:rPr>
          <w:rFonts w:ascii="宋体" w:hAnsi="宋体"/>
          <w:bCs/>
          <w:szCs w:val="21"/>
        </w:rPr>
        <w:t>5.</w:t>
      </w:r>
      <w:r>
        <w:rPr>
          <w:rFonts w:hint="eastAsia" w:ascii="宋体" w:hAnsi="宋体"/>
          <w:bCs/>
          <w:szCs w:val="21"/>
        </w:rPr>
        <w:t>工程内容：</w:t>
      </w:r>
      <w:r>
        <w:rPr>
          <w:rFonts w:hint="eastAsia" w:ascii="宋体" w:hAnsi="宋体"/>
          <w:bCs/>
          <w:szCs w:val="21"/>
          <w:u w:val="single"/>
        </w:rPr>
        <w:t xml:space="preserve">      </w:t>
      </w:r>
      <w:r>
        <w:rPr>
          <w:rFonts w:hint="eastAsia" w:ascii="宋体" w:hAnsi="宋体" w:cs="宋体"/>
          <w:szCs w:val="21"/>
          <w:u w:val="single"/>
        </w:rPr>
        <w:t>。</w:t>
      </w:r>
    </w:p>
    <w:p>
      <w:pPr>
        <w:spacing w:line="360" w:lineRule="auto"/>
        <w:ind w:firstLine="420" w:firstLineChars="200"/>
        <w:rPr>
          <w:rFonts w:ascii="宋体" w:hAnsi="宋体"/>
          <w:bCs/>
          <w:szCs w:val="30"/>
        </w:rPr>
      </w:pPr>
      <w:r>
        <w:rPr>
          <w:rFonts w:hint="eastAsia" w:ascii="宋体" w:hAnsi="宋体"/>
          <w:szCs w:val="32"/>
        </w:rPr>
        <w:t>群体工程应附《承包人承揽工程项目一览表》（附件</w:t>
      </w:r>
      <w:r>
        <w:rPr>
          <w:rFonts w:ascii="宋体" w:hAnsi="宋体"/>
          <w:szCs w:val="32"/>
        </w:rPr>
        <w:t>1</w:t>
      </w:r>
      <w:r>
        <w:rPr>
          <w:rFonts w:hint="eastAsia" w:ascii="宋体" w:hAnsi="宋体"/>
          <w:szCs w:val="32"/>
        </w:rPr>
        <w:t>）。</w:t>
      </w:r>
    </w:p>
    <w:p>
      <w:pPr>
        <w:spacing w:line="360" w:lineRule="auto"/>
        <w:ind w:firstLine="420" w:firstLineChars="200"/>
        <w:rPr>
          <w:rFonts w:ascii="宋体" w:hAnsi="宋体"/>
          <w:bCs/>
          <w:szCs w:val="30"/>
        </w:rPr>
      </w:pPr>
      <w:r>
        <w:rPr>
          <w:rFonts w:ascii="宋体" w:hAnsi="宋体"/>
          <w:bCs/>
          <w:szCs w:val="30"/>
        </w:rPr>
        <w:t>6.</w:t>
      </w:r>
      <w:r>
        <w:rPr>
          <w:rFonts w:hint="eastAsia" w:ascii="宋体" w:hAnsi="宋体"/>
          <w:bCs/>
          <w:szCs w:val="30"/>
        </w:rPr>
        <w:t>工程承包范围：</w:t>
      </w:r>
      <w:r>
        <w:rPr>
          <w:rFonts w:hint="eastAsia"/>
          <w:bCs/>
          <w:szCs w:val="30"/>
          <w:u w:val="single"/>
        </w:rPr>
        <w:t>同工程内容</w:t>
      </w:r>
      <w:r>
        <w:rPr>
          <w:rFonts w:hint="eastAsia" w:ascii="宋体" w:hAnsi="宋体"/>
          <w:szCs w:val="30"/>
        </w:rPr>
        <w:t>。</w:t>
      </w:r>
    </w:p>
    <w:p>
      <w:pPr>
        <w:keepNext/>
        <w:keepLines/>
        <w:spacing w:line="360" w:lineRule="auto"/>
        <w:outlineLvl w:val="3"/>
        <w:rPr>
          <w:rFonts w:ascii="宋体" w:hAnsi="宋体"/>
          <w:b/>
          <w:szCs w:val="32"/>
        </w:rPr>
      </w:pPr>
      <w:bookmarkStart w:id="36" w:name="_Toc351203482"/>
      <w:r>
        <w:rPr>
          <w:rFonts w:hint="eastAsia" w:ascii="宋体" w:hAnsi="宋体"/>
          <w:b/>
          <w:szCs w:val="32"/>
        </w:rPr>
        <w:t>二、合同工期</w:t>
      </w:r>
      <w:bookmarkEnd w:id="36"/>
    </w:p>
    <w:p>
      <w:pPr>
        <w:spacing w:line="360" w:lineRule="auto"/>
        <w:ind w:firstLine="420" w:firstLineChars="200"/>
        <w:rPr>
          <w:rFonts w:ascii="宋体" w:hAnsi="宋体"/>
          <w:szCs w:val="30"/>
        </w:rPr>
      </w:pPr>
      <w:r>
        <w:rPr>
          <w:rFonts w:hint="eastAsia" w:ascii="宋体" w:hAnsi="宋体"/>
          <w:szCs w:val="30"/>
        </w:rPr>
        <w:t>计划开工日期：2023年</w:t>
      </w:r>
      <w:r>
        <w:rPr>
          <w:rFonts w:hint="eastAsia" w:ascii="宋体" w:hAnsi="宋体"/>
          <w:szCs w:val="30"/>
          <w:u w:val="single"/>
        </w:rPr>
        <w:t xml:space="preserve">   </w:t>
      </w:r>
      <w:r>
        <w:rPr>
          <w:rFonts w:hint="eastAsia" w:ascii="宋体" w:hAnsi="宋体"/>
          <w:szCs w:val="30"/>
        </w:rPr>
        <w:t>月</w:t>
      </w:r>
      <w:r>
        <w:rPr>
          <w:rFonts w:hint="eastAsia" w:ascii="宋体" w:hAnsi="宋体"/>
          <w:szCs w:val="30"/>
          <w:u w:val="single"/>
        </w:rPr>
        <w:t xml:space="preserve">   </w:t>
      </w:r>
      <w:r>
        <w:rPr>
          <w:rFonts w:hint="eastAsia" w:ascii="宋体" w:hAnsi="宋体"/>
          <w:szCs w:val="30"/>
        </w:rPr>
        <w:t>日，竣工日期：</w:t>
      </w:r>
      <w:r>
        <w:rPr>
          <w:rFonts w:hint="eastAsia" w:ascii="宋体" w:hAnsi="宋体"/>
          <w:szCs w:val="30"/>
          <w:u w:val="single"/>
        </w:rPr>
        <w:t xml:space="preserve">   </w:t>
      </w:r>
      <w:r>
        <w:rPr>
          <w:rFonts w:hint="eastAsia" w:ascii="宋体" w:hAnsi="宋体"/>
          <w:szCs w:val="30"/>
        </w:rPr>
        <w:t>年</w:t>
      </w:r>
      <w:r>
        <w:rPr>
          <w:rFonts w:hint="eastAsia" w:ascii="宋体" w:hAnsi="宋体"/>
          <w:szCs w:val="30"/>
          <w:u w:val="single"/>
        </w:rPr>
        <w:t xml:space="preserve">   </w:t>
      </w:r>
      <w:r>
        <w:rPr>
          <w:rFonts w:hint="eastAsia" w:ascii="宋体" w:hAnsi="宋体"/>
          <w:szCs w:val="30"/>
        </w:rPr>
        <w:t>月</w:t>
      </w:r>
      <w:r>
        <w:rPr>
          <w:rFonts w:hint="eastAsia" w:ascii="宋体" w:hAnsi="宋体"/>
          <w:szCs w:val="30"/>
          <w:u w:val="single"/>
        </w:rPr>
        <w:t xml:space="preserve">   </w:t>
      </w:r>
      <w:r>
        <w:rPr>
          <w:rFonts w:hint="eastAsia" w:ascii="宋体" w:hAnsi="宋体"/>
          <w:szCs w:val="30"/>
        </w:rPr>
        <w:t>日。</w:t>
      </w:r>
    </w:p>
    <w:p>
      <w:pPr>
        <w:spacing w:line="360" w:lineRule="auto"/>
        <w:ind w:firstLine="420" w:firstLineChars="200"/>
        <w:rPr>
          <w:rFonts w:ascii="宋体" w:hAnsi="宋体"/>
          <w:szCs w:val="30"/>
        </w:rPr>
      </w:pPr>
      <w:r>
        <w:rPr>
          <w:rFonts w:hint="eastAsia" w:ascii="宋体" w:hAnsi="宋体"/>
          <w:szCs w:val="30"/>
        </w:rPr>
        <w:t>工期总日历天数：</w:t>
      </w:r>
      <w:r>
        <w:rPr>
          <w:rFonts w:hint="eastAsia" w:ascii="宋体" w:hAnsi="宋体"/>
          <w:szCs w:val="30"/>
          <w:u w:val="single"/>
        </w:rPr>
        <w:t xml:space="preserve">       </w:t>
      </w:r>
      <w:r>
        <w:rPr>
          <w:rFonts w:hint="eastAsia" w:ascii="宋体" w:hAnsi="宋体"/>
          <w:szCs w:val="30"/>
        </w:rPr>
        <w:t>日历天。工期总日历天数与根据前述计划开竣工日期计算的工期天数不一致的，以工期总日历天数为准。</w:t>
      </w:r>
    </w:p>
    <w:p>
      <w:pPr>
        <w:keepNext/>
        <w:keepLines/>
        <w:spacing w:line="360" w:lineRule="auto"/>
        <w:outlineLvl w:val="3"/>
        <w:rPr>
          <w:rFonts w:ascii="宋体" w:hAnsi="宋体"/>
          <w:b/>
          <w:szCs w:val="32"/>
        </w:rPr>
      </w:pPr>
      <w:bookmarkStart w:id="37" w:name="_Toc351203483"/>
      <w:r>
        <w:rPr>
          <w:rFonts w:hint="eastAsia" w:ascii="宋体" w:hAnsi="宋体"/>
          <w:b/>
          <w:szCs w:val="32"/>
        </w:rPr>
        <w:t>三、质量标准</w:t>
      </w:r>
      <w:bookmarkEnd w:id="37"/>
    </w:p>
    <w:p>
      <w:pPr>
        <w:spacing w:line="360" w:lineRule="auto"/>
        <w:ind w:firstLine="420" w:firstLineChars="200"/>
        <w:rPr>
          <w:rFonts w:ascii="宋体" w:hAnsi="宋体"/>
          <w:szCs w:val="30"/>
        </w:rPr>
      </w:pPr>
      <w:r>
        <w:rPr>
          <w:rFonts w:hint="eastAsia" w:ascii="宋体" w:hAnsi="宋体"/>
          <w:szCs w:val="30"/>
        </w:rPr>
        <w:t>工程质量符合标准。</w:t>
      </w:r>
    </w:p>
    <w:p>
      <w:pPr>
        <w:keepNext/>
        <w:keepLines/>
        <w:spacing w:line="360" w:lineRule="auto"/>
        <w:outlineLvl w:val="3"/>
        <w:rPr>
          <w:rFonts w:ascii="宋体" w:hAnsi="宋体"/>
          <w:b/>
          <w:szCs w:val="32"/>
        </w:rPr>
      </w:pPr>
      <w:bookmarkStart w:id="38" w:name="_Toc351203484"/>
      <w:r>
        <w:rPr>
          <w:rFonts w:hint="eastAsia" w:ascii="宋体" w:hAnsi="宋体"/>
          <w:b/>
          <w:szCs w:val="32"/>
        </w:rPr>
        <w:t>四、签约合同价与合同价格形式</w:t>
      </w:r>
      <w:bookmarkEnd w:id="38"/>
      <w:r>
        <w:rPr>
          <w:rFonts w:ascii="宋体" w:hAnsi="宋体"/>
          <w:b/>
          <w:szCs w:val="32"/>
        </w:rPr>
        <w:tab/>
      </w:r>
    </w:p>
    <w:p>
      <w:pPr>
        <w:spacing w:line="360" w:lineRule="auto"/>
        <w:ind w:firstLine="420" w:firstLineChars="200"/>
        <w:rPr>
          <w:rFonts w:ascii="宋体" w:hAnsi="宋体"/>
          <w:szCs w:val="30"/>
        </w:rPr>
      </w:pPr>
      <w:r>
        <w:rPr>
          <w:rFonts w:ascii="宋体" w:hAnsi="宋体"/>
          <w:szCs w:val="30"/>
        </w:rPr>
        <w:t>1.</w:t>
      </w:r>
      <w:r>
        <w:rPr>
          <w:rFonts w:hint="eastAsia" w:ascii="宋体" w:hAnsi="宋体"/>
          <w:szCs w:val="30"/>
        </w:rPr>
        <w:t>签约合同价为：</w:t>
      </w:r>
    </w:p>
    <w:p>
      <w:pPr>
        <w:spacing w:line="360" w:lineRule="auto"/>
        <w:ind w:firstLine="420" w:firstLineChars="200"/>
        <w:rPr>
          <w:rFonts w:ascii="宋体" w:hAnsi="宋体"/>
          <w:szCs w:val="30"/>
        </w:rPr>
      </w:pPr>
      <w:r>
        <w:rPr>
          <w:rFonts w:hint="eastAsia" w:ascii="宋体" w:hAnsi="宋体"/>
          <w:szCs w:val="30"/>
        </w:rPr>
        <w:t>人民币（大写：</w:t>
      </w:r>
      <w:r>
        <w:rPr>
          <w:rFonts w:hint="eastAsia" w:ascii="宋体" w:hAnsi="宋体"/>
          <w:szCs w:val="30"/>
          <w:u w:val="single"/>
        </w:rPr>
        <w:t xml:space="preserve">         </w:t>
      </w:r>
      <w:r>
        <w:rPr>
          <w:rFonts w:hint="eastAsia" w:ascii="宋体" w:hAnsi="宋体"/>
          <w:szCs w:val="30"/>
        </w:rPr>
        <w:t>）</w:t>
      </w:r>
      <w:r>
        <w:rPr>
          <w:rFonts w:ascii="宋体" w:hAnsi="宋体"/>
          <w:szCs w:val="30"/>
        </w:rPr>
        <w:t>(¥</w:t>
      </w:r>
      <w:r>
        <w:rPr>
          <w:rFonts w:hint="eastAsia" w:ascii="宋体" w:hAnsi="宋体"/>
          <w:szCs w:val="30"/>
        </w:rPr>
        <w:t>:</w:t>
      </w:r>
      <w:r>
        <w:rPr>
          <w:rFonts w:hint="eastAsia" w:ascii="宋体" w:hAnsi="宋体"/>
          <w:szCs w:val="30"/>
          <w:u w:val="single"/>
        </w:rPr>
        <w:t xml:space="preserve">             </w:t>
      </w:r>
      <w:r>
        <w:rPr>
          <w:rFonts w:hint="eastAsia" w:ascii="宋体" w:hAnsi="宋体"/>
          <w:szCs w:val="30"/>
        </w:rPr>
        <w:t xml:space="preserve"> 元</w:t>
      </w:r>
      <w:r>
        <w:rPr>
          <w:rFonts w:ascii="宋体" w:hAnsi="宋体"/>
          <w:szCs w:val="30"/>
        </w:rPr>
        <w:t>)</w:t>
      </w:r>
      <w:r>
        <w:rPr>
          <w:rFonts w:hint="eastAsia" w:ascii="宋体" w:hAnsi="宋体"/>
          <w:szCs w:val="30"/>
        </w:rPr>
        <w:t>；</w:t>
      </w:r>
    </w:p>
    <w:p>
      <w:pPr>
        <w:spacing w:line="360" w:lineRule="auto"/>
        <w:ind w:firstLine="420" w:firstLineChars="200"/>
        <w:rPr>
          <w:rFonts w:ascii="宋体" w:hAnsi="宋体"/>
          <w:szCs w:val="30"/>
        </w:rPr>
      </w:pPr>
      <w:r>
        <w:rPr>
          <w:rFonts w:hint="eastAsia" w:ascii="宋体" w:hAnsi="宋体"/>
          <w:szCs w:val="30"/>
        </w:rPr>
        <w:t>其中：</w:t>
      </w:r>
    </w:p>
    <w:p>
      <w:pPr>
        <w:spacing w:line="360" w:lineRule="auto"/>
        <w:ind w:firstLine="420" w:firstLineChars="200"/>
        <w:rPr>
          <w:rFonts w:ascii="宋体" w:hAnsi="宋体"/>
          <w:szCs w:val="30"/>
        </w:rPr>
      </w:pPr>
      <w:r>
        <w:rPr>
          <w:rFonts w:hint="eastAsia" w:ascii="宋体" w:hAnsi="宋体"/>
          <w:szCs w:val="30"/>
        </w:rPr>
        <w:t>（</w:t>
      </w:r>
      <w:r>
        <w:rPr>
          <w:rFonts w:ascii="宋体" w:hAnsi="宋体"/>
          <w:szCs w:val="30"/>
        </w:rPr>
        <w:t>1</w:t>
      </w:r>
      <w:r>
        <w:rPr>
          <w:rFonts w:hint="eastAsia" w:ascii="宋体" w:hAnsi="宋体"/>
          <w:szCs w:val="30"/>
        </w:rPr>
        <w:t>）安全文明施工费：</w:t>
      </w:r>
    </w:p>
    <w:p>
      <w:pPr>
        <w:spacing w:line="360" w:lineRule="auto"/>
        <w:ind w:firstLine="420" w:firstLineChars="200"/>
        <w:rPr>
          <w:rFonts w:ascii="宋体" w:hAnsi="宋体"/>
          <w:szCs w:val="30"/>
        </w:rPr>
      </w:pPr>
      <w:r>
        <w:rPr>
          <w:rFonts w:hint="eastAsia" w:ascii="宋体" w:hAnsi="宋体"/>
          <w:szCs w:val="30"/>
        </w:rPr>
        <w:t>人民币（大写）</w:t>
      </w:r>
      <w:r>
        <w:rPr>
          <w:rFonts w:hint="eastAsia" w:ascii="宋体" w:hAnsi="宋体"/>
          <w:szCs w:val="30"/>
          <w:u w:val="single"/>
        </w:rPr>
        <w:t xml:space="preserve">                                 </w:t>
      </w:r>
      <w:r>
        <w:rPr>
          <w:rFonts w:ascii="宋体" w:hAnsi="宋体"/>
          <w:szCs w:val="30"/>
        </w:rPr>
        <w:t>(¥</w:t>
      </w:r>
      <w:r>
        <w:rPr>
          <w:rFonts w:hint="eastAsia" w:ascii="宋体" w:hAnsi="宋体"/>
          <w:szCs w:val="30"/>
          <w:u w:val="single"/>
        </w:rPr>
        <w:t xml:space="preserve">              </w:t>
      </w:r>
      <w:r>
        <w:rPr>
          <w:rFonts w:hint="eastAsia" w:ascii="宋体" w:hAnsi="宋体"/>
          <w:szCs w:val="30"/>
        </w:rPr>
        <w:t>元</w:t>
      </w:r>
      <w:r>
        <w:rPr>
          <w:rFonts w:ascii="宋体" w:hAnsi="宋体"/>
          <w:szCs w:val="30"/>
        </w:rPr>
        <w:t>)</w:t>
      </w:r>
      <w:r>
        <w:rPr>
          <w:rFonts w:hint="eastAsia" w:ascii="宋体" w:hAnsi="宋体"/>
          <w:szCs w:val="30"/>
        </w:rPr>
        <w:t>；</w:t>
      </w:r>
    </w:p>
    <w:p>
      <w:pPr>
        <w:spacing w:line="360" w:lineRule="auto"/>
        <w:ind w:firstLine="420" w:firstLineChars="200"/>
        <w:rPr>
          <w:rFonts w:ascii="宋体" w:hAnsi="宋体"/>
          <w:szCs w:val="30"/>
        </w:rPr>
      </w:pPr>
      <w:r>
        <w:rPr>
          <w:rFonts w:hint="eastAsia" w:ascii="宋体" w:hAnsi="宋体"/>
          <w:szCs w:val="30"/>
        </w:rPr>
        <w:t>（</w:t>
      </w:r>
      <w:r>
        <w:rPr>
          <w:rFonts w:ascii="宋体" w:hAnsi="宋体"/>
          <w:szCs w:val="30"/>
        </w:rPr>
        <w:t>2</w:t>
      </w:r>
      <w:r>
        <w:rPr>
          <w:rFonts w:hint="eastAsia" w:ascii="宋体" w:hAnsi="宋体"/>
          <w:szCs w:val="30"/>
        </w:rPr>
        <w:t>）材料和工程设备暂估价金额：</w:t>
      </w:r>
    </w:p>
    <w:p>
      <w:pPr>
        <w:spacing w:line="360" w:lineRule="auto"/>
        <w:ind w:firstLine="420" w:firstLineChars="200"/>
        <w:rPr>
          <w:rFonts w:ascii="宋体" w:hAnsi="宋体"/>
          <w:szCs w:val="30"/>
        </w:rPr>
      </w:pPr>
      <w:r>
        <w:rPr>
          <w:rFonts w:hint="eastAsia" w:ascii="宋体" w:hAnsi="宋体"/>
          <w:szCs w:val="30"/>
        </w:rPr>
        <w:t>人民币（大写）</w:t>
      </w:r>
      <w:r>
        <w:rPr>
          <w:rFonts w:hint="eastAsia" w:ascii="宋体" w:hAnsi="宋体"/>
          <w:bCs/>
          <w:szCs w:val="30"/>
          <w:u w:val="single"/>
        </w:rPr>
        <w:t xml:space="preserve">                                 </w:t>
      </w:r>
      <w:r>
        <w:rPr>
          <w:rFonts w:ascii="宋体" w:hAnsi="宋体"/>
          <w:szCs w:val="30"/>
        </w:rPr>
        <w:t xml:space="preserve"> (¥</w:t>
      </w:r>
      <w:r>
        <w:rPr>
          <w:rFonts w:hint="eastAsia" w:ascii="宋体" w:hAnsi="宋体"/>
          <w:bCs/>
          <w:szCs w:val="30"/>
          <w:u w:val="single"/>
        </w:rPr>
        <w:t xml:space="preserve">              </w:t>
      </w:r>
      <w:r>
        <w:rPr>
          <w:rFonts w:hint="eastAsia" w:ascii="宋体" w:hAnsi="宋体"/>
          <w:szCs w:val="30"/>
        </w:rPr>
        <w:t>元</w:t>
      </w:r>
      <w:r>
        <w:rPr>
          <w:rFonts w:ascii="宋体" w:hAnsi="宋体"/>
          <w:szCs w:val="30"/>
        </w:rPr>
        <w:t>)</w:t>
      </w:r>
      <w:r>
        <w:rPr>
          <w:rFonts w:hint="eastAsia" w:ascii="宋体" w:hAnsi="宋体"/>
          <w:szCs w:val="30"/>
        </w:rPr>
        <w:t>；</w:t>
      </w:r>
    </w:p>
    <w:p>
      <w:pPr>
        <w:spacing w:line="360" w:lineRule="auto"/>
        <w:ind w:firstLine="420" w:firstLineChars="200"/>
        <w:rPr>
          <w:rFonts w:ascii="宋体" w:hAnsi="宋体"/>
          <w:szCs w:val="30"/>
        </w:rPr>
      </w:pPr>
      <w:r>
        <w:rPr>
          <w:rFonts w:hint="eastAsia" w:ascii="宋体" w:hAnsi="宋体"/>
          <w:szCs w:val="30"/>
        </w:rPr>
        <w:t>（</w:t>
      </w:r>
      <w:r>
        <w:rPr>
          <w:rFonts w:ascii="宋体" w:hAnsi="宋体"/>
          <w:szCs w:val="30"/>
        </w:rPr>
        <w:t>3</w:t>
      </w:r>
      <w:r>
        <w:rPr>
          <w:rFonts w:hint="eastAsia" w:ascii="宋体" w:hAnsi="宋体"/>
          <w:szCs w:val="30"/>
        </w:rPr>
        <w:t>）专业工程暂估价金额：</w:t>
      </w:r>
    </w:p>
    <w:p>
      <w:pPr>
        <w:spacing w:line="360" w:lineRule="auto"/>
        <w:ind w:firstLine="420" w:firstLineChars="200"/>
        <w:rPr>
          <w:rFonts w:ascii="宋体" w:hAnsi="宋体"/>
          <w:szCs w:val="30"/>
        </w:rPr>
      </w:pPr>
      <w:r>
        <w:rPr>
          <w:rFonts w:hint="eastAsia" w:ascii="宋体" w:hAnsi="宋体"/>
          <w:szCs w:val="30"/>
        </w:rPr>
        <w:t>人民币（大写）</w:t>
      </w:r>
      <w:r>
        <w:rPr>
          <w:rFonts w:hint="eastAsia" w:ascii="宋体" w:hAnsi="宋体"/>
          <w:bCs/>
          <w:szCs w:val="30"/>
          <w:u w:val="single"/>
        </w:rPr>
        <w:t xml:space="preserve">                                 </w:t>
      </w:r>
      <w:r>
        <w:rPr>
          <w:rFonts w:ascii="宋体" w:hAnsi="宋体"/>
          <w:szCs w:val="30"/>
        </w:rPr>
        <w:t xml:space="preserve"> (¥</w:t>
      </w:r>
      <w:r>
        <w:rPr>
          <w:rFonts w:hint="eastAsia" w:ascii="宋体" w:hAnsi="宋体"/>
          <w:bCs/>
          <w:szCs w:val="30"/>
          <w:u w:val="single"/>
        </w:rPr>
        <w:t xml:space="preserve">              </w:t>
      </w:r>
      <w:r>
        <w:rPr>
          <w:rFonts w:hint="eastAsia" w:ascii="宋体" w:hAnsi="宋体"/>
          <w:szCs w:val="30"/>
        </w:rPr>
        <w:t>元</w:t>
      </w:r>
      <w:r>
        <w:rPr>
          <w:rFonts w:ascii="宋体" w:hAnsi="宋体"/>
          <w:szCs w:val="30"/>
        </w:rPr>
        <w:t xml:space="preserve">) </w:t>
      </w:r>
      <w:r>
        <w:rPr>
          <w:rFonts w:hint="eastAsia" w:ascii="宋体" w:hAnsi="宋体"/>
          <w:szCs w:val="30"/>
        </w:rPr>
        <w:t>；</w:t>
      </w:r>
    </w:p>
    <w:p>
      <w:pPr>
        <w:spacing w:line="360" w:lineRule="auto"/>
        <w:ind w:firstLine="420" w:firstLineChars="200"/>
        <w:rPr>
          <w:rFonts w:ascii="宋体" w:hAnsi="宋体"/>
          <w:szCs w:val="30"/>
        </w:rPr>
      </w:pPr>
      <w:r>
        <w:rPr>
          <w:rFonts w:hint="eastAsia" w:ascii="宋体" w:hAnsi="宋体"/>
          <w:szCs w:val="30"/>
        </w:rPr>
        <w:t>（</w:t>
      </w:r>
      <w:r>
        <w:rPr>
          <w:rFonts w:ascii="宋体" w:hAnsi="宋体"/>
          <w:szCs w:val="30"/>
        </w:rPr>
        <w:t>4</w:t>
      </w:r>
      <w:r>
        <w:rPr>
          <w:rFonts w:hint="eastAsia" w:ascii="宋体" w:hAnsi="宋体"/>
          <w:szCs w:val="30"/>
        </w:rPr>
        <w:t>）暂列金额：</w:t>
      </w:r>
    </w:p>
    <w:p>
      <w:pPr>
        <w:spacing w:line="360" w:lineRule="auto"/>
        <w:ind w:firstLine="420" w:firstLineChars="200"/>
        <w:rPr>
          <w:rFonts w:ascii="宋体" w:hAnsi="宋体"/>
          <w:szCs w:val="30"/>
        </w:rPr>
      </w:pPr>
      <w:r>
        <w:rPr>
          <w:rFonts w:hint="eastAsia" w:ascii="宋体" w:hAnsi="宋体"/>
          <w:szCs w:val="30"/>
        </w:rPr>
        <w:t>人民币（大写）</w:t>
      </w:r>
      <w:r>
        <w:rPr>
          <w:rFonts w:hint="eastAsia" w:ascii="宋体" w:hAnsi="宋体"/>
          <w:bCs/>
          <w:szCs w:val="30"/>
          <w:u w:val="single"/>
        </w:rPr>
        <w:t xml:space="preserve">                                 </w:t>
      </w:r>
      <w:r>
        <w:rPr>
          <w:rFonts w:ascii="宋体" w:hAnsi="宋体"/>
          <w:szCs w:val="30"/>
        </w:rPr>
        <w:t xml:space="preserve"> (¥</w:t>
      </w:r>
      <w:r>
        <w:rPr>
          <w:rFonts w:hint="eastAsia" w:ascii="宋体" w:hAnsi="宋体"/>
          <w:bCs/>
          <w:szCs w:val="30"/>
          <w:u w:val="single"/>
        </w:rPr>
        <w:t xml:space="preserve">              </w:t>
      </w:r>
      <w:r>
        <w:rPr>
          <w:rFonts w:hint="eastAsia" w:ascii="宋体" w:hAnsi="宋体"/>
          <w:szCs w:val="30"/>
        </w:rPr>
        <w:t>元</w:t>
      </w:r>
      <w:r>
        <w:rPr>
          <w:rFonts w:ascii="宋体" w:hAnsi="宋体"/>
          <w:szCs w:val="30"/>
        </w:rPr>
        <w:t>)</w:t>
      </w:r>
      <w:r>
        <w:rPr>
          <w:rFonts w:hint="eastAsia" w:ascii="宋体" w:hAnsi="宋体"/>
          <w:szCs w:val="30"/>
        </w:rPr>
        <w:t>。</w:t>
      </w:r>
    </w:p>
    <w:p>
      <w:pPr>
        <w:spacing w:line="360" w:lineRule="auto"/>
        <w:ind w:firstLine="420" w:firstLineChars="200"/>
        <w:rPr>
          <w:rFonts w:ascii="宋体" w:hAnsi="宋体"/>
          <w:szCs w:val="30"/>
        </w:rPr>
      </w:pPr>
      <w:r>
        <w:rPr>
          <w:rFonts w:ascii="宋体" w:hAnsi="宋体"/>
          <w:szCs w:val="30"/>
        </w:rPr>
        <w:t>2.</w:t>
      </w:r>
      <w:r>
        <w:rPr>
          <w:rFonts w:hint="eastAsia" w:ascii="宋体" w:hAnsi="宋体"/>
          <w:szCs w:val="30"/>
        </w:rPr>
        <w:t>合同价格形式：</w:t>
      </w:r>
      <w:r>
        <w:rPr>
          <w:rFonts w:hint="eastAsia" w:ascii="宋体" w:hAnsi="宋体" w:cs="宋体"/>
          <w:b/>
          <w:szCs w:val="21"/>
          <w:u w:val="single"/>
        </w:rPr>
        <w:t xml:space="preserve">固定单价合同 </w:t>
      </w:r>
      <w:r>
        <w:rPr>
          <w:rFonts w:hint="eastAsia" w:ascii="宋体" w:hAnsi="宋体"/>
          <w:szCs w:val="30"/>
        </w:rPr>
        <w:t>。</w:t>
      </w:r>
    </w:p>
    <w:p>
      <w:pPr>
        <w:keepNext/>
        <w:keepLines/>
        <w:spacing w:line="360" w:lineRule="auto"/>
        <w:outlineLvl w:val="3"/>
        <w:rPr>
          <w:rFonts w:ascii="宋体" w:hAnsi="宋体"/>
          <w:b/>
          <w:szCs w:val="32"/>
        </w:rPr>
      </w:pPr>
      <w:bookmarkStart w:id="39" w:name="_Toc351203485"/>
      <w:r>
        <w:rPr>
          <w:rFonts w:hint="eastAsia" w:ascii="宋体" w:hAnsi="宋体"/>
          <w:b/>
          <w:szCs w:val="32"/>
        </w:rPr>
        <w:t>五、</w:t>
      </w:r>
      <w:bookmarkEnd w:id="39"/>
      <w:r>
        <w:rPr>
          <w:rFonts w:hint="eastAsia" w:ascii="宋体" w:hAnsi="宋体"/>
          <w:b/>
          <w:szCs w:val="32"/>
        </w:rPr>
        <w:t>项目经理</w:t>
      </w:r>
    </w:p>
    <w:p>
      <w:pPr>
        <w:spacing w:line="360" w:lineRule="auto"/>
        <w:ind w:firstLine="420" w:firstLineChars="200"/>
        <w:rPr>
          <w:rFonts w:ascii="宋体" w:hAnsi="宋体" w:cs="宋体"/>
          <w:szCs w:val="21"/>
        </w:rPr>
      </w:pPr>
      <w:r>
        <w:rPr>
          <w:rFonts w:hint="eastAsia" w:ascii="宋体" w:hAnsi="宋体"/>
          <w:szCs w:val="30"/>
        </w:rPr>
        <w:t>承包人项</w:t>
      </w:r>
      <w:r>
        <w:rPr>
          <w:rFonts w:hint="eastAsia" w:ascii="宋体" w:hAnsi="宋体"/>
          <w:szCs w:val="21"/>
        </w:rPr>
        <w:t>目经理：</w:t>
      </w:r>
      <w:r>
        <w:rPr>
          <w:rFonts w:hint="eastAsia" w:ascii="宋体" w:hAnsi="宋体" w:cs="宋体"/>
          <w:szCs w:val="21"/>
        </w:rPr>
        <w:t>。</w:t>
      </w:r>
    </w:p>
    <w:p>
      <w:pPr>
        <w:keepNext/>
        <w:keepLines/>
        <w:spacing w:line="360" w:lineRule="auto"/>
        <w:outlineLvl w:val="3"/>
        <w:rPr>
          <w:rFonts w:ascii="宋体" w:hAnsi="宋体"/>
          <w:b/>
          <w:szCs w:val="32"/>
        </w:rPr>
      </w:pPr>
      <w:bookmarkStart w:id="40" w:name="_Toc351203486"/>
      <w:r>
        <w:rPr>
          <w:rFonts w:hint="eastAsia" w:ascii="宋体" w:hAnsi="宋体"/>
          <w:b/>
          <w:szCs w:val="32"/>
        </w:rPr>
        <w:t>六、合同文件构成</w:t>
      </w:r>
      <w:bookmarkEnd w:id="40"/>
    </w:p>
    <w:p>
      <w:pPr>
        <w:spacing w:line="360" w:lineRule="auto"/>
        <w:ind w:firstLine="420" w:firstLineChars="200"/>
        <w:rPr>
          <w:rFonts w:ascii="宋体" w:hAnsi="宋体"/>
          <w:bCs/>
          <w:szCs w:val="30"/>
        </w:rPr>
      </w:pPr>
      <w:r>
        <w:rPr>
          <w:rFonts w:hint="eastAsia" w:ascii="宋体" w:hAnsi="宋体"/>
          <w:bCs/>
          <w:szCs w:val="30"/>
        </w:rPr>
        <w:t>本协议书与下列文件一起构成合同文件：</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1</w:t>
      </w:r>
      <w:r>
        <w:rPr>
          <w:rFonts w:hint="eastAsia" w:ascii="宋体" w:hAnsi="宋体"/>
          <w:szCs w:val="30"/>
        </w:rPr>
        <w:t>）中标通知书（如果有）；</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2</w:t>
      </w:r>
      <w:r>
        <w:rPr>
          <w:rFonts w:hint="eastAsia" w:ascii="宋体" w:hAnsi="宋体"/>
          <w:szCs w:val="30"/>
        </w:rPr>
        <w:t>）投标函及其附录（如果有）；</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3</w:t>
      </w:r>
      <w:r>
        <w:rPr>
          <w:rFonts w:hint="eastAsia" w:ascii="宋体" w:hAnsi="宋体"/>
          <w:szCs w:val="30"/>
        </w:rPr>
        <w:t>）专用合同条款及其附件；</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4</w:t>
      </w:r>
      <w:r>
        <w:rPr>
          <w:rFonts w:hint="eastAsia" w:ascii="宋体" w:hAnsi="宋体"/>
          <w:szCs w:val="30"/>
        </w:rPr>
        <w:t>）通用合同条款；</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5</w:t>
      </w:r>
      <w:r>
        <w:rPr>
          <w:rFonts w:hint="eastAsia" w:ascii="宋体" w:hAnsi="宋体"/>
          <w:szCs w:val="30"/>
        </w:rPr>
        <w:t>）技术标准和要求；</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6</w:t>
      </w:r>
      <w:r>
        <w:rPr>
          <w:rFonts w:hint="eastAsia" w:ascii="宋体" w:hAnsi="宋体"/>
          <w:szCs w:val="30"/>
        </w:rPr>
        <w:t>）图纸；</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7</w:t>
      </w:r>
      <w:r>
        <w:rPr>
          <w:rFonts w:hint="eastAsia" w:ascii="宋体" w:hAnsi="宋体"/>
          <w:szCs w:val="30"/>
        </w:rPr>
        <w:t>）已标价工程量清单或预算书；</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w:t>
      </w:r>
      <w:r>
        <w:rPr>
          <w:rFonts w:ascii="宋体" w:hAnsi="宋体"/>
          <w:szCs w:val="30"/>
        </w:rPr>
        <w:t>8</w:t>
      </w:r>
      <w:r>
        <w:rPr>
          <w:rFonts w:hint="eastAsia" w:ascii="宋体" w:hAnsi="宋体"/>
          <w:szCs w:val="30"/>
        </w:rPr>
        <w:t>）其他合同文件。</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在合同订立及履行过程中形成的与合同有关的文件均构成合同文件组成部分。</w:t>
      </w:r>
    </w:p>
    <w:p>
      <w:pPr>
        <w:autoSpaceDE w:val="0"/>
        <w:autoSpaceDN w:val="0"/>
        <w:adjustRightInd w:val="0"/>
        <w:spacing w:line="360" w:lineRule="auto"/>
        <w:ind w:firstLine="420" w:firstLineChars="200"/>
        <w:jc w:val="left"/>
        <w:rPr>
          <w:rFonts w:ascii="宋体" w:hAnsi="宋体"/>
          <w:szCs w:val="30"/>
        </w:rPr>
      </w:pPr>
      <w:r>
        <w:rPr>
          <w:rFonts w:hint="eastAsia" w:ascii="宋体" w:hAnsi="宋体"/>
          <w:szCs w:val="30"/>
        </w:rPr>
        <w:t>上述各项合同文件包括合同当事人就该项合同文件所作出的补充和修改，属于同一类内容的文件，应以最新签署的为准。专用合同条款及其附件须经合同当事人签字或盖章。</w:t>
      </w:r>
    </w:p>
    <w:p>
      <w:pPr>
        <w:keepNext/>
        <w:keepLines/>
        <w:spacing w:line="360" w:lineRule="auto"/>
        <w:outlineLvl w:val="3"/>
        <w:rPr>
          <w:rFonts w:ascii="宋体" w:hAnsi="宋体"/>
          <w:b/>
          <w:bCs/>
          <w:szCs w:val="32"/>
        </w:rPr>
      </w:pPr>
      <w:bookmarkStart w:id="41" w:name="_Toc351203487"/>
      <w:r>
        <w:rPr>
          <w:rFonts w:hint="eastAsia" w:ascii="宋体" w:hAnsi="宋体"/>
          <w:b/>
          <w:bCs/>
          <w:szCs w:val="32"/>
        </w:rPr>
        <w:t>七、承诺</w:t>
      </w:r>
      <w:bookmarkEnd w:id="41"/>
    </w:p>
    <w:p>
      <w:pPr>
        <w:spacing w:line="360" w:lineRule="auto"/>
        <w:ind w:firstLine="420" w:firstLineChars="200"/>
        <w:rPr>
          <w:rFonts w:ascii="宋体" w:hAnsi="宋体"/>
          <w:bCs/>
          <w:szCs w:val="30"/>
        </w:rPr>
      </w:pPr>
      <w:r>
        <w:rPr>
          <w:rFonts w:ascii="宋体" w:hAnsi="宋体"/>
          <w:bCs/>
          <w:szCs w:val="30"/>
        </w:rPr>
        <w:t>1.</w:t>
      </w:r>
      <w:r>
        <w:rPr>
          <w:rFonts w:hint="eastAsia" w:ascii="宋体" w:hAnsi="宋体"/>
          <w:bCs/>
          <w:szCs w:val="30"/>
        </w:rPr>
        <w:t>发包人承诺按照法律规定履行项目审批手续、筹集工程建设资金并按照合同约定的期限和方式支付合同价款。</w:t>
      </w:r>
    </w:p>
    <w:p>
      <w:pPr>
        <w:spacing w:line="360" w:lineRule="auto"/>
        <w:ind w:firstLine="420" w:firstLineChars="200"/>
        <w:rPr>
          <w:rFonts w:ascii="宋体" w:hAnsi="宋体"/>
          <w:bCs/>
          <w:szCs w:val="30"/>
        </w:rPr>
      </w:pPr>
      <w:r>
        <w:rPr>
          <w:rFonts w:ascii="宋体" w:hAnsi="宋体"/>
          <w:bCs/>
          <w:szCs w:val="30"/>
        </w:rPr>
        <w:t>2.</w:t>
      </w:r>
      <w:r>
        <w:rPr>
          <w:rFonts w:hint="eastAsia" w:ascii="宋体" w:hAnsi="宋体"/>
          <w:bCs/>
          <w:szCs w:val="30"/>
        </w:rPr>
        <w:t>承包人承诺按照法律规定及合同约定组织完成工程施工，确保工程质量和安全，不进行转包及违法分包，并在缺陷责任期及保修期内承担相应的工程维修责任。</w:t>
      </w:r>
    </w:p>
    <w:p>
      <w:pPr>
        <w:spacing w:line="360" w:lineRule="auto"/>
        <w:ind w:firstLine="420" w:firstLineChars="200"/>
        <w:rPr>
          <w:rFonts w:ascii="宋体" w:hAnsi="宋体"/>
          <w:bCs/>
          <w:szCs w:val="30"/>
        </w:rPr>
      </w:pPr>
      <w:r>
        <w:rPr>
          <w:rFonts w:ascii="宋体" w:hAnsi="宋体"/>
          <w:bCs/>
          <w:szCs w:val="30"/>
        </w:rPr>
        <w:t>3.</w:t>
      </w:r>
      <w:r>
        <w:rPr>
          <w:rFonts w:hint="eastAsia" w:ascii="宋体" w:hAnsi="宋体"/>
          <w:bCs/>
          <w:szCs w:val="30"/>
        </w:rPr>
        <w:t>发包人和承包人通过招投标形式签订合同的，双方理解并承诺不再就同一工程另行签订与合同实质性内容相背离的协议。</w:t>
      </w:r>
    </w:p>
    <w:p>
      <w:pPr>
        <w:spacing w:line="360" w:lineRule="auto"/>
        <w:rPr>
          <w:rFonts w:ascii="宋体" w:hAnsi="宋体"/>
          <w:b/>
          <w:szCs w:val="32"/>
        </w:rPr>
      </w:pPr>
      <w:bookmarkStart w:id="42" w:name="_Toc351203488"/>
      <w:r>
        <w:rPr>
          <w:rFonts w:hint="eastAsia" w:ascii="宋体" w:hAnsi="宋体"/>
          <w:b/>
          <w:szCs w:val="32"/>
        </w:rPr>
        <w:t>八、词语含义</w:t>
      </w:r>
      <w:bookmarkEnd w:id="42"/>
    </w:p>
    <w:p>
      <w:pPr>
        <w:spacing w:line="360" w:lineRule="auto"/>
        <w:ind w:firstLine="420" w:firstLineChars="200"/>
        <w:rPr>
          <w:rFonts w:ascii="宋体" w:hAnsi="宋体"/>
          <w:bCs/>
          <w:szCs w:val="30"/>
        </w:rPr>
      </w:pPr>
      <w:r>
        <w:rPr>
          <w:rFonts w:hint="eastAsia" w:ascii="宋体" w:hAnsi="宋体"/>
          <w:bCs/>
          <w:szCs w:val="30"/>
        </w:rPr>
        <w:t>本协议书中词语含义与第二部分通用合同条款中赋予的含义相同。</w:t>
      </w:r>
    </w:p>
    <w:p>
      <w:pPr>
        <w:keepNext/>
        <w:keepLines/>
        <w:spacing w:line="360" w:lineRule="auto"/>
        <w:outlineLvl w:val="3"/>
        <w:rPr>
          <w:rFonts w:ascii="宋体" w:hAnsi="宋体"/>
          <w:b/>
          <w:szCs w:val="32"/>
        </w:rPr>
      </w:pPr>
      <w:bookmarkStart w:id="43" w:name="_Toc351203489"/>
      <w:r>
        <w:rPr>
          <w:rFonts w:hint="eastAsia" w:ascii="宋体" w:hAnsi="宋体"/>
          <w:b/>
          <w:szCs w:val="32"/>
        </w:rPr>
        <w:t>九、签订时间</w:t>
      </w:r>
      <w:bookmarkEnd w:id="43"/>
    </w:p>
    <w:p>
      <w:pPr>
        <w:spacing w:line="360" w:lineRule="auto"/>
        <w:ind w:firstLine="420" w:firstLineChars="200"/>
        <w:rPr>
          <w:rFonts w:ascii="宋体" w:hAnsi="宋体"/>
          <w:bCs/>
          <w:szCs w:val="30"/>
        </w:rPr>
      </w:pPr>
      <w:r>
        <w:rPr>
          <w:rFonts w:hint="eastAsia" w:ascii="宋体" w:hAnsi="宋体"/>
          <w:bCs/>
          <w:szCs w:val="30"/>
        </w:rPr>
        <w:t>本合同于</w:t>
      </w:r>
      <w:r>
        <w:rPr>
          <w:rFonts w:hint="eastAsia" w:ascii="宋体" w:hAnsi="宋体"/>
          <w:bCs/>
          <w:szCs w:val="30"/>
          <w:u w:val="single"/>
        </w:rPr>
        <w:t>2021</w:t>
      </w:r>
      <w:r>
        <w:rPr>
          <w:rFonts w:hint="eastAsia" w:ascii="宋体" w:hAnsi="宋体"/>
          <w:bCs/>
          <w:szCs w:val="30"/>
        </w:rPr>
        <w:t>年</w:t>
      </w:r>
      <w:r>
        <w:rPr>
          <w:rFonts w:hint="eastAsia" w:ascii="宋体" w:hAnsi="宋体"/>
          <w:bCs/>
          <w:szCs w:val="30"/>
          <w:u w:val="single"/>
        </w:rPr>
        <w:t xml:space="preserve">  </w:t>
      </w:r>
      <w:r>
        <w:rPr>
          <w:rFonts w:hint="eastAsia" w:ascii="宋体" w:hAnsi="宋体"/>
          <w:bCs/>
          <w:szCs w:val="30"/>
        </w:rPr>
        <w:t>月</w:t>
      </w:r>
      <w:r>
        <w:rPr>
          <w:rFonts w:hint="eastAsia" w:ascii="宋体" w:hAnsi="宋体"/>
          <w:bCs/>
          <w:szCs w:val="30"/>
          <w:u w:val="single"/>
        </w:rPr>
        <w:t xml:space="preserve">  </w:t>
      </w:r>
      <w:r>
        <w:rPr>
          <w:rFonts w:hint="eastAsia" w:ascii="宋体" w:hAnsi="宋体"/>
          <w:bCs/>
          <w:szCs w:val="30"/>
        </w:rPr>
        <w:t>日签订。</w:t>
      </w:r>
    </w:p>
    <w:p>
      <w:pPr>
        <w:keepNext/>
        <w:keepLines/>
        <w:spacing w:line="360" w:lineRule="auto"/>
        <w:outlineLvl w:val="3"/>
        <w:rPr>
          <w:rFonts w:ascii="宋体" w:hAnsi="宋体"/>
          <w:b/>
          <w:szCs w:val="32"/>
        </w:rPr>
      </w:pPr>
      <w:bookmarkStart w:id="44" w:name="_Toc351203490"/>
      <w:r>
        <w:rPr>
          <w:rFonts w:hint="eastAsia" w:ascii="宋体" w:hAnsi="宋体"/>
          <w:b/>
          <w:szCs w:val="32"/>
        </w:rPr>
        <w:t>十、签订地点</w:t>
      </w:r>
      <w:bookmarkEnd w:id="44"/>
    </w:p>
    <w:p>
      <w:pPr>
        <w:spacing w:line="360" w:lineRule="auto"/>
        <w:ind w:firstLine="420" w:firstLineChars="200"/>
        <w:rPr>
          <w:rFonts w:ascii="宋体" w:hAnsi="宋体"/>
          <w:bCs/>
          <w:szCs w:val="21"/>
        </w:rPr>
      </w:pPr>
      <w:r>
        <w:rPr>
          <w:rFonts w:hint="eastAsia" w:ascii="宋体" w:hAnsi="宋体"/>
          <w:bCs/>
          <w:szCs w:val="21"/>
        </w:rPr>
        <w:t>本合同在</w:t>
      </w:r>
      <w:r>
        <w:rPr>
          <w:rFonts w:hint="eastAsia" w:ascii="宋体" w:hAnsi="宋体"/>
          <w:bCs/>
          <w:szCs w:val="30"/>
          <w:u w:val="single"/>
        </w:rPr>
        <w:t xml:space="preserve">                                 </w:t>
      </w:r>
      <w:r>
        <w:rPr>
          <w:rFonts w:hint="eastAsia" w:ascii="宋体" w:hAnsi="宋体"/>
          <w:bCs/>
          <w:szCs w:val="21"/>
        </w:rPr>
        <w:t>签订。</w:t>
      </w:r>
    </w:p>
    <w:p>
      <w:pPr>
        <w:keepNext/>
        <w:keepLines/>
        <w:spacing w:line="360" w:lineRule="auto"/>
        <w:outlineLvl w:val="3"/>
        <w:rPr>
          <w:rFonts w:ascii="宋体" w:hAnsi="宋体"/>
          <w:b/>
          <w:szCs w:val="32"/>
        </w:rPr>
      </w:pPr>
      <w:bookmarkStart w:id="45" w:name="_Toc351203491"/>
      <w:r>
        <w:rPr>
          <w:rFonts w:hint="eastAsia" w:ascii="宋体" w:hAnsi="宋体"/>
          <w:b/>
          <w:szCs w:val="32"/>
        </w:rPr>
        <w:t>十一、补充协议</w:t>
      </w:r>
      <w:bookmarkEnd w:id="45"/>
    </w:p>
    <w:p>
      <w:pPr>
        <w:spacing w:line="360" w:lineRule="auto"/>
        <w:ind w:firstLine="420" w:firstLineChars="200"/>
        <w:rPr>
          <w:rFonts w:ascii="宋体" w:hAnsi="宋体"/>
          <w:b/>
          <w:bCs/>
          <w:szCs w:val="30"/>
        </w:rPr>
      </w:pPr>
      <w:r>
        <w:rPr>
          <w:rFonts w:hint="eastAsia" w:ascii="宋体" w:hAnsi="宋体"/>
          <w:bCs/>
          <w:szCs w:val="30"/>
        </w:rPr>
        <w:t>合同未尽事宜，合同当事人另行签订补充协议，补充协议是合同的组成部分。</w:t>
      </w:r>
    </w:p>
    <w:p>
      <w:pPr>
        <w:keepNext/>
        <w:keepLines/>
        <w:spacing w:line="360" w:lineRule="auto"/>
        <w:outlineLvl w:val="3"/>
        <w:rPr>
          <w:rFonts w:ascii="宋体" w:hAnsi="宋体"/>
          <w:b/>
          <w:szCs w:val="32"/>
        </w:rPr>
      </w:pPr>
      <w:bookmarkStart w:id="46" w:name="_Toc351203492"/>
      <w:r>
        <w:rPr>
          <w:rFonts w:hint="eastAsia" w:ascii="宋体" w:hAnsi="宋体"/>
          <w:b/>
          <w:szCs w:val="32"/>
        </w:rPr>
        <w:t>十二、合同生效</w:t>
      </w:r>
      <w:bookmarkEnd w:id="46"/>
    </w:p>
    <w:p>
      <w:pPr>
        <w:spacing w:line="360" w:lineRule="auto"/>
        <w:ind w:firstLine="420" w:firstLineChars="200"/>
        <w:rPr>
          <w:rFonts w:ascii="宋体" w:hAnsi="宋体"/>
          <w:bCs/>
          <w:szCs w:val="30"/>
        </w:rPr>
      </w:pPr>
      <w:r>
        <w:rPr>
          <w:rFonts w:hint="eastAsia" w:ascii="宋体" w:hAnsi="宋体"/>
          <w:bCs/>
          <w:szCs w:val="30"/>
        </w:rPr>
        <w:t>本合同自</w:t>
      </w:r>
      <w:r>
        <w:rPr>
          <w:rFonts w:hint="eastAsia" w:ascii="宋体" w:hAnsi="宋体" w:cs="宋体"/>
          <w:b/>
          <w:bCs/>
          <w:szCs w:val="21"/>
          <w:u w:val="single"/>
        </w:rPr>
        <w:t>本合同自双方签字、盖章后，且承包人向发包人提交符合要求的履约保证金后</w:t>
      </w:r>
      <w:r>
        <w:rPr>
          <w:rFonts w:hint="eastAsia" w:ascii="宋体" w:hAnsi="宋体"/>
          <w:bCs/>
          <w:szCs w:val="30"/>
        </w:rPr>
        <w:t>生效。</w:t>
      </w:r>
    </w:p>
    <w:p>
      <w:pPr>
        <w:keepNext/>
        <w:keepLines/>
        <w:spacing w:line="360" w:lineRule="auto"/>
        <w:outlineLvl w:val="3"/>
        <w:rPr>
          <w:rFonts w:ascii="宋体" w:hAnsi="宋体"/>
          <w:b/>
          <w:szCs w:val="32"/>
        </w:rPr>
      </w:pPr>
      <w:bookmarkStart w:id="47" w:name="_Toc351203493"/>
      <w:r>
        <w:rPr>
          <w:rFonts w:hint="eastAsia" w:ascii="宋体" w:hAnsi="宋体"/>
          <w:b/>
          <w:szCs w:val="32"/>
        </w:rPr>
        <w:t>十三、合同份数</w:t>
      </w:r>
      <w:bookmarkEnd w:id="47"/>
    </w:p>
    <w:p>
      <w:pPr>
        <w:spacing w:line="360" w:lineRule="auto"/>
        <w:ind w:firstLine="420" w:firstLineChars="200"/>
        <w:rPr>
          <w:rFonts w:ascii="宋体" w:hAnsi="宋体"/>
          <w:bCs/>
          <w:szCs w:val="30"/>
        </w:rPr>
      </w:pPr>
      <w:r>
        <w:rPr>
          <w:rFonts w:hint="eastAsia" w:ascii="宋体" w:hAnsi="宋体"/>
          <w:bCs/>
          <w:szCs w:val="30"/>
        </w:rPr>
        <w:t>本合同一式</w:t>
      </w:r>
      <w:r>
        <w:rPr>
          <w:rFonts w:hint="eastAsia" w:ascii="宋体" w:hAnsi="宋体" w:cs="宋体"/>
          <w:kern w:val="0"/>
          <w:sz w:val="23"/>
          <w:szCs w:val="23"/>
          <w:u w:val="single"/>
        </w:rPr>
        <w:t>捌</w:t>
      </w:r>
      <w:r>
        <w:rPr>
          <w:rFonts w:hint="eastAsia" w:ascii="宋体" w:hAnsi="宋体"/>
          <w:bCs/>
          <w:szCs w:val="30"/>
        </w:rPr>
        <w:t>份，均具有同等法律效力，发包人执</w:t>
      </w:r>
      <w:r>
        <w:rPr>
          <w:rFonts w:hint="eastAsia" w:ascii="宋体" w:hAnsi="宋体"/>
          <w:bCs/>
          <w:szCs w:val="30"/>
          <w:u w:val="single"/>
        </w:rPr>
        <w:t xml:space="preserve"> 肆 </w:t>
      </w:r>
      <w:r>
        <w:rPr>
          <w:rFonts w:hint="eastAsia" w:ascii="宋体" w:hAnsi="宋体"/>
          <w:bCs/>
          <w:szCs w:val="30"/>
        </w:rPr>
        <w:t>份，承包人执</w:t>
      </w:r>
      <w:r>
        <w:rPr>
          <w:rFonts w:hint="eastAsia" w:ascii="宋体" w:hAnsi="宋体"/>
          <w:bCs/>
          <w:szCs w:val="30"/>
          <w:u w:val="single"/>
        </w:rPr>
        <w:t xml:space="preserve"> 肆 </w:t>
      </w:r>
      <w:r>
        <w:rPr>
          <w:rFonts w:hint="eastAsia" w:ascii="宋体" w:hAnsi="宋体"/>
          <w:bCs/>
          <w:szCs w:val="30"/>
        </w:rPr>
        <w:t>份。</w:t>
      </w:r>
    </w:p>
    <w:p>
      <w:pPr>
        <w:spacing w:line="360" w:lineRule="auto"/>
        <w:ind w:firstLine="420" w:firstLineChars="200"/>
        <w:rPr>
          <w:rFonts w:ascii="宋体" w:hAnsi="宋体"/>
          <w:bCs/>
          <w:szCs w:val="30"/>
        </w:rPr>
      </w:pPr>
    </w:p>
    <w:p>
      <w:pPr>
        <w:spacing w:line="360" w:lineRule="auto"/>
        <w:ind w:firstLine="420" w:firstLineChars="200"/>
        <w:rPr>
          <w:rFonts w:ascii="宋体" w:hAnsi="宋体"/>
          <w:bCs/>
          <w:szCs w:val="30"/>
        </w:rPr>
      </w:pPr>
    </w:p>
    <w:p>
      <w:pPr>
        <w:spacing w:line="360" w:lineRule="auto"/>
        <w:rPr>
          <w:rFonts w:ascii="宋体" w:hAnsi="宋体"/>
          <w:szCs w:val="30"/>
        </w:rPr>
      </w:pPr>
      <w:r>
        <w:rPr>
          <w:rFonts w:hint="eastAsia" w:ascii="宋体" w:hAnsi="宋体"/>
          <w:szCs w:val="30"/>
        </w:rPr>
        <w:t>发包人：</w:t>
      </w:r>
      <w:r>
        <w:rPr>
          <w:rFonts w:ascii="宋体" w:hAnsi="宋体"/>
          <w:szCs w:val="30"/>
        </w:rPr>
        <w:t xml:space="preserve">  (</w:t>
      </w:r>
      <w:r>
        <w:rPr>
          <w:rFonts w:hint="eastAsia" w:ascii="宋体" w:hAnsi="宋体"/>
          <w:szCs w:val="30"/>
        </w:rPr>
        <w:t>公章</w:t>
      </w:r>
      <w:r>
        <w:rPr>
          <w:rFonts w:ascii="宋体" w:hAnsi="宋体"/>
          <w:szCs w:val="30"/>
        </w:rPr>
        <w:t xml:space="preserve">)          </w:t>
      </w:r>
      <w:r>
        <w:rPr>
          <w:rFonts w:hint="eastAsia" w:ascii="宋体" w:hAnsi="宋体"/>
          <w:szCs w:val="30"/>
        </w:rPr>
        <w:t xml:space="preserve">                承包人：</w:t>
      </w:r>
      <w:r>
        <w:rPr>
          <w:rFonts w:ascii="宋体" w:hAnsi="宋体"/>
          <w:szCs w:val="30"/>
        </w:rPr>
        <w:t xml:space="preserve">  (</w:t>
      </w:r>
      <w:r>
        <w:rPr>
          <w:rFonts w:hint="eastAsia" w:ascii="宋体" w:hAnsi="宋体"/>
          <w:szCs w:val="30"/>
        </w:rPr>
        <w:t>公章</w:t>
      </w:r>
      <w:r>
        <w:rPr>
          <w:rFonts w:ascii="宋体" w:hAnsi="宋体"/>
          <w:szCs w:val="30"/>
        </w:rPr>
        <w:t>)</w:t>
      </w:r>
    </w:p>
    <w:p>
      <w:pPr>
        <w:spacing w:line="360" w:lineRule="auto"/>
        <w:rPr>
          <w:rFonts w:ascii="宋体" w:hAnsi="宋体"/>
          <w:szCs w:val="30"/>
          <w:u w:val="single"/>
        </w:rPr>
      </w:pPr>
    </w:p>
    <w:p>
      <w:pPr>
        <w:spacing w:line="360" w:lineRule="auto"/>
        <w:rPr>
          <w:rFonts w:ascii="宋体" w:hAnsi="宋体"/>
          <w:szCs w:val="30"/>
        </w:rPr>
      </w:pPr>
      <w:r>
        <w:rPr>
          <w:rFonts w:hint="eastAsia" w:ascii="宋体" w:hAnsi="宋体"/>
          <w:szCs w:val="30"/>
        </w:rPr>
        <w:t>法定代表人或其委托代理人：                 法定代表人或其委托代理人：</w:t>
      </w:r>
    </w:p>
    <w:p>
      <w:pPr>
        <w:spacing w:line="360" w:lineRule="auto"/>
        <w:ind w:firstLine="1785" w:firstLineChars="850"/>
        <w:rPr>
          <w:rFonts w:ascii="宋体" w:hAnsi="宋体"/>
          <w:szCs w:val="30"/>
        </w:rPr>
      </w:pPr>
      <w:r>
        <w:rPr>
          <w:rFonts w:hint="eastAsia" w:ascii="宋体" w:hAnsi="宋体"/>
          <w:szCs w:val="30"/>
        </w:rPr>
        <w:t>（签字）                 （签字）</w:t>
      </w:r>
    </w:p>
    <w:p>
      <w:pPr>
        <w:spacing w:line="360" w:lineRule="auto"/>
        <w:rPr>
          <w:rFonts w:ascii="宋体" w:hAnsi="宋体"/>
          <w:szCs w:val="30"/>
          <w:u w:val="single"/>
        </w:rPr>
      </w:pPr>
    </w:p>
    <w:p>
      <w:pPr>
        <w:tabs>
          <w:tab w:val="left" w:pos="4410"/>
        </w:tabs>
        <w:spacing w:line="360" w:lineRule="auto"/>
        <w:rPr>
          <w:rFonts w:ascii="宋体" w:hAnsi="宋体"/>
          <w:szCs w:val="30"/>
        </w:rPr>
      </w:pPr>
      <w:r>
        <w:rPr>
          <w:rFonts w:hint="eastAsia" w:ascii="宋体" w:hAnsi="宋体"/>
          <w:szCs w:val="30"/>
        </w:rPr>
        <w:t>组织机构代码：</w:t>
      </w:r>
      <w:r>
        <w:rPr>
          <w:rFonts w:hint="eastAsia" w:ascii="宋体" w:hAnsi="宋体"/>
          <w:bCs/>
          <w:szCs w:val="30"/>
          <w:u w:val="single"/>
        </w:rPr>
        <w:t xml:space="preserve">                        </w:t>
      </w:r>
      <w:r>
        <w:rPr>
          <w:rFonts w:hint="eastAsia" w:ascii="宋体" w:hAnsi="宋体"/>
          <w:szCs w:val="30"/>
        </w:rPr>
        <w:t xml:space="preserve"> 组织机构代码：</w:t>
      </w:r>
      <w:r>
        <w:rPr>
          <w:rFonts w:hint="eastAsia" w:ascii="宋体" w:hAnsi="宋体"/>
          <w:bCs/>
          <w:szCs w:val="30"/>
          <w:u w:val="single"/>
        </w:rPr>
        <w:t xml:space="preserve">                         </w:t>
      </w:r>
    </w:p>
    <w:p>
      <w:pPr>
        <w:spacing w:line="360" w:lineRule="auto"/>
        <w:rPr>
          <w:rFonts w:ascii="宋体" w:hAnsi="宋体"/>
          <w:bCs/>
          <w:szCs w:val="30"/>
          <w:u w:val="single"/>
        </w:rPr>
      </w:pPr>
      <w:r>
        <w:rPr>
          <w:rFonts w:hint="eastAsia" w:ascii="宋体" w:hAnsi="宋体"/>
          <w:szCs w:val="30"/>
        </w:rPr>
        <w:t>地址：</w:t>
      </w:r>
      <w:r>
        <w:rPr>
          <w:rFonts w:hint="eastAsia" w:ascii="宋体" w:hAnsi="宋体"/>
          <w:bCs/>
          <w:szCs w:val="30"/>
          <w:u w:val="single"/>
        </w:rPr>
        <w:t xml:space="preserve">                         </w:t>
      </w:r>
      <w:r>
        <w:rPr>
          <w:rFonts w:hint="eastAsia" w:ascii="宋体" w:hAnsi="宋体"/>
          <w:szCs w:val="30"/>
        </w:rPr>
        <w:t xml:space="preserve">        地   址：</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 xml:space="preserve">邮政编码： </w:t>
      </w:r>
      <w:r>
        <w:rPr>
          <w:rFonts w:hint="eastAsia" w:ascii="宋体" w:hAnsi="宋体"/>
          <w:bCs/>
          <w:szCs w:val="30"/>
          <w:u w:val="single"/>
        </w:rPr>
        <w:t xml:space="preserve">                         </w:t>
      </w:r>
      <w:r>
        <w:rPr>
          <w:rFonts w:hint="eastAsia" w:ascii="宋体" w:hAnsi="宋体"/>
          <w:szCs w:val="30"/>
        </w:rPr>
        <w:t xml:space="preserve">   邮政编码： </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法定代表人：</w:t>
      </w:r>
      <w:r>
        <w:rPr>
          <w:rFonts w:hint="eastAsia" w:ascii="宋体" w:hAnsi="宋体"/>
          <w:bCs/>
          <w:szCs w:val="30"/>
          <w:u w:val="single"/>
        </w:rPr>
        <w:t xml:space="preserve">                         </w:t>
      </w:r>
      <w:r>
        <w:rPr>
          <w:rFonts w:hint="eastAsia" w:ascii="宋体" w:hAnsi="宋体"/>
          <w:szCs w:val="30"/>
        </w:rPr>
        <w:t xml:space="preserve"> 法定代表人：</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委托代理人：</w:t>
      </w:r>
      <w:r>
        <w:rPr>
          <w:rFonts w:hint="eastAsia" w:ascii="宋体" w:hAnsi="宋体"/>
          <w:bCs/>
          <w:szCs w:val="30"/>
          <w:u w:val="single"/>
        </w:rPr>
        <w:t xml:space="preserve">                         </w:t>
      </w:r>
      <w:r>
        <w:rPr>
          <w:rFonts w:hint="eastAsia" w:ascii="宋体" w:hAnsi="宋体"/>
          <w:szCs w:val="30"/>
        </w:rPr>
        <w:t xml:space="preserve"> 委托代理人：</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电    话：</w:t>
      </w:r>
      <w:r>
        <w:rPr>
          <w:rFonts w:hint="eastAsia" w:ascii="宋体" w:hAnsi="宋体"/>
          <w:bCs/>
          <w:szCs w:val="30"/>
          <w:u w:val="single"/>
        </w:rPr>
        <w:t xml:space="preserve">                           </w:t>
      </w:r>
      <w:r>
        <w:rPr>
          <w:rFonts w:hint="eastAsia" w:ascii="宋体" w:hAnsi="宋体"/>
          <w:szCs w:val="30"/>
        </w:rPr>
        <w:t xml:space="preserve"> 电    话：</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传   真：</w:t>
      </w:r>
      <w:r>
        <w:rPr>
          <w:rFonts w:hint="eastAsia" w:ascii="宋体" w:hAnsi="宋体"/>
          <w:bCs/>
          <w:szCs w:val="30"/>
          <w:u w:val="single"/>
        </w:rPr>
        <w:t xml:space="preserve">                            </w:t>
      </w:r>
      <w:r>
        <w:rPr>
          <w:rFonts w:hint="eastAsia" w:ascii="宋体" w:hAnsi="宋体"/>
          <w:szCs w:val="30"/>
        </w:rPr>
        <w:t xml:space="preserve"> 传    真：</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电子信箱：</w:t>
      </w:r>
      <w:r>
        <w:rPr>
          <w:rFonts w:hint="eastAsia" w:ascii="宋体" w:hAnsi="宋体"/>
          <w:bCs/>
          <w:szCs w:val="30"/>
          <w:u w:val="single"/>
        </w:rPr>
        <w:t xml:space="preserve">                          </w:t>
      </w:r>
      <w:r>
        <w:rPr>
          <w:rFonts w:hint="eastAsia" w:ascii="宋体" w:hAnsi="宋体"/>
          <w:bCs/>
          <w:szCs w:val="30"/>
        </w:rPr>
        <w:t xml:space="preserve">  </w:t>
      </w:r>
      <w:r>
        <w:rPr>
          <w:rFonts w:hint="eastAsia" w:ascii="宋体" w:hAnsi="宋体"/>
          <w:szCs w:val="30"/>
        </w:rPr>
        <w:t>电子信箱：</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开户银行：</w:t>
      </w:r>
      <w:r>
        <w:rPr>
          <w:rFonts w:hint="eastAsia" w:ascii="宋体" w:hAnsi="宋体"/>
          <w:bCs/>
          <w:szCs w:val="30"/>
          <w:u w:val="single"/>
        </w:rPr>
        <w:t xml:space="preserve">                          </w:t>
      </w:r>
      <w:r>
        <w:rPr>
          <w:rFonts w:hint="eastAsia" w:ascii="宋体" w:hAnsi="宋体"/>
          <w:szCs w:val="30"/>
        </w:rPr>
        <w:t xml:space="preserve"> 开户银行：</w:t>
      </w:r>
      <w:r>
        <w:rPr>
          <w:rFonts w:hint="eastAsia" w:ascii="宋体" w:hAnsi="宋体"/>
          <w:bCs/>
          <w:szCs w:val="30"/>
          <w:u w:val="single"/>
        </w:rPr>
        <w:t xml:space="preserve">                         </w:t>
      </w:r>
    </w:p>
    <w:p>
      <w:pPr>
        <w:spacing w:line="360" w:lineRule="auto"/>
        <w:rPr>
          <w:rFonts w:ascii="宋体" w:hAnsi="宋体"/>
          <w:szCs w:val="30"/>
        </w:rPr>
      </w:pPr>
      <w:r>
        <w:rPr>
          <w:rFonts w:hint="eastAsia" w:ascii="宋体" w:hAnsi="宋体"/>
          <w:szCs w:val="30"/>
        </w:rPr>
        <w:t>账   号：</w:t>
      </w:r>
      <w:r>
        <w:rPr>
          <w:rFonts w:hint="eastAsia" w:ascii="宋体" w:hAnsi="宋体"/>
          <w:bCs/>
          <w:szCs w:val="30"/>
          <w:u w:val="single"/>
        </w:rPr>
        <w:t xml:space="preserve">                            </w:t>
      </w:r>
      <w:r>
        <w:rPr>
          <w:rFonts w:hint="eastAsia" w:ascii="宋体" w:hAnsi="宋体"/>
          <w:szCs w:val="30"/>
        </w:rPr>
        <w:t>账  号：</w:t>
      </w:r>
      <w:r>
        <w:rPr>
          <w:rFonts w:hint="eastAsia" w:ascii="宋体" w:hAnsi="宋体"/>
          <w:bCs/>
          <w:szCs w:val="30"/>
          <w:u w:val="single"/>
        </w:rPr>
        <w:t xml:space="preserve">                             </w:t>
      </w:r>
    </w:p>
    <w:p>
      <w:pPr>
        <w:keepNext/>
        <w:keepLines/>
        <w:spacing w:line="360" w:lineRule="auto"/>
        <w:jc w:val="center"/>
        <w:outlineLvl w:val="2"/>
        <w:rPr>
          <w:rFonts w:ascii="宋体" w:hAnsi="宋体"/>
          <w:b/>
          <w:bCs/>
          <w:sz w:val="32"/>
          <w:szCs w:val="44"/>
        </w:rPr>
        <w:sectPr>
          <w:headerReference r:id="rId3" w:type="default"/>
          <w:pgSz w:w="11906" w:h="16838"/>
          <w:pgMar w:top="1440" w:right="1519" w:bottom="1440" w:left="1519" w:header="851" w:footer="992" w:gutter="0"/>
          <w:cols w:space="425" w:num="1"/>
          <w:docGrid w:type="lines" w:linePitch="312" w:charSpace="0"/>
        </w:sectPr>
      </w:pPr>
      <w:bookmarkStart w:id="48" w:name="_Toc48580885"/>
      <w:bookmarkStart w:id="49" w:name="_Toc497907135"/>
      <w:bookmarkStart w:id="50" w:name="_Toc48580760"/>
    </w:p>
    <w:p>
      <w:pPr>
        <w:keepNext/>
        <w:keepLines/>
        <w:spacing w:line="360" w:lineRule="auto"/>
        <w:jc w:val="center"/>
        <w:outlineLvl w:val="2"/>
        <w:rPr>
          <w:rFonts w:ascii="宋体" w:hAnsi="宋体"/>
          <w:b/>
          <w:bCs/>
          <w:sz w:val="32"/>
          <w:szCs w:val="44"/>
        </w:rPr>
      </w:pPr>
      <w:r>
        <w:rPr>
          <w:rFonts w:hint="eastAsia" w:ascii="宋体" w:hAnsi="宋体"/>
          <w:b/>
          <w:bCs/>
          <w:sz w:val="32"/>
          <w:szCs w:val="44"/>
        </w:rPr>
        <w:t>第二部分 通用合同条款</w:t>
      </w:r>
      <w:bookmarkEnd w:id="48"/>
      <w:bookmarkEnd w:id="49"/>
      <w:bookmarkEnd w:id="50"/>
    </w:p>
    <w:p>
      <w:pPr>
        <w:spacing w:line="360" w:lineRule="auto"/>
        <w:ind w:firstLine="420" w:firstLineChars="200"/>
        <w:rPr>
          <w:rFonts w:ascii="宋体" w:hAnsi="宋体"/>
          <w:kern w:val="0"/>
          <w:szCs w:val="21"/>
        </w:rPr>
      </w:pPr>
    </w:p>
    <w:p>
      <w:pPr>
        <w:spacing w:line="360" w:lineRule="auto"/>
        <w:ind w:firstLine="422" w:firstLineChars="200"/>
        <w:rPr>
          <w:rFonts w:ascii="宋体" w:hAnsi="宋体"/>
          <w:b/>
          <w:kern w:val="0"/>
          <w:szCs w:val="21"/>
        </w:rPr>
      </w:pPr>
      <w:r>
        <w:rPr>
          <w:rFonts w:hint="eastAsia" w:ascii="宋体" w:hAnsi="宋体"/>
          <w:b/>
          <w:kern w:val="0"/>
          <w:szCs w:val="21"/>
        </w:rPr>
        <w:t xml:space="preserve">      采用《</w:t>
      </w:r>
      <w:r>
        <w:rPr>
          <w:rFonts w:ascii="宋体" w:hAnsi="宋体"/>
          <w:b/>
          <w:kern w:val="0"/>
          <w:szCs w:val="21"/>
        </w:rPr>
        <w:t>建设工程施工合同（示范文本）</w:t>
      </w:r>
      <w:r>
        <w:rPr>
          <w:rFonts w:hint="eastAsia" w:ascii="宋体" w:hAnsi="宋体"/>
          <w:b/>
          <w:kern w:val="0"/>
          <w:szCs w:val="21"/>
        </w:rPr>
        <w:t>》</w:t>
      </w:r>
      <w:r>
        <w:rPr>
          <w:rFonts w:ascii="宋体" w:hAnsi="宋体"/>
          <w:b/>
          <w:kern w:val="0"/>
          <w:szCs w:val="21"/>
        </w:rPr>
        <w:t>（GF—201</w:t>
      </w:r>
      <w:r>
        <w:rPr>
          <w:rFonts w:hint="eastAsia" w:ascii="宋体" w:hAnsi="宋体"/>
          <w:b/>
          <w:kern w:val="0"/>
          <w:szCs w:val="21"/>
        </w:rPr>
        <w:t>7</w:t>
      </w:r>
      <w:r>
        <w:rPr>
          <w:rFonts w:ascii="宋体" w:hAnsi="宋体"/>
          <w:b/>
          <w:kern w:val="0"/>
          <w:szCs w:val="21"/>
        </w:rPr>
        <w:t>—</w:t>
      </w:r>
      <w:r>
        <w:rPr>
          <w:rFonts w:hint="eastAsia" w:ascii="宋体" w:hAnsi="宋体"/>
          <w:b/>
          <w:kern w:val="0"/>
          <w:szCs w:val="21"/>
        </w:rPr>
        <w:t>0201）。</w:t>
      </w:r>
    </w:p>
    <w:p>
      <w:pPr>
        <w:spacing w:line="360" w:lineRule="auto"/>
        <w:ind w:firstLine="420" w:firstLineChars="200"/>
        <w:rPr>
          <w:rFonts w:ascii="宋体" w:hAnsi="宋体" w:cs="宋体"/>
          <w:szCs w:val="21"/>
        </w:rPr>
      </w:pPr>
    </w:p>
    <w:p>
      <w:pPr>
        <w:keepNext/>
        <w:keepLines/>
        <w:spacing w:line="360" w:lineRule="auto"/>
        <w:jc w:val="center"/>
        <w:outlineLvl w:val="2"/>
        <w:rPr>
          <w:rFonts w:ascii="宋体" w:hAnsi="宋体"/>
          <w:b/>
          <w:bCs/>
          <w:sz w:val="32"/>
          <w:szCs w:val="44"/>
        </w:rPr>
        <w:sectPr>
          <w:pgSz w:w="11906" w:h="16838"/>
          <w:pgMar w:top="1440" w:right="1519" w:bottom="1440" w:left="1519" w:header="851" w:footer="992" w:gutter="0"/>
          <w:cols w:space="425" w:num="1"/>
          <w:docGrid w:type="lines" w:linePitch="312" w:charSpace="0"/>
        </w:sectPr>
      </w:pPr>
      <w:bookmarkStart w:id="51" w:name="_Toc497907136"/>
      <w:bookmarkStart w:id="52" w:name="_Toc48580886"/>
      <w:bookmarkStart w:id="53" w:name="_Toc48580761"/>
    </w:p>
    <w:p>
      <w:pPr>
        <w:keepNext/>
        <w:keepLines/>
        <w:spacing w:line="360" w:lineRule="auto"/>
        <w:jc w:val="center"/>
        <w:outlineLvl w:val="2"/>
        <w:rPr>
          <w:rFonts w:ascii="宋体" w:hAnsi="宋体"/>
          <w:b/>
          <w:bCs/>
          <w:sz w:val="32"/>
          <w:szCs w:val="44"/>
        </w:rPr>
      </w:pPr>
      <w:r>
        <w:rPr>
          <w:rFonts w:hint="eastAsia" w:ascii="宋体" w:hAnsi="宋体"/>
          <w:b/>
          <w:bCs/>
          <w:sz w:val="32"/>
          <w:szCs w:val="44"/>
        </w:rPr>
        <w:t>第三部分 专用合同条款</w:t>
      </w:r>
      <w:bookmarkEnd w:id="51"/>
      <w:bookmarkEnd w:id="52"/>
      <w:bookmarkEnd w:id="53"/>
    </w:p>
    <w:p>
      <w:pPr>
        <w:keepNext/>
        <w:keepLines/>
        <w:spacing w:before="120" w:after="120" w:line="400" w:lineRule="exact"/>
        <w:outlineLvl w:val="3"/>
        <w:rPr>
          <w:rFonts w:ascii="宋体" w:hAnsi="宋体"/>
          <w:bCs/>
          <w:szCs w:val="21"/>
        </w:rPr>
      </w:pPr>
      <w:bookmarkStart w:id="54" w:name="_Toc351203633"/>
      <w:r>
        <w:rPr>
          <w:rFonts w:ascii="宋体" w:hAnsi="宋体"/>
          <w:bCs/>
          <w:szCs w:val="21"/>
        </w:rPr>
        <w:t>1</w:t>
      </w:r>
      <w:bookmarkStart w:id="55" w:name="_Toc296503156"/>
      <w:bookmarkStart w:id="56" w:name="_Toc292559361"/>
      <w:bookmarkStart w:id="57" w:name="_Toc296891196"/>
      <w:bookmarkStart w:id="58" w:name="_Toc296890984"/>
      <w:bookmarkStart w:id="59" w:name="_Toc296346657"/>
      <w:bookmarkStart w:id="60" w:name="_Toc292559866"/>
      <w:bookmarkStart w:id="61" w:name="_Toc297120456"/>
      <w:bookmarkStart w:id="62" w:name="_Toc296347155"/>
      <w:bookmarkStart w:id="63" w:name="_Toc296944495"/>
      <w:bookmarkStart w:id="64" w:name="_Toc297048342"/>
      <w:r>
        <w:rPr>
          <w:rFonts w:ascii="宋体" w:hAnsi="宋体"/>
          <w:bCs/>
          <w:szCs w:val="21"/>
        </w:rPr>
        <w:t xml:space="preserve">. </w:t>
      </w:r>
      <w:r>
        <w:rPr>
          <w:rFonts w:hint="eastAsia" w:ascii="宋体" w:hAnsi="宋体"/>
          <w:bCs/>
          <w:szCs w:val="21"/>
        </w:rPr>
        <w:t>一般约定</w:t>
      </w:r>
      <w:bookmarkEnd w:id="54"/>
    </w:p>
    <w:bookmarkEnd w:id="55"/>
    <w:bookmarkEnd w:id="56"/>
    <w:bookmarkEnd w:id="57"/>
    <w:bookmarkEnd w:id="58"/>
    <w:bookmarkEnd w:id="59"/>
    <w:bookmarkEnd w:id="60"/>
    <w:bookmarkEnd w:id="61"/>
    <w:bookmarkEnd w:id="62"/>
    <w:bookmarkEnd w:id="63"/>
    <w:bookmarkEnd w:id="64"/>
    <w:p>
      <w:pPr>
        <w:spacing w:after="120" w:line="400" w:lineRule="exact"/>
        <w:ind w:firstLine="420" w:firstLineChars="200"/>
        <w:outlineLvl w:val="0"/>
        <w:rPr>
          <w:rFonts w:ascii="宋体" w:hAnsi="宋体"/>
          <w:szCs w:val="21"/>
        </w:rPr>
      </w:pPr>
      <w:r>
        <w:rPr>
          <w:rFonts w:ascii="宋体" w:hAnsi="宋体"/>
          <w:szCs w:val="21"/>
        </w:rPr>
        <w:t xml:space="preserve">1.1 </w:t>
      </w:r>
      <w:r>
        <w:rPr>
          <w:rFonts w:hint="eastAsia" w:ascii="宋体" w:hAnsi="宋体"/>
          <w:szCs w:val="21"/>
        </w:rPr>
        <w:t>词语定义</w:t>
      </w:r>
    </w:p>
    <w:p>
      <w:pPr>
        <w:spacing w:line="400" w:lineRule="exact"/>
        <w:ind w:firstLine="420" w:firstLineChars="200"/>
        <w:rPr>
          <w:rFonts w:ascii="宋体" w:hAnsi="宋体"/>
          <w:kern w:val="0"/>
          <w:szCs w:val="21"/>
        </w:rPr>
      </w:pPr>
      <w:r>
        <w:rPr>
          <w:rFonts w:ascii="宋体" w:hAnsi="宋体"/>
          <w:kern w:val="0"/>
          <w:szCs w:val="21"/>
        </w:rPr>
        <w:t>1.1.1</w:t>
      </w:r>
      <w:r>
        <w:rPr>
          <w:rFonts w:hint="eastAsia" w:ascii="宋体" w:hAnsi="宋体"/>
          <w:kern w:val="0"/>
          <w:szCs w:val="21"/>
        </w:rPr>
        <w:t>合同</w:t>
      </w:r>
    </w:p>
    <w:p>
      <w:pPr>
        <w:tabs>
          <w:tab w:val="left" w:pos="2410"/>
        </w:tabs>
        <w:spacing w:line="400" w:lineRule="exact"/>
        <w:ind w:firstLine="420" w:firstLineChars="200"/>
        <w:rPr>
          <w:rFonts w:ascii="宋体" w:hAnsi="宋体" w:cs="宋体"/>
          <w:szCs w:val="21"/>
        </w:rPr>
      </w:pPr>
      <w:r>
        <w:rPr>
          <w:rFonts w:ascii="宋体" w:hAnsi="宋体"/>
          <w:kern w:val="0"/>
          <w:szCs w:val="21"/>
        </w:rPr>
        <w:t>1.1.1.10</w:t>
      </w:r>
      <w:r>
        <w:rPr>
          <w:rFonts w:hint="eastAsia" w:ascii="宋体" w:hAnsi="宋体"/>
          <w:kern w:val="0"/>
          <w:szCs w:val="21"/>
        </w:rPr>
        <w:t>其他合同文件包括：</w:t>
      </w:r>
      <w:r>
        <w:rPr>
          <w:rFonts w:hint="eastAsia" w:ascii="宋体" w:hAnsi="宋体" w:cs="宋体"/>
          <w:b/>
          <w:bCs/>
          <w:szCs w:val="21"/>
          <w:u w:val="single"/>
        </w:rPr>
        <w:t>（1）协商备忘、合同补充文件；（2）招标文件及其附件（含答疑）；（3）发包人认可的设计变更；（4）经发包人确认有效的工程签证单（发包人签字盖章后方可生效）；（5）承诺书。</w:t>
      </w:r>
    </w:p>
    <w:p>
      <w:pPr>
        <w:spacing w:line="400" w:lineRule="exact"/>
        <w:ind w:firstLine="420" w:firstLineChars="200"/>
        <w:rPr>
          <w:rFonts w:ascii="宋体" w:hAnsi="宋体"/>
          <w:szCs w:val="21"/>
        </w:rPr>
      </w:pPr>
      <w:r>
        <w:rPr>
          <w:rFonts w:ascii="宋体" w:hAnsi="宋体"/>
          <w:szCs w:val="21"/>
        </w:rPr>
        <w:t xml:space="preserve">1.1.2 </w:t>
      </w:r>
      <w:r>
        <w:rPr>
          <w:rFonts w:hint="eastAsia" w:ascii="宋体" w:hAnsi="宋体"/>
          <w:szCs w:val="21"/>
        </w:rPr>
        <w:t>合同当事人及其他相关方</w:t>
      </w:r>
    </w:p>
    <w:p>
      <w:pPr>
        <w:spacing w:line="400" w:lineRule="exact"/>
        <w:ind w:firstLine="420" w:firstLineChars="200"/>
        <w:rPr>
          <w:rFonts w:ascii="宋体" w:hAnsi="宋体"/>
          <w:szCs w:val="21"/>
        </w:rPr>
      </w:pPr>
      <w:r>
        <w:rPr>
          <w:rFonts w:ascii="宋体" w:hAnsi="宋体"/>
          <w:szCs w:val="21"/>
        </w:rPr>
        <w:t>1.1.2.4</w:t>
      </w:r>
      <w:r>
        <w:rPr>
          <w:rFonts w:hint="eastAsia" w:ascii="宋体" w:hAnsi="宋体"/>
          <w:szCs w:val="21"/>
        </w:rPr>
        <w:t>监理人：</w:t>
      </w:r>
    </w:p>
    <w:p>
      <w:pPr>
        <w:spacing w:line="400" w:lineRule="exact"/>
        <w:ind w:firstLine="420" w:firstLineChars="200"/>
        <w:rPr>
          <w:rFonts w:ascii="宋体" w:hAnsi="宋体"/>
          <w:szCs w:val="21"/>
        </w:rPr>
      </w:pPr>
      <w:r>
        <w:rPr>
          <w:rFonts w:hint="eastAsia" w:ascii="宋体" w:hAnsi="宋体"/>
          <w:szCs w:val="21"/>
        </w:rPr>
        <w:t>名称：</w:t>
      </w:r>
      <w:r>
        <w:rPr>
          <w:rFonts w:ascii="宋体" w:hAnsi="宋体"/>
          <w:szCs w:val="21"/>
          <w:u w:val="single"/>
        </w:rPr>
        <w:t xml:space="preserve">           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资质类别和等级：</w:t>
      </w:r>
      <w:r>
        <w:rPr>
          <w:rFonts w:ascii="宋体" w:hAnsi="宋体"/>
          <w:szCs w:val="21"/>
          <w:u w:val="single"/>
        </w:rPr>
        <w:t>            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联系电话：</w:t>
      </w:r>
      <w:r>
        <w:rPr>
          <w:rFonts w:ascii="宋体" w:hAnsi="宋体"/>
          <w:szCs w:val="21"/>
          <w:u w:val="single"/>
        </w:rPr>
        <w:t>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电子信箱：</w:t>
      </w:r>
      <w:r>
        <w:rPr>
          <w:rFonts w:ascii="宋体" w:hAnsi="宋体"/>
          <w:szCs w:val="21"/>
          <w:u w:val="single"/>
        </w:rPr>
        <w:t>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通信地址：</w:t>
      </w:r>
      <w:r>
        <w:rPr>
          <w:rFonts w:ascii="宋体" w:hAnsi="宋体"/>
          <w:szCs w:val="21"/>
          <w:u w:val="single"/>
        </w:rPr>
        <w:t>                </w:t>
      </w:r>
      <w:r>
        <w:rPr>
          <w:rFonts w:hint="eastAsia" w:ascii="宋体" w:hAnsi="宋体"/>
          <w:szCs w:val="21"/>
        </w:rPr>
        <w:t>。</w:t>
      </w:r>
    </w:p>
    <w:p>
      <w:pPr>
        <w:spacing w:line="400" w:lineRule="exact"/>
        <w:ind w:firstLine="420" w:firstLineChars="200"/>
        <w:rPr>
          <w:rFonts w:ascii="宋体" w:hAnsi="宋体"/>
          <w:szCs w:val="21"/>
        </w:rPr>
      </w:pPr>
      <w:r>
        <w:rPr>
          <w:rFonts w:ascii="宋体" w:hAnsi="宋体"/>
          <w:szCs w:val="21"/>
        </w:rPr>
        <w:t xml:space="preserve">1.1.2.5 </w:t>
      </w:r>
      <w:r>
        <w:rPr>
          <w:rFonts w:hint="eastAsia" w:ascii="宋体" w:hAnsi="宋体"/>
          <w:szCs w:val="21"/>
        </w:rPr>
        <w:t>设计人：</w:t>
      </w:r>
    </w:p>
    <w:p>
      <w:pPr>
        <w:spacing w:line="400" w:lineRule="exact"/>
        <w:ind w:firstLine="420" w:firstLineChars="200"/>
        <w:rPr>
          <w:rFonts w:ascii="宋体" w:hAnsi="宋体"/>
          <w:szCs w:val="21"/>
        </w:rPr>
      </w:pPr>
      <w:r>
        <w:rPr>
          <w:rFonts w:hint="eastAsia" w:ascii="宋体" w:hAnsi="宋体"/>
          <w:szCs w:val="21"/>
        </w:rPr>
        <w:t>名称：</w:t>
      </w:r>
      <w:r>
        <w:rPr>
          <w:rFonts w:ascii="宋体" w:hAnsi="宋体"/>
          <w:szCs w:val="21"/>
          <w:u w:val="single"/>
        </w:rPr>
        <w:t xml:space="preserve">             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资质类别和等级：</w:t>
      </w:r>
      <w:r>
        <w:rPr>
          <w:rFonts w:ascii="宋体" w:hAnsi="宋体"/>
          <w:szCs w:val="21"/>
          <w:u w:val="single"/>
        </w:rPr>
        <w:t>            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联系电话：</w:t>
      </w:r>
      <w:r>
        <w:rPr>
          <w:rFonts w:ascii="宋体" w:hAnsi="宋体"/>
          <w:szCs w:val="21"/>
          <w:u w:val="single"/>
        </w:rPr>
        <w:t>    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电子信箱：</w:t>
      </w:r>
      <w:r>
        <w:rPr>
          <w:rFonts w:ascii="宋体" w:hAnsi="宋体"/>
          <w:szCs w:val="21"/>
          <w:u w:val="single"/>
        </w:rPr>
        <w:t xml:space="preserve">                    </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通信地址：</w:t>
      </w:r>
      <w:r>
        <w:rPr>
          <w:rFonts w:ascii="宋体" w:hAnsi="宋体"/>
          <w:szCs w:val="21"/>
          <w:u w:val="single"/>
        </w:rPr>
        <w:t>                </w:t>
      </w:r>
      <w:r>
        <w:rPr>
          <w:rFonts w:hint="eastAsia" w:ascii="宋体" w:hAnsi="宋体"/>
          <w:szCs w:val="21"/>
        </w:rPr>
        <w:t>。</w:t>
      </w:r>
    </w:p>
    <w:p>
      <w:pPr>
        <w:spacing w:line="400" w:lineRule="exact"/>
        <w:ind w:firstLine="420" w:firstLineChars="200"/>
        <w:rPr>
          <w:rFonts w:ascii="宋体" w:hAnsi="宋体"/>
          <w:szCs w:val="21"/>
        </w:rPr>
      </w:pPr>
      <w:r>
        <w:rPr>
          <w:rFonts w:ascii="宋体" w:hAnsi="宋体"/>
          <w:szCs w:val="21"/>
        </w:rPr>
        <w:t xml:space="preserve">1.1.3 </w:t>
      </w:r>
      <w:r>
        <w:rPr>
          <w:rFonts w:hint="eastAsia" w:ascii="宋体" w:hAnsi="宋体"/>
          <w:szCs w:val="21"/>
        </w:rPr>
        <w:t>工程和设备</w:t>
      </w:r>
    </w:p>
    <w:p>
      <w:pPr>
        <w:tabs>
          <w:tab w:val="left" w:pos="2410"/>
        </w:tabs>
        <w:spacing w:line="400" w:lineRule="exact"/>
        <w:ind w:firstLine="420" w:firstLineChars="200"/>
        <w:rPr>
          <w:rFonts w:ascii="宋体" w:hAnsi="宋体" w:cs="宋体"/>
          <w:szCs w:val="21"/>
        </w:rPr>
      </w:pPr>
      <w:r>
        <w:rPr>
          <w:rFonts w:hint="eastAsia" w:ascii="宋体" w:hAnsi="宋体" w:cs="宋体"/>
          <w:szCs w:val="21"/>
        </w:rPr>
        <w:t>1.1.3.7 作为施工现场组成部分的其他场所包括：</w:t>
      </w:r>
      <w:r>
        <w:rPr>
          <w:rFonts w:hint="eastAsia" w:ascii="宋体" w:hAnsi="宋体" w:cs="宋体"/>
          <w:szCs w:val="21"/>
          <w:u w:val="single"/>
        </w:rPr>
        <w:t xml:space="preserve">   /   </w:t>
      </w:r>
      <w:r>
        <w:rPr>
          <w:rFonts w:hint="eastAsia" w:ascii="宋体" w:hAnsi="宋体" w:cs="宋体"/>
          <w:szCs w:val="21"/>
        </w:rPr>
        <w:t>。</w:t>
      </w:r>
    </w:p>
    <w:p>
      <w:pPr>
        <w:tabs>
          <w:tab w:val="left" w:pos="2410"/>
        </w:tabs>
        <w:spacing w:line="400" w:lineRule="exact"/>
        <w:ind w:firstLine="420" w:firstLineChars="200"/>
        <w:jc w:val="left"/>
        <w:rPr>
          <w:rFonts w:ascii="宋体" w:hAnsi="宋体" w:cs="宋体"/>
          <w:szCs w:val="21"/>
        </w:rPr>
      </w:pPr>
      <w:r>
        <w:rPr>
          <w:rFonts w:hint="eastAsia" w:ascii="宋体" w:hAnsi="宋体" w:cs="宋体"/>
          <w:szCs w:val="21"/>
        </w:rPr>
        <w:t>1.1.3.9 永久占地包括：</w:t>
      </w:r>
      <w:r>
        <w:rPr>
          <w:rFonts w:hint="eastAsia" w:ascii="宋体" w:hAnsi="宋体" w:cs="宋体"/>
          <w:b/>
          <w:szCs w:val="21"/>
          <w:u w:val="single"/>
        </w:rPr>
        <w:t xml:space="preserve">/ </w:t>
      </w:r>
      <w:r>
        <w:rPr>
          <w:rFonts w:hint="eastAsia" w:ascii="宋体" w:hAnsi="宋体" w:cs="宋体"/>
          <w:szCs w:val="21"/>
        </w:rPr>
        <w:t>。</w:t>
      </w:r>
    </w:p>
    <w:p>
      <w:pPr>
        <w:tabs>
          <w:tab w:val="left" w:pos="2410"/>
        </w:tabs>
        <w:spacing w:line="400" w:lineRule="exact"/>
        <w:ind w:firstLine="420" w:firstLineChars="200"/>
        <w:jc w:val="left"/>
        <w:rPr>
          <w:rFonts w:ascii="宋体" w:hAnsi="宋体" w:cs="宋体"/>
          <w:szCs w:val="21"/>
        </w:rPr>
      </w:pPr>
      <w:r>
        <w:rPr>
          <w:rFonts w:hint="eastAsia" w:ascii="宋体" w:hAnsi="宋体" w:cs="宋体"/>
          <w:szCs w:val="21"/>
        </w:rPr>
        <w:t>1.1.3.10 临时占地包括：</w:t>
      </w:r>
      <w:r>
        <w:rPr>
          <w:rFonts w:hint="eastAsia" w:ascii="宋体" w:hAnsi="宋体" w:cs="宋体"/>
          <w:szCs w:val="21"/>
          <w:u w:val="single"/>
        </w:rPr>
        <w:t xml:space="preserve">     /   </w:t>
      </w:r>
      <w:r>
        <w:rPr>
          <w:rFonts w:hint="eastAsia" w:ascii="宋体" w:hAnsi="宋体" w:cs="宋体"/>
          <w:szCs w:val="21"/>
        </w:rPr>
        <w:t>。</w:t>
      </w:r>
    </w:p>
    <w:p>
      <w:pPr>
        <w:spacing w:after="120" w:line="400" w:lineRule="exact"/>
        <w:ind w:firstLine="420" w:firstLineChars="200"/>
        <w:rPr>
          <w:rFonts w:ascii="宋体" w:hAnsi="宋体"/>
          <w:szCs w:val="21"/>
        </w:rPr>
      </w:pPr>
      <w:r>
        <w:rPr>
          <w:rFonts w:ascii="宋体" w:hAnsi="宋体"/>
          <w:szCs w:val="21"/>
        </w:rPr>
        <w:t>1.3</w:t>
      </w:r>
      <w:r>
        <w:rPr>
          <w:rFonts w:hint="eastAsia" w:ascii="宋体" w:hAnsi="宋体"/>
          <w:szCs w:val="21"/>
        </w:rPr>
        <w:t>法律</w:t>
      </w:r>
    </w:p>
    <w:p>
      <w:pPr>
        <w:tabs>
          <w:tab w:val="left" w:pos="2410"/>
        </w:tabs>
        <w:autoSpaceDE w:val="0"/>
        <w:autoSpaceDN w:val="0"/>
        <w:adjustRightInd w:val="0"/>
        <w:spacing w:line="400" w:lineRule="exact"/>
        <w:ind w:firstLine="420" w:firstLineChars="200"/>
        <w:jc w:val="left"/>
        <w:rPr>
          <w:rFonts w:ascii="宋体" w:hAnsi="宋体" w:cs="宋体"/>
          <w:szCs w:val="21"/>
        </w:rPr>
      </w:pPr>
      <w:r>
        <w:rPr>
          <w:rFonts w:hint="eastAsia" w:ascii="宋体" w:hAnsi="宋体"/>
          <w:szCs w:val="21"/>
        </w:rPr>
        <w:t>适用于合同的其他规范性文件：</w:t>
      </w:r>
      <w:r>
        <w:rPr>
          <w:rFonts w:hint="eastAsia" w:ascii="宋体" w:hAnsi="宋体" w:cs="宋体"/>
          <w:b/>
          <w:bCs/>
          <w:szCs w:val="21"/>
          <w:u w:val="single"/>
        </w:rPr>
        <w:t>《中华人民共和国建筑法》、《中华人民共和国民法典》、《中华人民共和国招标投标法》、七部委第12号令《评标委员会和评标方法暂行规定》、建设部第89号令《房屋建筑和市政基础设施工程施工招标投标管理办法》、七部委第30号令、《建设工程质量管理条例》（国务院第279号令）、《江苏省工程建设管理条例》、《江苏省建筑市场管理条例》。</w:t>
      </w:r>
    </w:p>
    <w:p>
      <w:pPr>
        <w:autoSpaceDE w:val="0"/>
        <w:autoSpaceDN w:val="0"/>
        <w:adjustRightInd w:val="0"/>
        <w:spacing w:line="400" w:lineRule="exact"/>
        <w:ind w:firstLine="420" w:firstLineChars="200"/>
        <w:jc w:val="left"/>
        <w:rPr>
          <w:rFonts w:ascii="宋体" w:hAnsi="宋体"/>
          <w:szCs w:val="21"/>
        </w:rPr>
      </w:pPr>
      <w:r>
        <w:rPr>
          <w:rFonts w:ascii="宋体" w:hAnsi="宋体"/>
          <w:szCs w:val="21"/>
        </w:rPr>
        <w:t xml:space="preserve">1.4 </w:t>
      </w:r>
      <w:r>
        <w:rPr>
          <w:rFonts w:hint="eastAsia" w:ascii="宋体" w:hAnsi="宋体"/>
          <w:szCs w:val="21"/>
        </w:rPr>
        <w:t>标准和规范</w:t>
      </w:r>
    </w:p>
    <w:p>
      <w:pPr>
        <w:tabs>
          <w:tab w:val="left" w:pos="2410"/>
        </w:tabs>
        <w:spacing w:line="400" w:lineRule="exact"/>
        <w:ind w:firstLine="420" w:firstLineChars="200"/>
        <w:rPr>
          <w:rFonts w:ascii="宋体" w:hAnsi="宋体" w:cs="宋体"/>
          <w:b/>
          <w:bCs/>
          <w:szCs w:val="21"/>
          <w:u w:val="single"/>
        </w:rPr>
      </w:pPr>
      <w:r>
        <w:rPr>
          <w:rFonts w:ascii="宋体" w:hAnsi="宋体"/>
          <w:szCs w:val="21"/>
        </w:rPr>
        <w:t>1.4.1</w:t>
      </w:r>
      <w:r>
        <w:rPr>
          <w:rFonts w:hint="eastAsia" w:ascii="宋体" w:hAnsi="宋体"/>
          <w:szCs w:val="21"/>
        </w:rPr>
        <w:t>适用于工程的标准规范包括：</w:t>
      </w:r>
      <w:r>
        <w:rPr>
          <w:rFonts w:hint="eastAsia" w:ascii="宋体" w:hAnsi="宋体" w:cs="宋体"/>
          <w:b/>
          <w:bCs/>
          <w:szCs w:val="21"/>
          <w:u w:val="single"/>
        </w:rPr>
        <w:t>国家、地方、行业现行的建设工程规范和标准；国家、地方、行业现行的有关材料、设备的规范和标准；现行的江苏省工程预算定额及相关规定。</w:t>
      </w:r>
    </w:p>
    <w:p>
      <w:pPr>
        <w:tabs>
          <w:tab w:val="left" w:pos="2410"/>
        </w:tabs>
        <w:spacing w:line="400" w:lineRule="exact"/>
        <w:ind w:firstLine="420" w:firstLineChars="200"/>
        <w:rPr>
          <w:rFonts w:ascii="宋体" w:hAnsi="宋体" w:cs="宋体"/>
          <w:szCs w:val="21"/>
          <w:u w:val="single"/>
        </w:rPr>
      </w:pPr>
      <w:r>
        <w:rPr>
          <w:rFonts w:hint="eastAsia" w:ascii="宋体" w:hAnsi="宋体" w:cs="宋体"/>
          <w:szCs w:val="21"/>
        </w:rPr>
        <w:t>1.4.2 发包人提供国外标准、规范的名称：</w:t>
      </w:r>
      <w:r>
        <w:rPr>
          <w:rFonts w:hint="eastAsia" w:ascii="宋体" w:hAnsi="宋体" w:cs="宋体"/>
          <w:b/>
          <w:bCs/>
          <w:szCs w:val="21"/>
          <w:u w:val="single"/>
        </w:rPr>
        <w:t xml:space="preserve">无 </w:t>
      </w:r>
      <w:r>
        <w:rPr>
          <w:rFonts w:hint="eastAsia" w:ascii="宋体" w:hAnsi="宋体" w:cs="宋体"/>
          <w:szCs w:val="21"/>
        </w:rPr>
        <w:t>；</w:t>
      </w:r>
    </w:p>
    <w:p>
      <w:pPr>
        <w:tabs>
          <w:tab w:val="left" w:pos="2410"/>
        </w:tabs>
        <w:spacing w:line="400" w:lineRule="exact"/>
        <w:ind w:firstLine="420" w:firstLineChars="200"/>
        <w:rPr>
          <w:rFonts w:ascii="宋体" w:hAnsi="宋体" w:cs="宋体"/>
          <w:szCs w:val="21"/>
        </w:rPr>
      </w:pPr>
      <w:r>
        <w:rPr>
          <w:rFonts w:hint="eastAsia" w:ascii="宋体" w:hAnsi="宋体" w:cs="宋体"/>
          <w:szCs w:val="21"/>
        </w:rPr>
        <w:t>发包人提供国外标准、规范的份数：</w:t>
      </w:r>
      <w:r>
        <w:rPr>
          <w:rFonts w:hint="eastAsia" w:ascii="宋体" w:hAnsi="宋体" w:cs="宋体"/>
          <w:b/>
          <w:bCs/>
          <w:szCs w:val="21"/>
          <w:u w:val="single"/>
        </w:rPr>
        <w:t>无</w:t>
      </w:r>
      <w:r>
        <w:rPr>
          <w:rFonts w:hint="eastAsia" w:ascii="宋体" w:hAnsi="宋体" w:cs="宋体"/>
          <w:szCs w:val="21"/>
        </w:rPr>
        <w:t>；</w:t>
      </w:r>
    </w:p>
    <w:p>
      <w:pPr>
        <w:tabs>
          <w:tab w:val="left" w:pos="2410"/>
        </w:tabs>
        <w:spacing w:line="400" w:lineRule="exact"/>
        <w:ind w:firstLine="420" w:firstLineChars="200"/>
        <w:rPr>
          <w:rFonts w:ascii="宋体" w:hAnsi="宋体" w:cs="宋体"/>
          <w:szCs w:val="21"/>
        </w:rPr>
      </w:pPr>
      <w:r>
        <w:rPr>
          <w:rFonts w:hint="eastAsia" w:ascii="宋体" w:hAnsi="宋体" w:cs="宋体"/>
          <w:szCs w:val="21"/>
        </w:rPr>
        <w:t>发包人提供国外标准、规范的名称：</w:t>
      </w:r>
      <w:r>
        <w:rPr>
          <w:rFonts w:hint="eastAsia" w:ascii="宋体" w:hAnsi="宋体" w:cs="宋体"/>
          <w:b/>
          <w:bCs/>
          <w:szCs w:val="21"/>
          <w:u w:val="single"/>
        </w:rPr>
        <w:t>无</w:t>
      </w:r>
      <w:r>
        <w:rPr>
          <w:rFonts w:hint="eastAsia" w:ascii="宋体" w:hAnsi="宋体" w:cs="宋体"/>
          <w:szCs w:val="21"/>
        </w:rPr>
        <w:t>。</w:t>
      </w:r>
    </w:p>
    <w:p>
      <w:pPr>
        <w:tabs>
          <w:tab w:val="left" w:pos="2410"/>
        </w:tabs>
        <w:spacing w:line="400" w:lineRule="exact"/>
        <w:ind w:firstLine="420" w:firstLineChars="200"/>
        <w:rPr>
          <w:rFonts w:ascii="宋体" w:hAnsi="宋体" w:cs="宋体"/>
          <w:szCs w:val="21"/>
        </w:rPr>
      </w:pPr>
      <w:r>
        <w:rPr>
          <w:rFonts w:hint="eastAsia" w:ascii="宋体" w:hAnsi="宋体" w:cs="宋体"/>
          <w:szCs w:val="21"/>
        </w:rPr>
        <w:t>1.4.3发包人对工程的技术标准和功能要求的特殊要求：</w:t>
      </w:r>
      <w:r>
        <w:rPr>
          <w:rFonts w:hint="eastAsia" w:ascii="宋体" w:hAnsi="宋体" w:cs="宋体"/>
          <w:b/>
          <w:bCs/>
          <w:szCs w:val="21"/>
          <w:u w:val="single"/>
        </w:rPr>
        <w:t>按设计要求执行</w:t>
      </w:r>
      <w:r>
        <w:rPr>
          <w:rFonts w:hint="eastAsia" w:ascii="宋体" w:hAnsi="宋体" w:cs="宋体"/>
          <w:szCs w:val="21"/>
        </w:rPr>
        <w:t>。</w:t>
      </w:r>
    </w:p>
    <w:p>
      <w:pPr>
        <w:tabs>
          <w:tab w:val="left" w:pos="2410"/>
        </w:tabs>
        <w:spacing w:line="400" w:lineRule="exact"/>
        <w:ind w:firstLine="420" w:firstLineChars="200"/>
        <w:rPr>
          <w:rFonts w:ascii="宋体" w:hAnsi="宋体" w:cs="宋体"/>
          <w:szCs w:val="21"/>
        </w:rPr>
      </w:pPr>
      <w:r>
        <w:rPr>
          <w:rFonts w:hint="eastAsia" w:ascii="宋体" w:hAnsi="宋体" w:cs="宋体"/>
          <w:szCs w:val="21"/>
        </w:rPr>
        <w:t>1.5 合同文件的优先顺序</w:t>
      </w:r>
    </w:p>
    <w:p>
      <w:pPr>
        <w:spacing w:line="400" w:lineRule="exact"/>
        <w:ind w:firstLine="420" w:firstLineChars="200"/>
        <w:rPr>
          <w:rFonts w:ascii="宋体" w:hAnsi="宋体"/>
          <w:szCs w:val="21"/>
          <w:lang w:eastAsia="zh-TW"/>
        </w:rPr>
      </w:pPr>
      <w:r>
        <w:rPr>
          <w:rFonts w:hint="eastAsia" w:ascii="宋体" w:hAnsi="宋体" w:cs="宋体"/>
          <w:szCs w:val="21"/>
        </w:rPr>
        <w:t>合同文件组成及优先顺序为：</w:t>
      </w:r>
      <w:r>
        <w:rPr>
          <w:rFonts w:hint="eastAsia" w:ascii="宋体" w:hAnsi="宋体"/>
          <w:b/>
          <w:bCs/>
          <w:kern w:val="0"/>
          <w:szCs w:val="21"/>
          <w:u w:val="single"/>
        </w:rPr>
        <w:t>（</w:t>
      </w:r>
      <w:r>
        <w:rPr>
          <w:rFonts w:ascii="宋体" w:hAnsi="宋体"/>
          <w:b/>
          <w:bCs/>
          <w:kern w:val="0"/>
          <w:szCs w:val="21"/>
          <w:u w:val="single"/>
        </w:rPr>
        <w:t>1）</w:t>
      </w:r>
      <w:r>
        <w:rPr>
          <w:rFonts w:hint="eastAsia" w:ascii="宋体" w:hAnsi="宋体" w:cs="宋体"/>
          <w:b/>
          <w:bCs/>
          <w:szCs w:val="21"/>
          <w:u w:val="single"/>
        </w:rPr>
        <w:t>合同协议书</w:t>
      </w:r>
      <w:r>
        <w:rPr>
          <w:rFonts w:hint="eastAsia" w:ascii="宋体" w:hAnsi="宋体"/>
          <w:b/>
          <w:bCs/>
          <w:kern w:val="0"/>
          <w:szCs w:val="21"/>
          <w:u w:val="single"/>
        </w:rPr>
        <w:t>；</w:t>
      </w:r>
      <w:r>
        <w:rPr>
          <w:rFonts w:ascii="宋体" w:hAnsi="宋体"/>
          <w:b/>
          <w:bCs/>
          <w:kern w:val="0"/>
          <w:szCs w:val="21"/>
          <w:u w:val="single"/>
        </w:rPr>
        <w:t>（2）</w:t>
      </w:r>
      <w:r>
        <w:rPr>
          <w:rFonts w:hint="eastAsia" w:ascii="宋体" w:hAnsi="宋体"/>
          <w:b/>
          <w:bCs/>
          <w:kern w:val="0"/>
          <w:szCs w:val="21"/>
          <w:u w:val="single"/>
          <w:lang w:eastAsia="zh-TW"/>
        </w:rPr>
        <w:t>中标通</w:t>
      </w:r>
      <w:r>
        <w:rPr>
          <w:rFonts w:hint="eastAsia" w:ascii="宋体" w:hAnsi="宋体"/>
          <w:b/>
          <w:bCs/>
          <w:kern w:val="0"/>
          <w:szCs w:val="21"/>
          <w:u w:val="single"/>
        </w:rPr>
        <w:t>知</w:t>
      </w:r>
      <w:r>
        <w:rPr>
          <w:rFonts w:hint="eastAsia" w:ascii="宋体" w:hAnsi="宋体"/>
          <w:b/>
          <w:bCs/>
          <w:kern w:val="0"/>
          <w:szCs w:val="21"/>
          <w:u w:val="single"/>
          <w:lang w:eastAsia="zh-TW"/>
        </w:rPr>
        <w:t>书</w:t>
      </w:r>
      <w:r>
        <w:rPr>
          <w:rFonts w:ascii="宋体" w:hAnsi="宋体"/>
          <w:b/>
          <w:bCs/>
          <w:kern w:val="0"/>
          <w:szCs w:val="21"/>
          <w:u w:val="single"/>
        </w:rPr>
        <w:t>；（3）</w:t>
      </w:r>
      <w:r>
        <w:rPr>
          <w:rFonts w:hint="eastAsia" w:ascii="宋体" w:hAnsi="宋体" w:cs="宋体"/>
          <w:b/>
          <w:bCs/>
          <w:szCs w:val="21"/>
          <w:u w:val="single"/>
        </w:rPr>
        <w:t>招标文件及修改、补充文件</w:t>
      </w:r>
      <w:r>
        <w:rPr>
          <w:rFonts w:hint="eastAsia" w:ascii="宋体" w:hAnsi="宋体"/>
          <w:b/>
          <w:bCs/>
          <w:kern w:val="0"/>
          <w:szCs w:val="21"/>
          <w:u w:val="single"/>
        </w:rPr>
        <w:t>；（4） 本合同</w:t>
      </w:r>
      <w:r>
        <w:rPr>
          <w:rFonts w:hint="eastAsia" w:ascii="宋体" w:hAnsi="宋体"/>
          <w:b/>
          <w:bCs/>
          <w:kern w:val="0"/>
          <w:szCs w:val="21"/>
          <w:u w:val="single"/>
          <w:lang w:eastAsia="zh-TW"/>
        </w:rPr>
        <w:t>专用条款</w:t>
      </w:r>
      <w:r>
        <w:rPr>
          <w:rFonts w:ascii="宋体" w:hAnsi="宋体"/>
          <w:b/>
          <w:bCs/>
          <w:kern w:val="0"/>
          <w:szCs w:val="21"/>
          <w:u w:val="single"/>
        </w:rPr>
        <w:t>；（</w:t>
      </w:r>
      <w:r>
        <w:rPr>
          <w:rFonts w:hint="eastAsia" w:ascii="宋体" w:hAnsi="宋体"/>
          <w:b/>
          <w:bCs/>
          <w:kern w:val="0"/>
          <w:szCs w:val="21"/>
          <w:u w:val="single"/>
        </w:rPr>
        <w:t>5</w:t>
      </w:r>
      <w:r>
        <w:rPr>
          <w:rFonts w:ascii="宋体" w:hAnsi="宋体"/>
          <w:b/>
          <w:bCs/>
          <w:kern w:val="0"/>
          <w:szCs w:val="21"/>
          <w:u w:val="single"/>
        </w:rPr>
        <w:t>）</w:t>
      </w:r>
      <w:r>
        <w:rPr>
          <w:rFonts w:hint="eastAsia" w:ascii="宋体" w:hAnsi="宋体"/>
          <w:b/>
          <w:bCs/>
          <w:kern w:val="0"/>
          <w:szCs w:val="21"/>
          <w:u w:val="single"/>
        </w:rPr>
        <w:t xml:space="preserve"> 本合同</w:t>
      </w:r>
      <w:r>
        <w:rPr>
          <w:rFonts w:hint="eastAsia" w:ascii="宋体" w:hAnsi="宋体"/>
          <w:b/>
          <w:bCs/>
          <w:kern w:val="0"/>
          <w:szCs w:val="21"/>
          <w:u w:val="single"/>
          <w:lang w:eastAsia="zh-TW"/>
        </w:rPr>
        <w:t>通用条款</w:t>
      </w:r>
      <w:r>
        <w:rPr>
          <w:rFonts w:ascii="宋体" w:hAnsi="宋体"/>
          <w:b/>
          <w:bCs/>
          <w:kern w:val="0"/>
          <w:szCs w:val="21"/>
          <w:u w:val="single"/>
        </w:rPr>
        <w:t>；（</w:t>
      </w:r>
      <w:r>
        <w:rPr>
          <w:rFonts w:hint="eastAsia" w:ascii="宋体" w:hAnsi="宋体"/>
          <w:b/>
          <w:bCs/>
          <w:kern w:val="0"/>
          <w:szCs w:val="21"/>
          <w:u w:val="single"/>
        </w:rPr>
        <w:t>6</w:t>
      </w:r>
      <w:r>
        <w:rPr>
          <w:rFonts w:ascii="宋体" w:hAnsi="宋体"/>
          <w:b/>
          <w:bCs/>
          <w:kern w:val="0"/>
          <w:szCs w:val="21"/>
          <w:u w:val="single"/>
        </w:rPr>
        <w:t>）</w:t>
      </w:r>
      <w:r>
        <w:rPr>
          <w:rFonts w:hint="eastAsia" w:ascii="宋体" w:hAnsi="宋体"/>
          <w:b/>
          <w:bCs/>
          <w:kern w:val="0"/>
          <w:szCs w:val="21"/>
          <w:u w:val="single"/>
          <w:lang w:eastAsia="zh-TW"/>
        </w:rPr>
        <w:t>投标书及其附件</w:t>
      </w:r>
      <w:r>
        <w:rPr>
          <w:rFonts w:ascii="宋体" w:hAnsi="宋体"/>
          <w:b/>
          <w:bCs/>
          <w:kern w:val="0"/>
          <w:szCs w:val="21"/>
          <w:u w:val="single"/>
        </w:rPr>
        <w:t>；（</w:t>
      </w:r>
      <w:r>
        <w:rPr>
          <w:rFonts w:hint="eastAsia" w:ascii="宋体" w:hAnsi="宋体"/>
          <w:b/>
          <w:bCs/>
          <w:kern w:val="0"/>
          <w:szCs w:val="21"/>
          <w:u w:val="single"/>
        </w:rPr>
        <w:t>7</w:t>
      </w:r>
      <w:r>
        <w:rPr>
          <w:rFonts w:ascii="宋体" w:hAnsi="宋体"/>
          <w:b/>
          <w:bCs/>
          <w:kern w:val="0"/>
          <w:szCs w:val="21"/>
          <w:u w:val="single"/>
        </w:rPr>
        <w:t>）</w:t>
      </w:r>
      <w:r>
        <w:rPr>
          <w:rFonts w:hint="eastAsia" w:ascii="宋体" w:hAnsi="宋体"/>
          <w:b/>
          <w:bCs/>
          <w:kern w:val="0"/>
          <w:szCs w:val="21"/>
          <w:u w:val="single"/>
          <w:lang w:eastAsia="zh-TW"/>
        </w:rPr>
        <w:t>标准、规范及有关技术资料</w:t>
      </w:r>
      <w:r>
        <w:rPr>
          <w:rFonts w:ascii="宋体" w:hAnsi="宋体"/>
          <w:b/>
          <w:bCs/>
          <w:kern w:val="0"/>
          <w:szCs w:val="21"/>
          <w:u w:val="single"/>
        </w:rPr>
        <w:t>；（</w:t>
      </w:r>
      <w:r>
        <w:rPr>
          <w:rFonts w:hint="eastAsia" w:ascii="宋体" w:hAnsi="宋体"/>
          <w:b/>
          <w:bCs/>
          <w:kern w:val="0"/>
          <w:szCs w:val="21"/>
          <w:u w:val="single"/>
        </w:rPr>
        <w:t>8</w:t>
      </w:r>
      <w:r>
        <w:rPr>
          <w:rFonts w:ascii="宋体" w:hAnsi="宋体"/>
          <w:b/>
          <w:bCs/>
          <w:kern w:val="0"/>
          <w:szCs w:val="21"/>
          <w:u w:val="single"/>
        </w:rPr>
        <w:t>）</w:t>
      </w:r>
      <w:r>
        <w:rPr>
          <w:rFonts w:hint="eastAsia" w:ascii="宋体" w:hAnsi="宋体"/>
          <w:b/>
          <w:bCs/>
          <w:kern w:val="0"/>
          <w:szCs w:val="21"/>
          <w:u w:val="single"/>
          <w:lang w:eastAsia="zh-TW"/>
        </w:rPr>
        <w:t>图纸</w:t>
      </w:r>
      <w:r>
        <w:rPr>
          <w:rFonts w:hint="eastAsia" w:ascii="宋体" w:hAnsi="宋体"/>
          <w:b/>
          <w:bCs/>
          <w:kern w:val="0"/>
          <w:szCs w:val="21"/>
          <w:u w:val="single"/>
        </w:rPr>
        <w:t>；（9</w:t>
      </w:r>
      <w:r>
        <w:rPr>
          <w:rFonts w:ascii="宋体" w:hAnsi="宋体"/>
          <w:b/>
          <w:bCs/>
          <w:kern w:val="0"/>
          <w:szCs w:val="21"/>
          <w:u w:val="single"/>
        </w:rPr>
        <w:t>）</w:t>
      </w:r>
      <w:r>
        <w:rPr>
          <w:rFonts w:hint="eastAsia" w:ascii="宋体" w:hAnsi="宋体"/>
          <w:b/>
          <w:bCs/>
          <w:kern w:val="0"/>
          <w:szCs w:val="21"/>
          <w:u w:val="single"/>
          <w:lang w:eastAsia="zh-TW"/>
        </w:rPr>
        <w:t>工程报</w:t>
      </w:r>
      <w:r>
        <w:rPr>
          <w:rFonts w:hint="eastAsia" w:ascii="宋体" w:hAnsi="宋体"/>
          <w:b/>
          <w:bCs/>
          <w:kern w:val="0"/>
          <w:szCs w:val="21"/>
          <w:u w:val="single"/>
        </w:rPr>
        <w:t>价</w:t>
      </w:r>
      <w:r>
        <w:rPr>
          <w:rFonts w:hint="eastAsia" w:ascii="宋体" w:hAnsi="宋体"/>
          <w:b/>
          <w:bCs/>
          <w:kern w:val="0"/>
          <w:szCs w:val="21"/>
          <w:u w:val="single"/>
          <w:lang w:eastAsia="zh-TW"/>
        </w:rPr>
        <w:t>单或预算书</w:t>
      </w:r>
      <w:r>
        <w:rPr>
          <w:rFonts w:hint="eastAsia" w:ascii="宋体" w:hAnsi="宋体"/>
          <w:b/>
          <w:bCs/>
          <w:kern w:val="0"/>
          <w:szCs w:val="21"/>
          <w:u w:val="single"/>
        </w:rPr>
        <w:t>；</w:t>
      </w:r>
      <w:r>
        <w:rPr>
          <w:rFonts w:hint="eastAsia" w:ascii="宋体" w:hAnsi="宋体" w:cs="宋体"/>
          <w:b/>
          <w:bCs/>
          <w:szCs w:val="21"/>
          <w:u w:val="single"/>
        </w:rPr>
        <w:t>（10）其他合同文件。</w:t>
      </w:r>
    </w:p>
    <w:p>
      <w:pPr>
        <w:spacing w:line="440" w:lineRule="exact"/>
        <w:ind w:firstLine="420" w:firstLineChars="200"/>
        <w:rPr>
          <w:rFonts w:ascii="宋体" w:hAnsi="宋体"/>
          <w:szCs w:val="21"/>
        </w:rPr>
      </w:pPr>
      <w:r>
        <w:rPr>
          <w:rFonts w:ascii="宋体" w:hAnsi="宋体"/>
          <w:szCs w:val="21"/>
        </w:rPr>
        <w:t>1.6 图纸和</w:t>
      </w:r>
      <w:r>
        <w:rPr>
          <w:rFonts w:hint="eastAsia" w:ascii="宋体" w:hAnsi="宋体"/>
          <w:szCs w:val="21"/>
        </w:rPr>
        <w:t>承包人</w:t>
      </w:r>
      <w:r>
        <w:rPr>
          <w:rFonts w:ascii="宋体" w:hAnsi="宋体"/>
          <w:szCs w:val="21"/>
        </w:rPr>
        <w:t>文件</w:t>
      </w:r>
      <w:r>
        <w:rPr>
          <w:rFonts w:ascii="宋体" w:hAnsi="宋体"/>
          <w:szCs w:val="21"/>
        </w:rPr>
        <w:tab/>
      </w:r>
    </w:p>
    <w:p>
      <w:pPr>
        <w:spacing w:line="440" w:lineRule="exact"/>
        <w:ind w:firstLine="420" w:firstLineChars="200"/>
        <w:rPr>
          <w:rFonts w:ascii="宋体" w:hAnsi="宋体"/>
          <w:szCs w:val="21"/>
        </w:rPr>
      </w:pPr>
      <w:r>
        <w:rPr>
          <w:rFonts w:ascii="宋体" w:hAnsi="宋体"/>
          <w:szCs w:val="21"/>
        </w:rPr>
        <w:t>1.6.1 图纸的提供</w:t>
      </w:r>
    </w:p>
    <w:p>
      <w:pPr>
        <w:spacing w:line="440" w:lineRule="exact"/>
        <w:ind w:firstLine="420" w:firstLineChars="200"/>
        <w:rPr>
          <w:rFonts w:ascii="宋体" w:hAnsi="宋体"/>
          <w:szCs w:val="21"/>
        </w:rPr>
      </w:pPr>
      <w:r>
        <w:rPr>
          <w:rFonts w:ascii="宋体" w:hAnsi="宋体"/>
          <w:szCs w:val="21"/>
        </w:rPr>
        <w:t>发包人向</w:t>
      </w:r>
      <w:r>
        <w:rPr>
          <w:rFonts w:hint="eastAsia" w:ascii="宋体" w:hAnsi="宋体"/>
          <w:szCs w:val="21"/>
        </w:rPr>
        <w:t>承包人</w:t>
      </w:r>
      <w:r>
        <w:rPr>
          <w:rFonts w:ascii="宋体" w:hAnsi="宋体"/>
          <w:szCs w:val="21"/>
        </w:rPr>
        <w:t>提供图纸的期限：</w:t>
      </w:r>
      <w:r>
        <w:rPr>
          <w:rFonts w:hint="eastAsia" w:ascii="宋体" w:hAnsi="宋体" w:cs="Arial"/>
          <w:szCs w:val="21"/>
          <w:u w:val="single"/>
        </w:rPr>
        <w:t>发包人于工程开工前向承包人提供</w:t>
      </w:r>
      <w:r>
        <w:rPr>
          <w:rFonts w:hint="eastAsia" w:ascii="宋体" w:hAnsi="宋体"/>
          <w:szCs w:val="21"/>
        </w:rPr>
        <w:t>；</w:t>
      </w:r>
    </w:p>
    <w:p>
      <w:pPr>
        <w:spacing w:line="440" w:lineRule="exact"/>
        <w:ind w:firstLine="420" w:firstLineChars="200"/>
        <w:rPr>
          <w:rFonts w:ascii="宋体" w:hAnsi="宋体"/>
          <w:szCs w:val="21"/>
        </w:rPr>
      </w:pPr>
      <w:r>
        <w:rPr>
          <w:rFonts w:ascii="宋体" w:hAnsi="宋体"/>
          <w:szCs w:val="21"/>
        </w:rPr>
        <w:t>发包人向</w:t>
      </w:r>
      <w:r>
        <w:rPr>
          <w:rFonts w:hint="eastAsia" w:ascii="宋体" w:hAnsi="宋体"/>
          <w:szCs w:val="21"/>
        </w:rPr>
        <w:t>承包人</w:t>
      </w:r>
      <w:r>
        <w:rPr>
          <w:rFonts w:ascii="宋体" w:hAnsi="宋体"/>
          <w:szCs w:val="21"/>
        </w:rPr>
        <w:t>提供图纸的数量：</w:t>
      </w:r>
      <w:r>
        <w:rPr>
          <w:rFonts w:hint="eastAsia" w:ascii="宋体" w:hAnsi="宋体" w:cs="Arial"/>
          <w:szCs w:val="21"/>
          <w:u w:val="single"/>
        </w:rPr>
        <w:t>开工前甲方仅提供全套电子图</w:t>
      </w:r>
      <w:r>
        <w:rPr>
          <w:rFonts w:ascii="宋体" w:hAnsi="宋体"/>
          <w:szCs w:val="21"/>
        </w:rPr>
        <w:t>；</w:t>
      </w:r>
    </w:p>
    <w:p>
      <w:pPr>
        <w:spacing w:line="440" w:lineRule="exact"/>
        <w:ind w:firstLine="420" w:firstLineChars="200"/>
        <w:rPr>
          <w:rFonts w:ascii="宋体" w:hAnsi="宋体" w:cs="Arial"/>
          <w:szCs w:val="21"/>
          <w:u w:val="single"/>
        </w:rPr>
      </w:pPr>
      <w:r>
        <w:rPr>
          <w:rFonts w:ascii="宋体" w:hAnsi="宋体"/>
          <w:szCs w:val="21"/>
        </w:rPr>
        <w:t>发包人向</w:t>
      </w:r>
      <w:r>
        <w:rPr>
          <w:rFonts w:hint="eastAsia" w:ascii="宋体" w:hAnsi="宋体"/>
          <w:szCs w:val="21"/>
        </w:rPr>
        <w:t>承包人</w:t>
      </w:r>
      <w:r>
        <w:rPr>
          <w:rFonts w:ascii="宋体" w:hAnsi="宋体"/>
          <w:szCs w:val="21"/>
        </w:rPr>
        <w:t>提供图纸的内容：</w:t>
      </w:r>
      <w:r>
        <w:rPr>
          <w:rFonts w:hint="eastAsia" w:ascii="宋体" w:hAnsi="宋体" w:cs="Arial"/>
          <w:szCs w:val="21"/>
          <w:u w:val="single"/>
        </w:rPr>
        <w:t>未经发包人同意不得复制，不得向承包人以外的人员泄露有关图纸内容。</w:t>
      </w:r>
    </w:p>
    <w:p>
      <w:pPr>
        <w:spacing w:line="440" w:lineRule="exact"/>
        <w:ind w:firstLine="420" w:firstLineChars="200"/>
        <w:rPr>
          <w:rFonts w:ascii="宋体" w:hAnsi="宋体"/>
          <w:szCs w:val="21"/>
        </w:rPr>
      </w:pPr>
      <w:r>
        <w:rPr>
          <w:rFonts w:ascii="宋体" w:hAnsi="宋体"/>
          <w:szCs w:val="21"/>
        </w:rPr>
        <w:t xml:space="preserve">1.6.4 </w:t>
      </w:r>
      <w:r>
        <w:rPr>
          <w:rFonts w:hint="eastAsia" w:ascii="宋体" w:hAnsi="宋体"/>
          <w:szCs w:val="21"/>
        </w:rPr>
        <w:t>承包人</w:t>
      </w:r>
      <w:r>
        <w:rPr>
          <w:rFonts w:ascii="宋体" w:hAnsi="宋体"/>
          <w:szCs w:val="21"/>
        </w:rPr>
        <w:t>文件</w:t>
      </w:r>
    </w:p>
    <w:p>
      <w:pPr>
        <w:spacing w:line="440" w:lineRule="exact"/>
        <w:ind w:firstLine="420" w:firstLineChars="200"/>
        <w:rPr>
          <w:rFonts w:ascii="宋体" w:hAnsi="宋体"/>
          <w:szCs w:val="21"/>
        </w:rPr>
      </w:pPr>
      <w:r>
        <w:rPr>
          <w:rFonts w:ascii="宋体" w:hAnsi="宋体"/>
          <w:szCs w:val="21"/>
        </w:rPr>
        <w:t>需</w:t>
      </w:r>
      <w:r>
        <w:rPr>
          <w:rFonts w:ascii="宋体" w:hAnsi="宋体" w:cs="Arial"/>
          <w:szCs w:val="21"/>
        </w:rPr>
        <w:t>要由</w:t>
      </w:r>
      <w:r>
        <w:rPr>
          <w:rFonts w:hint="eastAsia" w:ascii="宋体" w:hAnsi="宋体" w:cs="Arial"/>
          <w:szCs w:val="21"/>
        </w:rPr>
        <w:t>承包人</w:t>
      </w:r>
      <w:r>
        <w:rPr>
          <w:rFonts w:ascii="宋体" w:hAnsi="宋体" w:cs="Arial"/>
          <w:szCs w:val="21"/>
        </w:rPr>
        <w:t>提供的文件，包括：</w:t>
      </w:r>
      <w:r>
        <w:rPr>
          <w:rFonts w:hint="eastAsia" w:ascii="宋体" w:hAnsi="宋体" w:cs="Arial"/>
          <w:b/>
          <w:szCs w:val="21"/>
          <w:u w:val="single"/>
        </w:rPr>
        <w:t>承包人在开工前必须提交详细的施工组织设计，报发包人及总监审批，施工组织设计经发包人及监理认可后方可开工。施工组织设计将作为工程款支付的参考依据之一。每周四向监理和发包人提供下一周详细的施工进度计划及本周施工进度报表；总进度计划在开工前3天提供。具体计划及时间要求根据工程需要补充明确；承包人不按时报送以上资料，造成发包人无法判断工程进展顺利进行的，发包人可按照现实情况发向承包人收取1000-2000元的违约金，并可拒付相应部分工程进</w:t>
      </w:r>
      <w:r>
        <w:rPr>
          <w:rFonts w:hint="eastAsia" w:ascii="宋体" w:hAnsi="宋体"/>
          <w:b/>
          <w:szCs w:val="21"/>
          <w:u w:val="single"/>
        </w:rPr>
        <w:t>度款，责任由承包人承担</w:t>
      </w:r>
      <w:r>
        <w:rPr>
          <w:rFonts w:ascii="宋体" w:hAnsi="宋体"/>
          <w:b/>
          <w:szCs w:val="21"/>
          <w:u w:val="single"/>
        </w:rPr>
        <w:t>；</w:t>
      </w:r>
    </w:p>
    <w:p>
      <w:pPr>
        <w:spacing w:line="440" w:lineRule="exact"/>
        <w:ind w:firstLine="420" w:firstLineChars="200"/>
        <w:rPr>
          <w:rFonts w:ascii="宋体" w:hAnsi="宋体"/>
          <w:szCs w:val="21"/>
        </w:rPr>
      </w:pPr>
      <w:r>
        <w:rPr>
          <w:rFonts w:hint="eastAsia" w:ascii="宋体" w:hAnsi="宋体"/>
          <w:szCs w:val="21"/>
        </w:rPr>
        <w:t>承包人提供的文件的数量为：</w:t>
      </w:r>
      <w:r>
        <w:rPr>
          <w:rFonts w:hint="eastAsia" w:ascii="宋体" w:hAnsi="宋体" w:cs="Arial"/>
          <w:b/>
          <w:szCs w:val="21"/>
          <w:u w:val="single"/>
        </w:rPr>
        <w:t>视发包人需求</w:t>
      </w:r>
      <w:r>
        <w:rPr>
          <w:rFonts w:hint="eastAsia" w:ascii="宋体" w:hAnsi="宋体"/>
          <w:szCs w:val="21"/>
        </w:rPr>
        <w:t>；</w:t>
      </w:r>
    </w:p>
    <w:p>
      <w:pPr>
        <w:spacing w:line="440" w:lineRule="exact"/>
        <w:ind w:firstLine="420" w:firstLineChars="200"/>
        <w:rPr>
          <w:rFonts w:ascii="宋体" w:hAnsi="宋体"/>
          <w:szCs w:val="21"/>
        </w:rPr>
      </w:pPr>
      <w:r>
        <w:rPr>
          <w:rFonts w:hint="eastAsia" w:ascii="宋体" w:hAnsi="宋体"/>
          <w:szCs w:val="21"/>
        </w:rPr>
        <w:t>承包人提供的文件的形式为：</w:t>
      </w:r>
      <w:r>
        <w:rPr>
          <w:rFonts w:hint="eastAsia" w:ascii="宋体" w:hAnsi="宋体"/>
          <w:b/>
          <w:szCs w:val="21"/>
          <w:u w:val="single"/>
        </w:rPr>
        <w:t>书面形式</w:t>
      </w:r>
      <w:r>
        <w:rPr>
          <w:rFonts w:hint="eastAsia" w:ascii="宋体" w:hAnsi="宋体"/>
          <w:szCs w:val="21"/>
        </w:rPr>
        <w:t>；</w:t>
      </w:r>
    </w:p>
    <w:p>
      <w:pPr>
        <w:spacing w:line="440" w:lineRule="exact"/>
        <w:ind w:firstLine="420" w:firstLineChars="200"/>
        <w:jc w:val="left"/>
        <w:rPr>
          <w:rFonts w:ascii="宋体" w:hAnsi="宋体"/>
          <w:kern w:val="0"/>
          <w:szCs w:val="21"/>
        </w:rPr>
      </w:pPr>
      <w:r>
        <w:rPr>
          <w:rFonts w:hint="eastAsia" w:ascii="宋体" w:hAnsi="宋体"/>
          <w:szCs w:val="21"/>
        </w:rPr>
        <w:t>发包人审批承包人文件的期限：</w:t>
      </w:r>
      <w:r>
        <w:rPr>
          <w:rFonts w:hint="eastAsia" w:ascii="宋体" w:hAnsi="宋体"/>
          <w:b/>
          <w:szCs w:val="21"/>
          <w:u w:val="single"/>
        </w:rPr>
        <w:t>收到文件后7天内</w:t>
      </w:r>
      <w:r>
        <w:rPr>
          <w:rFonts w:hint="eastAsia" w:ascii="宋体" w:hAnsi="宋体"/>
          <w:kern w:val="0"/>
          <w:szCs w:val="21"/>
        </w:rPr>
        <w:t>。</w:t>
      </w:r>
    </w:p>
    <w:p>
      <w:pPr>
        <w:spacing w:line="440" w:lineRule="exact"/>
        <w:ind w:firstLine="420" w:firstLineChars="200"/>
        <w:jc w:val="left"/>
        <w:rPr>
          <w:rFonts w:ascii="宋体" w:hAnsi="宋体"/>
          <w:kern w:val="0"/>
          <w:szCs w:val="21"/>
        </w:rPr>
      </w:pPr>
      <w:r>
        <w:rPr>
          <w:rFonts w:ascii="宋体" w:hAnsi="宋体"/>
          <w:kern w:val="0"/>
          <w:szCs w:val="21"/>
        </w:rPr>
        <w:t xml:space="preserve">1.6.5 </w:t>
      </w:r>
      <w:r>
        <w:rPr>
          <w:rFonts w:hint="eastAsia" w:ascii="宋体" w:hAnsi="宋体"/>
          <w:kern w:val="0"/>
          <w:szCs w:val="21"/>
        </w:rPr>
        <w:t>现场图纸准备</w:t>
      </w:r>
    </w:p>
    <w:p>
      <w:pPr>
        <w:spacing w:line="440" w:lineRule="exact"/>
        <w:ind w:firstLine="420" w:firstLineChars="200"/>
        <w:jc w:val="left"/>
        <w:rPr>
          <w:rFonts w:ascii="宋体" w:hAnsi="宋体"/>
          <w:szCs w:val="21"/>
        </w:rPr>
      </w:pPr>
      <w:r>
        <w:rPr>
          <w:rFonts w:hint="eastAsia" w:ascii="宋体" w:hAnsi="宋体"/>
          <w:kern w:val="0"/>
          <w:szCs w:val="21"/>
        </w:rPr>
        <w:t>关于现场</w:t>
      </w:r>
      <w:r>
        <w:rPr>
          <w:rFonts w:hint="eastAsia" w:ascii="宋体" w:hAnsi="宋体"/>
          <w:szCs w:val="21"/>
        </w:rPr>
        <w:t>图纸准备的约定：</w:t>
      </w:r>
      <w:r>
        <w:rPr>
          <w:rFonts w:hint="eastAsia" w:ascii="宋体" w:hAnsi="宋体"/>
          <w:b/>
          <w:szCs w:val="21"/>
          <w:u w:val="single"/>
        </w:rPr>
        <w:t>施工现场保留一套完整图纸供发包人、监理人及有关人员使用</w:t>
      </w:r>
      <w:r>
        <w:rPr>
          <w:rFonts w:hint="eastAsia" w:ascii="宋体" w:hAnsi="宋体"/>
          <w:szCs w:val="21"/>
        </w:rPr>
        <w:t>。</w:t>
      </w:r>
    </w:p>
    <w:p>
      <w:pPr>
        <w:spacing w:line="440" w:lineRule="exact"/>
        <w:ind w:firstLine="420" w:firstLineChars="200"/>
        <w:jc w:val="left"/>
        <w:rPr>
          <w:rFonts w:ascii="宋体" w:hAnsi="宋体"/>
          <w:kern w:val="0"/>
          <w:szCs w:val="21"/>
        </w:rPr>
      </w:pPr>
      <w:r>
        <w:rPr>
          <w:rFonts w:ascii="宋体" w:hAnsi="宋体"/>
          <w:szCs w:val="21"/>
        </w:rPr>
        <w:t>1.7 联</w:t>
      </w:r>
      <w:r>
        <w:rPr>
          <w:rFonts w:hint="eastAsia" w:ascii="宋体" w:hAnsi="宋体"/>
          <w:kern w:val="0"/>
          <w:szCs w:val="21"/>
        </w:rPr>
        <w:t>络</w:t>
      </w:r>
    </w:p>
    <w:p>
      <w:pPr>
        <w:spacing w:line="440" w:lineRule="exact"/>
        <w:ind w:firstLine="420" w:firstLineChars="200"/>
        <w:jc w:val="left"/>
        <w:rPr>
          <w:rFonts w:ascii="宋体" w:hAnsi="宋体"/>
          <w:kern w:val="0"/>
          <w:szCs w:val="21"/>
        </w:rPr>
      </w:pPr>
      <w:r>
        <w:rPr>
          <w:rFonts w:hint="eastAsia" w:ascii="宋体" w:hAnsi="宋体"/>
          <w:kern w:val="0"/>
          <w:szCs w:val="21"/>
        </w:rPr>
        <w:t>1.7.1</w:t>
      </w:r>
      <w:r>
        <w:rPr>
          <w:rFonts w:ascii="宋体" w:hAnsi="宋体"/>
          <w:szCs w:val="21"/>
        </w:rPr>
        <w:t>发包人和</w:t>
      </w:r>
      <w:r>
        <w:rPr>
          <w:rFonts w:hint="eastAsia" w:ascii="宋体" w:hAnsi="宋体"/>
          <w:szCs w:val="21"/>
        </w:rPr>
        <w:t>承包人</w:t>
      </w:r>
      <w:r>
        <w:rPr>
          <w:rFonts w:ascii="宋体" w:hAnsi="宋体"/>
          <w:szCs w:val="21"/>
        </w:rPr>
        <w:t>应当在</w:t>
      </w:r>
      <w:r>
        <w:rPr>
          <w:rFonts w:hint="eastAsia" w:ascii="宋体" w:hAnsi="宋体"/>
          <w:szCs w:val="21"/>
          <w:u w:val="single"/>
        </w:rPr>
        <w:t xml:space="preserve">  3  </w:t>
      </w:r>
      <w:r>
        <w:rPr>
          <w:rFonts w:ascii="宋体" w:hAnsi="宋体"/>
          <w:szCs w:val="21"/>
        </w:rPr>
        <w:t>天内将与合同有关的通知、批准、证明、证</w:t>
      </w:r>
      <w:r>
        <w:rPr>
          <w:rFonts w:ascii="宋体" w:hAnsi="宋体"/>
          <w:kern w:val="0"/>
          <w:szCs w:val="21"/>
        </w:rPr>
        <w:t>书、指示、指令、</w:t>
      </w:r>
      <w:r>
        <w:rPr>
          <w:rFonts w:ascii="宋体" w:hAnsi="宋体"/>
          <w:szCs w:val="21"/>
        </w:rPr>
        <w:t>要求、请求、同意、意见、确定和决定等书面函件送达对方当事人</w:t>
      </w:r>
      <w:r>
        <w:rPr>
          <w:rFonts w:hint="eastAsia" w:ascii="宋体" w:hAnsi="宋体"/>
          <w:kern w:val="0"/>
          <w:szCs w:val="21"/>
        </w:rPr>
        <w:t>。</w:t>
      </w:r>
    </w:p>
    <w:p>
      <w:pPr>
        <w:spacing w:line="440" w:lineRule="exact"/>
        <w:ind w:firstLine="420" w:firstLineChars="200"/>
        <w:jc w:val="left"/>
        <w:rPr>
          <w:rFonts w:ascii="宋体" w:hAnsi="宋体"/>
          <w:kern w:val="0"/>
          <w:szCs w:val="21"/>
        </w:rPr>
      </w:pPr>
      <w:r>
        <w:rPr>
          <w:rFonts w:hint="eastAsia" w:ascii="宋体" w:hAnsi="宋体"/>
          <w:kern w:val="0"/>
          <w:szCs w:val="21"/>
        </w:rPr>
        <w:t>1.7</w:t>
      </w:r>
      <w:r>
        <w:rPr>
          <w:rFonts w:ascii="宋体" w:hAnsi="宋体"/>
          <w:szCs w:val="21"/>
        </w:rPr>
        <w:t>.2 发</w:t>
      </w:r>
      <w:r>
        <w:rPr>
          <w:rFonts w:ascii="宋体" w:hAnsi="宋体"/>
          <w:kern w:val="0"/>
          <w:szCs w:val="21"/>
        </w:rPr>
        <w:t>包人接收文件的地点：</w:t>
      </w:r>
      <w:r>
        <w:rPr>
          <w:rFonts w:hint="eastAsia" w:ascii="宋体" w:hAnsi="宋体"/>
          <w:b/>
          <w:szCs w:val="21"/>
          <w:u w:val="single"/>
        </w:rPr>
        <w:t>工地现场</w:t>
      </w:r>
      <w:r>
        <w:rPr>
          <w:rFonts w:hint="eastAsia" w:ascii="宋体" w:hAnsi="宋体"/>
          <w:kern w:val="0"/>
          <w:szCs w:val="21"/>
        </w:rPr>
        <w:t>；</w:t>
      </w:r>
    </w:p>
    <w:p>
      <w:pPr>
        <w:spacing w:line="440" w:lineRule="exact"/>
        <w:ind w:firstLine="420" w:firstLineChars="200"/>
        <w:jc w:val="left"/>
        <w:rPr>
          <w:rFonts w:ascii="宋体" w:hAnsi="宋体"/>
          <w:kern w:val="0"/>
          <w:szCs w:val="21"/>
        </w:rPr>
      </w:pPr>
      <w:r>
        <w:rPr>
          <w:rFonts w:hint="eastAsia" w:ascii="宋体" w:hAnsi="宋体"/>
          <w:kern w:val="0"/>
          <w:szCs w:val="21"/>
        </w:rPr>
        <w:t>发包人指定的接收人</w:t>
      </w:r>
      <w:r>
        <w:rPr>
          <w:rFonts w:ascii="宋体" w:hAnsi="宋体"/>
          <w:szCs w:val="21"/>
        </w:rPr>
        <w:t>为：</w:t>
      </w:r>
      <w:r>
        <w:rPr>
          <w:rFonts w:hint="eastAsia" w:ascii="宋体" w:hAnsi="宋体"/>
          <w:szCs w:val="21"/>
          <w:u w:val="single"/>
        </w:rPr>
        <w:t xml:space="preserve">      /     </w:t>
      </w:r>
      <w:r>
        <w:rPr>
          <w:rFonts w:hint="eastAsia" w:ascii="宋体" w:hAnsi="宋体"/>
          <w:kern w:val="0"/>
          <w:szCs w:val="21"/>
        </w:rPr>
        <w:t>。</w:t>
      </w:r>
    </w:p>
    <w:p>
      <w:pPr>
        <w:spacing w:line="440" w:lineRule="exact"/>
        <w:ind w:firstLine="420" w:firstLineChars="200"/>
        <w:jc w:val="left"/>
        <w:rPr>
          <w:rFonts w:ascii="宋体" w:hAnsi="宋体"/>
          <w:kern w:val="0"/>
          <w:szCs w:val="21"/>
        </w:rPr>
      </w:pPr>
      <w:r>
        <w:rPr>
          <w:rFonts w:hint="eastAsia" w:ascii="宋体" w:hAnsi="宋体"/>
          <w:kern w:val="0"/>
          <w:szCs w:val="21"/>
        </w:rPr>
        <w:t>承包人接收文件的地</w:t>
      </w:r>
      <w:r>
        <w:rPr>
          <w:rFonts w:ascii="宋体" w:hAnsi="宋体"/>
          <w:szCs w:val="21"/>
        </w:rPr>
        <w:t>点：</w:t>
      </w:r>
      <w:r>
        <w:rPr>
          <w:rFonts w:hint="eastAsia" w:ascii="宋体" w:hAnsi="宋体"/>
          <w:b/>
          <w:bCs/>
          <w:szCs w:val="21"/>
          <w:u w:val="single"/>
        </w:rPr>
        <w:t xml:space="preserve">工地现场  </w:t>
      </w:r>
      <w:r>
        <w:rPr>
          <w:rFonts w:hint="eastAsia" w:ascii="宋体" w:hAnsi="宋体"/>
          <w:kern w:val="0"/>
          <w:szCs w:val="21"/>
        </w:rPr>
        <w:t>；</w:t>
      </w:r>
    </w:p>
    <w:p>
      <w:pPr>
        <w:spacing w:line="440" w:lineRule="exact"/>
        <w:ind w:firstLine="420" w:firstLineChars="200"/>
        <w:jc w:val="left"/>
        <w:rPr>
          <w:rFonts w:ascii="宋体" w:hAnsi="宋体"/>
          <w:kern w:val="0"/>
          <w:szCs w:val="21"/>
        </w:rPr>
      </w:pPr>
      <w:r>
        <w:rPr>
          <w:rFonts w:hint="eastAsia" w:ascii="宋体" w:hAnsi="宋体"/>
          <w:kern w:val="0"/>
          <w:szCs w:val="21"/>
        </w:rPr>
        <w:t>承包人指定的</w:t>
      </w:r>
      <w:r>
        <w:rPr>
          <w:rFonts w:hint="eastAsia" w:ascii="宋体" w:hAnsi="宋体"/>
          <w:szCs w:val="21"/>
        </w:rPr>
        <w:t xml:space="preserve">接收人为： </w:t>
      </w:r>
      <w:r>
        <w:rPr>
          <w:rFonts w:hint="eastAsia" w:ascii="宋体" w:hAnsi="宋体"/>
          <w:szCs w:val="21"/>
          <w:u w:val="single"/>
        </w:rPr>
        <w:t xml:space="preserve">    /         </w:t>
      </w:r>
      <w:r>
        <w:rPr>
          <w:rFonts w:hint="eastAsia" w:ascii="宋体" w:hAnsi="宋体"/>
          <w:kern w:val="0"/>
          <w:szCs w:val="21"/>
        </w:rPr>
        <w:t>。</w:t>
      </w:r>
    </w:p>
    <w:p>
      <w:pPr>
        <w:spacing w:line="440" w:lineRule="exact"/>
        <w:ind w:firstLine="420" w:firstLineChars="200"/>
        <w:jc w:val="left"/>
        <w:rPr>
          <w:rFonts w:ascii="宋体" w:hAnsi="宋体"/>
          <w:kern w:val="0"/>
          <w:szCs w:val="21"/>
        </w:rPr>
      </w:pPr>
      <w:r>
        <w:rPr>
          <w:rFonts w:hint="eastAsia" w:ascii="宋体" w:hAnsi="宋体"/>
          <w:kern w:val="0"/>
          <w:szCs w:val="21"/>
        </w:rPr>
        <w:t>监理人接收文</w:t>
      </w:r>
      <w:r>
        <w:rPr>
          <w:rFonts w:hint="eastAsia" w:ascii="宋体" w:hAnsi="宋体"/>
          <w:szCs w:val="21"/>
        </w:rPr>
        <w:t xml:space="preserve">件的地点： </w:t>
      </w:r>
      <w:r>
        <w:rPr>
          <w:rFonts w:hint="eastAsia" w:ascii="宋体" w:hAnsi="宋体"/>
          <w:b/>
          <w:bCs/>
          <w:szCs w:val="21"/>
          <w:u w:val="single"/>
        </w:rPr>
        <w:t xml:space="preserve">   工地现场   </w:t>
      </w:r>
      <w:r>
        <w:rPr>
          <w:rFonts w:hint="eastAsia" w:ascii="宋体" w:hAnsi="宋体"/>
          <w:kern w:val="0"/>
          <w:szCs w:val="21"/>
        </w:rPr>
        <w:t>；</w:t>
      </w:r>
    </w:p>
    <w:p>
      <w:pPr>
        <w:spacing w:line="440" w:lineRule="exact"/>
        <w:ind w:firstLine="420" w:firstLineChars="200"/>
        <w:jc w:val="left"/>
        <w:rPr>
          <w:rFonts w:ascii="宋体" w:hAnsi="宋体"/>
          <w:szCs w:val="21"/>
        </w:rPr>
      </w:pPr>
      <w:r>
        <w:rPr>
          <w:rFonts w:hint="eastAsia" w:ascii="宋体" w:hAnsi="宋体"/>
          <w:kern w:val="0"/>
          <w:szCs w:val="21"/>
        </w:rPr>
        <w:t>监理人指</w:t>
      </w:r>
      <w:r>
        <w:rPr>
          <w:rFonts w:ascii="宋体" w:hAnsi="宋体"/>
          <w:kern w:val="0"/>
          <w:szCs w:val="21"/>
        </w:rPr>
        <w:t>定的接收人为：</w:t>
      </w:r>
      <w:r>
        <w:rPr>
          <w:rFonts w:hint="eastAsia" w:ascii="宋体" w:hAnsi="宋体"/>
          <w:szCs w:val="21"/>
          <w:u w:val="single"/>
        </w:rPr>
        <w:t>/</w:t>
      </w:r>
      <w:r>
        <w:rPr>
          <w:rFonts w:hint="eastAsia"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1.10 交通运输</w:t>
      </w:r>
    </w:p>
    <w:p>
      <w:pPr>
        <w:spacing w:line="440" w:lineRule="exact"/>
        <w:ind w:firstLine="420" w:firstLineChars="200"/>
        <w:jc w:val="left"/>
        <w:rPr>
          <w:rFonts w:ascii="宋体" w:hAnsi="宋体"/>
          <w:szCs w:val="21"/>
        </w:rPr>
      </w:pPr>
      <w:r>
        <w:rPr>
          <w:rFonts w:hint="eastAsia" w:ascii="宋体" w:hAnsi="宋体"/>
          <w:szCs w:val="21"/>
        </w:rPr>
        <w:t>1</w:t>
      </w:r>
      <w:bookmarkStart w:id="65" w:name="_Toc312677986"/>
      <w:bookmarkStart w:id="66" w:name="_Toc303539100"/>
      <w:bookmarkStart w:id="67" w:name="_Toc318581155"/>
      <w:bookmarkStart w:id="68" w:name="_Toc300934943"/>
      <w:bookmarkStart w:id="69" w:name="_Toc304295521"/>
      <w:r>
        <w:rPr>
          <w:rFonts w:hint="eastAsia" w:ascii="宋体" w:hAnsi="宋体"/>
          <w:szCs w:val="21"/>
        </w:rPr>
        <w:t>.10.1 出入现场的权利</w:t>
      </w:r>
    </w:p>
    <w:p>
      <w:pPr>
        <w:spacing w:line="440" w:lineRule="exact"/>
        <w:ind w:firstLine="420" w:firstLineChars="200"/>
        <w:jc w:val="left"/>
        <w:rPr>
          <w:rFonts w:ascii="宋体" w:hAnsi="宋体"/>
          <w:szCs w:val="21"/>
        </w:rPr>
      </w:pPr>
      <w:r>
        <w:rPr>
          <w:rFonts w:hint="eastAsia" w:ascii="宋体" w:hAnsi="宋体"/>
          <w:szCs w:val="21"/>
        </w:rPr>
        <w:t>关</w:t>
      </w:r>
      <w:r>
        <w:rPr>
          <w:rFonts w:ascii="宋体" w:hAnsi="宋体"/>
          <w:szCs w:val="21"/>
        </w:rPr>
        <w:t>于出入现场的权利的约定：</w:t>
      </w:r>
      <w:r>
        <w:rPr>
          <w:rFonts w:hint="eastAsia" w:ascii="宋体" w:hAnsi="宋体"/>
          <w:szCs w:val="21"/>
          <w:u w:val="single"/>
        </w:rPr>
        <w:t xml:space="preserve">  /  </w:t>
      </w:r>
      <w:r>
        <w:rPr>
          <w:rFonts w:hint="eastAsia" w:ascii="宋体" w:hAnsi="宋体"/>
          <w:szCs w:val="21"/>
        </w:rPr>
        <w:t>。</w:t>
      </w:r>
    </w:p>
    <w:bookmarkEnd w:id="65"/>
    <w:bookmarkEnd w:id="66"/>
    <w:bookmarkEnd w:id="67"/>
    <w:bookmarkEnd w:id="68"/>
    <w:bookmarkEnd w:id="69"/>
    <w:p>
      <w:pPr>
        <w:spacing w:line="440" w:lineRule="exact"/>
        <w:ind w:firstLine="420" w:firstLineChars="200"/>
        <w:jc w:val="left"/>
        <w:rPr>
          <w:rFonts w:ascii="宋体" w:hAnsi="宋体"/>
          <w:szCs w:val="21"/>
        </w:rPr>
      </w:pPr>
      <w:r>
        <w:rPr>
          <w:rFonts w:hint="eastAsia" w:ascii="宋体" w:hAnsi="宋体"/>
          <w:szCs w:val="21"/>
        </w:rPr>
        <w:t>1</w:t>
      </w:r>
      <w:bookmarkStart w:id="70" w:name="_Toc300934944"/>
      <w:bookmarkStart w:id="71" w:name="_Toc318581156"/>
      <w:bookmarkStart w:id="72" w:name="_Toc304295522"/>
      <w:bookmarkStart w:id="73" w:name="_Toc312677987"/>
      <w:bookmarkStart w:id="74" w:name="_Toc303539101"/>
      <w:r>
        <w:rPr>
          <w:rFonts w:hint="eastAsia" w:ascii="宋体" w:hAnsi="宋体"/>
          <w:szCs w:val="21"/>
        </w:rPr>
        <w:t>.10.3 场内交通</w:t>
      </w:r>
    </w:p>
    <w:p>
      <w:pPr>
        <w:spacing w:line="440" w:lineRule="exact"/>
        <w:ind w:firstLine="420" w:firstLineChars="200"/>
        <w:jc w:val="left"/>
        <w:rPr>
          <w:rFonts w:ascii="宋体" w:hAnsi="宋体"/>
          <w:szCs w:val="21"/>
        </w:rPr>
      </w:pPr>
      <w:r>
        <w:rPr>
          <w:rFonts w:hint="eastAsia" w:ascii="宋体" w:hAnsi="宋体"/>
          <w:szCs w:val="21"/>
        </w:rPr>
        <w:t>关于</w:t>
      </w:r>
      <w:r>
        <w:rPr>
          <w:rFonts w:ascii="宋体" w:hAnsi="宋体"/>
          <w:kern w:val="0"/>
          <w:szCs w:val="21"/>
        </w:rPr>
        <w:t>场外交通和场内交通的边</w:t>
      </w:r>
      <w:r>
        <w:rPr>
          <w:rFonts w:ascii="宋体" w:hAnsi="宋体"/>
          <w:szCs w:val="21"/>
        </w:rPr>
        <w:t>界的约定：</w:t>
      </w:r>
      <w:r>
        <w:rPr>
          <w:rFonts w:hint="eastAsia" w:ascii="宋体" w:hAnsi="宋体"/>
          <w:szCs w:val="21"/>
          <w:u w:val="single"/>
        </w:rPr>
        <w:t xml:space="preserve">  /     </w:t>
      </w:r>
      <w:r>
        <w:rPr>
          <w:rFonts w:hint="eastAsia" w:ascii="宋体" w:hAnsi="宋体"/>
          <w:szCs w:val="21"/>
        </w:rPr>
        <w:t>。</w:t>
      </w:r>
    </w:p>
    <w:p>
      <w:pPr>
        <w:spacing w:line="440" w:lineRule="exact"/>
        <w:ind w:firstLine="420" w:firstLineChars="200"/>
        <w:jc w:val="left"/>
        <w:rPr>
          <w:rFonts w:ascii="宋体" w:hAnsi="宋体"/>
          <w:szCs w:val="21"/>
          <w:u w:val="single"/>
        </w:rPr>
      </w:pPr>
      <w:r>
        <w:rPr>
          <w:rFonts w:hint="eastAsia" w:ascii="宋体" w:hAnsi="宋体"/>
          <w:szCs w:val="21"/>
        </w:rPr>
        <w:t>关于发包人向承包人免费提供</w:t>
      </w:r>
      <w:r>
        <w:rPr>
          <w:rFonts w:ascii="宋体" w:hAnsi="宋体"/>
          <w:szCs w:val="21"/>
        </w:rPr>
        <w:t>满足工程施工需要的场内道路和交通设施的约定：</w:t>
      </w:r>
      <w:r>
        <w:rPr>
          <w:rFonts w:hint="eastAsia" w:ascii="宋体" w:hAnsi="宋体"/>
          <w:szCs w:val="21"/>
          <w:u w:val="single"/>
        </w:rPr>
        <w:t xml:space="preserve">无  </w:t>
      </w:r>
      <w:r>
        <w:rPr>
          <w:rFonts w:ascii="宋体" w:hAnsi="宋体"/>
          <w:szCs w:val="21"/>
          <w:u w:val="single"/>
        </w:rPr>
        <w:t>。</w:t>
      </w:r>
      <w:bookmarkEnd w:id="70"/>
      <w:bookmarkEnd w:id="71"/>
      <w:bookmarkEnd w:id="72"/>
      <w:bookmarkEnd w:id="73"/>
      <w:bookmarkEnd w:id="74"/>
      <w:bookmarkStart w:id="75" w:name="_Toc318581157"/>
    </w:p>
    <w:p>
      <w:pPr>
        <w:spacing w:line="440" w:lineRule="exact"/>
        <w:ind w:firstLine="420" w:firstLineChars="200"/>
        <w:jc w:val="left"/>
        <w:rPr>
          <w:rFonts w:ascii="宋体" w:hAnsi="宋体"/>
          <w:szCs w:val="21"/>
        </w:rPr>
      </w:pPr>
      <w:r>
        <w:rPr>
          <w:rFonts w:ascii="宋体" w:hAnsi="宋体"/>
          <w:szCs w:val="21"/>
        </w:rPr>
        <w:t>1.10.4超大</w:t>
      </w:r>
      <w:r>
        <w:rPr>
          <w:rFonts w:hint="eastAsia" w:ascii="宋体" w:hAnsi="宋体"/>
          <w:szCs w:val="21"/>
        </w:rPr>
        <w:t>件和超重件的运输</w:t>
      </w:r>
    </w:p>
    <w:p>
      <w:pPr>
        <w:spacing w:line="440" w:lineRule="exact"/>
        <w:ind w:firstLine="420" w:firstLineChars="200"/>
        <w:jc w:val="left"/>
        <w:rPr>
          <w:rFonts w:ascii="宋体" w:hAnsi="宋体"/>
          <w:szCs w:val="21"/>
        </w:rPr>
      </w:pPr>
      <w:r>
        <w:rPr>
          <w:rFonts w:hint="eastAsia" w:ascii="宋体" w:hAnsi="宋体"/>
          <w:szCs w:val="21"/>
        </w:rPr>
        <w:t>运输超大件或</w:t>
      </w:r>
      <w:r>
        <w:rPr>
          <w:rFonts w:ascii="宋体" w:hAnsi="宋体"/>
          <w:szCs w:val="21"/>
        </w:rPr>
        <w:t>超重件所需的道路和桥梁临时加固改造费用和其他有关费用由</w:t>
      </w:r>
      <w:r>
        <w:rPr>
          <w:rFonts w:hint="eastAsia" w:ascii="宋体" w:hAnsi="宋体"/>
          <w:szCs w:val="21"/>
          <w:u w:val="single"/>
        </w:rPr>
        <w:t>承包人</w:t>
      </w:r>
      <w:r>
        <w:rPr>
          <w:rFonts w:ascii="宋体" w:hAnsi="宋体"/>
          <w:szCs w:val="21"/>
        </w:rPr>
        <w:t>承担。</w:t>
      </w:r>
    </w:p>
    <w:bookmarkEnd w:id="75"/>
    <w:p>
      <w:pPr>
        <w:spacing w:line="440" w:lineRule="exact"/>
        <w:ind w:firstLine="420" w:firstLineChars="200"/>
        <w:jc w:val="left"/>
        <w:rPr>
          <w:rFonts w:ascii="宋体" w:hAnsi="宋体"/>
          <w:szCs w:val="21"/>
        </w:rPr>
      </w:pPr>
      <w:r>
        <w:rPr>
          <w:rFonts w:ascii="宋体" w:hAnsi="宋体"/>
          <w:szCs w:val="21"/>
        </w:rPr>
        <w:t>1.11 知识产</w:t>
      </w:r>
      <w:r>
        <w:rPr>
          <w:rFonts w:hint="eastAsia" w:ascii="宋体" w:hAnsi="宋体"/>
          <w:szCs w:val="21"/>
        </w:rPr>
        <w:t>权</w:t>
      </w:r>
    </w:p>
    <w:p>
      <w:pPr>
        <w:spacing w:line="440" w:lineRule="exact"/>
        <w:ind w:firstLine="420" w:firstLineChars="200"/>
        <w:jc w:val="left"/>
        <w:rPr>
          <w:rFonts w:ascii="宋体" w:hAnsi="宋体"/>
          <w:szCs w:val="21"/>
        </w:rPr>
      </w:pPr>
      <w:r>
        <w:rPr>
          <w:rFonts w:hint="eastAsia" w:ascii="宋体" w:hAnsi="宋体"/>
          <w:szCs w:val="21"/>
        </w:rPr>
        <w:t>1.11.1关于发包人提供给承包人的图纸、发包人为实施工程自行编制或委托编制的技术规范</w:t>
      </w:r>
      <w:r>
        <w:rPr>
          <w:rFonts w:ascii="宋体" w:hAnsi="宋体"/>
          <w:szCs w:val="21"/>
        </w:rPr>
        <w:t>以及反映发包人关于合同要求或其他类似性质的文件的著作权的归属：</w:t>
      </w:r>
      <w:r>
        <w:rPr>
          <w:rFonts w:hint="eastAsia" w:ascii="宋体" w:hAnsi="宋体"/>
          <w:szCs w:val="21"/>
          <w:u w:val="single"/>
        </w:rPr>
        <w:t>发包人</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关于发包人提供的上述文件的使用限制的要求：</w:t>
      </w:r>
      <w:r>
        <w:rPr>
          <w:rFonts w:hint="eastAsia" w:ascii="宋体" w:hAnsi="宋体"/>
          <w:szCs w:val="21"/>
          <w:u w:val="single"/>
        </w:rPr>
        <w:t xml:space="preserve">  无</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1.11.2 关于</w:t>
      </w:r>
      <w:r>
        <w:rPr>
          <w:rFonts w:hint="eastAsia" w:ascii="宋体" w:hAnsi="宋体"/>
          <w:szCs w:val="21"/>
        </w:rPr>
        <w:t>承包人</w:t>
      </w:r>
      <w:r>
        <w:rPr>
          <w:rFonts w:ascii="宋体" w:hAnsi="宋体"/>
          <w:szCs w:val="21"/>
        </w:rPr>
        <w:t>为实施工程所编制文件的著作权的归属：</w:t>
      </w:r>
      <w:r>
        <w:rPr>
          <w:rFonts w:hint="eastAsia" w:ascii="宋体" w:hAnsi="宋体"/>
          <w:szCs w:val="21"/>
          <w:u w:val="single"/>
        </w:rPr>
        <w:t>承包人</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关于</w:t>
      </w:r>
      <w:r>
        <w:rPr>
          <w:rFonts w:hint="eastAsia" w:ascii="宋体" w:hAnsi="宋体"/>
          <w:szCs w:val="21"/>
        </w:rPr>
        <w:t>承包人</w:t>
      </w:r>
      <w:r>
        <w:rPr>
          <w:rFonts w:ascii="宋体" w:hAnsi="宋体"/>
          <w:szCs w:val="21"/>
        </w:rPr>
        <w:t>提供的上述文件的使用限制的要求：</w:t>
      </w:r>
      <w:r>
        <w:rPr>
          <w:rFonts w:hint="eastAsia" w:ascii="宋体" w:hAnsi="宋体"/>
          <w:szCs w:val="21"/>
          <w:u w:val="single"/>
        </w:rPr>
        <w:t>无</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 xml:space="preserve">1.11.4 </w:t>
      </w:r>
      <w:r>
        <w:rPr>
          <w:rFonts w:hint="eastAsia" w:ascii="宋体" w:hAnsi="宋体"/>
          <w:szCs w:val="21"/>
        </w:rPr>
        <w:t>承包人</w:t>
      </w:r>
      <w:r>
        <w:rPr>
          <w:rFonts w:ascii="宋体" w:hAnsi="宋体"/>
          <w:szCs w:val="21"/>
        </w:rPr>
        <w:t>在施工过程中所采用的专利、专有技术、技术秘密的使用费的承担方式：</w:t>
      </w:r>
      <w:r>
        <w:rPr>
          <w:rFonts w:hint="eastAsia" w:ascii="宋体" w:hAnsi="宋体"/>
          <w:szCs w:val="21"/>
          <w:u w:val="single"/>
        </w:rPr>
        <w:t>由承包人支付</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1.13工程量清单错误的修正</w:t>
      </w:r>
    </w:p>
    <w:p>
      <w:pPr>
        <w:spacing w:line="440" w:lineRule="exact"/>
        <w:ind w:firstLine="420" w:firstLineChars="200"/>
        <w:jc w:val="left"/>
        <w:rPr>
          <w:rFonts w:ascii="宋体" w:hAnsi="宋体"/>
          <w:szCs w:val="21"/>
        </w:rPr>
      </w:pPr>
      <w:bookmarkStart w:id="76" w:name="_Toc351203634"/>
      <w:r>
        <w:rPr>
          <w:rFonts w:hint="eastAsia" w:ascii="宋体" w:hAnsi="宋体"/>
          <w:szCs w:val="21"/>
        </w:rPr>
        <w:t>出现工程量清单错误时，是否调整合同价格：按本合同条款中第12.1相应条款执行。</w:t>
      </w:r>
    </w:p>
    <w:p>
      <w:pPr>
        <w:pStyle w:val="7"/>
        <w:spacing w:before="120" w:after="120" w:line="440" w:lineRule="exact"/>
        <w:rPr>
          <w:rFonts w:ascii="宋体" w:hAnsi="宋体"/>
          <w:szCs w:val="21"/>
        </w:rPr>
      </w:pPr>
      <w:r>
        <w:rPr>
          <w:rFonts w:ascii="宋体" w:hAnsi="宋体"/>
          <w:szCs w:val="21"/>
        </w:rPr>
        <w:t>2</w:t>
      </w:r>
      <w:bookmarkStart w:id="77" w:name="_Toc292559362"/>
      <w:bookmarkStart w:id="78" w:name="_Toc296891197"/>
      <w:bookmarkStart w:id="79" w:name="_Toc297048343"/>
      <w:bookmarkStart w:id="80" w:name="_Toc296503157"/>
      <w:bookmarkStart w:id="81" w:name="_Toc292559867"/>
      <w:bookmarkStart w:id="82" w:name="_Toc297120457"/>
      <w:bookmarkStart w:id="83" w:name="_Toc296346658"/>
      <w:bookmarkStart w:id="84" w:name="_Toc296890985"/>
      <w:bookmarkStart w:id="85" w:name="_Toc296347156"/>
      <w:bookmarkStart w:id="86" w:name="_Toc296944496"/>
      <w:r>
        <w:rPr>
          <w:rFonts w:ascii="宋体" w:hAnsi="宋体"/>
          <w:szCs w:val="21"/>
        </w:rPr>
        <w:t>. 发包人</w:t>
      </w:r>
      <w:bookmarkEnd w:id="76"/>
    </w:p>
    <w:bookmarkEnd w:id="77"/>
    <w:bookmarkEnd w:id="78"/>
    <w:bookmarkEnd w:id="79"/>
    <w:bookmarkEnd w:id="80"/>
    <w:bookmarkEnd w:id="81"/>
    <w:bookmarkEnd w:id="82"/>
    <w:bookmarkEnd w:id="83"/>
    <w:bookmarkEnd w:id="84"/>
    <w:bookmarkEnd w:id="85"/>
    <w:bookmarkEnd w:id="86"/>
    <w:p>
      <w:pPr>
        <w:spacing w:line="360" w:lineRule="auto"/>
        <w:ind w:firstLine="420" w:firstLineChars="200"/>
        <w:rPr>
          <w:rFonts w:ascii="宋体" w:hAnsi="宋体"/>
          <w:szCs w:val="21"/>
        </w:rPr>
      </w:pPr>
      <w:r>
        <w:rPr>
          <w:rFonts w:ascii="宋体" w:hAnsi="宋体"/>
          <w:szCs w:val="21"/>
        </w:rPr>
        <w:t>2.2 发包人代表</w:t>
      </w:r>
    </w:p>
    <w:p>
      <w:pPr>
        <w:spacing w:line="360" w:lineRule="auto"/>
        <w:ind w:firstLine="420" w:firstLineChars="200"/>
        <w:rPr>
          <w:rFonts w:ascii="宋体" w:hAnsi="宋体"/>
          <w:szCs w:val="21"/>
        </w:rPr>
      </w:pPr>
      <w:r>
        <w:rPr>
          <w:rFonts w:ascii="宋体" w:hAnsi="宋体"/>
          <w:szCs w:val="21"/>
        </w:rPr>
        <w:t>发包人代表：</w:t>
      </w:r>
    </w:p>
    <w:p>
      <w:pPr>
        <w:spacing w:line="360" w:lineRule="auto"/>
        <w:ind w:firstLine="420" w:firstLineChars="200"/>
        <w:rPr>
          <w:rFonts w:ascii="宋体" w:hAnsi="宋体"/>
          <w:szCs w:val="21"/>
        </w:rPr>
      </w:pPr>
      <w:r>
        <w:rPr>
          <w:rFonts w:ascii="宋体" w:hAnsi="宋体"/>
          <w:szCs w:val="21"/>
        </w:rPr>
        <w:t>姓    名：</w:t>
      </w:r>
      <w:r>
        <w:rPr>
          <w:rFonts w:hint="eastAsia" w:ascii="宋体" w:hAnsi="宋体"/>
          <w:szCs w:val="21"/>
          <w:u w:val="single"/>
        </w:rPr>
        <w:t xml:space="preserve">                      </w:t>
      </w:r>
      <w:r>
        <w:rPr>
          <w:rFonts w:ascii="宋体" w:hAnsi="宋体"/>
          <w:szCs w:val="21"/>
        </w:rPr>
        <w:t>；</w:t>
      </w:r>
    </w:p>
    <w:p>
      <w:pPr>
        <w:spacing w:line="360" w:lineRule="auto"/>
        <w:ind w:firstLine="420" w:firstLineChars="200"/>
        <w:rPr>
          <w:rFonts w:ascii="宋体" w:hAnsi="宋体"/>
          <w:szCs w:val="21"/>
        </w:rPr>
      </w:pPr>
      <w:r>
        <w:rPr>
          <w:rFonts w:ascii="宋体" w:hAnsi="宋体"/>
          <w:szCs w:val="21"/>
        </w:rPr>
        <w:t>身份证号：</w:t>
      </w:r>
      <w:r>
        <w:rPr>
          <w:rFonts w:hint="eastAsia" w:ascii="宋体" w:hAnsi="宋体"/>
          <w:szCs w:val="21"/>
          <w:u w:val="single"/>
        </w:rPr>
        <w:t xml:space="preserve">                      </w:t>
      </w:r>
      <w:r>
        <w:rPr>
          <w:rFonts w:ascii="宋体" w:hAnsi="宋体"/>
          <w:szCs w:val="21"/>
        </w:rPr>
        <w:t>；</w:t>
      </w:r>
    </w:p>
    <w:p>
      <w:pPr>
        <w:spacing w:line="360" w:lineRule="auto"/>
        <w:ind w:firstLine="420" w:firstLineChars="200"/>
        <w:rPr>
          <w:rFonts w:ascii="宋体" w:hAnsi="宋体"/>
          <w:szCs w:val="21"/>
        </w:rPr>
      </w:pPr>
      <w:r>
        <w:rPr>
          <w:rFonts w:ascii="宋体" w:hAnsi="宋体"/>
          <w:szCs w:val="21"/>
        </w:rPr>
        <w:t>职    务：</w:t>
      </w:r>
      <w:r>
        <w:rPr>
          <w:rFonts w:hint="eastAsia" w:ascii="宋体" w:hAnsi="宋体"/>
          <w:szCs w:val="21"/>
          <w:u w:val="single"/>
        </w:rPr>
        <w:t xml:space="preserve">                      </w:t>
      </w:r>
      <w:r>
        <w:rPr>
          <w:rFonts w:ascii="宋体" w:hAnsi="宋体"/>
          <w:szCs w:val="21"/>
        </w:rPr>
        <w:t>；</w:t>
      </w:r>
    </w:p>
    <w:p>
      <w:pPr>
        <w:spacing w:line="360" w:lineRule="auto"/>
        <w:ind w:firstLine="420" w:firstLineChars="200"/>
        <w:rPr>
          <w:rFonts w:ascii="宋体" w:hAnsi="宋体"/>
          <w:szCs w:val="21"/>
        </w:rPr>
      </w:pPr>
      <w:r>
        <w:rPr>
          <w:rFonts w:ascii="宋体" w:hAnsi="宋体"/>
          <w:szCs w:val="21"/>
        </w:rPr>
        <w:t>联系电话：</w:t>
      </w:r>
      <w:r>
        <w:rPr>
          <w:rFonts w:hint="eastAsia" w:ascii="宋体" w:hAnsi="宋体"/>
          <w:szCs w:val="21"/>
          <w:u w:val="single"/>
        </w:rPr>
        <w:t xml:space="preserve">                      </w:t>
      </w:r>
      <w:r>
        <w:rPr>
          <w:rFonts w:ascii="宋体" w:hAnsi="宋体"/>
          <w:szCs w:val="21"/>
        </w:rPr>
        <w:t>；</w:t>
      </w:r>
    </w:p>
    <w:p>
      <w:pPr>
        <w:spacing w:line="360" w:lineRule="auto"/>
        <w:ind w:firstLine="420" w:firstLineChars="200"/>
        <w:rPr>
          <w:rFonts w:ascii="宋体" w:hAnsi="宋体"/>
          <w:szCs w:val="21"/>
        </w:rPr>
      </w:pPr>
      <w:r>
        <w:rPr>
          <w:rFonts w:ascii="宋体" w:hAnsi="宋体"/>
          <w:szCs w:val="21"/>
        </w:rPr>
        <w:t>电子信箱：</w:t>
      </w:r>
      <w:r>
        <w:rPr>
          <w:rFonts w:hint="eastAsia" w:ascii="宋体" w:hAnsi="宋体"/>
          <w:szCs w:val="21"/>
          <w:u w:val="single"/>
        </w:rPr>
        <w:t xml:space="preserve">                      </w:t>
      </w:r>
      <w:r>
        <w:rPr>
          <w:rFonts w:ascii="宋体" w:hAnsi="宋体"/>
          <w:szCs w:val="21"/>
        </w:rPr>
        <w:t>；</w:t>
      </w:r>
    </w:p>
    <w:p>
      <w:pPr>
        <w:spacing w:line="360" w:lineRule="auto"/>
        <w:ind w:firstLine="420" w:firstLineChars="200"/>
        <w:rPr>
          <w:rFonts w:ascii="宋体" w:hAnsi="宋体"/>
          <w:szCs w:val="21"/>
        </w:rPr>
      </w:pPr>
      <w:r>
        <w:rPr>
          <w:rFonts w:ascii="宋体" w:hAnsi="宋体"/>
          <w:szCs w:val="21"/>
        </w:rPr>
        <w:t>通信地址：</w:t>
      </w:r>
      <w:r>
        <w:rPr>
          <w:rFonts w:hint="eastAsia" w:ascii="宋体" w:hAnsi="宋体"/>
          <w:szCs w:val="21"/>
          <w:u w:val="single"/>
        </w:rPr>
        <w:t xml:space="preserve">                      </w:t>
      </w:r>
      <w:r>
        <w:rPr>
          <w:rFonts w:ascii="宋体" w:hAnsi="宋体"/>
          <w:szCs w:val="21"/>
        </w:rPr>
        <w:t>。</w:t>
      </w:r>
    </w:p>
    <w:p>
      <w:pPr>
        <w:spacing w:line="360" w:lineRule="auto"/>
        <w:ind w:firstLine="420" w:firstLineChars="200"/>
        <w:rPr>
          <w:rFonts w:ascii="宋体" w:hAnsi="宋体"/>
          <w:szCs w:val="21"/>
        </w:rPr>
      </w:pPr>
      <w:r>
        <w:rPr>
          <w:rFonts w:hint="eastAsia" w:ascii="宋体" w:hAnsi="宋体"/>
          <w:szCs w:val="21"/>
        </w:rPr>
        <w:t>发包人对发包人代表的授权范围如下：</w:t>
      </w:r>
      <w:r>
        <w:rPr>
          <w:rFonts w:hint="eastAsia" w:ascii="宋体" w:hAnsi="宋体" w:cs="Arial"/>
          <w:szCs w:val="21"/>
          <w:u w:val="single"/>
        </w:rPr>
        <w:t>代表发包方行使本合同约定的发包方的权力和监理人需要取得发包人批准的权力</w:t>
      </w:r>
      <w:r>
        <w:rPr>
          <w:rFonts w:hint="eastAsia" w:ascii="宋体" w:hAnsi="宋体"/>
          <w:szCs w:val="21"/>
        </w:rPr>
        <w:t>。</w:t>
      </w:r>
    </w:p>
    <w:p>
      <w:pPr>
        <w:spacing w:line="360" w:lineRule="auto"/>
        <w:ind w:firstLine="420" w:firstLineChars="200"/>
        <w:rPr>
          <w:rFonts w:ascii="宋体" w:hAnsi="宋体"/>
          <w:szCs w:val="21"/>
        </w:rPr>
      </w:pPr>
      <w:r>
        <w:rPr>
          <w:rFonts w:ascii="宋体" w:hAnsi="宋体"/>
          <w:szCs w:val="21"/>
        </w:rPr>
        <w:t>2.4 施工现场、施工条件和基础资料的提供</w:t>
      </w:r>
    </w:p>
    <w:p>
      <w:pPr>
        <w:spacing w:line="360" w:lineRule="auto"/>
        <w:ind w:firstLine="420" w:firstLineChars="200"/>
        <w:rPr>
          <w:rFonts w:ascii="宋体" w:hAnsi="宋体"/>
          <w:szCs w:val="21"/>
        </w:rPr>
      </w:pPr>
      <w:r>
        <w:rPr>
          <w:rFonts w:ascii="宋体" w:hAnsi="宋体"/>
          <w:szCs w:val="21"/>
        </w:rPr>
        <w:t>2.4.1 提供施工现场</w:t>
      </w:r>
    </w:p>
    <w:p>
      <w:pPr>
        <w:spacing w:line="360" w:lineRule="auto"/>
        <w:ind w:firstLine="420" w:firstLineChars="200"/>
        <w:rPr>
          <w:rFonts w:ascii="宋体" w:hAnsi="宋体"/>
          <w:szCs w:val="21"/>
        </w:rPr>
      </w:pPr>
      <w:r>
        <w:rPr>
          <w:rFonts w:hint="eastAsia" w:ascii="宋体" w:hAnsi="宋体"/>
          <w:szCs w:val="21"/>
        </w:rPr>
        <w:t>关于发包人移交施工现场的期限要求</w:t>
      </w:r>
      <w:r>
        <w:rPr>
          <w:rFonts w:hint="eastAsia" w:ascii="宋体" w:hAnsi="宋体"/>
          <w:szCs w:val="21"/>
          <w:u w:val="single"/>
        </w:rPr>
        <w:t>：</w:t>
      </w:r>
      <w:r>
        <w:rPr>
          <w:rFonts w:hint="eastAsia" w:ascii="宋体" w:hAnsi="宋体" w:cs="Arial"/>
          <w:szCs w:val="21"/>
          <w:u w:val="single"/>
        </w:rPr>
        <w:t xml:space="preserve">以施工场地的现状为准 </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2.4.2 提供施工条件</w:t>
      </w:r>
    </w:p>
    <w:p>
      <w:pPr>
        <w:spacing w:line="360" w:lineRule="auto"/>
        <w:ind w:firstLine="420" w:firstLineChars="200"/>
        <w:rPr>
          <w:rFonts w:ascii="宋体" w:hAnsi="宋体"/>
          <w:szCs w:val="21"/>
        </w:rPr>
      </w:pPr>
      <w:r>
        <w:rPr>
          <w:rFonts w:hint="eastAsia" w:ascii="宋体" w:hAnsi="宋体"/>
          <w:szCs w:val="21"/>
        </w:rPr>
        <w:t>关于发包人应负责提供施工所需要的条件，包括：</w:t>
      </w:r>
      <w:r>
        <w:rPr>
          <w:rFonts w:hint="eastAsia" w:ascii="宋体" w:hAnsi="宋体" w:cs="Arial"/>
          <w:szCs w:val="21"/>
          <w:u w:val="single"/>
        </w:rPr>
        <w:t>发包人于开工前办理好施工所需证件、批件（承包人自身资质证件除外）</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2.5 资金来源证明及支付担保</w:t>
      </w:r>
    </w:p>
    <w:p>
      <w:pPr>
        <w:spacing w:line="360" w:lineRule="auto"/>
        <w:ind w:firstLine="420" w:firstLineChars="200"/>
        <w:rPr>
          <w:rFonts w:ascii="宋体" w:hAnsi="宋体"/>
          <w:szCs w:val="21"/>
        </w:rPr>
      </w:pPr>
      <w:r>
        <w:rPr>
          <w:rFonts w:hint="eastAsia" w:ascii="宋体" w:hAnsi="宋体"/>
          <w:szCs w:val="21"/>
        </w:rPr>
        <w:t>发包人提供资金来源证</w:t>
      </w:r>
      <w:r>
        <w:rPr>
          <w:rFonts w:ascii="宋体" w:hAnsi="宋体"/>
          <w:szCs w:val="21"/>
        </w:rPr>
        <w:t>明的期限要求：</w:t>
      </w:r>
      <w:r>
        <w:rPr>
          <w:rFonts w:hint="eastAsia" w:ascii="宋体" w:hAnsi="宋体"/>
          <w:szCs w:val="21"/>
          <w:u w:val="single"/>
        </w:rPr>
        <w:t xml:space="preserve"> / </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发包人是否提供支付</w:t>
      </w:r>
      <w:r>
        <w:rPr>
          <w:rFonts w:ascii="宋体" w:hAnsi="宋体"/>
          <w:szCs w:val="21"/>
        </w:rPr>
        <w:t>担保：</w:t>
      </w:r>
      <w:r>
        <w:rPr>
          <w:rFonts w:hint="eastAsia" w:ascii="宋体" w:hAnsi="宋体"/>
          <w:szCs w:val="21"/>
          <w:u w:val="single"/>
        </w:rPr>
        <w:t xml:space="preserve"> / </w:t>
      </w:r>
      <w:r>
        <w:rPr>
          <w:rFonts w:hint="eastAsia" w:ascii="宋体" w:hAnsi="宋体"/>
          <w:szCs w:val="21"/>
        </w:rPr>
        <w:t>。</w:t>
      </w:r>
    </w:p>
    <w:p>
      <w:pPr>
        <w:spacing w:line="360" w:lineRule="auto"/>
        <w:ind w:firstLine="420" w:firstLineChars="200"/>
        <w:rPr>
          <w:rFonts w:ascii="宋体" w:hAnsi="宋体"/>
          <w:szCs w:val="21"/>
          <w:u w:val="single"/>
        </w:rPr>
      </w:pPr>
      <w:r>
        <w:rPr>
          <w:rFonts w:hint="eastAsia" w:ascii="宋体" w:hAnsi="宋体"/>
          <w:szCs w:val="21"/>
        </w:rPr>
        <w:t>发包人提供支付担保的</w:t>
      </w:r>
      <w:r>
        <w:rPr>
          <w:rFonts w:ascii="宋体" w:hAnsi="宋体"/>
          <w:szCs w:val="21"/>
        </w:rPr>
        <w:t>形式：</w:t>
      </w:r>
      <w:r>
        <w:rPr>
          <w:rFonts w:hint="eastAsia" w:ascii="宋体" w:hAnsi="宋体"/>
          <w:szCs w:val="21"/>
          <w:u w:val="single"/>
        </w:rPr>
        <w:t xml:space="preserve"> / </w:t>
      </w:r>
      <w:r>
        <w:rPr>
          <w:rFonts w:ascii="宋体" w:hAnsi="宋体"/>
          <w:szCs w:val="21"/>
        </w:rPr>
        <w:t>。</w:t>
      </w:r>
    </w:p>
    <w:p>
      <w:pPr>
        <w:pStyle w:val="7"/>
        <w:spacing w:before="120" w:after="120" w:line="440" w:lineRule="exact"/>
        <w:rPr>
          <w:rFonts w:ascii="宋体" w:hAnsi="宋体"/>
          <w:szCs w:val="21"/>
        </w:rPr>
      </w:pPr>
      <w:bookmarkStart w:id="87" w:name="_Toc351203635"/>
      <w:r>
        <w:rPr>
          <w:rFonts w:ascii="宋体" w:hAnsi="宋体"/>
          <w:szCs w:val="21"/>
        </w:rPr>
        <w:t>3</w:t>
      </w:r>
      <w:bookmarkStart w:id="88" w:name="_Toc296944497"/>
      <w:bookmarkStart w:id="89" w:name="_Toc296503158"/>
      <w:bookmarkStart w:id="90" w:name="_Toc297120458"/>
      <w:bookmarkStart w:id="91" w:name="_Toc297048344"/>
      <w:bookmarkStart w:id="92" w:name="_Toc296347157"/>
      <w:bookmarkStart w:id="93" w:name="_Toc296890986"/>
      <w:bookmarkStart w:id="94" w:name="_Toc292559363"/>
      <w:bookmarkStart w:id="95" w:name="_Toc296891198"/>
      <w:bookmarkStart w:id="96" w:name="_Toc296346659"/>
      <w:bookmarkStart w:id="97" w:name="_Toc292559868"/>
      <w:r>
        <w:rPr>
          <w:rFonts w:ascii="宋体" w:hAnsi="宋体"/>
          <w:szCs w:val="21"/>
        </w:rPr>
        <w:t xml:space="preserve">. </w:t>
      </w:r>
      <w:bookmarkEnd w:id="87"/>
      <w:r>
        <w:rPr>
          <w:rFonts w:hint="eastAsia" w:ascii="宋体" w:hAnsi="宋体"/>
          <w:szCs w:val="21"/>
        </w:rPr>
        <w:t>承包人</w:t>
      </w:r>
    </w:p>
    <w:bookmarkEnd w:id="88"/>
    <w:bookmarkEnd w:id="89"/>
    <w:bookmarkEnd w:id="90"/>
    <w:bookmarkEnd w:id="91"/>
    <w:bookmarkEnd w:id="92"/>
    <w:bookmarkEnd w:id="93"/>
    <w:bookmarkEnd w:id="94"/>
    <w:bookmarkEnd w:id="95"/>
    <w:bookmarkEnd w:id="96"/>
    <w:bookmarkEnd w:id="97"/>
    <w:p>
      <w:pPr>
        <w:spacing w:line="360" w:lineRule="auto"/>
        <w:ind w:firstLine="420" w:firstLineChars="200"/>
        <w:rPr>
          <w:rFonts w:ascii="宋体" w:hAnsi="宋体"/>
          <w:szCs w:val="21"/>
        </w:rPr>
      </w:pPr>
      <w:r>
        <w:rPr>
          <w:rFonts w:hint="eastAsia" w:ascii="宋体" w:hAnsi="宋体"/>
          <w:szCs w:val="21"/>
        </w:rPr>
        <w:t>3.1 承包人的</w:t>
      </w:r>
      <w:r>
        <w:rPr>
          <w:rFonts w:ascii="宋体" w:hAnsi="宋体"/>
          <w:szCs w:val="21"/>
        </w:rPr>
        <w:t>一般义</w:t>
      </w:r>
      <w:r>
        <w:rPr>
          <w:rFonts w:hint="eastAsia" w:ascii="宋体" w:hAnsi="宋体"/>
          <w:szCs w:val="21"/>
        </w:rPr>
        <w:t>务</w:t>
      </w:r>
    </w:p>
    <w:p>
      <w:pPr>
        <w:spacing w:line="360" w:lineRule="auto"/>
        <w:ind w:firstLine="420" w:firstLineChars="200"/>
        <w:rPr>
          <w:rFonts w:ascii="宋体" w:hAnsi="宋体"/>
          <w:szCs w:val="21"/>
        </w:rPr>
      </w:pPr>
      <w:r>
        <w:rPr>
          <w:rFonts w:hint="eastAsia" w:ascii="宋体" w:hAnsi="宋体"/>
          <w:szCs w:val="21"/>
        </w:rPr>
        <w:t>（5）承包人提交的竣工资料的内容：</w:t>
      </w:r>
      <w:r>
        <w:rPr>
          <w:rFonts w:hint="eastAsia" w:ascii="宋体" w:hAnsi="宋体"/>
          <w:szCs w:val="21"/>
          <w:u w:val="single"/>
        </w:rPr>
        <w:t>承包人在工程竣工后一月内提供监理工程师审查通过的完整的竣工图和竣工结算及其他资料。A. 施工中没有设计变更，施工后由承包人在发包人提供的施工图纸上加盖竣工图章，提交发包人；B. 施工中只有零星的少量设计变更，承包人在施工图变更位置注明，并连同经发包人同意的变更签证，竣工后由承包人加盖竣工图章交给发包人；3、施工中对原设计中变更较多，原施工图难于作为竣工图，应由承包人组织重新绘制竣工图，并承担相应费用</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承包人需要提交的竣工资料套数：</w:t>
      </w:r>
      <w:r>
        <w:rPr>
          <w:rFonts w:hint="eastAsia" w:ascii="宋体" w:hAnsi="宋体" w:cs="Arial"/>
          <w:b/>
          <w:bCs/>
          <w:color w:val="FF0000"/>
          <w:szCs w:val="21"/>
          <w:u w:val="single"/>
        </w:rPr>
        <w:t>完整的工程技术资料贰份（包括竣工图及送审图纸）,其中两套必须是原件，此费用包含在合同价中，承包人自行考虑</w:t>
      </w:r>
      <w:r>
        <w:rPr>
          <w:rFonts w:hint="eastAsia" w:ascii="宋体" w:hAnsi="宋体"/>
          <w:b/>
          <w:bCs/>
          <w:color w:val="FF0000"/>
          <w:szCs w:val="21"/>
        </w:rPr>
        <w:t>。</w:t>
      </w:r>
    </w:p>
    <w:p>
      <w:pPr>
        <w:spacing w:line="360" w:lineRule="auto"/>
        <w:ind w:firstLine="420" w:firstLineChars="200"/>
        <w:rPr>
          <w:rFonts w:ascii="宋体" w:hAnsi="宋体"/>
          <w:szCs w:val="21"/>
        </w:rPr>
      </w:pPr>
      <w:r>
        <w:rPr>
          <w:rFonts w:hint="eastAsia" w:ascii="宋体" w:hAnsi="宋体"/>
          <w:szCs w:val="21"/>
        </w:rPr>
        <w:t>承包人提交的竣工资料的费用承担：</w:t>
      </w:r>
      <w:r>
        <w:rPr>
          <w:rFonts w:hint="eastAsia" w:ascii="宋体" w:hAnsi="宋体"/>
          <w:szCs w:val="21"/>
          <w:u w:val="single"/>
        </w:rPr>
        <w:t xml:space="preserve"> 由承包人承担 </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承包人提交的竣工资料</w:t>
      </w:r>
      <w:r>
        <w:rPr>
          <w:rFonts w:hint="eastAsia" w:ascii="宋体" w:hAnsi="宋体"/>
          <w:kern w:val="0"/>
          <w:szCs w:val="21"/>
        </w:rPr>
        <w:t>移交时间：</w:t>
      </w:r>
      <w:r>
        <w:rPr>
          <w:rFonts w:hint="eastAsia" w:ascii="宋体" w:hAnsi="宋体"/>
          <w:kern w:val="0"/>
          <w:szCs w:val="21"/>
          <w:u w:val="single"/>
        </w:rPr>
        <w:t>工程竣工验收合格之日算起28天内</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承包人提交的竣工资料形式要求：</w:t>
      </w:r>
      <w:r>
        <w:rPr>
          <w:rFonts w:hint="eastAsia" w:ascii="宋体" w:hAnsi="宋体" w:cs="Arial"/>
          <w:szCs w:val="21"/>
          <w:u w:val="single"/>
        </w:rPr>
        <w:t>承包人提供的竣工图必须与实际相符合，否则由此对发包人所造成的所有损失由承包人承担。竣工时，承包人根据发包人的要求在竣工图标出各类管线的实际走向和定位</w:t>
      </w:r>
      <w:r>
        <w:rPr>
          <w:rFonts w:hint="eastAsia" w:ascii="宋体" w:hAnsi="宋体"/>
          <w:szCs w:val="21"/>
        </w:rPr>
        <w:t>。</w:t>
      </w:r>
    </w:p>
    <w:p>
      <w:pPr>
        <w:spacing w:line="360" w:lineRule="auto"/>
        <w:ind w:firstLine="420" w:firstLineChars="200"/>
        <w:rPr>
          <w:rFonts w:ascii="宋体" w:hAnsi="宋体"/>
          <w:szCs w:val="21"/>
        </w:rPr>
      </w:pPr>
      <w:r>
        <w:rPr>
          <w:rFonts w:hint="eastAsia" w:ascii="宋体" w:hAnsi="宋体"/>
          <w:szCs w:val="21"/>
        </w:rPr>
        <w:t>（6）承包人应履行的其他义</w:t>
      </w:r>
      <w:r>
        <w:rPr>
          <w:rFonts w:hint="eastAsia" w:ascii="宋体" w:hAnsi="宋体"/>
          <w:kern w:val="0"/>
          <w:szCs w:val="21"/>
        </w:rPr>
        <w:t>务</w:t>
      </w:r>
      <w:r>
        <w:rPr>
          <w:rFonts w:hint="eastAsia" w:ascii="宋体" w:hAnsi="宋体"/>
          <w:szCs w:val="21"/>
        </w:rPr>
        <w:t>：</w:t>
      </w:r>
    </w:p>
    <w:p>
      <w:pPr>
        <w:spacing w:line="360" w:lineRule="auto"/>
        <w:ind w:firstLine="420" w:firstLineChars="200"/>
        <w:rPr>
          <w:rFonts w:ascii="宋体" w:hAnsi="宋体"/>
          <w:kern w:val="0"/>
          <w:szCs w:val="21"/>
          <w:u w:val="single"/>
        </w:rPr>
      </w:pPr>
      <w:r>
        <w:rPr>
          <w:rFonts w:hint="eastAsia" w:ascii="宋体" w:hAnsi="宋体"/>
          <w:kern w:val="0"/>
          <w:szCs w:val="21"/>
          <w:u w:val="single"/>
        </w:rPr>
        <w:t>A.现场施工条件和情况由承包人自行勘察，机械设备布置和防护由承包人自行负责并承担费用。B.在施工过程中不得破坏施工场地周围的自然景观和环境。C.如果在现场工作的过程中，发现电线、水管管道，或者其他公共设施，承包人应立即停止工作，并及时报告发包人或专门机构。承包人根据有关指示，负责修理那些已被破坏的公共设施，并恢复原状，费用由责任方承担。D.临时停水、停电、二次搬运、成品保护等所需措施费用和工期承包人在投标报价中已充分考虑，并已考虑了各种可能因素影响施工所增加的费用，因此，发生上述情况，发包方不另行增加费用。E.在工程施工过程中，因承包人的原因出现质量问题、安全事故或者因其他原因受到报纸、电视等媒体的曝光或被政府有关主管部门通报批评，给本工程的社会形象带来负面影响，每次由承包人向发包人支付2000元违约金，从承包人工程进度款中扣除。</w:t>
      </w:r>
    </w:p>
    <w:p>
      <w:pPr>
        <w:spacing w:line="440" w:lineRule="exact"/>
        <w:ind w:firstLine="420" w:firstLineChars="200"/>
        <w:rPr>
          <w:rFonts w:ascii="宋体" w:hAnsi="宋体"/>
          <w:szCs w:val="21"/>
        </w:rPr>
      </w:pPr>
      <w:r>
        <w:rPr>
          <w:rFonts w:ascii="宋体" w:hAnsi="宋体"/>
          <w:szCs w:val="21"/>
        </w:rPr>
        <w:t>3.2 项目经理</w:t>
      </w:r>
    </w:p>
    <w:p>
      <w:pPr>
        <w:spacing w:line="440" w:lineRule="exact"/>
        <w:ind w:firstLine="420" w:firstLineChars="200"/>
        <w:rPr>
          <w:rFonts w:ascii="宋体" w:hAnsi="宋体"/>
          <w:szCs w:val="21"/>
        </w:rPr>
      </w:pPr>
      <w:r>
        <w:rPr>
          <w:rFonts w:ascii="宋体" w:hAnsi="宋体"/>
          <w:szCs w:val="21"/>
        </w:rPr>
        <w:t>3.2.1项目经理：</w:t>
      </w:r>
    </w:p>
    <w:p>
      <w:pPr>
        <w:spacing w:line="440" w:lineRule="exact"/>
        <w:ind w:firstLine="420" w:firstLineChars="200"/>
        <w:rPr>
          <w:rFonts w:ascii="宋体" w:hAnsi="宋体"/>
          <w:szCs w:val="21"/>
        </w:rPr>
      </w:pPr>
      <w:r>
        <w:rPr>
          <w:rFonts w:ascii="宋体" w:hAnsi="宋体"/>
          <w:szCs w:val="21"/>
        </w:rPr>
        <w:t>姓    名：</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身份证号：</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建造师执业资格等级：</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建造师注册证书号：</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建造师执业印章号：</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安全生产考核合格证书号：</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联系电话：</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电子信箱：</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通信地址：</w:t>
      </w:r>
      <w:r>
        <w:rPr>
          <w:rFonts w:hint="eastAsia" w:ascii="宋体" w:hAnsi="宋体"/>
          <w:szCs w:val="21"/>
          <w:u w:val="single"/>
        </w:rPr>
        <w:t xml:space="preserve">                         </w:t>
      </w:r>
      <w:r>
        <w:rPr>
          <w:rFonts w:hint="eastAsia" w:ascii="宋体" w:hAnsi="宋体"/>
          <w:szCs w:val="21"/>
        </w:rPr>
        <w:t>。</w:t>
      </w:r>
    </w:p>
    <w:p>
      <w:pPr>
        <w:spacing w:line="440" w:lineRule="exact"/>
        <w:ind w:firstLine="420" w:firstLineChars="200"/>
        <w:rPr>
          <w:rFonts w:ascii="宋体" w:hAnsi="宋体" w:cs="Arial"/>
          <w:szCs w:val="21"/>
          <w:u w:val="single"/>
        </w:rPr>
      </w:pPr>
      <w:r>
        <w:rPr>
          <w:rFonts w:hint="eastAsia" w:ascii="宋体" w:hAnsi="宋体"/>
          <w:szCs w:val="21"/>
        </w:rPr>
        <w:t>承包人</w:t>
      </w:r>
      <w:r>
        <w:rPr>
          <w:rFonts w:ascii="宋体" w:hAnsi="宋体"/>
          <w:szCs w:val="21"/>
        </w:rPr>
        <w:t>对项目经理的授权范围如下：</w:t>
      </w:r>
      <w:r>
        <w:rPr>
          <w:rFonts w:hint="eastAsia" w:ascii="宋体" w:hAnsi="宋体" w:cs="Arial"/>
          <w:szCs w:val="21"/>
          <w:u w:val="single"/>
        </w:rPr>
        <w:t>负责现场工程管理、协调关系、听从发包人和监理的指挥</w:t>
      </w:r>
      <w:r>
        <w:rPr>
          <w:rFonts w:ascii="宋体" w:hAnsi="宋体" w:cs="Arial"/>
          <w:szCs w:val="21"/>
          <w:u w:val="single"/>
        </w:rPr>
        <w:t>。</w:t>
      </w:r>
    </w:p>
    <w:p>
      <w:pPr>
        <w:spacing w:line="440" w:lineRule="exact"/>
        <w:ind w:firstLine="420" w:firstLineChars="200"/>
        <w:rPr>
          <w:rFonts w:ascii="宋体" w:hAnsi="宋体"/>
          <w:kern w:val="0"/>
          <w:szCs w:val="21"/>
        </w:rPr>
      </w:pPr>
      <w:r>
        <w:rPr>
          <w:rFonts w:hint="eastAsia" w:ascii="宋体" w:hAnsi="宋体"/>
          <w:kern w:val="0"/>
          <w:szCs w:val="21"/>
        </w:rPr>
        <w:t>承包人</w:t>
      </w:r>
      <w:r>
        <w:rPr>
          <w:rFonts w:ascii="宋体" w:hAnsi="宋体"/>
          <w:kern w:val="0"/>
          <w:szCs w:val="21"/>
        </w:rPr>
        <w:t>未提交劳动合同，以及没有为项目经理缴纳社会保险证明的违约责任：</w:t>
      </w:r>
      <w:r>
        <w:rPr>
          <w:rFonts w:ascii="宋体" w:hAnsi="宋体"/>
          <w:szCs w:val="21"/>
        </w:rPr>
        <w:t>。</w:t>
      </w:r>
    </w:p>
    <w:p>
      <w:pPr>
        <w:pStyle w:val="29"/>
        <w:adjustRightInd w:val="0"/>
        <w:snapToGrid w:val="0"/>
        <w:spacing w:line="460" w:lineRule="exact"/>
        <w:ind w:left="-2" w:leftChars="-1" w:firstLine="420" w:firstLineChars="200"/>
        <w:rPr>
          <w:rFonts w:hAnsi="宋体"/>
          <w:b/>
          <w:bCs/>
          <w:u w:val="single"/>
        </w:rPr>
      </w:pPr>
      <w:r>
        <w:rPr>
          <w:rFonts w:hint="eastAsia" w:hAnsi="宋体"/>
        </w:rPr>
        <w:t>项目经理未经批准，擅自离开施工现场的违约责任：</w:t>
      </w:r>
      <w:r>
        <w:rPr>
          <w:rFonts w:hint="eastAsia" w:hAnsi="宋体" w:cs="Arial"/>
          <w:b/>
          <w:bCs/>
          <w:u w:val="single"/>
        </w:rPr>
        <w:t>发包人将不定期进行考核检查，检查时，发现建造师不在现场发包人有权收取承包人</w:t>
      </w:r>
      <w:r>
        <w:rPr>
          <w:rFonts w:hAnsi="宋体" w:cs="Arial"/>
          <w:b/>
          <w:bCs/>
          <w:u w:val="single"/>
        </w:rPr>
        <w:t>1</w:t>
      </w:r>
      <w:r>
        <w:rPr>
          <w:rFonts w:hint="eastAsia" w:hAnsi="宋体" w:cs="Arial"/>
          <w:b/>
          <w:bCs/>
          <w:u w:val="single"/>
        </w:rPr>
        <w:t>000元/人·天的违约金。</w:t>
      </w:r>
    </w:p>
    <w:p>
      <w:pPr>
        <w:spacing w:line="440" w:lineRule="exact"/>
        <w:ind w:firstLine="420" w:firstLineChars="200"/>
        <w:rPr>
          <w:rFonts w:ascii="宋体" w:hAnsi="宋体" w:cs="Arial"/>
          <w:b/>
          <w:bCs/>
          <w:szCs w:val="21"/>
          <w:u w:val="single"/>
        </w:rPr>
      </w:pPr>
      <w:r>
        <w:rPr>
          <w:rFonts w:hint="eastAsia" w:ascii="宋体" w:hAnsi="宋体"/>
          <w:szCs w:val="21"/>
        </w:rPr>
        <w:t>3.2.3 承包人擅自更换项目经理的违约责任：</w:t>
      </w:r>
      <w:r>
        <w:rPr>
          <w:rFonts w:hint="eastAsia" w:ascii="宋体" w:hAnsi="宋体" w:cs="Arial"/>
          <w:b/>
          <w:bCs/>
          <w:szCs w:val="21"/>
          <w:u w:val="single"/>
        </w:rPr>
        <w:t>派驻现场的建造师应与投标文件一致。建造师（项目经理）不得兼职本工程以外的工作，如擅自更换，须支付相应金额的违约金（更换项目负责人1万元/次）。</w:t>
      </w:r>
    </w:p>
    <w:p>
      <w:pPr>
        <w:pStyle w:val="29"/>
        <w:adjustRightInd w:val="0"/>
        <w:snapToGrid w:val="0"/>
        <w:spacing w:line="460" w:lineRule="exact"/>
        <w:ind w:left="-2" w:leftChars="-1" w:firstLine="420" w:firstLineChars="200"/>
        <w:rPr>
          <w:rFonts w:hAnsi="宋体"/>
          <w:b/>
          <w:bCs/>
          <w:u w:val="single"/>
        </w:rPr>
      </w:pPr>
      <w:r>
        <w:rPr>
          <w:rFonts w:hint="eastAsia" w:hAnsi="宋体"/>
        </w:rPr>
        <w:t>3.2.4 承包人无正当理由拒绝更换项目经理的违约责任：</w:t>
      </w:r>
      <w:r>
        <w:rPr>
          <w:rFonts w:hint="eastAsia" w:hAnsi="宋体" w:cs="Arial"/>
          <w:b/>
          <w:bCs/>
          <w:u w:val="single"/>
        </w:rPr>
        <w:t>项目经理经发包人和监理方考核不合格者，承包方一周内必须无条件更换，同时须支付相应金额的违约金（更换项目负责人1万元/次）。</w:t>
      </w:r>
    </w:p>
    <w:p>
      <w:pPr>
        <w:spacing w:after="120" w:line="440" w:lineRule="exact"/>
        <w:ind w:firstLine="420" w:firstLineChars="200"/>
        <w:rPr>
          <w:rFonts w:ascii="宋体" w:hAnsi="宋体"/>
          <w:szCs w:val="21"/>
        </w:rPr>
      </w:pPr>
      <w:r>
        <w:rPr>
          <w:rFonts w:ascii="宋体" w:hAnsi="宋体"/>
          <w:szCs w:val="21"/>
        </w:rPr>
        <w:t xml:space="preserve">3.3 </w:t>
      </w:r>
      <w:r>
        <w:rPr>
          <w:rFonts w:hint="eastAsia" w:ascii="宋体" w:hAnsi="宋体"/>
          <w:szCs w:val="21"/>
        </w:rPr>
        <w:t>承包人</w:t>
      </w:r>
      <w:r>
        <w:rPr>
          <w:rFonts w:ascii="宋体" w:hAnsi="宋体"/>
          <w:szCs w:val="21"/>
        </w:rPr>
        <w:t>人员</w:t>
      </w:r>
    </w:p>
    <w:p>
      <w:pPr>
        <w:spacing w:line="360" w:lineRule="auto"/>
        <w:ind w:firstLine="420" w:firstLineChars="200"/>
        <w:rPr>
          <w:rFonts w:ascii="宋体" w:hAnsi="宋体" w:cs="Arial"/>
          <w:szCs w:val="21"/>
          <w:u w:val="single"/>
        </w:rPr>
      </w:pPr>
      <w:r>
        <w:rPr>
          <w:rFonts w:ascii="宋体" w:hAnsi="宋体"/>
          <w:szCs w:val="21"/>
        </w:rPr>
        <w:t xml:space="preserve">3.3.1 </w:t>
      </w:r>
      <w:r>
        <w:rPr>
          <w:rFonts w:hint="eastAsia" w:ascii="宋体" w:hAnsi="宋体"/>
          <w:szCs w:val="21"/>
        </w:rPr>
        <w:t>承包人</w:t>
      </w:r>
      <w:r>
        <w:rPr>
          <w:rFonts w:ascii="宋体" w:hAnsi="宋体"/>
          <w:szCs w:val="21"/>
        </w:rPr>
        <w:t>提交项目管理机构及施工现场管理人员安排报告的期限：</w:t>
      </w:r>
      <w:r>
        <w:rPr>
          <w:rFonts w:hint="eastAsia" w:ascii="宋体" w:hAnsi="宋体" w:cs="Arial"/>
          <w:szCs w:val="21"/>
          <w:u w:val="single"/>
        </w:rPr>
        <w:t>开工前3天。</w:t>
      </w:r>
    </w:p>
    <w:p>
      <w:pPr>
        <w:spacing w:line="440" w:lineRule="exact"/>
        <w:ind w:firstLine="420" w:firstLineChars="200"/>
        <w:rPr>
          <w:rFonts w:ascii="宋体" w:hAnsi="宋体"/>
          <w:szCs w:val="21"/>
        </w:rPr>
      </w:pPr>
      <w:r>
        <w:rPr>
          <w:rFonts w:ascii="宋体" w:hAnsi="宋体"/>
          <w:szCs w:val="21"/>
        </w:rPr>
        <w:t xml:space="preserve">3.3.3 </w:t>
      </w:r>
      <w:r>
        <w:rPr>
          <w:rFonts w:hint="eastAsia" w:ascii="宋体" w:hAnsi="宋体"/>
          <w:szCs w:val="21"/>
        </w:rPr>
        <w:t>承包人</w:t>
      </w:r>
      <w:r>
        <w:rPr>
          <w:rFonts w:ascii="宋体" w:hAnsi="宋体"/>
          <w:szCs w:val="21"/>
        </w:rPr>
        <w:t>无正当理由拒绝撤换主要施工管理人员的违约责任：</w:t>
      </w:r>
      <w:r>
        <w:rPr>
          <w:rFonts w:hint="eastAsia" w:ascii="宋体" w:hAnsi="宋体"/>
          <w:szCs w:val="21"/>
          <w:u w:val="single"/>
        </w:rPr>
        <w:t xml:space="preserve">   /   </w:t>
      </w:r>
      <w:r>
        <w:rPr>
          <w:rFonts w:ascii="宋体" w:hAnsi="宋体"/>
          <w:szCs w:val="21"/>
        </w:rPr>
        <w:t>。</w:t>
      </w:r>
    </w:p>
    <w:p>
      <w:pPr>
        <w:spacing w:line="440" w:lineRule="exact"/>
        <w:ind w:firstLine="420" w:firstLineChars="200"/>
        <w:rPr>
          <w:rFonts w:ascii="宋体" w:hAnsi="宋体"/>
          <w:szCs w:val="21"/>
          <w:u w:val="single"/>
        </w:rPr>
      </w:pPr>
      <w:r>
        <w:rPr>
          <w:rFonts w:ascii="宋体" w:hAnsi="宋体"/>
          <w:szCs w:val="21"/>
        </w:rPr>
        <w:t xml:space="preserve">3.3.4 </w:t>
      </w:r>
      <w:r>
        <w:rPr>
          <w:rFonts w:hint="eastAsia" w:ascii="宋体" w:hAnsi="宋体"/>
          <w:szCs w:val="21"/>
        </w:rPr>
        <w:t>承包人</w:t>
      </w:r>
      <w:r>
        <w:rPr>
          <w:rFonts w:ascii="宋体" w:hAnsi="宋体"/>
          <w:szCs w:val="21"/>
        </w:rPr>
        <w:t>主要施工管理人员离开施工现场的批准要求</w:t>
      </w:r>
      <w:r>
        <w:rPr>
          <w:rFonts w:ascii="宋体" w:hAnsi="宋体"/>
          <w:szCs w:val="21"/>
          <w:u w:val="single"/>
        </w:rPr>
        <w:t xml:space="preserve">： </w:t>
      </w:r>
      <w:r>
        <w:rPr>
          <w:rFonts w:hint="eastAsia" w:ascii="宋体" w:hAnsi="宋体"/>
          <w:szCs w:val="21"/>
          <w:u w:val="single"/>
        </w:rPr>
        <w:t>须经监理及发包人现场代表同意。</w:t>
      </w:r>
    </w:p>
    <w:p>
      <w:pPr>
        <w:spacing w:line="440" w:lineRule="exact"/>
        <w:ind w:firstLine="420" w:firstLineChars="200"/>
        <w:rPr>
          <w:rFonts w:ascii="宋体" w:hAnsi="宋体"/>
          <w:b/>
          <w:bCs/>
          <w:szCs w:val="21"/>
          <w:u w:val="single"/>
        </w:rPr>
      </w:pPr>
      <w:r>
        <w:rPr>
          <w:rFonts w:ascii="宋体" w:hAnsi="宋体"/>
          <w:szCs w:val="21"/>
        </w:rPr>
        <w:t>3.3.5</w:t>
      </w:r>
      <w:r>
        <w:rPr>
          <w:rFonts w:hint="eastAsia" w:ascii="宋体" w:hAnsi="宋体"/>
          <w:szCs w:val="21"/>
        </w:rPr>
        <w:t>承包人</w:t>
      </w:r>
      <w:r>
        <w:rPr>
          <w:rFonts w:ascii="宋体" w:hAnsi="宋体"/>
          <w:szCs w:val="21"/>
        </w:rPr>
        <w:t>擅自更换主要施工管理人员的违约责任：</w:t>
      </w:r>
      <w:r>
        <w:rPr>
          <w:rFonts w:hint="eastAsia" w:ascii="宋体" w:hAnsi="宋体" w:cs="Arial"/>
          <w:b/>
          <w:bCs/>
          <w:szCs w:val="21"/>
          <w:u w:val="single"/>
        </w:rPr>
        <w:t>派驻现场的主要施工管理人员与投标文件一致。主要施工管理人员不得兼职本工程以外的工作，如擅自更换，须支付相应金额的违约金（更换主要施工管理人员2000元/次）。</w:t>
      </w:r>
    </w:p>
    <w:p>
      <w:pPr>
        <w:spacing w:line="440" w:lineRule="exact"/>
        <w:ind w:firstLine="420" w:firstLineChars="200"/>
        <w:rPr>
          <w:rFonts w:ascii="宋体" w:hAnsi="宋体"/>
          <w:b/>
          <w:szCs w:val="21"/>
          <w:u w:val="single"/>
        </w:rPr>
      </w:pPr>
      <w:r>
        <w:rPr>
          <w:rFonts w:hint="eastAsia" w:ascii="宋体" w:hAnsi="宋体"/>
          <w:szCs w:val="21"/>
        </w:rPr>
        <w:t>承包人</w:t>
      </w:r>
      <w:r>
        <w:rPr>
          <w:rFonts w:ascii="宋体" w:hAnsi="宋体"/>
          <w:szCs w:val="21"/>
        </w:rPr>
        <w:t>主要施工管理人员擅自离开施工现场的违约责任：</w:t>
      </w:r>
      <w:r>
        <w:rPr>
          <w:rFonts w:hint="eastAsia" w:ascii="宋体" w:hAnsi="宋体"/>
          <w:b/>
          <w:szCs w:val="21"/>
          <w:u w:val="single"/>
        </w:rPr>
        <w:t>发现施工管理人不在现场发包人有权收取承包人</w:t>
      </w:r>
      <w:r>
        <w:rPr>
          <w:rFonts w:ascii="宋体" w:hAnsi="宋体"/>
          <w:b/>
          <w:szCs w:val="21"/>
          <w:u w:val="single"/>
        </w:rPr>
        <w:t>5</w:t>
      </w:r>
      <w:r>
        <w:rPr>
          <w:rFonts w:hint="eastAsia" w:ascii="宋体" w:hAnsi="宋体"/>
          <w:b/>
          <w:szCs w:val="21"/>
          <w:u w:val="single"/>
        </w:rPr>
        <w:t>00元/人·天的违约金。</w:t>
      </w:r>
    </w:p>
    <w:p>
      <w:pPr>
        <w:spacing w:line="440" w:lineRule="exact"/>
        <w:ind w:firstLine="420" w:firstLineChars="200"/>
        <w:rPr>
          <w:rFonts w:ascii="宋体" w:hAnsi="宋体"/>
          <w:szCs w:val="21"/>
        </w:rPr>
      </w:pPr>
      <w:r>
        <w:rPr>
          <w:rFonts w:ascii="宋体" w:hAnsi="宋体"/>
          <w:szCs w:val="21"/>
        </w:rPr>
        <w:t>3</w:t>
      </w:r>
      <w:bookmarkStart w:id="98" w:name="_Toc296891199"/>
      <w:bookmarkStart w:id="99" w:name="_Toc297120459"/>
      <w:bookmarkStart w:id="100" w:name="_Toc300934945"/>
      <w:bookmarkStart w:id="101" w:name="_Toc303539102"/>
      <w:bookmarkStart w:id="102" w:name="_Toc296944498"/>
      <w:bookmarkStart w:id="103" w:name="_Toc312677988"/>
      <w:bookmarkStart w:id="104" w:name="_Toc297123492"/>
      <w:bookmarkStart w:id="105" w:name="_Toc297216151"/>
      <w:bookmarkStart w:id="106" w:name="_Toc296346660"/>
      <w:bookmarkStart w:id="107" w:name="_Toc292559364"/>
      <w:bookmarkStart w:id="108" w:name="_Toc292559869"/>
      <w:bookmarkStart w:id="109" w:name="_Toc296890987"/>
      <w:bookmarkStart w:id="110" w:name="_Toc296503159"/>
      <w:bookmarkStart w:id="111" w:name="_Toc297048345"/>
      <w:bookmarkStart w:id="112" w:name="_Toc296347158"/>
      <w:bookmarkStart w:id="113" w:name="_Toc304295523"/>
      <w:r>
        <w:rPr>
          <w:rFonts w:ascii="宋体" w:hAnsi="宋体"/>
          <w:szCs w:val="21"/>
        </w:rPr>
        <w:t>.5 分包</w:t>
      </w:r>
    </w:p>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Pr>
        <w:spacing w:line="440" w:lineRule="exact"/>
        <w:ind w:firstLine="420" w:firstLineChars="200"/>
        <w:rPr>
          <w:rFonts w:ascii="宋体" w:hAnsi="宋体"/>
          <w:szCs w:val="21"/>
        </w:rPr>
      </w:pPr>
      <w:r>
        <w:rPr>
          <w:rFonts w:ascii="宋体" w:hAnsi="宋体"/>
          <w:szCs w:val="21"/>
        </w:rPr>
        <w:t>3</w:t>
      </w:r>
      <w:bookmarkStart w:id="114" w:name="_Toc296347159"/>
      <w:bookmarkStart w:id="115" w:name="_Toc296944499"/>
      <w:bookmarkStart w:id="116" w:name="_Toc297123493"/>
      <w:bookmarkStart w:id="117" w:name="_Toc296890988"/>
      <w:bookmarkStart w:id="118" w:name="_Toc296346661"/>
      <w:bookmarkStart w:id="119" w:name="_Toc304295524"/>
      <w:bookmarkStart w:id="120" w:name="_Toc292559870"/>
      <w:bookmarkStart w:id="121" w:name="_Toc303539103"/>
      <w:bookmarkStart w:id="122" w:name="_Toc292559365"/>
      <w:bookmarkStart w:id="123" w:name="_Toc296503160"/>
      <w:bookmarkStart w:id="124" w:name="_Toc297216152"/>
      <w:bookmarkStart w:id="125" w:name="_Toc296891200"/>
      <w:bookmarkStart w:id="126" w:name="_Toc300934946"/>
      <w:bookmarkStart w:id="127" w:name="_Toc297120460"/>
      <w:bookmarkStart w:id="128" w:name="_Toc312677989"/>
      <w:bookmarkStart w:id="129" w:name="_Toc318581158"/>
      <w:bookmarkStart w:id="130" w:name="_Toc297048346"/>
      <w:r>
        <w:rPr>
          <w:rFonts w:ascii="宋体" w:hAnsi="宋体"/>
          <w:szCs w:val="21"/>
        </w:rPr>
        <w:t>.5.1 分包的一般约定</w:t>
      </w:r>
    </w:p>
    <w:p>
      <w:pPr>
        <w:spacing w:line="440" w:lineRule="exact"/>
        <w:ind w:firstLine="420" w:firstLineChars="200"/>
        <w:rPr>
          <w:rFonts w:ascii="宋体" w:hAnsi="宋体"/>
          <w:szCs w:val="21"/>
          <w:u w:val="single"/>
        </w:rPr>
      </w:pPr>
      <w:r>
        <w:rPr>
          <w:rFonts w:hint="eastAsia" w:ascii="宋体" w:hAnsi="宋体"/>
          <w:szCs w:val="21"/>
        </w:rPr>
        <w:t>禁止分包的工程包括：</w:t>
      </w:r>
      <w:r>
        <w:rPr>
          <w:rFonts w:hint="eastAsia" w:ascii="宋体" w:hAnsi="宋体"/>
          <w:szCs w:val="21"/>
          <w:u w:val="single"/>
        </w:rPr>
        <w:t>在履行合同过程中，承包人不得转包和分包，一经发现，发包人可以解除本合同，并不予退还全额履约保证金，并且已完成的工程量不予结算，所造成的责任与损失均由承包人承担。</w:t>
      </w:r>
    </w:p>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Pr>
        <w:spacing w:line="440" w:lineRule="exact"/>
        <w:ind w:firstLine="420" w:firstLineChars="200"/>
        <w:rPr>
          <w:rFonts w:ascii="宋体" w:hAnsi="宋体"/>
          <w:szCs w:val="21"/>
          <w:u w:val="single"/>
        </w:rPr>
      </w:pPr>
      <w:bookmarkStart w:id="131" w:name="_Toc318581159"/>
      <w:bookmarkStart w:id="132" w:name="_Toc312677990"/>
      <w:r>
        <w:rPr>
          <w:rFonts w:hint="eastAsia" w:ascii="宋体" w:hAnsi="宋体"/>
          <w:szCs w:val="21"/>
        </w:rPr>
        <w:t>主体结构、关键性工作的范围：</w:t>
      </w:r>
      <w:r>
        <w:rPr>
          <w:rFonts w:hint="eastAsia" w:ascii="宋体" w:hAnsi="宋体"/>
          <w:szCs w:val="21"/>
          <w:u w:val="single"/>
        </w:rPr>
        <w:t>/。</w:t>
      </w:r>
      <w:bookmarkStart w:id="133" w:name="_Toc296890989"/>
      <w:bookmarkStart w:id="134" w:name="_Toc296346662"/>
      <w:bookmarkStart w:id="135" w:name="_Toc297123494"/>
      <w:bookmarkStart w:id="136" w:name="_Toc296891201"/>
      <w:bookmarkStart w:id="137" w:name="_Toc300934947"/>
      <w:bookmarkStart w:id="138" w:name="_Toc296944500"/>
      <w:bookmarkStart w:id="139" w:name="_Toc296503161"/>
      <w:bookmarkStart w:id="140" w:name="_Toc297120461"/>
      <w:bookmarkStart w:id="141" w:name="_Toc297048347"/>
      <w:bookmarkStart w:id="142" w:name="_Toc303539104"/>
      <w:bookmarkStart w:id="143" w:name="_Toc304295525"/>
      <w:bookmarkStart w:id="144" w:name="_Toc296347160"/>
      <w:bookmarkStart w:id="145" w:name="_Toc297216153"/>
    </w:p>
    <w:bookmarkEnd w:id="133"/>
    <w:bookmarkEnd w:id="134"/>
    <w:bookmarkEnd w:id="135"/>
    <w:bookmarkEnd w:id="136"/>
    <w:bookmarkEnd w:id="137"/>
    <w:bookmarkEnd w:id="138"/>
    <w:bookmarkEnd w:id="139"/>
    <w:bookmarkEnd w:id="140"/>
    <w:bookmarkEnd w:id="141"/>
    <w:bookmarkEnd w:id="142"/>
    <w:bookmarkEnd w:id="143"/>
    <w:bookmarkEnd w:id="144"/>
    <w:bookmarkEnd w:id="145"/>
    <w:p>
      <w:pPr>
        <w:spacing w:line="440" w:lineRule="exact"/>
        <w:ind w:firstLine="420" w:firstLineChars="200"/>
        <w:rPr>
          <w:rFonts w:ascii="宋体" w:hAnsi="宋体"/>
          <w:szCs w:val="21"/>
        </w:rPr>
      </w:pPr>
      <w:r>
        <w:rPr>
          <w:rFonts w:ascii="宋体" w:hAnsi="宋体"/>
          <w:szCs w:val="21"/>
        </w:rPr>
        <w:t xml:space="preserve"> 3.5.2</w:t>
      </w:r>
      <w:r>
        <w:rPr>
          <w:rFonts w:hint="eastAsia" w:ascii="宋体" w:hAnsi="宋体"/>
          <w:szCs w:val="21"/>
        </w:rPr>
        <w:t>分包的确定</w:t>
      </w:r>
    </w:p>
    <w:p>
      <w:pPr>
        <w:spacing w:line="440" w:lineRule="exact"/>
        <w:ind w:firstLine="420" w:firstLineChars="200"/>
        <w:rPr>
          <w:rFonts w:ascii="宋体" w:hAnsi="宋体"/>
          <w:szCs w:val="21"/>
          <w:u w:val="single"/>
        </w:rPr>
      </w:pPr>
      <w:r>
        <w:rPr>
          <w:rFonts w:hint="eastAsia" w:ascii="宋体" w:hAnsi="宋体"/>
          <w:szCs w:val="21"/>
        </w:rPr>
        <w:t>允许分包的专业工程包括：</w:t>
      </w:r>
      <w:r>
        <w:rPr>
          <w:rFonts w:hint="eastAsia" w:ascii="宋体" w:hAnsi="宋体"/>
          <w:szCs w:val="21"/>
          <w:u w:val="single"/>
        </w:rPr>
        <w:t>/</w:t>
      </w:r>
      <w:r>
        <w:rPr>
          <w:rFonts w:hint="eastAsia" w:ascii="宋体" w:hAnsi="宋体"/>
          <w:szCs w:val="21"/>
        </w:rPr>
        <w:t>。</w:t>
      </w:r>
    </w:p>
    <w:p>
      <w:pPr>
        <w:spacing w:line="440" w:lineRule="exact"/>
        <w:ind w:firstLine="420" w:firstLineChars="200"/>
        <w:rPr>
          <w:rFonts w:ascii="宋体" w:hAnsi="宋体"/>
          <w:szCs w:val="21"/>
        </w:rPr>
      </w:pPr>
      <w:r>
        <w:rPr>
          <w:rFonts w:hint="eastAsia" w:ascii="宋体" w:hAnsi="宋体"/>
          <w:szCs w:val="21"/>
        </w:rPr>
        <w:t>其他关于分包的约定：</w:t>
      </w:r>
      <w:r>
        <w:rPr>
          <w:rFonts w:hint="eastAsia" w:ascii="宋体" w:hAnsi="宋体"/>
          <w:szCs w:val="21"/>
          <w:u w:val="single"/>
        </w:rPr>
        <w:t>/</w:t>
      </w:r>
      <w:r>
        <w:rPr>
          <w:rFonts w:hint="eastAsia" w:ascii="宋体" w:hAnsi="宋体"/>
          <w:szCs w:val="21"/>
        </w:rPr>
        <w:t>。</w:t>
      </w:r>
    </w:p>
    <w:p>
      <w:pPr>
        <w:spacing w:line="440" w:lineRule="exact"/>
        <w:ind w:firstLine="420" w:firstLineChars="200"/>
        <w:rPr>
          <w:rFonts w:ascii="宋体" w:hAnsi="宋体"/>
          <w:szCs w:val="21"/>
        </w:rPr>
      </w:pPr>
      <w:r>
        <w:rPr>
          <w:rFonts w:ascii="宋体" w:hAnsi="宋体"/>
          <w:szCs w:val="21"/>
        </w:rPr>
        <w:t xml:space="preserve">3.5.4 </w:t>
      </w:r>
      <w:r>
        <w:rPr>
          <w:rFonts w:hint="eastAsia" w:ascii="宋体" w:hAnsi="宋体"/>
          <w:szCs w:val="21"/>
        </w:rPr>
        <w:t>分包合同价款</w:t>
      </w:r>
    </w:p>
    <w:p>
      <w:pPr>
        <w:spacing w:line="440" w:lineRule="exact"/>
        <w:ind w:firstLine="420" w:firstLineChars="200"/>
        <w:rPr>
          <w:rFonts w:ascii="宋体" w:hAnsi="宋体"/>
          <w:szCs w:val="21"/>
        </w:rPr>
      </w:pPr>
      <w:r>
        <w:rPr>
          <w:rFonts w:hint="eastAsia" w:ascii="宋体" w:hAnsi="宋体"/>
          <w:szCs w:val="21"/>
        </w:rPr>
        <w:t>关于分包合同价款支付的约定：</w:t>
      </w:r>
      <w:r>
        <w:rPr>
          <w:rFonts w:hint="eastAsia" w:ascii="宋体" w:hAnsi="宋体"/>
          <w:szCs w:val="21"/>
          <w:u w:val="single"/>
        </w:rPr>
        <w:t>/</w:t>
      </w:r>
    </w:p>
    <w:bookmarkEnd w:id="131"/>
    <w:bookmarkEnd w:id="132"/>
    <w:p>
      <w:pPr>
        <w:spacing w:line="440" w:lineRule="exact"/>
        <w:ind w:firstLine="420" w:firstLineChars="200"/>
        <w:rPr>
          <w:rFonts w:ascii="宋体" w:hAnsi="宋体"/>
          <w:szCs w:val="21"/>
        </w:rPr>
      </w:pPr>
      <w:r>
        <w:rPr>
          <w:rFonts w:ascii="宋体" w:hAnsi="宋体"/>
          <w:szCs w:val="21"/>
        </w:rPr>
        <w:t>3.6 工程照管与成品、半成品保护</w:t>
      </w:r>
    </w:p>
    <w:p>
      <w:pPr>
        <w:spacing w:line="440" w:lineRule="exact"/>
        <w:ind w:firstLine="420" w:firstLineChars="200"/>
        <w:rPr>
          <w:rFonts w:ascii="宋体" w:hAnsi="宋体"/>
          <w:szCs w:val="21"/>
          <w:u w:val="single"/>
        </w:rPr>
      </w:pPr>
      <w:r>
        <w:rPr>
          <w:rFonts w:hint="eastAsia" w:ascii="宋体" w:hAnsi="宋体"/>
          <w:szCs w:val="21"/>
        </w:rPr>
        <w:t>承包</w:t>
      </w:r>
      <w:r>
        <w:rPr>
          <w:rFonts w:hint="eastAsia" w:ascii="宋体" w:hAnsi="宋体"/>
          <w:kern w:val="0"/>
          <w:szCs w:val="21"/>
        </w:rPr>
        <w:t>人</w:t>
      </w:r>
      <w:r>
        <w:rPr>
          <w:rFonts w:ascii="宋体" w:hAnsi="宋体"/>
          <w:kern w:val="0"/>
          <w:szCs w:val="21"/>
        </w:rPr>
        <w:t>负责照管工程及工程相关的材料、工程设备的起始时间：</w:t>
      </w:r>
      <w:r>
        <w:rPr>
          <w:rFonts w:hint="eastAsia" w:ascii="宋体" w:hAnsi="宋体"/>
          <w:b/>
          <w:szCs w:val="21"/>
          <w:u w:val="single"/>
        </w:rPr>
        <w:t>设备、人员进场至验收交付使用前由承包人负责保修，无其它特殊要求的，费用由承包人承担</w:t>
      </w:r>
      <w:r>
        <w:rPr>
          <w:rFonts w:hint="eastAsia" w:ascii="宋体" w:hAnsi="宋体"/>
          <w:szCs w:val="21"/>
          <w:u w:val="single"/>
        </w:rPr>
        <w:t>。</w:t>
      </w:r>
    </w:p>
    <w:p>
      <w:pPr>
        <w:spacing w:line="440" w:lineRule="exact"/>
        <w:ind w:firstLine="420" w:firstLineChars="200"/>
        <w:rPr>
          <w:rFonts w:ascii="宋体" w:hAnsi="宋体"/>
          <w:szCs w:val="21"/>
        </w:rPr>
      </w:pPr>
      <w:r>
        <w:rPr>
          <w:rFonts w:ascii="宋体" w:hAnsi="宋体"/>
          <w:szCs w:val="21"/>
        </w:rPr>
        <w:t>3.7 履约担保</w:t>
      </w:r>
    </w:p>
    <w:p>
      <w:pPr>
        <w:spacing w:line="440" w:lineRule="exact"/>
        <w:ind w:firstLine="420" w:firstLineChars="200"/>
        <w:rPr>
          <w:rFonts w:ascii="宋体" w:hAnsi="宋体"/>
          <w:szCs w:val="21"/>
        </w:rPr>
      </w:pPr>
      <w:r>
        <w:rPr>
          <w:rFonts w:hint="eastAsia" w:ascii="宋体" w:hAnsi="宋体"/>
          <w:szCs w:val="21"/>
        </w:rPr>
        <w:t>承包人是否提供履约担保：</w:t>
      </w:r>
      <w:r>
        <w:rPr>
          <w:rFonts w:hint="eastAsia" w:ascii="宋体" w:hAnsi="宋体"/>
          <w:szCs w:val="21"/>
          <w:u w:val="single"/>
        </w:rPr>
        <w:t>提供</w:t>
      </w:r>
      <w:r>
        <w:rPr>
          <w:rFonts w:ascii="宋体" w:hAnsi="宋体"/>
          <w:szCs w:val="21"/>
        </w:rPr>
        <w:t>。</w:t>
      </w:r>
    </w:p>
    <w:p>
      <w:pPr>
        <w:spacing w:line="460" w:lineRule="exact"/>
        <w:ind w:firstLine="420" w:firstLineChars="200"/>
        <w:jc w:val="left"/>
        <w:rPr>
          <w:rFonts w:ascii="宋体" w:hAnsi="宋体"/>
          <w:b/>
          <w:szCs w:val="21"/>
          <w:u w:val="single"/>
        </w:rPr>
      </w:pPr>
      <w:r>
        <w:rPr>
          <w:rFonts w:hint="eastAsia" w:ascii="宋体" w:hAnsi="宋体"/>
          <w:szCs w:val="21"/>
        </w:rPr>
        <w:t>承包人提供履约担保的形式、金额及期限的：</w:t>
      </w:r>
      <w:bookmarkStart w:id="146" w:name="_Toc351203636"/>
      <w:r>
        <w:rPr>
          <w:rFonts w:hint="eastAsia" w:ascii="宋体" w:hAnsi="宋体"/>
          <w:b/>
          <w:szCs w:val="21"/>
          <w:u w:val="single"/>
        </w:rPr>
        <w:t>银行转账，中标人须在中标通知书发出后</w:t>
      </w:r>
      <w:r>
        <w:rPr>
          <w:rFonts w:hint="eastAsia" w:ascii="宋体" w:hAnsi="宋体"/>
          <w:b/>
          <w:szCs w:val="21"/>
          <w:u w:val="single"/>
          <w:lang w:val="en-US" w:eastAsia="zh-CN"/>
        </w:rPr>
        <w:t>5</w:t>
      </w:r>
      <w:r>
        <w:rPr>
          <w:rFonts w:hint="eastAsia" w:ascii="宋体" w:hAnsi="宋体"/>
          <w:b/>
          <w:szCs w:val="21"/>
          <w:u w:val="single"/>
        </w:rPr>
        <w:t>日内交齐履约保证金后根据招标文件的要求签订合同，否则视为自动放弃中标资格，且投标保证金不予退还。承包人提供的履约保证金为合同总价的10%，其中：工期占履约保证金额的20%，工期履约保证金待工程按合同规定的工期内完成并经验收合格且提供完整的竣工资料后，无息返还，如工期延误应按合同约定缴纳违约金，同时可视情节扣除部分或全部工期履约保证金；质量占履约保证金额的40%，在施工期间，由于承包人原因造成的严重质量问题或质量事故，除视情节扣除部分或全部质量履约保证金外，还需承担全部责任及由此引起的一切费用，同时承包人必须在发包人要求的期限内整改到位达到验收标准，否则已完成合格工作量在结算时按60%计算。质量履约保证金待工程竣工验收，且完成约定的验收标准后，无息返还；安全文明施工占履约保证金额的20%，承包人在施工期间未发生安全事故，待工程竣工验收合格后，无息返还，凡在施工期间，由于承包人原因造成的事故，应按合同约定缴纳违约金，同时可视情节扣除部分或全部安全文明施工保证金，还需承担全部责任及由此引起的一切费用，发包人不承担任何责任；竣工资料占履约保证金额的10%，待提交完整的竣工资料后无息返还，若未达到招标文件要求，该保证金不予退还；项目部人员到岗占履约保证金额的10%，经发包人考核达到要求，待工程竣工验收后，无息返还，施工期间经发包人考核未达到要求的，应按合同约定缴纳违约金，同时可视情节扣除部分或全部项目部人员到岗保证金。</w:t>
      </w:r>
    </w:p>
    <w:p>
      <w:pPr>
        <w:pStyle w:val="7"/>
        <w:spacing w:before="120" w:after="120" w:line="440" w:lineRule="exact"/>
        <w:rPr>
          <w:rFonts w:ascii="宋体" w:hAnsi="宋体"/>
          <w:szCs w:val="21"/>
        </w:rPr>
      </w:pPr>
      <w:r>
        <w:rPr>
          <w:rFonts w:ascii="宋体" w:hAnsi="宋体"/>
          <w:szCs w:val="21"/>
        </w:rPr>
        <w:t>4</w:t>
      </w:r>
      <w:bookmarkStart w:id="147" w:name="_Toc296346663"/>
      <w:bookmarkStart w:id="148" w:name="_Toc296944501"/>
      <w:bookmarkStart w:id="149" w:name="_Toc296503162"/>
      <w:bookmarkStart w:id="150" w:name="_Toc297120462"/>
      <w:bookmarkStart w:id="151" w:name="_Toc292559366"/>
      <w:bookmarkStart w:id="152" w:name="_Toc296347161"/>
      <w:bookmarkStart w:id="153" w:name="_Toc297048348"/>
      <w:bookmarkStart w:id="154" w:name="_Toc296891202"/>
      <w:bookmarkStart w:id="155" w:name="_Toc292559871"/>
      <w:bookmarkStart w:id="156" w:name="_Toc296890990"/>
      <w:bookmarkStart w:id="157" w:name="_Toc267251413"/>
      <w:r>
        <w:rPr>
          <w:rFonts w:ascii="宋体" w:hAnsi="宋体"/>
          <w:szCs w:val="21"/>
        </w:rPr>
        <w:t>. 监</w:t>
      </w:r>
      <w:bookmarkEnd w:id="147"/>
      <w:bookmarkEnd w:id="148"/>
      <w:bookmarkEnd w:id="149"/>
      <w:bookmarkEnd w:id="150"/>
      <w:bookmarkEnd w:id="151"/>
      <w:bookmarkEnd w:id="152"/>
      <w:bookmarkEnd w:id="153"/>
      <w:bookmarkEnd w:id="154"/>
      <w:bookmarkEnd w:id="155"/>
      <w:bookmarkEnd w:id="156"/>
      <w:bookmarkEnd w:id="157"/>
      <w:r>
        <w:rPr>
          <w:rFonts w:ascii="宋体" w:hAnsi="宋体"/>
          <w:szCs w:val="21"/>
        </w:rPr>
        <w:t>理人</w:t>
      </w:r>
      <w:bookmarkEnd w:id="146"/>
    </w:p>
    <w:p>
      <w:pPr>
        <w:spacing w:line="440" w:lineRule="exact"/>
        <w:ind w:firstLine="420" w:firstLineChars="200"/>
        <w:rPr>
          <w:rFonts w:ascii="宋体" w:hAnsi="宋体"/>
          <w:szCs w:val="21"/>
        </w:rPr>
      </w:pPr>
      <w:r>
        <w:rPr>
          <w:rFonts w:ascii="宋体" w:hAnsi="宋体"/>
          <w:szCs w:val="21"/>
        </w:rPr>
        <w:t>4.1监理人的一般规定</w:t>
      </w:r>
    </w:p>
    <w:p>
      <w:pPr>
        <w:spacing w:line="440" w:lineRule="exact"/>
        <w:ind w:firstLine="420" w:firstLineChars="200"/>
        <w:rPr>
          <w:rFonts w:ascii="宋体" w:hAnsi="宋体"/>
          <w:szCs w:val="21"/>
        </w:rPr>
      </w:pPr>
      <w:r>
        <w:rPr>
          <w:rFonts w:ascii="宋体" w:hAnsi="宋体"/>
          <w:szCs w:val="21"/>
        </w:rPr>
        <w:t>关于监理人的监理内容：</w:t>
      </w:r>
      <w:r>
        <w:rPr>
          <w:rFonts w:hint="eastAsia" w:ascii="宋体" w:hAnsi="宋体" w:cs="Arial"/>
          <w:szCs w:val="21"/>
          <w:u w:val="single"/>
        </w:rPr>
        <w:t>见《建设工程委托监理合同》</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关于监理人的监理权限：</w:t>
      </w:r>
      <w:r>
        <w:rPr>
          <w:rFonts w:hint="eastAsia" w:ascii="宋体" w:hAnsi="宋体" w:cs="Arial"/>
          <w:szCs w:val="21"/>
          <w:u w:val="single"/>
        </w:rPr>
        <w:t>对工程质量、安全、进度、投资四大控制，对安全生产、文明施工、信息管理、组织协调施工现场和各方关系，以及《委托监理合同》内发包人委托的职权。需要取得发包人批准才能行使的职权：工程开工、停工令，工程款支付以及其它超出发包人授权之外的职权</w:t>
      </w:r>
      <w:r>
        <w:rPr>
          <w:rFonts w:ascii="宋体" w:hAnsi="宋体" w:cs="Arial"/>
          <w:szCs w:val="21"/>
          <w:u w:val="single"/>
        </w:rPr>
        <w:t>。</w:t>
      </w:r>
    </w:p>
    <w:p>
      <w:pPr>
        <w:spacing w:line="480" w:lineRule="exact"/>
        <w:ind w:firstLine="420" w:firstLineChars="200"/>
        <w:jc w:val="left"/>
        <w:rPr>
          <w:rFonts w:ascii="宋体" w:hAnsi="宋体" w:cs="Arial"/>
          <w:szCs w:val="21"/>
          <w:u w:val="single"/>
        </w:rPr>
      </w:pPr>
      <w:r>
        <w:rPr>
          <w:rFonts w:ascii="宋体" w:hAnsi="宋体"/>
          <w:szCs w:val="21"/>
        </w:rPr>
        <w:t>关于监理人在施工现场的办公场所、生活场所的提供和费用承担的约定：</w:t>
      </w:r>
      <w:r>
        <w:rPr>
          <w:rFonts w:hint="eastAsia" w:ascii="宋体" w:hAnsi="宋体" w:cs="Arial"/>
          <w:szCs w:val="21"/>
          <w:u w:val="single"/>
        </w:rPr>
        <w:t>见监理合同</w:t>
      </w:r>
      <w:r>
        <w:rPr>
          <w:rFonts w:ascii="宋体" w:hAnsi="宋体" w:cs="Arial"/>
          <w:szCs w:val="21"/>
          <w:u w:val="single"/>
        </w:rPr>
        <w:t>。</w:t>
      </w:r>
    </w:p>
    <w:p>
      <w:pPr>
        <w:spacing w:line="440" w:lineRule="exact"/>
        <w:ind w:firstLine="420" w:firstLineChars="200"/>
        <w:rPr>
          <w:rFonts w:ascii="宋体" w:hAnsi="宋体"/>
          <w:szCs w:val="21"/>
        </w:rPr>
      </w:pPr>
      <w:r>
        <w:rPr>
          <w:rFonts w:ascii="宋体" w:hAnsi="宋体"/>
          <w:szCs w:val="21"/>
        </w:rPr>
        <w:t>4.2 监理人员</w:t>
      </w:r>
    </w:p>
    <w:p>
      <w:pPr>
        <w:spacing w:line="440" w:lineRule="exact"/>
        <w:ind w:firstLine="420" w:firstLineChars="200"/>
        <w:rPr>
          <w:rFonts w:ascii="宋体" w:hAnsi="宋体"/>
          <w:szCs w:val="21"/>
        </w:rPr>
      </w:pPr>
      <w:r>
        <w:rPr>
          <w:rFonts w:ascii="宋体" w:hAnsi="宋体"/>
          <w:szCs w:val="21"/>
        </w:rPr>
        <w:t>总监理工程师：</w:t>
      </w:r>
    </w:p>
    <w:p>
      <w:pPr>
        <w:spacing w:line="440" w:lineRule="exact"/>
        <w:ind w:firstLine="420" w:firstLineChars="200"/>
        <w:rPr>
          <w:rFonts w:ascii="宋体" w:hAnsi="宋体"/>
          <w:szCs w:val="21"/>
        </w:rPr>
      </w:pPr>
      <w:r>
        <w:rPr>
          <w:rFonts w:ascii="宋体" w:hAnsi="宋体"/>
          <w:szCs w:val="21"/>
        </w:rPr>
        <w:t>姓    名：</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职    务：</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监理工程师执业资格证书号：</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联系电话：</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电子信箱：</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通信地址：</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关于监理人的其他约定：</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4.4 商定或确定</w:t>
      </w:r>
    </w:p>
    <w:p>
      <w:pPr>
        <w:spacing w:line="440" w:lineRule="exact"/>
        <w:ind w:firstLine="420" w:firstLineChars="200"/>
        <w:rPr>
          <w:rFonts w:ascii="宋体" w:hAnsi="宋体"/>
          <w:szCs w:val="21"/>
        </w:rPr>
      </w:pPr>
      <w:bookmarkStart w:id="158" w:name="_Toc267251418"/>
      <w:r>
        <w:rPr>
          <w:rFonts w:ascii="宋体" w:hAnsi="宋体"/>
          <w:szCs w:val="21"/>
        </w:rPr>
        <w:t>在发包人和</w:t>
      </w:r>
      <w:r>
        <w:rPr>
          <w:rFonts w:hint="eastAsia" w:ascii="宋体" w:hAnsi="宋体"/>
          <w:szCs w:val="21"/>
        </w:rPr>
        <w:t>承包人</w:t>
      </w:r>
      <w:r>
        <w:rPr>
          <w:rFonts w:ascii="宋体" w:hAnsi="宋体"/>
          <w:szCs w:val="21"/>
        </w:rPr>
        <w:t>不能通过协商达成一致意见时，发包人授权监理人对以下事项进行确定：</w:t>
      </w:r>
      <w:r>
        <w:rPr>
          <w:rFonts w:hint="eastAsia" w:ascii="宋体" w:hAnsi="宋体"/>
          <w:szCs w:val="21"/>
          <w:u w:val="single"/>
        </w:rPr>
        <w:t>/</w:t>
      </w:r>
      <w:r>
        <w:rPr>
          <w:rFonts w:hint="eastAsia" w:ascii="宋体" w:hAnsi="宋体"/>
          <w:szCs w:val="21"/>
        </w:rPr>
        <w:t>。</w:t>
      </w:r>
    </w:p>
    <w:p>
      <w:pPr>
        <w:pStyle w:val="7"/>
        <w:spacing w:before="120" w:after="120" w:line="440" w:lineRule="exact"/>
        <w:rPr>
          <w:rFonts w:ascii="宋体" w:hAnsi="宋体"/>
          <w:szCs w:val="21"/>
        </w:rPr>
      </w:pPr>
      <w:bookmarkStart w:id="159" w:name="_Toc351203637"/>
      <w:r>
        <w:rPr>
          <w:rFonts w:ascii="宋体" w:hAnsi="宋体"/>
          <w:szCs w:val="21"/>
        </w:rPr>
        <w:t>5</w:t>
      </w:r>
      <w:bookmarkEnd w:id="158"/>
      <w:bookmarkStart w:id="160" w:name="_Toc296347162"/>
      <w:bookmarkStart w:id="161" w:name="_Toc296346664"/>
      <w:bookmarkStart w:id="162" w:name="_Toc297120463"/>
      <w:bookmarkStart w:id="163" w:name="_Toc296503163"/>
      <w:bookmarkStart w:id="164" w:name="_Toc296891203"/>
      <w:bookmarkStart w:id="165" w:name="_Toc292559367"/>
      <w:bookmarkStart w:id="166" w:name="_Toc292559872"/>
      <w:bookmarkStart w:id="167" w:name="_Toc296944502"/>
      <w:bookmarkStart w:id="168" w:name="_Toc296890991"/>
      <w:bookmarkStart w:id="169" w:name="_Toc297048349"/>
      <w:r>
        <w:rPr>
          <w:rFonts w:ascii="宋体" w:hAnsi="宋体"/>
          <w:szCs w:val="21"/>
        </w:rPr>
        <w:t>. 工程质量</w:t>
      </w:r>
      <w:bookmarkEnd w:id="159"/>
    </w:p>
    <w:p>
      <w:pPr>
        <w:spacing w:line="440" w:lineRule="exact"/>
        <w:ind w:firstLine="420" w:firstLineChars="200"/>
        <w:rPr>
          <w:rFonts w:ascii="宋体" w:hAnsi="宋体"/>
          <w:szCs w:val="21"/>
        </w:rPr>
      </w:pPr>
      <w:r>
        <w:rPr>
          <w:rFonts w:ascii="宋体" w:hAnsi="宋体"/>
          <w:szCs w:val="21"/>
        </w:rPr>
        <w:t>5.1 质量要求</w:t>
      </w:r>
    </w:p>
    <w:p>
      <w:pPr>
        <w:spacing w:line="440" w:lineRule="exact"/>
        <w:ind w:firstLine="420" w:firstLineChars="200"/>
        <w:rPr>
          <w:rFonts w:ascii="宋体" w:hAnsi="宋体"/>
          <w:szCs w:val="21"/>
        </w:rPr>
      </w:pPr>
      <w:bookmarkStart w:id="170" w:name="_Toc297216155"/>
      <w:bookmarkStart w:id="171" w:name="_Toc297123496"/>
      <w:bookmarkStart w:id="172" w:name="_Toc300934949"/>
      <w:bookmarkStart w:id="173" w:name="_Toc318581164"/>
      <w:bookmarkStart w:id="174" w:name="_Toc303539106"/>
      <w:bookmarkStart w:id="175" w:name="_Toc304295527"/>
      <w:bookmarkStart w:id="176" w:name="_Toc312677997"/>
      <w:r>
        <w:rPr>
          <w:rFonts w:ascii="宋体" w:hAnsi="宋体"/>
          <w:szCs w:val="21"/>
        </w:rPr>
        <w:t>5.</w:t>
      </w:r>
      <w:r>
        <w:rPr>
          <w:rFonts w:hint="eastAsia" w:ascii="宋体" w:hAnsi="宋体"/>
          <w:szCs w:val="21"/>
        </w:rPr>
        <w:t>1.</w:t>
      </w:r>
      <w:r>
        <w:rPr>
          <w:rFonts w:ascii="宋体" w:hAnsi="宋体"/>
          <w:szCs w:val="21"/>
        </w:rPr>
        <w:t>1</w:t>
      </w:r>
      <w:r>
        <w:rPr>
          <w:rFonts w:hint="eastAsia" w:ascii="宋体" w:hAnsi="宋体"/>
          <w:szCs w:val="21"/>
        </w:rPr>
        <w:t>工程质量必须达到国家施工质量验收规范合格标准。</w:t>
      </w:r>
    </w:p>
    <w:p>
      <w:pPr>
        <w:spacing w:line="440" w:lineRule="exact"/>
        <w:ind w:firstLine="420" w:firstLineChars="200"/>
        <w:rPr>
          <w:rFonts w:ascii="宋体" w:hAnsi="宋体"/>
          <w:szCs w:val="21"/>
        </w:rPr>
      </w:pPr>
      <w:r>
        <w:rPr>
          <w:rFonts w:hint="eastAsia" w:ascii="宋体" w:hAnsi="宋体"/>
          <w:szCs w:val="21"/>
        </w:rPr>
        <w:t>5.2</w:t>
      </w:r>
      <w:r>
        <w:rPr>
          <w:rFonts w:ascii="宋体" w:hAnsi="宋体"/>
          <w:szCs w:val="21"/>
        </w:rPr>
        <w:t>质量</w:t>
      </w:r>
      <w:r>
        <w:rPr>
          <w:rFonts w:hint="eastAsia" w:ascii="宋体" w:hAnsi="宋体"/>
          <w:szCs w:val="21"/>
        </w:rPr>
        <w:t>保证措施</w:t>
      </w:r>
    </w:p>
    <w:p>
      <w:pPr>
        <w:spacing w:line="440" w:lineRule="exact"/>
        <w:ind w:firstLine="420" w:firstLineChars="200"/>
        <w:rPr>
          <w:rFonts w:ascii="宋体" w:hAnsi="宋体"/>
          <w:szCs w:val="21"/>
        </w:rPr>
      </w:pPr>
      <w:r>
        <w:rPr>
          <w:rFonts w:hint="eastAsia" w:ascii="宋体" w:hAnsi="宋体"/>
          <w:szCs w:val="21"/>
        </w:rPr>
        <w:t xml:space="preserve">5.2.2承包人必须严格按照施工图纸、工程技术要求及有关工程施工规范、规格和标准施工，并无条件的接受发包人委托的监理单位全方位、全过程的监督管理。无论监理工程师是否进行并通过了各项检验，均不解除承包人对自己承包的工程的质量所负的责任，除非质量问题是由非承包人原因。       </w:t>
      </w:r>
    </w:p>
    <w:p>
      <w:pPr>
        <w:spacing w:line="440" w:lineRule="exact"/>
        <w:ind w:firstLine="420" w:firstLineChars="200"/>
        <w:rPr>
          <w:rFonts w:ascii="宋体" w:hAnsi="宋体" w:cs="宋体"/>
          <w:b/>
          <w:kern w:val="0"/>
          <w:szCs w:val="21"/>
          <w:u w:val="single"/>
        </w:rPr>
      </w:pPr>
      <w:r>
        <w:rPr>
          <w:rFonts w:hint="eastAsia" w:ascii="宋体" w:hAnsi="宋体"/>
          <w:szCs w:val="21"/>
        </w:rPr>
        <w:t>关于工程奖项的约定：</w:t>
      </w:r>
      <w:r>
        <w:rPr>
          <w:rFonts w:hint="eastAsia" w:ascii="宋体" w:hAnsi="宋体" w:cs="宋体"/>
          <w:b/>
          <w:kern w:val="0"/>
          <w:szCs w:val="21"/>
          <w:u w:val="single"/>
        </w:rPr>
        <w:t>工程质量达不到协议书中约定的质量标准的,没收</w:t>
      </w:r>
      <w:r>
        <w:rPr>
          <w:rFonts w:hint="eastAsia" w:ascii="宋体" w:hAnsi="宋体" w:cs="宋体"/>
          <w:b/>
          <w:bCs/>
          <w:kern w:val="0"/>
          <w:szCs w:val="21"/>
          <w:u w:val="single"/>
        </w:rPr>
        <w:t>履约保证金金额的40%</w:t>
      </w:r>
      <w:r>
        <w:rPr>
          <w:rFonts w:hint="eastAsia" w:ascii="宋体" w:hAnsi="宋体" w:cs="宋体"/>
          <w:b/>
          <w:kern w:val="0"/>
          <w:szCs w:val="21"/>
          <w:u w:val="single"/>
        </w:rPr>
        <w:t>作为违约金  。</w:t>
      </w:r>
    </w:p>
    <w:p>
      <w:pPr>
        <w:spacing w:line="440" w:lineRule="exact"/>
        <w:ind w:firstLine="420" w:firstLineChars="200"/>
        <w:rPr>
          <w:rFonts w:ascii="宋体" w:hAnsi="宋体"/>
          <w:szCs w:val="21"/>
        </w:rPr>
      </w:pPr>
      <w:r>
        <w:rPr>
          <w:rFonts w:ascii="宋体" w:hAnsi="宋体"/>
          <w:szCs w:val="21"/>
        </w:rPr>
        <w:t>5.3 隐蔽工程检查</w:t>
      </w:r>
    </w:p>
    <w:p>
      <w:pPr>
        <w:spacing w:line="440" w:lineRule="exact"/>
        <w:ind w:firstLine="420" w:firstLineChars="200"/>
        <w:rPr>
          <w:rFonts w:ascii="宋体" w:hAnsi="宋体"/>
          <w:szCs w:val="21"/>
        </w:rPr>
      </w:pPr>
      <w:r>
        <w:rPr>
          <w:rFonts w:ascii="宋体" w:hAnsi="宋体"/>
          <w:szCs w:val="21"/>
        </w:rPr>
        <w:t>5.3.2</w:t>
      </w:r>
      <w:r>
        <w:rPr>
          <w:rFonts w:hint="eastAsia" w:ascii="宋体" w:hAnsi="宋体"/>
          <w:szCs w:val="21"/>
        </w:rPr>
        <w:t>承包人</w:t>
      </w:r>
      <w:r>
        <w:rPr>
          <w:rFonts w:ascii="宋体" w:hAnsi="宋体"/>
          <w:szCs w:val="21"/>
        </w:rPr>
        <w:t>提前通知监理人隐蔽工程检查的期限的约定：</w:t>
      </w:r>
      <w:r>
        <w:rPr>
          <w:rFonts w:hint="eastAsia" w:ascii="宋体" w:hAnsi="宋体"/>
          <w:b/>
          <w:szCs w:val="21"/>
          <w:u w:val="single"/>
        </w:rPr>
        <w:t>共同检查前48小时书面通知监理人</w:t>
      </w:r>
      <w:r>
        <w:rPr>
          <w:rFonts w:hint="eastAsia" w:ascii="宋体" w:hAnsi="宋体"/>
          <w:szCs w:val="21"/>
        </w:rPr>
        <w:t>。</w:t>
      </w:r>
    </w:p>
    <w:p>
      <w:pPr>
        <w:spacing w:line="440" w:lineRule="exact"/>
        <w:ind w:firstLine="420" w:firstLineChars="200"/>
        <w:jc w:val="left"/>
        <w:rPr>
          <w:rFonts w:ascii="宋体" w:hAnsi="宋体"/>
          <w:szCs w:val="21"/>
        </w:rPr>
      </w:pPr>
      <w:r>
        <w:rPr>
          <w:rFonts w:ascii="宋体" w:hAnsi="宋体"/>
          <w:szCs w:val="21"/>
        </w:rPr>
        <w:t>监理人不能按时进行检查时，应提前</w:t>
      </w:r>
      <w:r>
        <w:rPr>
          <w:rFonts w:hint="eastAsia" w:ascii="宋体" w:hAnsi="宋体"/>
          <w:szCs w:val="21"/>
          <w:u w:val="single"/>
        </w:rPr>
        <w:t>/</w:t>
      </w:r>
      <w:r>
        <w:rPr>
          <w:rFonts w:ascii="宋体" w:hAnsi="宋体"/>
          <w:szCs w:val="21"/>
        </w:rPr>
        <w:t>小时提交书面延期要求。</w:t>
      </w:r>
    </w:p>
    <w:p>
      <w:pPr>
        <w:spacing w:line="440" w:lineRule="exact"/>
        <w:ind w:firstLine="420" w:firstLineChars="200"/>
        <w:jc w:val="left"/>
        <w:rPr>
          <w:rFonts w:ascii="宋体" w:hAnsi="宋体"/>
          <w:szCs w:val="21"/>
        </w:rPr>
      </w:pPr>
      <w:r>
        <w:rPr>
          <w:rFonts w:ascii="宋体" w:hAnsi="宋体"/>
          <w:szCs w:val="21"/>
        </w:rPr>
        <w:t>关于延期最长不得超过：</w:t>
      </w:r>
      <w:r>
        <w:rPr>
          <w:rFonts w:hint="eastAsia" w:ascii="宋体" w:hAnsi="宋体"/>
          <w:szCs w:val="21"/>
          <w:u w:val="single"/>
        </w:rPr>
        <w:t>/</w:t>
      </w:r>
      <w:r>
        <w:rPr>
          <w:rFonts w:ascii="宋体" w:hAnsi="宋体"/>
          <w:szCs w:val="21"/>
        </w:rPr>
        <w:t>小时。</w:t>
      </w:r>
    </w:p>
    <w:p>
      <w:pPr>
        <w:pStyle w:val="7"/>
        <w:spacing w:before="120" w:after="120" w:line="440" w:lineRule="exact"/>
        <w:rPr>
          <w:rFonts w:ascii="宋体" w:hAnsi="宋体"/>
          <w:szCs w:val="21"/>
        </w:rPr>
      </w:pPr>
      <w:bookmarkStart w:id="177" w:name="_Toc351203638"/>
      <w:r>
        <w:rPr>
          <w:rFonts w:ascii="宋体" w:hAnsi="宋体"/>
          <w:szCs w:val="21"/>
        </w:rPr>
        <w:t>6. 安全文明施工与环境保护</w:t>
      </w:r>
      <w:bookmarkEnd w:id="177"/>
    </w:p>
    <w:p>
      <w:pPr>
        <w:spacing w:line="440" w:lineRule="exact"/>
        <w:ind w:firstLine="420" w:firstLineChars="200"/>
        <w:rPr>
          <w:rFonts w:ascii="宋体" w:hAnsi="宋体"/>
          <w:szCs w:val="21"/>
        </w:rPr>
      </w:pPr>
      <w:r>
        <w:rPr>
          <w:rFonts w:ascii="宋体" w:hAnsi="宋体"/>
          <w:szCs w:val="21"/>
        </w:rPr>
        <w:t>6.1安全文明施工</w:t>
      </w:r>
    </w:p>
    <w:p>
      <w:pPr>
        <w:spacing w:line="440" w:lineRule="exact"/>
        <w:ind w:firstLine="420" w:firstLineChars="200"/>
        <w:rPr>
          <w:rFonts w:ascii="宋体" w:hAnsi="宋体"/>
          <w:szCs w:val="21"/>
        </w:rPr>
      </w:pPr>
      <w:r>
        <w:rPr>
          <w:rFonts w:hint="eastAsia" w:ascii="宋体" w:hAnsi="宋体"/>
          <w:szCs w:val="21"/>
        </w:rPr>
        <w:t>6.1.1 项目安全生产的达标目标及相应事项的约定：</w:t>
      </w:r>
    </w:p>
    <w:p>
      <w:pPr>
        <w:pStyle w:val="52"/>
        <w:spacing w:before="0" w:beforeAutospacing="0" w:after="0" w:afterAutospacing="0" w:line="460" w:lineRule="exact"/>
        <w:ind w:firstLine="420" w:firstLineChars="200"/>
        <w:rPr>
          <w:sz w:val="21"/>
          <w:szCs w:val="21"/>
          <w:u w:val="single"/>
        </w:rPr>
      </w:pPr>
      <w:r>
        <w:rPr>
          <w:rFonts w:hint="eastAsia"/>
          <w:bCs/>
          <w:sz w:val="21"/>
          <w:szCs w:val="21"/>
        </w:rPr>
        <w:t>（1）</w:t>
      </w:r>
      <w:r>
        <w:rPr>
          <w:rFonts w:hint="eastAsia"/>
          <w:sz w:val="21"/>
          <w:szCs w:val="21"/>
          <w:u w:val="single" w:color="000000"/>
        </w:rPr>
        <w:t>承包人须对本合同范围内所</w:t>
      </w:r>
      <w:r>
        <w:rPr>
          <w:rFonts w:hint="eastAsia"/>
          <w:sz w:val="21"/>
          <w:szCs w:val="21"/>
          <w:u w:val="single"/>
        </w:rPr>
        <w:t>有施工范</w:t>
      </w:r>
      <w:r>
        <w:rPr>
          <w:rFonts w:hint="eastAsia"/>
          <w:sz w:val="21"/>
          <w:szCs w:val="21"/>
          <w:u w:val="single" w:color="000000"/>
        </w:rPr>
        <w:t>围和施工人员负全部安全施工责</w:t>
      </w:r>
      <w:r>
        <w:rPr>
          <w:rFonts w:hint="eastAsia"/>
          <w:sz w:val="21"/>
          <w:szCs w:val="21"/>
          <w:u w:val="single"/>
        </w:rPr>
        <w:t>任。承包人应严格按</w:t>
      </w:r>
      <w:r>
        <w:rPr>
          <w:rFonts w:hint="eastAsia"/>
          <w:bCs/>
          <w:sz w:val="21"/>
          <w:szCs w:val="21"/>
          <w:u w:val="single"/>
        </w:rPr>
        <w:t>《建设工程安全生产管理条例》等法律、</w:t>
      </w:r>
      <w:r>
        <w:rPr>
          <w:rFonts w:hint="eastAsia"/>
          <w:sz w:val="21"/>
          <w:szCs w:val="21"/>
          <w:u w:val="single"/>
        </w:rPr>
        <w:t>工程建设安全生产地有关管理规定，采取安全措施组织施工。若发生安全事故，一切责任由承包方承担。</w:t>
      </w:r>
    </w:p>
    <w:p>
      <w:pPr>
        <w:pStyle w:val="52"/>
        <w:spacing w:before="0" w:beforeAutospacing="0" w:after="0" w:afterAutospacing="0" w:line="460" w:lineRule="exact"/>
        <w:ind w:firstLine="420" w:firstLineChars="200"/>
        <w:rPr>
          <w:bCs/>
          <w:sz w:val="21"/>
          <w:szCs w:val="21"/>
          <w:u w:val="single"/>
        </w:rPr>
      </w:pPr>
      <w:r>
        <w:rPr>
          <w:rFonts w:hint="eastAsia"/>
          <w:sz w:val="21"/>
          <w:szCs w:val="21"/>
        </w:rPr>
        <w:t>（2）</w:t>
      </w:r>
      <w:r>
        <w:rPr>
          <w:rFonts w:hint="eastAsia"/>
          <w:bCs/>
          <w:sz w:val="21"/>
          <w:szCs w:val="21"/>
          <w:u w:val="single"/>
        </w:rPr>
        <w:t>承包人对施工现场安全生产负总责，现场必须按要求配备安全员，安全员及特种作业人员应持证上岗，如发包人检查到承包人人员不到位的，则发包人有权按</w:t>
      </w:r>
      <w:r>
        <w:rPr>
          <w:bCs/>
          <w:sz w:val="21"/>
          <w:szCs w:val="21"/>
          <w:u w:val="single"/>
        </w:rPr>
        <w:t>1</w:t>
      </w:r>
      <w:r>
        <w:rPr>
          <w:rFonts w:hint="eastAsia"/>
          <w:bCs/>
          <w:sz w:val="21"/>
          <w:szCs w:val="21"/>
          <w:u w:val="single"/>
        </w:rPr>
        <w:t>000元/人·次计取违约金，从工程款中直接扣除。</w:t>
      </w:r>
    </w:p>
    <w:p>
      <w:pPr>
        <w:spacing w:line="440" w:lineRule="exact"/>
        <w:ind w:firstLine="420" w:firstLineChars="200"/>
        <w:rPr>
          <w:rFonts w:ascii="宋体" w:hAnsi="宋体"/>
          <w:bCs/>
          <w:szCs w:val="21"/>
          <w:u w:val="single"/>
        </w:rPr>
      </w:pPr>
      <w:r>
        <w:rPr>
          <w:rFonts w:hint="eastAsia" w:ascii="宋体" w:hAnsi="宋体"/>
          <w:bCs/>
          <w:szCs w:val="21"/>
        </w:rPr>
        <w:t>（3）</w:t>
      </w:r>
      <w:r>
        <w:rPr>
          <w:rFonts w:hint="eastAsia" w:ascii="宋体" w:hAnsi="宋体"/>
          <w:bCs/>
          <w:szCs w:val="21"/>
          <w:u w:val="single"/>
        </w:rPr>
        <w:t>工程施工前和施工中，承包人项目经理或技术负责人应当对有关安全施工技术进行交底； 承包人必须编制安全施工措施和施工现场临时用电、施工现场周边及主要通道的安全防护措施及其它有关法规要求的专项施工方案，专项施工方案必须经本单位技术负责人批准后，报发包人代表和现场监理批准后实施。</w:t>
      </w:r>
    </w:p>
    <w:p>
      <w:pPr>
        <w:spacing w:line="440" w:lineRule="exact"/>
        <w:ind w:firstLine="420" w:firstLineChars="200"/>
        <w:rPr>
          <w:rFonts w:ascii="宋体" w:hAnsi="宋体"/>
          <w:bCs/>
          <w:szCs w:val="21"/>
          <w:u w:val="single"/>
        </w:rPr>
      </w:pPr>
      <w:r>
        <w:rPr>
          <w:rFonts w:hint="eastAsia" w:ascii="宋体" w:hAnsi="宋体"/>
          <w:bCs/>
          <w:szCs w:val="21"/>
          <w:u w:val="single"/>
        </w:rPr>
        <w:t>工程施工前，承包人应根据法律、法规、规范、标准等要求，制定安全施工标准及要求，负责向施工作业班组、作业人员作出详细的说明，并由双方签字确认。</w:t>
      </w:r>
    </w:p>
    <w:p>
      <w:pPr>
        <w:spacing w:line="440" w:lineRule="exact"/>
        <w:ind w:firstLine="420" w:firstLineChars="200"/>
        <w:rPr>
          <w:rFonts w:ascii="宋体" w:hAnsi="宋体"/>
          <w:bCs/>
          <w:szCs w:val="21"/>
          <w:u w:val="single"/>
        </w:rPr>
      </w:pPr>
      <w:r>
        <w:rPr>
          <w:rFonts w:hint="eastAsia" w:ascii="宋体" w:hAnsi="宋体"/>
          <w:bCs/>
          <w:szCs w:val="21"/>
          <w:u w:val="single"/>
        </w:rPr>
        <w:t>工程施工前，承包人使用的安全防护用具、机械设备、施工机具及配件，应当具有生产（制造）许可证、产品合格证，并在进入施工现场前进行查验，经监理工程师签字确认后方可使用。</w:t>
      </w:r>
    </w:p>
    <w:p>
      <w:pPr>
        <w:spacing w:line="440" w:lineRule="exact"/>
        <w:ind w:firstLine="420" w:firstLineChars="200"/>
        <w:rPr>
          <w:rFonts w:ascii="宋体" w:hAnsi="宋体"/>
          <w:bCs/>
          <w:szCs w:val="21"/>
          <w:u w:val="single"/>
        </w:rPr>
      </w:pPr>
      <w:r>
        <w:rPr>
          <w:rFonts w:hint="eastAsia" w:ascii="宋体" w:hAnsi="宋体"/>
          <w:bCs/>
          <w:szCs w:val="21"/>
          <w:u w:val="single"/>
        </w:rPr>
        <w:t>特种作业人员，必须按照国家有关规定经过专门的安全作业培训，并取得特种作业操作资格证书后，方可上岗作业。</w:t>
      </w:r>
    </w:p>
    <w:p>
      <w:pPr>
        <w:spacing w:line="440" w:lineRule="exact"/>
        <w:ind w:firstLine="420" w:firstLineChars="200"/>
        <w:rPr>
          <w:rFonts w:ascii="宋体" w:hAnsi="宋体"/>
          <w:bCs/>
          <w:szCs w:val="21"/>
          <w:u w:val="single"/>
        </w:rPr>
      </w:pPr>
      <w:r>
        <w:rPr>
          <w:rFonts w:hint="eastAsia" w:ascii="宋体" w:hAnsi="宋体"/>
          <w:bCs/>
          <w:szCs w:val="21"/>
          <w:u w:val="single"/>
        </w:rPr>
        <w:t>未能达到上述（1）-（3）条要求，发包人有权扣除承包人履约保证金的5%-10%。</w:t>
      </w:r>
    </w:p>
    <w:p>
      <w:pPr>
        <w:spacing w:line="440" w:lineRule="exact"/>
        <w:ind w:firstLine="420" w:firstLineChars="200"/>
        <w:rPr>
          <w:rFonts w:ascii="宋体" w:hAnsi="宋体"/>
          <w:bCs/>
          <w:szCs w:val="21"/>
          <w:u w:val="single"/>
        </w:rPr>
      </w:pPr>
      <w:r>
        <w:rPr>
          <w:rFonts w:hint="eastAsia" w:ascii="宋体" w:hAnsi="宋体"/>
          <w:bCs/>
          <w:szCs w:val="21"/>
          <w:u w:val="single"/>
        </w:rPr>
        <w:t>（4）承包人应严格按《建设工程安全生产管理条例》等法律、法规采取安全措施、组织</w:t>
      </w:r>
    </w:p>
    <w:p>
      <w:pPr>
        <w:spacing w:line="440" w:lineRule="exact"/>
        <w:ind w:firstLine="420" w:firstLineChars="200"/>
        <w:rPr>
          <w:rFonts w:ascii="宋体" w:hAnsi="宋体"/>
          <w:bCs/>
          <w:szCs w:val="21"/>
          <w:u w:val="single"/>
        </w:rPr>
      </w:pPr>
      <w:r>
        <w:rPr>
          <w:rFonts w:hint="eastAsia" w:ascii="宋体" w:hAnsi="宋体"/>
          <w:bCs/>
          <w:szCs w:val="21"/>
          <w:u w:val="single"/>
        </w:rPr>
        <w:t>（5）建立安全制度、安全检查制度、安全教育制度、工地班前活动制度、文明施工检查制度。满足江苏省、南通市等安监部门安全文明生产的要求，做好安全技术教育及交底，落实所有安全技术措施和人身防护用品。</w:t>
      </w:r>
    </w:p>
    <w:p>
      <w:pPr>
        <w:spacing w:line="440" w:lineRule="exact"/>
        <w:ind w:firstLine="420" w:firstLineChars="200"/>
        <w:rPr>
          <w:rFonts w:ascii="宋体" w:hAnsi="宋体"/>
          <w:bCs/>
          <w:color w:val="000000"/>
          <w:szCs w:val="21"/>
        </w:rPr>
      </w:pPr>
      <w:r>
        <w:rPr>
          <w:rFonts w:hint="eastAsia" w:ascii="宋体" w:hAnsi="宋体"/>
          <w:bCs/>
          <w:szCs w:val="21"/>
          <w:u w:val="single"/>
        </w:rPr>
        <w:t>（6）</w:t>
      </w:r>
      <w:r>
        <w:rPr>
          <w:rFonts w:hint="eastAsia" w:ascii="宋体" w:hAnsi="宋体"/>
          <w:b/>
          <w:szCs w:val="21"/>
          <w:u w:val="single"/>
        </w:rPr>
        <w:t>凡</w:t>
      </w:r>
      <w:r>
        <w:rPr>
          <w:rFonts w:hint="eastAsia" w:ascii="宋体" w:hAnsi="宋体"/>
          <w:b/>
          <w:bCs/>
          <w:color w:val="000000"/>
          <w:szCs w:val="21"/>
          <w:u w:val="single"/>
        </w:rPr>
        <w:t>在施工期间，由于承包人原因造成的事故，除根据事故的严重程度或等级扣除部分或全部安全文明施工履约保证金外，还需承担全部责任及由此引起的一切费用，发包人不承担任何责任。</w:t>
      </w:r>
    </w:p>
    <w:p>
      <w:pPr>
        <w:spacing w:line="440" w:lineRule="exact"/>
        <w:ind w:firstLine="525" w:firstLineChars="250"/>
        <w:jc w:val="left"/>
        <w:rPr>
          <w:rFonts w:ascii="宋体" w:hAnsi="宋体"/>
          <w:szCs w:val="21"/>
        </w:rPr>
      </w:pPr>
      <w:r>
        <w:rPr>
          <w:rFonts w:hint="eastAsia" w:ascii="宋体" w:hAnsi="宋体"/>
          <w:szCs w:val="21"/>
        </w:rPr>
        <w:t>6.1.4 关于治安保卫的特别约定：</w:t>
      </w:r>
      <w:r>
        <w:rPr>
          <w:rFonts w:hint="eastAsia" w:ascii="宋体" w:hAnsi="宋体"/>
          <w:bCs/>
          <w:szCs w:val="21"/>
          <w:u w:val="single"/>
        </w:rPr>
        <w:t>施工期间承包人按发包人要求做好成品保护工作；发包人另行发包的工程每项工程完成后，经发包方、总承包方、分包方三方验收合格后，交总承包方负责总包管理</w:t>
      </w:r>
      <w:r>
        <w:rPr>
          <w:rFonts w:hint="eastAsia" w:ascii="宋体" w:hAnsi="宋体"/>
          <w:szCs w:val="21"/>
        </w:rPr>
        <w:t>。</w:t>
      </w:r>
    </w:p>
    <w:p>
      <w:pPr>
        <w:spacing w:line="440" w:lineRule="exact"/>
        <w:ind w:left="479" w:leftChars="228"/>
        <w:jc w:val="left"/>
        <w:rPr>
          <w:rFonts w:ascii="宋体" w:hAnsi="宋体"/>
          <w:b/>
          <w:spacing w:val="-7"/>
          <w:szCs w:val="21"/>
          <w:u w:val="single"/>
        </w:rPr>
      </w:pPr>
      <w:r>
        <w:rPr>
          <w:rFonts w:hint="eastAsia" w:ascii="宋体" w:hAnsi="宋体"/>
          <w:szCs w:val="21"/>
        </w:rPr>
        <w:t>关于编制施工场地治安管理计划的约定：</w:t>
      </w:r>
      <w:r>
        <w:rPr>
          <w:rFonts w:hint="eastAsia" w:ascii="宋体" w:hAnsi="宋体"/>
          <w:b/>
          <w:szCs w:val="21"/>
          <w:u w:val="single"/>
        </w:rPr>
        <w:t>开</w:t>
      </w:r>
      <w:r>
        <w:rPr>
          <w:rFonts w:hint="eastAsia" w:ascii="宋体" w:hAnsi="宋体"/>
          <w:b/>
          <w:spacing w:val="-7"/>
          <w:szCs w:val="21"/>
          <w:u w:val="single"/>
        </w:rPr>
        <w:t>工前三天提供施工场地治安管理计划。</w:t>
      </w:r>
    </w:p>
    <w:p>
      <w:pPr>
        <w:spacing w:line="440" w:lineRule="exact"/>
        <w:ind w:left="479" w:leftChars="228"/>
        <w:jc w:val="left"/>
        <w:rPr>
          <w:rFonts w:ascii="宋体" w:hAnsi="宋体"/>
          <w:szCs w:val="21"/>
        </w:rPr>
      </w:pPr>
      <w:r>
        <w:rPr>
          <w:rFonts w:hint="eastAsia" w:ascii="宋体" w:hAnsi="宋体"/>
          <w:szCs w:val="21"/>
        </w:rPr>
        <w:t>6.1.5 文明施工</w:t>
      </w:r>
    </w:p>
    <w:p>
      <w:pPr>
        <w:autoSpaceDE w:val="0"/>
        <w:autoSpaceDN w:val="0"/>
        <w:adjustRightInd w:val="0"/>
        <w:spacing w:line="440" w:lineRule="exact"/>
        <w:ind w:firstLine="420" w:firstLineChars="200"/>
        <w:rPr>
          <w:rFonts w:ascii="宋体" w:hAnsi="宋体"/>
          <w:bCs/>
          <w:szCs w:val="21"/>
          <w:u w:val="single"/>
        </w:rPr>
      </w:pPr>
      <w:r>
        <w:rPr>
          <w:rFonts w:hint="eastAsia" w:ascii="宋体" w:hAnsi="宋体"/>
          <w:szCs w:val="21"/>
        </w:rPr>
        <w:t>合同当事人对文明施工的要求：</w:t>
      </w:r>
      <w:r>
        <w:rPr>
          <w:rFonts w:hint="eastAsia" w:ascii="宋体" w:hAnsi="宋体"/>
          <w:bCs/>
          <w:szCs w:val="21"/>
          <w:u w:val="single"/>
        </w:rPr>
        <w:t>承包人必须按照市级标化工地标准和要求，施工现场的材料堆放要整齐，机械停放有序，做到工完料清；遵守环境卫生管理的有关规定，符合清洁卫生要求，承担因自身原因违反有关规定造成的损失和罚款；定期地将所有建筑垃圾从施工场地清除，并运出场外；交工前，将所有剩余的建筑材料运走或运至指定地点堆放，将所有施工机械和设备从施工场地运走。做好场地清理及相关工作。上述费用包含在合同价中。未能达到上述要求发包人有权扣除部分履约保证金。若承包人现场施工作业面、办公区、生活区内清洁卫生满足不了文明施工要求，发包人有权安排其它单位或个人打扫，按具体发生费用的2倍及以上由承包人缴纳至发包人指定账户或从其工程款中扣除。承包人必须服从发包人现场的统一管理和协调，做到文明施工。施工现场要设立标语、标牌，做到文明施工，树立企业形象，主动接受社会监督和有关部门的管理 。</w:t>
      </w:r>
    </w:p>
    <w:p>
      <w:pPr>
        <w:spacing w:line="440" w:lineRule="exact"/>
        <w:ind w:firstLine="459"/>
        <w:rPr>
          <w:rFonts w:ascii="宋体" w:hAnsi="宋体"/>
          <w:szCs w:val="21"/>
        </w:rPr>
      </w:pPr>
      <w:r>
        <w:rPr>
          <w:rFonts w:hint="eastAsia" w:ascii="宋体" w:hAnsi="宋体"/>
          <w:szCs w:val="21"/>
        </w:rPr>
        <w:t>6.1.6 关于安全文明施工费支付比例和支付期限的约定：</w:t>
      </w:r>
      <w:r>
        <w:rPr>
          <w:rFonts w:hint="eastAsia" w:ascii="宋体" w:hAnsi="宋体"/>
          <w:szCs w:val="21"/>
          <w:u w:val="single"/>
        </w:rPr>
        <w:t xml:space="preserve"> 无  </w:t>
      </w:r>
      <w:r>
        <w:rPr>
          <w:rFonts w:ascii="宋体" w:hAnsi="宋体"/>
          <w:szCs w:val="21"/>
        </w:rPr>
        <w:t>。</w:t>
      </w:r>
    </w:p>
    <w:p>
      <w:pPr>
        <w:spacing w:line="440" w:lineRule="exact"/>
        <w:ind w:left="479" w:leftChars="228"/>
        <w:jc w:val="left"/>
        <w:rPr>
          <w:rFonts w:ascii="宋体" w:hAnsi="宋体"/>
          <w:szCs w:val="21"/>
        </w:rPr>
      </w:pPr>
      <w:r>
        <w:rPr>
          <w:rFonts w:hint="eastAsia" w:ascii="宋体" w:hAnsi="宋体"/>
          <w:szCs w:val="21"/>
        </w:rPr>
        <w:t>6.1.9安全生产责任</w:t>
      </w:r>
    </w:p>
    <w:p>
      <w:pPr>
        <w:spacing w:line="440" w:lineRule="exact"/>
        <w:ind w:firstLine="420" w:firstLineChars="200"/>
        <w:jc w:val="left"/>
        <w:rPr>
          <w:rFonts w:ascii="宋体" w:hAnsi="宋体" w:cs="Arial"/>
          <w:kern w:val="0"/>
          <w:szCs w:val="21"/>
          <w:u w:val="single"/>
        </w:rPr>
      </w:pPr>
      <w:r>
        <w:rPr>
          <w:rFonts w:hint="eastAsia" w:ascii="宋体" w:hAnsi="宋体"/>
          <w:szCs w:val="21"/>
          <w:u w:val="single"/>
        </w:rPr>
        <w:t>承包</w:t>
      </w:r>
      <w:r>
        <w:rPr>
          <w:rFonts w:hint="eastAsia" w:ascii="宋体" w:hAnsi="宋体" w:cs="Arial"/>
          <w:kern w:val="0"/>
          <w:szCs w:val="21"/>
          <w:u w:val="single"/>
        </w:rPr>
        <w:t>人应严格按《建设工程安全生产管理条例》等法律、法规采取安全措施、组织施工，承包人须对本合同范围内所有施工范围和施工人员负全部安全施工责任。承包人应严格按工程建设安全生产地有关管理规定，采取安全措施组织施工。若发生安全事故，一切责任由承包方承担。</w:t>
      </w:r>
    </w:p>
    <w:p>
      <w:pPr>
        <w:spacing w:line="440" w:lineRule="exact"/>
        <w:ind w:firstLine="459"/>
        <w:rPr>
          <w:rFonts w:ascii="宋体" w:hAnsi="宋体" w:cs="Arial"/>
          <w:kern w:val="0"/>
          <w:szCs w:val="21"/>
          <w:u w:val="single"/>
        </w:rPr>
      </w:pPr>
      <w:r>
        <w:rPr>
          <w:rFonts w:hint="eastAsia" w:ascii="宋体" w:hAnsi="宋体" w:cs="Arial"/>
          <w:kern w:val="0"/>
          <w:szCs w:val="21"/>
          <w:u w:val="single"/>
        </w:rPr>
        <w:t>承包人对因工程施工可能造成损害的毗邻建筑物、构筑物和地下管线等，应当采取专项防护措施。承包人应当遵守有关环境保护法律、法规的规定，在施工现场采取措施，防止或减少粉尘、废气、废水、固体废物、噪声、振动和施工照明对人和环境的危害和污染。</w:t>
      </w:r>
    </w:p>
    <w:p>
      <w:pPr>
        <w:spacing w:line="440" w:lineRule="exact"/>
        <w:ind w:firstLine="459"/>
        <w:rPr>
          <w:rFonts w:ascii="宋体" w:hAnsi="宋体" w:cs="Arial"/>
          <w:kern w:val="0"/>
          <w:szCs w:val="21"/>
          <w:u w:val="single"/>
        </w:rPr>
      </w:pPr>
      <w:r>
        <w:rPr>
          <w:rFonts w:hint="eastAsia" w:ascii="宋体" w:hAnsi="宋体" w:cs="Arial"/>
          <w:kern w:val="0"/>
          <w:szCs w:val="21"/>
          <w:u w:val="single"/>
        </w:rPr>
        <w:t>承包人必须建立完善的消防管理制度，并有专人负责现场的消防管理，施工现场须配备足够的消防器材，满足消防要求。承包人应当在施工现场建立消防安全责任制，确定消防安全责任人，制定用火、用电，使用易燃易爆材料等各项消防安全管理制度和操作规程，设置消防通道、消防水源，配备消防设施和灭火器材，并在施工现场设置明显标志。</w:t>
      </w:r>
    </w:p>
    <w:bookmarkEnd w:id="170"/>
    <w:bookmarkEnd w:id="171"/>
    <w:bookmarkEnd w:id="172"/>
    <w:bookmarkEnd w:id="173"/>
    <w:bookmarkEnd w:id="174"/>
    <w:bookmarkEnd w:id="175"/>
    <w:bookmarkEnd w:id="176"/>
    <w:p>
      <w:pPr>
        <w:pStyle w:val="7"/>
        <w:spacing w:before="120" w:after="120" w:line="440" w:lineRule="exact"/>
        <w:rPr>
          <w:rFonts w:ascii="宋体" w:hAnsi="宋体"/>
          <w:szCs w:val="21"/>
        </w:rPr>
      </w:pPr>
      <w:bookmarkStart w:id="178" w:name="_Toc351203639"/>
      <w:r>
        <w:rPr>
          <w:rFonts w:ascii="宋体" w:hAnsi="宋体"/>
          <w:szCs w:val="21"/>
        </w:rPr>
        <w:t>7. 工期和进</w:t>
      </w:r>
      <w:r>
        <w:rPr>
          <w:rFonts w:hint="eastAsia" w:ascii="宋体" w:hAnsi="宋体"/>
          <w:szCs w:val="21"/>
        </w:rPr>
        <w:t>度</w:t>
      </w:r>
      <w:bookmarkEnd w:id="178"/>
    </w:p>
    <w:p>
      <w:pPr>
        <w:spacing w:line="440" w:lineRule="exact"/>
        <w:ind w:firstLine="459"/>
        <w:rPr>
          <w:rFonts w:ascii="宋体" w:hAnsi="宋体"/>
          <w:szCs w:val="21"/>
        </w:rPr>
      </w:pPr>
      <w:r>
        <w:rPr>
          <w:rFonts w:hint="eastAsia" w:ascii="宋体" w:hAnsi="宋体"/>
          <w:szCs w:val="21"/>
        </w:rPr>
        <w:t>7.1 施工组织设计</w:t>
      </w:r>
    </w:p>
    <w:p>
      <w:pPr>
        <w:spacing w:line="440" w:lineRule="exact"/>
        <w:ind w:firstLine="459"/>
        <w:rPr>
          <w:rFonts w:ascii="宋体" w:hAnsi="宋体"/>
          <w:b/>
          <w:bCs/>
          <w:szCs w:val="21"/>
          <w:u w:val="single"/>
        </w:rPr>
      </w:pPr>
      <w:r>
        <w:rPr>
          <w:rFonts w:hint="eastAsia" w:ascii="宋体" w:hAnsi="宋体"/>
          <w:szCs w:val="21"/>
        </w:rPr>
        <w:t>7.1.1 合</w:t>
      </w:r>
      <w:r>
        <w:rPr>
          <w:rFonts w:hint="eastAsia" w:ascii="宋体" w:hAnsi="宋体"/>
          <w:kern w:val="0"/>
          <w:szCs w:val="21"/>
        </w:rPr>
        <w:t>同当事人约定的</w:t>
      </w:r>
      <w:r>
        <w:rPr>
          <w:rFonts w:ascii="宋体" w:hAnsi="宋体"/>
          <w:kern w:val="0"/>
          <w:szCs w:val="21"/>
        </w:rPr>
        <w:t>施工组织设计</w:t>
      </w:r>
      <w:r>
        <w:rPr>
          <w:rFonts w:hint="eastAsia" w:ascii="宋体" w:hAnsi="宋体"/>
          <w:kern w:val="0"/>
          <w:szCs w:val="21"/>
        </w:rPr>
        <w:t>应包括的其他内容</w:t>
      </w:r>
      <w:r>
        <w:rPr>
          <w:rFonts w:ascii="宋体" w:hAnsi="宋体"/>
          <w:kern w:val="0"/>
          <w:szCs w:val="21"/>
        </w:rPr>
        <w:t>：</w:t>
      </w:r>
      <w:r>
        <w:rPr>
          <w:rFonts w:hint="eastAsia" w:ascii="宋体" w:hAnsi="宋体"/>
          <w:b/>
          <w:spacing w:val="-2"/>
          <w:kern w:val="0"/>
          <w:szCs w:val="21"/>
          <w:u w:val="single"/>
        </w:rPr>
        <w:t>承包人</w:t>
      </w:r>
      <w:r>
        <w:rPr>
          <w:rFonts w:hint="eastAsia" w:ascii="宋体" w:hAnsi="宋体"/>
          <w:b/>
          <w:spacing w:val="-2"/>
          <w:szCs w:val="21"/>
          <w:u w:val="single"/>
        </w:rPr>
        <w:t>在开工前必须提交详细的施工组织设计，报发包人及总监审批，施工组织设计经发包人及监理认可后</w:t>
      </w:r>
      <w:r>
        <w:rPr>
          <w:rFonts w:hint="eastAsia" w:ascii="宋体" w:hAnsi="宋体"/>
          <w:b/>
          <w:spacing w:val="-2"/>
          <w:kern w:val="0"/>
          <w:szCs w:val="21"/>
          <w:u w:val="single"/>
        </w:rPr>
        <w:t>方可</w:t>
      </w:r>
      <w:r>
        <w:rPr>
          <w:rFonts w:hint="eastAsia" w:ascii="宋体" w:hAnsi="宋体"/>
          <w:b/>
          <w:bCs/>
          <w:szCs w:val="21"/>
          <w:u w:val="single"/>
        </w:rPr>
        <w:t>开工。施工组织设计将作为工程款支付的参考依据之一  。</w:t>
      </w:r>
    </w:p>
    <w:p>
      <w:pPr>
        <w:spacing w:line="440" w:lineRule="exact"/>
        <w:ind w:firstLine="420" w:firstLineChars="200"/>
        <w:rPr>
          <w:rFonts w:ascii="宋体" w:hAnsi="宋体"/>
          <w:szCs w:val="21"/>
        </w:rPr>
      </w:pPr>
      <w:r>
        <w:rPr>
          <w:rFonts w:hint="eastAsia" w:ascii="宋体" w:hAnsi="宋体"/>
          <w:szCs w:val="21"/>
        </w:rPr>
        <w:t>7.1.2 施工组织设计的提交和修改</w:t>
      </w:r>
    </w:p>
    <w:p>
      <w:pPr>
        <w:spacing w:line="440" w:lineRule="exact"/>
        <w:ind w:firstLine="420" w:firstLineChars="200"/>
        <w:rPr>
          <w:rFonts w:ascii="宋体" w:hAnsi="宋体"/>
          <w:szCs w:val="21"/>
          <w:u w:val="single"/>
        </w:rPr>
      </w:pPr>
      <w:r>
        <w:rPr>
          <w:rFonts w:hint="eastAsia" w:ascii="宋体" w:hAnsi="宋体"/>
          <w:szCs w:val="21"/>
        </w:rPr>
        <w:t>承包</w:t>
      </w:r>
      <w:r>
        <w:rPr>
          <w:rFonts w:hint="eastAsia" w:ascii="宋体" w:hAnsi="宋体"/>
          <w:kern w:val="0"/>
          <w:szCs w:val="21"/>
        </w:rPr>
        <w:t>人</w:t>
      </w:r>
      <w:r>
        <w:rPr>
          <w:rFonts w:ascii="宋体" w:hAnsi="宋体"/>
          <w:kern w:val="0"/>
          <w:szCs w:val="21"/>
        </w:rPr>
        <w:t>提交详细施工组织设计的期限的约定：</w:t>
      </w:r>
      <w:r>
        <w:rPr>
          <w:rFonts w:hint="eastAsia" w:ascii="宋体" w:hAnsi="宋体"/>
          <w:b/>
          <w:szCs w:val="21"/>
          <w:u w:val="single"/>
        </w:rPr>
        <w:t>开工前3天</w:t>
      </w:r>
      <w:r>
        <w:rPr>
          <w:rFonts w:hint="eastAsia" w:ascii="宋体" w:hAnsi="宋体"/>
          <w:szCs w:val="21"/>
          <w:u w:val="single"/>
        </w:rPr>
        <w:t>。</w:t>
      </w:r>
    </w:p>
    <w:p>
      <w:pPr>
        <w:spacing w:line="440" w:lineRule="exact"/>
        <w:ind w:firstLine="420" w:firstLineChars="200"/>
        <w:rPr>
          <w:rFonts w:ascii="宋体" w:hAnsi="宋体"/>
          <w:szCs w:val="21"/>
        </w:rPr>
      </w:pPr>
      <w:r>
        <w:rPr>
          <w:rFonts w:hint="eastAsia" w:ascii="宋体" w:hAnsi="宋体"/>
          <w:szCs w:val="21"/>
        </w:rPr>
        <w:t>承包人编制的进度计划中应明确各分部完成的具体时间，关键线路，劳动力动态变化图等。发包人或监理每天记录施工人数，实际施工人数小于计划人数时，承包人按所缺人数向发包人支付违约金5</w:t>
      </w:r>
      <w:r>
        <w:rPr>
          <w:rFonts w:ascii="宋体" w:hAnsi="宋体"/>
          <w:szCs w:val="21"/>
        </w:rPr>
        <w:t>00</w:t>
      </w:r>
      <w:r>
        <w:rPr>
          <w:rFonts w:hint="eastAsia" w:ascii="宋体" w:hAnsi="宋体"/>
          <w:szCs w:val="21"/>
        </w:rPr>
        <w:t>元</w:t>
      </w:r>
      <w:r>
        <w:rPr>
          <w:rFonts w:ascii="宋体" w:hAnsi="宋体"/>
          <w:szCs w:val="21"/>
        </w:rPr>
        <w:t>/</w:t>
      </w:r>
      <w:r>
        <w:rPr>
          <w:rFonts w:hint="eastAsia" w:ascii="宋体" w:hAnsi="宋体"/>
          <w:szCs w:val="21"/>
        </w:rPr>
        <w:t>人·天。</w:t>
      </w:r>
    </w:p>
    <w:p>
      <w:pPr>
        <w:spacing w:line="480" w:lineRule="exact"/>
        <w:ind w:firstLine="420" w:firstLineChars="200"/>
        <w:jc w:val="left"/>
        <w:rPr>
          <w:rFonts w:ascii="宋体" w:hAnsi="宋体"/>
          <w:szCs w:val="21"/>
          <w:u w:val="single"/>
        </w:rPr>
      </w:pPr>
      <w:r>
        <w:rPr>
          <w:rFonts w:ascii="宋体" w:hAnsi="宋体"/>
          <w:szCs w:val="21"/>
        </w:rPr>
        <w:t>发包人和监理人在收到</w:t>
      </w:r>
      <w:r>
        <w:rPr>
          <w:rFonts w:hint="eastAsia" w:ascii="宋体" w:hAnsi="宋体"/>
          <w:szCs w:val="21"/>
        </w:rPr>
        <w:t>详细的施工组织设计</w:t>
      </w:r>
      <w:r>
        <w:rPr>
          <w:rFonts w:ascii="宋体" w:hAnsi="宋体"/>
          <w:szCs w:val="21"/>
        </w:rPr>
        <w:t>后确认或提出修改意见的期限：</w:t>
      </w:r>
      <w:r>
        <w:rPr>
          <w:rFonts w:hint="eastAsia" w:ascii="宋体" w:hAnsi="宋体"/>
          <w:b/>
          <w:szCs w:val="21"/>
          <w:u w:val="single"/>
        </w:rPr>
        <w:t>收</w:t>
      </w:r>
      <w:r>
        <w:rPr>
          <w:rFonts w:hint="eastAsia" w:ascii="宋体" w:hAnsi="宋体"/>
          <w:szCs w:val="21"/>
          <w:u w:val="single"/>
        </w:rPr>
        <w:t>到后3天内</w:t>
      </w:r>
      <w:r>
        <w:rPr>
          <w:rFonts w:ascii="宋体" w:hAnsi="宋体"/>
          <w:szCs w:val="21"/>
          <w:u w:val="single"/>
        </w:rPr>
        <w:t xml:space="preserve"> 。</w:t>
      </w:r>
    </w:p>
    <w:p>
      <w:pPr>
        <w:spacing w:line="440" w:lineRule="exact"/>
        <w:ind w:firstLine="420" w:firstLineChars="200"/>
        <w:rPr>
          <w:rFonts w:ascii="宋体" w:hAnsi="宋体"/>
          <w:szCs w:val="21"/>
        </w:rPr>
      </w:pPr>
      <w:r>
        <w:rPr>
          <w:rFonts w:ascii="宋体" w:hAnsi="宋体"/>
          <w:szCs w:val="21"/>
        </w:rPr>
        <w:t>7</w:t>
      </w:r>
      <w:bookmarkStart w:id="179" w:name="_Toc304295541"/>
      <w:bookmarkStart w:id="180" w:name="_Toc297216173"/>
      <w:bookmarkStart w:id="181" w:name="_Toc312678005"/>
      <w:bookmarkStart w:id="182" w:name="_Toc297123514"/>
      <w:bookmarkStart w:id="183" w:name="_Toc303539123"/>
      <w:bookmarkStart w:id="184" w:name="_Toc312677479"/>
      <w:bookmarkStart w:id="185" w:name="_Toc300934966"/>
      <w:r>
        <w:rPr>
          <w:rFonts w:ascii="宋体" w:hAnsi="宋体"/>
          <w:szCs w:val="21"/>
        </w:rPr>
        <w:t>.2 施工进度计划</w:t>
      </w:r>
    </w:p>
    <w:p>
      <w:pPr>
        <w:spacing w:line="440" w:lineRule="exact"/>
        <w:ind w:firstLine="420" w:firstLineChars="200"/>
        <w:jc w:val="left"/>
        <w:rPr>
          <w:rFonts w:ascii="宋体" w:hAnsi="宋体"/>
          <w:szCs w:val="21"/>
        </w:rPr>
      </w:pPr>
      <w:r>
        <w:rPr>
          <w:rFonts w:ascii="宋体" w:hAnsi="宋体"/>
          <w:szCs w:val="21"/>
        </w:rPr>
        <w:t>7.2.2 施工进度计划的修订</w:t>
      </w:r>
    </w:p>
    <w:p>
      <w:pPr>
        <w:spacing w:line="440" w:lineRule="exact"/>
        <w:ind w:firstLine="420" w:firstLineChars="200"/>
        <w:rPr>
          <w:rFonts w:ascii="宋体" w:hAnsi="宋体"/>
          <w:szCs w:val="21"/>
          <w:u w:val="single"/>
        </w:rPr>
      </w:pPr>
      <w:r>
        <w:rPr>
          <w:rFonts w:ascii="宋体" w:hAnsi="宋体"/>
          <w:szCs w:val="21"/>
        </w:rPr>
        <w:t>发包人和监理人在收到修订的施工进度计划后确认或提出修改意见的期限：</w:t>
      </w:r>
      <w:r>
        <w:rPr>
          <w:rFonts w:hint="eastAsia" w:ascii="宋体" w:hAnsi="宋体"/>
          <w:szCs w:val="21"/>
          <w:u w:val="single"/>
        </w:rPr>
        <w:t>收到施工组织设计（施工方案）和进度计划后</w:t>
      </w:r>
      <w:r>
        <w:rPr>
          <w:rFonts w:ascii="宋体" w:hAnsi="宋体"/>
          <w:szCs w:val="21"/>
          <w:u w:val="single"/>
        </w:rPr>
        <w:t>3</w:t>
      </w:r>
      <w:r>
        <w:rPr>
          <w:rFonts w:hint="eastAsia" w:ascii="宋体" w:hAnsi="宋体"/>
          <w:szCs w:val="21"/>
          <w:u w:val="single"/>
        </w:rPr>
        <w:t>日内予以确认或提出修改意见，逾期视为已确认。</w:t>
      </w:r>
    </w:p>
    <w:p>
      <w:pPr>
        <w:spacing w:line="440" w:lineRule="exact"/>
        <w:ind w:firstLine="420" w:firstLineChars="200"/>
        <w:rPr>
          <w:rFonts w:ascii="宋体" w:hAnsi="宋体"/>
          <w:szCs w:val="21"/>
        </w:rPr>
      </w:pPr>
      <w:r>
        <w:rPr>
          <w:rFonts w:ascii="宋体" w:hAnsi="宋体"/>
          <w:szCs w:val="21"/>
        </w:rPr>
        <w:t>7.3 开工</w:t>
      </w:r>
    </w:p>
    <w:p>
      <w:pPr>
        <w:spacing w:line="440" w:lineRule="exact"/>
        <w:ind w:firstLine="420" w:firstLineChars="200"/>
        <w:rPr>
          <w:rFonts w:ascii="宋体" w:hAnsi="宋体"/>
          <w:szCs w:val="21"/>
        </w:rPr>
      </w:pPr>
      <w:r>
        <w:rPr>
          <w:rFonts w:ascii="宋体" w:hAnsi="宋体"/>
          <w:szCs w:val="21"/>
        </w:rPr>
        <w:t>7.3.1 开工准备</w:t>
      </w:r>
    </w:p>
    <w:p>
      <w:pPr>
        <w:spacing w:line="440" w:lineRule="exact"/>
        <w:ind w:firstLine="420" w:firstLineChars="200"/>
        <w:rPr>
          <w:rFonts w:ascii="宋体" w:hAnsi="宋体"/>
          <w:szCs w:val="21"/>
          <w:u w:val="single"/>
        </w:rPr>
      </w:pPr>
      <w:r>
        <w:rPr>
          <w:rFonts w:ascii="宋体" w:hAnsi="宋体"/>
          <w:szCs w:val="21"/>
        </w:rPr>
        <w:t>关于</w:t>
      </w:r>
      <w:r>
        <w:rPr>
          <w:rFonts w:hint="eastAsia" w:ascii="宋体" w:hAnsi="宋体"/>
          <w:szCs w:val="21"/>
        </w:rPr>
        <w:t>承包人</w:t>
      </w:r>
      <w:r>
        <w:rPr>
          <w:rFonts w:ascii="宋体" w:hAnsi="宋体"/>
          <w:szCs w:val="21"/>
        </w:rPr>
        <w:t>提交</w:t>
      </w:r>
      <w:r>
        <w:rPr>
          <w:rFonts w:ascii="宋体" w:hAnsi="宋体"/>
          <w:kern w:val="0"/>
          <w:szCs w:val="21"/>
        </w:rPr>
        <w:t>工程开工报审表的期限：</w:t>
      </w:r>
      <w:r>
        <w:rPr>
          <w:rFonts w:hint="eastAsia" w:ascii="宋体" w:hAnsi="宋体"/>
          <w:b/>
          <w:szCs w:val="21"/>
          <w:u w:val="single"/>
        </w:rPr>
        <w:t>合同签订后3天内</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关于发包人应完成的其他开工准备工作及期限：</w:t>
      </w:r>
      <w:r>
        <w:rPr>
          <w:rFonts w:hint="eastAsia" w:ascii="宋体" w:hAnsi="宋体"/>
          <w:szCs w:val="21"/>
          <w:u w:val="single"/>
        </w:rPr>
        <w:t>/</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关于</w:t>
      </w:r>
      <w:r>
        <w:rPr>
          <w:rFonts w:hint="eastAsia" w:ascii="宋体" w:hAnsi="宋体"/>
          <w:szCs w:val="21"/>
        </w:rPr>
        <w:t>承包人</w:t>
      </w:r>
      <w:r>
        <w:rPr>
          <w:rFonts w:ascii="宋体" w:hAnsi="宋体"/>
          <w:szCs w:val="21"/>
        </w:rPr>
        <w:t>应完成的其他开工准备工作及期限：</w:t>
      </w:r>
      <w:r>
        <w:rPr>
          <w:rFonts w:hint="eastAsia" w:ascii="宋体" w:hAnsi="宋体"/>
          <w:szCs w:val="21"/>
          <w:u w:val="single"/>
        </w:rPr>
        <w:t>/</w:t>
      </w:r>
      <w:r>
        <w:rPr>
          <w:rFonts w:ascii="宋体" w:hAnsi="宋体"/>
          <w:szCs w:val="21"/>
        </w:rPr>
        <w:t>。</w:t>
      </w:r>
    </w:p>
    <w:bookmarkEnd w:id="179"/>
    <w:bookmarkEnd w:id="180"/>
    <w:bookmarkEnd w:id="181"/>
    <w:bookmarkEnd w:id="182"/>
    <w:bookmarkEnd w:id="183"/>
    <w:bookmarkEnd w:id="184"/>
    <w:bookmarkEnd w:id="185"/>
    <w:p>
      <w:pPr>
        <w:spacing w:line="440" w:lineRule="exact"/>
        <w:ind w:firstLine="420" w:firstLineChars="200"/>
        <w:rPr>
          <w:rFonts w:ascii="宋体" w:hAnsi="宋体"/>
          <w:szCs w:val="21"/>
        </w:rPr>
      </w:pPr>
      <w:r>
        <w:rPr>
          <w:rFonts w:ascii="宋体" w:hAnsi="宋体"/>
          <w:szCs w:val="21"/>
        </w:rPr>
        <w:t>7.4 测量放线</w:t>
      </w:r>
    </w:p>
    <w:p>
      <w:pPr>
        <w:spacing w:line="440" w:lineRule="exact"/>
        <w:ind w:firstLine="420" w:firstLineChars="200"/>
        <w:rPr>
          <w:rFonts w:ascii="宋体" w:hAnsi="宋体"/>
          <w:szCs w:val="21"/>
          <w:u w:val="single"/>
        </w:rPr>
      </w:pPr>
      <w:r>
        <w:rPr>
          <w:rFonts w:hint="eastAsia" w:ascii="宋体" w:hAnsi="宋体"/>
          <w:szCs w:val="21"/>
        </w:rPr>
        <w:t>7.4.1发包人通过监理人向承包人提供测量基准点、基准线和水准点及其书面资料的期限：</w:t>
      </w:r>
      <w:r>
        <w:rPr>
          <w:rFonts w:hint="eastAsia" w:ascii="宋体" w:hAnsi="宋体" w:cs="Arial"/>
          <w:szCs w:val="21"/>
          <w:u w:val="single"/>
        </w:rPr>
        <w:t>以书面形式交给承包人，并于开工前进行现场交验</w:t>
      </w:r>
      <w:r>
        <w:rPr>
          <w:rFonts w:hint="eastAsia" w:ascii="宋体" w:hAnsi="宋体"/>
          <w:szCs w:val="21"/>
        </w:rPr>
        <w:t>。</w:t>
      </w:r>
    </w:p>
    <w:p>
      <w:pPr>
        <w:spacing w:line="440" w:lineRule="exact"/>
        <w:ind w:firstLine="420" w:firstLineChars="200"/>
        <w:rPr>
          <w:rFonts w:ascii="宋体" w:hAnsi="宋体"/>
          <w:szCs w:val="21"/>
        </w:rPr>
      </w:pPr>
      <w:r>
        <w:rPr>
          <w:rFonts w:ascii="宋体" w:hAnsi="宋体"/>
          <w:szCs w:val="21"/>
        </w:rPr>
        <w:t>7</w:t>
      </w:r>
      <w:bookmarkStart w:id="186" w:name="_Toc304295546"/>
      <w:bookmarkStart w:id="187" w:name="_Toc312677484"/>
      <w:bookmarkStart w:id="188" w:name="_Toc297216175"/>
      <w:bookmarkStart w:id="189" w:name="_Toc297123516"/>
      <w:bookmarkStart w:id="190" w:name="_Toc312678010"/>
      <w:bookmarkStart w:id="191" w:name="_Toc300934968"/>
      <w:bookmarkStart w:id="192" w:name="_Toc303539125"/>
      <w:r>
        <w:rPr>
          <w:rFonts w:ascii="宋体" w:hAnsi="宋体"/>
          <w:szCs w:val="21"/>
        </w:rPr>
        <w:t>.5 工期延误</w:t>
      </w:r>
    </w:p>
    <w:bookmarkEnd w:id="186"/>
    <w:bookmarkEnd w:id="187"/>
    <w:bookmarkEnd w:id="188"/>
    <w:bookmarkEnd w:id="189"/>
    <w:bookmarkEnd w:id="190"/>
    <w:bookmarkEnd w:id="191"/>
    <w:bookmarkEnd w:id="192"/>
    <w:p>
      <w:pPr>
        <w:spacing w:line="440" w:lineRule="exact"/>
        <w:ind w:firstLine="420" w:firstLineChars="200"/>
        <w:rPr>
          <w:rFonts w:ascii="宋体" w:hAnsi="宋体"/>
          <w:szCs w:val="21"/>
        </w:rPr>
      </w:pPr>
      <w:r>
        <w:rPr>
          <w:rFonts w:ascii="宋体" w:hAnsi="宋体"/>
          <w:szCs w:val="21"/>
        </w:rPr>
        <w:t>7.5.1 因发包人原因导致工期延误</w:t>
      </w:r>
    </w:p>
    <w:p>
      <w:pPr>
        <w:spacing w:line="440" w:lineRule="exact"/>
        <w:ind w:firstLine="420" w:firstLineChars="200"/>
        <w:rPr>
          <w:rFonts w:ascii="宋体" w:hAnsi="宋体"/>
          <w:szCs w:val="21"/>
        </w:rPr>
      </w:pPr>
      <w:r>
        <w:rPr>
          <w:rFonts w:hint="eastAsia" w:ascii="宋体" w:hAnsi="宋体"/>
          <w:szCs w:val="21"/>
        </w:rPr>
        <w:t>以下原因引起的延误，经发包人确认后，工期相应顺延：</w:t>
      </w:r>
    </w:p>
    <w:p>
      <w:pPr>
        <w:spacing w:line="440" w:lineRule="exact"/>
        <w:ind w:firstLine="420" w:firstLineChars="200"/>
        <w:jc w:val="left"/>
        <w:rPr>
          <w:rFonts w:ascii="宋体" w:hAnsi="宋体"/>
          <w:szCs w:val="21"/>
          <w:u w:val="single"/>
        </w:rPr>
      </w:pPr>
      <w:r>
        <w:rPr>
          <w:rFonts w:ascii="宋体" w:hAnsi="宋体"/>
          <w:szCs w:val="21"/>
          <w:u w:val="single"/>
        </w:rPr>
        <w:t>A.</w:t>
      </w:r>
      <w:r>
        <w:rPr>
          <w:rFonts w:hint="eastAsia" w:ascii="宋体" w:hAnsi="宋体"/>
          <w:szCs w:val="21"/>
          <w:u w:val="single"/>
        </w:rPr>
        <w:t>因发包人未在开工前提供施工场地，提供图纸；</w:t>
      </w:r>
    </w:p>
    <w:p>
      <w:pPr>
        <w:spacing w:line="440" w:lineRule="exact"/>
        <w:ind w:firstLine="420" w:firstLineChars="200"/>
        <w:jc w:val="left"/>
        <w:rPr>
          <w:rFonts w:ascii="宋体" w:hAnsi="宋体"/>
          <w:szCs w:val="21"/>
          <w:u w:val="single"/>
        </w:rPr>
      </w:pPr>
      <w:r>
        <w:rPr>
          <w:rFonts w:ascii="宋体" w:hAnsi="宋体"/>
          <w:szCs w:val="21"/>
          <w:u w:val="single"/>
        </w:rPr>
        <w:t>B.</w:t>
      </w:r>
      <w:r>
        <w:rPr>
          <w:rFonts w:hint="eastAsia" w:ascii="宋体" w:hAnsi="宋体"/>
          <w:szCs w:val="21"/>
          <w:u w:val="single"/>
        </w:rPr>
        <w:t>因发包人原因造成工程延期开工、停建、缓建、暂停施工（不含勒令停工）；</w:t>
      </w:r>
    </w:p>
    <w:p>
      <w:pPr>
        <w:spacing w:line="440" w:lineRule="exact"/>
        <w:ind w:firstLine="420" w:firstLineChars="200"/>
        <w:jc w:val="left"/>
        <w:rPr>
          <w:rFonts w:ascii="宋体" w:hAnsi="宋体"/>
          <w:szCs w:val="21"/>
          <w:u w:val="single"/>
        </w:rPr>
      </w:pPr>
      <w:r>
        <w:rPr>
          <w:rFonts w:ascii="宋体" w:hAnsi="宋体"/>
          <w:szCs w:val="21"/>
          <w:u w:val="single"/>
        </w:rPr>
        <w:t>C.</w:t>
      </w:r>
      <w:r>
        <w:rPr>
          <w:rFonts w:hint="eastAsia" w:ascii="宋体" w:hAnsi="宋体"/>
          <w:szCs w:val="21"/>
          <w:u w:val="single"/>
        </w:rPr>
        <w:t>因发包人原因提出的单次设计变更导致工程量增加超过合同总价的</w:t>
      </w:r>
      <w:r>
        <w:rPr>
          <w:rFonts w:ascii="宋体" w:hAnsi="宋体"/>
          <w:szCs w:val="21"/>
          <w:u w:val="single"/>
        </w:rPr>
        <w:t>8%</w:t>
      </w:r>
      <w:r>
        <w:rPr>
          <w:rFonts w:hint="eastAsia" w:ascii="宋体" w:hAnsi="宋体"/>
          <w:szCs w:val="21"/>
          <w:u w:val="single"/>
        </w:rPr>
        <w:t>以上的；</w:t>
      </w:r>
    </w:p>
    <w:p>
      <w:pPr>
        <w:spacing w:line="440" w:lineRule="exact"/>
        <w:ind w:firstLine="420" w:firstLineChars="200"/>
        <w:jc w:val="left"/>
        <w:rPr>
          <w:rFonts w:ascii="宋体" w:hAnsi="宋体"/>
          <w:szCs w:val="21"/>
          <w:u w:val="single"/>
        </w:rPr>
      </w:pPr>
      <w:r>
        <w:rPr>
          <w:rFonts w:ascii="宋体" w:hAnsi="宋体"/>
          <w:szCs w:val="21"/>
          <w:u w:val="single"/>
        </w:rPr>
        <w:t>D.</w:t>
      </w:r>
      <w:r>
        <w:rPr>
          <w:rFonts w:hint="eastAsia" w:ascii="宋体" w:hAnsi="宋体"/>
          <w:szCs w:val="21"/>
          <w:u w:val="single"/>
        </w:rPr>
        <w:t>由市级以上有关部门正式发布和认定的自然灾害。</w:t>
      </w:r>
    </w:p>
    <w:p>
      <w:pPr>
        <w:spacing w:line="440" w:lineRule="exact"/>
        <w:ind w:firstLine="420" w:firstLineChars="200"/>
        <w:jc w:val="left"/>
        <w:rPr>
          <w:rFonts w:ascii="宋体" w:hAnsi="宋体"/>
          <w:szCs w:val="21"/>
          <w:u w:val="single"/>
        </w:rPr>
      </w:pPr>
      <w:r>
        <w:rPr>
          <w:rFonts w:hint="eastAsia" w:ascii="宋体" w:hAnsi="宋体"/>
          <w:szCs w:val="21"/>
          <w:u w:val="single"/>
        </w:rPr>
        <w:t>上述情况发生后，承包人须就延误的内容，向发包人提交书面报告办理延期手续，经发包人批准后方可顺延工期，否则工期不予顺延。</w:t>
      </w:r>
    </w:p>
    <w:p>
      <w:pPr>
        <w:spacing w:line="440" w:lineRule="exact"/>
        <w:ind w:firstLine="420" w:firstLineChars="200"/>
        <w:jc w:val="left"/>
        <w:rPr>
          <w:rFonts w:ascii="宋体" w:hAnsi="宋体"/>
          <w:szCs w:val="21"/>
          <w:u w:val="single"/>
        </w:rPr>
      </w:pPr>
      <w:r>
        <w:rPr>
          <w:rFonts w:hint="eastAsia" w:ascii="宋体" w:hAnsi="宋体"/>
          <w:szCs w:val="21"/>
          <w:u w:val="single"/>
        </w:rPr>
        <w:t>为体现承包人的合作诚意，承包人同意因发包人原因的工期顺延，且自愿放弃索赔的权利。该放弃的索赔权利包括但不限于停工期限的窝工费、机械租赁费、财务成本、工程看管费、管理费、水电费等任何货币形式的赔偿主张。本合同中关于发包方原因造成工期延误损失负担约定与本条不一致的，以本条为准。</w:t>
      </w:r>
    </w:p>
    <w:p>
      <w:pPr>
        <w:spacing w:line="440" w:lineRule="exact"/>
        <w:ind w:firstLine="420" w:firstLineChars="200"/>
        <w:rPr>
          <w:rFonts w:ascii="宋体" w:hAnsi="宋体"/>
          <w:szCs w:val="21"/>
        </w:rPr>
      </w:pPr>
      <w:r>
        <w:rPr>
          <w:rFonts w:ascii="宋体" w:hAnsi="宋体"/>
          <w:szCs w:val="21"/>
        </w:rPr>
        <w:t>7</w:t>
      </w:r>
      <w:bookmarkStart w:id="193" w:name="_Toc312677486"/>
      <w:bookmarkStart w:id="194" w:name="_Toc318581169"/>
      <w:bookmarkStart w:id="195" w:name="_Toc312678012"/>
      <w:bookmarkStart w:id="196" w:name="_Toc303539127"/>
      <w:bookmarkStart w:id="197" w:name="_Toc300934970"/>
      <w:bookmarkStart w:id="198" w:name="_Toc297216177"/>
      <w:bookmarkStart w:id="199" w:name="_Toc297123518"/>
      <w:bookmarkStart w:id="200" w:name="_Toc304295548"/>
      <w:r>
        <w:rPr>
          <w:rFonts w:ascii="宋体" w:hAnsi="宋体"/>
          <w:szCs w:val="21"/>
        </w:rPr>
        <w:t>.5.2 因</w:t>
      </w:r>
      <w:r>
        <w:rPr>
          <w:rFonts w:hint="eastAsia" w:ascii="宋体" w:hAnsi="宋体"/>
          <w:szCs w:val="21"/>
        </w:rPr>
        <w:t>承包人</w:t>
      </w:r>
      <w:r>
        <w:rPr>
          <w:rFonts w:ascii="宋体" w:hAnsi="宋体"/>
          <w:szCs w:val="21"/>
        </w:rPr>
        <w:t>原因导致工期延误</w:t>
      </w:r>
    </w:p>
    <w:bookmarkEnd w:id="193"/>
    <w:bookmarkEnd w:id="194"/>
    <w:bookmarkEnd w:id="195"/>
    <w:p>
      <w:pPr>
        <w:spacing w:line="440" w:lineRule="exact"/>
        <w:ind w:firstLine="420" w:firstLineChars="200"/>
        <w:rPr>
          <w:rFonts w:ascii="宋体" w:hAnsi="宋体"/>
          <w:szCs w:val="21"/>
        </w:rPr>
      </w:pPr>
      <w:r>
        <w:rPr>
          <w:rFonts w:hint="eastAsia" w:ascii="宋体" w:hAnsi="宋体"/>
          <w:szCs w:val="21"/>
        </w:rPr>
        <w:t>因</w:t>
      </w:r>
      <w:bookmarkStart w:id="201" w:name="_Toc312678013"/>
      <w:bookmarkStart w:id="202" w:name="_Toc312677487"/>
      <w:bookmarkStart w:id="203" w:name="_Toc318581170"/>
      <w:r>
        <w:rPr>
          <w:rFonts w:hint="eastAsia" w:ascii="宋体" w:hAnsi="宋体"/>
          <w:szCs w:val="21"/>
        </w:rPr>
        <w:t>承包人原因造成工期延误，逾期竣工违约金的计算方法为：</w:t>
      </w:r>
    </w:p>
    <w:bookmarkEnd w:id="196"/>
    <w:bookmarkEnd w:id="197"/>
    <w:bookmarkEnd w:id="198"/>
    <w:bookmarkEnd w:id="199"/>
    <w:bookmarkEnd w:id="200"/>
    <w:bookmarkEnd w:id="201"/>
    <w:bookmarkEnd w:id="202"/>
    <w:bookmarkEnd w:id="203"/>
    <w:p>
      <w:pPr>
        <w:spacing w:line="440" w:lineRule="exact"/>
        <w:ind w:firstLine="420" w:firstLineChars="200"/>
        <w:rPr>
          <w:rFonts w:ascii="宋体" w:hAnsi="宋体"/>
          <w:szCs w:val="21"/>
        </w:rPr>
      </w:pPr>
      <w:r>
        <w:rPr>
          <w:rFonts w:hint="eastAsia" w:ascii="宋体" w:hAnsi="宋体"/>
          <w:szCs w:val="21"/>
        </w:rPr>
        <w:t>实际进度滞后计划进度时，承包人在接到监理通知单后，必须落实纠偏调整措施并认真实施，否则向发包人支付违约金</w:t>
      </w:r>
      <w:r>
        <w:rPr>
          <w:rFonts w:ascii="宋体" w:hAnsi="宋体"/>
          <w:szCs w:val="21"/>
        </w:rPr>
        <w:t>1</w:t>
      </w:r>
      <w:r>
        <w:rPr>
          <w:rFonts w:hint="eastAsia" w:ascii="宋体" w:hAnsi="宋体"/>
          <w:szCs w:val="21"/>
        </w:rPr>
        <w:t>0</w:t>
      </w:r>
      <w:r>
        <w:rPr>
          <w:rFonts w:ascii="宋体" w:hAnsi="宋体"/>
          <w:szCs w:val="21"/>
        </w:rPr>
        <w:t>00</w:t>
      </w:r>
      <w:r>
        <w:rPr>
          <w:rFonts w:hint="eastAsia" w:ascii="宋体" w:hAnsi="宋体"/>
          <w:szCs w:val="21"/>
        </w:rPr>
        <w:t>元</w:t>
      </w:r>
      <w:r>
        <w:rPr>
          <w:rFonts w:ascii="宋体" w:hAnsi="宋体"/>
          <w:szCs w:val="21"/>
        </w:rPr>
        <w:t>/</w:t>
      </w:r>
      <w:r>
        <w:rPr>
          <w:rFonts w:hint="eastAsia" w:ascii="宋体" w:hAnsi="宋体"/>
          <w:szCs w:val="21"/>
        </w:rPr>
        <w:t>次。</w:t>
      </w:r>
    </w:p>
    <w:p>
      <w:pPr>
        <w:spacing w:line="440" w:lineRule="exact"/>
        <w:ind w:firstLine="420" w:firstLineChars="200"/>
        <w:rPr>
          <w:rFonts w:ascii="宋体" w:hAnsi="宋体"/>
          <w:szCs w:val="21"/>
        </w:rPr>
      </w:pPr>
      <w:r>
        <w:rPr>
          <w:rFonts w:ascii="宋体" w:hAnsi="宋体"/>
          <w:szCs w:val="21"/>
        </w:rPr>
        <w:t>实际进度严重滞后进度计划</w:t>
      </w:r>
      <w:r>
        <w:rPr>
          <w:rFonts w:hint="eastAsia" w:ascii="宋体" w:hAnsi="宋体"/>
          <w:szCs w:val="21"/>
        </w:rPr>
        <w:t>时</w:t>
      </w:r>
      <w:r>
        <w:rPr>
          <w:rFonts w:ascii="宋体" w:hAnsi="宋体"/>
          <w:szCs w:val="21"/>
        </w:rPr>
        <w:t>，</w:t>
      </w:r>
      <w:r>
        <w:rPr>
          <w:rFonts w:hint="eastAsia" w:ascii="宋体" w:hAnsi="宋体"/>
          <w:szCs w:val="21"/>
        </w:rPr>
        <w:t>承包人在接到监理通知单后，必须落实纠偏调整措施并认真实施，否则向发包人支付违约金2000元/次。</w:t>
      </w:r>
    </w:p>
    <w:p>
      <w:pPr>
        <w:spacing w:line="440" w:lineRule="exact"/>
        <w:ind w:firstLine="420" w:firstLineChars="200"/>
        <w:rPr>
          <w:rFonts w:ascii="宋体" w:hAnsi="宋体"/>
          <w:szCs w:val="21"/>
        </w:rPr>
      </w:pPr>
      <w:r>
        <w:rPr>
          <w:rFonts w:hint="eastAsia" w:ascii="宋体" w:hAnsi="宋体"/>
          <w:szCs w:val="21"/>
        </w:rPr>
        <w:t>实际进度严重滞后进度计划明显不满足工期要求时，则视情节扣除部分或全部工期履约保证金，发包人有权要求承包人清退出场，所完成的合格工程量按60%计算，或者由发包人安排其他施工单位进行施工，所发生费用按实际费用的2倍或以上金额由承包人缴纳至发包人指定账户或从其工程款中扣除。</w:t>
      </w:r>
    </w:p>
    <w:p>
      <w:pPr>
        <w:pStyle w:val="7"/>
        <w:spacing w:before="120" w:after="120" w:line="440" w:lineRule="exact"/>
        <w:rPr>
          <w:rFonts w:ascii="宋体" w:hAnsi="宋体"/>
          <w:szCs w:val="21"/>
        </w:rPr>
      </w:pPr>
      <w:bookmarkStart w:id="204" w:name="_Toc351203640"/>
      <w:r>
        <w:rPr>
          <w:rFonts w:ascii="宋体" w:hAnsi="宋体"/>
          <w:szCs w:val="21"/>
        </w:rPr>
        <w:t>8. 材料与设备</w:t>
      </w:r>
      <w:bookmarkEnd w:id="204"/>
    </w:p>
    <w:bookmarkEnd w:id="160"/>
    <w:bookmarkEnd w:id="161"/>
    <w:bookmarkEnd w:id="162"/>
    <w:bookmarkEnd w:id="163"/>
    <w:bookmarkEnd w:id="164"/>
    <w:bookmarkEnd w:id="165"/>
    <w:bookmarkEnd w:id="166"/>
    <w:bookmarkEnd w:id="167"/>
    <w:bookmarkEnd w:id="168"/>
    <w:bookmarkEnd w:id="169"/>
    <w:p>
      <w:pPr>
        <w:spacing w:line="440" w:lineRule="exact"/>
        <w:ind w:firstLine="459"/>
        <w:rPr>
          <w:rFonts w:ascii="宋体" w:hAnsi="宋体"/>
          <w:szCs w:val="21"/>
        </w:rPr>
      </w:pPr>
      <w:r>
        <w:rPr>
          <w:rFonts w:hint="eastAsia" w:ascii="宋体" w:hAnsi="宋体"/>
          <w:bCs/>
          <w:szCs w:val="21"/>
        </w:rPr>
        <w:t>8.1发</w:t>
      </w:r>
      <w:r>
        <w:rPr>
          <w:rFonts w:hint="eastAsia" w:ascii="宋体" w:hAnsi="宋体"/>
          <w:szCs w:val="21"/>
        </w:rPr>
        <w:t>包人供应材料与工程设备</w:t>
      </w:r>
    </w:p>
    <w:p>
      <w:pPr>
        <w:tabs>
          <w:tab w:val="left" w:pos="180"/>
        </w:tabs>
        <w:spacing w:line="440" w:lineRule="exact"/>
        <w:ind w:firstLine="420" w:firstLineChars="200"/>
        <w:jc w:val="left"/>
        <w:rPr>
          <w:rFonts w:ascii="宋体" w:hAnsi="宋体"/>
          <w:szCs w:val="21"/>
          <w:u w:val="single"/>
        </w:rPr>
      </w:pPr>
      <w:r>
        <w:rPr>
          <w:rFonts w:hint="eastAsia" w:ascii="宋体" w:hAnsi="宋体"/>
          <w:szCs w:val="21"/>
          <w:u w:val="single"/>
        </w:rPr>
        <w:t>承包人应编制材料供应计划。合同生效后一般材料承包人应提前5天向发包人按实提交所需材料品种、数量、型号、规格、质量等级，如有误差造成的损失由承包人承担。</w:t>
      </w:r>
    </w:p>
    <w:p>
      <w:pPr>
        <w:tabs>
          <w:tab w:val="left" w:pos="180"/>
        </w:tabs>
        <w:spacing w:line="440" w:lineRule="exact"/>
        <w:ind w:firstLine="420" w:firstLineChars="200"/>
        <w:jc w:val="left"/>
        <w:rPr>
          <w:rFonts w:ascii="宋体" w:hAnsi="宋体"/>
          <w:szCs w:val="21"/>
        </w:rPr>
      </w:pPr>
      <w:r>
        <w:rPr>
          <w:rFonts w:hint="eastAsia" w:ascii="宋体" w:hAnsi="宋体"/>
          <w:szCs w:val="21"/>
        </w:rPr>
        <w:t>8.2承包人供应材料与工程设备</w:t>
      </w:r>
    </w:p>
    <w:p>
      <w:pPr>
        <w:tabs>
          <w:tab w:val="left" w:pos="180"/>
        </w:tabs>
        <w:spacing w:line="440" w:lineRule="exact"/>
        <w:ind w:firstLine="420" w:firstLineChars="200"/>
        <w:jc w:val="left"/>
        <w:rPr>
          <w:rFonts w:ascii="宋体" w:hAnsi="宋体"/>
          <w:szCs w:val="21"/>
          <w:u w:val="single"/>
        </w:rPr>
      </w:pPr>
      <w:r>
        <w:rPr>
          <w:rFonts w:hint="eastAsia" w:ascii="宋体" w:hAnsi="宋体"/>
          <w:szCs w:val="21"/>
          <w:u w:val="single"/>
        </w:rPr>
        <w:t>（1）承包人采购的材料：承包人须按发包人要求建立材料台账，供发包人检查，材料台账中必须注明并包含下列内容：材料名称、规格型号或等级、厂家、进场数量、出厂合格证、编号、进场日期、使用部位、施工单位验收人、检测情况、监理见证人、发包人代表等。承包人在材料使用前，应有向监理报验、提供材料台账的程序，并见证抽样送检。不合格的材料不得使用，发包人或监理抽查发现使用的材料无报验手续及材料台账（或材料台账不符合要求的）或不合格，可指令停工，要求返工剥离。所发生的费用由承包人承担，工期不予顺延。</w:t>
      </w:r>
    </w:p>
    <w:p>
      <w:pPr>
        <w:tabs>
          <w:tab w:val="left" w:pos="180"/>
        </w:tabs>
        <w:spacing w:line="440" w:lineRule="exact"/>
        <w:ind w:firstLine="420" w:firstLineChars="200"/>
        <w:jc w:val="left"/>
        <w:rPr>
          <w:rFonts w:ascii="宋体" w:hAnsi="宋体"/>
          <w:szCs w:val="21"/>
          <w:u w:val="single"/>
        </w:rPr>
      </w:pPr>
      <w:r>
        <w:rPr>
          <w:rFonts w:hint="eastAsia" w:ascii="宋体" w:hAnsi="宋体"/>
          <w:szCs w:val="21"/>
          <w:u w:val="single"/>
        </w:rPr>
        <w:t>（2）承包人供应的材料和设备，必须按有关规定提供相应的出厂证明、合格证、质保书、化验检测报告等，并负责对国家（或地方）规范、强制性条文规定的材料性能到发包人指定的检测机构进行施工前或施工后的检测，同时对材料数量、规格、质量由发包人现场工程师和监理人验收合格后方可进入施工现场使用。检验试验费包含本工程所有按规定应进行建筑材料、构配件等试样的制作、封样、送检和其它为保证工程质量进行的材料检验试验工作和一切费用（含检测机构所收取的检测费）。由发包人指定工程质量检测机构进行检测，承包人支付所有费用，该费用已包含在承包人的投标报价中，发包人不再承担。</w:t>
      </w:r>
    </w:p>
    <w:p>
      <w:pPr>
        <w:spacing w:line="440" w:lineRule="exact"/>
        <w:ind w:firstLine="420" w:firstLineChars="200"/>
        <w:rPr>
          <w:rFonts w:ascii="宋体" w:hAnsi="宋体"/>
          <w:szCs w:val="21"/>
          <w:u w:val="single"/>
        </w:rPr>
      </w:pPr>
      <w:r>
        <w:rPr>
          <w:rFonts w:hint="eastAsia" w:ascii="宋体" w:hAnsi="宋体"/>
          <w:szCs w:val="21"/>
          <w:u w:val="single"/>
        </w:rPr>
        <w:t>（3）发包人在招标时推荐品牌和厂家的材料，承包人在实际采购前，必须由发包人、监理认质认生产厂家后方可采购。代用材料时，须经发包人认可。</w:t>
      </w:r>
    </w:p>
    <w:p>
      <w:pPr>
        <w:spacing w:line="440" w:lineRule="exact"/>
        <w:ind w:firstLine="420" w:firstLineChars="200"/>
        <w:rPr>
          <w:rFonts w:ascii="宋体" w:hAnsi="宋体"/>
          <w:szCs w:val="21"/>
          <w:u w:val="single"/>
        </w:rPr>
      </w:pPr>
      <w:r>
        <w:rPr>
          <w:rFonts w:hint="eastAsia" w:ascii="宋体" w:hAnsi="宋体"/>
          <w:szCs w:val="21"/>
          <w:u w:val="single"/>
        </w:rPr>
        <w:t>（4）发包人和监理人有权对承包人提供的材料和设备进行抽检，对不符合设计要求及验收规范的材料和设备，有权终止使用，发生的一切损失和费用由承包人承担，由此延误的工期不予顺延。</w:t>
      </w:r>
    </w:p>
    <w:p>
      <w:pPr>
        <w:spacing w:line="440" w:lineRule="exact"/>
        <w:ind w:firstLine="420" w:firstLineChars="200"/>
        <w:rPr>
          <w:rFonts w:ascii="宋体" w:hAnsi="宋体"/>
          <w:szCs w:val="21"/>
          <w:u w:val="single"/>
        </w:rPr>
      </w:pPr>
      <w:r>
        <w:rPr>
          <w:rFonts w:hint="eastAsia" w:ascii="宋体" w:hAnsi="宋体"/>
          <w:szCs w:val="21"/>
          <w:u w:val="single"/>
        </w:rPr>
        <w:t>（5）发包人和监理工程师对材料的决定或认可并不解除承包人应负的质量、工期的责任，也不免除承包人对材料应负的责任。承包人采购的材料与设计或规范要求不符时，承包人应按监理工程师要求的时间运出施工场地。重新采购符合要求的产品，承担由此发生的费用，由此延误的工期不予顺延。</w:t>
      </w:r>
    </w:p>
    <w:p>
      <w:pPr>
        <w:spacing w:line="440" w:lineRule="exact"/>
        <w:ind w:firstLine="420" w:firstLineChars="200"/>
        <w:rPr>
          <w:rFonts w:ascii="宋体" w:hAnsi="宋体"/>
          <w:szCs w:val="21"/>
          <w:u w:val="single"/>
        </w:rPr>
      </w:pPr>
      <w:r>
        <w:rPr>
          <w:rFonts w:hint="eastAsia" w:ascii="宋体" w:hAnsi="宋体"/>
          <w:szCs w:val="21"/>
          <w:u w:val="single"/>
        </w:rPr>
        <w:t>（6）招标时暂定价和认质认价材料发包人保留甲供或另行发包权利。</w:t>
      </w:r>
    </w:p>
    <w:p>
      <w:pPr>
        <w:spacing w:line="440" w:lineRule="exact"/>
        <w:ind w:firstLine="420" w:firstLineChars="200"/>
        <w:rPr>
          <w:rFonts w:ascii="宋体" w:hAnsi="宋体"/>
          <w:szCs w:val="21"/>
          <w:u w:val="single"/>
        </w:rPr>
      </w:pPr>
      <w:r>
        <w:rPr>
          <w:rFonts w:hint="eastAsia" w:ascii="宋体" w:hAnsi="宋体"/>
          <w:szCs w:val="21"/>
          <w:u w:val="single"/>
        </w:rPr>
        <w:t>（7）承包人应对所有进场材料按有关规定进行严格把关，如因材料出现的质量和安全事故由承包人负全责，并赔偿相应损失。设计图纸没有规定的或图纸规定与清单不符的以清单为准，且经总承包人、发包人和监理方事先认可。</w:t>
      </w:r>
    </w:p>
    <w:p>
      <w:pPr>
        <w:spacing w:line="440" w:lineRule="exact"/>
        <w:ind w:firstLine="420" w:firstLineChars="200"/>
        <w:jc w:val="left"/>
        <w:rPr>
          <w:rFonts w:ascii="宋体" w:hAnsi="宋体"/>
          <w:szCs w:val="21"/>
        </w:rPr>
      </w:pPr>
      <w:r>
        <w:rPr>
          <w:rFonts w:ascii="宋体" w:hAnsi="宋体"/>
          <w:szCs w:val="21"/>
        </w:rPr>
        <w:t>8</w:t>
      </w:r>
      <w:bookmarkStart w:id="205" w:name="_Toc304295556"/>
      <w:bookmarkStart w:id="206" w:name="_Toc297123527"/>
      <w:bookmarkStart w:id="207" w:name="_Toc296346668"/>
      <w:bookmarkStart w:id="208" w:name="_Toc292559372"/>
      <w:bookmarkStart w:id="209" w:name="_Toc297216186"/>
      <w:bookmarkStart w:id="210" w:name="_Toc292559877"/>
      <w:bookmarkStart w:id="211" w:name="_Toc296503167"/>
      <w:bookmarkStart w:id="212" w:name="_Toc297048353"/>
      <w:bookmarkStart w:id="213" w:name="_Toc296891207"/>
      <w:bookmarkStart w:id="214" w:name="_Toc312677493"/>
      <w:bookmarkStart w:id="215" w:name="_Toc296347166"/>
      <w:bookmarkStart w:id="216" w:name="_Toc312678019"/>
      <w:bookmarkStart w:id="217" w:name="_Toc296944506"/>
      <w:bookmarkStart w:id="218" w:name="_Toc303539136"/>
      <w:bookmarkStart w:id="219" w:name="_Toc297120467"/>
      <w:bookmarkStart w:id="220" w:name="_Toc296890995"/>
      <w:bookmarkStart w:id="221" w:name="_Toc300934979"/>
      <w:bookmarkStart w:id="222" w:name="_Toc280868654"/>
      <w:bookmarkStart w:id="223" w:name="_Toc280868655"/>
      <w:bookmarkStart w:id="224" w:name="_Toc280868656"/>
      <w:bookmarkStart w:id="225" w:name="_Toc267251424"/>
      <w:r>
        <w:rPr>
          <w:rFonts w:ascii="宋体" w:hAnsi="宋体"/>
          <w:szCs w:val="21"/>
        </w:rPr>
        <w:t>.4材料与工程设备的保管与使用</w:t>
      </w:r>
    </w:p>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Pr>
        <w:spacing w:line="440" w:lineRule="exact"/>
        <w:ind w:firstLine="420" w:firstLineChars="200"/>
        <w:jc w:val="left"/>
        <w:rPr>
          <w:rFonts w:ascii="宋体" w:hAnsi="宋体"/>
          <w:szCs w:val="21"/>
        </w:rPr>
      </w:pPr>
      <w:r>
        <w:rPr>
          <w:rFonts w:ascii="宋体" w:hAnsi="宋体"/>
          <w:szCs w:val="21"/>
        </w:rPr>
        <w:t>8</w:t>
      </w:r>
      <w:bookmarkStart w:id="226" w:name="_Toc292559878"/>
      <w:bookmarkStart w:id="227" w:name="_Toc292559373"/>
      <w:bookmarkStart w:id="228" w:name="_Toc312677494"/>
      <w:bookmarkStart w:id="229" w:name="_Toc296891208"/>
      <w:bookmarkStart w:id="230" w:name="_Toc300934980"/>
      <w:bookmarkStart w:id="231" w:name="_Toc296346669"/>
      <w:bookmarkStart w:id="232" w:name="_Toc304295557"/>
      <w:bookmarkStart w:id="233" w:name="_Toc296347167"/>
      <w:bookmarkStart w:id="234" w:name="_Toc296503168"/>
      <w:bookmarkStart w:id="235" w:name="_Toc312678020"/>
      <w:bookmarkStart w:id="236" w:name="_Toc303539137"/>
      <w:bookmarkStart w:id="237" w:name="_Toc297120468"/>
      <w:bookmarkStart w:id="238" w:name="_Toc318581173"/>
      <w:bookmarkStart w:id="239" w:name="_Toc296890996"/>
      <w:bookmarkStart w:id="240" w:name="_Toc297216187"/>
      <w:bookmarkStart w:id="241" w:name="_Toc297048354"/>
      <w:bookmarkStart w:id="242" w:name="_Toc297123528"/>
      <w:bookmarkStart w:id="243" w:name="_Toc296944507"/>
      <w:r>
        <w:rPr>
          <w:rFonts w:ascii="宋体" w:hAnsi="宋体"/>
          <w:szCs w:val="21"/>
        </w:rPr>
        <w:t>.4.1发包人供应的材料设备的保管费用的承担：</w:t>
      </w:r>
      <w:r>
        <w:rPr>
          <w:rFonts w:hint="eastAsia" w:ascii="宋体" w:hAnsi="宋体"/>
          <w:szCs w:val="21"/>
          <w:u w:val="single"/>
        </w:rPr>
        <w:t>/</w:t>
      </w:r>
      <w:r>
        <w:rPr>
          <w:rFonts w:ascii="宋体" w:hAnsi="宋体"/>
          <w:szCs w:val="21"/>
        </w:rPr>
        <w:t xml:space="preserve"> 。</w:t>
      </w:r>
      <w:bookmarkEnd w:id="226"/>
      <w:bookmarkEnd w:id="227"/>
    </w:p>
    <w:p>
      <w:pPr>
        <w:spacing w:line="440" w:lineRule="exact"/>
        <w:ind w:firstLine="420" w:firstLineChars="200"/>
        <w:jc w:val="left"/>
        <w:rPr>
          <w:rFonts w:ascii="宋体" w:hAnsi="宋体"/>
          <w:szCs w:val="21"/>
        </w:rPr>
      </w:pPr>
      <w:r>
        <w:rPr>
          <w:rFonts w:ascii="宋体" w:hAnsi="宋体"/>
          <w:szCs w:val="21"/>
        </w:rPr>
        <w:t>8.6 样品</w:t>
      </w:r>
    </w:p>
    <w:p>
      <w:pPr>
        <w:spacing w:line="440" w:lineRule="exact"/>
        <w:ind w:firstLine="420" w:firstLineChars="200"/>
        <w:jc w:val="left"/>
        <w:rPr>
          <w:rFonts w:ascii="宋体" w:hAnsi="宋体"/>
          <w:kern w:val="0"/>
          <w:szCs w:val="21"/>
        </w:rPr>
      </w:pPr>
      <w:r>
        <w:rPr>
          <w:rFonts w:ascii="宋体" w:hAnsi="宋体"/>
          <w:szCs w:val="21"/>
        </w:rPr>
        <w:t>8.</w:t>
      </w:r>
      <w:r>
        <w:rPr>
          <w:rFonts w:ascii="宋体" w:hAnsi="宋体"/>
          <w:kern w:val="0"/>
          <w:szCs w:val="21"/>
        </w:rPr>
        <w:t>6.1</w:t>
      </w:r>
      <w:r>
        <w:rPr>
          <w:rFonts w:ascii="宋体" w:hAnsi="宋体"/>
          <w:kern w:val="0"/>
          <w:szCs w:val="21"/>
        </w:rPr>
        <w:tab/>
      </w:r>
      <w:r>
        <w:rPr>
          <w:rFonts w:ascii="宋体" w:hAnsi="宋体"/>
          <w:kern w:val="0"/>
          <w:szCs w:val="21"/>
        </w:rPr>
        <w:t>样品的报送</w:t>
      </w:r>
      <w:r>
        <w:rPr>
          <w:rFonts w:hint="eastAsia" w:ascii="宋体" w:hAnsi="宋体"/>
          <w:kern w:val="0"/>
          <w:szCs w:val="21"/>
        </w:rPr>
        <w:t>与封存</w:t>
      </w:r>
    </w:p>
    <w:p>
      <w:pPr>
        <w:autoSpaceDE w:val="0"/>
        <w:autoSpaceDN w:val="0"/>
        <w:adjustRightInd w:val="0"/>
        <w:spacing w:line="440" w:lineRule="exact"/>
        <w:ind w:firstLine="420" w:firstLineChars="200"/>
        <w:jc w:val="left"/>
        <w:rPr>
          <w:rFonts w:ascii="宋体" w:hAnsi="宋体"/>
          <w:szCs w:val="21"/>
          <w:u w:val="single"/>
        </w:rPr>
      </w:pPr>
      <w:r>
        <w:rPr>
          <w:rFonts w:ascii="宋体" w:hAnsi="宋体"/>
          <w:kern w:val="0"/>
          <w:szCs w:val="21"/>
        </w:rPr>
        <w:t>需要</w:t>
      </w:r>
      <w:r>
        <w:rPr>
          <w:rFonts w:hint="eastAsia" w:ascii="宋体" w:hAnsi="宋体"/>
          <w:kern w:val="0"/>
          <w:szCs w:val="21"/>
        </w:rPr>
        <w:t>承包人</w:t>
      </w:r>
      <w:r>
        <w:rPr>
          <w:rFonts w:ascii="宋体" w:hAnsi="宋体"/>
          <w:kern w:val="0"/>
          <w:szCs w:val="21"/>
        </w:rPr>
        <w:t>报送样品的材料或工程设备，样品的种类、名称、规格、数量要求：</w:t>
      </w:r>
    </w:p>
    <w:p>
      <w:pPr>
        <w:spacing w:line="460" w:lineRule="exact"/>
        <w:ind w:left="29" w:leftChars="14" w:firstLine="342" w:firstLineChars="162"/>
        <w:rPr>
          <w:rFonts w:ascii="宋体" w:hAnsi="宋体"/>
          <w:b/>
          <w:bCs/>
          <w:color w:val="000000"/>
          <w:kern w:val="0"/>
          <w:szCs w:val="21"/>
          <w:u w:val="single"/>
        </w:rPr>
      </w:pPr>
      <w:r>
        <w:rPr>
          <w:rFonts w:hint="eastAsia" w:ascii="宋体" w:hAnsi="宋体"/>
          <w:b/>
          <w:bCs/>
          <w:color w:val="000000"/>
          <w:kern w:val="0"/>
          <w:szCs w:val="21"/>
          <w:u w:val="single"/>
        </w:rPr>
        <w:t>（1）凡是承包人采购的材料、设备应在采购前向发包人和监理工程师提供样品及规格、产地、所供应材料合格证等资料，经发包人和监理工程师确认后方可使用。发包人保留对材料供应的支配权。凡是招标文件（工程量清单）中暂定单价的材料设备，承包人须提前5天以上向发包人提出，且在采购前须将材料设备的品种、规格、颜色、质量、价格、样品报送监理；凡是招标文件（工程量清单）中予以明确材料品牌、生产产家和规格型号的，承包人必须按招标文件（工程量清单）、发包人要求的相关标准进行采购，采购前应将拟用品牌型号的书面材料报告及样品报送监理。发包人及监理对上述材料及用于本工程的所有材料有质量认定权（如发包人对承包人采购的材料认定为不合格的，承包人必须重新采购，直到合格为止），经总监人及发包人书面确认后，方可采购，涉及到的价格不再调整。</w:t>
      </w:r>
    </w:p>
    <w:p>
      <w:pPr>
        <w:spacing w:line="460" w:lineRule="exact"/>
        <w:ind w:left="29" w:leftChars="14" w:firstLine="342" w:firstLineChars="162"/>
        <w:rPr>
          <w:rFonts w:ascii="宋体" w:hAnsi="宋体"/>
          <w:b/>
          <w:szCs w:val="21"/>
          <w:u w:val="single"/>
        </w:rPr>
      </w:pPr>
      <w:r>
        <w:rPr>
          <w:rFonts w:hint="eastAsia" w:ascii="宋体" w:hAnsi="宋体"/>
          <w:b/>
          <w:bCs/>
          <w:color w:val="000000"/>
          <w:kern w:val="0"/>
          <w:szCs w:val="21"/>
          <w:u w:val="single"/>
        </w:rPr>
        <w:t>（2）招标时已推荐材料品牌、规格、型号及质量要求的，施工过程中必须严格按要求使用材料，中标后不得以</w:t>
      </w:r>
      <w:r>
        <w:rPr>
          <w:rFonts w:hint="eastAsia" w:ascii="宋体" w:hAnsi="宋体"/>
          <w:b/>
          <w:szCs w:val="21"/>
          <w:u w:val="single"/>
        </w:rPr>
        <w:t>任何借口要求招标人更换材料或加价。</w:t>
      </w:r>
      <w:r>
        <w:rPr>
          <w:rFonts w:hint="eastAsia" w:ascii="宋体" w:hAnsi="宋体"/>
          <w:b/>
          <w:bCs/>
          <w:szCs w:val="21"/>
          <w:u w:val="single"/>
        </w:rPr>
        <w:t>承包人应对所有进场材料的质量按有关规定进行严格把关，</w:t>
      </w:r>
      <w:r>
        <w:rPr>
          <w:rFonts w:hint="eastAsia" w:ascii="宋体" w:hAnsi="宋体"/>
          <w:b/>
          <w:bCs/>
          <w:color w:val="000000"/>
          <w:szCs w:val="21"/>
          <w:u w:val="single"/>
        </w:rPr>
        <w:t>必须根据有关规定要求由具备相应专业资质的试验单位对材料、设备进行必要的试验、检验，</w:t>
      </w:r>
      <w:r>
        <w:rPr>
          <w:rFonts w:hint="eastAsia" w:ascii="宋体" w:hAnsi="宋体"/>
          <w:b/>
          <w:bCs/>
          <w:szCs w:val="21"/>
          <w:u w:val="single"/>
        </w:rPr>
        <w:t>材料出现质量问题时，</w:t>
      </w:r>
      <w:r>
        <w:rPr>
          <w:rFonts w:hint="eastAsia" w:ascii="宋体" w:hAnsi="宋体"/>
          <w:b/>
          <w:bCs/>
          <w:color w:val="000000"/>
          <w:szCs w:val="21"/>
          <w:u w:val="single"/>
        </w:rPr>
        <w:t>应及时退货。如承包人不按规定送检或明知有问题而不予处理，继续施工，由此引起返工而造成的材料、人工、机械、工期损失等一切费用全部由承包人承担，由此发生</w:t>
      </w:r>
      <w:r>
        <w:rPr>
          <w:rFonts w:hint="eastAsia" w:ascii="宋体" w:hAnsi="宋体"/>
          <w:b/>
          <w:bCs/>
          <w:szCs w:val="21"/>
          <w:u w:val="single"/>
        </w:rPr>
        <w:t>安全事故由承包人负全责，并赔偿相应损失。</w:t>
      </w:r>
      <w:r>
        <w:rPr>
          <w:rFonts w:hint="eastAsia" w:ascii="宋体" w:hAnsi="宋体"/>
          <w:b/>
          <w:szCs w:val="21"/>
          <w:u w:val="single"/>
        </w:rPr>
        <w:t>施工中所有的材料必须符合国家或行业有关质量标准，材料必须报验并得到监理方及甲方的确认后方可使用。在合理使用寿命内因承包方材料质量问题而导致的一切责任由承包人承担。</w:t>
      </w:r>
    </w:p>
    <w:p>
      <w:pPr>
        <w:spacing w:line="460" w:lineRule="exact"/>
        <w:ind w:left="29" w:leftChars="14" w:firstLine="342" w:firstLineChars="162"/>
        <w:rPr>
          <w:rFonts w:ascii="宋体" w:hAnsi="宋体"/>
          <w:b/>
          <w:bCs/>
          <w:color w:val="000000"/>
          <w:kern w:val="0"/>
          <w:szCs w:val="21"/>
          <w:u w:val="single"/>
        </w:rPr>
      </w:pPr>
      <w:r>
        <w:rPr>
          <w:rFonts w:hint="eastAsia" w:ascii="宋体" w:hAnsi="宋体"/>
          <w:b/>
          <w:bCs/>
          <w:color w:val="000000"/>
          <w:kern w:val="0"/>
          <w:szCs w:val="21"/>
          <w:u w:val="single"/>
        </w:rPr>
        <w:t>（3）发包人和工程监理有权对承包人提供的材料和设备进行抽检，对不符合设计要求及验收规范的材料和设备，有权终止使用，发生的一切损失和费用由承包人承担。监理根据需要可在事前、事中、事后进行抽检，不论在哪个阶段查出问题，所造成的损失均由承包人负责。</w:t>
      </w:r>
    </w:p>
    <w:p>
      <w:pPr>
        <w:spacing w:line="460" w:lineRule="exact"/>
        <w:ind w:left="29" w:leftChars="14" w:firstLine="342" w:firstLineChars="162"/>
        <w:rPr>
          <w:rFonts w:ascii="宋体" w:hAnsi="宋体"/>
          <w:b/>
          <w:bCs/>
          <w:color w:val="000000"/>
          <w:kern w:val="0"/>
          <w:szCs w:val="21"/>
          <w:u w:val="single"/>
        </w:rPr>
      </w:pPr>
      <w:r>
        <w:rPr>
          <w:rFonts w:hint="eastAsia" w:ascii="宋体" w:hAnsi="宋体"/>
          <w:b/>
          <w:bCs/>
          <w:color w:val="000000"/>
          <w:kern w:val="0"/>
          <w:szCs w:val="21"/>
          <w:u w:val="single"/>
        </w:rPr>
        <w:t>（4）对未设暂估价，且未指定品牌的材料均由承包人在确保质量的前提下自行采购，材料须使用国产中档及以上且符合国家标准的合格产品，其规格、技术指标、质量等级必须满足相应技术规范或技术标准的要求。在实际施工中，发包人可以无条件要求施工单位更换不符合要求的产品，购进的材料设备与提供的样品不一致时，由承包人无条件退货，如因使用不符合国家标准及各项指标的材料，产生的相关费用由承包人承担。本工程所使用的产品必须满足消防等专业部门认定的品牌及标准，确保联动与匹配，且必须保证消防等各部门的专业验收。</w:t>
      </w:r>
    </w:p>
    <w:p>
      <w:pPr>
        <w:spacing w:line="460" w:lineRule="exact"/>
        <w:ind w:left="29" w:leftChars="14" w:firstLine="342" w:firstLineChars="162"/>
        <w:rPr>
          <w:rFonts w:ascii="宋体" w:hAnsi="宋体"/>
          <w:b/>
          <w:bCs/>
          <w:color w:val="000000"/>
          <w:kern w:val="0"/>
          <w:szCs w:val="21"/>
          <w:u w:val="single"/>
        </w:rPr>
      </w:pPr>
      <w:r>
        <w:rPr>
          <w:rFonts w:hint="eastAsia" w:ascii="宋体" w:hAnsi="宋体"/>
          <w:b/>
          <w:bCs/>
          <w:color w:val="000000"/>
          <w:kern w:val="0"/>
          <w:szCs w:val="21"/>
          <w:u w:val="single"/>
        </w:rPr>
        <w:t>（5）经公安消防部门抽检的消防设施、设备由投标人负责送检（相关手续由发包人配合办理），所发生的送检样品的材料费、车旅费等（不含检测费）已由承包人人自行考虑计入报价，结算时一律不作调整。</w:t>
      </w:r>
    </w:p>
    <w:p>
      <w:pPr>
        <w:spacing w:line="460" w:lineRule="exact"/>
        <w:ind w:left="29" w:leftChars="14" w:firstLine="342" w:firstLineChars="162"/>
        <w:rPr>
          <w:rFonts w:ascii="宋体" w:hAnsi="宋体"/>
          <w:b/>
          <w:bCs/>
          <w:color w:val="000000"/>
          <w:kern w:val="0"/>
          <w:szCs w:val="21"/>
          <w:u w:val="single"/>
        </w:rPr>
      </w:pPr>
      <w:r>
        <w:rPr>
          <w:rFonts w:hint="eastAsia" w:ascii="宋体" w:hAnsi="宋体"/>
          <w:b/>
          <w:bCs/>
          <w:color w:val="000000"/>
          <w:kern w:val="0"/>
          <w:szCs w:val="21"/>
          <w:u w:val="single"/>
        </w:rPr>
        <w:t>（6）若发包</w:t>
      </w:r>
      <w:r>
        <w:rPr>
          <w:rFonts w:hint="eastAsia" w:ascii="宋体" w:hAnsi="宋体"/>
          <w:b/>
          <w:szCs w:val="21"/>
          <w:u w:val="single"/>
        </w:rPr>
        <w:t>人、监理单位对某批材料持有异议时，承包人须无条件、积极主动地配合发包人、</w:t>
      </w:r>
      <w:r>
        <w:rPr>
          <w:rFonts w:hint="eastAsia" w:ascii="宋体" w:hAnsi="宋体"/>
          <w:b/>
          <w:bCs/>
          <w:color w:val="000000"/>
          <w:kern w:val="0"/>
          <w:szCs w:val="21"/>
          <w:u w:val="single"/>
        </w:rPr>
        <w:t xml:space="preserve">监理单位进行检测，发生的费用按相关规定执行。 </w:t>
      </w:r>
    </w:p>
    <w:p>
      <w:pPr>
        <w:spacing w:line="440" w:lineRule="exact"/>
        <w:ind w:firstLine="420" w:firstLineChars="200"/>
        <w:jc w:val="left"/>
        <w:rPr>
          <w:rFonts w:ascii="宋体" w:hAnsi="宋体"/>
          <w:szCs w:val="21"/>
        </w:rPr>
      </w:pPr>
      <w:r>
        <w:rPr>
          <w:rFonts w:ascii="宋体" w:hAnsi="宋体"/>
          <w:szCs w:val="21"/>
        </w:rPr>
        <w:t>8.8 施工设备和临时设施</w:t>
      </w:r>
    </w:p>
    <w:p>
      <w:pPr>
        <w:spacing w:line="440" w:lineRule="exact"/>
        <w:ind w:firstLine="420" w:firstLineChars="200"/>
        <w:jc w:val="left"/>
        <w:rPr>
          <w:rFonts w:ascii="宋体" w:hAnsi="宋体"/>
          <w:szCs w:val="21"/>
        </w:rPr>
      </w:pPr>
      <w:r>
        <w:rPr>
          <w:rFonts w:ascii="宋体" w:hAnsi="宋体"/>
          <w:szCs w:val="21"/>
        </w:rPr>
        <w:t xml:space="preserve">8.8.1 </w:t>
      </w:r>
      <w:r>
        <w:rPr>
          <w:rFonts w:hint="eastAsia" w:ascii="宋体" w:hAnsi="宋体"/>
          <w:szCs w:val="21"/>
        </w:rPr>
        <w:t>承包人</w:t>
      </w:r>
      <w:r>
        <w:rPr>
          <w:rFonts w:ascii="宋体" w:hAnsi="宋体"/>
          <w:szCs w:val="21"/>
        </w:rPr>
        <w:t>提供的施工设备和临时设施</w:t>
      </w:r>
    </w:p>
    <w:p>
      <w:pPr>
        <w:autoSpaceDE w:val="0"/>
        <w:autoSpaceDN w:val="0"/>
        <w:adjustRightInd w:val="0"/>
        <w:spacing w:line="440" w:lineRule="exact"/>
        <w:ind w:firstLine="420" w:firstLineChars="200"/>
        <w:jc w:val="left"/>
        <w:rPr>
          <w:rFonts w:ascii="宋体" w:hAnsi="宋体"/>
          <w:szCs w:val="21"/>
        </w:rPr>
      </w:pPr>
      <w:r>
        <w:rPr>
          <w:rFonts w:ascii="宋体" w:hAnsi="宋体"/>
          <w:szCs w:val="21"/>
        </w:rPr>
        <w:t>关于修建临时设施费用承担的约定：</w:t>
      </w:r>
      <w:r>
        <w:rPr>
          <w:rFonts w:hint="eastAsia" w:ascii="宋体" w:hAnsi="宋体"/>
          <w:szCs w:val="21"/>
          <w:u w:val="single"/>
        </w:rPr>
        <w:t xml:space="preserve">由承包人承担 </w:t>
      </w:r>
      <w:r>
        <w:rPr>
          <w:rFonts w:ascii="宋体" w:hAnsi="宋体"/>
          <w:szCs w:val="21"/>
        </w:rPr>
        <w:t>。</w:t>
      </w:r>
    </w:p>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Pr>
        <w:pStyle w:val="7"/>
        <w:spacing w:before="120" w:after="120" w:line="440" w:lineRule="exact"/>
        <w:rPr>
          <w:rFonts w:ascii="宋体" w:hAnsi="宋体"/>
          <w:szCs w:val="21"/>
        </w:rPr>
      </w:pPr>
      <w:bookmarkStart w:id="244" w:name="_Toc351203641"/>
      <w:r>
        <w:rPr>
          <w:rFonts w:ascii="宋体" w:hAnsi="宋体"/>
          <w:szCs w:val="21"/>
        </w:rPr>
        <w:t>9</w:t>
      </w:r>
      <w:bookmarkEnd w:id="223"/>
      <w:bookmarkEnd w:id="224"/>
      <w:bookmarkEnd w:id="225"/>
      <w:bookmarkStart w:id="245" w:name="_Toc312677495"/>
      <w:bookmarkStart w:id="246" w:name="_Toc300934982"/>
      <w:bookmarkStart w:id="247" w:name="_Toc297216192"/>
      <w:bookmarkStart w:id="248" w:name="_Toc303539139"/>
      <w:bookmarkStart w:id="249" w:name="_Toc297123533"/>
      <w:bookmarkStart w:id="250" w:name="_Toc312678021"/>
      <w:bookmarkStart w:id="251" w:name="_Toc304295559"/>
      <w:bookmarkStart w:id="252" w:name="_Toc296503173"/>
      <w:bookmarkStart w:id="253" w:name="_Toc296944512"/>
      <w:bookmarkStart w:id="254" w:name="_Toc296347172"/>
      <w:bookmarkStart w:id="255" w:name="_Toc296346674"/>
      <w:bookmarkStart w:id="256" w:name="_Toc297120473"/>
      <w:bookmarkStart w:id="257" w:name="_Toc296891213"/>
      <w:bookmarkStart w:id="258" w:name="_Toc267251428"/>
      <w:bookmarkStart w:id="259" w:name="_Toc297048359"/>
      <w:bookmarkStart w:id="260" w:name="_Toc296891001"/>
      <w:bookmarkStart w:id="261" w:name="_Toc292559378"/>
      <w:bookmarkStart w:id="262" w:name="_Toc267251427"/>
      <w:bookmarkStart w:id="263" w:name="_Toc292559883"/>
      <w:r>
        <w:rPr>
          <w:rFonts w:ascii="宋体" w:hAnsi="宋体"/>
          <w:szCs w:val="21"/>
        </w:rPr>
        <w:t>. 试验与检验</w:t>
      </w:r>
      <w:bookmarkEnd w:id="244"/>
    </w:p>
    <w:bookmarkEnd w:id="245"/>
    <w:bookmarkEnd w:id="246"/>
    <w:bookmarkEnd w:id="247"/>
    <w:bookmarkEnd w:id="248"/>
    <w:bookmarkEnd w:id="249"/>
    <w:bookmarkEnd w:id="250"/>
    <w:bookmarkEnd w:id="251"/>
    <w:p>
      <w:pPr>
        <w:spacing w:line="440" w:lineRule="exact"/>
        <w:ind w:firstLine="420" w:firstLineChars="200"/>
        <w:jc w:val="left"/>
        <w:rPr>
          <w:rFonts w:ascii="宋体" w:hAnsi="宋体"/>
          <w:szCs w:val="21"/>
        </w:rPr>
      </w:pPr>
      <w:r>
        <w:rPr>
          <w:rFonts w:ascii="宋体" w:hAnsi="宋体"/>
          <w:szCs w:val="21"/>
        </w:rPr>
        <w:t>9</w:t>
      </w:r>
      <w:bookmarkStart w:id="264" w:name="_Toc312678022"/>
      <w:bookmarkStart w:id="265" w:name="_Toc297216193"/>
      <w:bookmarkStart w:id="266" w:name="_Toc300934983"/>
      <w:bookmarkStart w:id="267" w:name="_Toc304295560"/>
      <w:bookmarkStart w:id="268" w:name="_Toc303539140"/>
      <w:bookmarkStart w:id="269" w:name="_Toc297123534"/>
      <w:bookmarkStart w:id="270" w:name="_Toc312677496"/>
      <w:r>
        <w:rPr>
          <w:rFonts w:ascii="宋体" w:hAnsi="宋体"/>
          <w:szCs w:val="21"/>
        </w:rPr>
        <w:t>.1试验设备与试验人员</w:t>
      </w:r>
    </w:p>
    <w:bookmarkEnd w:id="264"/>
    <w:bookmarkEnd w:id="265"/>
    <w:bookmarkEnd w:id="266"/>
    <w:bookmarkEnd w:id="267"/>
    <w:bookmarkEnd w:id="268"/>
    <w:bookmarkEnd w:id="269"/>
    <w:bookmarkEnd w:id="270"/>
    <w:p>
      <w:pPr>
        <w:spacing w:line="440" w:lineRule="exact"/>
        <w:ind w:firstLine="420" w:firstLineChars="200"/>
        <w:jc w:val="left"/>
        <w:rPr>
          <w:rFonts w:ascii="宋体" w:hAnsi="宋体"/>
          <w:szCs w:val="21"/>
        </w:rPr>
      </w:pPr>
      <w:r>
        <w:rPr>
          <w:rFonts w:ascii="宋体" w:hAnsi="宋体"/>
          <w:szCs w:val="21"/>
        </w:rPr>
        <w:t>9</w:t>
      </w:r>
      <w:bookmarkStart w:id="271" w:name="_Toc312678023"/>
      <w:bookmarkStart w:id="272" w:name="_Toc297216194"/>
      <w:bookmarkStart w:id="273" w:name="_Toc312677497"/>
      <w:bookmarkStart w:id="274" w:name="_Toc303539141"/>
      <w:bookmarkStart w:id="275" w:name="_Toc297123535"/>
      <w:bookmarkStart w:id="276" w:name="_Toc300934984"/>
      <w:bookmarkStart w:id="277" w:name="_Toc304295561"/>
      <w:bookmarkStart w:id="278" w:name="_Toc318581174"/>
      <w:r>
        <w:rPr>
          <w:rFonts w:ascii="宋体" w:hAnsi="宋体"/>
          <w:szCs w:val="21"/>
        </w:rPr>
        <w:t>.1.2 试验设备</w:t>
      </w:r>
    </w:p>
    <w:p>
      <w:pPr>
        <w:spacing w:line="440" w:lineRule="exact"/>
        <w:ind w:firstLine="420" w:firstLineChars="200"/>
        <w:jc w:val="left"/>
        <w:rPr>
          <w:rFonts w:ascii="宋体" w:hAnsi="宋体"/>
          <w:szCs w:val="21"/>
          <w:u w:val="single"/>
        </w:rPr>
      </w:pPr>
      <w:r>
        <w:rPr>
          <w:rFonts w:ascii="宋体" w:hAnsi="宋体"/>
          <w:szCs w:val="21"/>
        </w:rPr>
        <w:t>施工现场需要配置的试验场所：</w:t>
      </w:r>
      <w:bookmarkEnd w:id="271"/>
      <w:bookmarkEnd w:id="272"/>
      <w:bookmarkEnd w:id="273"/>
      <w:bookmarkEnd w:id="274"/>
      <w:bookmarkEnd w:id="275"/>
      <w:bookmarkEnd w:id="276"/>
      <w:bookmarkEnd w:id="277"/>
      <w:bookmarkStart w:id="279" w:name="_Toc304295562"/>
      <w:bookmarkStart w:id="280" w:name="_Toc312678024"/>
      <w:bookmarkStart w:id="281" w:name="_Toc300934985"/>
      <w:bookmarkStart w:id="282" w:name="_Toc312677498"/>
      <w:bookmarkStart w:id="283" w:name="_Toc303539142"/>
      <w:bookmarkStart w:id="284" w:name="_Toc297123536"/>
      <w:bookmarkStart w:id="285" w:name="_Toc297216195"/>
      <w:r>
        <w:rPr>
          <w:rFonts w:hint="eastAsia" w:ascii="宋体" w:hAnsi="宋体"/>
          <w:b/>
          <w:szCs w:val="21"/>
          <w:u w:val="single"/>
        </w:rPr>
        <w:t>按有关规定执行</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施工现场需要配备的试验设备：</w:t>
      </w:r>
      <w:r>
        <w:rPr>
          <w:rFonts w:hint="eastAsia" w:ascii="宋体" w:hAnsi="宋体"/>
          <w:b/>
          <w:szCs w:val="21"/>
          <w:u w:val="single"/>
        </w:rPr>
        <w:t>按有关规定执行</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施工现场需要具备的其他试验条件：</w:t>
      </w:r>
      <w:r>
        <w:rPr>
          <w:rFonts w:hint="eastAsia" w:ascii="宋体" w:hAnsi="宋体"/>
          <w:b/>
          <w:szCs w:val="21"/>
          <w:u w:val="single"/>
        </w:rPr>
        <w:t>按有关规定执行</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9.4 现场工艺试验</w:t>
      </w:r>
    </w:p>
    <w:p>
      <w:pPr>
        <w:spacing w:line="440" w:lineRule="exact"/>
        <w:ind w:firstLine="420" w:firstLineChars="200"/>
        <w:jc w:val="left"/>
        <w:rPr>
          <w:rFonts w:ascii="宋体" w:hAnsi="宋体"/>
          <w:szCs w:val="21"/>
        </w:rPr>
      </w:pPr>
      <w:r>
        <w:rPr>
          <w:rFonts w:ascii="宋体" w:hAnsi="宋体"/>
          <w:szCs w:val="21"/>
        </w:rPr>
        <w:t>现场工艺试验的有关约定：</w:t>
      </w:r>
      <w:r>
        <w:rPr>
          <w:rFonts w:hint="eastAsia" w:ascii="宋体" w:hAnsi="宋体"/>
          <w:szCs w:val="21"/>
          <w:u w:val="single"/>
        </w:rPr>
        <w:t>/</w:t>
      </w:r>
      <w:r>
        <w:rPr>
          <w:rFonts w:ascii="宋体" w:hAnsi="宋体"/>
          <w:szCs w:val="21"/>
        </w:rPr>
        <w:t>。</w:t>
      </w:r>
    </w:p>
    <w:bookmarkEnd w:id="278"/>
    <w:bookmarkEnd w:id="279"/>
    <w:bookmarkEnd w:id="280"/>
    <w:bookmarkEnd w:id="281"/>
    <w:bookmarkEnd w:id="282"/>
    <w:bookmarkEnd w:id="283"/>
    <w:bookmarkEnd w:id="284"/>
    <w:bookmarkEnd w:id="285"/>
    <w:p>
      <w:pPr>
        <w:pStyle w:val="7"/>
        <w:spacing w:before="120" w:after="120" w:line="440" w:lineRule="exact"/>
        <w:rPr>
          <w:rFonts w:ascii="宋体" w:hAnsi="宋体"/>
          <w:szCs w:val="21"/>
        </w:rPr>
      </w:pPr>
      <w:bookmarkStart w:id="286" w:name="_Toc351203642"/>
      <w:r>
        <w:rPr>
          <w:rFonts w:ascii="宋体" w:hAnsi="宋体"/>
          <w:szCs w:val="21"/>
        </w:rPr>
        <w:t>1</w:t>
      </w:r>
      <w:bookmarkEnd w:id="252"/>
      <w:bookmarkEnd w:id="253"/>
      <w:bookmarkEnd w:id="254"/>
      <w:bookmarkEnd w:id="255"/>
      <w:bookmarkEnd w:id="256"/>
      <w:bookmarkEnd w:id="257"/>
      <w:bookmarkEnd w:id="258"/>
      <w:bookmarkEnd w:id="259"/>
      <w:bookmarkEnd w:id="260"/>
      <w:bookmarkEnd w:id="261"/>
      <w:bookmarkEnd w:id="262"/>
      <w:bookmarkEnd w:id="263"/>
      <w:bookmarkStart w:id="287" w:name="_Toc303539146"/>
      <w:bookmarkStart w:id="288" w:name="_Toc296891233"/>
      <w:bookmarkStart w:id="289" w:name="_Toc300934989"/>
      <w:bookmarkStart w:id="290" w:name="_Toc297123540"/>
      <w:bookmarkStart w:id="291" w:name="_Toc292559903"/>
      <w:bookmarkStart w:id="292" w:name="_Toc297216199"/>
      <w:bookmarkStart w:id="293" w:name="_Toc304295566"/>
      <w:bookmarkStart w:id="294" w:name="_Toc296503193"/>
      <w:bookmarkStart w:id="295" w:name="_Toc297048379"/>
      <w:bookmarkStart w:id="296" w:name="_Toc296347192"/>
      <w:bookmarkStart w:id="297" w:name="_Toc296346694"/>
      <w:bookmarkStart w:id="298" w:name="_Toc297120493"/>
      <w:bookmarkStart w:id="299" w:name="_Toc296944532"/>
      <w:bookmarkStart w:id="300" w:name="_Toc292559398"/>
      <w:bookmarkStart w:id="301" w:name="_Toc296891021"/>
      <w:bookmarkStart w:id="302" w:name="_Toc312677499"/>
      <w:bookmarkStart w:id="303" w:name="_Toc312678025"/>
      <w:bookmarkStart w:id="304" w:name="_Toc267251437"/>
      <w:bookmarkStart w:id="305" w:name="_Toc267251440"/>
      <w:bookmarkStart w:id="306" w:name="_Toc267251433"/>
      <w:bookmarkStart w:id="307" w:name="_Toc267251439"/>
      <w:bookmarkStart w:id="308" w:name="_Toc267251435"/>
      <w:bookmarkStart w:id="309" w:name="_Toc267251441"/>
      <w:bookmarkStart w:id="310" w:name="_Toc267251442"/>
      <w:r>
        <w:rPr>
          <w:rFonts w:ascii="宋体" w:hAnsi="宋体"/>
          <w:szCs w:val="21"/>
        </w:rPr>
        <w:t>0. 变更</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bookmarkEnd w:id="302"/>
    <w:bookmarkEnd w:id="303"/>
    <w:p>
      <w:pPr>
        <w:spacing w:line="440" w:lineRule="exact"/>
        <w:ind w:firstLine="420" w:firstLineChars="200"/>
        <w:jc w:val="left"/>
        <w:rPr>
          <w:rFonts w:ascii="宋体" w:hAnsi="宋体"/>
          <w:szCs w:val="21"/>
        </w:rPr>
      </w:pPr>
      <w:r>
        <w:rPr>
          <w:rFonts w:ascii="宋体" w:hAnsi="宋体"/>
          <w:szCs w:val="21"/>
        </w:rPr>
        <w:t>1</w:t>
      </w:r>
      <w:bookmarkStart w:id="311" w:name="_Toc296944533"/>
      <w:bookmarkStart w:id="312" w:name="_Toc296891022"/>
      <w:bookmarkStart w:id="313" w:name="_Toc312678026"/>
      <w:bookmarkStart w:id="314" w:name="_Toc297120494"/>
      <w:bookmarkStart w:id="315" w:name="_Toc300934990"/>
      <w:bookmarkStart w:id="316" w:name="_Toc312677500"/>
      <w:bookmarkStart w:id="317" w:name="_Toc296891234"/>
      <w:bookmarkStart w:id="318" w:name="_Toc292559904"/>
      <w:bookmarkStart w:id="319" w:name="_Toc303539147"/>
      <w:bookmarkStart w:id="320" w:name="_Toc296503194"/>
      <w:bookmarkStart w:id="321" w:name="_Toc297048380"/>
      <w:bookmarkStart w:id="322" w:name="_Toc297123541"/>
      <w:bookmarkStart w:id="323" w:name="_Toc296347193"/>
      <w:bookmarkStart w:id="324" w:name="_Toc297216200"/>
      <w:bookmarkStart w:id="325" w:name="_Toc304295567"/>
      <w:bookmarkStart w:id="326" w:name="_Toc292559399"/>
      <w:bookmarkStart w:id="327" w:name="_Toc296346695"/>
      <w:r>
        <w:rPr>
          <w:rFonts w:ascii="宋体" w:hAnsi="宋体"/>
          <w:szCs w:val="21"/>
        </w:rPr>
        <w:t>0.1变更的范围</w:t>
      </w:r>
    </w:p>
    <w:p>
      <w:pPr>
        <w:spacing w:line="440" w:lineRule="exact"/>
        <w:ind w:firstLine="420" w:firstLineChars="200"/>
        <w:jc w:val="left"/>
        <w:rPr>
          <w:rFonts w:ascii="宋体" w:hAnsi="宋体"/>
          <w:szCs w:val="21"/>
          <w:u w:val="single"/>
        </w:rPr>
      </w:pPr>
      <w:r>
        <w:rPr>
          <w:rFonts w:ascii="宋体" w:hAnsi="宋体"/>
          <w:szCs w:val="21"/>
        </w:rPr>
        <w:t>关于变更的范围的约定：</w:t>
      </w:r>
      <w:r>
        <w:rPr>
          <w:rFonts w:hint="eastAsia" w:ascii="宋体" w:hAnsi="宋体"/>
          <w:szCs w:val="21"/>
          <w:u w:val="single"/>
        </w:rPr>
        <w:t>按通用条款约定</w:t>
      </w:r>
      <w:r>
        <w:rPr>
          <w:rFonts w:ascii="宋体" w:hAnsi="宋体"/>
          <w:szCs w:val="21"/>
          <w:u w:val="single"/>
        </w:rPr>
        <w:t>。</w:t>
      </w:r>
    </w:p>
    <w:p>
      <w:pPr>
        <w:spacing w:line="440" w:lineRule="exact"/>
        <w:ind w:firstLine="420" w:firstLineChars="200"/>
        <w:jc w:val="left"/>
        <w:rPr>
          <w:rFonts w:ascii="宋体" w:hAnsi="宋体"/>
          <w:szCs w:val="21"/>
        </w:rPr>
      </w:pPr>
      <w:r>
        <w:rPr>
          <w:rFonts w:hint="eastAsia" w:ascii="宋体" w:hAnsi="宋体"/>
          <w:szCs w:val="21"/>
        </w:rPr>
        <w:t>10.2变更权</w:t>
      </w:r>
    </w:p>
    <w:p>
      <w:pPr>
        <w:spacing w:line="440" w:lineRule="exact"/>
        <w:ind w:firstLine="422" w:firstLineChars="200"/>
        <w:jc w:val="left"/>
        <w:rPr>
          <w:rFonts w:ascii="宋体" w:hAnsi="宋体"/>
          <w:b/>
          <w:szCs w:val="21"/>
        </w:rPr>
      </w:pPr>
      <w:r>
        <w:rPr>
          <w:rFonts w:hint="eastAsia" w:ascii="宋体" w:hAnsi="宋体"/>
          <w:b/>
          <w:bCs/>
          <w:szCs w:val="21"/>
          <w:u w:val="single"/>
        </w:rPr>
        <w:t>监理单位</w:t>
      </w:r>
      <w:r>
        <w:rPr>
          <w:rFonts w:hint="eastAsia" w:ascii="宋体" w:hAnsi="宋体"/>
          <w:b/>
          <w:szCs w:val="21"/>
          <w:u w:val="single"/>
        </w:rPr>
        <w:t>、承包人、设计单位根据工程需要提出工程变更，需由发包人技术组组织审核其必要性、技术性、可行性、经济性等。设计单位出具变更通知单或变更图纸应经发包人审核同意签字盖章后，方可按工程变更实施。</w:t>
      </w:r>
    </w:p>
    <w:p>
      <w:pPr>
        <w:spacing w:line="440" w:lineRule="exact"/>
        <w:ind w:firstLine="413" w:firstLineChars="196"/>
        <w:jc w:val="left"/>
        <w:rPr>
          <w:rFonts w:ascii="宋体" w:hAnsi="宋体"/>
          <w:b/>
          <w:szCs w:val="21"/>
          <w:u w:val="single"/>
        </w:rPr>
      </w:pPr>
      <w:r>
        <w:rPr>
          <w:rFonts w:hint="eastAsia" w:ascii="宋体" w:hAnsi="宋体"/>
          <w:b/>
          <w:szCs w:val="21"/>
          <w:u w:val="single"/>
        </w:rPr>
        <w:t>承包人不得随意更改设计，因承包人自身原因导致的工程变更，承包人无权要求追加合同价款。</w:t>
      </w:r>
    </w:p>
    <w:p>
      <w:pPr>
        <w:spacing w:line="440" w:lineRule="exact"/>
        <w:ind w:firstLine="413" w:firstLineChars="196"/>
        <w:jc w:val="left"/>
        <w:rPr>
          <w:rFonts w:ascii="宋体" w:hAnsi="宋体"/>
          <w:b/>
          <w:szCs w:val="21"/>
          <w:u w:val="single"/>
        </w:rPr>
      </w:pPr>
      <w:r>
        <w:rPr>
          <w:rFonts w:hint="eastAsia" w:ascii="宋体" w:hAnsi="宋体"/>
          <w:b/>
          <w:szCs w:val="21"/>
          <w:u w:val="single"/>
        </w:rPr>
        <w:t>如承包人擅自变更，发包人有权对其进行处罚，视情节严重每次处以2000元~5000元的处罚。</w:t>
      </w:r>
    </w:p>
    <w:p>
      <w:pPr>
        <w:spacing w:line="440" w:lineRule="exact"/>
        <w:ind w:firstLine="420" w:firstLineChars="200"/>
        <w:jc w:val="left"/>
        <w:rPr>
          <w:rFonts w:ascii="宋体" w:hAnsi="宋体"/>
          <w:szCs w:val="21"/>
        </w:rPr>
      </w:pPr>
      <w:r>
        <w:rPr>
          <w:rFonts w:hint="eastAsia" w:ascii="宋体" w:hAnsi="宋体"/>
          <w:szCs w:val="21"/>
        </w:rPr>
        <w:t>10.3变更程序</w:t>
      </w:r>
    </w:p>
    <w:p>
      <w:pPr>
        <w:spacing w:line="440" w:lineRule="exact"/>
        <w:ind w:firstLine="422" w:firstLineChars="200"/>
        <w:jc w:val="left"/>
        <w:rPr>
          <w:rFonts w:ascii="宋体" w:hAnsi="宋体"/>
          <w:b/>
          <w:szCs w:val="21"/>
          <w:u w:val="single"/>
        </w:rPr>
      </w:pPr>
      <w:r>
        <w:rPr>
          <w:rFonts w:hint="eastAsia" w:ascii="宋体" w:hAnsi="宋体"/>
          <w:b/>
          <w:bCs/>
          <w:szCs w:val="21"/>
          <w:u w:val="single"/>
        </w:rPr>
        <w:t>设计</w:t>
      </w:r>
      <w:r>
        <w:rPr>
          <w:rFonts w:hint="eastAsia" w:ascii="宋体" w:hAnsi="宋体"/>
          <w:b/>
          <w:szCs w:val="21"/>
          <w:u w:val="single"/>
        </w:rPr>
        <w:t>变更、签证资料必须及时经发包人、监理单位书面确认，隐蔽性工程的变更签证要在3日内办理完。承包人在工程变更确定后14天内，提出变更工程价款的报告，经监理工程师签证，发包人批准后方可进行变更。</w:t>
      </w:r>
    </w:p>
    <w:p>
      <w:pPr>
        <w:spacing w:line="440" w:lineRule="exact"/>
        <w:ind w:firstLine="422" w:firstLineChars="200"/>
        <w:jc w:val="left"/>
        <w:rPr>
          <w:rFonts w:ascii="宋体" w:hAnsi="宋体"/>
          <w:b/>
          <w:szCs w:val="21"/>
          <w:u w:val="single"/>
        </w:rPr>
      </w:pPr>
      <w:r>
        <w:rPr>
          <w:rFonts w:hint="eastAsia" w:ascii="宋体" w:hAnsi="宋体"/>
          <w:b/>
          <w:szCs w:val="21"/>
          <w:u w:val="single"/>
        </w:rPr>
        <w:t>合同履约中，双方填制的变更、签证通知单以及办理相关手续，都应严格按照发包人的内部工作管理制度执行，按顺序进行统一分类编号，并附有相应的真实图片及发生的费用，否则发包人可以不予审核。</w:t>
      </w:r>
    </w:p>
    <w:p>
      <w:pPr>
        <w:spacing w:line="440" w:lineRule="exact"/>
        <w:ind w:firstLine="422" w:firstLineChars="200"/>
        <w:jc w:val="left"/>
        <w:rPr>
          <w:rFonts w:ascii="宋体" w:hAnsi="宋体"/>
          <w:b/>
          <w:szCs w:val="21"/>
          <w:u w:val="single"/>
        </w:rPr>
      </w:pPr>
      <w:r>
        <w:rPr>
          <w:rFonts w:hint="eastAsia" w:ascii="宋体" w:hAnsi="宋体"/>
          <w:b/>
          <w:szCs w:val="21"/>
          <w:u w:val="single"/>
        </w:rPr>
        <w:t>承包人作为有经验的承包商，对工程技术及施工图纸中的问题应提前发现，并在图纸会审时或以技术核定单的形式及时提出；如果承包人由于各种原因不提出或未及时提出而导致工程产生的质量、进度、安全、成本等问题及后果，承包人承担一切责任。</w:t>
      </w:r>
    </w:p>
    <w:p>
      <w:pPr>
        <w:spacing w:line="440" w:lineRule="exact"/>
        <w:ind w:firstLine="420" w:firstLineChars="200"/>
        <w:jc w:val="left"/>
        <w:rPr>
          <w:rFonts w:ascii="宋体" w:hAnsi="宋体"/>
          <w:szCs w:val="21"/>
        </w:rPr>
      </w:pPr>
      <w:r>
        <w:rPr>
          <w:rFonts w:hint="eastAsia" w:ascii="宋体" w:hAnsi="宋体"/>
          <w:szCs w:val="21"/>
        </w:rPr>
        <w:t>10.4变更估价</w:t>
      </w:r>
    </w:p>
    <w:p>
      <w:pPr>
        <w:spacing w:line="440" w:lineRule="exact"/>
        <w:ind w:firstLine="420" w:firstLineChars="200"/>
        <w:jc w:val="left"/>
        <w:rPr>
          <w:rFonts w:ascii="宋体" w:hAnsi="宋体"/>
          <w:szCs w:val="21"/>
          <w:u w:val="single"/>
        </w:rPr>
      </w:pPr>
      <w:r>
        <w:rPr>
          <w:rFonts w:hint="eastAsia" w:ascii="宋体" w:hAnsi="宋体"/>
          <w:szCs w:val="21"/>
          <w:u w:val="single"/>
        </w:rPr>
        <w:t>10.4.1 变更估价原则</w:t>
      </w:r>
    </w:p>
    <w:p>
      <w:pPr>
        <w:spacing w:line="440" w:lineRule="exact"/>
        <w:ind w:firstLine="420" w:firstLineChars="200"/>
        <w:jc w:val="left"/>
        <w:rPr>
          <w:rFonts w:ascii="宋体" w:hAnsi="宋体"/>
          <w:szCs w:val="21"/>
          <w:u w:val="single"/>
        </w:rPr>
      </w:pPr>
      <w:r>
        <w:rPr>
          <w:rFonts w:hint="eastAsia" w:ascii="宋体" w:hAnsi="宋体"/>
          <w:szCs w:val="21"/>
          <w:u w:val="single"/>
        </w:rPr>
        <w:t>（1）变更合同价款按下列方式进行：</w:t>
      </w:r>
    </w:p>
    <w:p>
      <w:pPr>
        <w:spacing w:line="440" w:lineRule="exact"/>
        <w:ind w:firstLine="420" w:firstLineChars="200"/>
        <w:jc w:val="left"/>
        <w:rPr>
          <w:rFonts w:ascii="宋体" w:hAnsi="宋体"/>
          <w:szCs w:val="21"/>
          <w:u w:val="single"/>
        </w:rPr>
      </w:pPr>
      <w:r>
        <w:rPr>
          <w:rFonts w:hint="eastAsia" w:ascii="宋体" w:hAnsi="宋体"/>
          <w:szCs w:val="21"/>
          <w:u w:val="single"/>
        </w:rPr>
        <w:t>1）本工程以投标截止日前28天为基准值，其后国家的法律、法规、规章和策发生变化影响工程造价，可根据合同约定调整合同价外，其余一律不作调整。</w:t>
      </w:r>
    </w:p>
    <w:p>
      <w:pPr>
        <w:spacing w:line="440" w:lineRule="exact"/>
        <w:ind w:firstLine="420" w:firstLineChars="200"/>
        <w:jc w:val="left"/>
        <w:rPr>
          <w:rFonts w:ascii="宋体" w:hAnsi="宋体"/>
          <w:szCs w:val="21"/>
          <w:u w:val="single"/>
        </w:rPr>
      </w:pPr>
      <w:r>
        <w:rPr>
          <w:rFonts w:hint="eastAsia" w:ascii="宋体" w:hAnsi="宋体"/>
          <w:szCs w:val="21"/>
          <w:u w:val="single"/>
        </w:rPr>
        <w:t>2）当招标工程量清单出现错误或者工程变更等发包人原因导致工程量清单偏差需要对综合单价应进行调整的，按照以下的计价办法结算：</w:t>
      </w:r>
    </w:p>
    <w:p>
      <w:pPr>
        <w:spacing w:line="440" w:lineRule="exact"/>
        <w:ind w:firstLine="420" w:firstLineChars="200"/>
        <w:jc w:val="left"/>
        <w:rPr>
          <w:rFonts w:ascii="宋体" w:hAnsi="宋体"/>
          <w:szCs w:val="21"/>
          <w:u w:val="single"/>
        </w:rPr>
      </w:pPr>
      <w:r>
        <w:rPr>
          <w:rFonts w:hint="eastAsia" w:ascii="宋体" w:hAnsi="宋体"/>
          <w:szCs w:val="21"/>
          <w:u w:val="single"/>
        </w:rPr>
        <w:fldChar w:fldCharType="begin"/>
      </w:r>
      <w:r>
        <w:rPr>
          <w:rFonts w:hint="eastAsia" w:ascii="宋体" w:hAnsi="宋体"/>
          <w:szCs w:val="21"/>
          <w:u w:val="single"/>
        </w:rPr>
        <w:instrText xml:space="preserve"> = 1 \* GB3 </w:instrText>
      </w:r>
      <w:r>
        <w:rPr>
          <w:rFonts w:hint="eastAsia" w:ascii="宋体" w:hAnsi="宋体"/>
          <w:szCs w:val="21"/>
          <w:u w:val="single"/>
        </w:rPr>
        <w:fldChar w:fldCharType="separate"/>
      </w:r>
      <w:r>
        <w:rPr>
          <w:rFonts w:hint="eastAsia" w:ascii="宋体" w:hAnsi="宋体"/>
          <w:szCs w:val="21"/>
          <w:u w:val="single"/>
        </w:rPr>
        <w:t>①</w:t>
      </w:r>
      <w:r>
        <w:rPr>
          <w:rFonts w:hint="eastAsia" w:ascii="宋体" w:hAnsi="宋体"/>
          <w:szCs w:val="21"/>
          <w:u w:val="single"/>
        </w:rPr>
        <w:fldChar w:fldCharType="end"/>
      </w:r>
      <w:r>
        <w:rPr>
          <w:rFonts w:hint="eastAsia" w:ascii="宋体" w:hAnsi="宋体"/>
          <w:szCs w:val="21"/>
          <w:u w:val="single"/>
        </w:rPr>
        <w:t>当工程因变更、签证或清单工程量错误等原因导致实际工程量变化时，该项目的单价应按下列方式调整：</w:t>
      </w:r>
    </w:p>
    <w:p>
      <w:pPr>
        <w:spacing w:line="440" w:lineRule="exact"/>
        <w:ind w:firstLine="420" w:firstLineChars="200"/>
        <w:jc w:val="left"/>
        <w:rPr>
          <w:rFonts w:ascii="宋体" w:hAnsi="宋体"/>
          <w:szCs w:val="21"/>
          <w:u w:val="single"/>
        </w:rPr>
      </w:pPr>
      <w:r>
        <w:rPr>
          <w:rFonts w:hint="eastAsia" w:ascii="宋体" w:hAnsi="宋体"/>
          <w:szCs w:val="21"/>
          <w:u w:val="single"/>
        </w:rPr>
        <w:t>当Q1＞1.15Q0时：  S＝1.15Q0×P0+(Q1－1.15Q0)×P1</w:t>
      </w:r>
    </w:p>
    <w:p>
      <w:pPr>
        <w:spacing w:line="440" w:lineRule="exact"/>
        <w:ind w:firstLine="420" w:firstLineChars="200"/>
        <w:jc w:val="left"/>
        <w:rPr>
          <w:rFonts w:ascii="宋体" w:hAnsi="宋体"/>
          <w:szCs w:val="21"/>
          <w:u w:val="single"/>
        </w:rPr>
      </w:pPr>
      <w:r>
        <w:rPr>
          <w:rFonts w:hint="eastAsia" w:ascii="宋体" w:hAnsi="宋体"/>
          <w:szCs w:val="21"/>
          <w:u w:val="single"/>
        </w:rPr>
        <w:t>当0.85Q0≤Q1≤1.15Q0时：S＝Q1×P0</w:t>
      </w:r>
    </w:p>
    <w:p>
      <w:pPr>
        <w:spacing w:line="440" w:lineRule="exact"/>
        <w:ind w:firstLine="420" w:firstLineChars="200"/>
        <w:jc w:val="left"/>
        <w:rPr>
          <w:rFonts w:ascii="宋体" w:hAnsi="宋体"/>
          <w:szCs w:val="21"/>
          <w:u w:val="single"/>
        </w:rPr>
      </w:pPr>
      <w:r>
        <w:rPr>
          <w:rFonts w:hint="eastAsia" w:ascii="宋体" w:hAnsi="宋体"/>
          <w:szCs w:val="21"/>
          <w:u w:val="single"/>
        </w:rPr>
        <w:t>当Q1＜0.85Q0：  S＝Q1×P1</w:t>
      </w:r>
    </w:p>
    <w:p>
      <w:pPr>
        <w:spacing w:line="440" w:lineRule="exact"/>
        <w:ind w:firstLine="420" w:firstLineChars="200"/>
        <w:jc w:val="left"/>
        <w:rPr>
          <w:rFonts w:ascii="宋体" w:hAnsi="宋体"/>
          <w:szCs w:val="21"/>
          <w:u w:val="single"/>
        </w:rPr>
      </w:pPr>
      <w:r>
        <w:rPr>
          <w:rFonts w:hint="eastAsia" w:ascii="宋体" w:hAnsi="宋体"/>
          <w:szCs w:val="21"/>
          <w:u w:val="single"/>
        </w:rPr>
        <w:t>S－调整后的某一分部分项工程费结算价</w:t>
      </w:r>
    </w:p>
    <w:p>
      <w:pPr>
        <w:spacing w:line="440" w:lineRule="exact"/>
        <w:ind w:firstLine="420" w:firstLineChars="200"/>
        <w:jc w:val="left"/>
        <w:rPr>
          <w:rFonts w:ascii="宋体" w:hAnsi="宋体"/>
          <w:szCs w:val="21"/>
          <w:u w:val="single"/>
        </w:rPr>
      </w:pPr>
      <w:r>
        <w:rPr>
          <w:rFonts w:hint="eastAsia" w:ascii="宋体" w:hAnsi="宋体"/>
          <w:szCs w:val="21"/>
          <w:u w:val="single"/>
        </w:rPr>
        <w:t>Q1－最终完成的工程量</w:t>
      </w:r>
    </w:p>
    <w:p>
      <w:pPr>
        <w:spacing w:line="440" w:lineRule="exact"/>
        <w:ind w:firstLine="420" w:firstLineChars="200"/>
        <w:jc w:val="left"/>
        <w:rPr>
          <w:rFonts w:ascii="宋体" w:hAnsi="宋体"/>
          <w:szCs w:val="21"/>
          <w:u w:val="single"/>
        </w:rPr>
      </w:pPr>
      <w:r>
        <w:rPr>
          <w:rFonts w:hint="eastAsia" w:ascii="宋体" w:hAnsi="宋体"/>
          <w:szCs w:val="21"/>
          <w:u w:val="single"/>
        </w:rPr>
        <w:t>Q0－招标工程量清单中列出的工程量</w:t>
      </w:r>
    </w:p>
    <w:p>
      <w:pPr>
        <w:spacing w:line="440" w:lineRule="exact"/>
        <w:ind w:firstLine="420" w:firstLineChars="200"/>
        <w:jc w:val="left"/>
        <w:rPr>
          <w:rFonts w:ascii="宋体" w:hAnsi="宋体"/>
          <w:szCs w:val="21"/>
          <w:u w:val="single"/>
        </w:rPr>
      </w:pPr>
      <w:r>
        <w:rPr>
          <w:rFonts w:hint="eastAsia" w:ascii="宋体" w:hAnsi="宋体"/>
          <w:szCs w:val="21"/>
          <w:u w:val="single"/>
        </w:rPr>
        <w:t>P0－承包人在工程量清单中填报的综合单价</w:t>
      </w:r>
    </w:p>
    <w:p>
      <w:pPr>
        <w:spacing w:line="440" w:lineRule="exact"/>
        <w:ind w:firstLine="420" w:firstLineChars="200"/>
        <w:jc w:val="left"/>
        <w:rPr>
          <w:rFonts w:ascii="宋体" w:hAnsi="宋体"/>
          <w:szCs w:val="21"/>
          <w:u w:val="single"/>
        </w:rPr>
      </w:pPr>
      <w:r>
        <w:rPr>
          <w:rFonts w:hint="eastAsia" w:ascii="宋体" w:hAnsi="宋体"/>
          <w:szCs w:val="21"/>
          <w:u w:val="single"/>
        </w:rPr>
        <w:t>P1－按照最终完成工程量重新调整后的综合单价（即按招标控制价编制依据计价×（1-承包人报价浮动率），如招标控制价中出现明显错误的综合单价时，可按控制价编制原则进行修正，[报价浮动率c＝（1－中标价/招标控制价）×100%，中标价、招标控制价须扣除暂估价、暂列金额及相应的规费税金]提出变更工程项目的单价，并应报发包人确认后调整。）</w:t>
      </w:r>
    </w:p>
    <w:p>
      <w:pPr>
        <w:spacing w:line="440" w:lineRule="exact"/>
        <w:ind w:firstLine="420" w:firstLineChars="200"/>
        <w:jc w:val="left"/>
        <w:rPr>
          <w:rFonts w:ascii="宋体" w:hAnsi="宋体"/>
          <w:szCs w:val="21"/>
          <w:u w:val="single"/>
        </w:rPr>
      </w:pPr>
      <w:r>
        <w:rPr>
          <w:rFonts w:hint="eastAsia" w:ascii="宋体" w:hAnsi="宋体"/>
          <w:szCs w:val="21"/>
          <w:u w:val="single"/>
        </w:rPr>
        <w:t>当工程量增加15%以上时，增加部分的工程量综合单价应予调低(P0与P1两者取较小值)；</w:t>
      </w:r>
    </w:p>
    <w:p>
      <w:pPr>
        <w:spacing w:line="440" w:lineRule="exact"/>
        <w:ind w:firstLine="420" w:firstLineChars="200"/>
        <w:jc w:val="left"/>
        <w:rPr>
          <w:rFonts w:ascii="宋体" w:hAnsi="宋体"/>
          <w:szCs w:val="21"/>
          <w:u w:val="single"/>
        </w:rPr>
      </w:pPr>
      <w:r>
        <w:rPr>
          <w:rFonts w:hint="eastAsia" w:ascii="宋体" w:hAnsi="宋体"/>
          <w:szCs w:val="21"/>
          <w:u w:val="single"/>
        </w:rPr>
        <w:t>当工程量减少15%以上时，减少后剩余部分工程量的综合单价应予调高，当P0&lt;P1时，调高部分按Q1*（P1-P0）*30%计取，即S＝Q1×P0+ Q1*（P1-P0）*30%；当P0&gt;P1时，则S＝Q1×P0。但若承包人出现不平衡报价，当P0&lt;P1*0.85时，则S＝Q1×P0，当P0&gt;1.15*P1时，即S＝Q1×P1。</w:t>
      </w:r>
    </w:p>
    <w:p>
      <w:pPr>
        <w:spacing w:line="440" w:lineRule="exact"/>
        <w:ind w:firstLine="420" w:firstLineChars="200"/>
        <w:jc w:val="left"/>
        <w:rPr>
          <w:rFonts w:ascii="宋体" w:hAnsi="宋体"/>
          <w:szCs w:val="21"/>
          <w:u w:val="single"/>
        </w:rPr>
      </w:pPr>
      <w:r>
        <w:rPr>
          <w:rFonts w:hint="eastAsia" w:ascii="宋体" w:hAnsi="宋体"/>
          <w:szCs w:val="21"/>
          <w:u w:val="single"/>
        </w:rPr>
        <w:fldChar w:fldCharType="begin"/>
      </w:r>
      <w:r>
        <w:rPr>
          <w:rFonts w:hint="eastAsia" w:ascii="宋体" w:hAnsi="宋体"/>
          <w:szCs w:val="21"/>
          <w:u w:val="single"/>
        </w:rPr>
        <w:instrText xml:space="preserve"> = 2 \* GB3 </w:instrText>
      </w:r>
      <w:r>
        <w:rPr>
          <w:rFonts w:hint="eastAsia" w:ascii="宋体" w:hAnsi="宋体"/>
          <w:szCs w:val="21"/>
          <w:u w:val="single"/>
        </w:rPr>
        <w:fldChar w:fldCharType="separate"/>
      </w:r>
      <w:r>
        <w:rPr>
          <w:rFonts w:hint="eastAsia" w:ascii="宋体" w:hAnsi="宋体"/>
          <w:szCs w:val="21"/>
          <w:u w:val="single"/>
        </w:rPr>
        <w:t>②</w:t>
      </w:r>
      <w:r>
        <w:rPr>
          <w:rFonts w:hint="eastAsia" w:ascii="宋体" w:hAnsi="宋体"/>
          <w:szCs w:val="21"/>
          <w:u w:val="single"/>
        </w:rPr>
        <w:fldChar w:fldCharType="end"/>
      </w:r>
      <w:r>
        <w:rPr>
          <w:rFonts w:hint="eastAsia" w:ascii="宋体" w:hAnsi="宋体"/>
          <w:szCs w:val="21"/>
          <w:u w:val="single"/>
        </w:rPr>
        <w:t>已标价工程量清单中有适用于变更工程项目的，应采用该项目的单价；已标价工程量清单中没有适用但有类似于变更工程项目的，可在合理范围内参照类似项目的单价。</w:t>
      </w:r>
    </w:p>
    <w:p>
      <w:pPr>
        <w:spacing w:line="440" w:lineRule="exact"/>
        <w:ind w:firstLine="420" w:firstLineChars="200"/>
        <w:jc w:val="left"/>
        <w:rPr>
          <w:rFonts w:ascii="宋体" w:hAnsi="宋体"/>
          <w:szCs w:val="21"/>
          <w:u w:val="single"/>
        </w:rPr>
      </w:pPr>
      <w:r>
        <w:rPr>
          <w:rFonts w:hint="eastAsia" w:ascii="宋体" w:hAnsi="宋体"/>
          <w:szCs w:val="21"/>
          <w:u w:val="single"/>
        </w:rPr>
        <w:fldChar w:fldCharType="begin"/>
      </w:r>
      <w:r>
        <w:rPr>
          <w:rFonts w:hint="eastAsia" w:ascii="宋体" w:hAnsi="宋体"/>
          <w:szCs w:val="21"/>
          <w:u w:val="single"/>
        </w:rPr>
        <w:instrText xml:space="preserve"> = 3 \* GB3 </w:instrText>
      </w:r>
      <w:r>
        <w:rPr>
          <w:rFonts w:hint="eastAsia" w:ascii="宋体" w:hAnsi="宋体"/>
          <w:szCs w:val="21"/>
          <w:u w:val="single"/>
        </w:rPr>
        <w:fldChar w:fldCharType="separate"/>
      </w:r>
      <w:r>
        <w:rPr>
          <w:rFonts w:hint="eastAsia" w:ascii="宋体" w:hAnsi="宋体"/>
          <w:szCs w:val="21"/>
          <w:u w:val="single"/>
        </w:rPr>
        <w:t>③</w:t>
      </w:r>
      <w:r>
        <w:rPr>
          <w:rFonts w:hint="eastAsia" w:ascii="宋体" w:hAnsi="宋体"/>
          <w:szCs w:val="21"/>
          <w:u w:val="single"/>
        </w:rPr>
        <w:fldChar w:fldCharType="end"/>
      </w:r>
      <w:r>
        <w:rPr>
          <w:rFonts w:hint="eastAsia" w:ascii="宋体" w:hAnsi="宋体"/>
          <w:szCs w:val="21"/>
          <w:u w:val="single"/>
        </w:rPr>
        <w:t>已标价工程量清单中没有适用也没有类似于变更工程项目的，应由承包人根据变更工程资料、计量规则和按招标控制价编制依据计价×（1-承包人报价浮动率）[报价浮动率c＝（1－中标价/招标控制价）×100%，中标价、招标控制价须扣除暂估价、暂列金额及相应的规费税金]提出变更工程项目的单价，并应报发包人确认后调整。</w:t>
      </w:r>
    </w:p>
    <w:p>
      <w:pPr>
        <w:spacing w:line="440" w:lineRule="exact"/>
        <w:ind w:firstLine="420" w:firstLineChars="200"/>
        <w:jc w:val="left"/>
        <w:rPr>
          <w:rFonts w:ascii="宋体" w:hAnsi="宋体"/>
          <w:szCs w:val="21"/>
          <w:u w:val="single"/>
        </w:rPr>
      </w:pPr>
      <w:r>
        <w:rPr>
          <w:rFonts w:hint="eastAsia" w:ascii="宋体" w:hAnsi="宋体"/>
          <w:szCs w:val="21"/>
          <w:u w:val="single"/>
        </w:rPr>
        <w:fldChar w:fldCharType="begin"/>
      </w:r>
      <w:r>
        <w:rPr>
          <w:rFonts w:hint="eastAsia" w:ascii="宋体" w:hAnsi="宋体"/>
          <w:szCs w:val="21"/>
          <w:u w:val="single"/>
        </w:rPr>
        <w:instrText xml:space="preserve"> = 4 \* GB3 </w:instrText>
      </w:r>
      <w:r>
        <w:rPr>
          <w:rFonts w:hint="eastAsia" w:ascii="宋体" w:hAnsi="宋体"/>
          <w:szCs w:val="21"/>
          <w:u w:val="single"/>
        </w:rPr>
        <w:fldChar w:fldCharType="separate"/>
      </w:r>
      <w:r>
        <w:rPr>
          <w:rFonts w:hint="eastAsia" w:ascii="宋体" w:hAnsi="宋体"/>
          <w:szCs w:val="21"/>
          <w:u w:val="single"/>
        </w:rPr>
        <w:t>④</w:t>
      </w:r>
      <w:r>
        <w:rPr>
          <w:rFonts w:hint="eastAsia" w:ascii="宋体" w:hAnsi="宋体"/>
          <w:szCs w:val="21"/>
          <w:u w:val="single"/>
        </w:rPr>
        <w:fldChar w:fldCharType="end"/>
      </w:r>
      <w:r>
        <w:rPr>
          <w:rFonts w:hint="eastAsia" w:ascii="宋体" w:hAnsi="宋体"/>
          <w:szCs w:val="21"/>
          <w:u w:val="single"/>
        </w:rPr>
        <w:t>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pPr>
        <w:spacing w:line="440" w:lineRule="exact"/>
        <w:ind w:firstLine="420" w:firstLineChars="200"/>
        <w:jc w:val="left"/>
        <w:rPr>
          <w:rFonts w:ascii="宋体" w:hAnsi="宋体"/>
          <w:szCs w:val="21"/>
          <w:u w:val="single"/>
        </w:rPr>
      </w:pPr>
      <w:r>
        <w:rPr>
          <w:rFonts w:hint="eastAsia" w:ascii="宋体" w:hAnsi="宋体"/>
          <w:szCs w:val="21"/>
          <w:u w:val="single"/>
        </w:rPr>
        <w:t>3）工程变更引起施工方案改变并使措施项目发生变化时，承包人提出调整措施项目费的，应事先将拟实施的方案提交发包人确认，并应详细说明与原方案措施项目相比的变化情况。经发承包双方确认后执行，并按照下列规定调整：安全文明施工费按招标文件规定的费率且以最终核定的结果为准；采用单价计算的措施项目费，应按照实际发生变化的措施项目调整，按本条目中的有关约定确定单价（招标文件另有约定按照投标报价一次性包定结算时不调整的项目除外）；按总价（或系数）计算的措施项目费，则一次性包定，结算时不予调整。</w:t>
      </w:r>
    </w:p>
    <w:p>
      <w:pPr>
        <w:spacing w:line="440" w:lineRule="exact"/>
        <w:ind w:firstLine="420" w:firstLineChars="200"/>
        <w:jc w:val="left"/>
        <w:rPr>
          <w:rFonts w:ascii="宋体" w:hAnsi="宋体"/>
          <w:szCs w:val="21"/>
          <w:u w:val="single"/>
        </w:rPr>
      </w:pPr>
      <w:r>
        <w:rPr>
          <w:rFonts w:hint="eastAsia" w:ascii="宋体" w:hAnsi="宋体"/>
          <w:szCs w:val="21"/>
          <w:u w:val="single"/>
        </w:rPr>
        <w:t>4）关于变更估价的约定：</w:t>
      </w:r>
    </w:p>
    <w:p>
      <w:pPr>
        <w:spacing w:line="440" w:lineRule="exact"/>
        <w:ind w:firstLine="420" w:firstLineChars="200"/>
        <w:jc w:val="left"/>
        <w:rPr>
          <w:rFonts w:ascii="宋体" w:hAnsi="宋体"/>
          <w:szCs w:val="21"/>
          <w:u w:val="single"/>
        </w:rPr>
      </w:pPr>
      <w:r>
        <w:rPr>
          <w:rFonts w:hint="eastAsia" w:ascii="宋体" w:hAnsi="宋体"/>
          <w:szCs w:val="21"/>
          <w:u w:val="single"/>
        </w:rPr>
        <w:t xml:space="preserve">1、承包人应在工程设计变更或工程量签证确定后14天内，提出变更工程价款报告，经监理机构审批后调整合同价款，否则，视为该工程不涉及合同价款的变更。 </w:t>
      </w:r>
    </w:p>
    <w:p>
      <w:pPr>
        <w:spacing w:line="440" w:lineRule="exact"/>
        <w:ind w:firstLine="420" w:firstLineChars="200"/>
        <w:jc w:val="left"/>
        <w:rPr>
          <w:rFonts w:ascii="宋体" w:hAnsi="宋体"/>
          <w:szCs w:val="21"/>
          <w:u w:val="single"/>
        </w:rPr>
      </w:pPr>
      <w:r>
        <w:rPr>
          <w:rFonts w:hint="eastAsia" w:ascii="宋体" w:hAnsi="宋体"/>
          <w:szCs w:val="21"/>
          <w:u w:val="single"/>
        </w:rPr>
        <w:t>2、承包人不得随意更改设计，因承包人自身原因导致的工程变更，承包人无权要求追加合同价款。承包人提出的合理化建议等涉及到设计变更或补充的，应征得总监及发包人同意。</w:t>
      </w:r>
    </w:p>
    <w:p>
      <w:pPr>
        <w:spacing w:line="440" w:lineRule="exact"/>
        <w:ind w:firstLine="420" w:firstLineChars="200"/>
        <w:jc w:val="left"/>
        <w:rPr>
          <w:rFonts w:ascii="宋体" w:hAnsi="宋体"/>
          <w:szCs w:val="21"/>
          <w:u w:val="single"/>
        </w:rPr>
      </w:pPr>
      <w:r>
        <w:rPr>
          <w:rFonts w:hint="eastAsia" w:ascii="宋体" w:hAnsi="宋体"/>
          <w:szCs w:val="21"/>
          <w:u w:val="single"/>
        </w:rPr>
        <w:t>3、设计变更、签证资料必须及时报经监理初审，并报发包人确认，隐蔽性工程的变更签证要在3日内办理完成，其它变更签证15日内办理完成，逾期签证发包人将不予受理。</w:t>
      </w:r>
    </w:p>
    <w:p>
      <w:pPr>
        <w:spacing w:line="440" w:lineRule="exact"/>
        <w:ind w:firstLine="420" w:firstLineChars="200"/>
        <w:jc w:val="left"/>
        <w:rPr>
          <w:rFonts w:ascii="宋体" w:hAnsi="宋体"/>
          <w:szCs w:val="21"/>
          <w:u w:val="single"/>
        </w:rPr>
      </w:pPr>
      <w:r>
        <w:rPr>
          <w:rFonts w:hint="eastAsia" w:ascii="宋体" w:hAnsi="宋体"/>
          <w:szCs w:val="21"/>
          <w:u w:val="single"/>
        </w:rPr>
        <w:t>4、工程变更价款调整：详见本合同专业条款第12.1条。</w:t>
      </w:r>
    </w:p>
    <w:p>
      <w:pPr>
        <w:spacing w:line="440" w:lineRule="exact"/>
        <w:ind w:firstLine="420" w:firstLineChars="200"/>
        <w:jc w:val="left"/>
        <w:rPr>
          <w:rFonts w:ascii="宋体" w:hAnsi="宋体"/>
          <w:szCs w:val="21"/>
        </w:rPr>
      </w:pPr>
      <w:r>
        <w:rPr>
          <w:rFonts w:ascii="宋体" w:hAnsi="宋体"/>
          <w:szCs w:val="21"/>
        </w:rPr>
        <w:t>1</w:t>
      </w:r>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Start w:id="328" w:name="_Toc300934993"/>
      <w:bookmarkStart w:id="329" w:name="_Toc303539150"/>
      <w:bookmarkStart w:id="330" w:name="_Toc297048383"/>
      <w:bookmarkStart w:id="331" w:name="_Toc297120497"/>
      <w:bookmarkStart w:id="332" w:name="_Toc296503197"/>
      <w:bookmarkStart w:id="333" w:name="_Toc296347196"/>
      <w:bookmarkStart w:id="334" w:name="_Toc296346698"/>
      <w:bookmarkStart w:id="335" w:name="_Toc292559907"/>
      <w:bookmarkStart w:id="336" w:name="_Toc296891025"/>
      <w:bookmarkStart w:id="337" w:name="_Toc296944536"/>
      <w:bookmarkStart w:id="338" w:name="_Toc292559402"/>
      <w:bookmarkStart w:id="339" w:name="_Toc297216203"/>
      <w:bookmarkStart w:id="340" w:name="_Toc296891237"/>
      <w:bookmarkStart w:id="341" w:name="_Toc297123544"/>
      <w:bookmarkStart w:id="342" w:name="_Toc312677503"/>
      <w:bookmarkStart w:id="343" w:name="_Toc312678029"/>
      <w:bookmarkStart w:id="344" w:name="_Toc304295570"/>
      <w:r>
        <w:rPr>
          <w:rFonts w:ascii="宋体" w:hAnsi="宋体"/>
          <w:szCs w:val="21"/>
        </w:rPr>
        <w:t>0.5</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Start w:id="345" w:name="_Toc297216204"/>
      <w:bookmarkStart w:id="346" w:name="_Toc296503203"/>
      <w:bookmarkStart w:id="347" w:name="_Toc292559913"/>
      <w:bookmarkStart w:id="348" w:name="_Toc292559408"/>
      <w:bookmarkStart w:id="349" w:name="_Toc297123545"/>
      <w:bookmarkStart w:id="350" w:name="_Toc296346704"/>
      <w:bookmarkStart w:id="351" w:name="_Toc297048389"/>
      <w:bookmarkStart w:id="352" w:name="_Toc300934994"/>
      <w:bookmarkStart w:id="353" w:name="_Toc296347202"/>
      <w:bookmarkStart w:id="354" w:name="_Toc296891031"/>
      <w:bookmarkStart w:id="355" w:name="_Toc296944542"/>
      <w:bookmarkStart w:id="356" w:name="_Toc296891243"/>
      <w:bookmarkStart w:id="357" w:name="_Toc297120503"/>
      <w:bookmarkStart w:id="358" w:name="_Toc303539151"/>
      <w:r>
        <w:rPr>
          <w:rFonts w:hint="eastAsia" w:ascii="宋体" w:hAnsi="宋体"/>
          <w:szCs w:val="21"/>
        </w:rPr>
        <w:t>承包人</w:t>
      </w:r>
      <w:r>
        <w:rPr>
          <w:rFonts w:ascii="宋体" w:hAnsi="宋体"/>
          <w:szCs w:val="21"/>
        </w:rPr>
        <w:t>的合理化建议</w:t>
      </w:r>
    </w:p>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Pr>
        <w:spacing w:line="440" w:lineRule="exact"/>
        <w:ind w:firstLine="420" w:firstLineChars="200"/>
        <w:jc w:val="left"/>
        <w:rPr>
          <w:rFonts w:ascii="宋体" w:hAnsi="宋体"/>
          <w:szCs w:val="21"/>
        </w:rPr>
      </w:pPr>
      <w:r>
        <w:rPr>
          <w:rFonts w:ascii="宋体" w:hAnsi="宋体"/>
          <w:szCs w:val="21"/>
        </w:rPr>
        <w:t>监理人审查</w:t>
      </w:r>
      <w:r>
        <w:rPr>
          <w:rFonts w:hint="eastAsia" w:ascii="宋体" w:hAnsi="宋体"/>
          <w:szCs w:val="21"/>
        </w:rPr>
        <w:t>承包人</w:t>
      </w:r>
      <w:r>
        <w:rPr>
          <w:rFonts w:ascii="宋体" w:hAnsi="宋体"/>
          <w:szCs w:val="21"/>
        </w:rPr>
        <w:t>合理化建议的期限：</w:t>
      </w:r>
      <w:r>
        <w:rPr>
          <w:rFonts w:hint="eastAsia" w:ascii="宋体" w:hAnsi="宋体"/>
          <w:szCs w:val="21"/>
          <w:u w:val="single"/>
        </w:rPr>
        <w:t>/</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发包人审批</w:t>
      </w:r>
      <w:r>
        <w:rPr>
          <w:rFonts w:hint="eastAsia" w:ascii="宋体" w:hAnsi="宋体"/>
          <w:szCs w:val="21"/>
        </w:rPr>
        <w:t>承包人</w:t>
      </w:r>
      <w:r>
        <w:rPr>
          <w:rFonts w:ascii="宋体" w:hAnsi="宋体"/>
          <w:szCs w:val="21"/>
        </w:rPr>
        <w:t>合理化建议的期限：</w:t>
      </w:r>
      <w:r>
        <w:rPr>
          <w:rFonts w:hint="eastAsia" w:ascii="宋体" w:hAnsi="宋体"/>
          <w:szCs w:val="21"/>
          <w:u w:val="single"/>
        </w:rPr>
        <w:t>/</w:t>
      </w:r>
      <w:r>
        <w:rPr>
          <w:rFonts w:ascii="宋体" w:hAnsi="宋体"/>
          <w:szCs w:val="21"/>
        </w:rPr>
        <w:t>。</w:t>
      </w:r>
    </w:p>
    <w:p>
      <w:pPr>
        <w:spacing w:line="440" w:lineRule="exact"/>
        <w:jc w:val="left"/>
        <w:rPr>
          <w:rFonts w:ascii="宋体" w:hAnsi="宋体"/>
          <w:szCs w:val="21"/>
          <w:u w:val="single"/>
        </w:rPr>
      </w:pPr>
      <w:bookmarkStart w:id="359" w:name="_Toc318581175"/>
      <w:bookmarkStart w:id="360" w:name="_Toc292559409"/>
      <w:bookmarkStart w:id="361" w:name="_Toc303539152"/>
      <w:bookmarkStart w:id="362" w:name="_Toc296503204"/>
      <w:bookmarkStart w:id="363" w:name="_Toc296944543"/>
      <w:bookmarkStart w:id="364" w:name="_Toc297120504"/>
      <w:bookmarkStart w:id="365" w:name="_Toc292559914"/>
      <w:bookmarkStart w:id="366" w:name="_Toc296347203"/>
      <w:bookmarkStart w:id="367" w:name="_Toc296346705"/>
      <w:bookmarkStart w:id="368" w:name="_Toc304295571"/>
      <w:bookmarkStart w:id="369" w:name="_Toc297123546"/>
      <w:bookmarkStart w:id="370" w:name="_Toc297048390"/>
      <w:bookmarkStart w:id="371" w:name="_Toc312677504"/>
      <w:bookmarkStart w:id="372" w:name="_Toc296891244"/>
      <w:bookmarkStart w:id="373" w:name="_Toc296891032"/>
      <w:bookmarkStart w:id="374" w:name="_Toc300934995"/>
      <w:bookmarkStart w:id="375" w:name="_Toc297216205"/>
      <w:bookmarkStart w:id="376" w:name="_Toc312678030"/>
      <w:r>
        <w:rPr>
          <w:rFonts w:hint="eastAsia" w:ascii="宋体" w:hAnsi="宋体"/>
          <w:szCs w:val="21"/>
        </w:rPr>
        <w:t>承包人</w:t>
      </w:r>
      <w:r>
        <w:rPr>
          <w:rFonts w:ascii="宋体" w:hAnsi="宋体"/>
          <w:szCs w:val="21"/>
        </w:rPr>
        <w:t>提出的合理化建议降低了合同价格或者提高了工程经济效益的奖励的方法和金额为：</w:t>
      </w:r>
      <w:r>
        <w:rPr>
          <w:rFonts w:hint="eastAsia" w:ascii="宋体" w:hAnsi="宋体"/>
          <w:szCs w:val="21"/>
          <w:u w:val="single"/>
        </w:rPr>
        <w:t>/</w:t>
      </w:r>
      <w:r>
        <w:rPr>
          <w:rFonts w:ascii="宋体" w:hAnsi="宋体"/>
          <w:szCs w:val="21"/>
        </w:rPr>
        <w:t>。</w:t>
      </w:r>
    </w:p>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Pr>
        <w:spacing w:line="440" w:lineRule="exact"/>
        <w:ind w:firstLine="420" w:firstLineChars="200"/>
        <w:jc w:val="left"/>
        <w:rPr>
          <w:rFonts w:ascii="宋体" w:hAnsi="宋体"/>
          <w:szCs w:val="21"/>
        </w:rPr>
      </w:pPr>
      <w:r>
        <w:rPr>
          <w:rFonts w:ascii="宋体" w:hAnsi="宋体"/>
          <w:szCs w:val="21"/>
        </w:rPr>
        <w:t>1</w:t>
      </w:r>
      <w:bookmarkStart w:id="377" w:name="_Toc296944538"/>
      <w:bookmarkStart w:id="378" w:name="_Toc304295574"/>
      <w:bookmarkStart w:id="379" w:name="_Toc297120499"/>
      <w:bookmarkStart w:id="380" w:name="_Toc303539154"/>
      <w:bookmarkStart w:id="381" w:name="_Toc296891027"/>
      <w:bookmarkStart w:id="382" w:name="_Toc292559909"/>
      <w:bookmarkStart w:id="383" w:name="_Toc297048385"/>
      <w:bookmarkStart w:id="384" w:name="_Toc292559404"/>
      <w:bookmarkStart w:id="385" w:name="_Toc296346700"/>
      <w:bookmarkStart w:id="386" w:name="_Toc300934997"/>
      <w:bookmarkStart w:id="387" w:name="_Toc296891239"/>
      <w:bookmarkStart w:id="388" w:name="_Toc297216207"/>
      <w:bookmarkStart w:id="389" w:name="_Toc312678033"/>
      <w:bookmarkStart w:id="390" w:name="_Toc296503199"/>
      <w:bookmarkStart w:id="391" w:name="_Toc297123548"/>
      <w:bookmarkStart w:id="392" w:name="_Toc296347198"/>
      <w:bookmarkStart w:id="393" w:name="_Toc312677507"/>
      <w:r>
        <w:rPr>
          <w:rFonts w:ascii="宋体" w:hAnsi="宋体"/>
          <w:szCs w:val="21"/>
        </w:rPr>
        <w:t>0.7 暂估价</w:t>
      </w:r>
    </w:p>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Pr>
        <w:spacing w:line="440" w:lineRule="exact"/>
        <w:ind w:firstLine="420" w:firstLineChars="200"/>
        <w:jc w:val="left"/>
        <w:rPr>
          <w:rFonts w:ascii="宋体" w:hAnsi="宋体"/>
          <w:szCs w:val="21"/>
        </w:rPr>
      </w:pPr>
      <w:r>
        <w:rPr>
          <w:rFonts w:ascii="宋体" w:hAnsi="宋体"/>
          <w:szCs w:val="21"/>
        </w:rPr>
        <w:t>1</w:t>
      </w:r>
      <w:bookmarkStart w:id="394" w:name="_Toc318581177"/>
      <w:bookmarkStart w:id="395" w:name="_Toc312678035"/>
      <w:bookmarkStart w:id="396" w:name="_Toc312677509"/>
      <w:r>
        <w:rPr>
          <w:rFonts w:ascii="宋体" w:hAnsi="宋体"/>
          <w:szCs w:val="21"/>
        </w:rPr>
        <w:t>0.7.1 依法必须招标的暂估价项目</w:t>
      </w:r>
    </w:p>
    <w:bookmarkEnd w:id="394"/>
    <w:bookmarkEnd w:id="395"/>
    <w:bookmarkEnd w:id="396"/>
    <w:p>
      <w:pPr>
        <w:spacing w:line="440" w:lineRule="exact"/>
        <w:ind w:firstLine="420" w:firstLineChars="200"/>
        <w:jc w:val="left"/>
        <w:rPr>
          <w:rFonts w:ascii="宋体" w:hAnsi="宋体"/>
          <w:szCs w:val="21"/>
        </w:rPr>
      </w:pPr>
      <w:r>
        <w:rPr>
          <w:rFonts w:ascii="宋体" w:hAnsi="宋体"/>
          <w:szCs w:val="21"/>
        </w:rPr>
        <w:t>对于依法必须招标的暂估价项目的确认和批准采取第</w:t>
      </w:r>
      <w:r>
        <w:rPr>
          <w:rFonts w:hint="eastAsia" w:ascii="宋体" w:hAnsi="宋体"/>
          <w:szCs w:val="21"/>
          <w:u w:val="single"/>
        </w:rPr>
        <w:t xml:space="preserve">/ </w:t>
      </w:r>
      <w:r>
        <w:rPr>
          <w:rFonts w:ascii="宋体" w:hAnsi="宋体"/>
          <w:szCs w:val="21"/>
        </w:rPr>
        <w:t>种方式确定。</w:t>
      </w:r>
    </w:p>
    <w:p>
      <w:pPr>
        <w:spacing w:line="440" w:lineRule="exact"/>
        <w:ind w:firstLine="420" w:firstLineChars="200"/>
        <w:jc w:val="left"/>
        <w:rPr>
          <w:rFonts w:ascii="宋体" w:hAnsi="宋体"/>
          <w:szCs w:val="21"/>
        </w:rPr>
      </w:pPr>
      <w:r>
        <w:rPr>
          <w:rFonts w:ascii="宋体" w:hAnsi="宋体"/>
          <w:szCs w:val="21"/>
        </w:rPr>
        <w:t>10.7.2 不属于依法必须招标的暂估价项目</w:t>
      </w:r>
    </w:p>
    <w:p>
      <w:pPr>
        <w:spacing w:line="440" w:lineRule="exact"/>
        <w:ind w:firstLine="420" w:firstLineChars="200"/>
        <w:jc w:val="left"/>
        <w:rPr>
          <w:rFonts w:ascii="宋体" w:hAnsi="宋体"/>
          <w:szCs w:val="21"/>
        </w:rPr>
      </w:pPr>
      <w:r>
        <w:rPr>
          <w:rFonts w:ascii="宋体" w:hAnsi="宋体"/>
          <w:szCs w:val="21"/>
        </w:rPr>
        <w:t>对于不属于依法必须招标的暂估价项目的确认和批准采取第</w:t>
      </w:r>
      <w:r>
        <w:rPr>
          <w:rFonts w:hint="eastAsia" w:ascii="宋体" w:hAnsi="宋体"/>
          <w:szCs w:val="21"/>
          <w:u w:val="single"/>
        </w:rPr>
        <w:t xml:space="preserve">/ </w:t>
      </w:r>
      <w:r>
        <w:rPr>
          <w:rFonts w:ascii="宋体" w:hAnsi="宋体"/>
          <w:szCs w:val="21"/>
        </w:rPr>
        <w:t xml:space="preserve"> 种方式确定。</w:t>
      </w:r>
    </w:p>
    <w:p>
      <w:pPr>
        <w:spacing w:line="440" w:lineRule="exact"/>
        <w:ind w:firstLine="420" w:firstLineChars="200"/>
        <w:jc w:val="left"/>
        <w:rPr>
          <w:rFonts w:ascii="宋体" w:hAnsi="宋体"/>
          <w:kern w:val="0"/>
          <w:szCs w:val="21"/>
        </w:rPr>
      </w:pPr>
      <w:r>
        <w:rPr>
          <w:rFonts w:ascii="宋体" w:hAnsi="宋体"/>
          <w:szCs w:val="21"/>
        </w:rPr>
        <w:t>第3种方式：</w:t>
      </w:r>
      <w:r>
        <w:rPr>
          <w:rFonts w:hint="eastAsia" w:ascii="宋体" w:hAnsi="宋体"/>
          <w:kern w:val="0"/>
          <w:szCs w:val="21"/>
        </w:rPr>
        <w:t>承包人</w:t>
      </w:r>
      <w:r>
        <w:rPr>
          <w:rFonts w:ascii="宋体" w:hAnsi="宋体"/>
          <w:kern w:val="0"/>
          <w:szCs w:val="21"/>
        </w:rPr>
        <w:t>直接实施的暂估价项目</w:t>
      </w:r>
    </w:p>
    <w:p>
      <w:pPr>
        <w:spacing w:line="440" w:lineRule="exact"/>
        <w:ind w:firstLine="420" w:firstLineChars="200"/>
        <w:jc w:val="left"/>
        <w:rPr>
          <w:rFonts w:ascii="宋体" w:hAnsi="宋体"/>
          <w:szCs w:val="21"/>
        </w:rPr>
      </w:pPr>
      <w:r>
        <w:rPr>
          <w:rFonts w:hint="eastAsia" w:ascii="宋体" w:hAnsi="宋体"/>
          <w:szCs w:val="21"/>
        </w:rPr>
        <w:t>承包人</w:t>
      </w:r>
      <w:r>
        <w:rPr>
          <w:rFonts w:ascii="宋体" w:hAnsi="宋体"/>
          <w:szCs w:val="21"/>
        </w:rPr>
        <w:t>直接实施的暂估价项目的约定：</w:t>
      </w:r>
      <w:r>
        <w:rPr>
          <w:rFonts w:hint="eastAsia" w:ascii="宋体" w:hAnsi="宋体"/>
          <w:szCs w:val="21"/>
          <w:u w:val="single"/>
        </w:rPr>
        <w:t>无</w:t>
      </w:r>
      <w:r>
        <w:rPr>
          <w:rFonts w:ascii="宋体" w:hAnsi="宋体"/>
          <w:szCs w:val="21"/>
        </w:rPr>
        <w:t>。</w:t>
      </w:r>
    </w:p>
    <w:p>
      <w:pPr>
        <w:spacing w:line="440" w:lineRule="exact"/>
        <w:ind w:firstLine="420" w:firstLineChars="200"/>
        <w:jc w:val="left"/>
        <w:rPr>
          <w:rFonts w:ascii="宋体" w:hAnsi="宋体"/>
          <w:szCs w:val="21"/>
          <w:u w:val="single"/>
        </w:rPr>
      </w:pPr>
      <w:r>
        <w:rPr>
          <w:rFonts w:hint="eastAsia" w:ascii="宋体" w:hAnsi="宋体"/>
          <w:szCs w:val="21"/>
          <w:u w:val="single"/>
        </w:rPr>
        <w:t>发包人在工程量清单中给定的暂估价的材料、工程设备（见清单《材料暂估价格表》）属于依法必须招标的范围并达到规定的规模标准的，由承包人以招标的方式选择供应商，发包人参与货物的招标决策，材料采购招标有关招标文件只有经发包人加盖法人印鉴后才能生效，发包人将派代表参加评标委员会参与评标，否则中标结果对业主没有约束力。招标有关费用由承包人承担。发包人在工程量清单中给定的暂估价材料和设备不属于依法必须招标的范围或未达到规定的规模标准的，由承包人按通用条款约定提供，报发包人确认材料的价格。</w:t>
      </w:r>
    </w:p>
    <w:p>
      <w:pPr>
        <w:spacing w:line="440" w:lineRule="exact"/>
        <w:ind w:firstLine="460"/>
        <w:rPr>
          <w:rFonts w:ascii="宋体" w:hAnsi="宋体"/>
          <w:szCs w:val="21"/>
          <w:u w:val="single"/>
        </w:rPr>
      </w:pPr>
      <w:r>
        <w:rPr>
          <w:rFonts w:hint="eastAsia" w:ascii="宋体" w:hAnsi="宋体"/>
          <w:szCs w:val="21"/>
          <w:lang w:val="zh-CN"/>
        </w:rPr>
        <w:t>工程招标时暂估价材料竣工结算办法：</w:t>
      </w:r>
      <w:r>
        <w:rPr>
          <w:rFonts w:hint="eastAsia" w:ascii="宋体" w:hAnsi="宋体"/>
          <w:szCs w:val="21"/>
          <w:u w:val="single"/>
        </w:rPr>
        <w:t>投标单位在投标报价时擅自改变暂估价或暂列金额且评审时未被发现，报价低于暂估价或暂列金额结算时统一先按招标文件明确暂估价或暂列金额扣除，报价高于暂估价或暂列金额时统一先按报价扣除；</w:t>
      </w:r>
    </w:p>
    <w:p>
      <w:pPr>
        <w:spacing w:line="440" w:lineRule="exact"/>
        <w:ind w:firstLine="420" w:firstLineChars="200"/>
        <w:jc w:val="left"/>
        <w:rPr>
          <w:rFonts w:ascii="宋体" w:hAnsi="宋体"/>
          <w:szCs w:val="21"/>
        </w:rPr>
      </w:pPr>
      <w:r>
        <w:rPr>
          <w:rFonts w:ascii="宋体" w:hAnsi="宋体"/>
          <w:szCs w:val="21"/>
        </w:rPr>
        <w:t>10.8 暂列金额</w:t>
      </w:r>
    </w:p>
    <w:p>
      <w:pPr>
        <w:spacing w:line="440" w:lineRule="exact"/>
        <w:ind w:firstLine="420" w:firstLineChars="200"/>
        <w:jc w:val="left"/>
        <w:rPr>
          <w:rFonts w:ascii="宋体" w:hAnsi="宋体"/>
          <w:kern w:val="0"/>
          <w:szCs w:val="21"/>
        </w:rPr>
      </w:pPr>
      <w:r>
        <w:rPr>
          <w:rFonts w:hint="eastAsia" w:ascii="宋体" w:hAnsi="宋体"/>
          <w:szCs w:val="21"/>
        </w:rPr>
        <w:t>合</w:t>
      </w:r>
      <w:r>
        <w:rPr>
          <w:rFonts w:hint="eastAsia" w:ascii="宋体" w:hAnsi="宋体"/>
          <w:kern w:val="0"/>
          <w:szCs w:val="21"/>
        </w:rPr>
        <w:t>同当事人关于暂列金额使用的约定：</w:t>
      </w:r>
      <w:r>
        <w:rPr>
          <w:rFonts w:hint="eastAsia" w:ascii="宋体" w:hAnsi="宋体"/>
          <w:szCs w:val="21"/>
          <w:u w:val="single"/>
        </w:rPr>
        <w:t xml:space="preserve">暂列金额使用权归发包人，结算时从合同价中扣除  </w:t>
      </w:r>
      <w:r>
        <w:rPr>
          <w:rFonts w:hint="eastAsia" w:ascii="宋体" w:hAnsi="宋体"/>
          <w:kern w:val="0"/>
          <w:szCs w:val="21"/>
        </w:rPr>
        <w:t>。</w:t>
      </w:r>
    </w:p>
    <w:p>
      <w:pPr>
        <w:pStyle w:val="7"/>
        <w:spacing w:before="120" w:after="120" w:line="440" w:lineRule="exact"/>
        <w:rPr>
          <w:rFonts w:ascii="宋体" w:hAnsi="宋体"/>
          <w:szCs w:val="21"/>
        </w:rPr>
      </w:pPr>
      <w:bookmarkStart w:id="397" w:name="_Toc351203643"/>
      <w:r>
        <w:rPr>
          <w:rFonts w:hint="eastAsia" w:ascii="宋体" w:hAnsi="宋体"/>
          <w:szCs w:val="21"/>
        </w:rPr>
        <w:t>11. 价格调整</w:t>
      </w:r>
      <w:bookmarkEnd w:id="397"/>
    </w:p>
    <w:p>
      <w:pPr>
        <w:spacing w:line="440" w:lineRule="exact"/>
        <w:ind w:firstLine="420" w:firstLineChars="200"/>
        <w:jc w:val="left"/>
        <w:rPr>
          <w:rFonts w:ascii="宋体" w:hAnsi="宋体"/>
          <w:szCs w:val="21"/>
        </w:rPr>
      </w:pPr>
      <w:bookmarkStart w:id="398" w:name="_Toc292559406"/>
      <w:bookmarkStart w:id="399" w:name="_Toc300935000"/>
      <w:bookmarkStart w:id="400" w:name="_Toc312678039"/>
      <w:bookmarkStart w:id="401" w:name="_Toc296891241"/>
      <w:bookmarkStart w:id="402" w:name="_Toc296503201"/>
      <w:bookmarkStart w:id="403" w:name="_Toc297120501"/>
      <w:bookmarkStart w:id="404" w:name="_Toc296944540"/>
      <w:bookmarkStart w:id="405" w:name="_Toc297048387"/>
      <w:bookmarkStart w:id="406" w:name="_Toc296346702"/>
      <w:bookmarkStart w:id="407" w:name="_Toc296347200"/>
      <w:bookmarkStart w:id="408" w:name="_Toc304295577"/>
      <w:bookmarkStart w:id="409" w:name="_Toc296891029"/>
      <w:bookmarkStart w:id="410" w:name="_Toc297216209"/>
      <w:bookmarkStart w:id="411" w:name="_Toc292559911"/>
      <w:bookmarkStart w:id="412" w:name="_Toc303539157"/>
      <w:bookmarkStart w:id="413" w:name="_Toc297123550"/>
      <w:r>
        <w:rPr>
          <w:rFonts w:ascii="宋体" w:hAnsi="宋体"/>
          <w:szCs w:val="21"/>
        </w:rPr>
        <w:t>11.1 市场价格波动引起的调整</w:t>
      </w:r>
    </w:p>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p>
      <w:pPr>
        <w:spacing w:line="480" w:lineRule="exact"/>
        <w:ind w:firstLine="420" w:firstLineChars="200"/>
        <w:jc w:val="left"/>
        <w:rPr>
          <w:rFonts w:ascii="宋体" w:hAnsi="宋体"/>
          <w:b/>
          <w:bCs/>
          <w:szCs w:val="21"/>
          <w:u w:val="single"/>
        </w:rPr>
      </w:pPr>
      <w:r>
        <w:rPr>
          <w:rFonts w:ascii="宋体" w:hAnsi="宋体"/>
          <w:szCs w:val="21"/>
        </w:rPr>
        <w:t>市场价格波动是否调整合同价格的约定</w:t>
      </w:r>
      <w:bookmarkEnd w:id="304"/>
      <w:bookmarkEnd w:id="305"/>
      <w:bookmarkEnd w:id="306"/>
      <w:bookmarkEnd w:id="307"/>
      <w:bookmarkEnd w:id="308"/>
      <w:bookmarkEnd w:id="309"/>
      <w:bookmarkStart w:id="414" w:name="_Toc296891033"/>
      <w:bookmarkStart w:id="415" w:name="_Toc292559915"/>
      <w:bookmarkStart w:id="416" w:name="_Toc296346706"/>
      <w:bookmarkStart w:id="417" w:name="_Toc296944544"/>
      <w:bookmarkStart w:id="418" w:name="_Toc292559410"/>
      <w:bookmarkStart w:id="419" w:name="_Toc297048391"/>
      <w:bookmarkStart w:id="420" w:name="_Toc296891245"/>
      <w:bookmarkStart w:id="421" w:name="_Toc296503205"/>
      <w:bookmarkStart w:id="422" w:name="_Toc296347204"/>
      <w:bookmarkStart w:id="423" w:name="_Toc297120505"/>
      <w:bookmarkStart w:id="424" w:name="_Toc351203644"/>
      <w:bookmarkStart w:id="425" w:name="_Toc312678040"/>
      <w:bookmarkStart w:id="426" w:name="_Toc300935002"/>
      <w:bookmarkStart w:id="427" w:name="_Toc297123552"/>
      <w:bookmarkStart w:id="428" w:name="_Toc304295579"/>
      <w:bookmarkStart w:id="429" w:name="_Toc303539159"/>
      <w:bookmarkStart w:id="430" w:name="_Toc297216211"/>
      <w:r>
        <w:rPr>
          <w:rFonts w:hint="eastAsia" w:ascii="宋体" w:hAnsi="宋体"/>
          <w:szCs w:val="21"/>
        </w:rPr>
        <w:t xml:space="preserve">： </w:t>
      </w:r>
      <w:r>
        <w:rPr>
          <w:rFonts w:hint="eastAsia" w:ascii="宋体" w:hAnsi="宋体"/>
          <w:b/>
          <w:bCs/>
          <w:szCs w:val="21"/>
          <w:u w:val="single"/>
        </w:rPr>
        <w:t>施工期间各类建材的市场风险和国家政策性风险（不含人</w:t>
      </w:r>
      <w:r>
        <w:rPr>
          <w:rFonts w:hint="eastAsia" w:ascii="宋体" w:hAnsi="宋体"/>
          <w:b/>
          <w:bCs/>
          <w:spacing w:val="-2"/>
          <w:szCs w:val="21"/>
          <w:u w:val="single"/>
        </w:rPr>
        <w:t>工工资的政策性调整），</w:t>
      </w:r>
      <w:r>
        <w:rPr>
          <w:rFonts w:hint="eastAsia" w:ascii="宋体" w:hAnsi="宋体"/>
          <w:b/>
          <w:bCs/>
          <w:szCs w:val="21"/>
          <w:u w:val="single"/>
        </w:rPr>
        <w:t>一律不作任何调整。</w:t>
      </w:r>
    </w:p>
    <w:p>
      <w:pPr>
        <w:pStyle w:val="7"/>
        <w:spacing w:before="120" w:after="120" w:line="440" w:lineRule="exact"/>
        <w:rPr>
          <w:rFonts w:ascii="宋体" w:hAnsi="宋体"/>
          <w:szCs w:val="21"/>
        </w:rPr>
      </w:pPr>
      <w:r>
        <w:rPr>
          <w:rFonts w:hint="eastAsia" w:ascii="宋体" w:hAnsi="宋体"/>
          <w:szCs w:val="21"/>
        </w:rPr>
        <w:t xml:space="preserve">12. </w:t>
      </w:r>
      <w:bookmarkEnd w:id="414"/>
      <w:bookmarkEnd w:id="415"/>
      <w:bookmarkEnd w:id="416"/>
      <w:bookmarkEnd w:id="417"/>
      <w:bookmarkEnd w:id="418"/>
      <w:bookmarkEnd w:id="419"/>
      <w:bookmarkEnd w:id="420"/>
      <w:bookmarkEnd w:id="421"/>
      <w:bookmarkEnd w:id="422"/>
      <w:bookmarkEnd w:id="423"/>
      <w:r>
        <w:rPr>
          <w:rFonts w:hint="eastAsia" w:ascii="宋体" w:hAnsi="宋体"/>
          <w:szCs w:val="21"/>
        </w:rPr>
        <w:t>合同价格、计量与支付</w:t>
      </w:r>
      <w:bookmarkEnd w:id="424"/>
    </w:p>
    <w:bookmarkEnd w:id="425"/>
    <w:bookmarkEnd w:id="426"/>
    <w:bookmarkEnd w:id="427"/>
    <w:bookmarkEnd w:id="428"/>
    <w:bookmarkEnd w:id="429"/>
    <w:bookmarkEnd w:id="430"/>
    <w:p>
      <w:pPr>
        <w:spacing w:line="440" w:lineRule="exact"/>
        <w:ind w:firstLine="420" w:firstLineChars="200"/>
        <w:jc w:val="left"/>
        <w:rPr>
          <w:rFonts w:ascii="宋体" w:hAnsi="宋体"/>
          <w:szCs w:val="21"/>
        </w:rPr>
      </w:pPr>
      <w:bookmarkStart w:id="431" w:name="_Toc292559411"/>
      <w:bookmarkStart w:id="432" w:name="_Toc267251461"/>
      <w:bookmarkStart w:id="433" w:name="_Toc292559916"/>
      <w:bookmarkStart w:id="434" w:name="_Toc296347205"/>
      <w:bookmarkStart w:id="435" w:name="_Toc296891246"/>
      <w:bookmarkStart w:id="436" w:name="_Toc296503206"/>
      <w:bookmarkStart w:id="437" w:name="_Toc297120506"/>
      <w:bookmarkStart w:id="438" w:name="_Toc296346707"/>
      <w:bookmarkStart w:id="439" w:name="_Toc296944545"/>
      <w:bookmarkStart w:id="440" w:name="_Toc297048392"/>
      <w:bookmarkStart w:id="441" w:name="_Toc296891034"/>
      <w:bookmarkStart w:id="442" w:name="_Toc312678041"/>
      <w:bookmarkStart w:id="443" w:name="_Toc300935003"/>
      <w:bookmarkStart w:id="444" w:name="_Toc297123553"/>
      <w:bookmarkStart w:id="445" w:name="_Toc303539160"/>
      <w:bookmarkStart w:id="446" w:name="_Toc304295580"/>
      <w:bookmarkStart w:id="447" w:name="_Toc297216212"/>
      <w:bookmarkStart w:id="448" w:name="_Toc312678042"/>
      <w:bookmarkStart w:id="449" w:name="_Toc297216213"/>
      <w:bookmarkStart w:id="450" w:name="_Toc300935004"/>
      <w:bookmarkStart w:id="451" w:name="_Toc303539161"/>
      <w:bookmarkStart w:id="452" w:name="_Toc297123554"/>
      <w:bookmarkStart w:id="453" w:name="_Toc304295581"/>
      <w:bookmarkStart w:id="454" w:name="_Toc296347206"/>
      <w:bookmarkStart w:id="455" w:name="_Toc296503207"/>
      <w:bookmarkStart w:id="456" w:name="_Toc296891035"/>
      <w:bookmarkStart w:id="457" w:name="_Toc297048393"/>
      <w:bookmarkStart w:id="458" w:name="_Toc292559412"/>
      <w:bookmarkStart w:id="459" w:name="_Toc296944546"/>
      <w:bookmarkStart w:id="460" w:name="_Toc296891247"/>
      <w:bookmarkStart w:id="461" w:name="_Toc296346708"/>
      <w:bookmarkStart w:id="462" w:name="_Toc292559917"/>
      <w:bookmarkStart w:id="463" w:name="_Toc297120507"/>
      <w:r>
        <w:rPr>
          <w:rFonts w:hint="eastAsia" w:ascii="宋体" w:hAnsi="宋体"/>
          <w:szCs w:val="21"/>
        </w:rPr>
        <w:t>12.</w:t>
      </w:r>
      <w:r>
        <w:rPr>
          <w:rFonts w:ascii="宋体" w:hAnsi="宋体"/>
          <w:szCs w:val="21"/>
        </w:rPr>
        <w:t>1 合</w:t>
      </w:r>
      <w:bookmarkEnd w:id="431"/>
      <w:bookmarkEnd w:id="432"/>
      <w:bookmarkEnd w:id="433"/>
      <w:r>
        <w:rPr>
          <w:rFonts w:ascii="宋体" w:hAnsi="宋体"/>
          <w:szCs w:val="21"/>
        </w:rPr>
        <w:t>同价</w:t>
      </w:r>
      <w:bookmarkEnd w:id="434"/>
      <w:bookmarkEnd w:id="435"/>
      <w:bookmarkEnd w:id="436"/>
      <w:bookmarkEnd w:id="437"/>
      <w:bookmarkEnd w:id="438"/>
      <w:bookmarkEnd w:id="439"/>
      <w:bookmarkEnd w:id="440"/>
      <w:bookmarkEnd w:id="441"/>
      <w:r>
        <w:rPr>
          <w:rFonts w:ascii="宋体" w:hAnsi="宋体"/>
          <w:szCs w:val="21"/>
        </w:rPr>
        <w:t>格形式</w:t>
      </w:r>
    </w:p>
    <w:p>
      <w:pPr>
        <w:spacing w:line="440" w:lineRule="exact"/>
        <w:ind w:firstLine="420" w:firstLineChars="200"/>
        <w:jc w:val="left"/>
        <w:rPr>
          <w:rFonts w:ascii="宋体" w:hAnsi="宋体"/>
          <w:szCs w:val="21"/>
        </w:rPr>
      </w:pPr>
      <w:r>
        <w:rPr>
          <w:rFonts w:hint="eastAsia" w:ascii="宋体" w:hAnsi="宋体"/>
          <w:szCs w:val="21"/>
        </w:rPr>
        <w:t>1、单价合同（本工程采用一般计税方法）。</w:t>
      </w:r>
    </w:p>
    <w:p>
      <w:pPr>
        <w:spacing w:line="440" w:lineRule="exact"/>
        <w:ind w:firstLine="420" w:firstLineChars="200"/>
        <w:jc w:val="left"/>
        <w:rPr>
          <w:rFonts w:ascii="宋体" w:hAnsi="宋体"/>
          <w:szCs w:val="21"/>
        </w:rPr>
      </w:pPr>
      <w:r>
        <w:rPr>
          <w:rFonts w:hint="eastAsia" w:ascii="宋体" w:hAnsi="宋体"/>
          <w:szCs w:val="21"/>
        </w:rPr>
        <w:t>综合单价包含的风险范围：除下述风险范围内容可调整外，其余不可调整。</w:t>
      </w:r>
    </w:p>
    <w:p>
      <w:pPr>
        <w:spacing w:line="440" w:lineRule="exact"/>
        <w:ind w:firstLine="420" w:firstLineChars="200"/>
        <w:jc w:val="left"/>
        <w:rPr>
          <w:rFonts w:ascii="宋体" w:hAnsi="宋体"/>
          <w:szCs w:val="21"/>
        </w:rPr>
      </w:pPr>
      <w:r>
        <w:rPr>
          <w:rFonts w:hint="eastAsia" w:ascii="宋体" w:hAnsi="宋体"/>
          <w:szCs w:val="21"/>
        </w:rPr>
        <w:t>（1）工程量偏差；</w:t>
      </w:r>
    </w:p>
    <w:p>
      <w:pPr>
        <w:spacing w:line="440" w:lineRule="exact"/>
        <w:ind w:firstLine="420" w:firstLineChars="200"/>
        <w:jc w:val="left"/>
        <w:rPr>
          <w:rFonts w:ascii="宋体" w:hAnsi="宋体"/>
          <w:szCs w:val="21"/>
        </w:rPr>
      </w:pPr>
      <w:r>
        <w:rPr>
          <w:rFonts w:hint="eastAsia" w:ascii="宋体" w:hAnsi="宋体"/>
          <w:szCs w:val="21"/>
        </w:rPr>
        <w:t>（2）与招标清单项目特征描述不符（合同条款另有约定的除外）；</w:t>
      </w:r>
    </w:p>
    <w:p>
      <w:pPr>
        <w:spacing w:line="440" w:lineRule="exact"/>
        <w:ind w:firstLine="420" w:firstLineChars="200"/>
        <w:jc w:val="left"/>
        <w:rPr>
          <w:rFonts w:ascii="宋体" w:hAnsi="宋体"/>
          <w:szCs w:val="21"/>
        </w:rPr>
      </w:pPr>
      <w:r>
        <w:rPr>
          <w:rFonts w:hint="eastAsia" w:ascii="宋体" w:hAnsi="宋体"/>
          <w:szCs w:val="21"/>
        </w:rPr>
        <w:t xml:space="preserve">（3）工程量清单缺、漏项； </w:t>
      </w:r>
    </w:p>
    <w:p>
      <w:pPr>
        <w:spacing w:line="440" w:lineRule="exact"/>
        <w:ind w:firstLine="420" w:firstLineChars="200"/>
        <w:jc w:val="left"/>
        <w:rPr>
          <w:rFonts w:ascii="宋体" w:hAnsi="宋体"/>
          <w:szCs w:val="21"/>
        </w:rPr>
      </w:pPr>
      <w:r>
        <w:rPr>
          <w:rFonts w:hint="eastAsia" w:ascii="宋体" w:hAnsi="宋体"/>
          <w:szCs w:val="21"/>
        </w:rPr>
        <w:t>（4）工程变更；</w:t>
      </w:r>
    </w:p>
    <w:p>
      <w:pPr>
        <w:spacing w:line="440" w:lineRule="exact"/>
        <w:ind w:firstLine="420" w:firstLineChars="200"/>
        <w:jc w:val="left"/>
        <w:rPr>
          <w:rFonts w:ascii="宋体" w:hAnsi="宋体"/>
          <w:szCs w:val="21"/>
        </w:rPr>
      </w:pPr>
      <w:r>
        <w:rPr>
          <w:rFonts w:hint="eastAsia" w:ascii="宋体" w:hAnsi="宋体"/>
          <w:szCs w:val="21"/>
        </w:rPr>
        <w:t>（5）现场签证；</w:t>
      </w:r>
    </w:p>
    <w:p>
      <w:pPr>
        <w:spacing w:line="440" w:lineRule="exact"/>
        <w:ind w:firstLine="420" w:firstLineChars="200"/>
        <w:jc w:val="left"/>
        <w:rPr>
          <w:rFonts w:ascii="宋体" w:hAnsi="宋体"/>
          <w:szCs w:val="21"/>
        </w:rPr>
      </w:pPr>
      <w:r>
        <w:rPr>
          <w:rFonts w:hint="eastAsia" w:ascii="宋体" w:hAnsi="宋体"/>
          <w:szCs w:val="21"/>
        </w:rPr>
        <w:t>（6）暂列金额及暂估价；</w:t>
      </w:r>
    </w:p>
    <w:p>
      <w:pPr>
        <w:spacing w:line="440" w:lineRule="exact"/>
        <w:ind w:firstLine="420" w:firstLineChars="200"/>
        <w:jc w:val="left"/>
        <w:rPr>
          <w:rFonts w:ascii="宋体" w:hAnsi="宋体"/>
          <w:szCs w:val="21"/>
        </w:rPr>
      </w:pPr>
      <w:r>
        <w:rPr>
          <w:rFonts w:hint="eastAsia" w:ascii="宋体" w:hAnsi="宋体"/>
          <w:szCs w:val="21"/>
        </w:rPr>
        <w:t>（7）发承包人双方约定的其他调整事项。</w:t>
      </w:r>
    </w:p>
    <w:p>
      <w:pPr>
        <w:spacing w:line="440" w:lineRule="exact"/>
        <w:ind w:firstLine="420" w:firstLineChars="200"/>
        <w:jc w:val="left"/>
        <w:rPr>
          <w:rFonts w:ascii="宋体" w:hAnsi="宋体"/>
          <w:szCs w:val="21"/>
        </w:rPr>
      </w:pPr>
      <w:r>
        <w:rPr>
          <w:rFonts w:hint="eastAsia" w:ascii="宋体" w:hAnsi="宋体"/>
          <w:szCs w:val="21"/>
        </w:rPr>
        <w:t>风险费用的计算方法：承包人在投标报价时已经充分考虑，竣工结算时不作任何调整。</w:t>
      </w:r>
    </w:p>
    <w:p>
      <w:pPr>
        <w:spacing w:line="440" w:lineRule="exact"/>
        <w:ind w:firstLine="420" w:firstLineChars="200"/>
        <w:jc w:val="left"/>
        <w:rPr>
          <w:rFonts w:ascii="宋体" w:hAnsi="宋体"/>
          <w:szCs w:val="21"/>
        </w:rPr>
      </w:pPr>
      <w:r>
        <w:rPr>
          <w:rFonts w:hint="eastAsia" w:ascii="宋体" w:hAnsi="宋体"/>
          <w:szCs w:val="21"/>
        </w:rPr>
        <w:t>风险范围以外合同价款调整范围及方法：</w:t>
      </w:r>
    </w:p>
    <w:p>
      <w:pPr>
        <w:spacing w:line="440" w:lineRule="exact"/>
        <w:ind w:firstLine="420" w:firstLineChars="200"/>
        <w:jc w:val="left"/>
        <w:rPr>
          <w:rFonts w:ascii="宋体" w:hAnsi="宋体" w:cs="宋体"/>
          <w:bCs/>
          <w:kern w:val="0"/>
          <w:szCs w:val="21"/>
          <w:u w:val="single"/>
        </w:rPr>
      </w:pPr>
      <w:r>
        <w:rPr>
          <w:rFonts w:hint="eastAsia" w:ascii="宋体" w:hAnsi="宋体"/>
          <w:szCs w:val="21"/>
          <w:u w:val="single"/>
        </w:rPr>
        <w:t>（1）</w:t>
      </w:r>
      <w:r>
        <w:rPr>
          <w:rFonts w:hint="eastAsia" w:ascii="宋体" w:hAnsi="宋体" w:cs="宋体"/>
          <w:bCs/>
          <w:kern w:val="0"/>
          <w:szCs w:val="21"/>
          <w:u w:val="single"/>
        </w:rPr>
        <w:t>本工程以投标截止日前28天为基准，其后国家的法律、法规、规章和政策发生变化影响工程造价，按照省级或行业建设主管部门或其授权的工程造价管理机构发布的规定及合同的约定调整合同价格。</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2）工程量计量时，若发现工程量清单中出现的漏项或缺项部分按实结算，竣工结算的工程量按发承包双方在合同中约定应予计量且实际完成并验收合格的工程量和项目确定，完成发包人要求的合同以外的零星工作或发生非承包人责任事件的工程量按现场签证确定。</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（3）当招标工程量清单出现错误或者工程变更等发包人原因导致工程量清单偏差需要对综合单价应进行调整的，按照以下的计价办法结算：</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A、当工程因变更、签证或清单工程量错误等原因导致实际工程量变化时，该项目的单价应按下列方式调整：</w:t>
      </w:r>
    </w:p>
    <w:p>
      <w:pPr>
        <w:autoSpaceDE w:val="0"/>
        <w:autoSpaceDN w:val="0"/>
        <w:adjustRightInd w:val="0"/>
        <w:spacing w:line="360" w:lineRule="auto"/>
        <w:ind w:firstLine="480"/>
        <w:rPr>
          <w:rFonts w:ascii="宋体" w:hAnsi="宋体" w:cs="宋体"/>
          <w:b/>
          <w:kern w:val="0"/>
          <w:szCs w:val="21"/>
          <w:u w:val="single"/>
        </w:rPr>
      </w:pPr>
      <w:r>
        <w:rPr>
          <w:rFonts w:hint="eastAsia" w:ascii="宋体" w:hAnsi="宋体" w:cs="宋体"/>
          <w:b/>
          <w:kern w:val="0"/>
          <w:szCs w:val="21"/>
          <w:u w:val="single"/>
        </w:rPr>
        <w:t>当Q1＞1.15Q0时：  S＝1.15Q0×P0+(Q1－1.15Q0)×P1</w:t>
      </w:r>
    </w:p>
    <w:p>
      <w:pPr>
        <w:autoSpaceDE w:val="0"/>
        <w:autoSpaceDN w:val="0"/>
        <w:adjustRightInd w:val="0"/>
        <w:spacing w:line="360" w:lineRule="auto"/>
        <w:ind w:firstLine="480"/>
        <w:rPr>
          <w:rFonts w:ascii="宋体" w:hAnsi="宋体" w:cs="宋体"/>
          <w:b/>
          <w:kern w:val="0"/>
          <w:szCs w:val="21"/>
          <w:u w:val="single"/>
        </w:rPr>
      </w:pPr>
      <w:r>
        <w:rPr>
          <w:rFonts w:hint="eastAsia" w:ascii="宋体" w:hAnsi="宋体" w:cs="宋体"/>
          <w:b/>
          <w:kern w:val="0"/>
          <w:szCs w:val="21"/>
          <w:u w:val="single"/>
        </w:rPr>
        <w:t>当0.85Q0≤Q1≤1.15Q0时：  S＝Q1×P0</w:t>
      </w:r>
    </w:p>
    <w:p>
      <w:pPr>
        <w:autoSpaceDE w:val="0"/>
        <w:autoSpaceDN w:val="0"/>
        <w:adjustRightInd w:val="0"/>
        <w:spacing w:line="360" w:lineRule="auto"/>
        <w:ind w:firstLine="482"/>
        <w:rPr>
          <w:rFonts w:ascii="宋体" w:hAnsi="宋体" w:cs="宋体"/>
          <w:b/>
          <w:kern w:val="0"/>
          <w:szCs w:val="21"/>
          <w:u w:val="single"/>
        </w:rPr>
      </w:pPr>
      <w:r>
        <w:rPr>
          <w:rFonts w:hint="eastAsia" w:ascii="宋体" w:hAnsi="宋体" w:cs="宋体"/>
          <w:b/>
          <w:kern w:val="0"/>
          <w:szCs w:val="21"/>
          <w:u w:val="single"/>
        </w:rPr>
        <w:t>当Q1＜0.85Q0：  S＝Q1×P1</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S－调整后的某一分部分项工程费结算价</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Q1－最终完成的工程量</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Q0－招标工程量清单中列出的工程量</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P0－承包人在工程量清单中填报的综合单价</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P1－按照最终完成工程量重新调整后的综合单价（即按招标控制价编制依据计价×（1-承包人报价浮动率），如招标控制价中出现明显错误的综合单价时，可按控制价编制原则进行修正，[报价浮动率c＝（1－中标价/招标控制价）×100%，中标价、招标控制价须扣除暂估价、暂列金额及相应的规费税金]提出变更工程项目的单价，并应报发包人确认后调整。）</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当工程量增加15%以上时，增加部分的工程量综合单价应予调低(P0与P1两者取较小值)；</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当工程量减少15%以上时，减少后剩余部分工程量的综合单价应予调高，当P0&lt;P1时，调高部分按Q1*（P1-P0）*30%计取，即S＝Q1×P0+ Q1*（P1-P0）*30%；当P0&gt;P1时，则S＝Q1×P0。但若承包人出现不平衡报价，当P0&lt;P1*0.85时，则S＝Q1×P0，当P0&gt;1.15*P1时，即S＝Q1×P1。</w:t>
      </w:r>
    </w:p>
    <w:p>
      <w:pPr>
        <w:autoSpaceDE w:val="0"/>
        <w:autoSpaceDN w:val="0"/>
        <w:adjustRightInd w:val="0"/>
        <w:spacing w:line="360" w:lineRule="auto"/>
        <w:ind w:firstLine="480"/>
        <w:rPr>
          <w:rFonts w:ascii="宋体" w:hAnsi="宋体" w:cs="宋体"/>
          <w:bCs/>
          <w:kern w:val="0"/>
          <w:szCs w:val="21"/>
          <w:u w:val="single"/>
        </w:rPr>
      </w:pPr>
      <w:r>
        <w:rPr>
          <w:rFonts w:hint="eastAsia" w:ascii="宋体" w:hAnsi="宋体" w:cs="宋体"/>
          <w:bCs/>
          <w:kern w:val="0"/>
          <w:szCs w:val="21"/>
          <w:u w:val="single"/>
        </w:rPr>
        <w:t>B、已标价工程量清单中有适用于变更工程项目的，应采用该项目的单价；已标价工程量清单中没有适用但有类似于变更工程项目的，可在合理范围内参照类似项目的单价。</w:t>
      </w:r>
    </w:p>
    <w:p>
      <w:pPr>
        <w:autoSpaceDE w:val="0"/>
        <w:autoSpaceDN w:val="0"/>
        <w:adjustRightInd w:val="0"/>
        <w:spacing w:line="440" w:lineRule="exact"/>
        <w:ind w:firstLine="480"/>
        <w:rPr>
          <w:rFonts w:ascii="宋体" w:hAnsi="宋体" w:cs="宋体"/>
          <w:bCs/>
          <w:kern w:val="0"/>
          <w:szCs w:val="21"/>
          <w:u w:val="single"/>
        </w:rPr>
      </w:pPr>
      <w:r>
        <w:rPr>
          <w:rFonts w:hint="eastAsia" w:ascii="宋体" w:hAnsi="宋体" w:cs="宋体"/>
          <w:bCs/>
          <w:kern w:val="0"/>
          <w:szCs w:val="21"/>
          <w:u w:val="single"/>
        </w:rPr>
        <w:t>C、已标价工程量清单中没有适用也没有类似于变更工程项目的，应由承包人根据变更工程资料、计量规则和按招标控制价编制依据计价×（1-承包人报价浮动率）[</w:t>
      </w:r>
      <w:r>
        <w:rPr>
          <w:rFonts w:hint="eastAsia" w:ascii="宋体" w:hAnsi="宋体" w:cs="宋体"/>
          <w:b/>
          <w:kern w:val="0"/>
          <w:szCs w:val="21"/>
          <w:u w:val="single"/>
        </w:rPr>
        <w:t>报价浮动率c</w:t>
      </w:r>
      <w:r>
        <w:rPr>
          <w:rFonts w:hint="eastAsia" w:ascii="宋体" w:hAnsi="宋体" w:cs="宋体"/>
          <w:bCs/>
          <w:kern w:val="0"/>
          <w:szCs w:val="21"/>
          <w:u w:val="single"/>
        </w:rPr>
        <w:t>＝（1－中标价/招标控制价）×100%，中标价、招标控制价须扣除暂估价、暂列金额及相应的规费税金]提出变更工程项目的单价，并应报发包人确认后调整。</w:t>
      </w:r>
    </w:p>
    <w:p>
      <w:pPr>
        <w:autoSpaceDE w:val="0"/>
        <w:autoSpaceDN w:val="0"/>
        <w:adjustRightInd w:val="0"/>
        <w:spacing w:line="440" w:lineRule="exact"/>
        <w:ind w:firstLine="480"/>
        <w:rPr>
          <w:rFonts w:ascii="宋体" w:hAnsi="宋体" w:cs="宋体"/>
          <w:bCs/>
          <w:kern w:val="0"/>
          <w:szCs w:val="21"/>
          <w:u w:val="single"/>
        </w:rPr>
      </w:pPr>
      <w:r>
        <w:rPr>
          <w:rFonts w:hint="eastAsia" w:ascii="宋体" w:hAnsi="宋体" w:cs="宋体"/>
          <w:bCs/>
          <w:kern w:val="0"/>
          <w:szCs w:val="21"/>
          <w:u w:val="single"/>
        </w:rPr>
        <w:t>D、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pPr>
        <w:autoSpaceDE w:val="0"/>
        <w:autoSpaceDN w:val="0"/>
        <w:adjustRightInd w:val="0"/>
        <w:spacing w:line="440" w:lineRule="exact"/>
        <w:ind w:firstLine="480"/>
        <w:rPr>
          <w:rFonts w:ascii="宋体" w:hAnsi="宋体" w:cs="宋体"/>
          <w:bCs/>
          <w:kern w:val="0"/>
          <w:szCs w:val="21"/>
          <w:u w:val="single"/>
        </w:rPr>
      </w:pPr>
      <w:r>
        <w:rPr>
          <w:rFonts w:hint="eastAsia" w:ascii="宋体" w:hAnsi="宋体" w:cs="宋体"/>
          <w:bCs/>
          <w:kern w:val="0"/>
          <w:szCs w:val="21"/>
          <w:u w:val="single"/>
        </w:rPr>
        <w:t>（4）因工程变更造成施工方案变更，引起措施项目发生变化时，措施项目费应按下列原则调整：单价措施项目变更原则同分部分项工程；总价措施项目中以费率报价的，费率不变；总价项目中以费用报价的，按投标时口径折算成费率调整；原措施费中没有的措施项目，由承包人提出适当的措施费变更要求，经发包人确认后调整。</w:t>
      </w:r>
    </w:p>
    <w:p>
      <w:pPr>
        <w:autoSpaceDE w:val="0"/>
        <w:autoSpaceDN w:val="0"/>
        <w:adjustRightInd w:val="0"/>
        <w:spacing w:line="440" w:lineRule="exact"/>
        <w:ind w:firstLine="480"/>
        <w:rPr>
          <w:rFonts w:ascii="宋体" w:hAnsi="宋体" w:cs="宋体"/>
          <w:bCs/>
          <w:kern w:val="0"/>
          <w:szCs w:val="21"/>
          <w:u w:val="single"/>
        </w:rPr>
      </w:pPr>
      <w:r>
        <w:rPr>
          <w:rFonts w:hint="eastAsia" w:ascii="宋体" w:hAnsi="宋体" w:cs="宋体"/>
          <w:bCs/>
          <w:kern w:val="0"/>
          <w:szCs w:val="21"/>
          <w:u w:val="single"/>
        </w:rPr>
        <w:t>（5）市场价格波动引起的主要材料价格调整的约定，按11.1相关条款执行。最终按除税价进行调整。</w:t>
      </w:r>
    </w:p>
    <w:p>
      <w:pPr>
        <w:autoSpaceDE w:val="0"/>
        <w:autoSpaceDN w:val="0"/>
        <w:adjustRightInd w:val="0"/>
        <w:spacing w:line="440" w:lineRule="exact"/>
        <w:ind w:firstLine="480"/>
        <w:rPr>
          <w:rFonts w:ascii="宋体" w:hAnsi="宋体" w:cs="宋体"/>
          <w:bCs/>
          <w:kern w:val="0"/>
          <w:szCs w:val="21"/>
          <w:highlight w:val="yellow"/>
          <w:u w:val="single"/>
        </w:rPr>
      </w:pPr>
      <w:r>
        <w:rPr>
          <w:rFonts w:hint="eastAsia" w:ascii="宋体" w:hAnsi="宋体" w:cs="宋体"/>
          <w:bCs/>
          <w:kern w:val="0"/>
          <w:szCs w:val="21"/>
          <w:u w:val="single"/>
        </w:rPr>
        <w:t>（6）人工工资执行《省住房城乡建设厅关于发布建设工程人工工资指导价的通知》（苏建函价[2023]63号），结算不作调整。</w:t>
      </w:r>
    </w:p>
    <w:p>
      <w:pPr>
        <w:autoSpaceDE w:val="0"/>
        <w:autoSpaceDN w:val="0"/>
        <w:adjustRightInd w:val="0"/>
        <w:spacing w:line="440" w:lineRule="exact"/>
        <w:ind w:firstLine="480"/>
        <w:rPr>
          <w:rFonts w:ascii="宋体" w:hAnsi="宋体" w:cs="宋体"/>
          <w:bCs/>
          <w:kern w:val="0"/>
          <w:szCs w:val="21"/>
          <w:u w:val="single"/>
        </w:rPr>
      </w:pPr>
      <w:r>
        <w:rPr>
          <w:rFonts w:hint="eastAsia" w:ascii="宋体" w:hAnsi="宋体" w:cs="宋体"/>
          <w:bCs/>
          <w:kern w:val="0"/>
          <w:szCs w:val="21"/>
          <w:u w:val="single"/>
        </w:rPr>
        <w:t>（7）暂列金额及暂估价详见合同相关条款。</w:t>
      </w:r>
    </w:p>
    <w:bookmarkEnd w:id="442"/>
    <w:bookmarkEnd w:id="443"/>
    <w:bookmarkEnd w:id="444"/>
    <w:bookmarkEnd w:id="445"/>
    <w:bookmarkEnd w:id="446"/>
    <w:bookmarkEnd w:id="447"/>
    <w:p>
      <w:pPr>
        <w:spacing w:line="440" w:lineRule="exact"/>
        <w:ind w:firstLine="420" w:firstLineChars="200"/>
        <w:jc w:val="left"/>
        <w:rPr>
          <w:rFonts w:ascii="宋体" w:hAnsi="宋体"/>
          <w:szCs w:val="21"/>
        </w:rPr>
      </w:pPr>
      <w:r>
        <w:rPr>
          <w:rFonts w:ascii="宋体" w:hAnsi="宋体"/>
          <w:szCs w:val="21"/>
        </w:rPr>
        <w:t>12.2 预付款</w:t>
      </w:r>
    </w:p>
    <w:bookmarkEnd w:id="448"/>
    <w:bookmarkEnd w:id="449"/>
    <w:bookmarkEnd w:id="450"/>
    <w:bookmarkEnd w:id="451"/>
    <w:bookmarkEnd w:id="452"/>
    <w:bookmarkEnd w:id="453"/>
    <w:p>
      <w:pPr>
        <w:spacing w:line="440" w:lineRule="exact"/>
        <w:ind w:firstLine="420" w:firstLineChars="200"/>
        <w:jc w:val="left"/>
        <w:rPr>
          <w:rFonts w:ascii="宋体" w:hAnsi="宋体"/>
          <w:szCs w:val="21"/>
        </w:rPr>
      </w:pPr>
      <w:r>
        <w:rPr>
          <w:rFonts w:ascii="宋体" w:hAnsi="宋体"/>
          <w:szCs w:val="21"/>
        </w:rPr>
        <w:t>12.2.1 预付款的支付</w:t>
      </w:r>
    </w:p>
    <w:p>
      <w:pPr>
        <w:spacing w:line="440" w:lineRule="exact"/>
        <w:ind w:firstLine="420" w:firstLineChars="200"/>
        <w:jc w:val="left"/>
        <w:rPr>
          <w:rFonts w:ascii="宋体" w:hAnsi="宋体"/>
          <w:szCs w:val="21"/>
        </w:rPr>
      </w:pPr>
      <w:r>
        <w:rPr>
          <w:rFonts w:ascii="宋体" w:hAnsi="宋体"/>
          <w:szCs w:val="21"/>
        </w:rPr>
        <w:t>预付款支付比例或金额：</w:t>
      </w:r>
      <w:r>
        <w:rPr>
          <w:rFonts w:hint="eastAsia" w:ascii="宋体" w:hAnsi="宋体"/>
          <w:b/>
          <w:bCs/>
          <w:kern w:val="0"/>
          <w:szCs w:val="21"/>
          <w:u w:val="single"/>
        </w:rPr>
        <w:t>承包人交纳履约保证金且施工合同签订</w:t>
      </w:r>
      <w:r>
        <w:rPr>
          <w:rFonts w:hint="eastAsia" w:ascii="宋体" w:hAnsi="宋体"/>
          <w:b/>
          <w:szCs w:val="21"/>
          <w:u w:val="single"/>
        </w:rPr>
        <w:t>，并进场开工后支付合同价10%作为工程款</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预付款支付期限：</w:t>
      </w:r>
      <w:r>
        <w:rPr>
          <w:rFonts w:hint="eastAsia" w:ascii="宋体" w:hAnsi="宋体"/>
          <w:b/>
          <w:szCs w:val="21"/>
          <w:u w:val="single"/>
        </w:rPr>
        <w:t xml:space="preserve">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预付款扣回的方式：</w:t>
      </w:r>
      <w:r>
        <w:rPr>
          <w:rFonts w:hint="eastAsia" w:ascii="宋体" w:hAnsi="宋体"/>
          <w:szCs w:val="21"/>
          <w:u w:val="single"/>
        </w:rPr>
        <w:t xml:space="preserve">/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12.2.2 预付款担保</w:t>
      </w:r>
    </w:p>
    <w:p>
      <w:pPr>
        <w:spacing w:line="440" w:lineRule="exact"/>
        <w:ind w:firstLine="420" w:firstLineChars="200"/>
        <w:jc w:val="left"/>
        <w:rPr>
          <w:rFonts w:ascii="宋体" w:hAnsi="宋体"/>
          <w:b/>
          <w:szCs w:val="21"/>
          <w:u w:val="single"/>
        </w:rPr>
      </w:pPr>
      <w:r>
        <w:rPr>
          <w:rFonts w:hint="eastAsia" w:ascii="宋体" w:hAnsi="宋体"/>
          <w:szCs w:val="21"/>
        </w:rPr>
        <w:t>承包人</w:t>
      </w:r>
      <w:r>
        <w:rPr>
          <w:rFonts w:ascii="宋体" w:hAnsi="宋体"/>
          <w:szCs w:val="21"/>
        </w:rPr>
        <w:t>提交预付款担保的期限：</w:t>
      </w:r>
      <w:r>
        <w:rPr>
          <w:rFonts w:hint="eastAsia" w:ascii="宋体" w:hAnsi="宋体"/>
          <w:b/>
          <w:szCs w:val="21"/>
          <w:u w:val="single"/>
        </w:rPr>
        <w:t xml:space="preserve">   /</w:t>
      </w:r>
      <w:r>
        <w:rPr>
          <w:rFonts w:ascii="宋体" w:hAnsi="宋体"/>
          <w:b/>
          <w:szCs w:val="21"/>
          <w:u w:val="single"/>
        </w:rPr>
        <w:t xml:space="preserve"> 。</w:t>
      </w:r>
    </w:p>
    <w:p>
      <w:pPr>
        <w:spacing w:line="440" w:lineRule="exact"/>
        <w:ind w:firstLine="420" w:firstLineChars="200"/>
        <w:jc w:val="left"/>
        <w:rPr>
          <w:rFonts w:ascii="宋体" w:hAnsi="宋体"/>
          <w:szCs w:val="21"/>
        </w:rPr>
      </w:pPr>
      <w:r>
        <w:rPr>
          <w:rFonts w:ascii="宋体" w:hAnsi="宋体"/>
          <w:szCs w:val="21"/>
        </w:rPr>
        <w:t>预付款担保的形式为：</w:t>
      </w:r>
      <w:r>
        <w:rPr>
          <w:rFonts w:hint="eastAsia" w:ascii="宋体" w:hAnsi="宋体"/>
          <w:b/>
          <w:szCs w:val="21"/>
          <w:u w:val="single"/>
        </w:rPr>
        <w:t>/</w:t>
      </w:r>
      <w:r>
        <w:rPr>
          <w:rFonts w:ascii="宋体" w:hAnsi="宋体"/>
          <w:szCs w:val="21"/>
        </w:rPr>
        <w:t>。</w:t>
      </w:r>
    </w:p>
    <w:bookmarkEnd w:id="454"/>
    <w:bookmarkEnd w:id="455"/>
    <w:bookmarkEnd w:id="456"/>
    <w:bookmarkEnd w:id="457"/>
    <w:bookmarkEnd w:id="458"/>
    <w:bookmarkEnd w:id="459"/>
    <w:bookmarkEnd w:id="460"/>
    <w:bookmarkEnd w:id="461"/>
    <w:bookmarkEnd w:id="462"/>
    <w:bookmarkEnd w:id="463"/>
    <w:p>
      <w:pPr>
        <w:spacing w:line="440" w:lineRule="exact"/>
        <w:ind w:firstLine="420" w:firstLineChars="200"/>
        <w:jc w:val="left"/>
        <w:rPr>
          <w:rFonts w:ascii="宋体" w:hAnsi="宋体"/>
          <w:szCs w:val="21"/>
        </w:rPr>
      </w:pPr>
      <w:r>
        <w:rPr>
          <w:rFonts w:ascii="宋体" w:hAnsi="宋体"/>
          <w:szCs w:val="21"/>
        </w:rPr>
        <w:t>12.3 计量</w:t>
      </w:r>
    </w:p>
    <w:p>
      <w:pPr>
        <w:spacing w:line="440" w:lineRule="exact"/>
        <w:ind w:firstLine="420" w:firstLineChars="200"/>
        <w:jc w:val="left"/>
        <w:rPr>
          <w:rFonts w:ascii="宋体" w:hAnsi="宋体"/>
          <w:szCs w:val="21"/>
        </w:rPr>
      </w:pPr>
      <w:r>
        <w:rPr>
          <w:rFonts w:ascii="宋体" w:hAnsi="宋体"/>
          <w:szCs w:val="21"/>
        </w:rPr>
        <w:t>12.3.1 计量原则</w:t>
      </w:r>
    </w:p>
    <w:p>
      <w:pPr>
        <w:spacing w:line="440" w:lineRule="exact"/>
        <w:ind w:firstLine="420" w:firstLineChars="200"/>
        <w:jc w:val="left"/>
        <w:rPr>
          <w:rFonts w:ascii="宋体" w:hAnsi="宋体"/>
          <w:b/>
          <w:bCs/>
          <w:szCs w:val="21"/>
          <w:u w:val="single"/>
        </w:rPr>
      </w:pPr>
      <w:r>
        <w:rPr>
          <w:rFonts w:hint="eastAsia" w:ascii="宋体" w:hAnsi="宋体"/>
          <w:szCs w:val="21"/>
        </w:rPr>
        <w:t>工程量计算规则：</w:t>
      </w:r>
      <w:r>
        <w:rPr>
          <w:rFonts w:hint="eastAsia" w:ascii="宋体" w:hAnsi="宋体"/>
          <w:b/>
          <w:szCs w:val="21"/>
          <w:u w:val="single"/>
        </w:rPr>
        <w:t>《江苏省建设工程费用定额》2014版、《建设工程工程量清单计价规范》（GB50500-2013）、《江苏省仿古建筑与园林工程计价表》 (2007年版)、《通用安装工程</w:t>
      </w:r>
      <w:r>
        <w:rPr>
          <w:rFonts w:ascii="宋体" w:hAnsi="宋体"/>
          <w:b/>
          <w:szCs w:val="21"/>
          <w:u w:val="single"/>
        </w:rPr>
        <w:t>工程量计算规范</w:t>
      </w:r>
      <w:r>
        <w:rPr>
          <w:rFonts w:hint="eastAsia" w:ascii="宋体" w:hAnsi="宋体"/>
          <w:b/>
          <w:szCs w:val="21"/>
          <w:u w:val="single"/>
        </w:rPr>
        <w:t>》（GB50856-2013）、《市政工程</w:t>
      </w:r>
      <w:r>
        <w:rPr>
          <w:rFonts w:ascii="宋体" w:hAnsi="宋体"/>
          <w:b/>
          <w:szCs w:val="21"/>
          <w:u w:val="single"/>
        </w:rPr>
        <w:t>工程量计算规范</w:t>
      </w:r>
      <w:r>
        <w:rPr>
          <w:rFonts w:hint="eastAsia" w:ascii="宋体" w:hAnsi="宋体"/>
          <w:b/>
          <w:szCs w:val="21"/>
          <w:u w:val="single"/>
        </w:rPr>
        <w:t>》（GB50857-2013）；《江苏省建筑与装饰工程计价定额》2014年版、《江苏省安装工程计价定额》2014年版、《江苏省市政工程计价定额》2014年版、《江苏省房屋修缮工程计价表》（2009年版）、《江苏省仿古建筑与园林工程计价表》 2007年版、《省住房城乡建设厅关于建筑业增值税计价政策调整的通知》（苏建函价[2018]298号）一般计税方法计取以及相应的补充规定和省市颁布的有关工程造价文件  。</w:t>
      </w:r>
    </w:p>
    <w:p>
      <w:pPr>
        <w:spacing w:line="440" w:lineRule="exact"/>
        <w:ind w:firstLine="420" w:firstLineChars="200"/>
        <w:jc w:val="left"/>
        <w:rPr>
          <w:rFonts w:ascii="宋体" w:hAnsi="宋体"/>
          <w:szCs w:val="21"/>
        </w:rPr>
      </w:pPr>
      <w:r>
        <w:rPr>
          <w:rFonts w:hint="eastAsia" w:ascii="宋体" w:hAnsi="宋体"/>
          <w:szCs w:val="21"/>
        </w:rPr>
        <w:t>12.3.2 计量周期</w:t>
      </w:r>
    </w:p>
    <w:p>
      <w:pPr>
        <w:spacing w:line="460" w:lineRule="exact"/>
        <w:ind w:firstLine="420" w:firstLineChars="200"/>
        <w:rPr>
          <w:rFonts w:ascii="宋体" w:hAnsi="宋体"/>
          <w:b/>
          <w:szCs w:val="21"/>
          <w:u w:val="single"/>
        </w:rPr>
      </w:pPr>
      <w:r>
        <w:rPr>
          <w:rFonts w:hint="eastAsia" w:ascii="宋体" w:hAnsi="宋体"/>
          <w:szCs w:val="21"/>
        </w:rPr>
        <w:t>关于计量周期的约定：</w:t>
      </w:r>
      <w:r>
        <w:rPr>
          <w:rFonts w:hint="eastAsia" w:ascii="宋体" w:hAnsi="宋体"/>
          <w:b/>
          <w:szCs w:val="21"/>
          <w:u w:val="single"/>
        </w:rPr>
        <w:t xml:space="preserve"> /      </w:t>
      </w:r>
    </w:p>
    <w:p>
      <w:pPr>
        <w:spacing w:line="440" w:lineRule="exact"/>
        <w:ind w:firstLine="420" w:firstLineChars="200"/>
        <w:jc w:val="left"/>
        <w:rPr>
          <w:rFonts w:ascii="宋体" w:hAnsi="宋体"/>
          <w:szCs w:val="21"/>
        </w:rPr>
      </w:pPr>
      <w:r>
        <w:rPr>
          <w:rFonts w:hint="eastAsia" w:ascii="宋体" w:hAnsi="宋体"/>
          <w:szCs w:val="21"/>
        </w:rPr>
        <w:t>12.3.3 单价合同的计量</w:t>
      </w:r>
    </w:p>
    <w:p>
      <w:pPr>
        <w:spacing w:line="440" w:lineRule="exact"/>
        <w:ind w:firstLine="420" w:firstLineChars="200"/>
        <w:jc w:val="left"/>
        <w:rPr>
          <w:rFonts w:ascii="宋体" w:hAnsi="宋体"/>
          <w:b/>
          <w:szCs w:val="21"/>
          <w:u w:val="single"/>
        </w:rPr>
      </w:pPr>
      <w:r>
        <w:rPr>
          <w:rFonts w:hint="eastAsia" w:ascii="宋体" w:hAnsi="宋体"/>
          <w:szCs w:val="21"/>
        </w:rPr>
        <w:t>关于单价合同计量的约定：</w:t>
      </w:r>
      <w:r>
        <w:rPr>
          <w:rFonts w:hint="eastAsia" w:ascii="宋体" w:hAnsi="宋体"/>
          <w:b/>
          <w:szCs w:val="21"/>
          <w:u w:val="single"/>
        </w:rPr>
        <w:t>竣工结算的工程量按发承包双方在合同中约定应予计量且实际完成的工程量确定，完成发包人要求的合同以外的零星工作或发生非承包人责任事件的工程量按现场签证确定。</w:t>
      </w:r>
    </w:p>
    <w:p>
      <w:pPr>
        <w:spacing w:line="440" w:lineRule="exact"/>
        <w:ind w:firstLine="420" w:firstLineChars="200"/>
        <w:jc w:val="left"/>
        <w:rPr>
          <w:rFonts w:ascii="宋体" w:hAnsi="宋体"/>
          <w:szCs w:val="21"/>
        </w:rPr>
      </w:pPr>
      <w:r>
        <w:rPr>
          <w:rFonts w:hint="eastAsia" w:ascii="宋体" w:hAnsi="宋体"/>
          <w:szCs w:val="21"/>
        </w:rPr>
        <w:t>12.3.4 总价合同的计量</w:t>
      </w:r>
    </w:p>
    <w:p>
      <w:pPr>
        <w:spacing w:line="440" w:lineRule="exact"/>
        <w:ind w:firstLine="420" w:firstLineChars="200"/>
        <w:jc w:val="left"/>
        <w:rPr>
          <w:rFonts w:ascii="宋体" w:hAnsi="宋体"/>
          <w:szCs w:val="21"/>
        </w:rPr>
      </w:pPr>
      <w:r>
        <w:rPr>
          <w:rFonts w:hint="eastAsia" w:ascii="宋体" w:hAnsi="宋体"/>
          <w:szCs w:val="21"/>
        </w:rPr>
        <w:t>关于总价合同计量的约定：</w:t>
      </w:r>
      <w:r>
        <w:rPr>
          <w:rFonts w:hint="eastAsia" w:ascii="宋体" w:hAnsi="宋体"/>
          <w:szCs w:val="21"/>
          <w:u w:val="single"/>
        </w:rPr>
        <w:t xml:space="preserve">               /               </w:t>
      </w:r>
      <w:r>
        <w:rPr>
          <w:rFonts w:hint="eastAsia"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12.3.5总价合同采用支付分解表计量支付的，是否适用第</w:t>
      </w:r>
      <w:r>
        <w:rPr>
          <w:rFonts w:hint="eastAsia" w:ascii="宋体" w:hAnsi="宋体"/>
          <w:kern w:val="0"/>
          <w:szCs w:val="21"/>
        </w:rPr>
        <w:t xml:space="preserve">12.3.4 </w:t>
      </w:r>
      <w:r>
        <w:rPr>
          <w:rFonts w:hint="eastAsia" w:ascii="宋体" w:hAnsi="宋体"/>
          <w:szCs w:val="21"/>
        </w:rPr>
        <w:t>项</w:t>
      </w:r>
      <w:r>
        <w:rPr>
          <w:rFonts w:hint="eastAsia" w:ascii="宋体" w:hAnsi="宋体"/>
          <w:kern w:val="0"/>
          <w:szCs w:val="21"/>
        </w:rPr>
        <w:t>〔总价合同的计量〕</w:t>
      </w:r>
      <w:r>
        <w:rPr>
          <w:rFonts w:hint="eastAsia" w:ascii="宋体" w:hAnsi="宋体"/>
          <w:szCs w:val="21"/>
        </w:rPr>
        <w:t>约定进行计量：</w:t>
      </w:r>
      <w:r>
        <w:rPr>
          <w:rFonts w:hint="eastAsia" w:ascii="宋体" w:hAnsi="宋体"/>
          <w:szCs w:val="21"/>
          <w:u w:val="single"/>
        </w:rPr>
        <w:t xml:space="preserve">             /        </w:t>
      </w:r>
      <w:r>
        <w:rPr>
          <w:rFonts w:hint="eastAsia"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12.3.6 其他价格形式合同的计量</w:t>
      </w:r>
    </w:p>
    <w:p>
      <w:pPr>
        <w:spacing w:line="440" w:lineRule="exact"/>
        <w:ind w:firstLine="420" w:firstLineChars="200"/>
        <w:jc w:val="left"/>
        <w:rPr>
          <w:rFonts w:ascii="宋体" w:hAnsi="宋体"/>
          <w:szCs w:val="21"/>
        </w:rPr>
      </w:pPr>
      <w:r>
        <w:rPr>
          <w:rFonts w:hint="eastAsia" w:ascii="宋体" w:hAnsi="宋体"/>
          <w:szCs w:val="21"/>
        </w:rPr>
        <w:t>其他价格形式的计量方式和程序：</w:t>
      </w:r>
      <w:r>
        <w:rPr>
          <w:rFonts w:hint="eastAsia" w:ascii="宋体" w:hAnsi="宋体"/>
          <w:szCs w:val="21"/>
          <w:u w:val="single"/>
        </w:rPr>
        <w:t xml:space="preserve">       /               </w:t>
      </w:r>
      <w:r>
        <w:rPr>
          <w:rFonts w:hint="eastAsia" w:ascii="宋体" w:hAnsi="宋体"/>
          <w:szCs w:val="21"/>
        </w:rPr>
        <w:t xml:space="preserve"> 。</w:t>
      </w:r>
    </w:p>
    <w:p>
      <w:pPr>
        <w:spacing w:line="440" w:lineRule="exact"/>
        <w:ind w:firstLine="420" w:firstLineChars="200"/>
        <w:jc w:val="left"/>
        <w:rPr>
          <w:rFonts w:ascii="宋体" w:hAnsi="宋体"/>
          <w:szCs w:val="21"/>
        </w:rPr>
      </w:pPr>
      <w:r>
        <w:rPr>
          <w:rFonts w:hint="eastAsia" w:ascii="宋体" w:hAnsi="宋体"/>
          <w:szCs w:val="21"/>
        </w:rPr>
        <w:t>12.4 工程进度款支付</w:t>
      </w:r>
    </w:p>
    <w:p>
      <w:pPr>
        <w:spacing w:line="440" w:lineRule="exact"/>
        <w:ind w:firstLine="420" w:firstLineChars="200"/>
        <w:jc w:val="left"/>
        <w:rPr>
          <w:rFonts w:ascii="宋体" w:hAnsi="宋体"/>
          <w:b/>
          <w:bCs/>
          <w:szCs w:val="21"/>
          <w:highlight w:val="yellow"/>
          <w:u w:val="single"/>
        </w:rPr>
      </w:pPr>
      <w:bookmarkStart w:id="464" w:name="_Toc297123556"/>
      <w:bookmarkStart w:id="465" w:name="_Toc296944550"/>
      <w:bookmarkStart w:id="466" w:name="_Toc297048397"/>
      <w:bookmarkStart w:id="467" w:name="_Toc303539163"/>
      <w:bookmarkStart w:id="468" w:name="_Toc296891039"/>
      <w:bookmarkStart w:id="469" w:name="_Toc292559921"/>
      <w:bookmarkStart w:id="470" w:name="_Toc297216215"/>
      <w:bookmarkStart w:id="471" w:name="_Toc300935006"/>
      <w:bookmarkStart w:id="472" w:name="_Toc292559416"/>
      <w:bookmarkStart w:id="473" w:name="_Toc297120511"/>
      <w:bookmarkStart w:id="474" w:name="_Toc296891251"/>
      <w:bookmarkStart w:id="475" w:name="_Toc296347210"/>
      <w:bookmarkStart w:id="476" w:name="_Toc296346712"/>
      <w:bookmarkStart w:id="477" w:name="_Toc296503211"/>
      <w:r>
        <w:rPr>
          <w:rFonts w:hint="eastAsia" w:ascii="宋体" w:hAnsi="宋体"/>
          <w:szCs w:val="21"/>
        </w:rPr>
        <w:t>12.4.1 付款周期</w:t>
      </w:r>
    </w:p>
    <w:p>
      <w:pPr>
        <w:spacing w:line="440" w:lineRule="exact"/>
        <w:ind w:firstLine="422" w:firstLineChars="200"/>
        <w:jc w:val="left"/>
        <w:rPr>
          <w:rFonts w:ascii="宋体" w:hAnsi="宋体"/>
          <w:b/>
          <w:bCs/>
          <w:szCs w:val="21"/>
          <w:u w:val="single"/>
        </w:rPr>
      </w:pPr>
      <w:r>
        <w:rPr>
          <w:rFonts w:hint="eastAsia" w:ascii="宋体" w:hAnsi="宋体"/>
          <w:b/>
          <w:bCs/>
          <w:szCs w:val="21"/>
          <w:u w:val="single"/>
        </w:rPr>
        <w:t>承包人交纳履约保证金且施工合同签订</w:t>
      </w:r>
      <w:r>
        <w:rPr>
          <w:rFonts w:hint="eastAsia" w:ascii="宋体" w:hAnsi="宋体"/>
          <w:b/>
          <w:bCs/>
          <w:szCs w:val="21"/>
          <w:u w:val="single"/>
          <w:lang w:eastAsia="zh-CN"/>
        </w:rPr>
        <w:t>。</w:t>
      </w:r>
      <w:r>
        <w:rPr>
          <w:rFonts w:hint="eastAsia" w:ascii="宋体" w:hAnsi="宋体"/>
          <w:b/>
          <w:bCs/>
          <w:szCs w:val="21"/>
          <w:u w:val="single"/>
        </w:rPr>
        <w:t>工程竣工通过验收，且提交符合档案要求的资料后，付合同价的</w:t>
      </w:r>
      <w:r>
        <w:rPr>
          <w:rFonts w:hint="eastAsia" w:ascii="宋体" w:hAnsi="宋体"/>
          <w:b/>
          <w:bCs/>
          <w:szCs w:val="21"/>
          <w:u w:val="single"/>
          <w:lang w:val="en-US" w:eastAsia="zh-CN"/>
        </w:rPr>
        <w:t>6</w:t>
      </w:r>
      <w:r>
        <w:rPr>
          <w:rFonts w:hint="eastAsia" w:ascii="宋体" w:hAnsi="宋体"/>
          <w:b/>
          <w:bCs/>
          <w:szCs w:val="21"/>
          <w:u w:val="single"/>
        </w:rPr>
        <w:t>0%工程款，工程审计结束后付至审定价的9</w:t>
      </w:r>
      <w:r>
        <w:rPr>
          <w:rFonts w:hint="eastAsia" w:ascii="宋体" w:hAnsi="宋体"/>
          <w:b/>
          <w:bCs/>
          <w:szCs w:val="21"/>
          <w:u w:val="single"/>
          <w:lang w:val="en-US" w:eastAsia="zh-CN"/>
        </w:rPr>
        <w:t>7</w:t>
      </w:r>
      <w:r>
        <w:rPr>
          <w:rFonts w:hint="eastAsia" w:ascii="宋体" w:hAnsi="宋体"/>
          <w:b/>
          <w:bCs/>
          <w:szCs w:val="21"/>
          <w:u w:val="single"/>
        </w:rPr>
        <w:t>%</w:t>
      </w:r>
      <w:r>
        <w:rPr>
          <w:rFonts w:hint="eastAsia" w:ascii="宋体" w:hAnsi="宋体"/>
          <w:b/>
          <w:bCs/>
          <w:szCs w:val="21"/>
          <w:u w:val="single"/>
          <w:lang w:eastAsia="zh-CN"/>
        </w:rPr>
        <w:t>，</w:t>
      </w:r>
      <w:r>
        <w:rPr>
          <w:rFonts w:hint="eastAsia" w:ascii="宋体" w:hAnsi="宋体"/>
          <w:b/>
          <w:bCs/>
          <w:szCs w:val="21"/>
          <w:u w:val="single"/>
        </w:rPr>
        <w:t>余款3%作为工程质量保修金</w:t>
      </w:r>
      <w:r>
        <w:rPr>
          <w:rFonts w:hint="eastAsia" w:ascii="宋体" w:hAnsi="宋体"/>
          <w:b/>
          <w:bCs/>
          <w:szCs w:val="21"/>
          <w:u w:val="single"/>
          <w:lang w:eastAsia="zh-CN"/>
        </w:rPr>
        <w:t>二</w:t>
      </w:r>
      <w:r>
        <w:rPr>
          <w:rFonts w:hint="eastAsia" w:ascii="宋体" w:hAnsi="宋体"/>
          <w:b/>
          <w:bCs/>
          <w:szCs w:val="21"/>
          <w:u w:val="single"/>
        </w:rPr>
        <w:t>年内按审计价付清。付款基数为合同价扣除暂列金额的金额。每次支付前，必须出具南通市崇川区税务部门开出的相应金额发票。质量保修金待保修期满无质量问题后无息返还。</w:t>
      </w:r>
    </w:p>
    <w:p>
      <w:pPr>
        <w:spacing w:line="440" w:lineRule="exact"/>
        <w:ind w:firstLine="420" w:firstLineChars="200"/>
        <w:jc w:val="left"/>
        <w:rPr>
          <w:rFonts w:ascii="宋体" w:hAnsi="宋体"/>
          <w:szCs w:val="21"/>
        </w:rPr>
      </w:pPr>
      <w:r>
        <w:rPr>
          <w:rFonts w:hint="eastAsia" w:ascii="宋体" w:hAnsi="宋体"/>
          <w:szCs w:val="21"/>
        </w:rPr>
        <w:t>其他：</w:t>
      </w:r>
    </w:p>
    <w:p>
      <w:pPr>
        <w:spacing w:line="440" w:lineRule="exact"/>
        <w:ind w:firstLine="422" w:firstLineChars="200"/>
        <w:jc w:val="left"/>
        <w:rPr>
          <w:rFonts w:ascii="宋体" w:hAnsi="宋体"/>
          <w:b/>
          <w:color w:val="FF0000"/>
          <w:sz w:val="24"/>
          <w:u w:val="single"/>
          <w:lang w:val="zh-CN"/>
        </w:rPr>
      </w:pPr>
      <w:r>
        <w:rPr>
          <w:rFonts w:hint="eastAsia" w:ascii="宋体" w:hAnsi="宋体"/>
          <w:b/>
          <w:bCs/>
          <w:szCs w:val="21"/>
          <w:u w:val="single"/>
        </w:rPr>
        <w:t>调整价款、变更增补项目价款不在进度款中支付。违约金由承包人缴纳至发包人指定账户或从其工程款中扣除。所有工程款的支付必须由承包人递交付款申请，总监理工程师和发包人现场代表审核。发包人代垫代扣的所有费用可以从工程款中直接扣除。每次支付前，承包人均应出具税务部门认可的相应金额的发票，机构所在地不在崇川区的施工企业，异地项目根据税法按规定要在当地先预缴2%的增值税及附加，每次支付前，须提供在南通市崇川区税务部门开出的预缴增值税的相关资料，承包人未提供符合要求的发票，发包人有权拒绝付款。 工程竣工结算由发包人在崇川审计局设立的“政府投资建设项目协审中介机构资源库”中委托产生第三方审计机构审计确认，审计结束后发包人根据《崇川区政府投资建设项目审计监督办法》的通知，将审计结果送崇川区审计局进行复核，最终复核结果作为工程竣工结算依据。如崇川审计局不再设立‘政府投资建设项目协审中介机构资源库’或崇川区审计局不再复核，则由发包人选择并委托相应资质的第三方审计机构审计。承包人对发包人的选择、委托均予以确认，最终审计结果作为工程竣工结算依据。</w:t>
      </w:r>
    </w:p>
    <w:p>
      <w:pPr>
        <w:spacing w:line="440" w:lineRule="exact"/>
        <w:ind w:firstLine="420" w:firstLineChars="200"/>
        <w:jc w:val="left"/>
        <w:rPr>
          <w:rFonts w:ascii="宋体" w:hAnsi="宋体"/>
          <w:szCs w:val="21"/>
        </w:rPr>
      </w:pPr>
      <w:r>
        <w:rPr>
          <w:rFonts w:hint="eastAsia" w:ascii="宋体" w:hAnsi="宋体"/>
          <w:szCs w:val="21"/>
        </w:rPr>
        <w:t>12.4</w:t>
      </w:r>
      <w:r>
        <w:rPr>
          <w:rFonts w:ascii="宋体" w:hAnsi="宋体"/>
          <w:szCs w:val="21"/>
        </w:rPr>
        <w:t>.2 进度付款申请单的编制</w:t>
      </w:r>
    </w:p>
    <w:p>
      <w:pPr>
        <w:spacing w:line="440" w:lineRule="exact"/>
        <w:ind w:firstLine="420" w:firstLineChars="200"/>
        <w:jc w:val="left"/>
        <w:rPr>
          <w:rFonts w:ascii="宋体" w:hAnsi="宋体"/>
          <w:szCs w:val="21"/>
        </w:rPr>
      </w:pPr>
      <w:r>
        <w:rPr>
          <w:rFonts w:ascii="宋体" w:hAnsi="宋体"/>
          <w:szCs w:val="21"/>
        </w:rPr>
        <w:t>关于进度付款申请单编制的约定：</w:t>
      </w:r>
      <w:r>
        <w:rPr>
          <w:rFonts w:hint="eastAsia" w:ascii="宋体" w:hAnsi="宋体"/>
          <w:szCs w:val="21"/>
          <w:u w:val="single"/>
        </w:rPr>
        <w:t>/</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w:t>
      </w:r>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r>
        <w:rPr>
          <w:rFonts w:ascii="宋体" w:hAnsi="宋体"/>
          <w:szCs w:val="21"/>
        </w:rPr>
        <w:t>2.4.3 进度付款申请单的提交</w:t>
      </w:r>
    </w:p>
    <w:p>
      <w:pPr>
        <w:spacing w:line="440" w:lineRule="exact"/>
        <w:ind w:firstLine="420" w:firstLineChars="200"/>
        <w:jc w:val="left"/>
        <w:rPr>
          <w:rFonts w:ascii="宋体" w:hAnsi="宋体"/>
          <w:szCs w:val="21"/>
        </w:rPr>
      </w:pPr>
      <w:r>
        <w:rPr>
          <w:rFonts w:ascii="宋体" w:hAnsi="宋体"/>
          <w:szCs w:val="21"/>
        </w:rPr>
        <w:t>（1）单价合同进度付款申请单提交的约定</w:t>
      </w:r>
      <w:r>
        <w:rPr>
          <w:rFonts w:hint="eastAsia" w:ascii="宋体" w:hAnsi="宋体"/>
          <w:szCs w:val="21"/>
        </w:rPr>
        <w:t>：</w:t>
      </w:r>
      <w:r>
        <w:rPr>
          <w:rFonts w:hint="eastAsia" w:ascii="宋体" w:hAnsi="宋体"/>
          <w:szCs w:val="21"/>
          <w:u w:val="single"/>
        </w:rPr>
        <w:t xml:space="preserve">      /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（2）总价合同进度付款申请单提交的约定</w:t>
      </w:r>
      <w:r>
        <w:rPr>
          <w:rFonts w:hint="eastAsia" w:ascii="宋体" w:hAnsi="宋体"/>
          <w:szCs w:val="21"/>
        </w:rPr>
        <w:t>：</w:t>
      </w:r>
      <w:r>
        <w:rPr>
          <w:rFonts w:hint="eastAsia" w:ascii="宋体" w:hAnsi="宋体"/>
          <w:szCs w:val="21"/>
          <w:u w:val="single"/>
        </w:rPr>
        <w:t xml:space="preserve">/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（3）其他价格形式合同进度付款申请单提交的约定：</w:t>
      </w:r>
      <w:r>
        <w:rPr>
          <w:rFonts w:hint="eastAsia" w:ascii="宋体" w:hAnsi="宋体"/>
          <w:szCs w:val="21"/>
          <w:u w:val="single"/>
        </w:rPr>
        <w:t>/</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12.4.4 进度款审核和支付</w:t>
      </w:r>
    </w:p>
    <w:p>
      <w:pPr>
        <w:spacing w:line="440" w:lineRule="exact"/>
        <w:ind w:firstLine="420" w:firstLineChars="200"/>
        <w:jc w:val="left"/>
        <w:rPr>
          <w:rFonts w:ascii="宋体" w:hAnsi="宋体"/>
          <w:szCs w:val="21"/>
          <w:u w:val="single"/>
        </w:rPr>
      </w:pPr>
      <w:r>
        <w:rPr>
          <w:rFonts w:ascii="宋体" w:hAnsi="宋体"/>
          <w:szCs w:val="21"/>
        </w:rPr>
        <w:t>（1）监理人审查并报送发包人的期限：</w:t>
      </w:r>
      <w:r>
        <w:rPr>
          <w:rFonts w:hint="eastAsia" w:ascii="宋体" w:hAnsi="宋体"/>
          <w:szCs w:val="21"/>
          <w:u w:val="single"/>
        </w:rPr>
        <w:t xml:space="preserve">     /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发包人完成审批并签发进度款支付证书的期限：</w:t>
      </w:r>
      <w:r>
        <w:rPr>
          <w:rFonts w:hint="eastAsia" w:ascii="宋体" w:hAnsi="宋体"/>
          <w:szCs w:val="21"/>
          <w:u w:val="single"/>
        </w:rPr>
        <w:t xml:space="preserve">   /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（2）发包人支付进度款的期限：</w:t>
      </w:r>
      <w:r>
        <w:rPr>
          <w:rFonts w:hint="eastAsia" w:ascii="宋体" w:hAnsi="宋体"/>
          <w:szCs w:val="21"/>
          <w:u w:val="single"/>
        </w:rPr>
        <w:t xml:space="preserve">      /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发包人逾期支付进度款的违约金的计算方式：</w:t>
      </w:r>
      <w:r>
        <w:rPr>
          <w:rFonts w:hint="eastAsia" w:ascii="宋体" w:hAnsi="宋体"/>
          <w:szCs w:val="21"/>
          <w:u w:val="single"/>
        </w:rPr>
        <w:t>/</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12.4.6 支付分解表的编制</w:t>
      </w:r>
    </w:p>
    <w:p>
      <w:pPr>
        <w:spacing w:line="440" w:lineRule="exact"/>
        <w:ind w:firstLine="420" w:firstLineChars="200"/>
        <w:jc w:val="left"/>
        <w:rPr>
          <w:rFonts w:ascii="宋体" w:hAnsi="宋体"/>
          <w:szCs w:val="21"/>
        </w:rPr>
      </w:pPr>
      <w:r>
        <w:rPr>
          <w:rFonts w:ascii="宋体" w:hAnsi="宋体"/>
          <w:szCs w:val="21"/>
        </w:rPr>
        <w:t>2、总价合同支付分解表的编制与审批：</w:t>
      </w:r>
      <w:r>
        <w:rPr>
          <w:rFonts w:hint="eastAsia" w:ascii="宋体" w:hAnsi="宋体"/>
          <w:szCs w:val="21"/>
          <w:u w:val="single"/>
        </w:rPr>
        <w:t>/</w:t>
      </w:r>
      <w:r>
        <w:rPr>
          <w:rFonts w:ascii="宋体" w:hAnsi="宋体"/>
          <w:szCs w:val="21"/>
        </w:rPr>
        <w:t xml:space="preserve"> 。</w:t>
      </w:r>
    </w:p>
    <w:p>
      <w:pPr>
        <w:spacing w:line="440" w:lineRule="exact"/>
        <w:ind w:firstLine="420" w:firstLineChars="200"/>
        <w:jc w:val="left"/>
        <w:rPr>
          <w:rFonts w:ascii="宋体" w:hAnsi="宋体"/>
          <w:szCs w:val="21"/>
        </w:rPr>
      </w:pPr>
      <w:r>
        <w:rPr>
          <w:rFonts w:ascii="宋体" w:hAnsi="宋体"/>
          <w:szCs w:val="21"/>
        </w:rPr>
        <w:t>3、单价合同的总价项目支付分解表的编制与审批：</w:t>
      </w:r>
      <w:r>
        <w:rPr>
          <w:rFonts w:hint="eastAsia" w:ascii="宋体" w:hAnsi="宋体"/>
          <w:szCs w:val="21"/>
          <w:u w:val="single"/>
        </w:rPr>
        <w:t>/</w:t>
      </w:r>
      <w:r>
        <w:rPr>
          <w:rFonts w:ascii="宋体" w:hAnsi="宋体"/>
          <w:szCs w:val="21"/>
        </w:rPr>
        <w:t>。</w:t>
      </w:r>
    </w:p>
    <w:bookmarkEnd w:id="310"/>
    <w:p>
      <w:pPr>
        <w:pStyle w:val="7"/>
        <w:spacing w:before="120" w:after="120" w:line="440" w:lineRule="exact"/>
        <w:rPr>
          <w:rFonts w:ascii="宋体" w:hAnsi="宋体"/>
          <w:b w:val="0"/>
          <w:szCs w:val="21"/>
        </w:rPr>
      </w:pPr>
      <w:bookmarkStart w:id="478" w:name="_Toc351203645"/>
      <w:bookmarkStart w:id="479" w:name="_Toc297048405"/>
      <w:bookmarkStart w:id="480" w:name="_Toc300935015"/>
      <w:bookmarkStart w:id="481" w:name="_Toc296944558"/>
      <w:bookmarkStart w:id="482" w:name="_Toc296346720"/>
      <w:bookmarkStart w:id="483" w:name="_Toc296891047"/>
      <w:bookmarkStart w:id="484" w:name="_Toc297123564"/>
      <w:bookmarkStart w:id="485" w:name="_Toc303539172"/>
      <w:bookmarkStart w:id="486" w:name="_Toc292559424"/>
      <w:bookmarkStart w:id="487" w:name="_Toc296503219"/>
      <w:bookmarkStart w:id="488" w:name="_Toc304295593"/>
      <w:bookmarkStart w:id="489" w:name="_Toc296891259"/>
      <w:bookmarkStart w:id="490" w:name="_Toc292559929"/>
      <w:bookmarkStart w:id="491" w:name="_Toc296347218"/>
      <w:bookmarkStart w:id="492" w:name="_Toc297120519"/>
      <w:bookmarkStart w:id="493" w:name="_Toc297216223"/>
      <w:bookmarkStart w:id="494" w:name="_Toc312678053"/>
      <w:r>
        <w:rPr>
          <w:rFonts w:ascii="宋体" w:hAnsi="宋体"/>
          <w:b w:val="0"/>
          <w:szCs w:val="21"/>
        </w:rPr>
        <w:t>13.验收和工程试车</w:t>
      </w:r>
      <w:bookmarkEnd w:id="478"/>
    </w:p>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pPr>
        <w:spacing w:line="440" w:lineRule="exact"/>
        <w:ind w:firstLine="420" w:firstLineChars="200"/>
        <w:jc w:val="left"/>
        <w:rPr>
          <w:rFonts w:ascii="宋体" w:hAnsi="宋体"/>
          <w:szCs w:val="21"/>
        </w:rPr>
      </w:pPr>
      <w:r>
        <w:rPr>
          <w:rFonts w:ascii="宋体" w:hAnsi="宋体"/>
          <w:szCs w:val="21"/>
        </w:rPr>
        <w:t>13.1 分部分项工程验收</w:t>
      </w:r>
    </w:p>
    <w:p>
      <w:pPr>
        <w:spacing w:line="440" w:lineRule="exact"/>
        <w:ind w:firstLine="420" w:firstLineChars="200"/>
        <w:jc w:val="left"/>
        <w:rPr>
          <w:rFonts w:ascii="宋体" w:hAnsi="宋体"/>
          <w:szCs w:val="21"/>
        </w:rPr>
      </w:pPr>
      <w:r>
        <w:rPr>
          <w:rFonts w:ascii="宋体" w:hAnsi="宋体"/>
          <w:szCs w:val="21"/>
        </w:rPr>
        <w:t>13.1.2监理人不能按时进行验收时，应提前</w:t>
      </w:r>
      <w:r>
        <w:rPr>
          <w:rFonts w:hint="eastAsia" w:ascii="宋体" w:hAnsi="宋体"/>
          <w:szCs w:val="21"/>
          <w:u w:val="single"/>
        </w:rPr>
        <w:t>/</w:t>
      </w:r>
      <w:r>
        <w:rPr>
          <w:rFonts w:ascii="宋体" w:hAnsi="宋体"/>
          <w:szCs w:val="21"/>
        </w:rPr>
        <w:t>小时提交书面延期要求。</w:t>
      </w:r>
    </w:p>
    <w:p>
      <w:pPr>
        <w:spacing w:line="440" w:lineRule="exact"/>
        <w:ind w:firstLine="420" w:firstLineChars="200"/>
        <w:jc w:val="left"/>
        <w:rPr>
          <w:rFonts w:ascii="宋体" w:hAnsi="宋体"/>
          <w:b/>
          <w:szCs w:val="21"/>
        </w:rPr>
      </w:pPr>
      <w:r>
        <w:rPr>
          <w:rFonts w:ascii="宋体" w:hAnsi="宋体"/>
          <w:szCs w:val="21"/>
        </w:rPr>
        <w:t>关于延期最长不得超过：</w:t>
      </w:r>
      <w:r>
        <w:rPr>
          <w:rFonts w:hint="eastAsia" w:ascii="宋体" w:hAnsi="宋体"/>
          <w:szCs w:val="21"/>
          <w:u w:val="single"/>
        </w:rPr>
        <w:t xml:space="preserve">/           </w:t>
      </w:r>
      <w:r>
        <w:rPr>
          <w:rFonts w:ascii="宋体" w:hAnsi="宋体"/>
          <w:szCs w:val="21"/>
        </w:rPr>
        <w:t>小时。</w:t>
      </w:r>
    </w:p>
    <w:p>
      <w:pPr>
        <w:spacing w:line="440" w:lineRule="exact"/>
        <w:ind w:firstLine="420" w:firstLineChars="200"/>
        <w:jc w:val="left"/>
        <w:rPr>
          <w:rFonts w:ascii="宋体" w:hAnsi="宋体"/>
          <w:szCs w:val="21"/>
        </w:rPr>
      </w:pPr>
      <w:bookmarkStart w:id="495" w:name="_Toc296503223"/>
      <w:bookmarkStart w:id="496" w:name="_Toc296891263"/>
      <w:bookmarkStart w:id="497" w:name="_Toc303539173"/>
      <w:bookmarkStart w:id="498" w:name="_Toc292559933"/>
      <w:bookmarkStart w:id="499" w:name="_Toc296944562"/>
      <w:bookmarkStart w:id="500" w:name="_Toc304295596"/>
      <w:bookmarkStart w:id="501" w:name="_Toc297048409"/>
      <w:bookmarkStart w:id="502" w:name="_Toc312678056"/>
      <w:bookmarkStart w:id="503" w:name="_Toc292559428"/>
      <w:bookmarkStart w:id="504" w:name="_Toc300935016"/>
      <w:bookmarkStart w:id="505" w:name="_Toc297216224"/>
      <w:bookmarkStart w:id="506" w:name="_Toc297120523"/>
      <w:bookmarkStart w:id="507" w:name="_Toc296891051"/>
      <w:bookmarkStart w:id="508" w:name="_Toc297123565"/>
      <w:bookmarkStart w:id="509" w:name="_Toc296347222"/>
      <w:bookmarkStart w:id="510" w:name="_Toc296346724"/>
      <w:bookmarkStart w:id="511" w:name="_Toc267251474"/>
      <w:bookmarkStart w:id="512" w:name="_Toc267251476"/>
      <w:bookmarkStart w:id="513" w:name="_Toc267251472"/>
      <w:bookmarkStart w:id="514" w:name="_Toc267251475"/>
      <w:bookmarkStart w:id="515" w:name="_Toc267251473"/>
      <w:bookmarkStart w:id="516" w:name="_Toc267251470"/>
      <w:bookmarkStart w:id="517" w:name="_Toc267251471"/>
      <w:r>
        <w:rPr>
          <w:rFonts w:ascii="宋体" w:hAnsi="宋体"/>
          <w:szCs w:val="21"/>
        </w:rPr>
        <w:t>13.2 竣工验收</w:t>
      </w:r>
    </w:p>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p>
      <w:pPr>
        <w:spacing w:line="440" w:lineRule="exact"/>
        <w:ind w:firstLine="420" w:firstLineChars="200"/>
        <w:jc w:val="left"/>
        <w:rPr>
          <w:rFonts w:ascii="宋体" w:hAnsi="宋体"/>
          <w:szCs w:val="21"/>
        </w:rPr>
      </w:pPr>
      <w:bookmarkStart w:id="518" w:name="_Toc280868704"/>
      <w:bookmarkStart w:id="519" w:name="_Toc280868705"/>
      <w:bookmarkStart w:id="520" w:name="_Toc280868706"/>
      <w:bookmarkStart w:id="521" w:name="_Toc280868707"/>
      <w:bookmarkStart w:id="522" w:name="_Toc280868708"/>
      <w:bookmarkStart w:id="523" w:name="_Toc280868709"/>
      <w:r>
        <w:rPr>
          <w:rFonts w:ascii="宋体" w:hAnsi="宋体"/>
          <w:szCs w:val="21"/>
        </w:rPr>
        <w:t>13.2.2竣工验收程序</w:t>
      </w:r>
    </w:p>
    <w:bookmarkEnd w:id="518"/>
    <w:p>
      <w:pPr>
        <w:spacing w:line="440" w:lineRule="exact"/>
        <w:ind w:firstLine="420" w:firstLineChars="200"/>
        <w:jc w:val="left"/>
        <w:rPr>
          <w:rFonts w:ascii="宋体" w:hAnsi="宋体"/>
          <w:szCs w:val="21"/>
        </w:rPr>
      </w:pPr>
      <w:r>
        <w:rPr>
          <w:rFonts w:ascii="宋体" w:hAnsi="宋体"/>
          <w:kern w:val="0"/>
          <w:szCs w:val="21"/>
        </w:rPr>
        <w:t>关于竣工验收程序的约定：</w:t>
      </w:r>
      <w:r>
        <w:rPr>
          <w:rFonts w:hint="eastAsia" w:ascii="宋体" w:hAnsi="宋体"/>
          <w:szCs w:val="21"/>
          <w:u w:val="single"/>
        </w:rPr>
        <w:t>按通用条款</w:t>
      </w:r>
      <w:r>
        <w:rPr>
          <w:rFonts w:ascii="宋体" w:hAnsi="宋体"/>
          <w:szCs w:val="21"/>
        </w:rPr>
        <w:t>。</w:t>
      </w:r>
    </w:p>
    <w:p>
      <w:pPr>
        <w:spacing w:line="440" w:lineRule="exact"/>
        <w:ind w:firstLine="420" w:firstLineChars="200"/>
        <w:jc w:val="left"/>
        <w:rPr>
          <w:rFonts w:ascii="宋体" w:hAnsi="宋体"/>
          <w:szCs w:val="21"/>
        </w:rPr>
      </w:pPr>
      <w:r>
        <w:rPr>
          <w:rFonts w:ascii="宋体" w:hAnsi="宋体"/>
          <w:kern w:val="0"/>
          <w:szCs w:val="21"/>
        </w:rPr>
        <w:t>发包人不按照本项约定组织竣工验收、颁发工程接收证书的违约金的计算方法：</w:t>
      </w:r>
      <w:r>
        <w:rPr>
          <w:rFonts w:ascii="宋体" w:hAnsi="宋体"/>
          <w:szCs w:val="21"/>
        </w:rPr>
        <w:t>。</w:t>
      </w:r>
    </w:p>
    <w:bookmarkEnd w:id="519"/>
    <w:p>
      <w:pPr>
        <w:spacing w:line="440" w:lineRule="exact"/>
        <w:ind w:firstLine="420" w:firstLineChars="200"/>
        <w:jc w:val="left"/>
        <w:rPr>
          <w:rFonts w:ascii="宋体" w:hAnsi="宋体"/>
          <w:szCs w:val="21"/>
        </w:rPr>
      </w:pPr>
      <w:r>
        <w:rPr>
          <w:rFonts w:ascii="宋体" w:hAnsi="宋体"/>
          <w:szCs w:val="21"/>
        </w:rPr>
        <w:t>13.2.5移交、接收全部与部分工程</w:t>
      </w:r>
    </w:p>
    <w:bookmarkEnd w:id="520"/>
    <w:p>
      <w:pPr>
        <w:spacing w:line="440" w:lineRule="exact"/>
        <w:ind w:firstLine="420" w:firstLineChars="200"/>
        <w:jc w:val="left"/>
        <w:rPr>
          <w:rFonts w:ascii="宋体" w:hAnsi="宋体"/>
          <w:kern w:val="0"/>
          <w:szCs w:val="21"/>
        </w:rPr>
      </w:pPr>
      <w:r>
        <w:rPr>
          <w:rFonts w:hint="eastAsia" w:ascii="宋体" w:hAnsi="宋体"/>
          <w:kern w:val="0"/>
          <w:szCs w:val="21"/>
        </w:rPr>
        <w:t>承包人向发包人移交工程的期限：</w:t>
      </w:r>
      <w:r>
        <w:rPr>
          <w:rFonts w:hint="eastAsia" w:ascii="宋体" w:hAnsi="宋体"/>
          <w:szCs w:val="21"/>
          <w:u w:val="single"/>
        </w:rPr>
        <w:t xml:space="preserve">按通用条款  </w:t>
      </w:r>
      <w:r>
        <w:rPr>
          <w:rFonts w:hint="eastAsia" w:ascii="宋体" w:hAnsi="宋体"/>
          <w:szCs w:val="21"/>
        </w:rPr>
        <w:t>。</w:t>
      </w:r>
    </w:p>
    <w:p>
      <w:pPr>
        <w:spacing w:line="440" w:lineRule="exact"/>
        <w:ind w:firstLine="420" w:firstLineChars="200"/>
        <w:jc w:val="left"/>
        <w:rPr>
          <w:rFonts w:ascii="宋体" w:hAnsi="宋体"/>
          <w:szCs w:val="21"/>
          <w:u w:val="single"/>
        </w:rPr>
      </w:pPr>
      <w:r>
        <w:rPr>
          <w:rFonts w:ascii="宋体" w:hAnsi="宋体"/>
          <w:kern w:val="0"/>
          <w:szCs w:val="21"/>
        </w:rPr>
        <w:t>发包人未按本合同约定接收全部或部分工程的，违约金的计算方法为：</w:t>
      </w:r>
      <w:r>
        <w:rPr>
          <w:rFonts w:hint="eastAsia" w:ascii="宋体" w:hAnsi="宋体"/>
          <w:szCs w:val="21"/>
          <w:u w:val="single"/>
        </w:rPr>
        <w:t>/</w:t>
      </w:r>
      <w:r>
        <w:rPr>
          <w:rFonts w:ascii="宋体" w:hAnsi="宋体"/>
          <w:szCs w:val="21"/>
        </w:rPr>
        <w:t>。</w:t>
      </w:r>
    </w:p>
    <w:bookmarkEnd w:id="521"/>
    <w:p>
      <w:pPr>
        <w:spacing w:line="440" w:lineRule="exact"/>
        <w:ind w:firstLine="420" w:firstLineChars="200"/>
        <w:jc w:val="left"/>
        <w:rPr>
          <w:rFonts w:ascii="宋体" w:hAnsi="宋体"/>
          <w:szCs w:val="21"/>
        </w:rPr>
      </w:pPr>
      <w:r>
        <w:rPr>
          <w:rFonts w:hint="eastAsia" w:ascii="宋体" w:hAnsi="宋体"/>
          <w:szCs w:val="21"/>
        </w:rPr>
        <w:t>承包人</w:t>
      </w:r>
      <w:r>
        <w:rPr>
          <w:rFonts w:ascii="宋体" w:hAnsi="宋体"/>
          <w:szCs w:val="21"/>
        </w:rPr>
        <w:t>未按时移交工程的，违约金的计算方法为：。</w:t>
      </w:r>
    </w:p>
    <w:p>
      <w:pPr>
        <w:spacing w:line="440" w:lineRule="exact"/>
        <w:ind w:firstLine="420" w:firstLineChars="200"/>
        <w:jc w:val="left"/>
        <w:rPr>
          <w:rFonts w:ascii="宋体" w:hAnsi="宋体"/>
          <w:szCs w:val="21"/>
        </w:rPr>
      </w:pPr>
      <w:r>
        <w:rPr>
          <w:rFonts w:ascii="宋体" w:hAnsi="宋体"/>
          <w:szCs w:val="21"/>
        </w:rPr>
        <w:t>13.3 工程试车</w:t>
      </w:r>
    </w:p>
    <w:bookmarkEnd w:id="522"/>
    <w:p>
      <w:pPr>
        <w:spacing w:line="440" w:lineRule="exact"/>
        <w:ind w:firstLine="420" w:firstLineChars="200"/>
        <w:jc w:val="left"/>
        <w:rPr>
          <w:rFonts w:ascii="宋体" w:hAnsi="宋体"/>
          <w:kern w:val="0"/>
          <w:szCs w:val="21"/>
        </w:rPr>
      </w:pPr>
      <w:r>
        <w:rPr>
          <w:rFonts w:ascii="宋体" w:hAnsi="宋体"/>
          <w:szCs w:val="21"/>
        </w:rPr>
        <w:t>13</w:t>
      </w:r>
      <w:r>
        <w:rPr>
          <w:rFonts w:ascii="宋体" w:hAnsi="宋体"/>
          <w:kern w:val="0"/>
          <w:szCs w:val="21"/>
        </w:rPr>
        <w:t>.3.1 试车程序</w:t>
      </w:r>
    </w:p>
    <w:p>
      <w:pPr>
        <w:spacing w:line="440" w:lineRule="exact"/>
        <w:ind w:firstLine="420" w:firstLineChars="200"/>
        <w:jc w:val="left"/>
        <w:rPr>
          <w:rFonts w:ascii="宋体" w:hAnsi="宋体"/>
          <w:kern w:val="0"/>
          <w:szCs w:val="21"/>
        </w:rPr>
      </w:pPr>
      <w:r>
        <w:rPr>
          <w:rFonts w:ascii="宋体" w:hAnsi="宋体"/>
          <w:kern w:val="0"/>
          <w:szCs w:val="21"/>
        </w:rPr>
        <w:t>工程试车内容：</w:t>
      </w:r>
      <w:r>
        <w:rPr>
          <w:rFonts w:hint="eastAsia" w:ascii="宋体" w:hAnsi="宋体"/>
          <w:szCs w:val="21"/>
          <w:u w:val="single"/>
        </w:rPr>
        <w:t>/</w:t>
      </w:r>
      <w:r>
        <w:rPr>
          <w:rFonts w:ascii="宋体" w:hAnsi="宋体"/>
          <w:szCs w:val="21"/>
        </w:rPr>
        <w:t>。</w:t>
      </w:r>
    </w:p>
    <w:p>
      <w:pPr>
        <w:spacing w:line="440" w:lineRule="exact"/>
        <w:ind w:firstLine="420" w:firstLineChars="200"/>
        <w:jc w:val="left"/>
        <w:rPr>
          <w:rFonts w:ascii="宋体" w:hAnsi="宋体"/>
          <w:kern w:val="0"/>
          <w:szCs w:val="21"/>
        </w:rPr>
      </w:pPr>
      <w:r>
        <w:rPr>
          <w:rFonts w:ascii="宋体" w:hAnsi="宋体"/>
          <w:kern w:val="0"/>
          <w:szCs w:val="21"/>
        </w:rPr>
        <w:t>（1）单机无负荷试车费用由</w:t>
      </w:r>
      <w:r>
        <w:rPr>
          <w:rFonts w:hint="eastAsia" w:ascii="宋体" w:hAnsi="宋体"/>
          <w:szCs w:val="21"/>
          <w:u w:val="single"/>
        </w:rPr>
        <w:t>/</w:t>
      </w:r>
      <w:r>
        <w:rPr>
          <w:rFonts w:ascii="宋体" w:hAnsi="宋体"/>
          <w:kern w:val="0"/>
          <w:szCs w:val="21"/>
        </w:rPr>
        <w:t>承担；</w:t>
      </w:r>
    </w:p>
    <w:p>
      <w:pPr>
        <w:spacing w:line="440" w:lineRule="exact"/>
        <w:ind w:firstLine="420" w:firstLineChars="200"/>
        <w:jc w:val="left"/>
        <w:rPr>
          <w:rFonts w:ascii="宋体" w:hAnsi="宋体"/>
          <w:kern w:val="0"/>
          <w:szCs w:val="21"/>
        </w:rPr>
      </w:pPr>
      <w:r>
        <w:rPr>
          <w:rFonts w:ascii="宋体" w:hAnsi="宋体"/>
          <w:kern w:val="0"/>
          <w:szCs w:val="21"/>
        </w:rPr>
        <w:t>（2）无负荷联动试车费用由</w:t>
      </w:r>
      <w:r>
        <w:rPr>
          <w:rFonts w:hint="eastAsia" w:ascii="宋体" w:hAnsi="宋体"/>
          <w:szCs w:val="21"/>
          <w:u w:val="single"/>
        </w:rPr>
        <w:t>/</w:t>
      </w:r>
      <w:r>
        <w:rPr>
          <w:rFonts w:ascii="宋体" w:hAnsi="宋体"/>
          <w:kern w:val="0"/>
          <w:szCs w:val="21"/>
        </w:rPr>
        <w:t>承担。</w:t>
      </w:r>
    </w:p>
    <w:p>
      <w:pPr>
        <w:spacing w:line="440" w:lineRule="exact"/>
        <w:ind w:firstLine="420" w:firstLineChars="200"/>
        <w:jc w:val="left"/>
        <w:rPr>
          <w:rFonts w:ascii="宋体" w:hAnsi="宋体"/>
          <w:kern w:val="0"/>
          <w:szCs w:val="21"/>
        </w:rPr>
      </w:pPr>
      <w:r>
        <w:rPr>
          <w:rFonts w:ascii="宋体" w:hAnsi="宋体"/>
          <w:kern w:val="0"/>
          <w:szCs w:val="21"/>
        </w:rPr>
        <w:t>13.3.3 投料试车</w:t>
      </w:r>
    </w:p>
    <w:p>
      <w:pPr>
        <w:spacing w:line="440" w:lineRule="exact"/>
        <w:ind w:firstLine="420" w:firstLineChars="200"/>
        <w:jc w:val="left"/>
        <w:rPr>
          <w:rFonts w:ascii="宋体" w:hAnsi="宋体"/>
          <w:kern w:val="0"/>
          <w:szCs w:val="21"/>
        </w:rPr>
      </w:pPr>
      <w:r>
        <w:rPr>
          <w:rFonts w:hint="eastAsia" w:ascii="宋体" w:hAnsi="宋体"/>
          <w:kern w:val="0"/>
          <w:szCs w:val="21"/>
        </w:rPr>
        <w:t>关于投料试车相关事项的约定：</w:t>
      </w:r>
      <w:r>
        <w:rPr>
          <w:rFonts w:hint="eastAsia" w:ascii="宋体" w:hAnsi="宋体"/>
          <w:szCs w:val="21"/>
          <w:u w:val="single"/>
        </w:rPr>
        <w:t xml:space="preserve">          /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13.6 竣工退场</w:t>
      </w:r>
    </w:p>
    <w:p>
      <w:pPr>
        <w:spacing w:line="440" w:lineRule="exact"/>
        <w:ind w:firstLine="420" w:firstLineChars="200"/>
        <w:jc w:val="left"/>
        <w:rPr>
          <w:rFonts w:ascii="宋体" w:hAnsi="宋体"/>
          <w:kern w:val="0"/>
          <w:szCs w:val="21"/>
        </w:rPr>
      </w:pPr>
      <w:r>
        <w:rPr>
          <w:rFonts w:ascii="宋体" w:hAnsi="宋体"/>
          <w:szCs w:val="21"/>
        </w:rPr>
        <w:t>13.6</w:t>
      </w:r>
      <w:r>
        <w:rPr>
          <w:rFonts w:ascii="宋体" w:hAnsi="宋体"/>
          <w:kern w:val="0"/>
          <w:szCs w:val="21"/>
        </w:rPr>
        <w:t>.1 竣工退场</w:t>
      </w:r>
    </w:p>
    <w:p>
      <w:pPr>
        <w:spacing w:line="440" w:lineRule="exact"/>
        <w:ind w:firstLine="460"/>
        <w:rPr>
          <w:rFonts w:ascii="宋体" w:hAnsi="宋体"/>
          <w:szCs w:val="21"/>
          <w:u w:val="single"/>
        </w:rPr>
      </w:pPr>
      <w:r>
        <w:rPr>
          <w:rFonts w:hint="eastAsia" w:ascii="宋体" w:hAnsi="宋体"/>
          <w:kern w:val="0"/>
          <w:szCs w:val="21"/>
        </w:rPr>
        <w:t>承包人</w:t>
      </w:r>
      <w:r>
        <w:rPr>
          <w:rFonts w:ascii="宋体" w:hAnsi="宋体"/>
          <w:kern w:val="0"/>
          <w:szCs w:val="21"/>
        </w:rPr>
        <w:t>完成竣工退场的期限：</w:t>
      </w:r>
      <w:r>
        <w:rPr>
          <w:rFonts w:hint="eastAsia" w:ascii="宋体" w:hAnsi="宋体"/>
          <w:szCs w:val="21"/>
          <w:u w:val="single"/>
        </w:rPr>
        <w:t>承包人须在工程竣工验收后</w:t>
      </w:r>
      <w:r>
        <w:rPr>
          <w:rFonts w:ascii="宋体" w:hAnsi="宋体"/>
          <w:szCs w:val="21"/>
          <w:u w:val="single"/>
        </w:rPr>
        <w:t>7</w:t>
      </w:r>
      <w:r>
        <w:rPr>
          <w:rFonts w:hint="eastAsia" w:ascii="宋体" w:hAnsi="宋体"/>
          <w:szCs w:val="21"/>
          <w:u w:val="single"/>
        </w:rPr>
        <w:t>天内拆除现场所有临时设施。包括所有的建筑垃圾及剩余材料全部清运出现场的费用。清理标准应得到发包人认可，否则，如发生相关费用则由发包人按实际发生费用的2倍及以上在工程结算价款中扣除。环卫等部门预收保证金由承包人负责清退。</w:t>
      </w:r>
    </w:p>
    <w:p>
      <w:pPr>
        <w:spacing w:line="440" w:lineRule="exact"/>
        <w:ind w:firstLine="460"/>
        <w:rPr>
          <w:rFonts w:ascii="宋体" w:hAnsi="宋体"/>
          <w:kern w:val="0"/>
          <w:szCs w:val="21"/>
        </w:rPr>
      </w:pPr>
      <w:r>
        <w:rPr>
          <w:rFonts w:hint="eastAsia" w:ascii="宋体" w:hAnsi="宋体"/>
          <w:szCs w:val="21"/>
          <w:u w:val="single"/>
        </w:rPr>
        <w:t>竣工日期以验收合格当日的竣工验收报告日期为准，工程竣工验收后（发包人批准的除外），承包人的管理、施工人员，材料、设备必须在十天内全部退出现场；建筑、生活垃圾应随时清理出现场，确保场地清洁。人员全部撤离现场后仍然有配合监理和审计工作的义务，并能及时处理现场事务。</w:t>
      </w:r>
    </w:p>
    <w:p>
      <w:pPr>
        <w:pStyle w:val="7"/>
        <w:spacing w:before="120" w:after="120" w:line="440" w:lineRule="exact"/>
        <w:rPr>
          <w:rFonts w:ascii="宋体" w:hAnsi="宋体"/>
          <w:b w:val="0"/>
          <w:szCs w:val="21"/>
        </w:rPr>
      </w:pPr>
      <w:bookmarkStart w:id="524" w:name="_Toc351203646"/>
      <w:r>
        <w:rPr>
          <w:rFonts w:ascii="宋体" w:hAnsi="宋体"/>
          <w:b w:val="0"/>
          <w:szCs w:val="21"/>
        </w:rPr>
        <w:t>14. 竣工结算</w:t>
      </w:r>
      <w:bookmarkEnd w:id="524"/>
    </w:p>
    <w:p>
      <w:pPr>
        <w:spacing w:line="440" w:lineRule="exact"/>
        <w:ind w:firstLine="420" w:firstLineChars="200"/>
        <w:jc w:val="left"/>
        <w:rPr>
          <w:rFonts w:ascii="宋体" w:hAnsi="宋体"/>
          <w:szCs w:val="21"/>
        </w:rPr>
      </w:pPr>
      <w:r>
        <w:rPr>
          <w:rFonts w:ascii="宋体" w:hAnsi="宋体"/>
          <w:szCs w:val="21"/>
        </w:rPr>
        <w:t>14.1 竣工</w:t>
      </w:r>
      <w:r>
        <w:rPr>
          <w:rFonts w:hint="eastAsia" w:ascii="宋体" w:hAnsi="宋体"/>
          <w:szCs w:val="21"/>
        </w:rPr>
        <w:t>结算</w:t>
      </w:r>
      <w:r>
        <w:rPr>
          <w:rFonts w:ascii="宋体" w:hAnsi="宋体"/>
          <w:szCs w:val="21"/>
        </w:rPr>
        <w:t>申请</w:t>
      </w:r>
    </w:p>
    <w:p>
      <w:pPr>
        <w:autoSpaceDE w:val="0"/>
        <w:autoSpaceDN w:val="0"/>
        <w:adjustRightInd w:val="0"/>
        <w:spacing w:line="440" w:lineRule="exact"/>
        <w:ind w:firstLine="480"/>
        <w:rPr>
          <w:rFonts w:ascii="宋体" w:hAnsi="宋体"/>
          <w:szCs w:val="21"/>
          <w:u w:val="single"/>
        </w:rPr>
      </w:pPr>
      <w:r>
        <w:rPr>
          <w:rFonts w:hint="eastAsia" w:ascii="宋体" w:hAnsi="宋体"/>
          <w:szCs w:val="21"/>
          <w:u w:val="single"/>
        </w:rPr>
        <w:t>承包人在工程竣工验收时应提供经监理工程师审查通过的四套完整的竣工图和其他竣工资料，承包人提供的所有资料必须及时且满足档案存档和工程备案要求。工程竣工验收合格后</w:t>
      </w:r>
      <w:r>
        <w:rPr>
          <w:rFonts w:ascii="宋体" w:hAnsi="宋体"/>
          <w:szCs w:val="21"/>
          <w:u w:val="single"/>
        </w:rPr>
        <w:t>28</w:t>
      </w:r>
      <w:r>
        <w:rPr>
          <w:rFonts w:hint="eastAsia" w:ascii="宋体" w:hAnsi="宋体"/>
          <w:szCs w:val="21"/>
          <w:u w:val="single"/>
        </w:rPr>
        <w:t>天内，承包人应向发包人递交完整的符合审计要求的结算资料，若承包人原因不能提交结算资料的，发包人有权拒绝或延期审计并拒付工程款，由此带来的一切后果由承包人承担。</w:t>
      </w:r>
      <w:r>
        <w:rPr>
          <w:rFonts w:ascii="宋体" w:hAnsi="宋体"/>
          <w:szCs w:val="21"/>
          <w:u w:val="single"/>
        </w:rPr>
        <w:t>A</w:t>
      </w:r>
      <w:r>
        <w:rPr>
          <w:rFonts w:hint="eastAsia" w:ascii="宋体" w:hAnsi="宋体"/>
          <w:szCs w:val="21"/>
          <w:u w:val="single"/>
        </w:rPr>
        <w:t>施工中没有设计变更，施工后由承包人在本项目的施工图纸上加盖竣工图章，提交发包人；</w:t>
      </w:r>
      <w:r>
        <w:rPr>
          <w:rFonts w:ascii="宋体" w:hAnsi="宋体"/>
          <w:szCs w:val="21"/>
          <w:u w:val="single"/>
        </w:rPr>
        <w:t>B</w:t>
      </w:r>
      <w:r>
        <w:rPr>
          <w:rFonts w:hint="eastAsia" w:ascii="宋体" w:hAnsi="宋体"/>
          <w:szCs w:val="21"/>
          <w:u w:val="single"/>
        </w:rPr>
        <w:t>施工中对原设计中变更较多，原施工图难于作为竣工图，应由承包人组织重新绘制竣工图，并承担相应费用。并经发包人确认后由发包人在崇川审计局设立的“政府投资建设项目协审中介机构资源库”中委托产生第三方审计机构审计。工程竣工验收合格后</w:t>
      </w:r>
      <w:r>
        <w:rPr>
          <w:rFonts w:ascii="宋体" w:hAnsi="宋体"/>
          <w:szCs w:val="21"/>
          <w:u w:val="single"/>
        </w:rPr>
        <w:t>28</w:t>
      </w:r>
      <w:r>
        <w:rPr>
          <w:rFonts w:hint="eastAsia" w:ascii="宋体" w:hAnsi="宋体"/>
          <w:szCs w:val="21"/>
          <w:u w:val="single"/>
        </w:rPr>
        <w:t>天内，承包人应向发包人递交完整的符合审计要求的结算资料，若承包人原因不能提交结算资料的，发包人有权拒绝或延期审计并拒付工程款。</w:t>
      </w:r>
    </w:p>
    <w:p>
      <w:pPr>
        <w:spacing w:line="440" w:lineRule="exact"/>
        <w:ind w:firstLine="420" w:firstLineChars="200"/>
        <w:jc w:val="left"/>
        <w:rPr>
          <w:rFonts w:ascii="宋体" w:hAnsi="宋体"/>
          <w:szCs w:val="21"/>
        </w:rPr>
      </w:pPr>
      <w:r>
        <w:rPr>
          <w:rFonts w:ascii="宋体" w:hAnsi="宋体"/>
          <w:szCs w:val="21"/>
        </w:rPr>
        <w:t>14.2 竣工结算审核</w:t>
      </w:r>
    </w:p>
    <w:p>
      <w:pPr>
        <w:spacing w:line="440" w:lineRule="exact"/>
        <w:ind w:firstLine="420" w:firstLineChars="200"/>
        <w:jc w:val="left"/>
        <w:rPr>
          <w:rFonts w:ascii="宋体" w:hAnsi="宋体"/>
          <w:szCs w:val="21"/>
          <w:u w:val="single"/>
        </w:rPr>
      </w:pPr>
      <w:r>
        <w:rPr>
          <w:rFonts w:ascii="宋体" w:hAnsi="宋体"/>
          <w:szCs w:val="21"/>
        </w:rPr>
        <w:t>发包人</w:t>
      </w:r>
      <w:r>
        <w:rPr>
          <w:rFonts w:hint="eastAsia" w:ascii="宋体" w:hAnsi="宋体"/>
          <w:szCs w:val="21"/>
        </w:rPr>
        <w:t>审批</w:t>
      </w:r>
      <w:r>
        <w:rPr>
          <w:rFonts w:ascii="宋体" w:hAnsi="宋体"/>
          <w:szCs w:val="21"/>
        </w:rPr>
        <w:t>竣工付款申请单的期限：</w:t>
      </w:r>
      <w:r>
        <w:rPr>
          <w:rFonts w:hint="eastAsia" w:ascii="宋体" w:hAnsi="宋体"/>
          <w:b/>
          <w:szCs w:val="21"/>
          <w:u w:val="single"/>
        </w:rPr>
        <w:t>/</w:t>
      </w:r>
      <w:r>
        <w:rPr>
          <w:rFonts w:hint="eastAsia" w:ascii="宋体" w:hAnsi="宋体"/>
          <w:szCs w:val="21"/>
          <w:u w:val="single"/>
        </w:rPr>
        <w:t>。</w:t>
      </w:r>
    </w:p>
    <w:p>
      <w:pPr>
        <w:spacing w:line="440" w:lineRule="exact"/>
        <w:ind w:firstLine="420" w:firstLineChars="200"/>
        <w:jc w:val="left"/>
        <w:rPr>
          <w:rFonts w:ascii="宋体" w:hAnsi="宋体"/>
          <w:szCs w:val="21"/>
        </w:rPr>
      </w:pPr>
      <w:r>
        <w:rPr>
          <w:rFonts w:ascii="宋体" w:hAnsi="宋体"/>
          <w:szCs w:val="21"/>
        </w:rPr>
        <w:t>发包人完成竣工付款的期限：</w:t>
      </w:r>
      <w:r>
        <w:rPr>
          <w:rFonts w:hint="eastAsia" w:ascii="宋体" w:hAnsi="宋体"/>
          <w:b/>
          <w:szCs w:val="21"/>
          <w:u w:val="single"/>
        </w:rPr>
        <w:t>/</w:t>
      </w:r>
      <w:r>
        <w:rPr>
          <w:rFonts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关于竣工付款证书异议部分复核的方式和程序：</w:t>
      </w:r>
      <w:r>
        <w:rPr>
          <w:rFonts w:hint="eastAsia" w:ascii="宋体" w:hAnsi="宋体"/>
          <w:b/>
          <w:szCs w:val="21"/>
          <w:u w:val="single"/>
        </w:rPr>
        <w:t>由双方协商</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14.4 最终结清</w:t>
      </w:r>
    </w:p>
    <w:p>
      <w:pPr>
        <w:spacing w:line="440" w:lineRule="exact"/>
        <w:ind w:firstLine="420" w:firstLineChars="200"/>
        <w:jc w:val="left"/>
        <w:rPr>
          <w:rFonts w:ascii="宋体" w:hAnsi="宋体"/>
          <w:szCs w:val="21"/>
        </w:rPr>
      </w:pPr>
      <w:r>
        <w:rPr>
          <w:rFonts w:ascii="宋体" w:hAnsi="宋体"/>
          <w:szCs w:val="21"/>
        </w:rPr>
        <w:t>14.4.1 最终结清申请单</w:t>
      </w:r>
    </w:p>
    <w:p>
      <w:pPr>
        <w:spacing w:line="440" w:lineRule="exact"/>
        <w:ind w:firstLine="420" w:firstLineChars="200"/>
        <w:jc w:val="left"/>
        <w:rPr>
          <w:rFonts w:ascii="宋体" w:hAnsi="宋体"/>
          <w:szCs w:val="21"/>
        </w:rPr>
      </w:pPr>
      <w:r>
        <w:rPr>
          <w:rFonts w:hint="eastAsia" w:ascii="宋体" w:hAnsi="宋体"/>
          <w:szCs w:val="21"/>
        </w:rPr>
        <w:t>承包人</w:t>
      </w:r>
      <w:r>
        <w:rPr>
          <w:rFonts w:ascii="宋体" w:hAnsi="宋体"/>
          <w:szCs w:val="21"/>
        </w:rPr>
        <w:t>提交最终结清申请单的份数：</w:t>
      </w:r>
      <w:r>
        <w:rPr>
          <w:rFonts w:hint="eastAsia" w:ascii="宋体" w:hAnsi="宋体"/>
          <w:b/>
          <w:szCs w:val="21"/>
          <w:u w:val="single"/>
        </w:rPr>
        <w:t>按发包人最终要求</w:t>
      </w:r>
      <w:r>
        <w:rPr>
          <w:rFonts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承包人</w:t>
      </w:r>
      <w:r>
        <w:rPr>
          <w:rFonts w:ascii="宋体" w:hAnsi="宋体"/>
          <w:szCs w:val="21"/>
        </w:rPr>
        <w:t>提交最终结算申请单的期限：</w:t>
      </w:r>
      <w:r>
        <w:rPr>
          <w:rFonts w:hint="eastAsia" w:ascii="宋体" w:hAnsi="宋体"/>
          <w:b/>
          <w:szCs w:val="21"/>
          <w:u w:val="single"/>
        </w:rPr>
        <w:t>按通用条款</w:t>
      </w:r>
      <w:r>
        <w:rPr>
          <w:rFonts w:ascii="宋体" w:hAnsi="宋体"/>
          <w:szCs w:val="21"/>
        </w:rPr>
        <w:t xml:space="preserve">。 </w:t>
      </w:r>
    </w:p>
    <w:p>
      <w:pPr>
        <w:spacing w:line="440" w:lineRule="exact"/>
        <w:ind w:firstLine="420" w:firstLineChars="200"/>
        <w:jc w:val="left"/>
        <w:rPr>
          <w:rFonts w:ascii="宋体" w:hAnsi="宋体"/>
          <w:szCs w:val="21"/>
        </w:rPr>
      </w:pPr>
      <w:r>
        <w:rPr>
          <w:rFonts w:ascii="宋体" w:hAnsi="宋体"/>
          <w:szCs w:val="21"/>
        </w:rPr>
        <w:t>14.4.2 最终结清证书和支付</w:t>
      </w:r>
    </w:p>
    <w:p>
      <w:pPr>
        <w:spacing w:line="440" w:lineRule="exact"/>
        <w:ind w:firstLine="420" w:firstLineChars="200"/>
        <w:jc w:val="left"/>
        <w:rPr>
          <w:rFonts w:ascii="宋体" w:hAnsi="宋体"/>
          <w:szCs w:val="21"/>
        </w:rPr>
      </w:pPr>
      <w:r>
        <w:rPr>
          <w:rFonts w:ascii="宋体" w:hAnsi="宋体"/>
          <w:szCs w:val="21"/>
        </w:rPr>
        <w:t>（1）发包人完成最终结清申请单的</w:t>
      </w:r>
      <w:r>
        <w:rPr>
          <w:rFonts w:hint="eastAsia" w:ascii="宋体" w:hAnsi="宋体"/>
          <w:szCs w:val="21"/>
        </w:rPr>
        <w:t>审批</w:t>
      </w:r>
      <w:r>
        <w:rPr>
          <w:rFonts w:ascii="宋体" w:hAnsi="宋体"/>
          <w:szCs w:val="21"/>
        </w:rPr>
        <w:t>并颁发最终结清证书的期限：</w:t>
      </w:r>
      <w:r>
        <w:rPr>
          <w:rFonts w:hint="eastAsia" w:ascii="宋体" w:hAnsi="宋体"/>
          <w:b/>
          <w:szCs w:val="21"/>
          <w:u w:val="single"/>
        </w:rPr>
        <w:t>/</w:t>
      </w:r>
      <w:r>
        <w:rPr>
          <w:rFonts w:ascii="宋体" w:hAnsi="宋体"/>
          <w:szCs w:val="21"/>
        </w:rPr>
        <w:t>。</w:t>
      </w:r>
    </w:p>
    <w:p>
      <w:pPr>
        <w:spacing w:after="120" w:line="440" w:lineRule="exact"/>
        <w:ind w:firstLine="420" w:firstLineChars="200"/>
        <w:rPr>
          <w:rFonts w:ascii="宋体" w:hAnsi="宋体"/>
          <w:szCs w:val="21"/>
        </w:rPr>
      </w:pPr>
      <w:r>
        <w:rPr>
          <w:rFonts w:ascii="宋体" w:hAnsi="宋体"/>
          <w:szCs w:val="21"/>
        </w:rPr>
        <w:t xml:space="preserve">（2）发包人完成支付的期限： </w:t>
      </w:r>
      <w:r>
        <w:rPr>
          <w:rFonts w:hint="eastAsia" w:ascii="宋体" w:hAnsi="宋体"/>
          <w:b/>
          <w:szCs w:val="21"/>
          <w:u w:val="single"/>
        </w:rPr>
        <w:t>/</w:t>
      </w:r>
      <w:r>
        <w:rPr>
          <w:rFonts w:ascii="宋体" w:hAnsi="宋体"/>
          <w:szCs w:val="21"/>
        </w:rPr>
        <w:t xml:space="preserve"> 。</w:t>
      </w:r>
    </w:p>
    <w:bookmarkEnd w:id="511"/>
    <w:bookmarkEnd w:id="512"/>
    <w:bookmarkEnd w:id="513"/>
    <w:bookmarkEnd w:id="514"/>
    <w:bookmarkEnd w:id="515"/>
    <w:bookmarkEnd w:id="516"/>
    <w:bookmarkEnd w:id="517"/>
    <w:bookmarkEnd w:id="523"/>
    <w:p>
      <w:pPr>
        <w:pStyle w:val="7"/>
        <w:spacing w:before="120" w:after="120" w:line="440" w:lineRule="exact"/>
        <w:rPr>
          <w:rFonts w:ascii="宋体" w:hAnsi="宋体"/>
          <w:b w:val="0"/>
          <w:szCs w:val="21"/>
        </w:rPr>
      </w:pPr>
      <w:bookmarkStart w:id="525" w:name="_Toc351203647"/>
      <w:bookmarkStart w:id="526" w:name="_Toc267251483"/>
      <w:bookmarkStart w:id="527" w:name="_Toc267251482"/>
      <w:bookmarkStart w:id="528" w:name="_Toc267251484"/>
      <w:bookmarkStart w:id="529" w:name="_Toc267251485"/>
      <w:bookmarkStart w:id="530" w:name="_Toc267251489"/>
      <w:bookmarkStart w:id="531" w:name="_Toc267251486"/>
      <w:bookmarkStart w:id="532" w:name="_Toc267251490"/>
      <w:bookmarkStart w:id="533" w:name="_Toc267251488"/>
      <w:bookmarkStart w:id="534" w:name="_Toc267251496"/>
      <w:bookmarkStart w:id="535" w:name="_Toc267251495"/>
      <w:bookmarkStart w:id="536" w:name="_Toc267251492"/>
      <w:bookmarkStart w:id="537" w:name="_Toc267251497"/>
      <w:bookmarkStart w:id="538" w:name="_Toc267251501"/>
      <w:bookmarkStart w:id="539" w:name="_Toc267251502"/>
      <w:bookmarkStart w:id="540" w:name="_Toc267251499"/>
      <w:bookmarkStart w:id="541" w:name="_Toc267251494"/>
      <w:bookmarkStart w:id="542" w:name="_Toc267251498"/>
      <w:bookmarkStart w:id="543" w:name="_Toc267251503"/>
      <w:bookmarkStart w:id="544" w:name="_Toc267251491"/>
      <w:bookmarkStart w:id="545" w:name="_Toc267251493"/>
      <w:bookmarkStart w:id="546" w:name="_Toc267251506"/>
      <w:bookmarkStart w:id="547" w:name="_Toc267251504"/>
      <w:bookmarkStart w:id="548" w:name="_Toc267251507"/>
      <w:bookmarkStart w:id="549" w:name="_Toc267251508"/>
      <w:bookmarkStart w:id="550" w:name="_Toc267251510"/>
      <w:bookmarkStart w:id="551" w:name="_Toc267251511"/>
      <w:bookmarkStart w:id="552" w:name="_Toc267251514"/>
      <w:bookmarkStart w:id="553" w:name="_Toc267251513"/>
      <w:bookmarkStart w:id="554" w:name="_Toc267251509"/>
      <w:bookmarkStart w:id="555" w:name="_Toc267251515"/>
      <w:r>
        <w:rPr>
          <w:rFonts w:ascii="宋体" w:hAnsi="宋体"/>
          <w:b w:val="0"/>
          <w:szCs w:val="21"/>
        </w:rPr>
        <w:t>15. 缺陷责任期与保修</w:t>
      </w:r>
      <w:bookmarkEnd w:id="525"/>
    </w:p>
    <w:p>
      <w:pPr>
        <w:spacing w:line="440" w:lineRule="exact"/>
        <w:ind w:firstLine="420" w:firstLineChars="200"/>
        <w:jc w:val="left"/>
        <w:rPr>
          <w:rFonts w:ascii="宋体" w:hAnsi="宋体"/>
          <w:szCs w:val="21"/>
        </w:rPr>
      </w:pPr>
      <w:r>
        <w:rPr>
          <w:rFonts w:ascii="宋体" w:hAnsi="宋体"/>
          <w:szCs w:val="21"/>
        </w:rPr>
        <w:t>15.2缺陷责任期</w:t>
      </w:r>
      <w:bookmarkEnd w:id="526"/>
    </w:p>
    <w:p>
      <w:pPr>
        <w:spacing w:line="440" w:lineRule="exact"/>
        <w:ind w:firstLine="420" w:firstLineChars="200"/>
        <w:jc w:val="left"/>
        <w:rPr>
          <w:rFonts w:ascii="宋体" w:hAnsi="宋体"/>
          <w:szCs w:val="21"/>
        </w:rPr>
      </w:pPr>
      <w:r>
        <w:rPr>
          <w:rFonts w:ascii="宋体" w:hAnsi="宋体"/>
          <w:szCs w:val="21"/>
        </w:rPr>
        <w:t>缺陷责任期的具体期限：</w:t>
      </w:r>
      <w:r>
        <w:rPr>
          <w:rFonts w:hint="eastAsia" w:ascii="宋体" w:hAnsi="宋体"/>
          <w:szCs w:val="21"/>
          <w:u w:val="single"/>
        </w:rPr>
        <w:t xml:space="preserve">  详见质量保修书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15.3 质量保</w:t>
      </w:r>
      <w:r>
        <w:rPr>
          <w:rFonts w:hint="eastAsia" w:ascii="宋体" w:hAnsi="宋体"/>
          <w:szCs w:val="21"/>
        </w:rPr>
        <w:t>修</w:t>
      </w:r>
      <w:r>
        <w:rPr>
          <w:rFonts w:ascii="宋体" w:hAnsi="宋体"/>
          <w:szCs w:val="21"/>
        </w:rPr>
        <w:t>金</w:t>
      </w:r>
    </w:p>
    <w:p>
      <w:pPr>
        <w:spacing w:line="440" w:lineRule="exact"/>
        <w:ind w:firstLine="420" w:firstLineChars="200"/>
        <w:jc w:val="left"/>
        <w:rPr>
          <w:rFonts w:ascii="宋体" w:hAnsi="宋体"/>
          <w:szCs w:val="21"/>
        </w:rPr>
      </w:pPr>
      <w:r>
        <w:rPr>
          <w:rFonts w:hint="eastAsia" w:ascii="宋体" w:hAnsi="宋体"/>
          <w:szCs w:val="21"/>
        </w:rPr>
        <w:t>关于是否扣留质量保修金的约定：</w:t>
      </w:r>
      <w:r>
        <w:rPr>
          <w:rFonts w:hint="eastAsia" w:ascii="宋体" w:hAnsi="宋体"/>
          <w:szCs w:val="21"/>
          <w:u w:val="single"/>
        </w:rPr>
        <w:t xml:space="preserve">  是      </w:t>
      </w:r>
      <w:r>
        <w:rPr>
          <w:rFonts w:hint="eastAsia"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15.3.1 承包人提供质量保证金的方式</w:t>
      </w:r>
    </w:p>
    <w:p>
      <w:pPr>
        <w:spacing w:line="440" w:lineRule="exact"/>
        <w:ind w:firstLine="420" w:firstLineChars="200"/>
        <w:jc w:val="left"/>
        <w:rPr>
          <w:rFonts w:ascii="宋体" w:hAnsi="宋体"/>
          <w:szCs w:val="21"/>
        </w:rPr>
      </w:pPr>
      <w:r>
        <w:rPr>
          <w:rFonts w:hint="eastAsia" w:ascii="宋体" w:hAnsi="宋体"/>
          <w:szCs w:val="21"/>
        </w:rPr>
        <w:t>质量保修金采用以下第</w:t>
      </w:r>
      <w:r>
        <w:rPr>
          <w:rFonts w:hint="eastAsia" w:ascii="宋体" w:hAnsi="宋体"/>
          <w:szCs w:val="21"/>
          <w:u w:val="single"/>
        </w:rPr>
        <w:t xml:space="preserve">  （2）   </w:t>
      </w:r>
      <w:r>
        <w:rPr>
          <w:rFonts w:hint="eastAsia" w:ascii="宋体" w:hAnsi="宋体"/>
          <w:szCs w:val="21"/>
        </w:rPr>
        <w:t>种方式：</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（1）质量保证金保函，保证金额为：</w:t>
      </w:r>
      <w:r>
        <w:rPr>
          <w:rFonts w:hint="eastAsia" w:ascii="宋体" w:hAnsi="宋体"/>
          <w:kern w:val="0"/>
          <w:szCs w:val="21"/>
          <w:u w:val="single"/>
        </w:rPr>
        <w:t xml:space="preserve">       /         </w:t>
      </w:r>
      <w:r>
        <w:rPr>
          <w:rFonts w:hint="eastAsia" w:ascii="宋体" w:hAnsi="宋体"/>
          <w:kern w:val="0"/>
          <w:szCs w:val="21"/>
        </w:rPr>
        <w:t xml:space="preserve">； </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2</w:t>
      </w:r>
      <w:r>
        <w:rPr>
          <w:rFonts w:hint="eastAsia" w:ascii="宋体" w:hAnsi="宋体"/>
          <w:kern w:val="0"/>
          <w:szCs w:val="21"/>
        </w:rPr>
        <w:t>）</w:t>
      </w:r>
      <w:r>
        <w:rPr>
          <w:rFonts w:hint="eastAsia" w:ascii="宋体" w:hAnsi="宋体"/>
          <w:b/>
          <w:szCs w:val="21"/>
          <w:u w:val="single"/>
        </w:rPr>
        <w:t>3%的工程总价（审计后）</w:t>
      </w:r>
      <w:r>
        <w:rPr>
          <w:rFonts w:hint="eastAsia" w:ascii="宋体" w:hAnsi="宋体"/>
          <w:kern w:val="0"/>
          <w:szCs w:val="21"/>
        </w:rPr>
        <w:t>的工程款；</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（3）其他方式:。</w:t>
      </w:r>
    </w:p>
    <w:p>
      <w:pPr>
        <w:spacing w:line="440" w:lineRule="exact"/>
        <w:ind w:firstLine="420" w:firstLineChars="200"/>
        <w:jc w:val="left"/>
        <w:rPr>
          <w:rFonts w:ascii="宋体" w:hAnsi="宋体"/>
          <w:szCs w:val="21"/>
        </w:rPr>
      </w:pPr>
      <w:r>
        <w:rPr>
          <w:rFonts w:hint="eastAsia" w:ascii="宋体" w:hAnsi="宋体"/>
          <w:szCs w:val="21"/>
        </w:rPr>
        <w:t xml:space="preserve">15.3.2 质量保证金的扣留 </w:t>
      </w:r>
    </w:p>
    <w:p>
      <w:pPr>
        <w:spacing w:line="440" w:lineRule="exact"/>
        <w:ind w:firstLine="420" w:firstLineChars="200"/>
        <w:jc w:val="left"/>
        <w:rPr>
          <w:rFonts w:ascii="宋体" w:hAnsi="宋体"/>
          <w:szCs w:val="21"/>
        </w:rPr>
      </w:pPr>
      <w:r>
        <w:rPr>
          <w:rFonts w:hint="eastAsia" w:ascii="宋体" w:hAnsi="宋体"/>
          <w:szCs w:val="21"/>
        </w:rPr>
        <w:t>质量保证金的扣留采取以下第</w:t>
      </w:r>
      <w:r>
        <w:rPr>
          <w:rFonts w:hint="eastAsia" w:ascii="宋体" w:hAnsi="宋体"/>
          <w:szCs w:val="21"/>
          <w:u w:val="single"/>
        </w:rPr>
        <w:t xml:space="preserve">  2   </w:t>
      </w:r>
      <w:r>
        <w:rPr>
          <w:rFonts w:hint="eastAsia" w:ascii="宋体" w:hAnsi="宋体"/>
          <w:szCs w:val="21"/>
        </w:rPr>
        <w:t>种方式：</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（1）在支付工程进度款时逐次扣留，在此情形下，质量保证金的计算基数不包括预付款的支付、扣回以及价格调整的金额；</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（2）工程竣工结算时一次性扣留质量保证金；</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（3）其他扣留方式:</w:t>
      </w:r>
      <w:r>
        <w:rPr>
          <w:rFonts w:hint="eastAsia" w:ascii="宋体" w:hAnsi="宋体"/>
          <w:kern w:val="0"/>
          <w:szCs w:val="21"/>
          <w:u w:val="single"/>
        </w:rPr>
        <w:t xml:space="preserve">       /        </w:t>
      </w:r>
      <w:r>
        <w:rPr>
          <w:rFonts w:hint="eastAsia" w:ascii="宋体" w:hAnsi="宋体"/>
          <w:kern w:val="0"/>
          <w:szCs w:val="21"/>
        </w:rPr>
        <w:t>。</w:t>
      </w:r>
    </w:p>
    <w:p>
      <w:pPr>
        <w:spacing w:line="440" w:lineRule="exact"/>
        <w:ind w:firstLine="420" w:firstLineChars="200"/>
        <w:jc w:val="left"/>
        <w:rPr>
          <w:rFonts w:ascii="宋体" w:hAnsi="宋体"/>
          <w:szCs w:val="21"/>
          <w:u w:val="single"/>
        </w:rPr>
      </w:pPr>
      <w:r>
        <w:rPr>
          <w:rFonts w:hint="eastAsia" w:ascii="宋体" w:hAnsi="宋体"/>
          <w:szCs w:val="21"/>
        </w:rPr>
        <w:t>关于质量保修金的补充约定：</w:t>
      </w:r>
      <w:r>
        <w:rPr>
          <w:rFonts w:ascii="宋体" w:hAnsi="宋体"/>
          <w:b/>
          <w:bCs/>
          <w:szCs w:val="21"/>
          <w:u w:val="single"/>
        </w:rPr>
        <w:t>待保修期满无质量问题后无息返还</w:t>
      </w:r>
      <w:r>
        <w:rPr>
          <w:rFonts w:ascii="宋体" w:hAnsi="宋体"/>
          <w:szCs w:val="21"/>
          <w:u w:val="single"/>
        </w:rPr>
        <w:t>。</w:t>
      </w:r>
    </w:p>
    <w:bookmarkEnd w:id="527"/>
    <w:bookmarkEnd w:id="528"/>
    <w:p>
      <w:pPr>
        <w:spacing w:line="440" w:lineRule="exact"/>
        <w:ind w:firstLine="420" w:firstLineChars="200"/>
        <w:jc w:val="left"/>
        <w:rPr>
          <w:rFonts w:ascii="宋体" w:hAnsi="宋体"/>
          <w:szCs w:val="21"/>
        </w:rPr>
      </w:pPr>
      <w:r>
        <w:rPr>
          <w:rFonts w:hint="eastAsia" w:ascii="宋体" w:hAnsi="宋体"/>
          <w:szCs w:val="21"/>
        </w:rPr>
        <w:t>15.4保修</w:t>
      </w:r>
    </w:p>
    <w:bookmarkEnd w:id="529"/>
    <w:p>
      <w:pPr>
        <w:spacing w:line="440" w:lineRule="exact"/>
        <w:ind w:firstLine="420" w:firstLineChars="200"/>
        <w:jc w:val="left"/>
        <w:rPr>
          <w:rFonts w:ascii="宋体" w:hAnsi="宋体"/>
          <w:szCs w:val="21"/>
        </w:rPr>
      </w:pPr>
      <w:r>
        <w:rPr>
          <w:rFonts w:hint="eastAsia" w:ascii="宋体" w:hAnsi="宋体"/>
          <w:szCs w:val="21"/>
        </w:rPr>
        <w:t>15.4.1 保修责任</w:t>
      </w:r>
    </w:p>
    <w:p>
      <w:pPr>
        <w:spacing w:line="440" w:lineRule="exact"/>
        <w:ind w:firstLine="420" w:firstLineChars="200"/>
        <w:jc w:val="left"/>
        <w:rPr>
          <w:rFonts w:ascii="宋体" w:hAnsi="宋体"/>
          <w:kern w:val="0"/>
          <w:szCs w:val="21"/>
        </w:rPr>
      </w:pPr>
      <w:r>
        <w:rPr>
          <w:rFonts w:hint="eastAsia" w:ascii="宋体" w:hAnsi="宋体"/>
          <w:szCs w:val="21"/>
        </w:rPr>
        <w:t>工程保</w:t>
      </w:r>
      <w:r>
        <w:rPr>
          <w:rFonts w:hint="eastAsia" w:ascii="宋体" w:hAnsi="宋体"/>
          <w:kern w:val="0"/>
          <w:szCs w:val="21"/>
        </w:rPr>
        <w:t>修期为：</w:t>
      </w:r>
      <w:r>
        <w:rPr>
          <w:rFonts w:hint="eastAsia" w:ascii="宋体" w:hAnsi="宋体"/>
          <w:b/>
          <w:bCs/>
          <w:kern w:val="0"/>
          <w:szCs w:val="21"/>
          <w:u w:val="single"/>
        </w:rPr>
        <w:t xml:space="preserve">   见工程质量保修书          </w:t>
      </w:r>
      <w:r>
        <w:rPr>
          <w:rFonts w:hint="eastAsia" w:ascii="宋体" w:hAnsi="宋体"/>
          <w:kern w:val="0"/>
          <w:szCs w:val="21"/>
        </w:rPr>
        <w:t>。</w:t>
      </w:r>
    </w:p>
    <w:p>
      <w:pPr>
        <w:autoSpaceDE w:val="0"/>
        <w:autoSpaceDN w:val="0"/>
        <w:adjustRightInd w:val="0"/>
        <w:spacing w:line="440" w:lineRule="exact"/>
        <w:ind w:firstLine="420" w:firstLineChars="200"/>
        <w:jc w:val="left"/>
        <w:rPr>
          <w:rFonts w:ascii="宋体" w:hAnsi="宋体"/>
          <w:kern w:val="0"/>
          <w:szCs w:val="21"/>
        </w:rPr>
      </w:pPr>
      <w:r>
        <w:rPr>
          <w:rFonts w:hint="eastAsia" w:ascii="宋体" w:hAnsi="宋体"/>
          <w:kern w:val="0"/>
          <w:szCs w:val="21"/>
        </w:rPr>
        <w:t>15.4.3 修复通知</w:t>
      </w:r>
    </w:p>
    <w:p>
      <w:pPr>
        <w:autoSpaceDE w:val="0"/>
        <w:autoSpaceDN w:val="0"/>
        <w:adjustRightInd w:val="0"/>
        <w:spacing w:line="440" w:lineRule="exact"/>
        <w:ind w:firstLine="420" w:firstLineChars="200"/>
        <w:jc w:val="left"/>
        <w:rPr>
          <w:rFonts w:ascii="宋体" w:hAnsi="宋体"/>
          <w:szCs w:val="21"/>
        </w:rPr>
      </w:pPr>
      <w:r>
        <w:rPr>
          <w:rFonts w:hint="eastAsia" w:ascii="宋体" w:hAnsi="宋体"/>
          <w:kern w:val="0"/>
          <w:szCs w:val="21"/>
        </w:rPr>
        <w:t>承</w:t>
      </w:r>
      <w:r>
        <w:rPr>
          <w:rFonts w:hint="eastAsia" w:ascii="宋体" w:hAnsi="宋体"/>
          <w:szCs w:val="21"/>
        </w:rPr>
        <w:t>包人收到保修通知并到达工程现场的合理时间：</w:t>
      </w:r>
      <w:r>
        <w:rPr>
          <w:rFonts w:hint="eastAsia" w:ascii="宋体" w:hAnsi="宋体"/>
          <w:b/>
          <w:bCs/>
          <w:kern w:val="0"/>
          <w:szCs w:val="21"/>
          <w:u w:val="single"/>
        </w:rPr>
        <w:t>收到通知后24小时内</w:t>
      </w:r>
      <w:r>
        <w:rPr>
          <w:rFonts w:hint="eastAsia" w:ascii="宋体" w:hAnsi="宋体"/>
          <w:szCs w:val="21"/>
        </w:rPr>
        <w:t>。</w:t>
      </w:r>
    </w:p>
    <w:bookmarkEnd w:id="530"/>
    <w:bookmarkEnd w:id="531"/>
    <w:bookmarkEnd w:id="532"/>
    <w:bookmarkEnd w:id="533"/>
    <w:p>
      <w:pPr>
        <w:pStyle w:val="7"/>
        <w:spacing w:before="120" w:after="120" w:line="440" w:lineRule="exact"/>
        <w:rPr>
          <w:rFonts w:ascii="宋体" w:hAnsi="宋体"/>
          <w:b w:val="0"/>
          <w:szCs w:val="21"/>
        </w:rPr>
      </w:pPr>
      <w:bookmarkStart w:id="556" w:name="_Toc351203648"/>
      <w:bookmarkStart w:id="557" w:name="_Toc280868717"/>
      <w:bookmarkStart w:id="558" w:name="_Toc280868718"/>
      <w:r>
        <w:rPr>
          <w:rFonts w:ascii="宋体" w:hAnsi="宋体"/>
          <w:b w:val="0"/>
          <w:szCs w:val="21"/>
        </w:rPr>
        <w:t>16. 违约</w:t>
      </w:r>
      <w:bookmarkEnd w:id="556"/>
    </w:p>
    <w:p>
      <w:pPr>
        <w:spacing w:line="440" w:lineRule="exact"/>
        <w:ind w:firstLine="420" w:firstLineChars="200"/>
        <w:jc w:val="left"/>
        <w:rPr>
          <w:rFonts w:ascii="宋体" w:hAnsi="宋体"/>
          <w:szCs w:val="21"/>
        </w:rPr>
      </w:pPr>
      <w:r>
        <w:rPr>
          <w:rFonts w:hint="eastAsia" w:ascii="宋体" w:hAnsi="宋体"/>
          <w:szCs w:val="21"/>
        </w:rPr>
        <w:t>16.1 发包人违约</w:t>
      </w:r>
    </w:p>
    <w:p>
      <w:pPr>
        <w:spacing w:line="440" w:lineRule="exact"/>
        <w:ind w:firstLine="420" w:firstLineChars="200"/>
        <w:jc w:val="left"/>
        <w:rPr>
          <w:rFonts w:ascii="宋体" w:hAnsi="宋体"/>
          <w:szCs w:val="21"/>
        </w:rPr>
      </w:pPr>
      <w:r>
        <w:rPr>
          <w:rFonts w:hint="eastAsia" w:ascii="宋体" w:hAnsi="宋体"/>
          <w:szCs w:val="21"/>
        </w:rPr>
        <w:t>16.1.1发包人违约的情形</w:t>
      </w:r>
    </w:p>
    <w:p>
      <w:pPr>
        <w:spacing w:line="440" w:lineRule="exact"/>
        <w:ind w:firstLine="420" w:firstLineChars="200"/>
        <w:jc w:val="left"/>
        <w:rPr>
          <w:rFonts w:ascii="宋体" w:hAnsi="宋体"/>
          <w:szCs w:val="21"/>
        </w:rPr>
      </w:pPr>
      <w:r>
        <w:rPr>
          <w:rFonts w:hint="eastAsia" w:ascii="宋体" w:hAnsi="宋体"/>
          <w:szCs w:val="21"/>
        </w:rPr>
        <w:t>发包</w:t>
      </w:r>
      <w:r>
        <w:rPr>
          <w:rFonts w:hint="eastAsia" w:ascii="宋体" w:hAnsi="宋体"/>
          <w:kern w:val="0"/>
          <w:szCs w:val="21"/>
        </w:rPr>
        <w:t>人</w:t>
      </w:r>
      <w:r>
        <w:rPr>
          <w:rFonts w:hint="eastAsia" w:ascii="宋体" w:hAnsi="宋体"/>
          <w:szCs w:val="21"/>
        </w:rPr>
        <w:t>违约的其他情形：</w:t>
      </w:r>
      <w:r>
        <w:rPr>
          <w:rFonts w:hint="eastAsia" w:ascii="宋体" w:hAnsi="宋体"/>
          <w:b/>
          <w:bCs/>
          <w:szCs w:val="21"/>
          <w:u w:val="single"/>
        </w:rPr>
        <w:t xml:space="preserve">      /          </w:t>
      </w:r>
      <w:r>
        <w:rPr>
          <w:rFonts w:hint="eastAsia"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16.1.2 发包人违约的责任</w:t>
      </w:r>
    </w:p>
    <w:p>
      <w:pPr>
        <w:spacing w:line="440" w:lineRule="exact"/>
        <w:ind w:firstLine="420" w:firstLineChars="200"/>
        <w:jc w:val="left"/>
        <w:rPr>
          <w:rFonts w:ascii="宋体" w:hAnsi="宋体"/>
          <w:szCs w:val="21"/>
        </w:rPr>
      </w:pPr>
      <w:r>
        <w:rPr>
          <w:rFonts w:hint="eastAsia" w:ascii="宋体" w:hAnsi="宋体"/>
          <w:szCs w:val="21"/>
        </w:rPr>
        <w:t>发包人违约责任的承担方式和计算方法：</w:t>
      </w:r>
    </w:p>
    <w:p>
      <w:pPr>
        <w:spacing w:line="440" w:lineRule="exact"/>
        <w:ind w:firstLine="420" w:firstLineChars="200"/>
        <w:jc w:val="left"/>
        <w:rPr>
          <w:rFonts w:ascii="宋体" w:hAnsi="宋体"/>
          <w:kern w:val="0"/>
          <w:szCs w:val="21"/>
          <w:u w:val="single"/>
        </w:rPr>
      </w:pPr>
      <w:r>
        <w:rPr>
          <w:rFonts w:hint="eastAsia" w:ascii="宋体" w:hAnsi="宋体"/>
          <w:szCs w:val="21"/>
        </w:rPr>
        <w:t>（1）因发</w:t>
      </w:r>
      <w:r>
        <w:rPr>
          <w:rFonts w:hint="eastAsia" w:ascii="宋体" w:hAnsi="宋体"/>
          <w:kern w:val="0"/>
          <w:szCs w:val="21"/>
        </w:rPr>
        <w:t>包人原因未能在计划开工日期前</w:t>
      </w:r>
      <w:r>
        <w:rPr>
          <w:rFonts w:ascii="宋体" w:hAnsi="宋体"/>
          <w:kern w:val="0"/>
          <w:szCs w:val="21"/>
        </w:rPr>
        <w:t>7</w:t>
      </w:r>
      <w:r>
        <w:rPr>
          <w:rFonts w:hint="eastAsia" w:ascii="宋体" w:hAnsi="宋体"/>
          <w:kern w:val="0"/>
          <w:szCs w:val="21"/>
        </w:rPr>
        <w:t>天内下达开工通知的违约责任：</w:t>
      </w:r>
      <w:r>
        <w:rPr>
          <w:rFonts w:hint="eastAsia" w:ascii="宋体" w:hAnsi="宋体"/>
          <w:b/>
          <w:bCs/>
          <w:kern w:val="0"/>
          <w:szCs w:val="21"/>
          <w:u w:val="single"/>
        </w:rPr>
        <w:t>双方另行协商</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2</w:t>
      </w:r>
      <w:r>
        <w:rPr>
          <w:rFonts w:hint="eastAsia" w:ascii="宋体" w:hAnsi="宋体"/>
          <w:kern w:val="0"/>
          <w:szCs w:val="21"/>
        </w:rPr>
        <w:t>）因发包人原因未能按合同约定支付合同价款的违约责任：双方另行协商。</w:t>
      </w:r>
    </w:p>
    <w:p>
      <w:pPr>
        <w:spacing w:line="360" w:lineRule="auto"/>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3</w:t>
      </w:r>
      <w:r>
        <w:rPr>
          <w:rFonts w:hint="eastAsia" w:ascii="宋体" w:hAnsi="宋体"/>
          <w:kern w:val="0"/>
          <w:szCs w:val="21"/>
        </w:rPr>
        <w:t>）发包人违反第</w:t>
      </w:r>
      <w:r>
        <w:rPr>
          <w:rFonts w:ascii="宋体" w:hAnsi="宋体"/>
          <w:kern w:val="0"/>
          <w:szCs w:val="21"/>
        </w:rPr>
        <w:t>10.1</w:t>
      </w:r>
      <w:r>
        <w:rPr>
          <w:rFonts w:hint="eastAsia" w:ascii="宋体" w:hAnsi="宋体"/>
          <w:kern w:val="0"/>
          <w:szCs w:val="21"/>
        </w:rPr>
        <w:t>款〔变更的范围〕第（</w:t>
      </w:r>
      <w:r>
        <w:rPr>
          <w:rFonts w:ascii="宋体" w:hAnsi="宋体"/>
          <w:kern w:val="0"/>
          <w:szCs w:val="21"/>
        </w:rPr>
        <w:t>2</w:t>
      </w:r>
      <w:r>
        <w:rPr>
          <w:rFonts w:hint="eastAsia" w:ascii="宋体" w:hAnsi="宋体"/>
          <w:kern w:val="0"/>
          <w:szCs w:val="21"/>
        </w:rPr>
        <w:t>）项约定，自行实施被取消的工作或转由他人实施的违约责任：</w:t>
      </w:r>
      <w:r>
        <w:rPr>
          <w:rFonts w:hint="eastAsia" w:ascii="宋体" w:hAnsi="宋体"/>
          <w:b/>
          <w:bCs/>
          <w:kern w:val="0"/>
          <w:szCs w:val="21"/>
          <w:u w:val="single"/>
        </w:rPr>
        <w:t>双方另行协商</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4</w:t>
      </w:r>
      <w:r>
        <w:rPr>
          <w:rFonts w:hint="eastAsia" w:ascii="宋体" w:hAnsi="宋体"/>
          <w:kern w:val="0"/>
          <w:szCs w:val="21"/>
        </w:rPr>
        <w:t>）发包人提供的材料、工程设备的规格、数量或质量不符合合同约定，或因发包人原因导致交货日期延误或交货地点变更等情况的违约责任：</w:t>
      </w:r>
      <w:r>
        <w:rPr>
          <w:rFonts w:hint="eastAsia" w:ascii="宋体" w:hAnsi="宋体"/>
          <w:b/>
          <w:bCs/>
          <w:kern w:val="0"/>
          <w:szCs w:val="21"/>
          <w:u w:val="single"/>
        </w:rPr>
        <w:t>双方另行协商</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5</w:t>
      </w:r>
      <w:r>
        <w:rPr>
          <w:rFonts w:hint="eastAsia" w:ascii="宋体" w:hAnsi="宋体"/>
          <w:kern w:val="0"/>
          <w:szCs w:val="21"/>
        </w:rPr>
        <w:t>）因发包人违反合同约定造成暂停施工的违约责任：</w:t>
      </w:r>
      <w:r>
        <w:rPr>
          <w:rFonts w:hint="eastAsia" w:ascii="宋体" w:hAnsi="宋体"/>
          <w:b/>
          <w:bCs/>
          <w:kern w:val="0"/>
          <w:szCs w:val="21"/>
          <w:u w:val="single"/>
        </w:rPr>
        <w:t>双方另行协商</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6</w:t>
      </w:r>
      <w:r>
        <w:rPr>
          <w:rFonts w:hint="eastAsia" w:ascii="宋体" w:hAnsi="宋体"/>
          <w:kern w:val="0"/>
          <w:szCs w:val="21"/>
        </w:rPr>
        <w:t>）发包人无正当理由没有在约定期限内发出复工指示，导致承包人无法复工的违约责任：</w:t>
      </w:r>
      <w:r>
        <w:rPr>
          <w:rFonts w:hint="eastAsia" w:ascii="宋体" w:hAnsi="宋体"/>
          <w:b/>
          <w:bCs/>
          <w:kern w:val="0"/>
          <w:szCs w:val="21"/>
          <w:u w:val="single"/>
        </w:rPr>
        <w:t>双方另行协商</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w:t>
      </w:r>
      <w:r>
        <w:rPr>
          <w:rFonts w:ascii="宋体" w:hAnsi="宋体"/>
          <w:kern w:val="0"/>
          <w:szCs w:val="21"/>
        </w:rPr>
        <w:t>7</w:t>
      </w:r>
      <w:r>
        <w:rPr>
          <w:rFonts w:hint="eastAsia" w:ascii="宋体" w:hAnsi="宋体"/>
          <w:kern w:val="0"/>
          <w:szCs w:val="21"/>
        </w:rPr>
        <w:t>）其他：</w:t>
      </w:r>
      <w:r>
        <w:rPr>
          <w:rFonts w:hint="eastAsia" w:ascii="宋体" w:hAnsi="宋体"/>
          <w:b/>
          <w:bCs/>
          <w:kern w:val="0"/>
          <w:szCs w:val="21"/>
          <w:u w:val="single"/>
        </w:rPr>
        <w:t>双方另行协商</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16.1.3 因发包人违约解除合同</w:t>
      </w:r>
    </w:p>
    <w:p>
      <w:pPr>
        <w:spacing w:line="360" w:lineRule="auto"/>
        <w:ind w:firstLine="420" w:firstLineChars="200"/>
        <w:jc w:val="left"/>
        <w:rPr>
          <w:rFonts w:ascii="宋体" w:hAnsi="宋体"/>
          <w:kern w:val="0"/>
          <w:szCs w:val="21"/>
        </w:rPr>
      </w:pPr>
      <w:r>
        <w:rPr>
          <w:rFonts w:hint="eastAsia" w:ascii="宋体" w:hAnsi="宋体"/>
          <w:kern w:val="0"/>
          <w:szCs w:val="21"/>
        </w:rPr>
        <w:t>承</w:t>
      </w:r>
      <w:r>
        <w:rPr>
          <w:rFonts w:hint="eastAsia" w:ascii="宋体" w:hAnsi="宋体"/>
          <w:szCs w:val="21"/>
        </w:rPr>
        <w:t>包人</w:t>
      </w:r>
      <w:r>
        <w:rPr>
          <w:rFonts w:hint="eastAsia" w:ascii="宋体" w:hAnsi="宋体"/>
          <w:kern w:val="0"/>
          <w:szCs w:val="21"/>
        </w:rPr>
        <w:t>按</w:t>
      </w:r>
      <w:r>
        <w:rPr>
          <w:rFonts w:ascii="宋体" w:hAnsi="宋体"/>
          <w:kern w:val="0"/>
          <w:szCs w:val="21"/>
        </w:rPr>
        <w:t>16.1.1</w:t>
      </w:r>
      <w:r>
        <w:rPr>
          <w:rFonts w:hint="eastAsia" w:ascii="宋体" w:hAnsi="宋体"/>
          <w:kern w:val="0"/>
          <w:szCs w:val="21"/>
        </w:rPr>
        <w:t>项〔发包人违约的情形〕约定暂停施工满</w:t>
      </w:r>
      <w:r>
        <w:rPr>
          <w:rFonts w:hint="eastAsia" w:ascii="宋体" w:hAnsi="宋体"/>
          <w:b/>
          <w:bCs/>
          <w:kern w:val="0"/>
          <w:szCs w:val="21"/>
          <w:u w:val="single"/>
        </w:rPr>
        <w:t xml:space="preserve">60  </w:t>
      </w:r>
      <w:r>
        <w:rPr>
          <w:rFonts w:hint="eastAsia" w:ascii="宋体" w:hAnsi="宋体"/>
          <w:kern w:val="0"/>
          <w:szCs w:val="21"/>
        </w:rPr>
        <w:t>天后发包人仍不纠正其违约行为并致使合同目的不能实现的，承包人有权解除合同。</w:t>
      </w:r>
    </w:p>
    <w:p>
      <w:pPr>
        <w:spacing w:line="360" w:lineRule="auto"/>
        <w:ind w:firstLine="420" w:firstLineChars="200"/>
        <w:jc w:val="left"/>
        <w:rPr>
          <w:rFonts w:ascii="宋体" w:hAnsi="宋体"/>
          <w:kern w:val="0"/>
          <w:szCs w:val="21"/>
        </w:rPr>
      </w:pPr>
      <w:r>
        <w:rPr>
          <w:rFonts w:hint="eastAsia" w:ascii="宋体" w:hAnsi="宋体"/>
          <w:kern w:val="0"/>
          <w:szCs w:val="21"/>
        </w:rPr>
        <w:t>16.2 承包人违约</w:t>
      </w:r>
    </w:p>
    <w:p>
      <w:pPr>
        <w:spacing w:line="360" w:lineRule="auto"/>
        <w:ind w:firstLine="420" w:firstLineChars="200"/>
        <w:jc w:val="left"/>
        <w:rPr>
          <w:rFonts w:ascii="宋体" w:hAnsi="宋体"/>
          <w:kern w:val="0"/>
          <w:szCs w:val="21"/>
        </w:rPr>
      </w:pPr>
      <w:r>
        <w:rPr>
          <w:rFonts w:hint="eastAsia" w:ascii="宋体" w:hAnsi="宋体"/>
          <w:kern w:val="0"/>
          <w:szCs w:val="21"/>
        </w:rPr>
        <w:t>16.2.1 承包人违约的情形</w:t>
      </w:r>
    </w:p>
    <w:p>
      <w:pPr>
        <w:spacing w:line="360" w:lineRule="auto"/>
        <w:ind w:firstLine="420" w:firstLineChars="200"/>
        <w:jc w:val="left"/>
        <w:rPr>
          <w:rFonts w:ascii="宋体" w:hAnsi="宋体"/>
          <w:kern w:val="0"/>
          <w:szCs w:val="21"/>
        </w:rPr>
      </w:pPr>
      <w:r>
        <w:rPr>
          <w:rFonts w:hint="eastAsia" w:ascii="宋体" w:hAnsi="宋体"/>
          <w:kern w:val="0"/>
          <w:szCs w:val="21"/>
        </w:rPr>
        <w:t>承包人违约的其他情形：承包人违约的其他情形：</w:t>
      </w:r>
      <w:r>
        <w:rPr>
          <w:rFonts w:hint="eastAsia" w:ascii="宋体" w:hAnsi="宋体"/>
          <w:kern w:val="0"/>
          <w:szCs w:val="21"/>
          <w:u w:val="single"/>
        </w:rPr>
        <w:t>1、施工单位出现严重安全、质量事故，或在建设单位规定的整改期限内达不到整改要求或明显无法按期完工的，发包人有权要求施工单位退场，并按验收合格工程量的60%款项结算</w:t>
      </w:r>
      <w:r>
        <w:rPr>
          <w:rFonts w:hint="eastAsia" w:ascii="宋体" w:hAnsi="宋体"/>
          <w:kern w:val="0"/>
          <w:szCs w:val="21"/>
        </w:rPr>
        <w:t xml:space="preserve">。 </w:t>
      </w:r>
    </w:p>
    <w:p>
      <w:pPr>
        <w:spacing w:line="360" w:lineRule="auto"/>
        <w:ind w:firstLine="420" w:firstLineChars="200"/>
        <w:jc w:val="left"/>
        <w:rPr>
          <w:rFonts w:ascii="宋体" w:hAnsi="宋体"/>
          <w:kern w:val="0"/>
          <w:szCs w:val="21"/>
          <w:u w:val="single"/>
        </w:rPr>
      </w:pPr>
      <w:r>
        <w:rPr>
          <w:rFonts w:hint="eastAsia" w:ascii="宋体" w:hAnsi="宋体"/>
          <w:kern w:val="0"/>
          <w:szCs w:val="21"/>
          <w:u w:val="single"/>
        </w:rPr>
        <w:t>2、本工程不得转包和违法分包，否则一经发现发包人有权终止合同，已完工程量不予结算。</w:t>
      </w:r>
    </w:p>
    <w:p>
      <w:pPr>
        <w:spacing w:line="360" w:lineRule="auto"/>
        <w:ind w:firstLine="420" w:firstLineChars="200"/>
        <w:jc w:val="left"/>
        <w:rPr>
          <w:rFonts w:ascii="宋体" w:hAnsi="宋体"/>
          <w:kern w:val="0"/>
          <w:szCs w:val="21"/>
          <w:u w:val="single"/>
        </w:rPr>
      </w:pPr>
      <w:r>
        <w:rPr>
          <w:rFonts w:hint="eastAsia" w:ascii="宋体" w:hAnsi="宋体"/>
          <w:kern w:val="0"/>
          <w:szCs w:val="21"/>
          <w:u w:val="single"/>
        </w:rPr>
        <w:t>3、</w:t>
      </w:r>
      <w:r>
        <w:rPr>
          <w:rFonts w:ascii="宋体" w:hAnsi="宋体"/>
          <w:kern w:val="0"/>
          <w:szCs w:val="21"/>
          <w:u w:val="single"/>
        </w:rPr>
        <w:t>现场安全文明施工费需在工程施工过程中经监理单位、建设单位、造价管理处等单位现场共同考评，否则在结算时在其总价中扣除</w:t>
      </w:r>
      <w:r>
        <w:rPr>
          <w:rFonts w:hint="eastAsia" w:ascii="宋体" w:hAnsi="宋体"/>
          <w:kern w:val="0"/>
          <w:szCs w:val="21"/>
          <w:u w:val="single"/>
        </w:rPr>
        <w:t>。</w:t>
      </w:r>
    </w:p>
    <w:p>
      <w:pPr>
        <w:spacing w:line="360" w:lineRule="auto"/>
        <w:ind w:firstLine="420" w:firstLineChars="200"/>
        <w:jc w:val="left"/>
        <w:rPr>
          <w:rFonts w:ascii="宋体" w:hAnsi="宋体"/>
          <w:kern w:val="0"/>
          <w:szCs w:val="21"/>
        </w:rPr>
      </w:pPr>
      <w:r>
        <w:rPr>
          <w:rFonts w:hint="eastAsia" w:ascii="宋体" w:hAnsi="宋体"/>
          <w:kern w:val="0"/>
          <w:szCs w:val="21"/>
          <w:u w:val="single"/>
        </w:rPr>
        <w:t>4、</w:t>
      </w:r>
      <w:r>
        <w:rPr>
          <w:rFonts w:ascii="宋体" w:hAnsi="宋体"/>
          <w:kern w:val="0"/>
          <w:szCs w:val="21"/>
          <w:u w:val="single"/>
        </w:rPr>
        <w:t>监理、承包人对所有进场材料的质量共同把关，承包人必须根据有关规定要求由具备相应专业资质的试验单位对材料、设备进行必要的试验、检验，如发现质量问题时，应及时退货。如承包人不按规定送检或明知有问题而不予处理，继续施工，由此引起返工而造成的材料、人工、机械、工期损失等一切费用全部由承包人承担。监理根据需要可在事前、事中、事后进行抽检，不论在哪个阶段查出问题，所造成的损失均由承包人负责</w:t>
      </w:r>
      <w:r>
        <w:rPr>
          <w:rFonts w:hint="eastAsia" w:ascii="宋体" w:hAnsi="宋体"/>
          <w:kern w:val="0"/>
          <w:szCs w:val="21"/>
        </w:rPr>
        <w:t>。</w:t>
      </w:r>
    </w:p>
    <w:p>
      <w:pPr>
        <w:spacing w:line="360" w:lineRule="auto"/>
        <w:ind w:firstLine="420" w:firstLineChars="200"/>
        <w:jc w:val="left"/>
        <w:rPr>
          <w:rFonts w:ascii="宋体" w:hAnsi="宋体"/>
          <w:kern w:val="0"/>
          <w:szCs w:val="21"/>
        </w:rPr>
      </w:pPr>
      <w:r>
        <w:rPr>
          <w:rFonts w:hint="eastAsia" w:ascii="宋体" w:hAnsi="宋体"/>
          <w:kern w:val="0"/>
          <w:szCs w:val="21"/>
        </w:rPr>
        <w:t>16.2.2承包人违约的责任</w:t>
      </w:r>
    </w:p>
    <w:p>
      <w:pPr>
        <w:spacing w:line="360" w:lineRule="auto"/>
        <w:ind w:firstLine="420" w:firstLineChars="200"/>
        <w:jc w:val="left"/>
        <w:rPr>
          <w:rFonts w:ascii="宋体" w:hAnsi="宋体"/>
          <w:kern w:val="0"/>
          <w:szCs w:val="21"/>
          <w:u w:val="single"/>
        </w:rPr>
      </w:pPr>
      <w:r>
        <w:rPr>
          <w:rFonts w:hint="eastAsia" w:ascii="宋体" w:hAnsi="宋体"/>
          <w:kern w:val="0"/>
          <w:szCs w:val="21"/>
        </w:rPr>
        <w:t>承包人违约责任的承担方式和计算方法：</w:t>
      </w:r>
      <w:r>
        <w:rPr>
          <w:rFonts w:hint="eastAsia" w:ascii="宋体" w:hAnsi="宋体"/>
          <w:kern w:val="0"/>
          <w:szCs w:val="21"/>
          <w:u w:val="single"/>
        </w:rPr>
        <w:t>（1）详见7.5.2条款；（2）详见3.7条款。</w:t>
      </w:r>
    </w:p>
    <w:p>
      <w:pPr>
        <w:spacing w:line="440" w:lineRule="exact"/>
        <w:ind w:firstLine="420" w:firstLineChars="200"/>
        <w:jc w:val="left"/>
        <w:rPr>
          <w:rFonts w:ascii="宋体" w:hAnsi="宋体"/>
          <w:szCs w:val="21"/>
        </w:rPr>
      </w:pPr>
      <w:r>
        <w:rPr>
          <w:rFonts w:hint="eastAsia" w:ascii="宋体" w:hAnsi="宋体"/>
          <w:szCs w:val="21"/>
        </w:rPr>
        <w:t>16.2.3 因承包人违约解除合同</w:t>
      </w:r>
    </w:p>
    <w:p>
      <w:pPr>
        <w:spacing w:line="440" w:lineRule="exact"/>
        <w:ind w:firstLine="420" w:firstLineChars="200"/>
        <w:jc w:val="left"/>
        <w:rPr>
          <w:rFonts w:ascii="宋体" w:hAnsi="宋体"/>
          <w:kern w:val="0"/>
          <w:szCs w:val="21"/>
          <w:u w:val="single"/>
        </w:rPr>
      </w:pPr>
      <w:r>
        <w:rPr>
          <w:rFonts w:hint="eastAsia" w:ascii="宋体" w:hAnsi="宋体"/>
          <w:szCs w:val="21"/>
        </w:rPr>
        <w:t>关于承包人违约解除合同的特别约定：</w:t>
      </w:r>
      <w:r>
        <w:rPr>
          <w:rFonts w:hint="eastAsia" w:ascii="宋体" w:hAnsi="宋体"/>
          <w:b/>
          <w:szCs w:val="21"/>
          <w:u w:val="single"/>
        </w:rPr>
        <w:t>由承包人承担全部费用并承担相关法律责任</w:t>
      </w:r>
      <w:r>
        <w:rPr>
          <w:rFonts w:hint="eastAsia" w:ascii="宋体" w:hAnsi="宋体"/>
          <w:kern w:val="0"/>
          <w:szCs w:val="21"/>
        </w:rPr>
        <w:t>。</w:t>
      </w:r>
    </w:p>
    <w:p>
      <w:pPr>
        <w:spacing w:line="440" w:lineRule="exact"/>
        <w:ind w:firstLine="420" w:firstLineChars="200"/>
        <w:rPr>
          <w:rFonts w:ascii="宋体" w:hAnsi="宋体"/>
          <w:szCs w:val="21"/>
        </w:rPr>
      </w:pPr>
      <w:r>
        <w:rPr>
          <w:rFonts w:ascii="宋体" w:hAnsi="宋体"/>
          <w:szCs w:val="21"/>
        </w:rPr>
        <w:t xml:space="preserve">16.2.3 </w:t>
      </w:r>
      <w:r>
        <w:rPr>
          <w:rFonts w:hint="eastAsia" w:ascii="宋体" w:hAnsi="宋体"/>
          <w:szCs w:val="21"/>
        </w:rPr>
        <w:t>因承包人违约解除合同</w:t>
      </w:r>
    </w:p>
    <w:p>
      <w:pPr>
        <w:spacing w:line="440" w:lineRule="exact"/>
        <w:ind w:firstLine="420" w:firstLineChars="200"/>
        <w:rPr>
          <w:rFonts w:ascii="宋体" w:hAnsi="宋体"/>
          <w:kern w:val="0"/>
          <w:szCs w:val="21"/>
        </w:rPr>
      </w:pPr>
      <w:r>
        <w:rPr>
          <w:rFonts w:hint="eastAsia" w:ascii="宋体" w:hAnsi="宋体"/>
          <w:szCs w:val="21"/>
        </w:rPr>
        <w:t>关于</w:t>
      </w:r>
      <w:r>
        <w:rPr>
          <w:rFonts w:hint="eastAsia" w:ascii="宋体" w:hAnsi="宋体"/>
          <w:kern w:val="0"/>
          <w:szCs w:val="21"/>
        </w:rPr>
        <w:t>承包人违约解除合同的特别约定：</w:t>
      </w:r>
      <w:r>
        <w:rPr>
          <w:rFonts w:hint="eastAsia" w:ascii="宋体" w:hAnsi="宋体"/>
          <w:b/>
          <w:szCs w:val="21"/>
          <w:u w:val="single"/>
        </w:rPr>
        <w:t>按通用条款执行</w:t>
      </w:r>
      <w:r>
        <w:rPr>
          <w:rFonts w:hint="eastAsia" w:ascii="宋体" w:hAnsi="宋体"/>
          <w:kern w:val="0"/>
          <w:szCs w:val="21"/>
        </w:rPr>
        <w:t>。</w:t>
      </w:r>
    </w:p>
    <w:p>
      <w:pPr>
        <w:spacing w:line="440" w:lineRule="exact"/>
        <w:ind w:firstLine="420" w:firstLineChars="200"/>
        <w:rPr>
          <w:rFonts w:ascii="宋体" w:hAnsi="宋体"/>
          <w:kern w:val="0"/>
          <w:szCs w:val="21"/>
          <w:u w:val="single"/>
        </w:rPr>
      </w:pPr>
      <w:r>
        <w:rPr>
          <w:rFonts w:hint="eastAsia" w:ascii="宋体" w:hAnsi="宋体"/>
          <w:kern w:val="0"/>
          <w:szCs w:val="21"/>
        </w:rPr>
        <w:t>发包人继续使用承包人在施工现场的材料、设备、临时工程、承包人文件和由承包人或以其名义编制的其他文件的费用承担方式</w:t>
      </w:r>
      <w:r>
        <w:rPr>
          <w:rFonts w:hint="eastAsia" w:ascii="宋体" w:hAnsi="宋体"/>
          <w:b/>
          <w:bCs/>
          <w:kern w:val="0"/>
          <w:szCs w:val="21"/>
          <w:u w:val="single"/>
        </w:rPr>
        <w:t>：另行协商</w:t>
      </w:r>
    </w:p>
    <w:p>
      <w:pPr>
        <w:pStyle w:val="7"/>
        <w:spacing w:before="120" w:after="120" w:line="440" w:lineRule="exact"/>
        <w:rPr>
          <w:rFonts w:ascii="宋体" w:hAnsi="宋体"/>
          <w:b w:val="0"/>
          <w:szCs w:val="21"/>
        </w:rPr>
      </w:pPr>
      <w:bookmarkStart w:id="559" w:name="_Toc351203649"/>
      <w:r>
        <w:rPr>
          <w:rFonts w:ascii="宋体" w:hAnsi="宋体"/>
          <w:b w:val="0"/>
          <w:szCs w:val="21"/>
        </w:rPr>
        <w:t>17. 不可抗力</w:t>
      </w:r>
      <w:bookmarkEnd w:id="557"/>
      <w:bookmarkEnd w:id="559"/>
    </w:p>
    <w:p>
      <w:pPr>
        <w:spacing w:line="440" w:lineRule="exact"/>
        <w:ind w:firstLine="420" w:firstLineChars="200"/>
        <w:rPr>
          <w:rFonts w:ascii="宋体" w:hAnsi="宋体"/>
          <w:szCs w:val="21"/>
        </w:rPr>
      </w:pPr>
      <w:r>
        <w:rPr>
          <w:rFonts w:ascii="宋体" w:hAnsi="宋体"/>
          <w:szCs w:val="21"/>
        </w:rPr>
        <w:t>17.1 不可抗力的确认</w:t>
      </w:r>
    </w:p>
    <w:p>
      <w:pPr>
        <w:spacing w:line="440" w:lineRule="exact"/>
        <w:ind w:firstLine="420" w:firstLineChars="200"/>
        <w:rPr>
          <w:rFonts w:ascii="宋体" w:hAnsi="宋体"/>
          <w:b/>
          <w:bCs/>
          <w:kern w:val="0"/>
          <w:szCs w:val="21"/>
          <w:u w:val="single"/>
        </w:rPr>
      </w:pPr>
      <w:r>
        <w:rPr>
          <w:rFonts w:ascii="宋体" w:hAnsi="宋体"/>
          <w:szCs w:val="21"/>
        </w:rPr>
        <w:t>除通用合同条款约定的不可抗力事件之外，视为不可抗力的其他情形：</w:t>
      </w:r>
      <w:r>
        <w:rPr>
          <w:rFonts w:hint="eastAsia" w:ascii="宋体" w:hAnsi="宋体"/>
          <w:b/>
          <w:bCs/>
          <w:kern w:val="0"/>
          <w:szCs w:val="21"/>
          <w:u w:val="single"/>
        </w:rPr>
        <w:t>由市级以上有关部门正式发布和认定的自然灾害。</w:t>
      </w:r>
    </w:p>
    <w:p>
      <w:pPr>
        <w:spacing w:line="440" w:lineRule="exact"/>
        <w:ind w:firstLine="420" w:firstLineChars="200"/>
        <w:jc w:val="left"/>
        <w:rPr>
          <w:rFonts w:ascii="宋体" w:hAnsi="宋体"/>
          <w:szCs w:val="21"/>
        </w:rPr>
      </w:pPr>
      <w:r>
        <w:rPr>
          <w:rFonts w:ascii="宋体" w:hAnsi="宋体"/>
          <w:szCs w:val="21"/>
        </w:rPr>
        <w:t>17.4 因不可抗力解除合同</w:t>
      </w:r>
    </w:p>
    <w:p>
      <w:pPr>
        <w:spacing w:line="440" w:lineRule="exact"/>
        <w:ind w:firstLine="420" w:firstLineChars="200"/>
        <w:jc w:val="left"/>
        <w:rPr>
          <w:rFonts w:ascii="宋体" w:hAnsi="宋体"/>
          <w:szCs w:val="21"/>
        </w:rPr>
      </w:pPr>
      <w:r>
        <w:rPr>
          <w:rFonts w:ascii="宋体" w:hAnsi="宋体"/>
          <w:szCs w:val="21"/>
        </w:rPr>
        <w:t>合同解除后，发包人应在商定或确定发包人应支付款项后</w:t>
      </w:r>
      <w:r>
        <w:rPr>
          <w:rFonts w:hint="eastAsia" w:ascii="宋体" w:hAnsi="宋体"/>
          <w:szCs w:val="21"/>
          <w:u w:val="single"/>
        </w:rPr>
        <w:t>按通用条款</w:t>
      </w:r>
      <w:r>
        <w:rPr>
          <w:rFonts w:ascii="宋体" w:hAnsi="宋体"/>
          <w:szCs w:val="21"/>
        </w:rPr>
        <w:t>天内完成款项的支付。</w:t>
      </w:r>
    </w:p>
    <w:p>
      <w:pPr>
        <w:pStyle w:val="7"/>
        <w:spacing w:before="120" w:after="120" w:line="440" w:lineRule="exact"/>
        <w:rPr>
          <w:rFonts w:ascii="宋体" w:hAnsi="宋体"/>
          <w:b w:val="0"/>
          <w:szCs w:val="21"/>
        </w:rPr>
      </w:pPr>
      <w:bookmarkStart w:id="560" w:name="_Toc351203650"/>
      <w:r>
        <w:rPr>
          <w:rFonts w:ascii="宋体" w:hAnsi="宋体"/>
          <w:b w:val="0"/>
          <w:szCs w:val="21"/>
        </w:rPr>
        <w:t>18. 保险</w:t>
      </w:r>
      <w:bookmarkEnd w:id="560"/>
    </w:p>
    <w:bookmarkEnd w:id="558"/>
    <w:p>
      <w:pPr>
        <w:spacing w:line="440" w:lineRule="exact"/>
        <w:ind w:firstLine="420" w:firstLineChars="200"/>
        <w:rPr>
          <w:rFonts w:ascii="宋体" w:hAnsi="宋体"/>
          <w:szCs w:val="21"/>
        </w:rPr>
      </w:pPr>
      <w:r>
        <w:rPr>
          <w:rFonts w:ascii="宋体" w:hAnsi="宋体"/>
          <w:szCs w:val="21"/>
        </w:rPr>
        <w:t>18.1 工程保险</w:t>
      </w:r>
    </w:p>
    <w:p>
      <w:pPr>
        <w:spacing w:line="440" w:lineRule="exact"/>
        <w:ind w:firstLine="420" w:firstLineChars="200"/>
        <w:rPr>
          <w:rFonts w:ascii="宋体" w:hAnsi="宋体"/>
          <w:szCs w:val="21"/>
        </w:rPr>
      </w:pPr>
      <w:r>
        <w:rPr>
          <w:rFonts w:ascii="宋体" w:hAnsi="宋体"/>
          <w:szCs w:val="21"/>
        </w:rPr>
        <w:t>关于工程保险的特别约定：</w:t>
      </w:r>
      <w:r>
        <w:rPr>
          <w:rFonts w:hint="eastAsia" w:ascii="宋体" w:hAnsi="宋体"/>
          <w:szCs w:val="21"/>
          <w:u w:val="single"/>
        </w:rPr>
        <w:t xml:space="preserve">    /   。</w:t>
      </w:r>
    </w:p>
    <w:p>
      <w:pPr>
        <w:spacing w:line="440" w:lineRule="exact"/>
        <w:ind w:firstLine="420" w:firstLineChars="200"/>
        <w:rPr>
          <w:rFonts w:ascii="宋体" w:hAnsi="宋体"/>
          <w:szCs w:val="21"/>
        </w:rPr>
      </w:pPr>
      <w:r>
        <w:rPr>
          <w:rFonts w:ascii="宋体" w:hAnsi="宋体"/>
          <w:szCs w:val="21"/>
        </w:rPr>
        <w:t>18.3 其他保险</w:t>
      </w:r>
    </w:p>
    <w:p>
      <w:pPr>
        <w:spacing w:line="440" w:lineRule="exact"/>
        <w:ind w:firstLine="420" w:firstLineChars="200"/>
        <w:rPr>
          <w:rFonts w:ascii="宋体" w:hAnsi="宋体"/>
          <w:szCs w:val="21"/>
        </w:rPr>
      </w:pPr>
      <w:r>
        <w:rPr>
          <w:rFonts w:ascii="宋体" w:hAnsi="宋体"/>
          <w:szCs w:val="21"/>
        </w:rPr>
        <w:t>关于其他保险的约定：</w:t>
      </w:r>
      <w:r>
        <w:rPr>
          <w:rFonts w:hint="eastAsia" w:ascii="宋体" w:hAnsi="宋体"/>
          <w:szCs w:val="21"/>
          <w:u w:val="single"/>
        </w:rPr>
        <w:t>承包人投保内容须至少包含从事危险作业职工的意外伤害险、施工场地内自有人员的生命财产险、施工机械设备的财产险、第三方人员的生命财产险、运至施工场地内用于工程的材料和待安装设备的财产险。</w:t>
      </w:r>
    </w:p>
    <w:p>
      <w:pPr>
        <w:spacing w:line="440" w:lineRule="exact"/>
        <w:ind w:firstLine="420" w:firstLineChars="200"/>
        <w:jc w:val="left"/>
        <w:rPr>
          <w:rFonts w:ascii="宋体" w:hAnsi="宋体"/>
          <w:kern w:val="0"/>
          <w:szCs w:val="21"/>
        </w:rPr>
      </w:pPr>
      <w:r>
        <w:rPr>
          <w:rFonts w:hint="eastAsia" w:ascii="宋体" w:hAnsi="宋体"/>
          <w:szCs w:val="21"/>
        </w:rPr>
        <w:t>承包人</w:t>
      </w:r>
      <w:r>
        <w:rPr>
          <w:rFonts w:ascii="宋体" w:hAnsi="宋体"/>
          <w:szCs w:val="21"/>
        </w:rPr>
        <w:t>是否应为其施工设备等办理财产保险：</w:t>
      </w:r>
      <w:r>
        <w:rPr>
          <w:rFonts w:hint="eastAsia" w:ascii="宋体" w:hAnsi="宋体"/>
          <w:szCs w:val="21"/>
          <w:u w:val="single"/>
        </w:rPr>
        <w:t>承包人必须按规定办理由承包人投保的一切保险（包括但不限于工程施工期间的工程一切险、工程第三方责任险、人身意外险等）。如不办理，一切责任由承包人自行负责</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18.7 通知义务</w:t>
      </w:r>
    </w:p>
    <w:p>
      <w:pPr>
        <w:spacing w:line="440" w:lineRule="exact"/>
        <w:ind w:firstLine="420" w:firstLineChars="200"/>
        <w:rPr>
          <w:rFonts w:ascii="宋体" w:hAnsi="宋体"/>
          <w:szCs w:val="21"/>
        </w:rPr>
      </w:pPr>
      <w:r>
        <w:rPr>
          <w:rFonts w:ascii="宋体" w:hAnsi="宋体"/>
          <w:szCs w:val="21"/>
        </w:rPr>
        <w:t>关于</w:t>
      </w:r>
      <w:r>
        <w:rPr>
          <w:rFonts w:ascii="宋体" w:hAnsi="宋体"/>
          <w:kern w:val="0"/>
          <w:szCs w:val="21"/>
        </w:rPr>
        <w:t>变更保险合同时的通知义务的约定：</w:t>
      </w:r>
      <w:r>
        <w:rPr>
          <w:rFonts w:hint="eastAsia" w:ascii="宋体" w:hAnsi="宋体"/>
          <w:szCs w:val="21"/>
          <w:u w:val="single"/>
        </w:rPr>
        <w:t xml:space="preserve">无       </w:t>
      </w:r>
      <w:r>
        <w:rPr>
          <w:rFonts w:ascii="宋体" w:hAnsi="宋体"/>
          <w:szCs w:val="21"/>
        </w:rPr>
        <w:t>。</w:t>
      </w:r>
    </w:p>
    <w:bookmarkEnd w:id="534"/>
    <w:bookmarkEnd w:id="535"/>
    <w:bookmarkEnd w:id="536"/>
    <w:bookmarkEnd w:id="537"/>
    <w:bookmarkEnd w:id="538"/>
    <w:bookmarkEnd w:id="539"/>
    <w:bookmarkEnd w:id="540"/>
    <w:bookmarkEnd w:id="541"/>
    <w:bookmarkEnd w:id="542"/>
    <w:bookmarkEnd w:id="543"/>
    <w:bookmarkEnd w:id="544"/>
    <w:bookmarkEnd w:id="545"/>
    <w:p>
      <w:pPr>
        <w:pStyle w:val="7"/>
        <w:spacing w:before="120" w:after="120" w:line="440" w:lineRule="exact"/>
        <w:rPr>
          <w:rFonts w:ascii="宋体" w:hAnsi="宋体"/>
          <w:b w:val="0"/>
          <w:szCs w:val="21"/>
        </w:rPr>
      </w:pPr>
      <w:bookmarkStart w:id="561" w:name="_Toc351203651"/>
      <w:r>
        <w:rPr>
          <w:rFonts w:ascii="宋体" w:hAnsi="宋体"/>
          <w:b w:val="0"/>
          <w:szCs w:val="21"/>
        </w:rPr>
        <w:t>20. 争议解决</w:t>
      </w:r>
      <w:bookmarkEnd w:id="561"/>
    </w:p>
    <w:bookmarkEnd w:id="546"/>
    <w:bookmarkEnd w:id="547"/>
    <w:p>
      <w:pPr>
        <w:spacing w:line="440" w:lineRule="exact"/>
        <w:ind w:firstLine="420" w:firstLineChars="200"/>
        <w:rPr>
          <w:rFonts w:ascii="宋体" w:hAnsi="宋体"/>
          <w:szCs w:val="21"/>
        </w:rPr>
      </w:pPr>
      <w:r>
        <w:rPr>
          <w:rFonts w:ascii="宋体" w:hAnsi="宋体"/>
          <w:szCs w:val="21"/>
        </w:rPr>
        <w:t>20.3 争</w:t>
      </w:r>
      <w:bookmarkEnd w:id="548"/>
      <w:r>
        <w:rPr>
          <w:rFonts w:ascii="宋体" w:hAnsi="宋体"/>
          <w:szCs w:val="21"/>
        </w:rPr>
        <w:t>议评审</w:t>
      </w:r>
    </w:p>
    <w:p>
      <w:pPr>
        <w:spacing w:line="440" w:lineRule="exact"/>
        <w:ind w:firstLine="420" w:firstLineChars="200"/>
        <w:jc w:val="left"/>
        <w:rPr>
          <w:rFonts w:ascii="宋体" w:hAnsi="宋体"/>
          <w:szCs w:val="21"/>
        </w:rPr>
      </w:pPr>
      <w:r>
        <w:rPr>
          <w:rFonts w:ascii="宋体" w:hAnsi="宋体"/>
          <w:szCs w:val="21"/>
        </w:rPr>
        <w:t>合同当事人是否同意将工程争议提交争议评审小组决</w:t>
      </w:r>
      <w:r>
        <w:rPr>
          <w:rFonts w:hint="eastAsia" w:ascii="宋体" w:hAnsi="宋体"/>
          <w:szCs w:val="21"/>
        </w:rPr>
        <w:t>定：</w:t>
      </w:r>
      <w:r>
        <w:rPr>
          <w:rFonts w:hint="eastAsia" w:ascii="宋体" w:hAnsi="宋体"/>
          <w:szCs w:val="21"/>
          <w:u w:val="single"/>
        </w:rPr>
        <w:t xml:space="preserve">   /   </w:t>
      </w:r>
      <w:r>
        <w:rPr>
          <w:rFonts w:hint="eastAsia" w:ascii="宋体" w:hAnsi="宋体"/>
          <w:szCs w:val="21"/>
        </w:rPr>
        <w:t xml:space="preserve">。  </w:t>
      </w:r>
    </w:p>
    <w:p>
      <w:pPr>
        <w:spacing w:line="440" w:lineRule="exact"/>
        <w:ind w:firstLine="420" w:firstLineChars="200"/>
        <w:jc w:val="left"/>
        <w:rPr>
          <w:rFonts w:ascii="宋体" w:hAnsi="宋体"/>
          <w:szCs w:val="21"/>
        </w:rPr>
      </w:pPr>
      <w:r>
        <w:rPr>
          <w:rFonts w:ascii="宋体" w:hAnsi="宋体"/>
          <w:szCs w:val="21"/>
        </w:rPr>
        <w:t>20.3.1 争议评审小组的确定</w:t>
      </w:r>
    </w:p>
    <w:p>
      <w:pPr>
        <w:spacing w:line="440" w:lineRule="exact"/>
        <w:ind w:firstLine="420" w:firstLineChars="200"/>
        <w:jc w:val="left"/>
        <w:rPr>
          <w:rFonts w:ascii="宋体" w:hAnsi="宋体"/>
          <w:szCs w:val="21"/>
          <w:u w:val="single"/>
        </w:rPr>
      </w:pPr>
      <w:r>
        <w:rPr>
          <w:rFonts w:ascii="宋体" w:hAnsi="宋体"/>
          <w:szCs w:val="21"/>
        </w:rPr>
        <w:t>争议评审小组成员的确定：</w:t>
      </w:r>
      <w:r>
        <w:rPr>
          <w:rFonts w:hint="eastAsia" w:ascii="宋体" w:hAnsi="宋体"/>
          <w:szCs w:val="21"/>
          <w:u w:val="single"/>
        </w:rPr>
        <w:t xml:space="preserve">/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选定争议评审员的期限：</w:t>
      </w:r>
      <w:r>
        <w:rPr>
          <w:rFonts w:hint="eastAsia" w:ascii="宋体" w:hAnsi="宋体"/>
          <w:szCs w:val="21"/>
          <w:u w:val="single"/>
        </w:rPr>
        <w:t xml:space="preserve">/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争议评审小组成员的报酬承担方式：</w:t>
      </w:r>
      <w:r>
        <w:rPr>
          <w:rFonts w:hint="eastAsia" w:ascii="宋体" w:hAnsi="宋体"/>
          <w:szCs w:val="21"/>
          <w:u w:val="single"/>
        </w:rPr>
        <w:t xml:space="preserve">/ </w:t>
      </w:r>
      <w:r>
        <w:rPr>
          <w:rFonts w:ascii="宋体" w:hAnsi="宋体"/>
          <w:szCs w:val="21"/>
        </w:rPr>
        <w:t>。</w:t>
      </w:r>
    </w:p>
    <w:p>
      <w:pPr>
        <w:spacing w:line="440" w:lineRule="exact"/>
        <w:ind w:firstLine="420" w:firstLineChars="200"/>
        <w:jc w:val="left"/>
        <w:rPr>
          <w:rFonts w:ascii="宋体" w:hAnsi="宋体"/>
          <w:szCs w:val="21"/>
        </w:rPr>
      </w:pPr>
      <w:r>
        <w:rPr>
          <w:rFonts w:ascii="宋体" w:hAnsi="宋体"/>
          <w:szCs w:val="21"/>
        </w:rPr>
        <w:t>其他事项的约定：</w:t>
      </w:r>
      <w:r>
        <w:rPr>
          <w:rFonts w:hint="eastAsia" w:ascii="宋体" w:hAnsi="宋体"/>
          <w:szCs w:val="21"/>
          <w:u w:val="single"/>
        </w:rPr>
        <w:t xml:space="preserve">/     </w:t>
      </w:r>
      <w:r>
        <w:rPr>
          <w:rFonts w:ascii="宋体" w:hAnsi="宋体"/>
          <w:szCs w:val="21"/>
        </w:rPr>
        <w:t>。</w:t>
      </w:r>
    </w:p>
    <w:p>
      <w:pPr>
        <w:autoSpaceDE w:val="0"/>
        <w:autoSpaceDN w:val="0"/>
        <w:adjustRightInd w:val="0"/>
        <w:spacing w:line="420" w:lineRule="exact"/>
        <w:ind w:firstLine="420" w:firstLineChars="200"/>
        <w:jc w:val="left"/>
        <w:rPr>
          <w:rFonts w:ascii="宋体" w:hAnsi="宋体"/>
          <w:kern w:val="0"/>
          <w:szCs w:val="21"/>
        </w:rPr>
      </w:pPr>
      <w:r>
        <w:rPr>
          <w:rFonts w:ascii="宋体" w:hAnsi="宋体"/>
          <w:kern w:val="0"/>
          <w:szCs w:val="21"/>
        </w:rPr>
        <w:t>20.3.2 争议评审小组的决定</w:t>
      </w:r>
    </w:p>
    <w:p>
      <w:pPr>
        <w:spacing w:line="420" w:lineRule="exact"/>
        <w:ind w:firstLine="420" w:firstLineChars="200"/>
        <w:jc w:val="left"/>
        <w:rPr>
          <w:rFonts w:ascii="宋体" w:hAnsi="宋体"/>
          <w:szCs w:val="21"/>
        </w:rPr>
      </w:pPr>
      <w:r>
        <w:rPr>
          <w:rFonts w:ascii="宋体" w:hAnsi="宋体"/>
          <w:szCs w:val="21"/>
        </w:rPr>
        <w:t>合同当事人关于本项的约定：</w:t>
      </w:r>
      <w:r>
        <w:rPr>
          <w:rFonts w:hint="eastAsia" w:ascii="宋体" w:hAnsi="宋体"/>
          <w:szCs w:val="21"/>
          <w:u w:val="single"/>
        </w:rPr>
        <w:t xml:space="preserve">/ </w:t>
      </w:r>
      <w:r>
        <w:rPr>
          <w:rFonts w:ascii="宋体" w:hAnsi="宋体"/>
          <w:szCs w:val="21"/>
        </w:rPr>
        <w:t>。</w:t>
      </w:r>
    </w:p>
    <w:p>
      <w:pPr>
        <w:spacing w:line="440" w:lineRule="exact"/>
        <w:ind w:firstLine="420" w:firstLineChars="200"/>
        <w:rPr>
          <w:rFonts w:ascii="宋体" w:hAnsi="宋体"/>
          <w:szCs w:val="21"/>
        </w:rPr>
      </w:pPr>
      <w:r>
        <w:rPr>
          <w:rFonts w:ascii="宋体" w:hAnsi="宋体"/>
          <w:szCs w:val="21"/>
        </w:rPr>
        <w:t>20.4仲裁或诉讼</w:t>
      </w:r>
      <w:bookmarkEnd w:id="549"/>
    </w:p>
    <w:p>
      <w:pPr>
        <w:spacing w:line="440" w:lineRule="exact"/>
        <w:ind w:firstLine="420" w:firstLineChars="200"/>
        <w:rPr>
          <w:rFonts w:ascii="宋体" w:hAnsi="宋体"/>
          <w:szCs w:val="21"/>
        </w:rPr>
      </w:pPr>
      <w:r>
        <w:rPr>
          <w:rFonts w:ascii="宋体" w:hAnsi="宋体"/>
          <w:szCs w:val="21"/>
        </w:rPr>
        <w:t>因合同及合同有关事项发生的争议，按下列第</w:t>
      </w:r>
      <w:r>
        <w:rPr>
          <w:rFonts w:hint="eastAsia" w:ascii="宋体" w:hAnsi="宋体"/>
          <w:szCs w:val="21"/>
          <w:u w:val="single"/>
        </w:rPr>
        <w:t>（2）</w:t>
      </w:r>
      <w:r>
        <w:rPr>
          <w:rFonts w:ascii="宋体" w:hAnsi="宋体"/>
          <w:szCs w:val="21"/>
        </w:rPr>
        <w:t>种方式</w:t>
      </w:r>
      <w:r>
        <w:rPr>
          <w:rFonts w:hint="eastAsia" w:ascii="宋体" w:hAnsi="宋体"/>
          <w:szCs w:val="21"/>
        </w:rPr>
        <w:t>解</w:t>
      </w:r>
      <w:r>
        <w:rPr>
          <w:rFonts w:ascii="宋体" w:hAnsi="宋体"/>
          <w:szCs w:val="21"/>
        </w:rPr>
        <w:t>决：</w:t>
      </w:r>
    </w:p>
    <w:p>
      <w:pPr>
        <w:spacing w:line="420" w:lineRule="exact"/>
        <w:ind w:firstLine="420" w:firstLineChars="200"/>
        <w:jc w:val="left"/>
        <w:rPr>
          <w:rFonts w:ascii="宋体" w:hAnsi="宋体"/>
          <w:szCs w:val="21"/>
        </w:rPr>
      </w:pPr>
      <w:r>
        <w:rPr>
          <w:rFonts w:ascii="宋体" w:hAnsi="宋体"/>
          <w:szCs w:val="21"/>
        </w:rPr>
        <w:t>（1）向</w:t>
      </w:r>
      <w:r>
        <w:rPr>
          <w:rFonts w:hint="eastAsia" w:ascii="宋体" w:hAnsi="宋体"/>
          <w:szCs w:val="21"/>
          <w:u w:val="single"/>
        </w:rPr>
        <w:t>南通市</w:t>
      </w:r>
      <w:r>
        <w:rPr>
          <w:rFonts w:ascii="宋体" w:hAnsi="宋体"/>
          <w:szCs w:val="21"/>
        </w:rPr>
        <w:t>仲裁委员会申请仲裁；</w:t>
      </w:r>
    </w:p>
    <w:p>
      <w:pPr>
        <w:spacing w:line="420" w:lineRule="exact"/>
        <w:ind w:firstLine="420" w:firstLineChars="200"/>
        <w:jc w:val="left"/>
        <w:rPr>
          <w:rFonts w:ascii="宋体" w:hAnsi="宋体"/>
          <w:szCs w:val="21"/>
        </w:rPr>
      </w:pPr>
      <w:r>
        <w:rPr>
          <w:rFonts w:ascii="宋体" w:hAnsi="宋体"/>
          <w:szCs w:val="21"/>
        </w:rPr>
        <w:t>（2）向</w:t>
      </w:r>
      <w:r>
        <w:rPr>
          <w:rFonts w:hint="eastAsia" w:ascii="宋体" w:hAnsi="宋体"/>
          <w:szCs w:val="21"/>
          <w:u w:val="single"/>
        </w:rPr>
        <w:t>工程所在地</w:t>
      </w:r>
      <w:r>
        <w:rPr>
          <w:rFonts w:ascii="宋体" w:hAnsi="宋体"/>
          <w:szCs w:val="21"/>
        </w:rPr>
        <w:t>人民法院起诉。</w:t>
      </w:r>
      <w:bookmarkEnd w:id="550"/>
      <w:bookmarkEnd w:id="551"/>
      <w:bookmarkEnd w:id="552"/>
      <w:bookmarkEnd w:id="553"/>
      <w:bookmarkEnd w:id="554"/>
      <w:bookmarkEnd w:id="555"/>
    </w:p>
    <w:p>
      <w:pPr>
        <w:pStyle w:val="7"/>
        <w:spacing w:before="120" w:after="120" w:line="420" w:lineRule="exact"/>
        <w:rPr>
          <w:rFonts w:ascii="宋体" w:hAnsi="宋体"/>
          <w:b w:val="0"/>
          <w:szCs w:val="21"/>
        </w:rPr>
      </w:pPr>
      <w:r>
        <w:rPr>
          <w:rFonts w:hint="eastAsia" w:ascii="宋体" w:hAnsi="宋体"/>
          <w:b w:val="0"/>
          <w:szCs w:val="21"/>
        </w:rPr>
        <w:t>21 补充条款</w:t>
      </w:r>
    </w:p>
    <w:p>
      <w:pPr>
        <w:spacing w:line="440" w:lineRule="exact"/>
        <w:ind w:firstLine="420" w:firstLineChars="200"/>
        <w:jc w:val="left"/>
        <w:rPr>
          <w:rFonts w:ascii="宋体" w:hAnsi="宋体"/>
          <w:szCs w:val="21"/>
          <w:u w:val="single"/>
        </w:rPr>
      </w:pPr>
      <w:r>
        <w:rPr>
          <w:rFonts w:hint="eastAsia" w:ascii="宋体" w:hAnsi="宋体"/>
          <w:szCs w:val="21"/>
          <w:u w:val="single"/>
        </w:rPr>
        <w:t>1.廉政规定：承包人在投标过程和今后的施工过程中必须严格遵守国家廉政纪律，不得向发包人及相关单位的有关人员进行贿赂，一旦发现有违纪行为按20000元/次计违约金。</w:t>
      </w:r>
    </w:p>
    <w:p>
      <w:pPr>
        <w:spacing w:line="440" w:lineRule="exact"/>
        <w:ind w:firstLine="420" w:firstLineChars="200"/>
        <w:jc w:val="left"/>
        <w:rPr>
          <w:rFonts w:ascii="宋体" w:hAnsi="宋体"/>
          <w:szCs w:val="21"/>
          <w:u w:val="single"/>
        </w:rPr>
      </w:pPr>
      <w:r>
        <w:rPr>
          <w:rFonts w:hint="eastAsia" w:ascii="宋体" w:hAnsi="宋体"/>
          <w:szCs w:val="21"/>
          <w:u w:val="single"/>
        </w:rPr>
        <w:t>2.开工令以甲方及监理签发的开工令为准。</w:t>
      </w:r>
    </w:p>
    <w:p>
      <w:pPr>
        <w:spacing w:line="440" w:lineRule="exact"/>
        <w:ind w:firstLine="420" w:firstLineChars="200"/>
        <w:jc w:val="left"/>
        <w:rPr>
          <w:rFonts w:ascii="宋体" w:hAnsi="宋体"/>
          <w:szCs w:val="21"/>
          <w:u w:val="single"/>
        </w:rPr>
      </w:pPr>
      <w:r>
        <w:rPr>
          <w:rFonts w:hint="eastAsia" w:ascii="宋体" w:hAnsi="宋体"/>
          <w:szCs w:val="21"/>
          <w:u w:val="single"/>
        </w:rPr>
        <w:t>3.中标后承包人保证不实质或形式转包，否则发包人有权没收部分或全部履约保证金，并有权取消中标资格。</w:t>
      </w:r>
    </w:p>
    <w:p>
      <w:pPr>
        <w:spacing w:line="440" w:lineRule="exact"/>
        <w:ind w:firstLine="420" w:firstLineChars="200"/>
        <w:jc w:val="left"/>
        <w:rPr>
          <w:rFonts w:ascii="宋体" w:hAnsi="宋体"/>
          <w:szCs w:val="21"/>
          <w:u w:val="single"/>
        </w:rPr>
      </w:pPr>
      <w:r>
        <w:rPr>
          <w:rFonts w:hint="eastAsia" w:ascii="宋体" w:hAnsi="宋体"/>
          <w:szCs w:val="21"/>
          <w:u w:val="single"/>
        </w:rPr>
        <w:t>4.承包人在施工过程中必须文明、</w:t>
      </w:r>
      <w:r>
        <w:rPr>
          <w:rFonts w:ascii="宋体" w:hAnsi="宋体"/>
          <w:szCs w:val="21"/>
          <w:u w:val="single"/>
        </w:rPr>
        <w:t>安全、</w:t>
      </w:r>
      <w:r>
        <w:rPr>
          <w:rFonts w:hint="eastAsia" w:ascii="宋体" w:hAnsi="宋体"/>
          <w:szCs w:val="21"/>
          <w:u w:val="single"/>
        </w:rPr>
        <w:t>规范施工，保持环境整洁，减少扰民影响，并就工地围墙、照明、防护、标志、警告信号和门卫等按相关要求做出具体安排，若有违章行为按规定处罚，一切责任自负。</w:t>
      </w:r>
    </w:p>
    <w:p>
      <w:pPr>
        <w:spacing w:line="440" w:lineRule="exact"/>
        <w:ind w:firstLine="420" w:firstLineChars="200"/>
        <w:jc w:val="left"/>
        <w:rPr>
          <w:rFonts w:ascii="宋体" w:hAnsi="宋体"/>
          <w:szCs w:val="21"/>
          <w:u w:val="single"/>
        </w:rPr>
      </w:pPr>
      <w:r>
        <w:rPr>
          <w:rFonts w:hint="eastAsia" w:ascii="宋体" w:hAnsi="宋体"/>
          <w:szCs w:val="21"/>
          <w:u w:val="single"/>
        </w:rPr>
        <w:t>5.施工过程中涉及排污、环保、市容、城建城管、消防、治安、人口管理、居委会、派出所等相关部门收取的费用及相关手续，对临近居民、行人的影响等，夜间文明施工、保护周边地下管线和架空线的安全的费用等，承包人已在合同价中考虑，由承包人负责协调处理，竣工结算时一律不作调整。</w:t>
      </w:r>
      <w:r>
        <w:rPr>
          <w:rFonts w:ascii="宋体" w:hAnsi="宋体"/>
          <w:szCs w:val="21"/>
          <w:u w:val="single"/>
        </w:rPr>
        <w:t>需</w:t>
      </w:r>
      <w:r>
        <w:rPr>
          <w:rFonts w:hint="eastAsia" w:ascii="宋体" w:hAnsi="宋体"/>
          <w:szCs w:val="21"/>
          <w:u w:val="single"/>
        </w:rPr>
        <w:t>发包人</w:t>
      </w:r>
      <w:r>
        <w:rPr>
          <w:rFonts w:ascii="宋体" w:hAnsi="宋体"/>
          <w:szCs w:val="21"/>
          <w:u w:val="single"/>
        </w:rPr>
        <w:t>配合的，</w:t>
      </w:r>
      <w:r>
        <w:rPr>
          <w:rFonts w:hint="eastAsia" w:ascii="宋体" w:hAnsi="宋体"/>
          <w:szCs w:val="21"/>
          <w:u w:val="single"/>
        </w:rPr>
        <w:t>发包人</w:t>
      </w:r>
      <w:r>
        <w:rPr>
          <w:rFonts w:ascii="宋体" w:hAnsi="宋体"/>
          <w:szCs w:val="21"/>
          <w:u w:val="single"/>
        </w:rPr>
        <w:t>提供必要的配合。</w:t>
      </w:r>
      <w:r>
        <w:rPr>
          <w:rFonts w:hint="eastAsia" w:ascii="宋体" w:hAnsi="宋体"/>
          <w:szCs w:val="21"/>
          <w:u w:val="single"/>
        </w:rPr>
        <w:t>现场生活污水和生活垃圾必须定期清运，场地雨水和施工下水必须排入指定的排水沟或排水井内，并保持道路畅通整洁，费用由承包人承担。如污染城市道路和下水管网，一切责任由承包人负责。</w:t>
      </w:r>
    </w:p>
    <w:p>
      <w:pPr>
        <w:spacing w:line="440" w:lineRule="exact"/>
        <w:ind w:firstLine="420" w:firstLineChars="200"/>
        <w:jc w:val="left"/>
        <w:rPr>
          <w:rFonts w:ascii="宋体" w:hAnsi="宋体"/>
          <w:szCs w:val="21"/>
          <w:u w:val="single"/>
        </w:rPr>
      </w:pPr>
      <w:r>
        <w:rPr>
          <w:rFonts w:hint="eastAsia" w:ascii="宋体" w:hAnsi="宋体"/>
          <w:szCs w:val="21"/>
          <w:u w:val="single"/>
        </w:rPr>
        <w:t>6.</w:t>
      </w:r>
      <w:r>
        <w:rPr>
          <w:rFonts w:ascii="宋体" w:hAnsi="宋体"/>
          <w:szCs w:val="21"/>
          <w:u w:val="single"/>
        </w:rPr>
        <w:t>在履行合同过程中应遵守国家或地方的法律、法规、法令，或任何对工程有管辖权的部门的规章，并按要求支付有关费用。</w:t>
      </w:r>
    </w:p>
    <w:p>
      <w:pPr>
        <w:spacing w:line="440" w:lineRule="exact"/>
        <w:ind w:firstLine="420" w:firstLineChars="200"/>
        <w:jc w:val="left"/>
        <w:rPr>
          <w:rFonts w:ascii="宋体" w:hAnsi="宋体"/>
          <w:szCs w:val="21"/>
          <w:u w:val="single"/>
        </w:rPr>
      </w:pPr>
      <w:r>
        <w:rPr>
          <w:rFonts w:hint="eastAsia" w:ascii="宋体" w:hAnsi="宋体"/>
          <w:szCs w:val="21"/>
          <w:u w:val="single"/>
        </w:rPr>
        <w:t>7.</w:t>
      </w:r>
      <w:r>
        <w:rPr>
          <w:rFonts w:ascii="宋体" w:hAnsi="宋体"/>
          <w:szCs w:val="21"/>
          <w:u w:val="single"/>
        </w:rPr>
        <w:t>在履行合同过程中应遵守</w:t>
      </w:r>
      <w:r>
        <w:rPr>
          <w:rFonts w:hint="eastAsia" w:ascii="宋体" w:hAnsi="宋体"/>
          <w:szCs w:val="21"/>
          <w:u w:val="single"/>
        </w:rPr>
        <w:t>发包人的所有规章制度。</w:t>
      </w:r>
    </w:p>
    <w:p>
      <w:pPr>
        <w:spacing w:line="440" w:lineRule="exact"/>
        <w:ind w:firstLine="420" w:firstLineChars="200"/>
        <w:jc w:val="left"/>
        <w:rPr>
          <w:rFonts w:ascii="宋体" w:hAnsi="宋体"/>
          <w:szCs w:val="21"/>
          <w:u w:val="single"/>
        </w:rPr>
      </w:pPr>
      <w:r>
        <w:rPr>
          <w:rFonts w:hint="eastAsia" w:ascii="宋体" w:hAnsi="宋体"/>
          <w:szCs w:val="21"/>
          <w:u w:val="single"/>
        </w:rPr>
        <w:t>8.</w:t>
      </w:r>
      <w:r>
        <w:rPr>
          <w:rFonts w:ascii="宋体" w:hAnsi="宋体"/>
          <w:szCs w:val="21"/>
          <w:u w:val="single"/>
        </w:rPr>
        <w:t>无论发包人是否</w:t>
      </w:r>
      <w:r>
        <w:rPr>
          <w:rFonts w:hint="eastAsia" w:ascii="宋体" w:hAnsi="宋体"/>
          <w:szCs w:val="21"/>
          <w:u w:val="single"/>
        </w:rPr>
        <w:t>给予了</w:t>
      </w:r>
      <w:r>
        <w:rPr>
          <w:rFonts w:ascii="宋体" w:hAnsi="宋体"/>
          <w:szCs w:val="21"/>
          <w:u w:val="single"/>
        </w:rPr>
        <w:t>批准或同意，</w:t>
      </w:r>
      <w:r>
        <w:rPr>
          <w:rFonts w:hint="eastAsia" w:ascii="宋体" w:hAnsi="宋体"/>
          <w:szCs w:val="21"/>
          <w:u w:val="single"/>
        </w:rPr>
        <w:t>承包人</w:t>
      </w:r>
      <w:r>
        <w:rPr>
          <w:rFonts w:ascii="宋体" w:hAnsi="宋体"/>
          <w:szCs w:val="21"/>
          <w:u w:val="single"/>
        </w:rPr>
        <w:t>应对现场作业、施工方法及所施工工程的完备性、稳定性和安全性承担全部责任，负责完成对工程的稳定、完整、安全、可靠及有效运行所必需的全部工作。</w:t>
      </w:r>
    </w:p>
    <w:p>
      <w:pPr>
        <w:spacing w:line="440" w:lineRule="exact"/>
        <w:ind w:firstLine="420" w:firstLineChars="200"/>
        <w:jc w:val="left"/>
        <w:rPr>
          <w:rFonts w:ascii="宋体" w:hAnsi="宋体"/>
          <w:szCs w:val="21"/>
          <w:u w:val="single"/>
        </w:rPr>
      </w:pPr>
      <w:r>
        <w:rPr>
          <w:rFonts w:hint="eastAsia" w:ascii="宋体" w:hAnsi="宋体"/>
          <w:szCs w:val="21"/>
          <w:u w:val="single"/>
        </w:rPr>
        <w:t>9.</w:t>
      </w:r>
      <w:r>
        <w:rPr>
          <w:rFonts w:ascii="宋体" w:hAnsi="宋体"/>
          <w:szCs w:val="21"/>
          <w:u w:val="single"/>
        </w:rPr>
        <w:t>本工程实行监理制度。</w:t>
      </w:r>
      <w:r>
        <w:rPr>
          <w:rFonts w:hint="eastAsia" w:ascii="宋体" w:hAnsi="宋体"/>
          <w:szCs w:val="21"/>
          <w:u w:val="single"/>
        </w:rPr>
        <w:t>承包人</w:t>
      </w:r>
      <w:r>
        <w:rPr>
          <w:rFonts w:ascii="宋体" w:hAnsi="宋体"/>
          <w:szCs w:val="21"/>
          <w:u w:val="single"/>
        </w:rPr>
        <w:t>必须服从发包人和监理工程师的管理监督，施工中发生的质量问题必须及时整改，因</w:t>
      </w:r>
      <w:r>
        <w:rPr>
          <w:rFonts w:hint="eastAsia" w:ascii="宋体" w:hAnsi="宋体"/>
          <w:szCs w:val="21"/>
          <w:u w:val="single"/>
        </w:rPr>
        <w:t>承包人</w:t>
      </w:r>
      <w:r>
        <w:rPr>
          <w:rFonts w:ascii="宋体" w:hAnsi="宋体"/>
          <w:szCs w:val="21"/>
          <w:u w:val="single"/>
        </w:rPr>
        <w:t>原因被责令停工和返工，所造成的一切损失由</w:t>
      </w:r>
      <w:r>
        <w:rPr>
          <w:rFonts w:hint="eastAsia" w:ascii="宋体" w:hAnsi="宋体"/>
          <w:szCs w:val="21"/>
          <w:u w:val="single"/>
        </w:rPr>
        <w:t>承包人</w:t>
      </w:r>
      <w:r>
        <w:rPr>
          <w:rFonts w:ascii="宋体" w:hAnsi="宋体"/>
          <w:szCs w:val="21"/>
          <w:u w:val="single"/>
        </w:rPr>
        <w:t>负责。</w:t>
      </w:r>
    </w:p>
    <w:p>
      <w:pPr>
        <w:autoSpaceDE w:val="0"/>
        <w:autoSpaceDN w:val="0"/>
        <w:adjustRightInd w:val="0"/>
        <w:spacing w:line="420" w:lineRule="exact"/>
        <w:ind w:firstLine="210" w:firstLineChars="100"/>
        <w:rPr>
          <w:rFonts w:ascii="宋体" w:hAnsi="宋体"/>
          <w:szCs w:val="21"/>
          <w:u w:val="single"/>
        </w:rPr>
      </w:pPr>
      <w:r>
        <w:rPr>
          <w:rFonts w:hint="eastAsia" w:ascii="宋体" w:hAnsi="宋体"/>
          <w:szCs w:val="21"/>
          <w:u w:val="single"/>
        </w:rPr>
        <w:t>10.承包人根据施工现场情况及现行规定，报价时已自行根据可行的施工方案对措施费用进行报价，结算时一律不作调整。</w:t>
      </w:r>
    </w:p>
    <w:p>
      <w:pPr>
        <w:spacing w:line="440" w:lineRule="exact"/>
        <w:ind w:firstLine="420" w:firstLineChars="200"/>
        <w:jc w:val="left"/>
        <w:rPr>
          <w:rFonts w:ascii="宋体" w:hAnsi="宋体"/>
          <w:szCs w:val="21"/>
          <w:u w:val="single"/>
        </w:rPr>
      </w:pPr>
      <w:r>
        <w:rPr>
          <w:rFonts w:hint="eastAsia" w:ascii="宋体" w:hAnsi="宋体"/>
          <w:szCs w:val="21"/>
          <w:u w:val="single"/>
        </w:rPr>
        <w:t>11.承包人进场后，对施工区域周边地下管线进行仔细勘察，对施工图的各项数据进行复测，并请监理监督见证。如未进行该项工作，导致未实现施工图意图所造成的一切损失由承包人承担。</w:t>
      </w:r>
    </w:p>
    <w:p>
      <w:pPr>
        <w:spacing w:line="440" w:lineRule="exact"/>
        <w:ind w:firstLine="420" w:firstLineChars="200"/>
        <w:jc w:val="left"/>
        <w:rPr>
          <w:rFonts w:ascii="宋体" w:hAnsi="宋体"/>
          <w:szCs w:val="21"/>
          <w:u w:val="single"/>
        </w:rPr>
      </w:pPr>
      <w:r>
        <w:rPr>
          <w:rFonts w:hint="eastAsia" w:ascii="宋体" w:hAnsi="宋体"/>
          <w:szCs w:val="21"/>
          <w:u w:val="single"/>
        </w:rPr>
        <w:t>12.文明施工措施费，结算时按南通市造价管理处核定为准。</w:t>
      </w:r>
    </w:p>
    <w:p>
      <w:pPr>
        <w:spacing w:line="440" w:lineRule="exact"/>
        <w:ind w:firstLine="420" w:firstLineChars="200"/>
        <w:jc w:val="left"/>
        <w:rPr>
          <w:rFonts w:ascii="宋体" w:hAnsi="宋体"/>
          <w:szCs w:val="21"/>
          <w:u w:val="single"/>
        </w:rPr>
      </w:pPr>
      <w:r>
        <w:rPr>
          <w:rFonts w:hint="eastAsia" w:ascii="宋体" w:hAnsi="宋体"/>
          <w:szCs w:val="21"/>
          <w:u w:val="single"/>
        </w:rPr>
        <w:t>13.本工程的施工须严格按国家规范要求，承包人必须严格按照发包人要求的日期进场施工。由于承包人原因引起的工程投资增加由承包人负责，由于供货等承包人原因影响工期进度安排的，所产生的一切后果由承包人承担。施工过程中因违反国家有关规定而发生的罚款等费用由责任人承担。</w:t>
      </w:r>
    </w:p>
    <w:p>
      <w:pPr>
        <w:autoSpaceDE w:val="0"/>
        <w:autoSpaceDN w:val="0"/>
        <w:adjustRightInd w:val="0"/>
        <w:spacing w:line="420" w:lineRule="exact"/>
        <w:ind w:firstLine="480"/>
        <w:rPr>
          <w:rFonts w:ascii="宋体" w:hAnsi="宋体"/>
          <w:szCs w:val="21"/>
          <w:u w:val="single"/>
        </w:rPr>
      </w:pPr>
      <w:r>
        <w:rPr>
          <w:rFonts w:hint="eastAsia" w:ascii="宋体" w:hAnsi="宋体"/>
          <w:szCs w:val="21"/>
          <w:u w:val="single"/>
        </w:rPr>
        <w:t>14.承包人在施工过程中，如有以下情形，发包人可向承包人收取2000～5000元/次的违约金：</w:t>
      </w:r>
    </w:p>
    <w:p>
      <w:pPr>
        <w:spacing w:line="440" w:lineRule="exact"/>
        <w:ind w:firstLine="422" w:firstLineChars="200"/>
        <w:jc w:val="left"/>
        <w:rPr>
          <w:rFonts w:ascii="宋体" w:hAnsi="宋体"/>
          <w:b/>
          <w:bCs/>
          <w:kern w:val="0"/>
          <w:szCs w:val="21"/>
          <w:u w:val="single"/>
        </w:rPr>
      </w:pPr>
      <w:r>
        <w:rPr>
          <w:rFonts w:hint="eastAsia" w:ascii="宋体" w:hAnsi="宋体"/>
          <w:b/>
          <w:bCs/>
          <w:kern w:val="0"/>
          <w:szCs w:val="21"/>
          <w:u w:val="single"/>
        </w:rPr>
        <w:t>A施工期间工程资料不能及时到位的；</w:t>
      </w:r>
    </w:p>
    <w:p>
      <w:pPr>
        <w:spacing w:line="440" w:lineRule="exact"/>
        <w:ind w:firstLine="422" w:firstLineChars="200"/>
        <w:jc w:val="left"/>
        <w:rPr>
          <w:rFonts w:ascii="宋体" w:hAnsi="宋体"/>
          <w:b/>
          <w:bCs/>
          <w:kern w:val="0"/>
          <w:szCs w:val="21"/>
          <w:u w:val="single"/>
        </w:rPr>
      </w:pPr>
      <w:r>
        <w:rPr>
          <w:rFonts w:hint="eastAsia" w:ascii="宋体" w:hAnsi="宋体"/>
          <w:b/>
          <w:bCs/>
          <w:kern w:val="0"/>
          <w:szCs w:val="21"/>
          <w:u w:val="single"/>
        </w:rPr>
        <w:t>B隐蔽部位不经验收通过就进行下道工序的；</w:t>
      </w:r>
    </w:p>
    <w:p>
      <w:pPr>
        <w:spacing w:line="440" w:lineRule="exact"/>
        <w:ind w:firstLine="422" w:firstLineChars="200"/>
        <w:jc w:val="left"/>
        <w:rPr>
          <w:rFonts w:ascii="宋体" w:hAnsi="宋体"/>
          <w:b/>
          <w:bCs/>
          <w:kern w:val="0"/>
          <w:szCs w:val="21"/>
          <w:u w:val="single"/>
        </w:rPr>
      </w:pPr>
      <w:r>
        <w:rPr>
          <w:rFonts w:hint="eastAsia" w:ascii="宋体" w:hAnsi="宋体"/>
          <w:b/>
          <w:bCs/>
          <w:kern w:val="0"/>
          <w:szCs w:val="21"/>
          <w:u w:val="single"/>
        </w:rPr>
        <w:t>C不论以何种形式被检查发现偷工减料、以次充好或假冒伪劣材料等；</w:t>
      </w:r>
    </w:p>
    <w:p>
      <w:pPr>
        <w:spacing w:line="440" w:lineRule="exact"/>
        <w:ind w:firstLine="422" w:firstLineChars="200"/>
        <w:jc w:val="left"/>
        <w:rPr>
          <w:rFonts w:ascii="宋体" w:hAnsi="宋体"/>
          <w:b/>
          <w:bCs/>
          <w:kern w:val="0"/>
          <w:szCs w:val="21"/>
          <w:u w:val="single"/>
        </w:rPr>
      </w:pPr>
      <w:r>
        <w:rPr>
          <w:rFonts w:hint="eastAsia" w:ascii="宋体" w:hAnsi="宋体"/>
          <w:b/>
          <w:bCs/>
          <w:kern w:val="0"/>
          <w:szCs w:val="21"/>
          <w:u w:val="single"/>
        </w:rPr>
        <w:t>D不按施工图及设计规范的要求，擅自施工的；</w:t>
      </w:r>
    </w:p>
    <w:p>
      <w:pPr>
        <w:spacing w:line="440" w:lineRule="exact"/>
        <w:ind w:firstLine="422" w:firstLineChars="200"/>
        <w:jc w:val="left"/>
        <w:rPr>
          <w:rFonts w:ascii="宋体" w:hAnsi="宋体"/>
          <w:b/>
          <w:bCs/>
          <w:kern w:val="0"/>
          <w:szCs w:val="21"/>
          <w:u w:val="single"/>
        </w:rPr>
      </w:pPr>
      <w:r>
        <w:rPr>
          <w:rFonts w:hint="eastAsia" w:ascii="宋体" w:hAnsi="宋体"/>
          <w:b/>
          <w:bCs/>
          <w:kern w:val="0"/>
          <w:szCs w:val="21"/>
          <w:u w:val="single"/>
        </w:rPr>
        <w:t>E存在施工质量问题的，发现一次收取违约金一次；</w:t>
      </w:r>
    </w:p>
    <w:p>
      <w:pPr>
        <w:spacing w:line="440" w:lineRule="exact"/>
        <w:ind w:firstLine="422" w:firstLineChars="200"/>
        <w:jc w:val="left"/>
        <w:rPr>
          <w:rFonts w:ascii="宋体" w:hAnsi="宋体"/>
          <w:b/>
          <w:bCs/>
          <w:kern w:val="0"/>
          <w:szCs w:val="21"/>
          <w:u w:val="single"/>
        </w:rPr>
      </w:pPr>
      <w:r>
        <w:rPr>
          <w:rFonts w:hint="eastAsia" w:ascii="宋体" w:hAnsi="宋体"/>
          <w:b/>
          <w:bCs/>
          <w:kern w:val="0"/>
          <w:szCs w:val="21"/>
          <w:u w:val="single"/>
        </w:rPr>
        <w:t>F承包人未能达到经审批的总进度计划或阶段性进度计划要求的。</w:t>
      </w:r>
    </w:p>
    <w:p>
      <w:pPr>
        <w:tabs>
          <w:tab w:val="left" w:pos="595"/>
        </w:tabs>
        <w:autoSpaceDE w:val="0"/>
        <w:autoSpaceDN w:val="0"/>
        <w:adjustRightInd w:val="0"/>
        <w:spacing w:line="420" w:lineRule="exact"/>
        <w:ind w:firstLine="420" w:firstLineChars="200"/>
        <w:rPr>
          <w:rFonts w:ascii="宋体" w:hAnsi="宋体"/>
          <w:spacing w:val="-4"/>
          <w:szCs w:val="21"/>
          <w:u w:val="single"/>
        </w:rPr>
      </w:pPr>
      <w:r>
        <w:rPr>
          <w:rFonts w:hint="eastAsia" w:ascii="宋体" w:hAnsi="宋体"/>
          <w:szCs w:val="21"/>
          <w:u w:val="single"/>
        </w:rPr>
        <w:t>15.施工过程中，因承包人施工原因，而造成煤气、供电、自来水管道、雨污分流管等受到破坏的，除承包人须按规定修复外，发包人可对承包人收取2000～5000元/次的违约金。</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16.如承包人发生上述情况而拒交违约金的，发包人有权从工程款中或履约担保金中双倍扣除。</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17.若本工程因甲供或分包项目较多引起结算价小于投标价，承包人不得提出相关费用补偿。</w:t>
      </w:r>
    </w:p>
    <w:p>
      <w:pPr>
        <w:spacing w:line="440" w:lineRule="exact"/>
        <w:ind w:firstLine="420" w:firstLineChars="200"/>
        <w:jc w:val="left"/>
        <w:rPr>
          <w:rFonts w:ascii="宋体" w:hAnsi="宋体"/>
          <w:szCs w:val="21"/>
          <w:u w:val="single"/>
        </w:rPr>
      </w:pPr>
      <w:r>
        <w:rPr>
          <w:rFonts w:hint="eastAsia" w:ascii="宋体" w:hAnsi="宋体"/>
          <w:szCs w:val="21"/>
          <w:u w:val="single"/>
        </w:rPr>
        <w:t>18.本工程竣工结算由发包人在崇川审计局设立的“政府投资建设项目协审中介机构资源库”中委托产生第三方审计机构审计确认，审计结束后发包人根据《崇川区政府投资建设项目审计监督办法》的通知，将审计结果送崇川区审计局进行复核，最终复核结果作为工程竣工结算依据。承包人应如实报送工程竣工结算，如经第三方审计机构审计后，核减额小于5%（含5%），审计费由发包人支付；核减额大于5%、小于10%（含10%），超出5%的审计费由承包人承担；核减额大于10%，审计费全部由承包人承担。审计费按核减额的6%计取。包方无需另行提供票据证实，直接在应付款中扣除。审计时，崇川审计局无或不再设立“政府投资建设项目协审中介机构资源库”的，第三方审计机构由发包人直接委托。</w:t>
      </w:r>
    </w:p>
    <w:p>
      <w:pPr>
        <w:spacing w:line="440" w:lineRule="exact"/>
        <w:ind w:firstLine="420" w:firstLineChars="200"/>
        <w:jc w:val="left"/>
        <w:rPr>
          <w:rFonts w:ascii="宋体" w:hAnsi="宋体"/>
          <w:szCs w:val="21"/>
          <w:u w:val="single"/>
        </w:rPr>
      </w:pPr>
      <w:r>
        <w:rPr>
          <w:rFonts w:hint="eastAsia" w:ascii="宋体" w:hAnsi="宋体"/>
          <w:szCs w:val="21"/>
          <w:u w:val="single"/>
        </w:rPr>
        <w:t>19. 工程量清单中承包人没有填入单价或价格的子目，其费用视为已分摊在工程量清单中其他子目的单价或价格之中。</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20.承包人应认真踏勘施工现场，考虑因各种困难因素所发生的一切费用由承包人自行考虑，并在投标报价中予以体现，以后不得以此为由提出额外增加费用的要求。水、电接驳，按发包人指定地点，定量表记、接至施工现场管线（电缆）由承包人自行考虑，费用包含在合同价中。现场自来水及电源接入点现场具体位置由承包人现场踏勘。</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21.施工单位工程竣工后清理现场，做到工完料清，否则发生相关费用则由发包人在工程结算价款中扣除。</w:t>
      </w:r>
    </w:p>
    <w:p>
      <w:pPr>
        <w:spacing w:line="440" w:lineRule="exact"/>
        <w:ind w:firstLine="420" w:firstLineChars="200"/>
        <w:jc w:val="left"/>
        <w:rPr>
          <w:rFonts w:ascii="宋体" w:hAnsi="宋体"/>
          <w:color w:val="000000"/>
          <w:szCs w:val="21"/>
        </w:rPr>
      </w:pPr>
      <w:r>
        <w:rPr>
          <w:rFonts w:hint="eastAsia" w:ascii="宋体" w:hAnsi="宋体"/>
          <w:szCs w:val="21"/>
          <w:u w:val="single"/>
        </w:rPr>
        <w:t>22.因施工场地狭小、周边老旧建筑保护、地下及地上管线保护等发生的一切费用由承包人自行考虑，所有费用包含在合同价中，竣工结算时一律不作调整。</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23.承包人必须认真仔细踏勘施工现场，结合本工程实际情况，并在投标报价时综合考虑</w:t>
      </w:r>
      <w:r>
        <w:rPr>
          <w:rFonts w:ascii="宋体" w:hAnsi="宋体"/>
          <w:szCs w:val="21"/>
          <w:u w:val="single"/>
        </w:rPr>
        <w:t>赶工费、按质论价费、二次搬运费、特殊条件下施工增加费、冬雨季施工增加费、夜间施工增加费、临时设施费</w:t>
      </w:r>
      <w:r>
        <w:rPr>
          <w:rFonts w:hint="eastAsia" w:ascii="宋体" w:hAnsi="宋体"/>
          <w:szCs w:val="21"/>
          <w:u w:val="single"/>
        </w:rPr>
        <w:t>、已完工程及设备保护费等该类措施项目费已包含在合同价中</w:t>
      </w:r>
      <w:r>
        <w:rPr>
          <w:rFonts w:ascii="宋体" w:hAnsi="宋体"/>
          <w:szCs w:val="21"/>
          <w:u w:val="single"/>
        </w:rPr>
        <w:t>，一次性包定，结算时一律不作调整。</w:t>
      </w:r>
      <w:r>
        <w:rPr>
          <w:rFonts w:hint="eastAsia" w:ascii="宋体" w:hAnsi="宋体"/>
          <w:szCs w:val="21"/>
          <w:u w:val="single"/>
        </w:rPr>
        <w:t xml:space="preserve">如有已完工程及设备损坏，应按照不低于原设计标准恢复，费用包含在合同价中，结算时一律不作调整。 </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24.如果工程中标后，因自身的原因，未能兑现其投标时承诺条件或工程质量较差，或其工期进度严重脱节，发包人同意后有权终止合同，并且已完成的有效工程量只按60%计算并结算或者由发包人安排其他施工单位进行施工，所发生费用直接按实际费用的2倍或以上金额从承包人合同价款中扣除，同时发包人视情节有权扣除部分或全部履约保证金。</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25.承包人应独立、有效地做好该工程周边的有关群众工作，并充分考虑工程实施范围内外的单位、个人和其他可能出现阻挠施工的情况，若发生的机械台班停置费、二次机械进退场费、人员窝工、处理周边群众纠纷等费用和损失，由承包人自行考虑，并列入投标报价，工程竣工结算时不作调整。</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26.在实际施工中，发包人有权要求施工单位无条件更换不符合要求的产品，购进的材料设备与提供的样品不一致时，由承包人无条件退货，如因使用不符合国家标准及各项指标的材料，由此引起的相关费用由承包人承担，结算时一律不作调整。</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27.本工程量清单的特征应与施工图、招标文件、技术要求、技术规范等文件结合起来阅读，发包人在工程量清单中项目特征描述不全，但承包人为满足设计图纸中该清单项目的要求而必须完成的工作，承包人应计入工程量清单相应子目中，工程结算时发包人不为此类项目另外支付费用。</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28.承包人在施工中发现工程量清单特征描述与设计施工图纸不符时需报发包人确认。工程量清单描述不全面的，以全面描述的为准，结算时将不予调整。</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29.作为一个有经验的承包商，投标报价时应考虑施工过程中可能发生的各种风险因素，在整个工程施工过程中，若发生对周边相关构筑物、设施损坏的，承包人必须负责更换或修复，直至得到发包人的认可，期间涉及的所有费用由承包人承担，发包人不再另行支付该项费用，结算时一律不作调整。</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30.承包人确定投标报价，同时应考虑合同中包含的风险、责任等各项费用。</w:t>
      </w:r>
    </w:p>
    <w:p>
      <w:pPr>
        <w:spacing w:line="440" w:lineRule="exact"/>
        <w:ind w:firstLine="420" w:firstLineChars="200"/>
        <w:rPr>
          <w:rFonts w:ascii="宋体" w:hAnsi="宋体"/>
          <w:szCs w:val="21"/>
          <w:u w:val="single"/>
        </w:rPr>
      </w:pPr>
      <w:r>
        <w:rPr>
          <w:rFonts w:hint="eastAsia" w:ascii="宋体" w:hAnsi="宋体"/>
          <w:szCs w:val="21"/>
          <w:u w:val="single"/>
        </w:rPr>
        <w:t>31.承包人工程实施过程中，必须收集齐全变更、签证及所有隐蔽项目（包含但不限于土方开挖回填、管道开挖回填各工序、各种面层基层铺设及厚度测量、各种井基础开挖砌筑抹灰等）的影像视频资料并进行保存以供后期审计使用，在送审结算资料时光盘或u盘必须一并提交。所有签证资料必须附有详细影像彩色照片，所摄照片必须有可参照性。如影像资料未能反映签证、隐蔽项目、清单或招标文件列明的工作内容，则结算时该项内容不予认可。</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32.承包人已在投标报价中根据自身管理水平，材料采购及机械配备等因素，考虑实际可抵扣进项税，合理确定增值税应纳税额进行自主报价。</w:t>
      </w:r>
    </w:p>
    <w:p>
      <w:pPr>
        <w:spacing w:line="440" w:lineRule="exact"/>
        <w:ind w:firstLine="420" w:firstLineChars="200"/>
        <w:jc w:val="left"/>
        <w:rPr>
          <w:rFonts w:ascii="宋体" w:hAnsi="宋体"/>
          <w:szCs w:val="21"/>
          <w:u w:val="single"/>
        </w:rPr>
      </w:pPr>
      <w:r>
        <w:rPr>
          <w:rFonts w:hint="eastAsia" w:ascii="宋体" w:hAnsi="宋体"/>
          <w:szCs w:val="21"/>
          <w:u w:val="single"/>
        </w:rPr>
        <w:t>33. 报价书中的工程数量乘以综合单价必须等于合价。如有误差，在结算时以综合单价金额小的为计算依据。</w:t>
      </w:r>
    </w:p>
    <w:p>
      <w:pPr>
        <w:spacing w:line="440" w:lineRule="exact"/>
        <w:ind w:firstLine="420" w:firstLineChars="200"/>
        <w:jc w:val="left"/>
        <w:rPr>
          <w:rFonts w:ascii="宋体" w:hAnsi="宋体"/>
          <w:szCs w:val="21"/>
          <w:u w:val="single"/>
        </w:rPr>
      </w:pPr>
      <w:r>
        <w:rPr>
          <w:rFonts w:hint="eastAsia" w:ascii="宋体" w:hAnsi="宋体"/>
          <w:szCs w:val="21"/>
          <w:u w:val="single"/>
        </w:rPr>
        <w:t>34、施工过程中的建筑垃圾、渣土、拆除报废的材料设备等须及时清运出小区外，所涉及的相关费用已列入本合同价中，实际施工中不再签证，结算时不予调整。</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35. 承包人应当及时收集完整、准确的变更及签证资料，并对资料的全面性、完整性负责任，同时认真编制工程竣工结算，并将结算资料整理装订成册，在后期送审核对过程中，如发生已装订送审资料结算漏项，则视为对发包人的优惠，不予增补调整。如因工程量计算或汇总错误造成的增补，此部分审计费用由承包人承担。</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36. 承包人不得拒绝完成发包人在施工地点范围内变更或要求增加和减少的工程内容。</w:t>
      </w:r>
    </w:p>
    <w:p>
      <w:pPr>
        <w:pStyle w:val="424"/>
        <w:spacing w:line="420" w:lineRule="exact"/>
        <w:ind w:firstLine="482"/>
        <w:jc w:val="left"/>
        <w:rPr>
          <w:rFonts w:ascii="宋体" w:hAnsi="宋体"/>
          <w:kern w:val="2"/>
          <w:u w:val="single"/>
        </w:rPr>
      </w:pPr>
      <w:r>
        <w:rPr>
          <w:rFonts w:hint="eastAsia" w:ascii="宋体" w:hAnsi="宋体"/>
          <w:kern w:val="2"/>
          <w:u w:val="single"/>
        </w:rPr>
        <w:t>37.</w:t>
      </w:r>
      <w:r>
        <w:rPr>
          <w:rFonts w:hint="eastAsia" w:ascii="宋体" w:hAnsi="宋体"/>
          <w:u w:val="single"/>
        </w:rPr>
        <w:t xml:space="preserve"> 承包人对需要进行认质认价的材料，应提前10天向发包人递交认质认价材料计划表，计划表中应明确材料设备档次、参数、规格等详细要求，同时计划表中应提供不少于3个品牌的询价报价，同时承包人对于发包人的材料认价价格须无条件接受。</w:t>
      </w:r>
    </w:p>
    <w:p>
      <w:pPr>
        <w:spacing w:line="440" w:lineRule="exact"/>
        <w:ind w:firstLine="420" w:firstLineChars="200"/>
        <w:jc w:val="left"/>
        <w:rPr>
          <w:rFonts w:ascii="宋体" w:hAnsi="宋体"/>
          <w:szCs w:val="21"/>
          <w:u w:val="single"/>
        </w:rPr>
      </w:pPr>
      <w:r>
        <w:rPr>
          <w:rFonts w:hint="eastAsia" w:ascii="宋体" w:hAnsi="宋体"/>
          <w:szCs w:val="21"/>
          <w:u w:val="single"/>
        </w:rPr>
        <w:t>38. 承包人应按规定执行《南通市建筑工程管理处文件》通建管［2018］3号文、《南通市区工程建设领域农民工实名制管理实施细则》，由此产生的费用包含在合同价中。</w:t>
      </w:r>
    </w:p>
    <w:p>
      <w:pPr>
        <w:spacing w:line="440" w:lineRule="exact"/>
        <w:ind w:firstLine="420" w:firstLineChars="200"/>
        <w:jc w:val="left"/>
        <w:rPr>
          <w:rFonts w:ascii="宋体" w:hAnsi="宋体"/>
          <w:szCs w:val="21"/>
          <w:u w:val="single"/>
        </w:rPr>
      </w:pPr>
      <w:r>
        <w:rPr>
          <w:rFonts w:hint="eastAsia" w:ascii="宋体" w:hAnsi="宋体"/>
          <w:szCs w:val="21"/>
          <w:u w:val="single"/>
        </w:rPr>
        <w:t>39. 承包人中标后应根据国家、省、市、工程所在地政府及相关部门的规定缴纳有关费用，该费用已包含在合同中，发包人不另行给付，费用缴纳的标准投标人可向有关部门查询。</w:t>
      </w:r>
    </w:p>
    <w:p>
      <w:pPr>
        <w:spacing w:line="440" w:lineRule="exact"/>
        <w:ind w:firstLine="420" w:firstLineChars="200"/>
        <w:jc w:val="left"/>
        <w:rPr>
          <w:rFonts w:ascii="宋体" w:hAnsi="宋体"/>
          <w:szCs w:val="21"/>
          <w:u w:val="single"/>
        </w:rPr>
      </w:pPr>
      <w:r>
        <w:rPr>
          <w:rFonts w:hint="eastAsia" w:ascii="宋体" w:hAnsi="宋体"/>
          <w:szCs w:val="21"/>
          <w:u w:val="single"/>
        </w:rPr>
        <w:t>40.与其他承包商间的协调、配合、通信关系，由承包人自行解决，确保各分项工程满足设计图纸、验收规范等要求，发生的费用由承包人自行承担，并相互做好成品保护工作，并无条件接受发包人管理，发包人不再另行支付任何涉及工序交叉影响的费用。</w:t>
      </w:r>
    </w:p>
    <w:p>
      <w:pPr>
        <w:spacing w:line="440" w:lineRule="exact"/>
        <w:ind w:firstLine="420" w:firstLineChars="200"/>
        <w:jc w:val="left"/>
        <w:rPr>
          <w:rFonts w:ascii="宋体" w:hAnsi="宋体"/>
          <w:szCs w:val="21"/>
          <w:u w:val="single"/>
        </w:rPr>
      </w:pPr>
      <w:r>
        <w:rPr>
          <w:rFonts w:hint="eastAsia" w:ascii="宋体" w:hAnsi="宋体"/>
          <w:szCs w:val="21"/>
          <w:u w:val="single"/>
        </w:rPr>
        <w:t>41.若承包人在投标报价时擅自改变暂估价或暂列金额且评审时未被发现，报价低于暂估价或暂列金额，结算时统一按招标文件明确暂估价或暂列金额扣除；报价高于暂估价或暂列金额，结算时统一按报价扣除；若擅自改变招标文件及清单内容，且评标时未被发现的，实际施工时一律以招标文件及清单内容执行，结算价格不予调整。</w:t>
      </w:r>
    </w:p>
    <w:p>
      <w:pPr>
        <w:spacing w:line="440" w:lineRule="exact"/>
        <w:ind w:firstLine="420" w:firstLineChars="200"/>
        <w:jc w:val="left"/>
        <w:rPr>
          <w:rFonts w:ascii="宋体" w:hAnsi="宋体"/>
          <w:szCs w:val="21"/>
          <w:u w:val="single"/>
        </w:rPr>
      </w:pPr>
      <w:r>
        <w:rPr>
          <w:rFonts w:hint="eastAsia" w:ascii="宋体" w:hAnsi="宋体"/>
          <w:szCs w:val="21"/>
          <w:u w:val="single"/>
        </w:rPr>
        <w:t>42.参考标底及招标控制价编制依据（人工费由承包人结合实际情况自行考虑，结算不予调整）中标后承包人不得以标底或招标控制价中可能存在的不合理或错误作为借口而要求签证或索赔。若结算时发现承包人有明显的不平衡报价（如：子目中个别材料、人工、机械费低于市场询价的80%），发包人可自行按有利发包人利益的调整，无须承包人确认。</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43.临时设施费、检验试验费承包人已在报价时充分考虑，结算时不再调整。</w:t>
      </w:r>
    </w:p>
    <w:p>
      <w:pPr>
        <w:autoSpaceDE w:val="0"/>
        <w:autoSpaceDN w:val="0"/>
        <w:adjustRightInd w:val="0"/>
        <w:spacing w:line="420" w:lineRule="exact"/>
        <w:ind w:firstLine="420" w:firstLineChars="200"/>
        <w:jc w:val="left"/>
        <w:rPr>
          <w:rFonts w:ascii="宋体" w:hAnsi="宋体"/>
          <w:szCs w:val="21"/>
          <w:u w:val="single"/>
        </w:rPr>
      </w:pPr>
      <w:r>
        <w:rPr>
          <w:rFonts w:hint="eastAsia" w:ascii="宋体" w:hAnsi="宋体"/>
          <w:szCs w:val="21"/>
          <w:u w:val="single"/>
        </w:rPr>
        <w:t>44.承包人已充分考虑开工时间、季节、气候问题对投标报价时的影响，中标后，不得提出额外增加费用的要求。</w:t>
      </w:r>
    </w:p>
    <w:p>
      <w:pPr>
        <w:autoSpaceDE w:val="0"/>
        <w:autoSpaceDN w:val="0"/>
        <w:adjustRightInd w:val="0"/>
        <w:spacing w:line="420" w:lineRule="exact"/>
        <w:ind w:firstLine="420" w:firstLineChars="200"/>
        <w:jc w:val="left"/>
        <w:rPr>
          <w:rFonts w:ascii="宋体" w:hAnsi="宋体"/>
          <w:szCs w:val="21"/>
          <w:u w:val="single"/>
        </w:rPr>
      </w:pPr>
      <w:r>
        <w:rPr>
          <w:rFonts w:hint="eastAsia" w:ascii="宋体" w:hAnsi="宋体"/>
          <w:szCs w:val="21"/>
          <w:u w:val="single"/>
        </w:rPr>
        <w:t>45.本工程运出的建筑垃圾等必须运出崇川区范围之外，否则发现一车，发包人将向承包人收取</w:t>
      </w:r>
      <w:r>
        <w:rPr>
          <w:rFonts w:hint="eastAsia" w:ascii="宋体" w:hAnsi="宋体"/>
          <w:b/>
          <w:bCs/>
          <w:szCs w:val="21"/>
          <w:u w:val="single"/>
        </w:rPr>
        <w:t>1-10万/车</w:t>
      </w:r>
      <w:r>
        <w:rPr>
          <w:rFonts w:hint="eastAsia" w:ascii="宋体" w:hAnsi="宋体"/>
          <w:szCs w:val="21"/>
          <w:u w:val="single"/>
        </w:rPr>
        <w:t>的违约金，并有权要求其重新清运出崇川区。清运地点必须符合南通市崇川区建筑垃圾(渣土)管理中心要求，南通市崇川区建筑垃圾(渣土)管理中心收取的建筑垃圾处置费由</w:t>
      </w:r>
      <w:r>
        <w:rPr>
          <w:rFonts w:hint="eastAsia" w:ascii="宋体" w:hAnsi="宋体"/>
          <w:color w:val="FF0000"/>
          <w:szCs w:val="21"/>
          <w:u w:val="single"/>
        </w:rPr>
        <w:t>承包人</w:t>
      </w:r>
      <w:r>
        <w:rPr>
          <w:rFonts w:hint="eastAsia" w:ascii="宋体" w:hAnsi="宋体"/>
          <w:szCs w:val="21"/>
          <w:u w:val="single"/>
        </w:rPr>
        <w:t>考虑在报价中。</w:t>
      </w:r>
    </w:p>
    <w:p>
      <w:pPr>
        <w:autoSpaceDE w:val="0"/>
        <w:autoSpaceDN w:val="0"/>
        <w:adjustRightInd w:val="0"/>
        <w:spacing w:line="420" w:lineRule="exact"/>
        <w:ind w:firstLine="420" w:firstLineChars="200"/>
        <w:jc w:val="left"/>
      </w:pPr>
      <w:r>
        <w:rPr>
          <w:rFonts w:hint="eastAsia" w:ascii="宋体" w:hAnsi="宋体"/>
          <w:szCs w:val="21"/>
          <w:u w:val="single"/>
        </w:rPr>
        <w:t>46.承包人已充分了解工地位置、环境、道路、储存空间、装卸条件及任何其他足以影响承包价的情况。任何忽视、猜测或误解工地情况而导致的成本增加或工期延长等申请一律不予认可。</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47.本工程未提供推荐品牌的材料，中标人须使用国产中档以上且符合国家标准的合格产品，其规格、技术指标、质量等级必须满足相应技术规范或技术标准的要求。</w:t>
      </w:r>
    </w:p>
    <w:p>
      <w:pPr>
        <w:tabs>
          <w:tab w:val="left" w:pos="595"/>
        </w:tabs>
        <w:autoSpaceDE w:val="0"/>
        <w:autoSpaceDN w:val="0"/>
        <w:adjustRightInd w:val="0"/>
        <w:spacing w:line="420" w:lineRule="exact"/>
        <w:ind w:firstLine="420" w:firstLineChars="200"/>
        <w:rPr>
          <w:rFonts w:ascii="宋体" w:hAnsi="宋体"/>
          <w:szCs w:val="21"/>
          <w:u w:val="single"/>
        </w:rPr>
      </w:pPr>
      <w:r>
        <w:rPr>
          <w:rFonts w:hint="eastAsia" w:ascii="宋体" w:hAnsi="宋体"/>
          <w:szCs w:val="21"/>
          <w:u w:val="single"/>
        </w:rPr>
        <w:t>48. 本工程承包人对施工过程中的建筑垃圾、渣土、拆除报废的材料设备等须及时清运出小区外，所涉及的相关费用已包含在投标总价中，结算时不再调整。</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49. 如因承包人未能及时支付供应商货款、分包商、实际施工人工程（劳务）款，导致发包人被起诉（或仲裁）的，无论发包人是单独被告还是共同被告，发包人委托律师所发生的代理费</w:t>
      </w:r>
      <w:r>
        <w:rPr>
          <w:rFonts w:hint="eastAsia" w:ascii="宋体" w:hAnsi="宋体"/>
          <w:szCs w:val="21"/>
          <w:u w:val="single"/>
          <w:lang w:eastAsia="zh-CN"/>
        </w:rPr>
        <w:t>、</w:t>
      </w:r>
      <w:r>
        <w:rPr>
          <w:rFonts w:hint="eastAsia" w:ascii="宋体" w:hAnsi="宋体"/>
          <w:szCs w:val="21"/>
          <w:u w:val="single"/>
          <w:lang w:val="en-US" w:eastAsia="zh-CN"/>
        </w:rPr>
        <w:t>诉讼费等</w:t>
      </w:r>
      <w:r>
        <w:rPr>
          <w:rFonts w:hint="eastAsia" w:ascii="宋体" w:hAnsi="宋体"/>
          <w:szCs w:val="21"/>
          <w:u w:val="single"/>
        </w:rPr>
        <w:t>作为发包人的损失，由承包人承担，发包人应付承包人的工程价款（或应退工程质保金）相应减少。律师费用标准按照苏价费[2017]113号文确定，今后如有新的指导文件，按照新的文件执行。</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50.承包人在施工期间应根据南通市人民政府办公室文件通政办法［2019］58号文《关于开展南通市区施工扬尘专治整理的实施意见》中的相关要求，强化施工扬尘治理责任，严格根据工地扬尘防治标准执行。在工程施工过程中，如因承包人的原因受到报纸、电视等媒体的曝光或被政府有关主管部门通报批评，给本工程的社会形象带来负面影响，视情节严重每次由承包人向发包人支付1万元的违约金，从承包人工程进度款中扣除。</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51.①</w:t>
      </w:r>
      <w:r>
        <w:rPr>
          <w:rFonts w:ascii="宋体" w:hAnsi="宋体"/>
          <w:szCs w:val="21"/>
          <w:u w:val="single"/>
        </w:rPr>
        <w:t>施工单位竣工及结算时，需按招标人要求提供竣工图及送审图（纸质和电子两种版本）</w:t>
      </w:r>
      <w:r>
        <w:rPr>
          <w:rFonts w:hint="eastAsia" w:ascii="宋体" w:hAnsi="宋体"/>
          <w:szCs w:val="21"/>
          <w:u w:val="single"/>
        </w:rPr>
        <w:t>；②</w:t>
      </w:r>
      <w:r>
        <w:rPr>
          <w:rFonts w:ascii="宋体" w:hAnsi="宋体"/>
          <w:szCs w:val="21"/>
          <w:u w:val="single"/>
        </w:rPr>
        <w:t>所有设备及管道更换需进出墙体，需自行恢复原状</w:t>
      </w:r>
      <w:r>
        <w:rPr>
          <w:rFonts w:hint="eastAsia" w:ascii="宋体" w:hAnsi="宋体"/>
          <w:szCs w:val="21"/>
          <w:u w:val="single"/>
        </w:rPr>
        <w:t>；③施工</w:t>
      </w:r>
      <w:r>
        <w:rPr>
          <w:rFonts w:ascii="宋体" w:hAnsi="宋体"/>
          <w:szCs w:val="21"/>
          <w:u w:val="single"/>
        </w:rPr>
        <w:t>破坏的草皮等绿化</w:t>
      </w:r>
      <w:r>
        <w:rPr>
          <w:rFonts w:hint="eastAsia" w:ascii="宋体" w:hAnsi="宋体"/>
          <w:szCs w:val="21"/>
          <w:u w:val="single"/>
        </w:rPr>
        <w:t>及铺装</w:t>
      </w:r>
      <w:r>
        <w:rPr>
          <w:rFonts w:ascii="宋体" w:hAnsi="宋体"/>
          <w:szCs w:val="21"/>
          <w:u w:val="single"/>
        </w:rPr>
        <w:t>需恢复原状；</w:t>
      </w:r>
      <w:r>
        <w:rPr>
          <w:rFonts w:hint="eastAsia" w:ascii="宋体" w:hAnsi="宋体"/>
          <w:szCs w:val="21"/>
          <w:u w:val="single"/>
        </w:rPr>
        <w:t>④</w:t>
      </w:r>
      <w:r>
        <w:rPr>
          <w:rFonts w:ascii="宋体" w:hAnsi="宋体"/>
          <w:szCs w:val="21"/>
          <w:u w:val="single"/>
        </w:rPr>
        <w:t>本工程所有建筑垃圾外运。“以上</w:t>
      </w:r>
      <w:r>
        <w:rPr>
          <w:rFonts w:hint="eastAsia" w:ascii="宋体" w:hAnsi="宋体"/>
          <w:szCs w:val="21"/>
          <w:u w:val="single"/>
        </w:rPr>
        <w:t>①至④</w:t>
      </w:r>
      <w:r>
        <w:rPr>
          <w:rFonts w:ascii="宋体" w:hAnsi="宋体"/>
          <w:szCs w:val="21"/>
          <w:u w:val="single"/>
        </w:rPr>
        <w:t>点</w:t>
      </w:r>
      <w:r>
        <w:rPr>
          <w:rFonts w:hint="eastAsia" w:ascii="宋体" w:hAnsi="宋体"/>
          <w:szCs w:val="21"/>
          <w:u w:val="single"/>
        </w:rPr>
        <w:t>由投标人计入投标报价中</w:t>
      </w:r>
      <w:r>
        <w:rPr>
          <w:rFonts w:ascii="宋体" w:hAnsi="宋体"/>
          <w:szCs w:val="21"/>
          <w:u w:val="single"/>
        </w:rPr>
        <w:t>，投标人自行踏勘现场，自行考虑以上费用，结算时一律不做调整，不得由此为理由额外增加费用。</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52.承包单位需保证通过具备相应资质的消防检测机构检测合格，出具检测报告。否则，发包人有权不支付工程费用</w:t>
      </w:r>
      <w:r>
        <w:rPr>
          <w:rFonts w:hint="eastAsia" w:ascii="宋体" w:hAnsi="宋体"/>
          <w:szCs w:val="21"/>
          <w:u w:val="single"/>
          <w:lang w:eastAsia="zh-CN"/>
        </w:rPr>
        <w:t>，</w:t>
      </w:r>
      <w:r>
        <w:rPr>
          <w:rFonts w:hint="eastAsia" w:ascii="宋体" w:hAnsi="宋体"/>
          <w:szCs w:val="21"/>
          <w:u w:val="single"/>
          <w:lang w:val="en-US" w:eastAsia="zh-CN"/>
        </w:rPr>
        <w:t>且要求承包人退还发包人已支付的工程费用。</w:t>
      </w:r>
      <w:r>
        <w:rPr>
          <w:rFonts w:hint="eastAsia" w:ascii="宋体" w:hAnsi="宋体"/>
          <w:szCs w:val="21"/>
          <w:u w:val="single"/>
        </w:rPr>
        <w:t xml:space="preserve">消防检测单位由发包人指定。 </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 xml:space="preserve">53.本项目原设备、管线的拆除由中标单位实施，费用包含在合同价中，承包单位在投标报价时综合考虑该部分费用，结算时不予调整。 </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54.承包人在投标报价时应充分考虑施工过程中对原有建筑工程结构及饰面及绿化、铺装造成破损及损坏部分进行修复，使其恢复原样等所包含的各项费用，并综合考虑在投标报价中，结算时不再另行支付其费用。</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55.承包人不得拒绝发包人提出的任何与本工程相关的工作内容的增加，否则视为承包人原因造成工期延误，处罚条款按照本合同7.5.2执行。</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56.承包人在施工过程中，应将建筑垃圾清运至物业指定位置，同时接受物业公司的现场管理。</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57.承包人应充分考虑物业可能收取的包含垃圾清运费、电梯装修使用费等，此部分费用投标人自行考虑在报价当中，结算时不再调整。</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58.施工期间，承包人应严格按照国家及相关部门规定的作业时间，同时需遵守小区物业的相关规定。</w:t>
      </w:r>
    </w:p>
    <w:p>
      <w:pPr>
        <w:autoSpaceDE w:val="0"/>
        <w:autoSpaceDN w:val="0"/>
        <w:adjustRightInd w:val="0"/>
        <w:spacing w:line="440" w:lineRule="exact"/>
        <w:ind w:firstLine="420" w:firstLineChars="200"/>
        <w:jc w:val="left"/>
        <w:rPr>
          <w:rFonts w:ascii="宋体" w:hAnsi="宋体"/>
          <w:szCs w:val="21"/>
          <w:u w:val="single"/>
        </w:rPr>
      </w:pPr>
      <w:r>
        <w:rPr>
          <w:rFonts w:hint="eastAsia" w:ascii="宋体" w:hAnsi="宋体"/>
          <w:szCs w:val="21"/>
          <w:u w:val="single"/>
        </w:rPr>
        <w:t>59.招标文件约定的内容均作为本合同的附件。</w:t>
      </w:r>
      <w:bookmarkStart w:id="562" w:name="_Toc351203652"/>
    </w:p>
    <w:p>
      <w:pPr>
        <w:spacing w:line="400" w:lineRule="atLeast"/>
        <w:jc w:val="left"/>
        <w:rPr>
          <w:rFonts w:ascii="宋体" w:hAnsi="宋体"/>
          <w:b/>
          <w:szCs w:val="21"/>
        </w:rPr>
      </w:pPr>
      <w:r>
        <w:rPr>
          <w:rFonts w:hint="eastAsia" w:ascii="宋体" w:hAnsi="宋体"/>
          <w:b/>
          <w:szCs w:val="21"/>
        </w:rPr>
        <w:t>附件</w:t>
      </w:r>
      <w:bookmarkEnd w:id="562"/>
    </w:p>
    <w:p>
      <w:pPr>
        <w:spacing w:line="400" w:lineRule="atLeast"/>
        <w:jc w:val="left"/>
        <w:rPr>
          <w:rFonts w:ascii="宋体" w:hAnsi="宋体"/>
          <w:b/>
          <w:szCs w:val="21"/>
        </w:rPr>
      </w:pPr>
    </w:p>
    <w:p>
      <w:pPr>
        <w:spacing w:line="400" w:lineRule="atLeast"/>
        <w:jc w:val="left"/>
        <w:rPr>
          <w:rFonts w:ascii="宋体" w:hAnsi="宋体"/>
          <w:szCs w:val="21"/>
        </w:rPr>
      </w:pPr>
      <w:r>
        <w:rPr>
          <w:rFonts w:hint="eastAsia" w:ascii="宋体" w:hAnsi="宋体"/>
          <w:szCs w:val="21"/>
        </w:rPr>
        <w:t>协议书附件：</w:t>
      </w:r>
    </w:p>
    <w:p>
      <w:pPr>
        <w:spacing w:line="400" w:lineRule="atLeast"/>
        <w:jc w:val="left"/>
        <w:rPr>
          <w:rFonts w:ascii="宋体" w:hAnsi="宋体"/>
          <w:szCs w:val="21"/>
        </w:rPr>
      </w:pPr>
      <w:r>
        <w:rPr>
          <w:rFonts w:hint="eastAsia" w:ascii="宋体" w:hAnsi="宋体"/>
          <w:szCs w:val="21"/>
        </w:rPr>
        <w:t>附件1：承包人承揽工程项目一览表（略）</w:t>
      </w:r>
    </w:p>
    <w:p>
      <w:pPr>
        <w:spacing w:line="400" w:lineRule="atLeast"/>
        <w:jc w:val="left"/>
        <w:rPr>
          <w:rFonts w:ascii="宋体" w:hAnsi="宋体"/>
          <w:szCs w:val="21"/>
        </w:rPr>
      </w:pPr>
      <w:r>
        <w:rPr>
          <w:rFonts w:hint="eastAsia" w:ascii="宋体" w:hAnsi="宋体"/>
          <w:szCs w:val="21"/>
        </w:rPr>
        <w:t>专用合同条款附件：</w:t>
      </w:r>
    </w:p>
    <w:p>
      <w:pPr>
        <w:spacing w:line="400" w:lineRule="atLeast"/>
        <w:jc w:val="left"/>
        <w:rPr>
          <w:rFonts w:ascii="宋体" w:hAnsi="宋体"/>
          <w:szCs w:val="21"/>
        </w:rPr>
      </w:pPr>
      <w:r>
        <w:rPr>
          <w:rFonts w:hint="eastAsia" w:ascii="宋体" w:hAnsi="宋体"/>
          <w:szCs w:val="21"/>
        </w:rPr>
        <w:t>附件2：发包人供应材料设备一览表（略）</w:t>
      </w:r>
    </w:p>
    <w:p>
      <w:pPr>
        <w:spacing w:line="400" w:lineRule="atLeast"/>
        <w:jc w:val="left"/>
        <w:rPr>
          <w:rFonts w:ascii="宋体" w:hAnsi="宋体"/>
          <w:szCs w:val="21"/>
        </w:rPr>
      </w:pPr>
      <w:r>
        <w:rPr>
          <w:rFonts w:hint="eastAsia" w:ascii="宋体" w:hAnsi="宋体"/>
          <w:szCs w:val="21"/>
        </w:rPr>
        <w:t>附件3：工程质量保修书</w:t>
      </w:r>
    </w:p>
    <w:p>
      <w:pPr>
        <w:spacing w:line="400" w:lineRule="atLeast"/>
        <w:jc w:val="left"/>
        <w:rPr>
          <w:rFonts w:ascii="宋体" w:hAnsi="宋体"/>
          <w:szCs w:val="21"/>
        </w:rPr>
      </w:pPr>
      <w:r>
        <w:rPr>
          <w:rFonts w:hint="eastAsia" w:ascii="宋体" w:hAnsi="宋体"/>
          <w:szCs w:val="21"/>
        </w:rPr>
        <w:t>附件4：廉政合同</w:t>
      </w:r>
    </w:p>
    <w:p>
      <w:pPr>
        <w:spacing w:line="400" w:lineRule="atLeast"/>
        <w:jc w:val="left"/>
        <w:rPr>
          <w:rFonts w:ascii="宋体" w:hAnsi="宋体"/>
          <w:szCs w:val="21"/>
        </w:rPr>
      </w:pPr>
      <w:r>
        <w:rPr>
          <w:rFonts w:hint="eastAsia" w:ascii="宋体" w:hAnsi="宋体"/>
          <w:szCs w:val="21"/>
        </w:rPr>
        <w:t>附件5：计划投入的主要施工机械设备表</w:t>
      </w:r>
    </w:p>
    <w:p>
      <w:pPr>
        <w:spacing w:line="400" w:lineRule="atLeast"/>
        <w:jc w:val="left"/>
        <w:rPr>
          <w:rFonts w:ascii="宋体" w:hAnsi="宋体"/>
          <w:szCs w:val="21"/>
        </w:rPr>
      </w:pPr>
      <w:r>
        <w:rPr>
          <w:rFonts w:hint="eastAsia" w:ascii="宋体" w:hAnsi="宋体"/>
          <w:szCs w:val="21"/>
        </w:rPr>
        <w:t>附件6：主要施工管理人员表</w:t>
      </w:r>
    </w:p>
    <w:p>
      <w:pPr>
        <w:spacing w:line="400" w:lineRule="atLeast"/>
        <w:jc w:val="left"/>
        <w:rPr>
          <w:rFonts w:ascii="宋体" w:hAnsi="宋体"/>
          <w:szCs w:val="21"/>
        </w:rPr>
      </w:pPr>
      <w:r>
        <w:rPr>
          <w:rFonts w:hint="eastAsia" w:ascii="宋体" w:hAnsi="宋体"/>
          <w:szCs w:val="21"/>
        </w:rPr>
        <w:t>附件7：安全生产协议书</w:t>
      </w:r>
    </w:p>
    <w:p>
      <w:pPr>
        <w:spacing w:line="440" w:lineRule="exact"/>
        <w:rPr>
          <w:rFonts w:ascii="宋体" w:hAnsi="宋体"/>
          <w:szCs w:val="21"/>
        </w:rPr>
      </w:pPr>
      <w:r>
        <w:rPr>
          <w:rFonts w:ascii="宋体" w:hAnsi="宋体"/>
          <w:szCs w:val="21"/>
        </w:rPr>
        <w:br w:type="page"/>
      </w:r>
      <w:r>
        <w:rPr>
          <w:rFonts w:ascii="宋体" w:hAnsi="宋体"/>
          <w:szCs w:val="21"/>
        </w:rPr>
        <w:t xml:space="preserve">附件3：    </w:t>
      </w:r>
    </w:p>
    <w:p>
      <w:pPr>
        <w:spacing w:before="120" w:beforeLines="50" w:after="120" w:afterLines="50" w:line="440" w:lineRule="exact"/>
        <w:jc w:val="center"/>
        <w:rPr>
          <w:rFonts w:ascii="宋体" w:hAnsi="宋体"/>
          <w:szCs w:val="21"/>
        </w:rPr>
      </w:pPr>
      <w:r>
        <w:rPr>
          <w:rFonts w:ascii="宋体" w:hAnsi="宋体"/>
          <w:szCs w:val="21"/>
        </w:rPr>
        <w:t>工程质量保修书</w:t>
      </w:r>
    </w:p>
    <w:p>
      <w:pPr>
        <w:pStyle w:val="287"/>
        <w:spacing w:line="420" w:lineRule="exact"/>
        <w:ind w:firstLine="436" w:firstLineChars="208"/>
        <w:rPr>
          <w:rStyle w:val="185"/>
          <w:rFonts w:ascii="宋体"/>
          <w:i w:val="0"/>
          <w:iCs/>
          <w:color w:val="FF0000"/>
          <w:sz w:val="21"/>
          <w:szCs w:val="21"/>
        </w:rPr>
      </w:pPr>
      <w:r>
        <w:rPr>
          <w:rFonts w:hint="eastAsia" w:ascii="宋体"/>
          <w:i w:val="0"/>
          <w:iCs/>
          <w:sz w:val="21"/>
          <w:szCs w:val="21"/>
        </w:rPr>
        <w:t>发包人：（全称）：</w:t>
      </w:r>
      <w:r>
        <w:rPr>
          <w:rFonts w:hint="eastAsia" w:ascii="宋体" w:cs="MingLiU_HKSCS"/>
          <w:i w:val="0"/>
          <w:iCs/>
          <w:sz w:val="21"/>
          <w:szCs w:val="21"/>
          <w:u w:val="single"/>
        </w:rPr>
        <w:t xml:space="preserve">南通市崇川区文峰街道办事处    </w:t>
      </w:r>
    </w:p>
    <w:p>
      <w:pPr>
        <w:pStyle w:val="287"/>
        <w:spacing w:line="420" w:lineRule="exact"/>
        <w:ind w:firstLine="420" w:firstLineChars="200"/>
        <w:rPr>
          <w:rStyle w:val="185"/>
          <w:rFonts w:ascii="宋体"/>
          <w:i w:val="0"/>
          <w:sz w:val="21"/>
          <w:szCs w:val="21"/>
        </w:rPr>
      </w:pPr>
      <w:r>
        <w:rPr>
          <w:rStyle w:val="185"/>
          <w:rFonts w:hint="eastAsia" w:ascii="宋体"/>
          <w:i w:val="0"/>
          <w:sz w:val="21"/>
          <w:szCs w:val="21"/>
        </w:rPr>
        <w:t>承包人(全称)：</w:t>
      </w:r>
    </w:p>
    <w:p>
      <w:pPr>
        <w:spacing w:line="420" w:lineRule="exact"/>
        <w:ind w:firstLine="420" w:firstLineChars="200"/>
        <w:rPr>
          <w:rFonts w:ascii="宋体" w:hAnsi="宋体"/>
          <w:szCs w:val="21"/>
        </w:rPr>
      </w:pPr>
    </w:p>
    <w:p>
      <w:pPr>
        <w:spacing w:line="360" w:lineRule="auto"/>
        <w:ind w:firstLine="420" w:firstLineChars="200"/>
        <w:rPr>
          <w:rFonts w:ascii="宋体" w:hAnsi="宋体"/>
          <w:szCs w:val="21"/>
        </w:rPr>
      </w:pPr>
      <w:r>
        <w:rPr>
          <w:rFonts w:hint="eastAsia" w:ascii="宋体" w:hAnsi="宋体"/>
          <w:szCs w:val="21"/>
        </w:rPr>
        <w:t>承包人根据《中华人民共和国建筑法》和《建设工程质量管理条例》，经协商一致就</w:t>
      </w:r>
      <w:r>
        <w:rPr>
          <w:rFonts w:hint="eastAsia" w:ascii="宋体" w:hAnsi="宋体"/>
          <w:szCs w:val="21"/>
          <w:u w:val="single"/>
        </w:rPr>
        <w:t>（工程全称）</w:t>
      </w:r>
      <w:r>
        <w:rPr>
          <w:rFonts w:hint="eastAsia" w:ascii="宋体" w:hAnsi="宋体"/>
          <w:szCs w:val="21"/>
        </w:rPr>
        <w:t>签订工程质量保修书。</w:t>
      </w:r>
    </w:p>
    <w:p>
      <w:pPr>
        <w:spacing w:line="360" w:lineRule="auto"/>
        <w:rPr>
          <w:rFonts w:ascii="宋体" w:hAnsi="宋体"/>
          <w:szCs w:val="21"/>
        </w:rPr>
      </w:pPr>
      <w:r>
        <w:rPr>
          <w:rFonts w:hint="eastAsia" w:ascii="宋体" w:hAnsi="宋体"/>
          <w:szCs w:val="21"/>
        </w:rPr>
        <w:t>　　一、工程质量保修范围和内容</w:t>
      </w:r>
    </w:p>
    <w:p>
      <w:pPr>
        <w:spacing w:line="360" w:lineRule="auto"/>
        <w:rPr>
          <w:rFonts w:ascii="宋体" w:hAnsi="宋体"/>
          <w:szCs w:val="21"/>
        </w:rPr>
      </w:pPr>
      <w:r>
        <w:rPr>
          <w:rFonts w:hint="eastAsia" w:ascii="宋体" w:hAnsi="宋体"/>
          <w:szCs w:val="21"/>
        </w:rPr>
        <w:t>　　承包人在质量保修期内，按照有关法律规定和合同约定，承担工程质量保修责任。</w:t>
      </w:r>
    </w:p>
    <w:p>
      <w:pPr>
        <w:spacing w:line="360" w:lineRule="auto"/>
        <w:rPr>
          <w:rFonts w:ascii="宋体" w:hAnsi="宋体"/>
          <w:szCs w:val="21"/>
          <w:u w:val="single"/>
        </w:rPr>
      </w:pPr>
      <w:r>
        <w:rPr>
          <w:rFonts w:hint="eastAsia" w:ascii="宋体" w:hAnsi="宋体"/>
          <w:szCs w:val="21"/>
        </w:rPr>
        <w:t>　　具体保修的内容，双方约定如下：</w:t>
      </w:r>
    </w:p>
    <w:p>
      <w:pPr>
        <w:spacing w:line="360" w:lineRule="auto"/>
        <w:rPr>
          <w:rFonts w:ascii="宋体" w:hAnsi="宋体"/>
          <w:szCs w:val="21"/>
        </w:rPr>
      </w:pPr>
      <w:r>
        <w:rPr>
          <w:rFonts w:hint="eastAsia" w:ascii="宋体" w:hAnsi="宋体"/>
          <w:szCs w:val="21"/>
        </w:rPr>
        <w:t>　　二、质量保修期</w:t>
      </w:r>
    </w:p>
    <w:p>
      <w:pPr>
        <w:spacing w:line="360" w:lineRule="auto"/>
        <w:ind w:firstLine="420" w:firstLineChars="200"/>
        <w:rPr>
          <w:rFonts w:ascii="宋体" w:hAnsi="宋体"/>
          <w:szCs w:val="21"/>
        </w:rPr>
      </w:pPr>
      <w:r>
        <w:rPr>
          <w:rFonts w:hint="eastAsia" w:ascii="宋体" w:hAnsi="宋体"/>
          <w:szCs w:val="21"/>
        </w:rPr>
        <w:t>根据《建设工程质量管理条例》及有关规定，工程的质量保修期如下：</w:t>
      </w:r>
    </w:p>
    <w:p>
      <w:pPr>
        <w:spacing w:line="360" w:lineRule="auto"/>
        <w:ind w:firstLine="420" w:firstLineChars="200"/>
        <w:rPr>
          <w:rFonts w:ascii="宋体" w:hAnsi="宋体"/>
          <w:szCs w:val="21"/>
        </w:rPr>
      </w:pPr>
      <w:r>
        <w:rPr>
          <w:rFonts w:hint="eastAsia" w:ascii="宋体" w:hAnsi="宋体"/>
          <w:szCs w:val="21"/>
        </w:rPr>
        <w:t>1．地基基础工程和主体结构工程为设计文件规定的工程合理使用年限；</w:t>
      </w:r>
    </w:p>
    <w:p>
      <w:pPr>
        <w:spacing w:line="360" w:lineRule="auto"/>
        <w:ind w:firstLine="420" w:firstLineChars="200"/>
        <w:rPr>
          <w:rFonts w:ascii="宋体" w:hAnsi="宋体"/>
          <w:szCs w:val="21"/>
        </w:rPr>
      </w:pPr>
      <w:r>
        <w:rPr>
          <w:rFonts w:hint="eastAsia" w:ascii="宋体" w:hAnsi="宋体"/>
          <w:szCs w:val="21"/>
        </w:rPr>
        <w:t xml:space="preserve">2．屋面防水工程、有防水要求的人防、卫生间、房间和外墙面的防渗为 </w:t>
      </w:r>
      <w:r>
        <w:rPr>
          <w:rFonts w:hint="eastAsia" w:ascii="宋体" w:hAnsi="宋体"/>
          <w:szCs w:val="21"/>
          <w:u w:val="single"/>
        </w:rPr>
        <w:t xml:space="preserve"> 5  </w:t>
      </w:r>
      <w:r>
        <w:rPr>
          <w:rFonts w:hint="eastAsia" w:ascii="宋体" w:hAnsi="宋体"/>
          <w:szCs w:val="21"/>
        </w:rPr>
        <w:t>年；</w:t>
      </w:r>
    </w:p>
    <w:p>
      <w:pPr>
        <w:spacing w:line="360" w:lineRule="auto"/>
        <w:ind w:firstLine="420" w:firstLineChars="200"/>
        <w:rPr>
          <w:rFonts w:ascii="宋体" w:hAnsi="宋体"/>
          <w:szCs w:val="21"/>
        </w:rPr>
      </w:pPr>
      <w:r>
        <w:rPr>
          <w:rFonts w:hint="eastAsia" w:ascii="宋体" w:hAnsi="宋体"/>
          <w:szCs w:val="21"/>
        </w:rPr>
        <w:t>3．装修工程为</w:t>
      </w:r>
      <w:r>
        <w:rPr>
          <w:rFonts w:hint="eastAsia" w:ascii="宋体" w:hAnsi="宋体"/>
          <w:szCs w:val="21"/>
          <w:u w:val="single"/>
        </w:rPr>
        <w:t xml:space="preserve">  2 </w:t>
      </w:r>
      <w:r>
        <w:rPr>
          <w:rFonts w:hint="eastAsia" w:ascii="宋体" w:hAnsi="宋体"/>
          <w:szCs w:val="21"/>
        </w:rPr>
        <w:t>年；</w:t>
      </w:r>
    </w:p>
    <w:p>
      <w:pPr>
        <w:spacing w:line="360" w:lineRule="auto"/>
        <w:ind w:firstLine="420" w:firstLineChars="200"/>
        <w:rPr>
          <w:rFonts w:ascii="宋体" w:hAnsi="宋体"/>
          <w:szCs w:val="21"/>
        </w:rPr>
      </w:pPr>
      <w:r>
        <w:rPr>
          <w:rFonts w:hint="eastAsia" w:ascii="宋体" w:hAnsi="宋体"/>
          <w:szCs w:val="21"/>
        </w:rPr>
        <w:t xml:space="preserve">4．电气管线、给排水管道、设备安装工程为 </w:t>
      </w:r>
      <w:r>
        <w:rPr>
          <w:rFonts w:hint="eastAsia" w:ascii="宋体" w:hAnsi="宋体"/>
          <w:szCs w:val="21"/>
          <w:u w:val="single"/>
        </w:rPr>
        <w:t xml:space="preserve">  2  </w:t>
      </w:r>
      <w:r>
        <w:rPr>
          <w:rFonts w:hint="eastAsia" w:ascii="宋体" w:hAnsi="宋体"/>
          <w:szCs w:val="21"/>
        </w:rPr>
        <w:t>年；</w:t>
      </w:r>
    </w:p>
    <w:p>
      <w:pPr>
        <w:spacing w:line="360" w:lineRule="auto"/>
        <w:ind w:firstLine="420" w:firstLineChars="200"/>
        <w:rPr>
          <w:rFonts w:ascii="宋体" w:hAnsi="宋体"/>
          <w:szCs w:val="21"/>
        </w:rPr>
      </w:pPr>
      <w:r>
        <w:rPr>
          <w:rFonts w:hint="eastAsia" w:ascii="宋体" w:hAnsi="宋体"/>
          <w:szCs w:val="21"/>
        </w:rPr>
        <w:t>5．供热与供冷系统为</w:t>
      </w:r>
      <w:r>
        <w:rPr>
          <w:rFonts w:hint="eastAsia" w:ascii="宋体" w:hAnsi="宋体"/>
          <w:szCs w:val="21"/>
          <w:u w:val="single"/>
        </w:rPr>
        <w:t xml:space="preserve">  2 个</w:t>
      </w:r>
      <w:r>
        <w:rPr>
          <w:rFonts w:hint="eastAsia" w:ascii="宋体" w:hAnsi="宋体"/>
          <w:szCs w:val="21"/>
        </w:rPr>
        <w:t>采暖期、供冷期；</w:t>
      </w:r>
    </w:p>
    <w:p>
      <w:pPr>
        <w:spacing w:line="360" w:lineRule="auto"/>
        <w:ind w:firstLine="420" w:firstLineChars="200"/>
        <w:rPr>
          <w:rFonts w:ascii="宋体" w:hAnsi="宋体"/>
          <w:szCs w:val="21"/>
        </w:rPr>
      </w:pPr>
      <w:r>
        <w:rPr>
          <w:rFonts w:hint="eastAsia" w:ascii="宋体" w:hAnsi="宋体"/>
          <w:szCs w:val="21"/>
        </w:rPr>
        <w:t>6．住宅小区内的给排水设施、道路等配套工程为</w:t>
      </w:r>
      <w:r>
        <w:rPr>
          <w:rFonts w:hint="eastAsia" w:ascii="宋体" w:hAnsi="宋体"/>
          <w:szCs w:val="21"/>
          <w:u w:val="single"/>
        </w:rPr>
        <w:t xml:space="preserve">   2   </w:t>
      </w:r>
      <w:r>
        <w:rPr>
          <w:rFonts w:hint="eastAsia" w:ascii="宋体" w:hAnsi="宋体"/>
          <w:szCs w:val="21"/>
        </w:rPr>
        <w:t>年；</w:t>
      </w:r>
    </w:p>
    <w:p>
      <w:pPr>
        <w:spacing w:line="360" w:lineRule="auto"/>
        <w:ind w:firstLine="420" w:firstLineChars="200"/>
        <w:rPr>
          <w:rFonts w:ascii="宋体" w:hAnsi="宋体"/>
          <w:szCs w:val="21"/>
        </w:rPr>
      </w:pPr>
      <w:r>
        <w:rPr>
          <w:rFonts w:hint="eastAsia" w:ascii="宋体" w:hAnsi="宋体"/>
          <w:szCs w:val="21"/>
        </w:rPr>
        <w:t xml:space="preserve">7．其他项目保修期限约定如下：  </w:t>
      </w:r>
      <w:r>
        <w:rPr>
          <w:rFonts w:hint="eastAsia" w:ascii="宋体" w:hAnsi="宋体"/>
          <w:szCs w:val="21"/>
          <w:u w:val="single"/>
        </w:rPr>
        <w:t xml:space="preserve"> 本工程保修期为2年   </w:t>
      </w:r>
      <w:r>
        <w:rPr>
          <w:rFonts w:hint="eastAsia" w:ascii="宋体" w:hAnsi="宋体"/>
          <w:szCs w:val="21"/>
        </w:rPr>
        <w:t xml:space="preserve"> 。</w:t>
      </w:r>
    </w:p>
    <w:p>
      <w:pPr>
        <w:spacing w:line="360" w:lineRule="auto"/>
        <w:rPr>
          <w:rFonts w:ascii="宋体" w:hAnsi="宋体"/>
          <w:b/>
          <w:szCs w:val="21"/>
        </w:rPr>
      </w:pPr>
      <w:r>
        <w:rPr>
          <w:rFonts w:hint="eastAsia" w:ascii="宋体" w:hAnsi="宋体"/>
          <w:szCs w:val="21"/>
        </w:rPr>
        <w:t xml:space="preserve">　　 </w:t>
      </w:r>
      <w:r>
        <w:rPr>
          <w:rFonts w:hint="eastAsia" w:ascii="宋体" w:hAnsi="宋体"/>
          <w:b/>
          <w:szCs w:val="21"/>
        </w:rPr>
        <w:t xml:space="preserve"> 质量保修期自工程竣工验收合格之日起计算。</w:t>
      </w:r>
    </w:p>
    <w:p>
      <w:pPr>
        <w:spacing w:line="360" w:lineRule="auto"/>
        <w:ind w:firstLine="420" w:firstLineChars="200"/>
        <w:rPr>
          <w:rFonts w:ascii="宋体" w:hAnsi="宋体"/>
          <w:szCs w:val="21"/>
        </w:rPr>
      </w:pPr>
      <w:r>
        <w:rPr>
          <w:rFonts w:hint="eastAsia" w:ascii="宋体" w:hAnsi="宋体"/>
          <w:szCs w:val="21"/>
        </w:rPr>
        <w:t>三、缺陷责任期</w:t>
      </w:r>
    </w:p>
    <w:p>
      <w:pPr>
        <w:spacing w:line="360" w:lineRule="auto"/>
        <w:ind w:firstLine="420" w:firstLineChars="200"/>
        <w:rPr>
          <w:rFonts w:ascii="宋体" w:hAnsi="宋体"/>
          <w:szCs w:val="21"/>
        </w:rPr>
      </w:pPr>
      <w:r>
        <w:rPr>
          <w:rFonts w:hint="eastAsia" w:ascii="宋体" w:hAnsi="宋体"/>
          <w:szCs w:val="21"/>
        </w:rPr>
        <w:t>工程缺陷责任期为</w:t>
      </w:r>
      <w:r>
        <w:rPr>
          <w:rFonts w:hint="eastAsia" w:ascii="宋体" w:hAnsi="宋体"/>
          <w:b/>
          <w:szCs w:val="21"/>
          <w:u w:val="single"/>
        </w:rPr>
        <w:t xml:space="preserve">二十四 </w:t>
      </w:r>
      <w:r>
        <w:rPr>
          <w:rFonts w:hint="eastAsia" w:ascii="宋体" w:hAnsi="宋体"/>
          <w:szCs w:val="21"/>
        </w:rPr>
        <w:t>个月，缺陷责任期自工程竣工验收合格之日起计算。单位工程先于全部工程进行验收，单位工程缺陷责任期自单位工程验收合格之日起算。</w:t>
      </w:r>
    </w:p>
    <w:p>
      <w:pPr>
        <w:spacing w:line="360" w:lineRule="auto"/>
        <w:ind w:firstLine="420" w:firstLineChars="200"/>
        <w:rPr>
          <w:rFonts w:ascii="宋体" w:hAnsi="宋体"/>
          <w:szCs w:val="21"/>
        </w:rPr>
      </w:pPr>
      <w:r>
        <w:rPr>
          <w:rFonts w:hint="eastAsia" w:ascii="宋体" w:hAnsi="宋体"/>
          <w:szCs w:val="21"/>
        </w:rPr>
        <w:t>缺陷责任期终止后，发包人应退还剩余的质量保修金。</w:t>
      </w:r>
    </w:p>
    <w:p>
      <w:pPr>
        <w:spacing w:line="360" w:lineRule="auto"/>
        <w:rPr>
          <w:rFonts w:ascii="宋体" w:hAnsi="宋体"/>
          <w:szCs w:val="21"/>
        </w:rPr>
      </w:pPr>
      <w:r>
        <w:rPr>
          <w:rFonts w:hint="eastAsia" w:ascii="宋体" w:hAnsi="宋体"/>
          <w:szCs w:val="21"/>
        </w:rPr>
        <w:t xml:space="preserve">    四、质量保修责任</w:t>
      </w:r>
    </w:p>
    <w:p>
      <w:pPr>
        <w:spacing w:line="360" w:lineRule="auto"/>
        <w:ind w:left="105" w:leftChars="50" w:firstLine="430" w:firstLineChars="205"/>
        <w:rPr>
          <w:rFonts w:ascii="宋体" w:hAnsi="宋体"/>
          <w:szCs w:val="21"/>
        </w:rPr>
      </w:pPr>
      <w:r>
        <w:rPr>
          <w:rFonts w:hint="eastAsia" w:ascii="宋体" w:hAnsi="宋体"/>
          <w:szCs w:val="21"/>
        </w:rPr>
        <w:t>1．属于保修范围、内容的项目，承包人应当在接到保修通知之日起1天内派人保修。承包人不在约定期限内派人保修的，发包人可以委托他人修理。</w:t>
      </w:r>
    </w:p>
    <w:p>
      <w:pPr>
        <w:spacing w:line="360" w:lineRule="auto"/>
        <w:ind w:left="105" w:leftChars="50" w:firstLine="430" w:firstLineChars="205"/>
        <w:rPr>
          <w:rFonts w:ascii="宋体" w:hAnsi="宋体"/>
          <w:szCs w:val="21"/>
        </w:rPr>
      </w:pPr>
      <w:r>
        <w:rPr>
          <w:rFonts w:hint="eastAsia" w:ascii="宋体" w:hAnsi="宋体"/>
          <w:szCs w:val="21"/>
        </w:rPr>
        <w:t>2．发生紧急事故需抢修的，承包人在接到事故通知后，应当立即到达事故现场抢修。</w:t>
      </w:r>
    </w:p>
    <w:p>
      <w:pPr>
        <w:spacing w:line="360" w:lineRule="auto"/>
        <w:ind w:left="105" w:leftChars="50" w:firstLine="430" w:firstLineChars="205"/>
        <w:rPr>
          <w:rFonts w:ascii="宋体" w:hAnsi="宋体"/>
          <w:szCs w:val="21"/>
        </w:rPr>
      </w:pPr>
      <w:r>
        <w:rPr>
          <w:rFonts w:hint="eastAsia" w:ascii="宋体" w:hAnsi="宋体"/>
          <w:szCs w:val="21"/>
        </w:rPr>
        <w:t>3．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pPr>
        <w:spacing w:line="360" w:lineRule="auto"/>
        <w:ind w:left="105" w:leftChars="50" w:firstLine="430" w:firstLineChars="205"/>
        <w:rPr>
          <w:rFonts w:ascii="宋体" w:hAnsi="宋体"/>
          <w:szCs w:val="21"/>
        </w:rPr>
      </w:pPr>
      <w:r>
        <w:rPr>
          <w:rFonts w:hint="eastAsia" w:ascii="宋体" w:hAnsi="宋体"/>
          <w:szCs w:val="21"/>
        </w:rPr>
        <w:t>4．因承包人原因致使工程在设计使用期内造成人身和财产损害的，承包人应承担损害赔偿责任。</w:t>
      </w:r>
    </w:p>
    <w:p>
      <w:pPr>
        <w:spacing w:line="360" w:lineRule="auto"/>
        <w:rPr>
          <w:rFonts w:ascii="宋体" w:hAnsi="宋体"/>
          <w:szCs w:val="21"/>
        </w:rPr>
      </w:pPr>
      <w:r>
        <w:rPr>
          <w:rFonts w:hint="eastAsia" w:ascii="宋体" w:hAnsi="宋体"/>
          <w:szCs w:val="21"/>
        </w:rPr>
        <w:t>5.质量保修完成后，由发包人组织验收。</w:t>
      </w:r>
    </w:p>
    <w:p>
      <w:pPr>
        <w:spacing w:line="360" w:lineRule="auto"/>
        <w:rPr>
          <w:rFonts w:ascii="宋体" w:hAnsi="宋体"/>
          <w:szCs w:val="21"/>
        </w:rPr>
      </w:pPr>
      <w:r>
        <w:rPr>
          <w:rFonts w:hint="eastAsia" w:ascii="宋体" w:hAnsi="宋体"/>
          <w:szCs w:val="21"/>
        </w:rPr>
        <w:t>　五、保修费用</w:t>
      </w:r>
    </w:p>
    <w:p>
      <w:pPr>
        <w:spacing w:line="360" w:lineRule="auto"/>
        <w:ind w:firstLine="210" w:firstLineChars="100"/>
        <w:rPr>
          <w:rFonts w:ascii="宋体" w:hAnsi="宋体"/>
          <w:szCs w:val="21"/>
        </w:rPr>
      </w:pPr>
      <w:r>
        <w:rPr>
          <w:rFonts w:hint="eastAsia" w:ascii="宋体" w:hAnsi="宋体"/>
          <w:szCs w:val="21"/>
        </w:rPr>
        <w:t>保修费用由造成质量缺陷的责任方承担，工程质量保修金为最终确认结算价的3% 。</w:t>
      </w:r>
    </w:p>
    <w:p>
      <w:pPr>
        <w:spacing w:line="360" w:lineRule="auto"/>
        <w:ind w:firstLine="211" w:firstLineChars="100"/>
        <w:rPr>
          <w:rFonts w:ascii="宋体" w:hAnsi="宋体"/>
          <w:szCs w:val="21"/>
        </w:rPr>
      </w:pPr>
      <w:r>
        <w:rPr>
          <w:rFonts w:hint="eastAsia" w:ascii="宋体" w:hAnsi="宋体"/>
          <w:b/>
          <w:szCs w:val="21"/>
        </w:rPr>
        <w:t>六</w:t>
      </w:r>
      <w:r>
        <w:rPr>
          <w:rFonts w:hint="eastAsia" w:ascii="宋体" w:hAnsi="宋体"/>
          <w:szCs w:val="21"/>
        </w:rPr>
        <w:t>、双方约定的其他工程质量保修事项：</w:t>
      </w:r>
    </w:p>
    <w:p>
      <w:pPr>
        <w:spacing w:line="360" w:lineRule="auto"/>
        <w:ind w:firstLine="420" w:firstLineChars="200"/>
        <w:jc w:val="left"/>
        <w:rPr>
          <w:rFonts w:ascii="宋体" w:hAnsi="宋体"/>
          <w:szCs w:val="21"/>
          <w:u w:val="single"/>
        </w:rPr>
      </w:pPr>
      <w:r>
        <w:rPr>
          <w:rFonts w:hint="eastAsia" w:ascii="宋体" w:hAnsi="宋体"/>
          <w:szCs w:val="21"/>
          <w:u w:val="single"/>
        </w:rPr>
        <w:t>（1）工程保修期内，承包人委托一名代表专职处理本工程的维修工作。</w:t>
      </w:r>
    </w:p>
    <w:p>
      <w:pPr>
        <w:spacing w:line="360" w:lineRule="auto"/>
        <w:ind w:firstLine="420" w:firstLineChars="200"/>
        <w:jc w:val="left"/>
        <w:rPr>
          <w:rFonts w:ascii="宋体" w:hAnsi="宋体"/>
          <w:szCs w:val="21"/>
          <w:u w:val="single"/>
        </w:rPr>
      </w:pPr>
      <w:r>
        <w:rPr>
          <w:rFonts w:hint="eastAsia" w:ascii="宋体" w:hAnsi="宋体"/>
          <w:szCs w:val="21"/>
          <w:u w:val="single"/>
        </w:rPr>
        <w:t>（2）本合同约定的质量保修金银行利率为0。</w:t>
      </w:r>
    </w:p>
    <w:p>
      <w:pPr>
        <w:spacing w:line="360" w:lineRule="auto"/>
        <w:ind w:firstLine="420" w:firstLineChars="200"/>
        <w:jc w:val="left"/>
        <w:rPr>
          <w:rFonts w:ascii="宋体" w:hAnsi="宋体"/>
          <w:szCs w:val="21"/>
          <w:u w:val="single"/>
        </w:rPr>
      </w:pPr>
      <w:r>
        <w:rPr>
          <w:rFonts w:hint="eastAsia" w:ascii="宋体" w:hAnsi="宋体"/>
          <w:szCs w:val="21"/>
          <w:u w:val="single"/>
        </w:rPr>
        <w:t>（3）承包人实施工程质量保修须遵守有关规定。</w:t>
      </w:r>
    </w:p>
    <w:p>
      <w:pPr>
        <w:spacing w:line="360" w:lineRule="auto"/>
        <w:ind w:firstLine="420" w:firstLineChars="200"/>
        <w:jc w:val="left"/>
        <w:rPr>
          <w:rFonts w:ascii="宋体" w:hAnsi="宋体"/>
          <w:szCs w:val="21"/>
          <w:u w:val="single"/>
        </w:rPr>
      </w:pPr>
      <w:r>
        <w:rPr>
          <w:rFonts w:hint="eastAsia" w:ascii="宋体" w:hAnsi="宋体"/>
          <w:szCs w:val="21"/>
          <w:u w:val="single"/>
        </w:rPr>
        <w:t>（4）因承包人未能及时履行保修责任引起发包人的一切损失，均由承包人承担，发生的保修费用由发包人从保修金中抵扣。不足部分，由承包人承担。</w:t>
      </w:r>
    </w:p>
    <w:p>
      <w:pPr>
        <w:spacing w:line="360" w:lineRule="auto"/>
        <w:ind w:firstLine="420" w:firstLineChars="200"/>
        <w:jc w:val="left"/>
        <w:rPr>
          <w:rFonts w:ascii="宋体" w:hAnsi="宋体"/>
          <w:szCs w:val="21"/>
        </w:rPr>
      </w:pPr>
      <w:r>
        <w:rPr>
          <w:rFonts w:hint="eastAsia" w:ascii="宋体" w:hAnsi="宋体"/>
          <w:szCs w:val="21"/>
        </w:rPr>
        <w:t xml:space="preserve"> 本工程质量保修书，由施工合同发包人、承包人双方在竣工验收前共同签署，作为施工合同附件，其有效期限至保修期满</w:t>
      </w:r>
    </w:p>
    <w:p>
      <w:pPr>
        <w:pStyle w:val="287"/>
        <w:spacing w:line="420" w:lineRule="exact"/>
        <w:rPr>
          <w:rStyle w:val="185"/>
          <w:rFonts w:ascii="宋体"/>
          <w:i w:val="0"/>
          <w:sz w:val="21"/>
          <w:szCs w:val="21"/>
        </w:rPr>
      </w:pPr>
    </w:p>
    <w:p>
      <w:pPr>
        <w:pStyle w:val="287"/>
        <w:spacing w:line="420" w:lineRule="exact"/>
        <w:ind w:firstLine="420" w:firstLineChars="200"/>
        <w:rPr>
          <w:rFonts w:ascii="宋体"/>
          <w:i w:val="0"/>
          <w:kern w:val="2"/>
          <w:sz w:val="21"/>
          <w:szCs w:val="21"/>
        </w:rPr>
      </w:pPr>
      <w:r>
        <w:rPr>
          <w:rFonts w:hint="eastAsia" w:ascii="宋体"/>
          <w:i w:val="0"/>
          <w:kern w:val="2"/>
          <w:sz w:val="21"/>
          <w:szCs w:val="21"/>
        </w:rPr>
        <w:t xml:space="preserve">发包人(公章)：                   承包人(公章)：            </w:t>
      </w:r>
    </w:p>
    <w:p>
      <w:pPr>
        <w:pStyle w:val="287"/>
        <w:spacing w:line="420" w:lineRule="exact"/>
        <w:ind w:firstLine="420" w:firstLineChars="200"/>
        <w:rPr>
          <w:rFonts w:ascii="宋体"/>
          <w:i w:val="0"/>
          <w:kern w:val="2"/>
          <w:sz w:val="21"/>
          <w:szCs w:val="21"/>
        </w:rPr>
      </w:pPr>
    </w:p>
    <w:p>
      <w:pPr>
        <w:pStyle w:val="287"/>
        <w:spacing w:line="420" w:lineRule="exact"/>
        <w:ind w:right="-512" w:rightChars="-244" w:firstLine="420" w:firstLineChars="200"/>
        <w:rPr>
          <w:rFonts w:ascii="宋体"/>
          <w:i w:val="0"/>
          <w:kern w:val="2"/>
          <w:sz w:val="21"/>
          <w:szCs w:val="21"/>
        </w:rPr>
      </w:pPr>
      <w:r>
        <w:rPr>
          <w:rFonts w:hint="eastAsia" w:ascii="宋体"/>
          <w:i w:val="0"/>
          <w:kern w:val="2"/>
          <w:sz w:val="21"/>
          <w:szCs w:val="21"/>
        </w:rPr>
        <w:t xml:space="preserve">法定代表人(签字或盖章)：         法定代表人(签字或盖章)： </w:t>
      </w:r>
    </w:p>
    <w:p>
      <w:pPr>
        <w:pStyle w:val="287"/>
        <w:spacing w:line="420" w:lineRule="exact"/>
        <w:ind w:firstLine="420" w:firstLineChars="200"/>
        <w:rPr>
          <w:rFonts w:ascii="宋体"/>
          <w:i w:val="0"/>
          <w:kern w:val="2"/>
          <w:sz w:val="21"/>
          <w:szCs w:val="21"/>
        </w:rPr>
      </w:pPr>
    </w:p>
    <w:p>
      <w:pPr>
        <w:spacing w:line="440" w:lineRule="exact"/>
        <w:rPr>
          <w:rFonts w:ascii="宋体" w:hAnsi="宋体" w:cs="宋体"/>
          <w:szCs w:val="21"/>
        </w:rPr>
      </w:pPr>
      <w:r>
        <w:rPr>
          <w:rFonts w:hint="eastAsia" w:ascii="宋体" w:hAnsi="宋体"/>
          <w:szCs w:val="21"/>
        </w:rPr>
        <w:t xml:space="preserve">年  月  日                       年   月  日       </w:t>
      </w:r>
      <w:r>
        <w:rPr>
          <w:rFonts w:ascii="宋体" w:hAnsi="宋体" w:cs="宋体"/>
          <w:szCs w:val="21"/>
        </w:rPr>
        <w:br w:type="page"/>
      </w:r>
      <w:r>
        <w:rPr>
          <w:rFonts w:hint="eastAsia" w:ascii="宋体" w:hAnsi="宋体" w:cs="宋体"/>
          <w:szCs w:val="21"/>
        </w:rPr>
        <w:t>附件4：</w:t>
      </w:r>
    </w:p>
    <w:p>
      <w:pPr>
        <w:autoSpaceDE w:val="0"/>
        <w:autoSpaceDN w:val="0"/>
        <w:adjustRightInd w:val="0"/>
        <w:spacing w:line="360" w:lineRule="auto"/>
        <w:ind w:firstLine="103" w:firstLineChars="49"/>
        <w:jc w:val="center"/>
        <w:rPr>
          <w:rFonts w:ascii="宋体" w:hAnsi="宋体" w:cs="宋体"/>
          <w:b/>
          <w:i/>
          <w:szCs w:val="21"/>
        </w:rPr>
      </w:pPr>
      <w:r>
        <w:rPr>
          <w:rFonts w:hint="eastAsia" w:ascii="宋体" w:hAnsi="宋体" w:cs="宋体"/>
          <w:b/>
          <w:bCs/>
          <w:szCs w:val="21"/>
        </w:rPr>
        <w:t>廉政合同</w:t>
      </w:r>
    </w:p>
    <w:p>
      <w:pPr>
        <w:spacing w:line="440" w:lineRule="exact"/>
        <w:ind w:firstLine="420" w:firstLineChars="200"/>
        <w:rPr>
          <w:rFonts w:ascii="宋体" w:hAnsi="宋体" w:cs="宋体"/>
          <w:szCs w:val="21"/>
        </w:rPr>
      </w:pPr>
      <w:r>
        <w:rPr>
          <w:rFonts w:hint="eastAsia" w:ascii="宋体" w:hAnsi="宋体" w:cs="宋体"/>
          <w:szCs w:val="21"/>
        </w:rPr>
        <w:t>发包人(全称)：</w:t>
      </w:r>
    </w:p>
    <w:p>
      <w:pPr>
        <w:spacing w:line="440" w:lineRule="exact"/>
        <w:ind w:firstLine="420" w:firstLineChars="200"/>
        <w:rPr>
          <w:rFonts w:ascii="宋体" w:hAnsi="宋体" w:cs="宋体"/>
          <w:szCs w:val="21"/>
        </w:rPr>
      </w:pPr>
      <w:r>
        <w:rPr>
          <w:rFonts w:hint="eastAsia" w:ascii="宋体" w:hAnsi="宋体" w:cs="宋体"/>
          <w:szCs w:val="21"/>
        </w:rPr>
        <w:t>承包人(全称)：</w:t>
      </w:r>
      <w:r>
        <w:rPr>
          <w:rFonts w:hint="eastAsia" w:ascii="宋体" w:hAnsi="宋体" w:cs="宋体"/>
          <w:b/>
          <w:bCs/>
          <w:szCs w:val="21"/>
          <w:u w:val="single"/>
        </w:rPr>
        <w:t xml:space="preserve">（中标人名称）    </w:t>
      </w:r>
    </w:p>
    <w:p>
      <w:pPr>
        <w:spacing w:line="440" w:lineRule="exact"/>
        <w:ind w:firstLine="420" w:firstLineChars="200"/>
        <w:rPr>
          <w:rFonts w:ascii="宋体" w:hAnsi="宋体" w:cs="宋体"/>
          <w:szCs w:val="21"/>
        </w:rPr>
      </w:pPr>
      <w:r>
        <w:rPr>
          <w:rFonts w:hint="eastAsia" w:ascii="宋体" w:hAnsi="宋体" w:cs="宋体"/>
          <w:szCs w:val="21"/>
        </w:rPr>
        <w:t>根据国家、省工程建设和廉政建设的有关规定，为做好合同工程的廉政建设，保证工程质量与施工安全，提高建设资金的有效使用和投资效益，发包人、承包人就加强合同工程的廉政建设，订立本合同。</w:t>
      </w:r>
    </w:p>
    <w:p>
      <w:pPr>
        <w:spacing w:line="440" w:lineRule="exact"/>
        <w:ind w:firstLine="422" w:firstLineChars="200"/>
        <w:rPr>
          <w:rFonts w:ascii="宋体" w:hAnsi="宋体" w:cs="宋体"/>
          <w:b/>
          <w:bCs/>
          <w:szCs w:val="21"/>
        </w:rPr>
      </w:pPr>
      <w:r>
        <w:rPr>
          <w:rFonts w:hint="eastAsia" w:ascii="宋体" w:hAnsi="宋体" w:cs="宋体"/>
          <w:b/>
          <w:bCs/>
          <w:szCs w:val="21"/>
        </w:rPr>
        <w:t>1  双方权利和义务</w:t>
      </w:r>
    </w:p>
    <w:p>
      <w:pPr>
        <w:spacing w:line="440" w:lineRule="exact"/>
        <w:ind w:firstLine="420" w:firstLineChars="200"/>
        <w:rPr>
          <w:rFonts w:ascii="宋体" w:hAnsi="宋体" w:cs="宋体"/>
          <w:szCs w:val="21"/>
        </w:rPr>
      </w:pPr>
      <w:r>
        <w:rPr>
          <w:rFonts w:hint="eastAsia" w:ascii="宋体" w:hAnsi="宋体" w:cs="宋体"/>
          <w:szCs w:val="21"/>
        </w:rPr>
        <w:t>1.1严格遵守国家有关法律法规的规定。</w:t>
      </w:r>
    </w:p>
    <w:p>
      <w:pPr>
        <w:spacing w:line="440" w:lineRule="exact"/>
        <w:ind w:firstLine="420" w:firstLineChars="200"/>
        <w:rPr>
          <w:rFonts w:ascii="宋体" w:hAnsi="宋体" w:cs="宋体"/>
          <w:szCs w:val="21"/>
        </w:rPr>
      </w:pPr>
      <w:r>
        <w:rPr>
          <w:rFonts w:hint="eastAsia" w:ascii="宋体" w:hAnsi="宋体" w:cs="宋体"/>
          <w:szCs w:val="21"/>
        </w:rPr>
        <w:t>1.2严格执行一切合同文件，自觉按合同办事。</w:t>
      </w:r>
    </w:p>
    <w:p>
      <w:pPr>
        <w:spacing w:line="440" w:lineRule="exact"/>
        <w:ind w:firstLine="420" w:firstLineChars="200"/>
        <w:rPr>
          <w:rFonts w:ascii="宋体" w:hAnsi="宋体" w:cs="宋体"/>
          <w:szCs w:val="21"/>
        </w:rPr>
      </w:pPr>
      <w:r>
        <w:rPr>
          <w:rFonts w:hint="eastAsia" w:ascii="宋体" w:hAnsi="宋体" w:cs="宋体"/>
          <w:szCs w:val="21"/>
        </w:rPr>
        <w:t>1.3双方的业务活动坚持公平、公开、公正和诚信的原则（法律认定的商业秘密和合同文件另有规定除外），不得损害国家和集体利益，不得违反工程建设管理规章制度。</w:t>
      </w:r>
    </w:p>
    <w:p>
      <w:pPr>
        <w:spacing w:line="440" w:lineRule="exact"/>
        <w:ind w:firstLine="420" w:firstLineChars="200"/>
        <w:rPr>
          <w:rFonts w:ascii="宋体" w:hAnsi="宋体" w:cs="宋体"/>
          <w:szCs w:val="21"/>
        </w:rPr>
      </w:pPr>
      <w:r>
        <w:rPr>
          <w:rFonts w:hint="eastAsia" w:ascii="宋体" w:hAnsi="宋体" w:cs="宋体"/>
          <w:szCs w:val="21"/>
        </w:rPr>
        <w:t>1.4建立健全廉政制度，开展廉政教育，设立廉政告示牌，公布举报电话，监督并认真查处违法违纪行为。</w:t>
      </w:r>
    </w:p>
    <w:p>
      <w:pPr>
        <w:spacing w:line="440" w:lineRule="exact"/>
        <w:ind w:firstLine="420" w:firstLineChars="200"/>
        <w:rPr>
          <w:rFonts w:ascii="宋体" w:hAnsi="宋体" w:cs="宋体"/>
          <w:szCs w:val="21"/>
        </w:rPr>
      </w:pPr>
      <w:r>
        <w:rPr>
          <w:rFonts w:hint="eastAsia" w:ascii="宋体" w:hAnsi="宋体" w:cs="宋体"/>
          <w:szCs w:val="21"/>
        </w:rPr>
        <w:t>1.5发现对方在业务活动中有违反廉政建设规定的行为，应及时给予提醒和纠正。</w:t>
      </w:r>
    </w:p>
    <w:p>
      <w:pPr>
        <w:spacing w:line="440" w:lineRule="exact"/>
        <w:ind w:firstLine="420" w:firstLineChars="200"/>
        <w:rPr>
          <w:rFonts w:ascii="宋体" w:hAnsi="宋体" w:cs="宋体"/>
          <w:szCs w:val="21"/>
        </w:rPr>
      </w:pPr>
      <w:r>
        <w:rPr>
          <w:rFonts w:hint="eastAsia" w:ascii="宋体" w:hAnsi="宋体" w:cs="宋体"/>
          <w:szCs w:val="21"/>
        </w:rPr>
        <w:t>1.6发现对方严重违反合同的行为，有向其上级部门举报、建议给予处理并要求告知处理结果的权利。没有上级部门的，可按施工合同通用条款第70条规定处理。</w:t>
      </w:r>
    </w:p>
    <w:p>
      <w:pPr>
        <w:spacing w:line="440" w:lineRule="exact"/>
        <w:ind w:firstLine="422" w:firstLineChars="200"/>
        <w:rPr>
          <w:rFonts w:ascii="宋体" w:hAnsi="宋体" w:cs="宋体"/>
          <w:b/>
          <w:bCs/>
          <w:szCs w:val="21"/>
        </w:rPr>
      </w:pPr>
      <w:r>
        <w:rPr>
          <w:rFonts w:hint="eastAsia" w:ascii="宋体" w:hAnsi="宋体" w:cs="宋体"/>
          <w:b/>
          <w:bCs/>
          <w:szCs w:val="21"/>
        </w:rPr>
        <w:t>2发包人义务</w:t>
      </w:r>
    </w:p>
    <w:p>
      <w:pPr>
        <w:spacing w:line="440" w:lineRule="exact"/>
        <w:ind w:firstLine="420" w:firstLineChars="200"/>
        <w:rPr>
          <w:rFonts w:ascii="宋体" w:hAnsi="宋体" w:cs="宋体"/>
          <w:szCs w:val="21"/>
        </w:rPr>
      </w:pPr>
      <w:r>
        <w:rPr>
          <w:rFonts w:hint="eastAsia" w:ascii="宋体" w:hAnsi="宋体" w:cs="宋体"/>
          <w:szCs w:val="21"/>
        </w:rPr>
        <w:t>2.1发包人及其工作人员不得索要或接受承包人的礼金、有价证券和贵重物品，不得在承包人报销任何应由发包人或工作人员个人支付的费用等。</w:t>
      </w:r>
    </w:p>
    <w:p>
      <w:pPr>
        <w:spacing w:line="440" w:lineRule="exact"/>
        <w:ind w:firstLine="420" w:firstLineChars="200"/>
        <w:rPr>
          <w:rFonts w:ascii="宋体" w:hAnsi="宋体" w:cs="宋体"/>
          <w:szCs w:val="21"/>
        </w:rPr>
      </w:pPr>
      <w:r>
        <w:rPr>
          <w:rFonts w:hint="eastAsia" w:ascii="宋体" w:hAnsi="宋体" w:cs="宋体"/>
          <w:szCs w:val="21"/>
        </w:rPr>
        <w:t>2.2发包人及其工作人员不得参加承包人安排的宴请（工作餐除外）和娱乐活动；不得接受承包人提供的通讯工具、交通工具和高档办公用品等。</w:t>
      </w:r>
    </w:p>
    <w:p>
      <w:pPr>
        <w:spacing w:line="440" w:lineRule="exact"/>
        <w:ind w:firstLine="420" w:firstLineChars="200"/>
        <w:rPr>
          <w:rFonts w:ascii="宋体" w:hAnsi="宋体" w:cs="宋体"/>
          <w:szCs w:val="21"/>
        </w:rPr>
      </w:pPr>
      <w:r>
        <w:rPr>
          <w:rFonts w:hint="eastAsia" w:ascii="宋体" w:hAnsi="宋体" w:cs="宋体"/>
          <w:szCs w:val="21"/>
        </w:rPr>
        <w:t>2.3发包人及其工作人员不得要求或者接受承包人为其住房装修、婚丧嫁娶活动、配偶子女的工作安排以及出国出境、旅游等提供方便等。</w:t>
      </w:r>
    </w:p>
    <w:p>
      <w:pPr>
        <w:spacing w:line="440" w:lineRule="exact"/>
        <w:ind w:firstLine="420" w:firstLineChars="200"/>
        <w:rPr>
          <w:rFonts w:ascii="宋体" w:hAnsi="宋体" w:cs="宋体"/>
          <w:szCs w:val="21"/>
        </w:rPr>
      </w:pPr>
      <w:r>
        <w:rPr>
          <w:rFonts w:hint="eastAsia" w:ascii="宋体" w:hAnsi="宋体" w:cs="宋体"/>
          <w:szCs w:val="21"/>
        </w:rPr>
        <w:t>2.4 发包人及其工作人员及其配偶、子女不得从事与发包人有关的工程材料设备供应、工程分包、劳务等经济活动。</w:t>
      </w:r>
    </w:p>
    <w:p>
      <w:pPr>
        <w:spacing w:line="440" w:lineRule="exact"/>
        <w:ind w:firstLine="420" w:firstLineChars="200"/>
        <w:rPr>
          <w:rFonts w:ascii="宋体" w:hAnsi="宋体" w:cs="宋体"/>
          <w:szCs w:val="21"/>
        </w:rPr>
      </w:pPr>
      <w:r>
        <w:rPr>
          <w:rFonts w:hint="eastAsia" w:ascii="宋体" w:hAnsi="宋体" w:cs="宋体"/>
          <w:szCs w:val="21"/>
        </w:rPr>
        <w:t>2.5发包人及其工作人员不得以任何理由向承包人推荐分包单位或推销材料，不得要求承包人购买合同约定外的材料和设备。</w:t>
      </w:r>
    </w:p>
    <w:p>
      <w:pPr>
        <w:spacing w:line="440" w:lineRule="exact"/>
        <w:ind w:firstLine="420" w:firstLineChars="200"/>
        <w:rPr>
          <w:rFonts w:ascii="宋体" w:hAnsi="宋体" w:cs="宋体"/>
          <w:szCs w:val="21"/>
        </w:rPr>
      </w:pPr>
      <w:r>
        <w:rPr>
          <w:rFonts w:hint="eastAsia" w:ascii="宋体" w:hAnsi="宋体" w:cs="宋体"/>
          <w:szCs w:val="21"/>
        </w:rPr>
        <w:t>2.6发包人及其工作人员要秉公办事，不准营私舞弊，不准利用职权从事各种个人有偿中介活动。</w:t>
      </w:r>
    </w:p>
    <w:p>
      <w:pPr>
        <w:spacing w:line="440" w:lineRule="exact"/>
        <w:ind w:firstLine="422" w:firstLineChars="200"/>
        <w:rPr>
          <w:rFonts w:ascii="宋体" w:hAnsi="宋体" w:cs="宋体"/>
          <w:b/>
          <w:bCs/>
          <w:szCs w:val="21"/>
        </w:rPr>
      </w:pPr>
      <w:r>
        <w:rPr>
          <w:rFonts w:hint="eastAsia" w:ascii="宋体" w:hAnsi="宋体" w:cs="宋体"/>
          <w:b/>
          <w:bCs/>
          <w:szCs w:val="21"/>
        </w:rPr>
        <w:t>3承包人义务</w:t>
      </w:r>
    </w:p>
    <w:p>
      <w:pPr>
        <w:spacing w:line="440" w:lineRule="exact"/>
        <w:ind w:firstLine="420" w:firstLineChars="200"/>
        <w:rPr>
          <w:rFonts w:ascii="宋体" w:hAnsi="宋体" w:cs="宋体"/>
          <w:szCs w:val="21"/>
        </w:rPr>
      </w:pPr>
      <w:r>
        <w:rPr>
          <w:rFonts w:hint="eastAsia" w:ascii="宋体" w:hAnsi="宋体" w:cs="宋体"/>
          <w:szCs w:val="21"/>
        </w:rPr>
        <w:t>3.1承包人不得以任何理由向发包人及其工作人员行贿或馈赠礼金、有价证券、贵重礼品。</w:t>
      </w:r>
    </w:p>
    <w:p>
      <w:pPr>
        <w:spacing w:line="440" w:lineRule="exact"/>
        <w:ind w:firstLine="420" w:firstLineChars="200"/>
        <w:rPr>
          <w:rFonts w:ascii="宋体" w:hAnsi="宋体" w:cs="宋体"/>
          <w:szCs w:val="21"/>
        </w:rPr>
      </w:pPr>
      <w:r>
        <w:rPr>
          <w:rFonts w:hint="eastAsia" w:ascii="宋体" w:hAnsi="宋体" w:cs="宋体"/>
          <w:szCs w:val="21"/>
        </w:rPr>
        <w:t>3.2承包人不得以任何名义为发包人及其工作人员报销应由发包人或工作人员个人支付的任何费用。</w:t>
      </w:r>
    </w:p>
    <w:p>
      <w:pPr>
        <w:spacing w:line="440" w:lineRule="exact"/>
        <w:ind w:firstLine="420" w:firstLineChars="200"/>
        <w:rPr>
          <w:rFonts w:ascii="宋体" w:hAnsi="宋体" w:cs="宋体"/>
          <w:szCs w:val="21"/>
        </w:rPr>
      </w:pPr>
      <w:r>
        <w:rPr>
          <w:rFonts w:hint="eastAsia" w:ascii="宋体" w:hAnsi="宋体" w:cs="宋体"/>
          <w:szCs w:val="21"/>
        </w:rPr>
        <w:t>3.3承包人不得以任何理由安排发包人及其工作人员参加宴请（工作餐除外）及娱乐活动。</w:t>
      </w:r>
    </w:p>
    <w:p>
      <w:pPr>
        <w:spacing w:line="440" w:lineRule="exact"/>
        <w:ind w:firstLine="420" w:firstLineChars="200"/>
        <w:rPr>
          <w:rFonts w:ascii="宋体" w:hAnsi="宋体" w:cs="宋体"/>
          <w:szCs w:val="21"/>
        </w:rPr>
      </w:pPr>
      <w:r>
        <w:rPr>
          <w:rFonts w:hint="eastAsia" w:ascii="宋体" w:hAnsi="宋体" w:cs="宋体"/>
          <w:szCs w:val="21"/>
        </w:rPr>
        <w:t>3.4承包人不得为发包人和个人购置或提供通讯工具、交通工具和高档办公用品等。</w:t>
      </w:r>
    </w:p>
    <w:p>
      <w:pPr>
        <w:tabs>
          <w:tab w:val="left" w:pos="900"/>
        </w:tabs>
        <w:spacing w:line="440" w:lineRule="exact"/>
        <w:ind w:firstLine="422" w:firstLineChars="200"/>
        <w:rPr>
          <w:rFonts w:ascii="宋体" w:hAnsi="宋体" w:cs="宋体"/>
          <w:b/>
          <w:bCs/>
          <w:szCs w:val="21"/>
        </w:rPr>
      </w:pPr>
      <w:r>
        <w:rPr>
          <w:rFonts w:hint="eastAsia" w:ascii="宋体" w:hAnsi="宋体" w:cs="宋体"/>
          <w:b/>
          <w:bCs/>
          <w:szCs w:val="21"/>
        </w:rPr>
        <w:t>4违约责任</w:t>
      </w:r>
    </w:p>
    <w:p>
      <w:pPr>
        <w:spacing w:line="440" w:lineRule="exact"/>
        <w:ind w:firstLine="420" w:firstLineChars="200"/>
        <w:rPr>
          <w:rFonts w:ascii="宋体" w:hAnsi="宋体" w:cs="宋体"/>
          <w:szCs w:val="21"/>
        </w:rPr>
      </w:pPr>
      <w:r>
        <w:rPr>
          <w:rFonts w:hint="eastAsia" w:ascii="宋体" w:hAnsi="宋体" w:cs="宋体"/>
          <w:szCs w:val="21"/>
        </w:rPr>
        <w:t>4.1发包人及其工作人员违反本合同第1条和第2条规定，应依据有关规定给予廉政建设规定的处分；涉嫌犯罪的，移交司法机关追究刑事责任；给承包人造成经济损失的，应予赔偿。</w:t>
      </w:r>
    </w:p>
    <w:p>
      <w:pPr>
        <w:spacing w:line="440" w:lineRule="exact"/>
        <w:ind w:firstLine="420" w:firstLineChars="200"/>
        <w:rPr>
          <w:rFonts w:ascii="宋体" w:hAnsi="宋体" w:cs="宋体"/>
          <w:szCs w:val="21"/>
        </w:rPr>
      </w:pPr>
      <w:r>
        <w:rPr>
          <w:rFonts w:hint="eastAsia" w:ascii="宋体" w:hAnsi="宋体" w:cs="宋体"/>
          <w:szCs w:val="21"/>
        </w:rPr>
        <w:t>4.2承包人及其工作人员违反本合同第1条和第3条规定，应依据有关规定给予廉政建设规定的处分；给发包人造成经济损失的，应予赔偿；情节严重的，给予承包人一至三年内不得进入工程建设市场的处罚。</w:t>
      </w:r>
    </w:p>
    <w:p>
      <w:pPr>
        <w:spacing w:line="440" w:lineRule="exact"/>
        <w:ind w:firstLine="422" w:firstLineChars="200"/>
        <w:rPr>
          <w:rFonts w:ascii="宋体" w:hAnsi="宋体" w:cs="宋体"/>
          <w:b/>
          <w:bCs/>
          <w:szCs w:val="21"/>
        </w:rPr>
      </w:pPr>
      <w:r>
        <w:rPr>
          <w:rFonts w:hint="eastAsia" w:ascii="宋体" w:hAnsi="宋体" w:cs="宋体"/>
          <w:b/>
          <w:bCs/>
          <w:szCs w:val="21"/>
        </w:rPr>
        <w:t>5双方约定</w:t>
      </w:r>
    </w:p>
    <w:p>
      <w:pPr>
        <w:spacing w:line="440" w:lineRule="exact"/>
        <w:ind w:firstLine="420" w:firstLineChars="200"/>
        <w:rPr>
          <w:rFonts w:ascii="宋体" w:hAnsi="宋体" w:cs="宋体"/>
          <w:szCs w:val="21"/>
        </w:rPr>
      </w:pPr>
      <w:r>
        <w:rPr>
          <w:rFonts w:hint="eastAsia" w:ascii="宋体" w:hAnsi="宋体" w:cs="宋体"/>
          <w:szCs w:val="21"/>
        </w:rPr>
        <w:t>本合同由双方或其上级部门负责监督执行，并由双方或其上级部门相互约请对本合同执行情况进行检查。</w:t>
      </w:r>
    </w:p>
    <w:p>
      <w:pPr>
        <w:spacing w:line="440" w:lineRule="exact"/>
        <w:ind w:firstLine="422" w:firstLineChars="200"/>
        <w:rPr>
          <w:rFonts w:ascii="宋体" w:hAnsi="宋体" w:cs="宋体"/>
          <w:b/>
          <w:bCs/>
          <w:szCs w:val="21"/>
        </w:rPr>
      </w:pPr>
      <w:r>
        <w:rPr>
          <w:rFonts w:hint="eastAsia" w:ascii="宋体" w:hAnsi="宋体" w:cs="宋体"/>
          <w:b/>
          <w:bCs/>
          <w:szCs w:val="21"/>
        </w:rPr>
        <w:t>6合同生效</w:t>
      </w:r>
    </w:p>
    <w:p>
      <w:pPr>
        <w:spacing w:line="440" w:lineRule="exact"/>
        <w:ind w:firstLine="420" w:firstLineChars="200"/>
        <w:rPr>
          <w:rFonts w:ascii="宋体" w:hAnsi="宋体" w:cs="宋体"/>
          <w:szCs w:val="21"/>
        </w:rPr>
      </w:pPr>
      <w:r>
        <w:rPr>
          <w:rFonts w:hint="eastAsia" w:ascii="宋体" w:hAnsi="宋体" w:cs="宋体"/>
          <w:szCs w:val="21"/>
        </w:rPr>
        <w:t>本合同的有效期，自双方签署之日起至该主合同结束之日止。</w:t>
      </w:r>
    </w:p>
    <w:p>
      <w:pPr>
        <w:spacing w:line="440" w:lineRule="exact"/>
        <w:ind w:firstLine="422" w:firstLineChars="200"/>
        <w:rPr>
          <w:rFonts w:ascii="宋体" w:hAnsi="宋体" w:cs="宋体"/>
          <w:b/>
          <w:bCs/>
          <w:szCs w:val="21"/>
        </w:rPr>
      </w:pPr>
      <w:r>
        <w:rPr>
          <w:rFonts w:hint="eastAsia" w:ascii="宋体" w:hAnsi="宋体" w:cs="宋体"/>
          <w:b/>
          <w:bCs/>
          <w:szCs w:val="21"/>
        </w:rPr>
        <w:t>7民法典律效力</w:t>
      </w:r>
    </w:p>
    <w:p>
      <w:pPr>
        <w:spacing w:line="440" w:lineRule="exact"/>
        <w:ind w:firstLine="420" w:firstLineChars="200"/>
        <w:rPr>
          <w:rFonts w:ascii="宋体" w:hAnsi="宋体" w:cs="宋体"/>
          <w:szCs w:val="21"/>
        </w:rPr>
      </w:pPr>
      <w:r>
        <w:rPr>
          <w:rFonts w:hint="eastAsia" w:ascii="宋体" w:hAnsi="宋体" w:cs="宋体"/>
          <w:szCs w:val="21"/>
        </w:rPr>
        <w:t>本合同作为工程施工合同的附件，与施工合同具有同等的法律效力，经双方签署后生效。</w:t>
      </w:r>
    </w:p>
    <w:p>
      <w:pPr>
        <w:spacing w:line="440" w:lineRule="exact"/>
        <w:ind w:firstLine="422" w:firstLineChars="200"/>
        <w:rPr>
          <w:rFonts w:ascii="宋体" w:hAnsi="宋体" w:cs="宋体"/>
          <w:b/>
          <w:bCs/>
          <w:szCs w:val="21"/>
        </w:rPr>
      </w:pPr>
      <w:r>
        <w:rPr>
          <w:rFonts w:hint="eastAsia" w:ascii="宋体" w:hAnsi="宋体" w:cs="宋体"/>
          <w:b/>
          <w:bCs/>
          <w:szCs w:val="21"/>
        </w:rPr>
        <w:t>8合同份数</w:t>
      </w:r>
    </w:p>
    <w:p>
      <w:pPr>
        <w:spacing w:line="440" w:lineRule="exact"/>
        <w:ind w:firstLine="420" w:firstLineChars="200"/>
        <w:rPr>
          <w:rFonts w:ascii="宋体" w:hAnsi="宋体" w:cs="宋体"/>
          <w:b/>
          <w:szCs w:val="21"/>
          <w:u w:val="single"/>
        </w:rPr>
      </w:pPr>
      <w:r>
        <w:rPr>
          <w:rFonts w:hint="eastAsia" w:ascii="宋体" w:hAnsi="宋体" w:cs="宋体"/>
          <w:szCs w:val="21"/>
        </w:rPr>
        <w:t>本合同</w:t>
      </w:r>
      <w:r>
        <w:rPr>
          <w:rFonts w:hint="eastAsia" w:ascii="宋体" w:hAnsi="宋体" w:cs="宋体"/>
          <w:b/>
          <w:szCs w:val="21"/>
          <w:u w:val="single"/>
        </w:rPr>
        <w:t>正本贰份，副本陆份，共计捌份。</w:t>
      </w:r>
    </w:p>
    <w:p>
      <w:pPr>
        <w:autoSpaceDE w:val="0"/>
        <w:autoSpaceDN w:val="0"/>
        <w:adjustRightInd w:val="0"/>
        <w:spacing w:line="440" w:lineRule="exact"/>
        <w:ind w:firstLine="525" w:firstLineChars="250"/>
        <w:rPr>
          <w:rFonts w:ascii="宋体" w:hAnsi="宋体" w:cs="宋体"/>
          <w:szCs w:val="21"/>
        </w:rPr>
      </w:pPr>
      <w:r>
        <w:rPr>
          <w:rFonts w:hint="eastAsia" w:ascii="宋体" w:hAnsi="宋体" w:cs="宋体"/>
          <w:szCs w:val="21"/>
        </w:rPr>
        <w:t>发　包　人(公章)：　　　　　      承　包　人(公章)：</w:t>
      </w:r>
    </w:p>
    <w:p>
      <w:pPr>
        <w:autoSpaceDE w:val="0"/>
        <w:autoSpaceDN w:val="0"/>
        <w:adjustRightInd w:val="0"/>
        <w:spacing w:line="440" w:lineRule="exact"/>
        <w:ind w:firstLine="420" w:firstLineChars="200"/>
        <w:rPr>
          <w:rFonts w:ascii="宋体" w:hAnsi="宋体" w:cs="宋体"/>
          <w:szCs w:val="21"/>
        </w:rPr>
      </w:pPr>
      <w:r>
        <w:rPr>
          <w:rFonts w:hint="eastAsia" w:ascii="宋体" w:hAnsi="宋体" w:cs="宋体"/>
          <w:szCs w:val="21"/>
        </w:rPr>
        <w:t>法定代表人(签字或盖章)：　　　　　法定代表人(签字或盖章)：</w:t>
      </w:r>
    </w:p>
    <w:p>
      <w:pPr>
        <w:autoSpaceDE w:val="0"/>
        <w:autoSpaceDN w:val="0"/>
        <w:adjustRightInd w:val="0"/>
        <w:spacing w:line="440" w:lineRule="exact"/>
        <w:ind w:firstLine="420" w:firstLineChars="200"/>
        <w:rPr>
          <w:rFonts w:ascii="宋体" w:hAnsi="宋体" w:cs="宋体"/>
          <w:szCs w:val="21"/>
        </w:rPr>
      </w:pPr>
      <w:r>
        <w:rPr>
          <w:rFonts w:hint="eastAsia" w:ascii="宋体" w:hAnsi="宋体" w:cs="宋体"/>
          <w:szCs w:val="21"/>
        </w:rPr>
        <w:t>　　年　月　日　　　　　　　　　　　年　月　日</w:t>
      </w:r>
    </w:p>
    <w:p>
      <w:pPr>
        <w:spacing w:before="120" w:beforeLines="50" w:after="120" w:afterLines="50" w:line="440" w:lineRule="exact"/>
        <w:jc w:val="center"/>
        <w:rPr>
          <w:rFonts w:hAnsi="宋体" w:cs="宋体"/>
          <w:b/>
          <w:sz w:val="32"/>
          <w:szCs w:val="32"/>
        </w:rPr>
      </w:pPr>
    </w:p>
    <w:p>
      <w:pPr>
        <w:spacing w:before="120" w:beforeLines="50" w:after="120" w:afterLines="50" w:line="440" w:lineRule="exact"/>
        <w:jc w:val="center"/>
        <w:rPr>
          <w:rFonts w:hAnsi="宋体" w:cs="宋体"/>
          <w:b/>
          <w:sz w:val="32"/>
          <w:szCs w:val="32"/>
        </w:rPr>
      </w:pPr>
    </w:p>
    <w:p>
      <w:pPr>
        <w:spacing w:before="120" w:beforeLines="50" w:after="120" w:afterLines="50" w:line="440" w:lineRule="exact"/>
        <w:jc w:val="center"/>
        <w:rPr>
          <w:rFonts w:hAnsi="宋体" w:cs="宋体"/>
          <w:b/>
          <w:sz w:val="32"/>
          <w:szCs w:val="32"/>
        </w:rPr>
      </w:pPr>
    </w:p>
    <w:p>
      <w:pPr>
        <w:spacing w:before="120" w:beforeLines="50" w:after="120" w:afterLines="50" w:line="440" w:lineRule="exact"/>
        <w:jc w:val="center"/>
        <w:rPr>
          <w:rFonts w:hAnsi="宋体" w:cs="宋体"/>
          <w:b/>
          <w:sz w:val="32"/>
          <w:szCs w:val="32"/>
        </w:rPr>
      </w:pPr>
    </w:p>
    <w:p>
      <w:pPr>
        <w:jc w:val="center"/>
        <w:rPr>
          <w:rFonts w:ascii="宋体"/>
          <w:b/>
          <w:kern w:val="0"/>
          <w:sz w:val="32"/>
          <w:szCs w:val="32"/>
        </w:rPr>
      </w:pPr>
    </w:p>
    <w:p>
      <w:pPr>
        <w:jc w:val="center"/>
        <w:rPr>
          <w:rFonts w:ascii="宋体"/>
          <w:b/>
          <w:kern w:val="0"/>
          <w:sz w:val="32"/>
          <w:szCs w:val="32"/>
        </w:rPr>
      </w:pPr>
    </w:p>
    <w:p>
      <w:pPr>
        <w:rPr>
          <w:rFonts w:hAnsi="宋体" w:cs="宋体"/>
        </w:rPr>
      </w:pPr>
      <w:r>
        <w:rPr>
          <w:rFonts w:hint="eastAsia" w:hAnsi="宋体" w:cs="宋体"/>
        </w:rPr>
        <w:br w:type="page"/>
      </w:r>
    </w:p>
    <w:p>
      <w:pPr>
        <w:rPr>
          <w:rFonts w:hAnsi="宋体" w:cs="宋体"/>
        </w:rPr>
      </w:pPr>
      <w:r>
        <w:rPr>
          <w:rFonts w:hint="eastAsia" w:hAnsi="宋体" w:cs="宋体"/>
        </w:rPr>
        <w:t xml:space="preserve">附件5：                  </w:t>
      </w:r>
    </w:p>
    <w:p>
      <w:pPr>
        <w:ind w:firstLine="3052" w:firstLineChars="950"/>
        <w:rPr>
          <w:rFonts w:hAnsi="宋体" w:cs="宋体"/>
        </w:rPr>
      </w:pPr>
      <w:r>
        <w:rPr>
          <w:rFonts w:hint="eastAsia" w:ascii="宋体" w:hAnsi="宋体"/>
          <w:b/>
          <w:kern w:val="0"/>
          <w:sz w:val="32"/>
          <w:szCs w:val="20"/>
        </w:rPr>
        <w:t>计划投入的主要施工机械设备表</w:t>
      </w:r>
    </w:p>
    <w:p>
      <w:pPr>
        <w:ind w:firstLine="3855" w:firstLineChars="1200"/>
        <w:rPr>
          <w:rFonts w:ascii="宋体"/>
          <w:b/>
          <w:kern w:val="0"/>
          <w:sz w:val="32"/>
          <w:szCs w:val="32"/>
        </w:rPr>
      </w:pPr>
    </w:p>
    <w:tbl>
      <w:tblPr>
        <w:tblStyle w:val="5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8"/>
        <w:gridCol w:w="1700"/>
        <w:gridCol w:w="700"/>
        <w:gridCol w:w="700"/>
        <w:gridCol w:w="900"/>
        <w:gridCol w:w="900"/>
        <w:gridCol w:w="1100"/>
        <w:gridCol w:w="1100"/>
        <w:gridCol w:w="1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 w:type="dxa"/>
          </w:tcPr>
          <w:p>
            <w:pPr>
              <w:adjustRightInd w:val="0"/>
              <w:spacing w:line="360" w:lineRule="auto"/>
              <w:jc w:val="center"/>
              <w:textAlignment w:val="baseline"/>
              <w:rPr>
                <w:rFonts w:ascii="宋体" w:hAnsi="宋体" w:eastAsia="等线" w:cs="宋体"/>
                <w:kern w:val="0"/>
                <w:position w:val="-32"/>
                <w:sz w:val="23"/>
                <w:szCs w:val="20"/>
              </w:rPr>
            </w:pPr>
            <w:r>
              <w:rPr>
                <w:rFonts w:hint="eastAsia" w:ascii="宋体" w:hAnsi="宋体" w:eastAsia="等线" w:cs="宋体"/>
                <w:kern w:val="0"/>
                <w:position w:val="-32"/>
                <w:sz w:val="23"/>
                <w:szCs w:val="20"/>
              </w:rPr>
              <w:t>序号</w:t>
            </w:r>
          </w:p>
        </w:tc>
        <w:tc>
          <w:tcPr>
            <w:tcW w:w="1700" w:type="dxa"/>
          </w:tcPr>
          <w:p>
            <w:pPr>
              <w:adjustRightInd w:val="0"/>
              <w:spacing w:line="360" w:lineRule="auto"/>
              <w:jc w:val="center"/>
              <w:textAlignment w:val="baseline"/>
              <w:rPr>
                <w:rFonts w:ascii="宋体" w:hAnsi="宋体" w:eastAsia="等线" w:cs="宋体"/>
                <w:kern w:val="0"/>
                <w:position w:val="-50"/>
                <w:sz w:val="23"/>
                <w:szCs w:val="20"/>
              </w:rPr>
            </w:pPr>
            <w:r>
              <w:rPr>
                <w:rFonts w:hint="eastAsia" w:ascii="宋体" w:hAnsi="宋体" w:eastAsia="等线" w:cs="宋体"/>
                <w:kern w:val="0"/>
                <w:position w:val="-50"/>
                <w:sz w:val="23"/>
                <w:szCs w:val="20"/>
              </w:rPr>
              <w:t>机械设备名称</w:t>
            </w:r>
          </w:p>
        </w:tc>
        <w:tc>
          <w:tcPr>
            <w:tcW w:w="700" w:type="dxa"/>
          </w:tcPr>
          <w:p>
            <w:pPr>
              <w:adjustRightInd w:val="0"/>
              <w:spacing w:line="360" w:lineRule="auto"/>
              <w:jc w:val="center"/>
              <w:textAlignment w:val="baseline"/>
              <w:rPr>
                <w:rFonts w:ascii="宋体" w:hAnsi="宋体" w:eastAsia="等线" w:cs="宋体"/>
                <w:kern w:val="0"/>
                <w:position w:val="-30"/>
                <w:sz w:val="23"/>
                <w:szCs w:val="20"/>
              </w:rPr>
            </w:pPr>
            <w:r>
              <w:rPr>
                <w:rFonts w:hint="eastAsia" w:ascii="宋体" w:hAnsi="宋体" w:eastAsia="等线" w:cs="宋体"/>
                <w:kern w:val="0"/>
                <w:position w:val="-30"/>
                <w:sz w:val="23"/>
                <w:szCs w:val="20"/>
              </w:rPr>
              <w:t>型号规格</w:t>
            </w:r>
          </w:p>
        </w:tc>
        <w:tc>
          <w:tcPr>
            <w:tcW w:w="700" w:type="dxa"/>
          </w:tcPr>
          <w:p>
            <w:pPr>
              <w:adjustRightInd w:val="0"/>
              <w:spacing w:line="360" w:lineRule="auto"/>
              <w:jc w:val="center"/>
              <w:textAlignment w:val="baseline"/>
              <w:rPr>
                <w:rFonts w:ascii="宋体" w:hAnsi="宋体" w:eastAsia="等线" w:cs="宋体"/>
                <w:kern w:val="0"/>
                <w:position w:val="-50"/>
                <w:sz w:val="23"/>
                <w:szCs w:val="20"/>
              </w:rPr>
            </w:pPr>
            <w:r>
              <w:rPr>
                <w:rFonts w:hint="eastAsia" w:ascii="宋体" w:hAnsi="宋体" w:eastAsia="等线" w:cs="宋体"/>
                <w:kern w:val="0"/>
                <w:position w:val="-50"/>
                <w:sz w:val="23"/>
                <w:szCs w:val="20"/>
              </w:rPr>
              <w:t>数量</w:t>
            </w:r>
          </w:p>
        </w:tc>
        <w:tc>
          <w:tcPr>
            <w:tcW w:w="900" w:type="dxa"/>
          </w:tcPr>
          <w:p>
            <w:pPr>
              <w:adjustRightInd w:val="0"/>
              <w:spacing w:line="360" w:lineRule="auto"/>
              <w:jc w:val="center"/>
              <w:textAlignment w:val="baseline"/>
              <w:rPr>
                <w:rFonts w:ascii="宋体" w:hAnsi="宋体" w:eastAsia="等线" w:cs="宋体"/>
                <w:kern w:val="0"/>
                <w:position w:val="-30"/>
                <w:sz w:val="23"/>
                <w:szCs w:val="20"/>
              </w:rPr>
            </w:pPr>
            <w:r>
              <w:rPr>
                <w:rFonts w:hint="eastAsia" w:ascii="宋体" w:hAnsi="宋体" w:eastAsia="等线" w:cs="宋体"/>
                <w:kern w:val="0"/>
                <w:position w:val="-30"/>
                <w:sz w:val="23"/>
                <w:szCs w:val="20"/>
              </w:rPr>
              <w:t>国 别</w:t>
            </w:r>
          </w:p>
          <w:p>
            <w:pPr>
              <w:adjustRightInd w:val="0"/>
              <w:spacing w:line="360" w:lineRule="auto"/>
              <w:jc w:val="center"/>
              <w:textAlignment w:val="baseline"/>
              <w:rPr>
                <w:rFonts w:ascii="宋体" w:hAnsi="宋体" w:eastAsia="等线" w:cs="宋体"/>
                <w:kern w:val="0"/>
                <w:position w:val="-30"/>
                <w:sz w:val="23"/>
                <w:szCs w:val="20"/>
              </w:rPr>
            </w:pPr>
            <w:r>
              <w:rPr>
                <w:rFonts w:hint="eastAsia" w:ascii="宋体" w:hAnsi="宋体" w:eastAsia="等线" w:cs="宋体"/>
                <w:kern w:val="0"/>
                <w:position w:val="-30"/>
                <w:sz w:val="23"/>
                <w:szCs w:val="20"/>
              </w:rPr>
              <w:t>产 地</w:t>
            </w:r>
          </w:p>
        </w:tc>
        <w:tc>
          <w:tcPr>
            <w:tcW w:w="900" w:type="dxa"/>
          </w:tcPr>
          <w:p>
            <w:pPr>
              <w:adjustRightInd w:val="0"/>
              <w:spacing w:line="360" w:lineRule="auto"/>
              <w:jc w:val="center"/>
              <w:textAlignment w:val="baseline"/>
              <w:rPr>
                <w:rFonts w:ascii="宋体" w:hAnsi="宋体" w:eastAsia="等线" w:cs="宋体"/>
                <w:kern w:val="0"/>
                <w:position w:val="-30"/>
                <w:sz w:val="23"/>
                <w:szCs w:val="20"/>
              </w:rPr>
            </w:pPr>
            <w:r>
              <w:rPr>
                <w:rFonts w:hint="eastAsia" w:ascii="宋体" w:hAnsi="宋体" w:eastAsia="等线" w:cs="宋体"/>
                <w:kern w:val="0"/>
                <w:position w:val="-30"/>
                <w:sz w:val="23"/>
                <w:szCs w:val="20"/>
              </w:rPr>
              <w:t>制 造</w:t>
            </w:r>
          </w:p>
          <w:p>
            <w:pPr>
              <w:adjustRightInd w:val="0"/>
              <w:spacing w:line="360" w:lineRule="auto"/>
              <w:jc w:val="center"/>
              <w:textAlignment w:val="baseline"/>
              <w:rPr>
                <w:rFonts w:ascii="宋体" w:hAnsi="宋体" w:eastAsia="等线" w:cs="宋体"/>
                <w:kern w:val="0"/>
                <w:position w:val="-30"/>
                <w:sz w:val="23"/>
                <w:szCs w:val="20"/>
              </w:rPr>
            </w:pPr>
            <w:r>
              <w:rPr>
                <w:rFonts w:hint="eastAsia" w:ascii="宋体" w:hAnsi="宋体" w:eastAsia="等线" w:cs="宋体"/>
                <w:kern w:val="0"/>
                <w:position w:val="-30"/>
                <w:sz w:val="23"/>
                <w:szCs w:val="20"/>
              </w:rPr>
              <w:t>年 份</w:t>
            </w:r>
          </w:p>
        </w:tc>
        <w:tc>
          <w:tcPr>
            <w:tcW w:w="1100" w:type="dxa"/>
          </w:tcPr>
          <w:p>
            <w:pPr>
              <w:adjustRightInd w:val="0"/>
              <w:spacing w:line="360" w:lineRule="auto"/>
              <w:jc w:val="center"/>
              <w:textAlignment w:val="baseline"/>
              <w:rPr>
                <w:rFonts w:ascii="宋体" w:hAnsi="宋体" w:eastAsia="等线" w:cs="宋体"/>
                <w:kern w:val="0"/>
                <w:position w:val="-30"/>
                <w:szCs w:val="20"/>
              </w:rPr>
            </w:pPr>
            <w:r>
              <w:rPr>
                <w:rFonts w:hint="eastAsia" w:ascii="宋体" w:hAnsi="宋体" w:eastAsia="等线" w:cs="宋体"/>
                <w:kern w:val="0"/>
                <w:position w:val="-30"/>
                <w:szCs w:val="20"/>
              </w:rPr>
              <w:t>额定功率(KW)</w:t>
            </w:r>
          </w:p>
        </w:tc>
        <w:tc>
          <w:tcPr>
            <w:tcW w:w="1100" w:type="dxa"/>
          </w:tcPr>
          <w:p>
            <w:pPr>
              <w:adjustRightInd w:val="0"/>
              <w:spacing w:line="360" w:lineRule="auto"/>
              <w:jc w:val="center"/>
              <w:textAlignment w:val="baseline"/>
              <w:rPr>
                <w:rFonts w:ascii="宋体" w:hAnsi="宋体" w:eastAsia="等线" w:cs="宋体"/>
                <w:kern w:val="0"/>
                <w:position w:val="-30"/>
                <w:szCs w:val="20"/>
              </w:rPr>
            </w:pPr>
            <w:r>
              <w:rPr>
                <w:rFonts w:hint="eastAsia" w:ascii="宋体" w:hAnsi="宋体" w:eastAsia="等线" w:cs="宋体"/>
                <w:kern w:val="0"/>
                <w:position w:val="-30"/>
                <w:szCs w:val="20"/>
              </w:rPr>
              <w:t>生产能力(MH)</w:t>
            </w:r>
          </w:p>
        </w:tc>
        <w:tc>
          <w:tcPr>
            <w:tcW w:w="1600" w:type="dxa"/>
          </w:tcPr>
          <w:p>
            <w:pPr>
              <w:adjustRightInd w:val="0"/>
              <w:spacing w:line="360" w:lineRule="auto"/>
              <w:jc w:val="center"/>
              <w:textAlignment w:val="baseline"/>
              <w:rPr>
                <w:rFonts w:ascii="宋体" w:hAnsi="宋体" w:eastAsia="等线" w:cs="宋体"/>
                <w:kern w:val="0"/>
                <w:position w:val="-50"/>
                <w:sz w:val="23"/>
                <w:szCs w:val="20"/>
              </w:rPr>
            </w:pPr>
            <w:r>
              <w:rPr>
                <w:rFonts w:hint="eastAsia" w:ascii="宋体" w:hAnsi="宋体" w:eastAsia="等线" w:cs="宋体"/>
                <w:kern w:val="0"/>
                <w:position w:val="-50"/>
                <w:sz w:val="23"/>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adjustRightInd w:val="0"/>
              <w:spacing w:line="360" w:lineRule="auto"/>
              <w:textAlignment w:val="baseline"/>
              <w:rPr>
                <w:rFonts w:ascii="宋体" w:hAnsi="宋体" w:eastAsia="等线" w:cs="宋体"/>
                <w:kern w:val="0"/>
                <w:sz w:val="25"/>
                <w:szCs w:val="20"/>
              </w:rPr>
            </w:pPr>
          </w:p>
        </w:tc>
        <w:tc>
          <w:tcPr>
            <w:tcW w:w="1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7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9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100" w:type="dxa"/>
          </w:tcPr>
          <w:p>
            <w:pPr>
              <w:adjustRightInd w:val="0"/>
              <w:spacing w:line="360" w:lineRule="auto"/>
              <w:textAlignment w:val="baseline"/>
              <w:rPr>
                <w:rFonts w:ascii="宋体" w:hAnsi="宋体" w:eastAsia="等线" w:cs="宋体"/>
                <w:kern w:val="0"/>
                <w:sz w:val="25"/>
                <w:szCs w:val="20"/>
              </w:rPr>
            </w:pPr>
          </w:p>
        </w:tc>
        <w:tc>
          <w:tcPr>
            <w:tcW w:w="1600" w:type="dxa"/>
          </w:tcPr>
          <w:p>
            <w:pPr>
              <w:adjustRightInd w:val="0"/>
              <w:spacing w:line="360" w:lineRule="auto"/>
              <w:textAlignment w:val="baseline"/>
              <w:rPr>
                <w:rFonts w:ascii="宋体" w:hAnsi="宋体" w:eastAsia="等线" w:cs="宋体"/>
                <w:kern w:val="0"/>
                <w:sz w:val="25"/>
                <w:szCs w:val="20"/>
              </w:rPr>
            </w:pPr>
          </w:p>
        </w:tc>
      </w:tr>
    </w:tbl>
    <w:p>
      <w:pPr>
        <w:spacing w:before="120" w:beforeLines="50" w:after="120" w:afterLines="50" w:line="440" w:lineRule="exact"/>
        <w:jc w:val="center"/>
        <w:rPr>
          <w:rFonts w:hAnsi="宋体" w:cs="宋体"/>
          <w:b/>
          <w:sz w:val="32"/>
          <w:szCs w:val="32"/>
        </w:rPr>
      </w:pPr>
    </w:p>
    <w:p>
      <w:pPr>
        <w:adjustRightInd w:val="0"/>
        <w:spacing w:after="284" w:line="420" w:lineRule="atLeast"/>
        <w:jc w:val="center"/>
        <w:textAlignment w:val="baseline"/>
        <w:rPr>
          <w:rFonts w:ascii="宋体" w:hAnsi="宋体"/>
          <w:b/>
          <w:kern w:val="0"/>
          <w:sz w:val="32"/>
          <w:szCs w:val="20"/>
        </w:rPr>
      </w:pPr>
    </w:p>
    <w:p>
      <w:pPr>
        <w:adjustRightInd w:val="0"/>
        <w:spacing w:after="284" w:line="420" w:lineRule="atLeast"/>
        <w:textAlignment w:val="baseline"/>
        <w:rPr>
          <w:rFonts w:hAnsi="宋体" w:cs="宋体"/>
        </w:rPr>
      </w:pPr>
    </w:p>
    <w:p>
      <w:pPr>
        <w:adjustRightInd w:val="0"/>
        <w:spacing w:after="284" w:line="420" w:lineRule="atLeast"/>
        <w:textAlignment w:val="baseline"/>
        <w:rPr>
          <w:rFonts w:ascii="宋体" w:hAnsi="宋体"/>
          <w:b/>
          <w:kern w:val="0"/>
          <w:sz w:val="32"/>
          <w:szCs w:val="20"/>
        </w:rPr>
      </w:pPr>
      <w:r>
        <w:rPr>
          <w:rFonts w:hint="eastAsia" w:hAnsi="宋体" w:cs="宋体"/>
        </w:rPr>
        <w:t xml:space="preserve">附件6：                   </w:t>
      </w:r>
      <w:r>
        <w:rPr>
          <w:rFonts w:hint="eastAsia" w:ascii="宋体" w:hAnsi="宋体"/>
          <w:b/>
          <w:kern w:val="0"/>
          <w:sz w:val="32"/>
          <w:szCs w:val="20"/>
        </w:rPr>
        <w:t>主要施工管理人员表</w:t>
      </w:r>
    </w:p>
    <w:tbl>
      <w:tblPr>
        <w:tblStyle w:val="57"/>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1804"/>
        <w:gridCol w:w="849"/>
        <w:gridCol w:w="849"/>
        <w:gridCol w:w="849"/>
        <w:gridCol w:w="38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trPr>
        <w:tc>
          <w:tcPr>
            <w:tcW w:w="689" w:type="dxa"/>
            <w:tcBorders>
              <w:top w:val="single" w:color="auto" w:sz="12" w:space="0"/>
              <w:left w:val="single" w:color="auto" w:sz="12" w:space="0"/>
              <w:bottom w:val="double" w:color="auto" w:sz="4" w:space="0"/>
              <w:right w:val="single" w:color="auto" w:sz="4" w:space="0"/>
            </w:tcBorders>
            <w:vAlign w:val="center"/>
          </w:tcPr>
          <w:p>
            <w:pPr>
              <w:jc w:val="center"/>
              <w:rPr>
                <w:rFonts w:ascii="宋体" w:hAnsi="宋体"/>
                <w:sz w:val="24"/>
              </w:rPr>
            </w:pPr>
            <w:r>
              <w:rPr>
                <w:rFonts w:hint="eastAsia" w:ascii="宋体" w:hAnsi="宋体"/>
                <w:sz w:val="24"/>
              </w:rPr>
              <w:t>机构</w:t>
            </w:r>
          </w:p>
        </w:tc>
        <w:tc>
          <w:tcPr>
            <w:tcW w:w="1804" w:type="dxa"/>
            <w:tcBorders>
              <w:top w:val="single" w:color="auto" w:sz="12" w:space="0"/>
              <w:left w:val="single" w:color="auto" w:sz="4" w:space="0"/>
              <w:bottom w:val="double" w:color="auto" w:sz="4" w:space="0"/>
              <w:right w:val="single" w:color="auto" w:sz="4" w:space="0"/>
            </w:tcBorders>
            <w:vAlign w:val="center"/>
          </w:tcPr>
          <w:p>
            <w:pPr>
              <w:jc w:val="center"/>
              <w:rPr>
                <w:rFonts w:ascii="宋体" w:hAnsi="宋体"/>
                <w:sz w:val="24"/>
              </w:rPr>
            </w:pPr>
            <w:r>
              <w:rPr>
                <w:rFonts w:hint="eastAsia" w:ascii="宋体" w:hAnsi="宋体"/>
                <w:sz w:val="24"/>
              </w:rPr>
              <w:t>项目工程师</w:t>
            </w:r>
          </w:p>
        </w:tc>
        <w:tc>
          <w:tcPr>
            <w:tcW w:w="849" w:type="dxa"/>
            <w:tcBorders>
              <w:top w:val="single" w:color="auto" w:sz="12" w:space="0"/>
              <w:left w:val="single" w:color="auto" w:sz="4" w:space="0"/>
              <w:bottom w:val="double" w:color="auto" w:sz="4" w:space="0"/>
              <w:right w:val="single" w:color="auto" w:sz="4" w:space="0"/>
            </w:tcBorders>
            <w:vAlign w:val="center"/>
          </w:tcPr>
          <w:p>
            <w:pPr>
              <w:jc w:val="center"/>
              <w:rPr>
                <w:rFonts w:ascii="宋体" w:hAnsi="宋体"/>
                <w:sz w:val="24"/>
              </w:rPr>
            </w:pPr>
            <w:r>
              <w:rPr>
                <w:rFonts w:hint="eastAsia" w:ascii="宋体" w:hAnsi="宋体"/>
                <w:sz w:val="24"/>
              </w:rPr>
              <w:t>姓名</w:t>
            </w:r>
          </w:p>
        </w:tc>
        <w:tc>
          <w:tcPr>
            <w:tcW w:w="849" w:type="dxa"/>
            <w:tcBorders>
              <w:top w:val="single" w:color="auto" w:sz="12" w:space="0"/>
              <w:left w:val="single" w:color="auto" w:sz="4" w:space="0"/>
              <w:bottom w:val="double" w:color="auto" w:sz="4" w:space="0"/>
              <w:right w:val="single" w:color="auto" w:sz="4" w:space="0"/>
            </w:tcBorders>
            <w:vAlign w:val="center"/>
          </w:tcPr>
          <w:p>
            <w:pPr>
              <w:jc w:val="center"/>
              <w:rPr>
                <w:rFonts w:ascii="宋体" w:hAnsi="宋体"/>
                <w:sz w:val="24"/>
              </w:rPr>
            </w:pPr>
            <w:r>
              <w:rPr>
                <w:rFonts w:hint="eastAsia" w:ascii="宋体" w:hAnsi="宋体"/>
                <w:sz w:val="24"/>
              </w:rPr>
              <w:t>职务</w:t>
            </w:r>
          </w:p>
        </w:tc>
        <w:tc>
          <w:tcPr>
            <w:tcW w:w="849" w:type="dxa"/>
            <w:tcBorders>
              <w:top w:val="single" w:color="auto" w:sz="12" w:space="0"/>
              <w:left w:val="single" w:color="auto" w:sz="4" w:space="0"/>
              <w:bottom w:val="double" w:color="auto" w:sz="4" w:space="0"/>
              <w:right w:val="single" w:color="auto" w:sz="4" w:space="0"/>
            </w:tcBorders>
            <w:vAlign w:val="center"/>
          </w:tcPr>
          <w:p>
            <w:pPr>
              <w:jc w:val="center"/>
              <w:rPr>
                <w:rFonts w:ascii="宋体" w:hAnsi="宋体"/>
                <w:sz w:val="24"/>
              </w:rPr>
            </w:pPr>
            <w:r>
              <w:rPr>
                <w:rFonts w:hint="eastAsia" w:ascii="宋体" w:hAnsi="宋体"/>
                <w:sz w:val="24"/>
              </w:rPr>
              <w:t>职称</w:t>
            </w:r>
          </w:p>
        </w:tc>
        <w:tc>
          <w:tcPr>
            <w:tcW w:w="3808" w:type="dxa"/>
            <w:tcBorders>
              <w:top w:val="single" w:color="auto" w:sz="12" w:space="0"/>
              <w:left w:val="single" w:color="auto" w:sz="4" w:space="0"/>
              <w:bottom w:val="double" w:color="auto" w:sz="4" w:space="0"/>
              <w:right w:val="single" w:color="auto" w:sz="12" w:space="0"/>
            </w:tcBorders>
            <w:vAlign w:val="center"/>
          </w:tcPr>
          <w:p>
            <w:pPr>
              <w:jc w:val="center"/>
              <w:rPr>
                <w:rFonts w:ascii="宋体" w:hAnsi="宋体"/>
                <w:sz w:val="24"/>
              </w:rPr>
            </w:pPr>
            <w:r>
              <w:rPr>
                <w:rFonts w:hint="eastAsia" w:ascii="宋体" w:hAnsi="宋体"/>
                <w:sz w:val="24"/>
              </w:rPr>
              <w:t>主要资历、经验及承担过的工程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restart"/>
            <w:tcBorders>
              <w:top w:val="double" w:color="auto" w:sz="4" w:space="0"/>
              <w:left w:val="single" w:color="auto" w:sz="12"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总</w:t>
            </w:r>
          </w:p>
          <w:p>
            <w:pPr>
              <w:jc w:val="center"/>
              <w:rPr>
                <w:rFonts w:ascii="宋体" w:hAnsi="宋体"/>
                <w:sz w:val="24"/>
              </w:rPr>
            </w:pPr>
          </w:p>
          <w:p>
            <w:pPr>
              <w:jc w:val="center"/>
              <w:rPr>
                <w:rFonts w:ascii="宋体" w:hAnsi="宋体"/>
                <w:sz w:val="24"/>
              </w:rPr>
            </w:pPr>
          </w:p>
          <w:p>
            <w:pPr>
              <w:jc w:val="center"/>
              <w:rPr>
                <w:rFonts w:ascii="宋体" w:hAnsi="宋体"/>
                <w:sz w:val="24"/>
              </w:rPr>
            </w:pPr>
            <w:r>
              <w:rPr>
                <w:rFonts w:hint="eastAsia" w:ascii="宋体" w:hAnsi="宋体"/>
                <w:sz w:val="24"/>
              </w:rPr>
              <w:t>部</w:t>
            </w:r>
          </w:p>
        </w:tc>
        <w:tc>
          <w:tcPr>
            <w:tcW w:w="1804" w:type="dxa"/>
            <w:tcBorders>
              <w:top w:val="doub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项目主管</w:t>
            </w:r>
          </w:p>
        </w:tc>
        <w:tc>
          <w:tcPr>
            <w:tcW w:w="849" w:type="dxa"/>
            <w:tcBorders>
              <w:top w:val="doub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doub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doub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doub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技术负责人</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double" w:color="auto" w:sz="4" w:space="0"/>
              <w:left w:val="single" w:color="auto" w:sz="12" w:space="0"/>
              <w:bottom w:val="single" w:color="auto" w:sz="4"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restart"/>
            <w:tcBorders>
              <w:top w:val="single" w:color="auto" w:sz="4" w:space="0"/>
              <w:left w:val="single" w:color="auto" w:sz="12" w:space="0"/>
              <w:bottom w:val="single" w:color="auto" w:sz="12" w:space="0"/>
              <w:right w:val="single" w:color="auto" w:sz="4" w:space="0"/>
            </w:tcBorders>
            <w:vAlign w:val="center"/>
          </w:tcPr>
          <w:p>
            <w:pPr>
              <w:jc w:val="center"/>
              <w:rPr>
                <w:rFonts w:ascii="宋体" w:hAnsi="宋体"/>
                <w:sz w:val="24"/>
              </w:rPr>
            </w:pPr>
            <w:r>
              <w:rPr>
                <w:rFonts w:hint="eastAsia" w:ascii="宋体" w:hAnsi="宋体"/>
                <w:sz w:val="24"/>
              </w:rPr>
              <w:t>现</w:t>
            </w:r>
          </w:p>
          <w:p>
            <w:pPr>
              <w:jc w:val="center"/>
              <w:rPr>
                <w:rFonts w:ascii="宋体" w:hAnsi="宋体"/>
                <w:sz w:val="24"/>
              </w:rPr>
            </w:pPr>
          </w:p>
          <w:p>
            <w:pPr>
              <w:jc w:val="center"/>
              <w:rPr>
                <w:rFonts w:ascii="宋体" w:hAnsi="宋体"/>
                <w:sz w:val="24"/>
              </w:rPr>
            </w:pPr>
          </w:p>
          <w:p>
            <w:pPr>
              <w:jc w:val="center"/>
              <w:rPr>
                <w:rFonts w:ascii="宋体" w:hAnsi="宋体"/>
                <w:sz w:val="24"/>
              </w:rPr>
            </w:pPr>
            <w:r>
              <w:rPr>
                <w:rFonts w:hint="eastAsia" w:ascii="宋体" w:hAnsi="宋体"/>
                <w:sz w:val="24"/>
              </w:rPr>
              <w:t>场</w:t>
            </w: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项目负责人</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项目技术负责人</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质量管理</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安全管理</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施工管理</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 w:val="24"/>
              </w:rPr>
            </w:pPr>
            <w:r>
              <w:rPr>
                <w:rFonts w:hint="eastAsia" w:ascii="宋体" w:hAnsi="宋体"/>
                <w:sz w:val="24"/>
              </w:rPr>
              <w:t>计划管理</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r>
              <w:rPr>
                <w:rFonts w:hint="eastAsia" w:ascii="宋体" w:hAnsi="宋体"/>
                <w:kern w:val="0"/>
                <w:sz w:val="24"/>
                <w:szCs w:val="20"/>
              </w:rPr>
              <w:t>材料管理</w:t>
            </w: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4"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4" w:space="0"/>
              <w:right w:val="single" w:color="auto" w:sz="12" w:space="0"/>
            </w:tcBorders>
            <w:vAlign w:val="center"/>
          </w:tcPr>
          <w:p>
            <w:pPr>
              <w:jc w:val="center"/>
              <w:textAlignment w:val="baseline"/>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2" w:hRule="atLeast"/>
        </w:trPr>
        <w:tc>
          <w:tcPr>
            <w:tcW w:w="689" w:type="dxa"/>
            <w:vMerge w:val="continue"/>
            <w:tcBorders>
              <w:top w:val="single" w:color="auto" w:sz="4" w:space="0"/>
              <w:left w:val="single" w:color="auto" w:sz="12" w:space="0"/>
              <w:bottom w:val="single" w:color="auto" w:sz="12" w:space="0"/>
              <w:right w:val="single" w:color="auto" w:sz="4" w:space="0"/>
            </w:tcBorders>
            <w:vAlign w:val="center"/>
          </w:tcPr>
          <w:p>
            <w:pPr>
              <w:widowControl/>
              <w:jc w:val="left"/>
              <w:rPr>
                <w:rFonts w:ascii="宋体" w:hAnsi="宋体"/>
                <w:sz w:val="24"/>
              </w:rPr>
            </w:pPr>
          </w:p>
        </w:tc>
        <w:tc>
          <w:tcPr>
            <w:tcW w:w="1804" w:type="dxa"/>
            <w:tcBorders>
              <w:top w:val="single" w:color="auto" w:sz="4" w:space="0"/>
              <w:left w:val="single" w:color="auto" w:sz="4" w:space="0"/>
              <w:bottom w:val="single" w:color="auto" w:sz="12"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12"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12" w:space="0"/>
              <w:right w:val="single" w:color="auto" w:sz="4" w:space="0"/>
            </w:tcBorders>
            <w:vAlign w:val="center"/>
          </w:tcPr>
          <w:p>
            <w:pPr>
              <w:jc w:val="center"/>
              <w:textAlignment w:val="baseline"/>
              <w:rPr>
                <w:rFonts w:ascii="宋体" w:hAnsi="宋体"/>
                <w:sz w:val="24"/>
              </w:rPr>
            </w:pPr>
          </w:p>
        </w:tc>
        <w:tc>
          <w:tcPr>
            <w:tcW w:w="849" w:type="dxa"/>
            <w:tcBorders>
              <w:top w:val="single" w:color="auto" w:sz="4" w:space="0"/>
              <w:left w:val="single" w:color="auto" w:sz="4" w:space="0"/>
              <w:bottom w:val="single" w:color="auto" w:sz="12" w:space="0"/>
              <w:right w:val="single" w:color="auto" w:sz="4" w:space="0"/>
            </w:tcBorders>
            <w:vAlign w:val="center"/>
          </w:tcPr>
          <w:p>
            <w:pPr>
              <w:jc w:val="center"/>
              <w:textAlignment w:val="baseline"/>
              <w:rPr>
                <w:rFonts w:ascii="宋体" w:hAnsi="宋体"/>
                <w:sz w:val="24"/>
              </w:rPr>
            </w:pPr>
          </w:p>
        </w:tc>
        <w:tc>
          <w:tcPr>
            <w:tcW w:w="3808" w:type="dxa"/>
            <w:tcBorders>
              <w:top w:val="single" w:color="auto" w:sz="4" w:space="0"/>
              <w:left w:val="single" w:color="auto" w:sz="4" w:space="0"/>
              <w:bottom w:val="single" w:color="auto" w:sz="12" w:space="0"/>
              <w:right w:val="single" w:color="auto" w:sz="12" w:space="0"/>
            </w:tcBorders>
            <w:vAlign w:val="center"/>
          </w:tcPr>
          <w:p>
            <w:pPr>
              <w:jc w:val="center"/>
              <w:textAlignment w:val="baseline"/>
              <w:rPr>
                <w:rFonts w:ascii="宋体" w:hAnsi="宋体"/>
                <w:sz w:val="24"/>
              </w:rPr>
            </w:pPr>
          </w:p>
        </w:tc>
      </w:tr>
    </w:tbl>
    <w:p>
      <w:pPr>
        <w:rPr>
          <w:rFonts w:hAnsi="宋体" w:cs="宋体"/>
        </w:rPr>
      </w:pPr>
      <w:r>
        <w:rPr>
          <w:rFonts w:hint="eastAsia" w:hAnsi="宋体" w:cs="宋体"/>
        </w:rPr>
        <w:br w:type="page"/>
      </w:r>
    </w:p>
    <w:p>
      <w:pPr>
        <w:spacing w:line="400" w:lineRule="exact"/>
        <w:rPr>
          <w:rFonts w:hAnsi="宋体" w:cs="宋体"/>
          <w:b/>
          <w:bCs/>
        </w:rPr>
      </w:pPr>
      <w:r>
        <w:rPr>
          <w:rFonts w:hint="eastAsia" w:hAnsi="宋体" w:cs="宋体"/>
        </w:rPr>
        <w:t xml:space="preserve">附件7：    </w:t>
      </w:r>
    </w:p>
    <w:p>
      <w:pPr>
        <w:spacing w:line="440" w:lineRule="exact"/>
        <w:jc w:val="center"/>
        <w:rPr>
          <w:rFonts w:ascii="黑体" w:eastAsia="黑体"/>
          <w:b/>
          <w:bCs/>
          <w:sz w:val="32"/>
          <w:szCs w:val="32"/>
        </w:rPr>
      </w:pPr>
      <w:r>
        <w:rPr>
          <w:rFonts w:hint="eastAsia" w:ascii="黑体" w:eastAsia="黑体"/>
          <w:b/>
          <w:bCs/>
          <w:sz w:val="32"/>
          <w:szCs w:val="32"/>
        </w:rPr>
        <w:t>安全生产协议书</w:t>
      </w:r>
    </w:p>
    <w:p>
      <w:pPr>
        <w:snapToGrid w:val="0"/>
        <w:spacing w:line="420" w:lineRule="exact"/>
        <w:jc w:val="center"/>
        <w:rPr>
          <w:rFonts w:hAnsi="宋体"/>
        </w:rPr>
      </w:pPr>
      <w:r>
        <w:rPr>
          <w:rFonts w:hint="eastAsia" w:hAnsi="宋体"/>
        </w:rPr>
        <w:t>（发包人与承包人）</w:t>
      </w:r>
    </w:p>
    <w:p>
      <w:pPr>
        <w:widowControl/>
        <w:spacing w:line="420" w:lineRule="exact"/>
        <w:rPr>
          <w:rFonts w:hAnsi="宋体"/>
          <w:szCs w:val="21"/>
        </w:rPr>
      </w:pPr>
      <w:r>
        <w:rPr>
          <w:rFonts w:hint="eastAsia" w:hAnsi="宋体"/>
          <w:szCs w:val="21"/>
        </w:rPr>
        <w:t>发包人：（以下简称“甲方”）</w:t>
      </w:r>
    </w:p>
    <w:p>
      <w:pPr>
        <w:widowControl/>
        <w:spacing w:line="420" w:lineRule="exact"/>
        <w:rPr>
          <w:rFonts w:hAnsi="宋体"/>
          <w:u w:val="single"/>
        </w:rPr>
      </w:pPr>
      <w:r>
        <w:rPr>
          <w:rFonts w:hint="eastAsia" w:hAnsi="宋体"/>
        </w:rPr>
        <w:t>承包人：（以下简称“乙方”）</w:t>
      </w:r>
    </w:p>
    <w:p>
      <w:pPr>
        <w:snapToGrid w:val="0"/>
        <w:spacing w:line="420" w:lineRule="exact"/>
        <w:ind w:firstLine="420"/>
        <w:rPr>
          <w:rFonts w:hAnsi="宋体"/>
        </w:rPr>
      </w:pPr>
      <w:r>
        <w:rPr>
          <w:rFonts w:hint="eastAsia" w:hAnsi="宋体"/>
        </w:rPr>
        <w:t>为在施工合同的实施过程中创造安全、高效的施工环境，切实搞好本项目的安全管理工作，特此签订安全生产合同。具体如下：</w:t>
      </w:r>
    </w:p>
    <w:p>
      <w:pPr>
        <w:snapToGrid w:val="0"/>
        <w:spacing w:line="420" w:lineRule="exact"/>
        <w:ind w:firstLine="422"/>
        <w:rPr>
          <w:rFonts w:hAnsi="宋体"/>
          <w:b/>
        </w:rPr>
      </w:pPr>
      <w:r>
        <w:rPr>
          <w:rFonts w:hint="eastAsia" w:hAnsi="宋体"/>
          <w:b/>
        </w:rPr>
        <w:t>一、</w:t>
      </w:r>
      <w:r>
        <w:rPr>
          <w:rFonts w:hint="eastAsia" w:hAnsi="宋体"/>
        </w:rPr>
        <w:t>甲方职责</w:t>
      </w:r>
    </w:p>
    <w:p>
      <w:pPr>
        <w:snapToGrid w:val="0"/>
        <w:spacing w:line="420" w:lineRule="exact"/>
        <w:ind w:firstLine="420"/>
        <w:rPr>
          <w:rFonts w:hAnsi="宋体"/>
        </w:rPr>
      </w:pPr>
      <w:r>
        <w:rPr>
          <w:rFonts w:hint="eastAsia" w:hAnsi="宋体"/>
        </w:rPr>
        <w:t>1．严格遵守国家有关安全生产的法律法规，认真执行工程承包合同中的有关安全要求。</w:t>
      </w:r>
    </w:p>
    <w:p>
      <w:pPr>
        <w:snapToGrid w:val="0"/>
        <w:spacing w:line="420" w:lineRule="exact"/>
        <w:ind w:firstLine="420"/>
        <w:rPr>
          <w:rFonts w:hAnsi="宋体"/>
        </w:rPr>
      </w:pPr>
      <w:r>
        <w:rPr>
          <w:rFonts w:hint="eastAsia" w:hAnsi="宋体"/>
        </w:rPr>
        <w:t>2．按照“安全第一、预防为主”和坚持“管生产必需管安全”的原则进行安全生产管理，做到生产与安全工作同时计划、布置、检查、总结和评比。</w:t>
      </w:r>
    </w:p>
    <w:p>
      <w:pPr>
        <w:snapToGrid w:val="0"/>
        <w:spacing w:line="420" w:lineRule="exact"/>
        <w:ind w:firstLine="420"/>
        <w:rPr>
          <w:rFonts w:hAnsi="宋体"/>
        </w:rPr>
      </w:pPr>
      <w:r>
        <w:rPr>
          <w:rFonts w:hint="eastAsia" w:hAnsi="宋体"/>
        </w:rPr>
        <w:t>3．定期召开安全生产协调会，及时传达中央及地方有关安全生产的精神。</w:t>
      </w:r>
    </w:p>
    <w:p>
      <w:pPr>
        <w:snapToGrid w:val="0"/>
        <w:spacing w:line="420" w:lineRule="exact"/>
        <w:ind w:firstLine="420"/>
        <w:rPr>
          <w:rFonts w:hAnsi="宋体"/>
        </w:rPr>
      </w:pPr>
      <w:r>
        <w:rPr>
          <w:rFonts w:hint="eastAsia" w:hAnsi="宋体"/>
        </w:rPr>
        <w:t>4．组织对乙方施工现场安全生产检查，建立安全生产责任制网络、汇总重要危险源、监督乙方及时处理发现的各种安全隐患。</w:t>
      </w:r>
    </w:p>
    <w:p>
      <w:pPr>
        <w:snapToGrid w:val="0"/>
        <w:spacing w:line="420" w:lineRule="exact"/>
        <w:ind w:firstLine="422"/>
        <w:rPr>
          <w:rFonts w:hAnsi="宋体"/>
          <w:b/>
        </w:rPr>
      </w:pPr>
      <w:r>
        <w:rPr>
          <w:rFonts w:hint="eastAsia" w:hAnsi="宋体"/>
          <w:b/>
        </w:rPr>
        <w:t>二、</w:t>
      </w:r>
      <w:r>
        <w:rPr>
          <w:rFonts w:hint="eastAsia" w:hAnsi="宋体"/>
        </w:rPr>
        <w:t>乙方职责</w:t>
      </w:r>
    </w:p>
    <w:p>
      <w:pPr>
        <w:snapToGrid w:val="0"/>
        <w:spacing w:line="420" w:lineRule="exact"/>
        <w:ind w:firstLine="420"/>
        <w:rPr>
          <w:rFonts w:hAnsi="宋体"/>
        </w:rPr>
      </w:pPr>
      <w:r>
        <w:rPr>
          <w:rFonts w:hint="eastAsia" w:hAnsi="宋体"/>
        </w:rPr>
        <w:t>1．严格遵守国家有关安全生产的法律法规、有关安全生产的规定，认真执行工程承包合同中的有关安全要求，接受甲方和监理工程师对安全生产工作的指导。</w:t>
      </w:r>
    </w:p>
    <w:p>
      <w:pPr>
        <w:snapToGrid w:val="0"/>
        <w:spacing w:line="420" w:lineRule="exact"/>
        <w:ind w:firstLine="420"/>
        <w:rPr>
          <w:rFonts w:hAnsi="宋体"/>
        </w:rPr>
      </w:pPr>
      <w:r>
        <w:rPr>
          <w:rFonts w:hint="eastAsia" w:hAnsi="宋体"/>
        </w:rPr>
        <w:t>2．坚持“安全第一、预防为主”和“管生产必须管安全”的原则，加强安全生产宣传教育，增强全员安全生产意识，建立健全各项安全生产管理制度，配备专职及兼职安全检查人员，有组织有领导地开展安全生产活动。各级领导、工程技术人员、生产管理人员和具体操作人员，必须熟悉和遵守本条款的各项规定，做到生产与安全工作同时计划、布置、检查、总结和评比。</w:t>
      </w:r>
    </w:p>
    <w:p>
      <w:pPr>
        <w:snapToGrid w:val="0"/>
        <w:spacing w:line="420" w:lineRule="exact"/>
        <w:ind w:firstLine="420"/>
        <w:rPr>
          <w:rFonts w:hAnsi="宋体"/>
        </w:rPr>
      </w:pPr>
      <w:r>
        <w:rPr>
          <w:rFonts w:hint="eastAsia" w:hAnsi="宋体"/>
        </w:rPr>
        <w:t>3．建立健全安全生产责任制网络。从派往项目实施的项目经理到生产工人（包括临时雇请的民工）的安全生产管理系统必须做到纵向到底，一环不漏；各职能部门、人员的安全生产责任制做到横向到边，人人有责。施工单位的主要负责人是工程的安全生产负责人，对安全生产负领导责任，项目经理是工程的安全生产责任人，对安全生产负直接责任，专职安全员和安全员是工程现场的安全生产直接责任人，对安全生产具体负责。现场设置的安全机构，应按施工合同约定，配备安全员（其中专职安全员不少于1人），专职负责所有员工的安全和治安保卫工作及预防事故的发生。安全机构人员，有权按有关规定发布指令，并采取保护性措施防止事故发生。</w:t>
      </w:r>
    </w:p>
    <w:p>
      <w:pPr>
        <w:snapToGrid w:val="0"/>
        <w:spacing w:line="420" w:lineRule="exact"/>
        <w:ind w:firstLine="420"/>
        <w:rPr>
          <w:rFonts w:hAnsi="宋体"/>
        </w:rPr>
      </w:pPr>
      <w:r>
        <w:rPr>
          <w:rFonts w:hint="eastAsia" w:hAnsi="宋体"/>
        </w:rPr>
        <w:t>4．乙方在任何时侯都应采取各种合理的预防措施，防止其人员发生任何违法、违禁、暴力、违规或妨碍治安的行为。</w:t>
      </w:r>
    </w:p>
    <w:p>
      <w:pPr>
        <w:snapToGrid w:val="0"/>
        <w:spacing w:line="420" w:lineRule="exact"/>
        <w:ind w:firstLine="420"/>
        <w:rPr>
          <w:rFonts w:hAnsi="宋体"/>
        </w:rPr>
      </w:pPr>
      <w:r>
        <w:rPr>
          <w:rFonts w:hint="eastAsia" w:hAnsi="宋体"/>
        </w:rPr>
        <w:t>5．乙方必须具有省部级行政主管部门颁发的安全生产证书，参加施工的人员，必须按受安全技术教育，熟知和遵守本工程的各项安全技术操作规程，定期进行安全技术考核，合格者方准上岗操作，对于从事机动车驾驶、电气、起重、建筑登高架设作业、焊接等特殊工程的人员须持证上岗。施工现场如发现无证操作现象时，项目经理必须承担管理责任。</w:t>
      </w:r>
    </w:p>
    <w:p>
      <w:pPr>
        <w:snapToGrid w:val="0"/>
        <w:spacing w:line="420" w:lineRule="exact"/>
        <w:ind w:firstLine="420"/>
        <w:rPr>
          <w:rFonts w:hAnsi="宋体"/>
        </w:rPr>
      </w:pPr>
      <w:r>
        <w:rPr>
          <w:rFonts w:hint="eastAsia" w:hAnsi="宋体"/>
        </w:rPr>
        <w:t>6．加强施工中交通运输安全管理，各种运输机械等需划定运输路线行驶。</w:t>
      </w:r>
    </w:p>
    <w:p>
      <w:pPr>
        <w:snapToGrid w:val="0"/>
        <w:spacing w:line="420" w:lineRule="exact"/>
        <w:ind w:firstLine="420"/>
        <w:rPr>
          <w:rFonts w:hAnsi="宋体"/>
        </w:rPr>
      </w:pPr>
      <w:r>
        <w:rPr>
          <w:rFonts w:hint="eastAsia" w:hAnsi="宋体"/>
        </w:rPr>
        <w:t>7．对于易燃易爆的材料除应专门有效封闭、妥善保管之外，还应配备有足够的消防设施，所有施工人员都应熟悉消防设备的性能和使用方法。</w:t>
      </w:r>
    </w:p>
    <w:p>
      <w:pPr>
        <w:snapToGrid w:val="0"/>
        <w:spacing w:line="420" w:lineRule="exact"/>
        <w:ind w:firstLine="420"/>
        <w:rPr>
          <w:rFonts w:hAnsi="宋体"/>
        </w:rPr>
      </w:pPr>
      <w:r>
        <w:rPr>
          <w:rFonts w:hint="eastAsia" w:hAnsi="宋体"/>
        </w:rPr>
        <w:t>8．操作人员上岗，必须按规定穿戴防护用品。施工负责人和安全检查员应随时检查劳动防护用品的穿戴情况，不按规定穿戴防护用品的人员不得上岗。</w:t>
      </w:r>
    </w:p>
    <w:p>
      <w:pPr>
        <w:snapToGrid w:val="0"/>
        <w:spacing w:line="420" w:lineRule="exact"/>
        <w:ind w:firstLine="420"/>
        <w:rPr>
          <w:rFonts w:hAnsi="宋体"/>
        </w:rPr>
      </w:pPr>
      <w:r>
        <w:rPr>
          <w:rFonts w:hint="eastAsia" w:hAnsi="宋体"/>
        </w:rPr>
        <w:t>9．所有施工机具、设备和劳动保护用品应具备有效的安检合格证明，并经安全员签字同意后方可使用，施工期间应定期检查，保证其处于完好状态；不合格的机具、设备和劳动保护用品严禁使用。</w:t>
      </w:r>
    </w:p>
    <w:p>
      <w:pPr>
        <w:snapToGrid w:val="0"/>
        <w:spacing w:line="420" w:lineRule="exact"/>
        <w:ind w:firstLine="420"/>
        <w:rPr>
          <w:rFonts w:hAnsi="宋体"/>
        </w:rPr>
      </w:pPr>
      <w:r>
        <w:rPr>
          <w:rFonts w:hint="eastAsia" w:hAnsi="宋体"/>
        </w:rPr>
        <w:t>10．施工现场必须具有相关的安全标志牌。</w:t>
      </w:r>
    </w:p>
    <w:p>
      <w:pPr>
        <w:snapToGrid w:val="0"/>
        <w:spacing w:line="420" w:lineRule="exact"/>
        <w:ind w:firstLine="420"/>
        <w:rPr>
          <w:rFonts w:hAnsi="宋体"/>
        </w:rPr>
      </w:pPr>
      <w:r>
        <w:rPr>
          <w:rFonts w:hint="eastAsia" w:hAnsi="宋体"/>
        </w:rPr>
        <w:t>11．建立主要危险源备案制度，要明确潜在隐患、防范措施和落实责任人。</w:t>
      </w:r>
    </w:p>
    <w:p>
      <w:pPr>
        <w:snapToGrid w:val="0"/>
        <w:spacing w:line="420" w:lineRule="exact"/>
        <w:ind w:firstLine="420"/>
        <w:rPr>
          <w:rFonts w:hAnsi="宋体"/>
        </w:rPr>
      </w:pPr>
      <w:r>
        <w:rPr>
          <w:rFonts w:hint="eastAsia" w:hAnsi="宋体"/>
        </w:rPr>
        <w:t>12．乙方必须按照本工程项目特点，组织制定本工程实施中的生产安全事故应急救援预案；如果发生安全事故，应按照《国务院关于特大安全事故行政责任追究的规定》以及其它有关规定，及时上报有关部门，并坚持“三不放过”的原则，严肃处理相关责任人。</w:t>
      </w:r>
    </w:p>
    <w:p>
      <w:pPr>
        <w:snapToGrid w:val="0"/>
        <w:spacing w:line="420" w:lineRule="exact"/>
        <w:ind w:firstLine="422"/>
        <w:rPr>
          <w:rFonts w:hAnsi="宋体"/>
          <w:b/>
        </w:rPr>
      </w:pPr>
      <w:r>
        <w:rPr>
          <w:rFonts w:hint="eastAsia" w:hAnsi="宋体"/>
          <w:b/>
        </w:rPr>
        <w:t>三、</w:t>
      </w:r>
      <w:r>
        <w:rPr>
          <w:rFonts w:hint="eastAsia" w:hAnsi="宋体"/>
        </w:rPr>
        <w:t>违约责任</w:t>
      </w:r>
    </w:p>
    <w:p>
      <w:pPr>
        <w:snapToGrid w:val="0"/>
        <w:spacing w:line="420" w:lineRule="exact"/>
        <w:ind w:firstLine="420"/>
        <w:rPr>
          <w:rFonts w:hAnsi="宋体"/>
        </w:rPr>
      </w:pPr>
      <w:r>
        <w:rPr>
          <w:rFonts w:hint="eastAsia" w:hAnsi="宋体"/>
        </w:rPr>
        <w:t>如因甲方或乙方违约造成安全事故，将报请有关部门依法追究责任。</w:t>
      </w:r>
    </w:p>
    <w:p>
      <w:pPr>
        <w:snapToGrid w:val="0"/>
        <w:spacing w:line="420" w:lineRule="exact"/>
        <w:ind w:firstLine="420"/>
        <w:rPr>
          <w:rFonts w:hAnsi="宋体"/>
        </w:rPr>
      </w:pPr>
      <w:r>
        <w:rPr>
          <w:rFonts w:hint="eastAsia" w:hAnsi="宋体"/>
        </w:rPr>
        <w:t>本合同一式二份，由双方法定代表人或其授权的代理人签署和加盖公章后生效，全部工程竣工验收后失效。</w:t>
      </w:r>
    </w:p>
    <w:p>
      <w:pPr>
        <w:snapToGrid w:val="0"/>
        <w:spacing w:line="420" w:lineRule="exact"/>
        <w:ind w:firstLine="420"/>
        <w:rPr>
          <w:rFonts w:hAnsi="宋体"/>
        </w:rPr>
      </w:pPr>
    </w:p>
    <w:p>
      <w:pPr>
        <w:snapToGrid w:val="0"/>
        <w:spacing w:line="420" w:lineRule="exact"/>
        <w:ind w:firstLine="420"/>
        <w:rPr>
          <w:rFonts w:hAnsi="宋体"/>
        </w:rPr>
      </w:pPr>
      <w:r>
        <w:rPr>
          <w:rFonts w:hint="eastAsia" w:hAnsi="宋体"/>
        </w:rPr>
        <w:t xml:space="preserve">甲      方：                         乙    方：                     </w:t>
      </w:r>
    </w:p>
    <w:p>
      <w:pPr>
        <w:snapToGrid w:val="0"/>
        <w:spacing w:line="420" w:lineRule="exact"/>
        <w:ind w:firstLine="420"/>
        <w:rPr>
          <w:rFonts w:hAnsi="宋体"/>
        </w:rPr>
      </w:pPr>
      <w:r>
        <w:rPr>
          <w:rFonts w:hint="eastAsia" w:hAnsi="宋体"/>
        </w:rPr>
        <w:t>法定代表人（或授权代理人）：         法定代表人（或授权代理人）：</w:t>
      </w:r>
    </w:p>
    <w:p>
      <w:pPr>
        <w:snapToGrid w:val="0"/>
        <w:spacing w:line="420" w:lineRule="exact"/>
        <w:ind w:firstLine="420"/>
        <w:rPr>
          <w:rFonts w:hAnsi="宋体"/>
        </w:rPr>
      </w:pPr>
      <w:r>
        <w:rPr>
          <w:rFonts w:hint="eastAsia" w:hAnsi="宋体"/>
        </w:rPr>
        <w:t xml:space="preserve">地       址：                        地     址：             </w:t>
      </w:r>
    </w:p>
    <w:p>
      <w:pPr>
        <w:snapToGrid w:val="0"/>
        <w:spacing w:line="420" w:lineRule="exact"/>
        <w:ind w:firstLine="420"/>
        <w:rPr>
          <w:rFonts w:hAnsi="宋体"/>
        </w:rPr>
      </w:pPr>
      <w:r>
        <w:rPr>
          <w:rFonts w:hint="eastAsia" w:hAnsi="宋体"/>
        </w:rPr>
        <w:t xml:space="preserve">电       话：                        电     话：              </w:t>
      </w:r>
    </w:p>
    <w:p>
      <w:pPr>
        <w:snapToGrid w:val="0"/>
        <w:spacing w:line="420" w:lineRule="exact"/>
        <w:ind w:firstLine="420"/>
        <w:rPr>
          <w:rFonts w:hAnsi="宋体"/>
        </w:rPr>
      </w:pPr>
    </w:p>
    <w:p>
      <w:pPr>
        <w:rPr>
          <w:rFonts w:hAnsi="宋体"/>
          <w:b/>
          <w:sz w:val="24"/>
        </w:rPr>
      </w:pPr>
      <w:r>
        <w:rPr>
          <w:rFonts w:hint="eastAsia" w:hAnsi="宋体"/>
        </w:rPr>
        <w:t>日     期：    年   月    日</w:t>
      </w:r>
    </w:p>
    <w:p>
      <w:pPr>
        <w:rPr>
          <w:rFonts w:hAnsi="宋体"/>
          <w:b/>
          <w:sz w:val="24"/>
        </w:rPr>
      </w:pPr>
      <w:r>
        <w:rPr>
          <w:rFonts w:hAnsi="宋体"/>
          <w:b/>
          <w:sz w:val="24"/>
        </w:rPr>
        <w:br w:type="page"/>
      </w:r>
    </w:p>
    <w:p>
      <w:pPr>
        <w:widowControl/>
        <w:spacing w:line="360" w:lineRule="auto"/>
        <w:jc w:val="center"/>
        <w:rPr>
          <w:b/>
          <w:bCs/>
          <w:sz w:val="24"/>
        </w:rPr>
      </w:pPr>
      <w:r>
        <w:rPr>
          <w:rFonts w:hAnsi="宋体"/>
          <w:b/>
          <w:sz w:val="36"/>
          <w:szCs w:val="36"/>
        </w:rPr>
        <w:t>第四章</w:t>
      </w:r>
      <w:r>
        <w:rPr>
          <w:rFonts w:hint="eastAsia" w:hAnsi="宋体"/>
          <w:b/>
          <w:sz w:val="36"/>
          <w:szCs w:val="36"/>
        </w:rPr>
        <w:t xml:space="preserve">  </w:t>
      </w:r>
      <w:r>
        <w:rPr>
          <w:rFonts w:hAnsi="宋体"/>
          <w:b/>
          <w:sz w:val="36"/>
          <w:szCs w:val="36"/>
        </w:rPr>
        <w:t>工程建设标准</w:t>
      </w:r>
      <w:bookmarkEnd w:id="34"/>
    </w:p>
    <w:p>
      <w:pPr>
        <w:spacing w:line="360" w:lineRule="auto"/>
        <w:ind w:right="-233" w:rightChars="-111"/>
        <w:jc w:val="left"/>
        <w:rPr>
          <w:b/>
          <w:bCs/>
          <w:sz w:val="24"/>
        </w:rPr>
      </w:pPr>
      <w:r>
        <w:rPr>
          <w:rFonts w:hAnsi="宋体"/>
          <w:b/>
          <w:bCs/>
          <w:sz w:val="24"/>
        </w:rPr>
        <w:t>一、工程采用的计价规范</w:t>
      </w:r>
    </w:p>
    <w:p>
      <w:pPr>
        <w:spacing w:line="360" w:lineRule="auto"/>
        <w:ind w:right="-233" w:rightChars="-111"/>
        <w:jc w:val="left"/>
        <w:rPr>
          <w:sz w:val="24"/>
        </w:rPr>
      </w:pPr>
      <w:r>
        <w:rPr>
          <w:rFonts w:hint="eastAsia"/>
          <w:sz w:val="24"/>
        </w:rPr>
        <w:t>1、《建设工程工程量清单计价规范》（GB50500-2013）</w:t>
      </w:r>
    </w:p>
    <w:p>
      <w:pPr>
        <w:spacing w:line="360" w:lineRule="auto"/>
        <w:ind w:right="-233" w:rightChars="-111"/>
        <w:jc w:val="left"/>
        <w:rPr>
          <w:sz w:val="24"/>
        </w:rPr>
      </w:pPr>
      <w:r>
        <w:rPr>
          <w:rFonts w:hint="eastAsia"/>
          <w:sz w:val="24"/>
        </w:rPr>
        <w:t>2、《通用安装工程工程量计算规范》（GB50856-2013）</w:t>
      </w:r>
    </w:p>
    <w:p>
      <w:pPr>
        <w:spacing w:line="360" w:lineRule="auto"/>
        <w:ind w:right="-233" w:rightChars="-111"/>
        <w:jc w:val="left"/>
        <w:rPr>
          <w:sz w:val="24"/>
        </w:rPr>
      </w:pPr>
      <w:r>
        <w:rPr>
          <w:rFonts w:hint="eastAsia"/>
          <w:sz w:val="24"/>
        </w:rPr>
        <w:t>3、《江苏省安装工程计价定额》2014年版</w:t>
      </w:r>
    </w:p>
    <w:p>
      <w:pPr>
        <w:spacing w:line="360" w:lineRule="auto"/>
        <w:ind w:right="-233" w:rightChars="-111"/>
        <w:jc w:val="left"/>
        <w:rPr>
          <w:sz w:val="24"/>
        </w:rPr>
      </w:pPr>
      <w:r>
        <w:rPr>
          <w:rFonts w:hint="eastAsia"/>
          <w:sz w:val="24"/>
        </w:rPr>
        <w:t>4、《江苏省建设工程费用定额》2014年版</w:t>
      </w:r>
    </w:p>
    <w:p>
      <w:pPr>
        <w:spacing w:line="360" w:lineRule="auto"/>
        <w:ind w:right="-233" w:rightChars="-111"/>
        <w:jc w:val="left"/>
        <w:rPr>
          <w:sz w:val="24"/>
        </w:rPr>
      </w:pPr>
      <w:r>
        <w:rPr>
          <w:sz w:val="24"/>
        </w:rPr>
        <w:t>5</w:t>
      </w:r>
      <w:r>
        <w:rPr>
          <w:rFonts w:hAnsi="宋体"/>
          <w:sz w:val="24"/>
        </w:rPr>
        <w:t>、江苏省、南通市现行的工程造价计价文件。</w:t>
      </w:r>
    </w:p>
    <w:p>
      <w:pPr>
        <w:spacing w:line="360" w:lineRule="auto"/>
        <w:ind w:right="-233" w:rightChars="-111"/>
        <w:jc w:val="left"/>
        <w:rPr>
          <w:b/>
          <w:bCs/>
          <w:sz w:val="24"/>
        </w:rPr>
      </w:pPr>
      <w:r>
        <w:rPr>
          <w:rFonts w:hAnsi="宋体"/>
          <w:b/>
          <w:bCs/>
          <w:sz w:val="24"/>
        </w:rPr>
        <w:t>二、本工程采用的技术规范</w:t>
      </w:r>
    </w:p>
    <w:p>
      <w:pPr>
        <w:spacing w:line="360" w:lineRule="auto"/>
        <w:ind w:right="-233" w:rightChars="-111"/>
        <w:jc w:val="left"/>
        <w:rPr>
          <w:sz w:val="24"/>
        </w:rPr>
      </w:pPr>
      <w:r>
        <w:rPr>
          <w:sz w:val="24"/>
        </w:rPr>
        <w:t>1</w:t>
      </w:r>
      <w:r>
        <w:rPr>
          <w:rFonts w:hAnsi="宋体"/>
          <w:sz w:val="24"/>
        </w:rPr>
        <w:t>、《建筑工程施工质量验收统一标准》（</w:t>
      </w:r>
      <w:r>
        <w:rPr>
          <w:sz w:val="24"/>
        </w:rPr>
        <w:t>GB50300-2001</w:t>
      </w:r>
      <w:r>
        <w:rPr>
          <w:rFonts w:hAnsi="宋体"/>
          <w:sz w:val="24"/>
        </w:rPr>
        <w:t>）；</w:t>
      </w:r>
    </w:p>
    <w:p>
      <w:pPr>
        <w:spacing w:line="360" w:lineRule="auto"/>
        <w:ind w:right="-233" w:rightChars="-111"/>
        <w:jc w:val="left"/>
        <w:rPr>
          <w:sz w:val="24"/>
        </w:rPr>
      </w:pPr>
      <w:r>
        <w:rPr>
          <w:sz w:val="24"/>
        </w:rPr>
        <w:t>2</w:t>
      </w:r>
      <w:r>
        <w:rPr>
          <w:rFonts w:hAnsi="宋体"/>
          <w:sz w:val="24"/>
        </w:rPr>
        <w:t>、设计文件中明确的有关技术标准、规定；</w:t>
      </w:r>
    </w:p>
    <w:p>
      <w:pPr>
        <w:spacing w:line="360" w:lineRule="auto"/>
        <w:ind w:right="-233" w:rightChars="-111" w:firstLine="480" w:firstLineChars="200"/>
        <w:jc w:val="left"/>
        <w:rPr>
          <w:sz w:val="24"/>
        </w:rPr>
      </w:pPr>
      <w:r>
        <w:rPr>
          <w:rFonts w:hAnsi="宋体"/>
          <w:sz w:val="24"/>
        </w:rPr>
        <w:t>上述技术标准和规范如有不足之处或未能达到国际最新标准时，投标方应使系统的设计、施工及选用的设备</w:t>
      </w:r>
      <w:r>
        <w:rPr>
          <w:sz w:val="24"/>
        </w:rPr>
        <w:t>/</w:t>
      </w:r>
      <w:r>
        <w:rPr>
          <w:rFonts w:hAnsi="宋体"/>
          <w:sz w:val="24"/>
        </w:rPr>
        <w:t>材料符合最新版本的国际和国家标准、规范，并提供所采用的国际和国家标准、规范及所采用版本的有关技术资料。</w:t>
      </w:r>
    </w:p>
    <w:p>
      <w:pPr>
        <w:spacing w:line="360" w:lineRule="auto"/>
        <w:ind w:right="-233" w:rightChars="-111"/>
        <w:jc w:val="left"/>
        <w:rPr>
          <w:b/>
          <w:bCs/>
          <w:sz w:val="24"/>
        </w:rPr>
      </w:pPr>
      <w:r>
        <w:rPr>
          <w:rFonts w:hAnsi="宋体"/>
          <w:b/>
          <w:bCs/>
          <w:sz w:val="24"/>
        </w:rPr>
        <w:t>三、本工程对施工工艺的特殊要求</w:t>
      </w:r>
    </w:p>
    <w:p>
      <w:pPr>
        <w:spacing w:line="360" w:lineRule="auto"/>
        <w:ind w:right="-233" w:rightChars="-111"/>
        <w:jc w:val="left"/>
        <w:rPr>
          <w:sz w:val="24"/>
        </w:rPr>
      </w:pPr>
      <w:r>
        <w:rPr>
          <w:sz w:val="24"/>
        </w:rPr>
        <w:t>1.</w:t>
      </w:r>
      <w:r>
        <w:rPr>
          <w:rFonts w:hAnsi="宋体"/>
          <w:sz w:val="24"/>
        </w:rPr>
        <w:t>施工期间注意周边环境，减少对周围居民、行人的影响（交通、灰尘、噪音等）。</w:t>
      </w:r>
    </w:p>
    <w:p>
      <w:pPr>
        <w:spacing w:line="360" w:lineRule="auto"/>
        <w:ind w:right="-233" w:rightChars="-111"/>
        <w:jc w:val="left"/>
        <w:rPr>
          <w:sz w:val="24"/>
        </w:rPr>
      </w:pPr>
      <w:r>
        <w:rPr>
          <w:sz w:val="24"/>
        </w:rPr>
        <w:t>2.</w:t>
      </w:r>
      <w:r>
        <w:rPr>
          <w:rFonts w:hAnsi="宋体"/>
          <w:sz w:val="24"/>
        </w:rPr>
        <w:t>工程主要部位和特殊要求由建设、设计、监理三方讨论后以书面开式通知施工单位实施。</w:t>
      </w:r>
    </w:p>
    <w:p>
      <w:pPr>
        <w:spacing w:line="360" w:lineRule="auto"/>
        <w:ind w:right="-233" w:rightChars="-111"/>
        <w:jc w:val="left"/>
        <w:rPr>
          <w:sz w:val="24"/>
        </w:rPr>
      </w:pPr>
      <w:r>
        <w:rPr>
          <w:sz w:val="24"/>
        </w:rPr>
        <w:t>3.</w:t>
      </w:r>
      <w:r>
        <w:rPr>
          <w:rFonts w:hAnsi="宋体"/>
          <w:sz w:val="24"/>
        </w:rPr>
        <w:t>其余见设计院设计说明。</w:t>
      </w:r>
    </w:p>
    <w:p>
      <w:pPr>
        <w:spacing w:line="360" w:lineRule="auto"/>
        <w:ind w:right="-233" w:rightChars="-111"/>
        <w:jc w:val="center"/>
        <w:rPr>
          <w:b/>
          <w:bCs/>
          <w:sz w:val="24"/>
        </w:rPr>
      </w:pPr>
      <w:r>
        <w:rPr>
          <w:b/>
          <w:bCs/>
          <w:sz w:val="24"/>
        </w:rPr>
        <w:br w:type="page"/>
      </w:r>
    </w:p>
    <w:p>
      <w:pPr>
        <w:pStyle w:val="19"/>
        <w:spacing w:line="420" w:lineRule="atLeast"/>
        <w:outlineLvl w:val="0"/>
        <w:rPr>
          <w:rFonts w:ascii="Times New Roman" w:hAnsi="Times New Roman" w:eastAsia="宋体"/>
          <w:b/>
          <w:bCs/>
          <w:szCs w:val="21"/>
        </w:rPr>
      </w:pPr>
      <w:bookmarkStart w:id="563" w:name="_Toc465181337"/>
      <w:bookmarkStart w:id="564" w:name="_Toc286661174"/>
      <w:bookmarkStart w:id="565" w:name="_Toc404159962"/>
      <w:r>
        <w:rPr>
          <w:rFonts w:ascii="Times New Roman" w:hAnsi="宋体" w:eastAsia="宋体"/>
          <w:b/>
          <w:bCs/>
          <w:szCs w:val="21"/>
        </w:rPr>
        <w:t>第五章图纸、技术资料及附件</w:t>
      </w:r>
      <w:bookmarkEnd w:id="563"/>
      <w:bookmarkEnd w:id="564"/>
    </w:p>
    <w:bookmarkEnd w:id="565"/>
    <w:p>
      <w:pPr>
        <w:spacing w:line="360" w:lineRule="auto"/>
        <w:rPr>
          <w:sz w:val="25"/>
        </w:rPr>
      </w:pPr>
    </w:p>
    <w:p>
      <w:pPr>
        <w:jc w:val="center"/>
        <w:rPr>
          <w:rFonts w:ascii="宋体" w:hAnsi="宋体"/>
        </w:rPr>
      </w:pPr>
      <w:r>
        <w:rPr>
          <w:rFonts w:hint="eastAsia" w:ascii="宋体" w:hAnsi="宋体"/>
        </w:rPr>
        <w:t>（“南通市崇川区人民政府网”下载）</w:t>
      </w:r>
    </w:p>
    <w:p>
      <w:pPr>
        <w:spacing w:line="360" w:lineRule="auto"/>
        <w:rPr>
          <w:sz w:val="25"/>
        </w:rPr>
      </w:pPr>
    </w:p>
    <w:p>
      <w:pPr>
        <w:spacing w:line="360" w:lineRule="auto"/>
        <w:rPr>
          <w:sz w:val="25"/>
        </w:rPr>
      </w:pPr>
    </w:p>
    <w:p>
      <w:pPr>
        <w:spacing w:line="360" w:lineRule="auto"/>
        <w:rPr>
          <w:sz w:val="25"/>
        </w:rPr>
      </w:pPr>
    </w:p>
    <w:p>
      <w:pPr>
        <w:spacing w:line="360" w:lineRule="auto"/>
        <w:rPr>
          <w:sz w:val="25"/>
        </w:rPr>
      </w:pPr>
    </w:p>
    <w:p>
      <w:pPr>
        <w:spacing w:line="360" w:lineRule="auto"/>
        <w:rPr>
          <w:sz w:val="25"/>
        </w:rPr>
      </w:pPr>
    </w:p>
    <w:p>
      <w:pPr>
        <w:spacing w:line="360" w:lineRule="auto"/>
        <w:rPr>
          <w:sz w:val="25"/>
        </w:rPr>
      </w:pPr>
    </w:p>
    <w:p>
      <w:pPr>
        <w:spacing w:line="360" w:lineRule="auto"/>
        <w:rPr>
          <w:sz w:val="25"/>
        </w:rPr>
      </w:pPr>
    </w:p>
    <w:p>
      <w:pPr>
        <w:spacing w:line="500" w:lineRule="exact"/>
        <w:jc w:val="center"/>
        <w:rPr>
          <w:b/>
          <w:bCs/>
          <w:sz w:val="32"/>
        </w:rPr>
      </w:pPr>
      <w:r>
        <w:rPr>
          <w:b/>
          <w:bCs/>
          <w:sz w:val="32"/>
        </w:rPr>
        <w:br w:type="page"/>
      </w:r>
    </w:p>
    <w:p>
      <w:pPr>
        <w:pStyle w:val="4"/>
        <w:jc w:val="center"/>
        <w:rPr>
          <w:sz w:val="36"/>
          <w:szCs w:val="48"/>
        </w:rPr>
      </w:pPr>
      <w:bookmarkStart w:id="566" w:name="_Toc465181338"/>
      <w:bookmarkStart w:id="567" w:name="_Toc286661175"/>
      <w:bookmarkStart w:id="568" w:name="_Toc404159963"/>
      <w:r>
        <w:rPr>
          <w:rFonts w:hAnsi="宋体"/>
          <w:sz w:val="36"/>
          <w:szCs w:val="48"/>
        </w:rPr>
        <w:t>第六章</w:t>
      </w:r>
      <w:r>
        <w:rPr>
          <w:rFonts w:hint="eastAsia" w:hAnsi="宋体"/>
          <w:sz w:val="36"/>
          <w:szCs w:val="48"/>
        </w:rPr>
        <w:t xml:space="preserve"> </w:t>
      </w:r>
      <w:r>
        <w:rPr>
          <w:rFonts w:hAnsi="宋体"/>
          <w:sz w:val="36"/>
          <w:szCs w:val="48"/>
        </w:rPr>
        <w:t>投标文件格式</w:t>
      </w:r>
      <w:bookmarkEnd w:id="566"/>
      <w:bookmarkEnd w:id="567"/>
      <w:bookmarkEnd w:id="568"/>
    </w:p>
    <w:p>
      <w:pPr>
        <w:spacing w:line="500" w:lineRule="exact"/>
        <w:jc w:val="center"/>
        <w:rPr>
          <w:b/>
          <w:bCs/>
          <w:sz w:val="32"/>
        </w:rPr>
      </w:pPr>
      <w:bookmarkStart w:id="569" w:name="_Toc286661178"/>
    </w:p>
    <w:p>
      <w:pPr>
        <w:spacing w:line="500" w:lineRule="exact"/>
        <w:jc w:val="center"/>
        <w:rPr>
          <w:rFonts w:ascii="宋体" w:hAnsi="宋体"/>
          <w:b/>
          <w:bCs/>
          <w:sz w:val="32"/>
        </w:rPr>
      </w:pPr>
      <w:r>
        <w:rPr>
          <w:rFonts w:hint="eastAsia" w:ascii="宋体" w:hAnsi="宋体"/>
          <w:sz w:val="32"/>
          <w:szCs w:val="32"/>
        </w:rPr>
        <w:t>（封面）</w:t>
      </w:r>
    </w:p>
    <w:p>
      <w:pPr>
        <w:spacing w:line="500" w:lineRule="exact"/>
        <w:jc w:val="center"/>
        <w:rPr>
          <w:rFonts w:ascii="宋体" w:hAnsi="宋体"/>
          <w:b/>
          <w:bCs/>
          <w:sz w:val="32"/>
        </w:rPr>
      </w:pPr>
    </w:p>
    <w:p>
      <w:pPr>
        <w:pStyle w:val="15"/>
        <w:spacing w:line="360" w:lineRule="auto"/>
        <w:ind w:firstLine="480" w:firstLineChars="150"/>
        <w:jc w:val="center"/>
        <w:rPr>
          <w:rFonts w:ascii="宋体" w:hAnsi="宋体"/>
          <w:sz w:val="32"/>
          <w:szCs w:val="32"/>
        </w:rPr>
      </w:pPr>
      <w:r>
        <w:rPr>
          <w:rFonts w:hint="eastAsia" w:ascii="宋体" w:hAnsi="宋体"/>
          <w:sz w:val="32"/>
          <w:szCs w:val="32"/>
          <w:u w:val="single"/>
        </w:rPr>
        <w:t xml:space="preserve">                               </w:t>
      </w:r>
      <w:r>
        <w:rPr>
          <w:rFonts w:hint="eastAsia" w:ascii="宋体" w:hAnsi="宋体"/>
          <w:sz w:val="32"/>
          <w:szCs w:val="32"/>
        </w:rPr>
        <w:t>（项目名称）</w:t>
      </w:r>
    </w:p>
    <w:p>
      <w:pPr>
        <w:pStyle w:val="15"/>
        <w:spacing w:line="360" w:lineRule="auto"/>
        <w:jc w:val="center"/>
        <w:rPr>
          <w:rFonts w:ascii="宋体" w:hAnsi="宋体"/>
          <w:sz w:val="30"/>
        </w:rPr>
      </w:pPr>
    </w:p>
    <w:p>
      <w:pPr>
        <w:pStyle w:val="15"/>
        <w:spacing w:line="360" w:lineRule="auto"/>
        <w:ind w:firstLine="0"/>
        <w:rPr>
          <w:rFonts w:ascii="宋体" w:hAnsi="宋体"/>
          <w:sz w:val="30"/>
        </w:rPr>
      </w:pPr>
    </w:p>
    <w:p>
      <w:pPr>
        <w:pStyle w:val="15"/>
        <w:spacing w:line="360" w:lineRule="auto"/>
        <w:jc w:val="center"/>
        <w:rPr>
          <w:rFonts w:ascii="宋体" w:hAnsi="宋体"/>
          <w:b/>
          <w:bCs/>
          <w:spacing w:val="60"/>
          <w:sz w:val="84"/>
          <w:szCs w:val="84"/>
        </w:rPr>
      </w:pPr>
      <w:r>
        <w:rPr>
          <w:rFonts w:hint="eastAsia" w:ascii="宋体" w:hAnsi="宋体"/>
          <w:b/>
          <w:bCs/>
          <w:spacing w:val="60"/>
          <w:sz w:val="84"/>
          <w:szCs w:val="84"/>
        </w:rPr>
        <w:t xml:space="preserve"> 投标书</w:t>
      </w:r>
    </w:p>
    <w:p>
      <w:pPr>
        <w:pStyle w:val="15"/>
        <w:spacing w:line="360" w:lineRule="auto"/>
        <w:jc w:val="center"/>
        <w:rPr>
          <w:rFonts w:ascii="宋体" w:hAnsi="宋体"/>
          <w:sz w:val="48"/>
          <w:szCs w:val="48"/>
        </w:rPr>
      </w:pPr>
      <w:r>
        <w:rPr>
          <w:rFonts w:hint="eastAsia" w:ascii="宋体" w:hAnsi="宋体"/>
          <w:sz w:val="48"/>
          <w:szCs w:val="48"/>
        </w:rPr>
        <w:t>（商务标）</w:t>
      </w:r>
    </w:p>
    <w:p>
      <w:pPr>
        <w:pStyle w:val="15"/>
        <w:spacing w:line="360" w:lineRule="auto"/>
        <w:jc w:val="center"/>
        <w:rPr>
          <w:rFonts w:ascii="宋体" w:hAnsi="宋体"/>
          <w:sz w:val="30"/>
        </w:rPr>
      </w:pPr>
    </w:p>
    <w:p>
      <w:pPr>
        <w:pStyle w:val="15"/>
        <w:spacing w:line="360" w:lineRule="auto"/>
        <w:jc w:val="center"/>
        <w:rPr>
          <w:rFonts w:ascii="宋体" w:hAnsi="宋体"/>
          <w:sz w:val="30"/>
        </w:rPr>
      </w:pPr>
    </w:p>
    <w:p>
      <w:pPr>
        <w:pStyle w:val="15"/>
        <w:spacing w:line="360" w:lineRule="auto"/>
        <w:jc w:val="center"/>
        <w:rPr>
          <w:rFonts w:ascii="宋体" w:hAnsi="宋体"/>
          <w:sz w:val="30"/>
        </w:rPr>
      </w:pPr>
    </w:p>
    <w:p>
      <w:pPr>
        <w:pStyle w:val="15"/>
        <w:spacing w:line="360" w:lineRule="auto"/>
        <w:jc w:val="center"/>
        <w:rPr>
          <w:rFonts w:ascii="宋体" w:hAnsi="宋体"/>
          <w:sz w:val="30"/>
        </w:rPr>
      </w:pPr>
    </w:p>
    <w:p>
      <w:pPr>
        <w:pStyle w:val="15"/>
        <w:spacing w:line="360" w:lineRule="auto"/>
        <w:ind w:firstLine="480" w:firstLineChars="160"/>
        <w:rPr>
          <w:rFonts w:ascii="宋体" w:hAnsi="宋体"/>
          <w:sz w:val="30"/>
          <w:u w:val="single"/>
        </w:rPr>
      </w:pPr>
      <w:r>
        <w:rPr>
          <w:rFonts w:hint="eastAsia" w:ascii="宋体" w:hAnsi="宋体"/>
          <w:sz w:val="30"/>
        </w:rPr>
        <w:t>投标人：</w:t>
      </w:r>
      <w:r>
        <w:rPr>
          <w:rFonts w:hint="eastAsia" w:ascii="宋体" w:hAnsi="宋体"/>
          <w:sz w:val="30"/>
          <w:u w:val="single"/>
        </w:rPr>
        <w:t xml:space="preserve">                                </w:t>
      </w:r>
      <w:r>
        <w:rPr>
          <w:rFonts w:hint="eastAsia" w:ascii="宋体" w:hAnsi="宋体"/>
          <w:sz w:val="30"/>
        </w:rPr>
        <w:t>(盖单位公章)</w:t>
      </w:r>
    </w:p>
    <w:p>
      <w:pPr>
        <w:pStyle w:val="15"/>
        <w:spacing w:line="360" w:lineRule="auto"/>
        <w:ind w:firstLine="480" w:firstLineChars="160"/>
        <w:rPr>
          <w:rFonts w:ascii="宋体" w:hAnsi="宋体"/>
          <w:sz w:val="30"/>
        </w:rPr>
      </w:pPr>
    </w:p>
    <w:p>
      <w:pPr>
        <w:pStyle w:val="15"/>
        <w:spacing w:line="360" w:lineRule="auto"/>
        <w:ind w:firstLine="480" w:firstLineChars="160"/>
        <w:rPr>
          <w:rFonts w:ascii="宋体" w:hAnsi="宋体"/>
          <w:sz w:val="30"/>
          <w:u w:val="single"/>
        </w:rPr>
      </w:pPr>
      <w:r>
        <w:rPr>
          <w:rFonts w:hint="eastAsia" w:ascii="宋体" w:hAnsi="宋体"/>
          <w:sz w:val="30"/>
        </w:rPr>
        <w:t>法定代表人或其委托代理人：</w:t>
      </w:r>
      <w:r>
        <w:rPr>
          <w:rFonts w:hint="eastAsia" w:ascii="宋体" w:hAnsi="宋体"/>
          <w:sz w:val="30"/>
          <w:u w:val="single"/>
        </w:rPr>
        <w:t xml:space="preserve">              </w:t>
      </w:r>
      <w:r>
        <w:rPr>
          <w:rFonts w:hint="eastAsia" w:ascii="宋体" w:hAnsi="宋体"/>
          <w:sz w:val="30"/>
        </w:rPr>
        <w:t>(签字或盖章)</w:t>
      </w:r>
    </w:p>
    <w:p>
      <w:pPr>
        <w:pStyle w:val="15"/>
        <w:spacing w:line="360" w:lineRule="auto"/>
        <w:ind w:firstLine="480" w:firstLineChars="160"/>
        <w:rPr>
          <w:rFonts w:ascii="宋体" w:hAnsi="宋体"/>
          <w:sz w:val="30"/>
        </w:rPr>
      </w:pPr>
    </w:p>
    <w:p>
      <w:pPr>
        <w:pStyle w:val="15"/>
        <w:spacing w:line="360" w:lineRule="auto"/>
        <w:rPr>
          <w:rFonts w:ascii="宋体" w:hAnsi="宋体"/>
          <w:sz w:val="30"/>
          <w:u w:val="single"/>
        </w:rPr>
      </w:pPr>
      <w:r>
        <w:rPr>
          <w:rFonts w:hint="eastAsia" w:ascii="宋体" w:hAnsi="宋体"/>
          <w:sz w:val="30"/>
        </w:rPr>
        <w:t>日   期：</w:t>
      </w:r>
      <w:r>
        <w:rPr>
          <w:rFonts w:hint="eastAsia" w:ascii="宋体" w:hAnsi="宋体"/>
          <w:sz w:val="30"/>
          <w:u w:val="single"/>
        </w:rPr>
        <w:t xml:space="preserve">        年     月     日</w:t>
      </w:r>
    </w:p>
    <w:p>
      <w:pPr>
        <w:pStyle w:val="15"/>
        <w:spacing w:line="360" w:lineRule="auto"/>
        <w:jc w:val="center"/>
        <w:rPr>
          <w:sz w:val="30"/>
        </w:rPr>
      </w:pPr>
    </w:p>
    <w:p>
      <w:pPr>
        <w:pStyle w:val="76"/>
        <w:spacing w:line="420" w:lineRule="atLeast"/>
        <w:rPr>
          <w:sz w:val="32"/>
        </w:rPr>
      </w:pPr>
    </w:p>
    <w:p>
      <w:pPr>
        <w:pStyle w:val="15"/>
        <w:spacing w:line="360" w:lineRule="auto"/>
        <w:ind w:firstLine="0"/>
        <w:jc w:val="center"/>
        <w:outlineLvl w:val="1"/>
        <w:rPr>
          <w:bCs/>
          <w:sz w:val="28"/>
          <w:szCs w:val="28"/>
        </w:rPr>
      </w:pPr>
      <w:r>
        <w:rPr>
          <w:rFonts w:hAnsi="宋体"/>
          <w:sz w:val="28"/>
          <w:szCs w:val="28"/>
        </w:rPr>
        <w:t>一、</w:t>
      </w:r>
      <w:bookmarkEnd w:id="569"/>
      <w:r>
        <w:rPr>
          <w:rFonts w:hAnsi="宋体"/>
          <w:bCs/>
          <w:sz w:val="28"/>
          <w:szCs w:val="28"/>
        </w:rPr>
        <w:t>投标函</w:t>
      </w:r>
    </w:p>
    <w:p>
      <w:pPr>
        <w:pStyle w:val="15"/>
        <w:spacing w:line="360" w:lineRule="auto"/>
        <w:ind w:firstLine="0"/>
        <w:rPr>
          <w:sz w:val="25"/>
          <w:u w:val="single"/>
        </w:rPr>
      </w:pPr>
    </w:p>
    <w:p>
      <w:pPr>
        <w:pStyle w:val="15"/>
        <w:spacing w:line="360" w:lineRule="auto"/>
        <w:ind w:firstLine="0"/>
        <w:rPr>
          <w:rFonts w:ascii="宋体" w:hAnsi="宋体"/>
        </w:rPr>
      </w:pPr>
      <w:r>
        <w:rPr>
          <w:rFonts w:hint="eastAsia" w:ascii="宋体" w:hAnsi="宋体"/>
          <w:u w:val="single"/>
        </w:rPr>
        <w:t xml:space="preserve">                           </w:t>
      </w:r>
      <w:r>
        <w:rPr>
          <w:rFonts w:hint="eastAsia" w:ascii="宋体" w:hAnsi="宋体"/>
        </w:rPr>
        <w:t>：</w:t>
      </w:r>
    </w:p>
    <w:p>
      <w:pPr>
        <w:pStyle w:val="15"/>
        <w:spacing w:line="360" w:lineRule="auto"/>
        <w:ind w:firstLine="720" w:firstLineChars="300"/>
        <w:jc w:val="left"/>
        <w:rPr>
          <w:rFonts w:ascii="宋体" w:hAnsi="宋体"/>
        </w:rPr>
      </w:pPr>
      <w:r>
        <w:rPr>
          <w:rFonts w:hint="eastAsia" w:ascii="宋体" w:hAnsi="宋体"/>
        </w:rPr>
        <w:t>（一） 根据已收到的</w:t>
      </w:r>
      <w:r>
        <w:rPr>
          <w:rFonts w:hint="eastAsia" w:ascii="宋体" w:hAnsi="宋体"/>
          <w:u w:val="single"/>
        </w:rPr>
        <w:t xml:space="preserve">                   </w:t>
      </w:r>
      <w:r>
        <w:rPr>
          <w:rFonts w:hint="eastAsia" w:ascii="宋体" w:hAnsi="宋体"/>
        </w:rPr>
        <w:t>（工程名称）的招标文件，我方经仔细研究招标文件全部内容并对现场进行踏勘后，愿遵守《中华人民共和国招标投标法》等有关法律文件的规定，并愿以人民币（大写）</w:t>
      </w:r>
      <w:r>
        <w:rPr>
          <w:rFonts w:hint="eastAsia" w:ascii="宋体" w:hAnsi="宋体"/>
          <w:u w:val="single"/>
        </w:rPr>
        <w:t xml:space="preserve">          </w:t>
      </w:r>
      <w:r>
        <w:rPr>
          <w:rFonts w:hint="eastAsia" w:ascii="宋体" w:hAnsi="宋体"/>
        </w:rPr>
        <w:t>元[</w:t>
      </w:r>
      <w:r>
        <w:rPr>
          <w:rFonts w:hint="eastAsia" w:ascii="宋体" w:hAnsi="宋体" w:cs="宋体"/>
        </w:rPr>
        <w:t>¥</w:t>
      </w:r>
      <w:r>
        <w:rPr>
          <w:rFonts w:hint="eastAsia" w:ascii="宋体" w:hAnsi="宋体" w:cs="仿宋_GB2312"/>
        </w:rPr>
        <w:t>(</w:t>
      </w:r>
      <w:r>
        <w:rPr>
          <w:rFonts w:hint="eastAsia" w:ascii="宋体" w:hAnsi="宋体"/>
        </w:rPr>
        <w:t>小写)</w:t>
      </w:r>
      <w:r>
        <w:rPr>
          <w:rFonts w:hint="eastAsia" w:ascii="宋体" w:hAnsi="宋体"/>
          <w:u w:val="single"/>
        </w:rPr>
        <w:t xml:space="preserve">          元</w:t>
      </w:r>
      <w:r>
        <w:rPr>
          <w:rFonts w:hint="eastAsia" w:ascii="宋体" w:hAnsi="宋体"/>
        </w:rPr>
        <w:t>］的总价，按招标文件的要求承包本次招标范围内的全部工程，修补工程中的任何缺陷。</w:t>
      </w:r>
    </w:p>
    <w:p>
      <w:pPr>
        <w:pStyle w:val="15"/>
        <w:spacing w:line="360" w:lineRule="auto"/>
        <w:ind w:firstLine="720" w:firstLineChars="300"/>
        <w:jc w:val="left"/>
        <w:rPr>
          <w:rFonts w:ascii="宋体" w:hAnsi="宋体"/>
        </w:rPr>
      </w:pPr>
      <w:r>
        <w:rPr>
          <w:rFonts w:hint="eastAsia" w:ascii="宋体" w:hAnsi="宋体"/>
        </w:rPr>
        <w:t>(二)我方保证在收到贵单位发出的书面开工令后立即开工，并保证在工期</w:t>
      </w:r>
      <w:r>
        <w:rPr>
          <w:rFonts w:hint="eastAsia" w:ascii="宋体" w:hAnsi="宋体"/>
          <w:u w:val="single"/>
        </w:rPr>
        <w:t xml:space="preserve">   </w:t>
      </w:r>
      <w:r>
        <w:rPr>
          <w:rFonts w:hint="eastAsia" w:ascii="宋体" w:hAnsi="宋体"/>
        </w:rPr>
        <w:t>日历天内竣工并移交整个工程及相关资料。</w:t>
      </w:r>
    </w:p>
    <w:p>
      <w:pPr>
        <w:widowControl/>
        <w:spacing w:line="360" w:lineRule="auto"/>
        <w:ind w:firstLine="420"/>
        <w:jc w:val="left"/>
        <w:rPr>
          <w:rFonts w:ascii="宋体" w:hAnsi="宋体"/>
          <w:sz w:val="24"/>
        </w:rPr>
      </w:pPr>
      <w:r>
        <w:rPr>
          <w:rFonts w:hint="eastAsia" w:ascii="宋体" w:hAnsi="宋体"/>
          <w:sz w:val="24"/>
        </w:rPr>
        <w:t>(三)我方保证本工程质量达到</w:t>
      </w:r>
      <w:r>
        <w:rPr>
          <w:rFonts w:hint="eastAsia" w:ascii="宋体" w:hAnsi="宋体"/>
          <w:sz w:val="24"/>
          <w:u w:val="single"/>
        </w:rPr>
        <w:t xml:space="preserve">                   </w:t>
      </w:r>
      <w:r>
        <w:rPr>
          <w:rFonts w:hint="eastAsia" w:ascii="宋体" w:hAnsi="宋体"/>
          <w:sz w:val="24"/>
        </w:rPr>
        <w:t xml:space="preserve"> 。</w:t>
      </w:r>
    </w:p>
    <w:p>
      <w:pPr>
        <w:pStyle w:val="15"/>
        <w:widowControl/>
        <w:adjustRightInd/>
        <w:spacing w:line="360" w:lineRule="auto"/>
        <w:ind w:firstLine="420"/>
        <w:jc w:val="left"/>
        <w:textAlignment w:val="auto"/>
        <w:rPr>
          <w:rFonts w:ascii="宋体" w:hAnsi="宋体"/>
        </w:rPr>
      </w:pPr>
      <w:r>
        <w:rPr>
          <w:rFonts w:hint="eastAsia" w:ascii="宋体" w:hAnsi="宋体"/>
        </w:rPr>
        <w:t>(四)我方金额为人民币（大写）</w:t>
      </w:r>
      <w:r>
        <w:rPr>
          <w:rFonts w:hint="eastAsia" w:ascii="宋体" w:hAnsi="宋体"/>
          <w:u w:val="single"/>
        </w:rPr>
        <w:t xml:space="preserve">       </w:t>
      </w:r>
      <w:r>
        <w:rPr>
          <w:rFonts w:hint="eastAsia" w:ascii="宋体" w:hAnsi="宋体"/>
        </w:rPr>
        <w:t>[</w:t>
      </w:r>
      <w:r>
        <w:rPr>
          <w:rFonts w:hint="eastAsia" w:ascii="宋体" w:hAnsi="宋体" w:cs="宋体"/>
        </w:rPr>
        <w:t>¥</w:t>
      </w:r>
      <w:r>
        <w:rPr>
          <w:rFonts w:hint="eastAsia" w:ascii="宋体" w:hAnsi="宋体" w:cs="仿宋_GB2312"/>
        </w:rPr>
        <w:t>(</w:t>
      </w:r>
      <w:r>
        <w:rPr>
          <w:rFonts w:hint="eastAsia" w:ascii="宋体" w:hAnsi="宋体"/>
        </w:rPr>
        <w:t>小写)</w:t>
      </w:r>
      <w:r>
        <w:rPr>
          <w:rFonts w:hint="eastAsia" w:ascii="宋体" w:hAnsi="宋体"/>
          <w:u w:val="single"/>
        </w:rPr>
        <w:t xml:space="preserve">       </w:t>
      </w:r>
      <w:r>
        <w:rPr>
          <w:rFonts w:hint="eastAsia" w:ascii="宋体" w:hAnsi="宋体"/>
        </w:rPr>
        <w:t>元］的投标保证金已按招标文件要求提交。</w:t>
      </w:r>
    </w:p>
    <w:p>
      <w:pPr>
        <w:pStyle w:val="15"/>
        <w:widowControl/>
        <w:adjustRightInd/>
        <w:spacing w:line="360" w:lineRule="auto"/>
        <w:ind w:firstLine="420"/>
        <w:jc w:val="left"/>
        <w:textAlignment w:val="auto"/>
        <w:rPr>
          <w:rFonts w:ascii="宋体" w:hAnsi="宋体"/>
        </w:rPr>
      </w:pPr>
      <w:r>
        <w:rPr>
          <w:rFonts w:hint="eastAsia" w:ascii="宋体" w:hAnsi="宋体"/>
        </w:rPr>
        <w:t>(五)如果我方中标，我方承诺在收到中标通知书后，在中标通知书规定的期限内与贵方签订合同，并将按照招标文件规定的时间、数额提交履约保证金和中标差额保证金。</w:t>
      </w:r>
    </w:p>
    <w:p>
      <w:pPr>
        <w:pStyle w:val="15"/>
        <w:spacing w:line="360" w:lineRule="auto"/>
        <w:rPr>
          <w:rFonts w:ascii="宋体" w:hAnsi="宋体"/>
        </w:rPr>
      </w:pPr>
      <w:r>
        <w:rPr>
          <w:rFonts w:hint="eastAsia" w:ascii="宋体" w:hAnsi="宋体"/>
        </w:rPr>
        <w:t>(六)贵单位的招标文件、中标通知书和本投标文件将构成约束我们双方的合同。</w:t>
      </w:r>
    </w:p>
    <w:p>
      <w:pPr>
        <w:pStyle w:val="15"/>
        <w:spacing w:line="360" w:lineRule="auto"/>
        <w:ind w:firstLine="0"/>
        <w:rPr>
          <w:rFonts w:ascii="宋体" w:hAnsi="宋体"/>
        </w:rPr>
      </w:pPr>
    </w:p>
    <w:p>
      <w:pPr>
        <w:pStyle w:val="15"/>
        <w:spacing w:line="360" w:lineRule="auto"/>
        <w:ind w:firstLine="0"/>
        <w:rPr>
          <w:rFonts w:ascii="宋体" w:hAnsi="宋体"/>
        </w:rPr>
      </w:pPr>
    </w:p>
    <w:p>
      <w:pPr>
        <w:pStyle w:val="15"/>
        <w:spacing w:line="360" w:lineRule="auto"/>
        <w:ind w:firstLine="0"/>
        <w:rPr>
          <w:rFonts w:ascii="宋体" w:hAnsi="宋体"/>
        </w:rPr>
      </w:pPr>
    </w:p>
    <w:p>
      <w:pPr>
        <w:pStyle w:val="15"/>
        <w:spacing w:line="360" w:lineRule="auto"/>
        <w:ind w:firstLine="0"/>
        <w:rPr>
          <w:rFonts w:ascii="宋体" w:hAnsi="宋体"/>
          <w:u w:val="single"/>
        </w:rPr>
      </w:pPr>
      <w:r>
        <w:rPr>
          <w:rFonts w:hint="eastAsia" w:ascii="宋体" w:hAnsi="宋体"/>
        </w:rPr>
        <w:t>投标人(盖章)：</w:t>
      </w:r>
      <w:r>
        <w:rPr>
          <w:rFonts w:hint="eastAsia" w:ascii="宋体" w:hAnsi="宋体"/>
          <w:u w:val="single"/>
        </w:rPr>
        <w:t xml:space="preserve">                               </w:t>
      </w:r>
    </w:p>
    <w:p>
      <w:pPr>
        <w:pStyle w:val="15"/>
        <w:spacing w:line="360" w:lineRule="auto"/>
        <w:ind w:firstLine="0"/>
        <w:rPr>
          <w:rFonts w:ascii="宋体" w:hAnsi="宋体"/>
        </w:rPr>
      </w:pPr>
    </w:p>
    <w:p>
      <w:pPr>
        <w:pStyle w:val="15"/>
        <w:spacing w:line="360" w:lineRule="auto"/>
        <w:ind w:firstLine="0"/>
        <w:rPr>
          <w:rFonts w:ascii="宋体" w:hAnsi="宋体"/>
          <w:u w:val="single"/>
        </w:rPr>
      </w:pPr>
      <w:r>
        <w:rPr>
          <w:rFonts w:hint="eastAsia" w:ascii="宋体" w:hAnsi="宋体"/>
        </w:rPr>
        <w:t>法定代表人或委托代理人(签字或盖章)：</w:t>
      </w:r>
      <w:r>
        <w:rPr>
          <w:rFonts w:hint="eastAsia" w:ascii="宋体" w:hAnsi="宋体"/>
          <w:u w:val="single"/>
        </w:rPr>
        <w:t xml:space="preserve">                        </w:t>
      </w:r>
    </w:p>
    <w:p>
      <w:pPr>
        <w:pStyle w:val="15"/>
        <w:spacing w:line="360" w:lineRule="auto"/>
        <w:ind w:firstLine="0"/>
        <w:rPr>
          <w:rFonts w:ascii="宋体" w:hAnsi="宋体"/>
        </w:rPr>
      </w:pPr>
      <w:r>
        <w:rPr>
          <w:rFonts w:hint="eastAsia" w:ascii="宋体" w:hAnsi="宋体"/>
        </w:rPr>
        <w:t xml:space="preserve">      </w:t>
      </w:r>
    </w:p>
    <w:p>
      <w:pPr>
        <w:pStyle w:val="15"/>
        <w:spacing w:line="360" w:lineRule="auto"/>
        <w:ind w:firstLine="0"/>
        <w:rPr>
          <w:rFonts w:ascii="宋体" w:hAnsi="宋体"/>
        </w:rPr>
      </w:pPr>
      <w:r>
        <w:rPr>
          <w:rFonts w:hint="eastAsia" w:ascii="宋体" w:hAnsi="宋体"/>
        </w:rPr>
        <w:t>日期：</w:t>
      </w:r>
      <w:r>
        <w:rPr>
          <w:rFonts w:hint="eastAsia" w:ascii="宋体" w:hAnsi="宋体"/>
          <w:u w:val="single"/>
        </w:rPr>
        <w:t xml:space="preserve">                                  </w:t>
      </w:r>
      <w:r>
        <w:rPr>
          <w:rFonts w:hint="eastAsia" w:ascii="宋体" w:hAnsi="宋体"/>
        </w:rPr>
        <w:t xml:space="preserve"> </w:t>
      </w:r>
    </w:p>
    <w:p>
      <w:pPr>
        <w:pStyle w:val="76"/>
        <w:spacing w:line="420" w:lineRule="atLeast"/>
        <w:rPr>
          <w:rFonts w:ascii="宋体" w:hAnsi="宋体"/>
          <w:sz w:val="32"/>
        </w:rPr>
      </w:pPr>
    </w:p>
    <w:p>
      <w:pPr>
        <w:pStyle w:val="76"/>
        <w:spacing w:line="420" w:lineRule="atLeast"/>
        <w:rPr>
          <w:sz w:val="32"/>
        </w:rPr>
      </w:pPr>
    </w:p>
    <w:p>
      <w:pPr>
        <w:pStyle w:val="15"/>
        <w:spacing w:line="360" w:lineRule="auto"/>
        <w:ind w:firstLine="0"/>
        <w:jc w:val="center"/>
        <w:outlineLvl w:val="1"/>
        <w:rPr>
          <w:sz w:val="32"/>
        </w:rPr>
      </w:pPr>
      <w:r>
        <w:rPr>
          <w:sz w:val="32"/>
        </w:rPr>
        <w:br w:type="page"/>
      </w:r>
      <w:r>
        <w:rPr>
          <w:rFonts w:hAnsi="宋体"/>
          <w:sz w:val="28"/>
          <w:szCs w:val="28"/>
        </w:rPr>
        <w:t>二、法定代表人身份证明</w:t>
      </w:r>
    </w:p>
    <w:p>
      <w:pPr>
        <w:pStyle w:val="15"/>
        <w:snapToGrid w:val="0"/>
        <w:spacing w:line="440" w:lineRule="exact"/>
        <w:ind w:firstLine="0"/>
        <w:rPr>
          <w:sz w:val="30"/>
        </w:rPr>
      </w:pPr>
      <w:bookmarkStart w:id="570" w:name="_Toc286661179"/>
    </w:p>
    <w:p>
      <w:pPr>
        <w:pStyle w:val="15"/>
        <w:snapToGrid w:val="0"/>
        <w:spacing w:line="440" w:lineRule="exact"/>
        <w:ind w:firstLine="480" w:firstLineChars="200"/>
        <w:rPr>
          <w:rFonts w:ascii="宋体" w:hAnsi="宋体"/>
          <w:u w:val="single"/>
        </w:rPr>
      </w:pPr>
      <w:r>
        <w:rPr>
          <w:rFonts w:hint="eastAsia" w:ascii="宋体" w:hAnsi="宋体"/>
        </w:rPr>
        <w:t>投标人单位名称：</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投标人单位性质：</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投标人单位地址：</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成立时间：</w:t>
      </w:r>
      <w:r>
        <w:rPr>
          <w:rFonts w:hint="eastAsia" w:ascii="宋体" w:hAnsi="宋体"/>
          <w:u w:val="single"/>
        </w:rPr>
        <w:t xml:space="preserve">     </w:t>
      </w:r>
      <w:r>
        <w:rPr>
          <w:rFonts w:hint="eastAsia" w:ascii="宋体" w:hAnsi="宋体"/>
        </w:rPr>
        <w:t>年</w:t>
      </w:r>
      <w:r>
        <w:rPr>
          <w:rFonts w:hint="eastAsia" w:ascii="宋体" w:hAnsi="宋体"/>
          <w:u w:val="single"/>
        </w:rPr>
        <w:t xml:space="preserve">     </w:t>
      </w:r>
      <w:r>
        <w:rPr>
          <w:rFonts w:hint="eastAsia" w:ascii="宋体" w:hAnsi="宋体"/>
        </w:rPr>
        <w:t xml:space="preserve">月 </w:t>
      </w:r>
      <w:r>
        <w:rPr>
          <w:rFonts w:hint="eastAsia" w:ascii="宋体" w:hAnsi="宋体"/>
          <w:u w:val="single"/>
        </w:rPr>
        <w:t xml:space="preserve">    </w:t>
      </w:r>
      <w:r>
        <w:rPr>
          <w:rFonts w:hint="eastAsia" w:ascii="宋体" w:hAnsi="宋体"/>
        </w:rPr>
        <w:t>日</w:t>
      </w:r>
    </w:p>
    <w:p>
      <w:pPr>
        <w:pStyle w:val="15"/>
        <w:snapToGrid w:val="0"/>
        <w:spacing w:line="440" w:lineRule="exact"/>
        <w:ind w:firstLine="480" w:firstLineChars="200"/>
        <w:rPr>
          <w:rFonts w:ascii="宋体" w:hAnsi="宋体"/>
          <w:u w:val="single"/>
        </w:rPr>
      </w:pPr>
      <w:r>
        <w:rPr>
          <w:rFonts w:hint="eastAsia" w:ascii="宋体" w:hAnsi="宋体"/>
        </w:rPr>
        <w:t>经营期限：</w:t>
      </w:r>
      <w:r>
        <w:rPr>
          <w:rFonts w:hint="eastAsia" w:ascii="宋体" w:hAnsi="宋体"/>
          <w:sz w:val="30"/>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姓名：</w:t>
      </w:r>
      <w:r>
        <w:rPr>
          <w:rFonts w:hint="eastAsia" w:ascii="宋体" w:hAnsi="宋体"/>
          <w:u w:val="single"/>
        </w:rPr>
        <w:t xml:space="preserve">             </w:t>
      </w:r>
      <w:r>
        <w:rPr>
          <w:rFonts w:hint="eastAsia" w:ascii="宋体" w:hAnsi="宋体"/>
        </w:rPr>
        <w:t>性别：</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年龄：</w:t>
      </w:r>
      <w:r>
        <w:rPr>
          <w:rFonts w:hint="eastAsia" w:ascii="宋体" w:hAnsi="宋体"/>
          <w:u w:val="single"/>
        </w:rPr>
        <w:t xml:space="preserve">             </w:t>
      </w:r>
      <w:r>
        <w:rPr>
          <w:rFonts w:hint="eastAsia" w:ascii="宋体" w:hAnsi="宋体"/>
        </w:rPr>
        <w:t>职务：</w:t>
      </w:r>
      <w:r>
        <w:rPr>
          <w:rFonts w:hint="eastAsia" w:ascii="宋体" w:hAnsi="宋体"/>
          <w:u w:val="single"/>
        </w:rPr>
        <w:t xml:space="preserve">               </w:t>
      </w:r>
    </w:p>
    <w:p>
      <w:pPr>
        <w:pStyle w:val="15"/>
        <w:snapToGrid w:val="0"/>
        <w:spacing w:line="440" w:lineRule="exact"/>
        <w:ind w:firstLine="480" w:firstLineChars="200"/>
        <w:rPr>
          <w:rFonts w:ascii="宋体" w:hAnsi="宋体"/>
        </w:rPr>
      </w:pPr>
      <w:r>
        <w:rPr>
          <w:rFonts w:hint="eastAsia" w:ascii="宋体" w:hAnsi="宋体"/>
        </w:rPr>
        <w:t>系：</w:t>
      </w:r>
      <w:r>
        <w:rPr>
          <w:rFonts w:hint="eastAsia" w:ascii="宋体" w:hAnsi="宋体"/>
          <w:u w:val="single"/>
        </w:rPr>
        <w:t xml:space="preserve">                              </w:t>
      </w:r>
      <w:r>
        <w:rPr>
          <w:rFonts w:hint="eastAsia" w:ascii="宋体" w:hAnsi="宋体"/>
        </w:rPr>
        <w:t>(投标人单位名称)的法定代表人。</w:t>
      </w:r>
    </w:p>
    <w:p>
      <w:pPr>
        <w:pStyle w:val="15"/>
        <w:snapToGrid w:val="0"/>
        <w:spacing w:line="440" w:lineRule="exact"/>
        <w:ind w:firstLine="480" w:firstLineChars="200"/>
        <w:rPr>
          <w:rFonts w:ascii="宋体" w:hAnsi="宋体"/>
        </w:rPr>
      </w:pPr>
      <w:r>
        <w:rPr>
          <w:rFonts w:hint="eastAsia" w:ascii="宋体" w:hAnsi="宋体"/>
        </w:rPr>
        <w:t>法定代表人联系电话：</w:t>
      </w:r>
      <w:r>
        <w:rPr>
          <w:rFonts w:hint="eastAsia" w:ascii="宋体" w:hAnsi="宋体"/>
          <w:sz w:val="30"/>
          <w:u w:val="single"/>
        </w:rPr>
        <w:t xml:space="preserve">                     </w:t>
      </w:r>
    </w:p>
    <w:p>
      <w:pPr>
        <w:pStyle w:val="15"/>
        <w:snapToGrid w:val="0"/>
        <w:spacing w:line="440" w:lineRule="exact"/>
        <w:ind w:firstLine="480" w:firstLineChars="200"/>
        <w:rPr>
          <w:rFonts w:ascii="宋体" w:hAnsi="宋体"/>
        </w:rPr>
      </w:pPr>
      <w:r>
        <w:rPr>
          <w:rFonts w:hint="eastAsia" w:ascii="宋体" w:hAnsi="宋体"/>
        </w:rPr>
        <w:t>特此证明。</w:t>
      </w:r>
    </w:p>
    <w:p>
      <w:pPr>
        <w:pStyle w:val="15"/>
        <w:spacing w:line="360" w:lineRule="auto"/>
        <w:ind w:firstLine="0"/>
        <w:rPr>
          <w:rFonts w:ascii="宋体" w:hAnsi="宋体"/>
          <w:sz w:val="30"/>
        </w:rPr>
      </w:pPr>
    </w:p>
    <w:p>
      <w:pPr>
        <w:pStyle w:val="15"/>
        <w:spacing w:line="360" w:lineRule="auto"/>
        <w:ind w:firstLine="0"/>
        <w:jc w:val="center"/>
        <w:rPr>
          <w:rFonts w:ascii="宋体" w:hAnsi="宋体"/>
          <w:sz w:val="30"/>
        </w:rPr>
      </w:pPr>
      <w:r>
        <w:rPr>
          <w:rFonts w:ascii="宋体" w:hAnsi="宋体"/>
          <w:sz w:val="30"/>
        </w:rPr>
        <mc:AlternateContent>
          <mc:Choice Requires="wps">
            <w:drawing>
              <wp:anchor distT="0" distB="0" distL="114300" distR="114300" simplePos="0" relativeHeight="251659264" behindDoc="0" locked="0" layoutInCell="1" allowOverlap="1">
                <wp:simplePos x="0" y="0"/>
                <wp:positionH relativeFrom="column">
                  <wp:posOffset>671830</wp:posOffset>
                </wp:positionH>
                <wp:positionV relativeFrom="paragraph">
                  <wp:posOffset>27940</wp:posOffset>
                </wp:positionV>
                <wp:extent cx="5126355" cy="1931670"/>
                <wp:effectExtent l="7620" t="7620" r="9525" b="22860"/>
                <wp:wrapNone/>
                <wp:docPr id="1" name="圆角矩形 1"/>
                <wp:cNvGraphicFramePr/>
                <a:graphic xmlns:a="http://schemas.openxmlformats.org/drawingml/2006/main">
                  <a:graphicData uri="http://schemas.microsoft.com/office/word/2010/wordprocessingShape">
                    <wps:wsp>
                      <wps:cNvSpPr/>
                      <wps:spPr>
                        <a:xfrm>
                          <a:off x="0" y="0"/>
                          <a:ext cx="5126355" cy="1931670"/>
                        </a:xfrm>
                        <a:prstGeom prst="roundRect">
                          <a:avLst>
                            <a:gd name="adj" fmla="val 16667"/>
                          </a:avLst>
                        </a:prstGeom>
                        <a:noFill/>
                        <a:ln w="15875" cap="flat" cmpd="sng">
                          <a:solidFill>
                            <a:srgbClr val="000000"/>
                          </a:solidFill>
                          <a:prstDash val="dash"/>
                          <a:headEnd type="none" w="med" len="med"/>
                          <a:tailEnd type="none" w="med" len="med"/>
                        </a:ln>
                        <a:effectLst/>
                      </wps:spPr>
                      <wps:txbx>
                        <w:txbxContent>
                          <w:p/>
                        </w:txbxContent>
                      </wps:txbx>
                      <wps:bodyPr upright="1"/>
                    </wps:wsp>
                  </a:graphicData>
                </a:graphic>
              </wp:anchor>
            </w:drawing>
          </mc:Choice>
          <mc:Fallback>
            <w:pict>
              <v:roundrect id="_x0000_s1026" o:spid="_x0000_s1026" o:spt="2" style="position:absolute;left:0pt;margin-left:52.9pt;margin-top:2.2pt;height:152.1pt;width:403.65pt;z-index:251659264;mso-width-relative:page;mso-height-relative:page;" filled="f" stroked="t" coordsize="21600,21600" arcsize="0.166666666666667" o:gfxdata="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z3&#10;GCPXAAAACQEAAA8AAAAAAAAAAQAgAAAAIgAAAGRycy9kb3ducmV2LnhtbFBLAQIUABQAAAAIAIdO&#10;4kD7ptJlJAIAADwEAAAOAAAAAAAAAAEAIAAAACYBAABkcnMvZTJvRG9jLnhtbFBLBQYAAAAABgAG&#10;AFkBAAC8BQAAAAA=&#10;">
                <v:fill on="f" focussize="0,0"/>
                <v:stroke weight="1.25pt" color="#000000" joinstyle="round" dashstyle="dash"/>
                <v:imagedata o:title=""/>
                <o:lock v:ext="edit" aspectratio="f"/>
                <v:textbox>
                  <w:txbxContent>
                    <w:p/>
                  </w:txbxContent>
                </v:textbox>
              </v:roundrect>
            </w:pict>
          </mc:Fallback>
        </mc:AlternateContent>
      </w:r>
    </w:p>
    <w:p>
      <w:pPr>
        <w:pStyle w:val="15"/>
        <w:spacing w:line="360" w:lineRule="auto"/>
        <w:ind w:firstLine="1325" w:firstLineChars="550"/>
        <w:rPr>
          <w:rFonts w:ascii="宋体" w:hAnsi="宋体"/>
          <w:b/>
        </w:rPr>
      </w:pPr>
      <w:r>
        <w:rPr>
          <w:rFonts w:hint="eastAsia" w:ascii="宋体" w:hAnsi="宋体"/>
          <w:b/>
        </w:rPr>
        <w:t>法定代表人身份证复印件贴于此处，并加盖单位公章，否则该证明无效。</w:t>
      </w:r>
    </w:p>
    <w:p>
      <w:pPr>
        <w:pStyle w:val="15"/>
        <w:spacing w:line="360" w:lineRule="auto"/>
        <w:ind w:firstLine="0"/>
        <w:jc w:val="center"/>
        <w:rPr>
          <w:rFonts w:ascii="宋体" w:hAnsi="宋体"/>
          <w:sz w:val="30"/>
        </w:rPr>
      </w:pPr>
    </w:p>
    <w:p>
      <w:pPr>
        <w:pStyle w:val="15"/>
        <w:spacing w:line="360" w:lineRule="auto"/>
        <w:jc w:val="center"/>
        <w:rPr>
          <w:rFonts w:ascii="宋体" w:hAnsi="宋体"/>
          <w:sz w:val="30"/>
        </w:rPr>
      </w:pPr>
    </w:p>
    <w:p>
      <w:pPr>
        <w:pStyle w:val="15"/>
        <w:snapToGrid w:val="0"/>
        <w:spacing w:line="440" w:lineRule="exact"/>
        <w:ind w:firstLine="480" w:firstLineChars="200"/>
        <w:rPr>
          <w:rFonts w:ascii="宋体" w:hAnsi="宋体"/>
        </w:rPr>
      </w:pPr>
    </w:p>
    <w:p>
      <w:pPr>
        <w:pStyle w:val="15"/>
        <w:snapToGrid w:val="0"/>
        <w:spacing w:line="440" w:lineRule="exact"/>
        <w:ind w:firstLine="480" w:firstLineChars="200"/>
        <w:rPr>
          <w:rFonts w:ascii="宋体" w:hAnsi="宋体"/>
        </w:rPr>
      </w:pPr>
    </w:p>
    <w:p>
      <w:pPr>
        <w:pStyle w:val="15"/>
        <w:snapToGrid w:val="0"/>
        <w:spacing w:line="440" w:lineRule="exact"/>
        <w:ind w:firstLine="480" w:firstLineChars="200"/>
        <w:rPr>
          <w:rFonts w:ascii="宋体" w:hAnsi="宋体"/>
        </w:rPr>
      </w:pPr>
    </w:p>
    <w:p>
      <w:pPr>
        <w:pStyle w:val="15"/>
        <w:snapToGrid w:val="0"/>
        <w:spacing w:line="440" w:lineRule="exact"/>
        <w:ind w:firstLine="3840" w:firstLineChars="1600"/>
        <w:jc w:val="right"/>
        <w:rPr>
          <w:rFonts w:ascii="宋体" w:hAnsi="宋体"/>
        </w:rPr>
      </w:pPr>
      <w:r>
        <w:rPr>
          <w:rFonts w:hint="eastAsia" w:ascii="宋体" w:hAnsi="宋体"/>
        </w:rPr>
        <w:t>投标人：</w:t>
      </w:r>
      <w:r>
        <w:rPr>
          <w:rFonts w:hint="eastAsia" w:ascii="宋体" w:hAnsi="宋体"/>
          <w:u w:val="single"/>
        </w:rPr>
        <w:t xml:space="preserve">                 </w:t>
      </w:r>
      <w:r>
        <w:rPr>
          <w:rFonts w:hint="eastAsia" w:ascii="宋体" w:hAnsi="宋体"/>
        </w:rPr>
        <w:t>(盖单位章)</w:t>
      </w:r>
    </w:p>
    <w:p>
      <w:pPr>
        <w:pStyle w:val="15"/>
        <w:snapToGrid w:val="0"/>
        <w:spacing w:line="440" w:lineRule="exact"/>
        <w:ind w:firstLine="3840" w:firstLineChars="1600"/>
        <w:jc w:val="right"/>
        <w:rPr>
          <w:rFonts w:ascii="宋体" w:hAnsi="宋体"/>
          <w:u w:val="single"/>
        </w:rPr>
      </w:pPr>
      <w:r>
        <w:rPr>
          <w:rFonts w:hint="eastAsia" w:ascii="宋体" w:hAnsi="宋体"/>
        </w:rPr>
        <w:t>日   期：</w:t>
      </w:r>
      <w:r>
        <w:rPr>
          <w:rFonts w:hint="eastAsia" w:ascii="宋体" w:hAnsi="宋体"/>
          <w:u w:val="single"/>
        </w:rPr>
        <w:t xml:space="preserve">        </w:t>
      </w:r>
      <w:r>
        <w:rPr>
          <w:rFonts w:hint="eastAsia" w:ascii="宋体" w:hAnsi="宋体"/>
        </w:rPr>
        <w:t>年</w:t>
      </w:r>
      <w:r>
        <w:rPr>
          <w:rFonts w:hint="eastAsia" w:ascii="宋体" w:hAnsi="宋体"/>
          <w:u w:val="single"/>
        </w:rPr>
        <w:t xml:space="preserve">      </w:t>
      </w:r>
      <w:r>
        <w:rPr>
          <w:rFonts w:hint="eastAsia" w:ascii="宋体" w:hAnsi="宋体"/>
        </w:rPr>
        <w:t>月</w:t>
      </w:r>
      <w:r>
        <w:rPr>
          <w:rFonts w:hint="eastAsia" w:ascii="宋体" w:hAnsi="宋体"/>
          <w:u w:val="single"/>
        </w:rPr>
        <w:t xml:space="preserve">      </w:t>
      </w:r>
      <w:r>
        <w:rPr>
          <w:rFonts w:hint="eastAsia" w:ascii="宋体" w:hAnsi="宋体"/>
        </w:rPr>
        <w:t>日</w:t>
      </w:r>
    </w:p>
    <w:p>
      <w:pPr>
        <w:pStyle w:val="15"/>
        <w:spacing w:line="360" w:lineRule="auto"/>
        <w:ind w:firstLine="0"/>
        <w:jc w:val="center"/>
        <w:rPr>
          <w:rFonts w:ascii="宋体" w:hAnsi="宋体"/>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r>
        <w:rPr>
          <w:sz w:val="25"/>
        </w:rPr>
        <w:br w:type="page"/>
      </w:r>
    </w:p>
    <w:p>
      <w:pPr>
        <w:pStyle w:val="15"/>
        <w:snapToGrid w:val="0"/>
        <w:spacing w:line="440" w:lineRule="exact"/>
        <w:ind w:firstLine="0"/>
        <w:jc w:val="center"/>
        <w:outlineLvl w:val="1"/>
        <w:rPr>
          <w:sz w:val="28"/>
          <w:szCs w:val="28"/>
        </w:rPr>
      </w:pPr>
      <w:r>
        <w:rPr>
          <w:rFonts w:hAnsi="宋体"/>
          <w:sz w:val="28"/>
          <w:szCs w:val="28"/>
        </w:rPr>
        <w:t>三、授权委托书</w:t>
      </w:r>
    </w:p>
    <w:p>
      <w:pPr>
        <w:pStyle w:val="15"/>
        <w:snapToGrid w:val="0"/>
        <w:spacing w:line="440" w:lineRule="exact"/>
        <w:ind w:firstLine="480"/>
      </w:pPr>
    </w:p>
    <w:p>
      <w:pPr>
        <w:pStyle w:val="15"/>
        <w:snapToGrid w:val="0"/>
        <w:spacing w:line="440" w:lineRule="exact"/>
        <w:ind w:firstLine="480" w:firstLineChars="200"/>
        <w:rPr>
          <w:rFonts w:ascii="宋体" w:hAnsi="宋体"/>
        </w:rPr>
      </w:pPr>
      <w:r>
        <w:rPr>
          <w:rFonts w:hint="eastAsia" w:ascii="宋体" w:hAnsi="宋体"/>
        </w:rPr>
        <w:t>本授权委托书声明：本人</w:t>
      </w:r>
      <w:r>
        <w:rPr>
          <w:rFonts w:hint="eastAsia" w:ascii="宋体" w:hAnsi="宋体"/>
          <w:u w:val="single"/>
        </w:rPr>
        <w:t xml:space="preserve">           </w:t>
      </w:r>
      <w:r>
        <w:rPr>
          <w:rFonts w:hint="eastAsia" w:ascii="宋体" w:hAnsi="宋体"/>
        </w:rPr>
        <w:t>(姓名)系</w:t>
      </w:r>
      <w:r>
        <w:rPr>
          <w:rFonts w:hint="eastAsia" w:ascii="宋体" w:hAnsi="宋体"/>
          <w:u w:val="single"/>
        </w:rPr>
        <w:t xml:space="preserve">                       </w:t>
      </w:r>
      <w:r>
        <w:rPr>
          <w:rFonts w:hint="eastAsia" w:ascii="宋体" w:hAnsi="宋体"/>
        </w:rPr>
        <w:t>(投标人单位名称)的法定代表人，现委托</w:t>
      </w:r>
      <w:r>
        <w:rPr>
          <w:rFonts w:hint="eastAsia" w:ascii="宋体" w:hAnsi="宋体"/>
          <w:u w:val="single"/>
        </w:rPr>
        <w:t xml:space="preserve">        </w:t>
      </w:r>
      <w:r>
        <w:rPr>
          <w:rFonts w:hint="eastAsia" w:ascii="宋体" w:hAnsi="宋体"/>
        </w:rPr>
        <w:t>(姓名)（身份证号：</w:t>
      </w:r>
      <w:r>
        <w:rPr>
          <w:rFonts w:hint="eastAsia" w:ascii="宋体" w:hAnsi="宋体"/>
          <w:u w:val="single"/>
        </w:rPr>
        <w:t xml:space="preserve">                   </w:t>
      </w:r>
      <w:r>
        <w:rPr>
          <w:rFonts w:hint="eastAsia" w:ascii="宋体" w:hAnsi="宋体"/>
        </w:rPr>
        <w:t>）为我方代理人。代理人根据授权，以我方名义签署、澄清、说明、补正、递交、撤回、修改</w:t>
      </w:r>
      <w:r>
        <w:rPr>
          <w:rFonts w:hint="eastAsia" w:ascii="宋体" w:hAnsi="宋体"/>
          <w:u w:val="single"/>
        </w:rPr>
        <w:t xml:space="preserve">                    </w:t>
      </w:r>
      <w:r>
        <w:rPr>
          <w:rFonts w:hint="eastAsia" w:ascii="宋体" w:hAnsi="宋体"/>
        </w:rPr>
        <w:t>（项目名称）施工投标文件，签订合同和处理有关事宜，其法律后果由我方承担。</w:t>
      </w:r>
    </w:p>
    <w:p>
      <w:pPr>
        <w:pStyle w:val="15"/>
        <w:snapToGrid w:val="0"/>
        <w:spacing w:line="440" w:lineRule="exact"/>
        <w:ind w:firstLine="480"/>
        <w:rPr>
          <w:rFonts w:ascii="宋体" w:hAnsi="宋体"/>
        </w:rPr>
      </w:pPr>
      <w:r>
        <w:rPr>
          <w:rFonts w:hint="eastAsia" w:ascii="宋体" w:hAnsi="宋体"/>
        </w:rPr>
        <w:t>委托期限：</w:t>
      </w:r>
      <w:r>
        <w:rPr>
          <w:rFonts w:hint="eastAsia" w:ascii="宋体" w:hAnsi="宋体"/>
          <w:u w:val="single"/>
        </w:rPr>
        <w:t xml:space="preserve">             </w:t>
      </w:r>
      <w:r>
        <w:rPr>
          <w:rFonts w:hint="eastAsia" w:ascii="宋体" w:hAnsi="宋体"/>
        </w:rPr>
        <w:t>。</w:t>
      </w:r>
    </w:p>
    <w:p>
      <w:pPr>
        <w:pStyle w:val="15"/>
        <w:snapToGrid w:val="0"/>
        <w:spacing w:line="440" w:lineRule="exact"/>
        <w:ind w:firstLine="480" w:firstLineChars="200"/>
        <w:jc w:val="left"/>
        <w:rPr>
          <w:rFonts w:ascii="宋体" w:hAnsi="宋体"/>
          <w:sz w:val="28"/>
          <w:szCs w:val="28"/>
        </w:rPr>
      </w:pPr>
      <w:r>
        <w:rPr>
          <w:rFonts w:hint="eastAsia" w:ascii="宋体" w:hAnsi="宋体"/>
        </w:rPr>
        <w:t>授权委托人联系电话：</w:t>
      </w:r>
      <w:r>
        <w:rPr>
          <w:rFonts w:hint="eastAsia" w:ascii="宋体" w:hAnsi="宋体"/>
          <w:sz w:val="28"/>
          <w:szCs w:val="28"/>
          <w:u w:val="single"/>
        </w:rPr>
        <w:t xml:space="preserve">                          </w:t>
      </w:r>
    </w:p>
    <w:p>
      <w:pPr>
        <w:pStyle w:val="15"/>
        <w:snapToGrid w:val="0"/>
        <w:spacing w:line="440" w:lineRule="exact"/>
        <w:ind w:firstLine="480" w:firstLineChars="200"/>
        <w:rPr>
          <w:rFonts w:ascii="宋体" w:hAnsi="宋体"/>
        </w:rPr>
      </w:pPr>
      <w:r>
        <w:rPr>
          <w:rFonts w:hint="eastAsia" w:ascii="宋体" w:hAnsi="宋体"/>
        </w:rPr>
        <w:t>代理人无转委托权。</w:t>
      </w: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r>
        <w:rPr>
          <w:rFonts w:hint="eastAsia" w:ascii="宋体" w:hAnsi="宋体"/>
        </w:rPr>
        <w:t>代理人：</w:t>
      </w:r>
      <w:r>
        <w:rPr>
          <w:rFonts w:hint="eastAsia" w:ascii="宋体" w:hAnsi="宋体"/>
          <w:u w:val="single"/>
        </w:rPr>
        <w:t xml:space="preserve">          </w:t>
      </w:r>
      <w:r>
        <w:rPr>
          <w:rFonts w:hint="eastAsia" w:ascii="宋体" w:hAnsi="宋体"/>
        </w:rPr>
        <w:t xml:space="preserve"> 性别：</w:t>
      </w:r>
      <w:r>
        <w:rPr>
          <w:rFonts w:hint="eastAsia" w:ascii="宋体" w:hAnsi="宋体"/>
          <w:u w:val="single"/>
        </w:rPr>
        <w:t xml:space="preserve">                </w:t>
      </w:r>
      <w:r>
        <w:rPr>
          <w:rFonts w:hint="eastAsia" w:ascii="宋体" w:hAnsi="宋体"/>
        </w:rPr>
        <w:t>年龄：</w:t>
      </w:r>
      <w:r>
        <w:rPr>
          <w:rFonts w:hint="eastAsia" w:ascii="宋体" w:hAnsi="宋体"/>
          <w:u w:val="single"/>
        </w:rPr>
        <w:t xml:space="preserve">               </w:t>
      </w:r>
    </w:p>
    <w:p>
      <w:pPr>
        <w:pStyle w:val="15"/>
        <w:snapToGrid w:val="0"/>
        <w:spacing w:line="440" w:lineRule="exact"/>
        <w:ind w:firstLine="0"/>
        <w:rPr>
          <w:rFonts w:ascii="宋体" w:hAnsi="宋体"/>
        </w:rPr>
      </w:pPr>
      <w:r>
        <w:rPr>
          <w:rFonts w:hint="eastAsia" w:ascii="宋体" w:hAnsi="宋体"/>
        </w:rPr>
        <w:t>代理人单位：</w:t>
      </w:r>
      <w:r>
        <w:rPr>
          <w:rFonts w:hint="eastAsia" w:ascii="宋体" w:hAnsi="宋体"/>
          <w:u w:val="single"/>
        </w:rPr>
        <w:t xml:space="preserve">                    </w:t>
      </w:r>
      <w:r>
        <w:rPr>
          <w:rFonts w:hint="eastAsia" w:ascii="宋体" w:hAnsi="宋体"/>
        </w:rPr>
        <w:t>部门：</w:t>
      </w:r>
      <w:r>
        <w:rPr>
          <w:rFonts w:hint="eastAsia" w:ascii="宋体" w:hAnsi="宋体"/>
          <w:u w:val="single"/>
        </w:rPr>
        <w:t xml:space="preserve">              </w:t>
      </w:r>
      <w:r>
        <w:rPr>
          <w:rFonts w:hint="eastAsia" w:ascii="宋体" w:hAnsi="宋体"/>
        </w:rPr>
        <w:t>职务：</w:t>
      </w:r>
      <w:r>
        <w:rPr>
          <w:rFonts w:hint="eastAsia" w:ascii="宋体" w:hAnsi="宋体"/>
          <w:u w:val="single"/>
        </w:rPr>
        <w:t xml:space="preserve">               </w:t>
      </w: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r>
        <w:rPr>
          <w:rFonts w:hint="eastAsia" w:ascii="宋体" w:hAnsi="宋体"/>
        </w:rPr>
        <w:t>投标人：</w:t>
      </w:r>
      <w:r>
        <w:rPr>
          <w:rFonts w:hint="eastAsia" w:ascii="宋体" w:hAnsi="宋体"/>
          <w:u w:val="single"/>
        </w:rPr>
        <w:t xml:space="preserve">                       </w:t>
      </w:r>
      <w:r>
        <w:rPr>
          <w:rFonts w:hint="eastAsia" w:ascii="宋体" w:hAnsi="宋体"/>
        </w:rPr>
        <w:t>(盖单位章)</w:t>
      </w: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r>
        <w:rPr>
          <w:rFonts w:hint="eastAsia" w:ascii="宋体" w:hAnsi="宋体"/>
        </w:rPr>
        <w:t xml:space="preserve">法定代表人： </w:t>
      </w:r>
      <w:r>
        <w:rPr>
          <w:rFonts w:hint="eastAsia" w:ascii="宋体" w:hAnsi="宋体"/>
          <w:u w:val="single"/>
        </w:rPr>
        <w:t xml:space="preserve">                      </w:t>
      </w:r>
      <w:r>
        <w:rPr>
          <w:rFonts w:hint="eastAsia" w:ascii="宋体" w:hAnsi="宋体"/>
        </w:rPr>
        <w:t>(签字或印章)</w:t>
      </w:r>
    </w:p>
    <w:p>
      <w:pPr>
        <w:pStyle w:val="15"/>
        <w:snapToGrid w:val="0"/>
        <w:spacing w:line="440" w:lineRule="exact"/>
        <w:ind w:firstLine="0"/>
        <w:rPr>
          <w:rFonts w:ascii="宋体" w:hAnsi="宋体"/>
        </w:rPr>
      </w:pPr>
    </w:p>
    <w:p>
      <w:pPr>
        <w:pStyle w:val="15"/>
        <w:jc w:val="left"/>
        <w:rPr>
          <w:rFonts w:ascii="宋体" w:hAnsi="宋体"/>
          <w:sz w:val="30"/>
        </w:rPr>
      </w:pPr>
    </w:p>
    <w:p>
      <w:pPr>
        <w:pStyle w:val="15"/>
        <w:spacing w:line="360" w:lineRule="auto"/>
        <w:ind w:firstLine="0"/>
        <w:jc w:val="center"/>
        <w:rPr>
          <w:rFonts w:ascii="宋体" w:hAnsi="宋体"/>
          <w:sz w:val="30"/>
        </w:rPr>
      </w:pPr>
      <w:r>
        <w:rPr>
          <w:rFonts w:ascii="宋体" w:hAnsi="宋体"/>
          <w:sz w:val="30"/>
        </w:rPr>
        <mc:AlternateContent>
          <mc:Choice Requires="wps">
            <w:drawing>
              <wp:anchor distT="0" distB="0" distL="114300" distR="114300" simplePos="0" relativeHeight="251660288" behindDoc="0" locked="0" layoutInCell="1" allowOverlap="1">
                <wp:simplePos x="0" y="0"/>
                <wp:positionH relativeFrom="column">
                  <wp:posOffset>268605</wp:posOffset>
                </wp:positionH>
                <wp:positionV relativeFrom="paragraph">
                  <wp:posOffset>12065</wp:posOffset>
                </wp:positionV>
                <wp:extent cx="5586095" cy="1889125"/>
                <wp:effectExtent l="7620" t="7620" r="26035" b="8255"/>
                <wp:wrapNone/>
                <wp:docPr id="2" name="圆角矩形 2"/>
                <wp:cNvGraphicFramePr/>
                <a:graphic xmlns:a="http://schemas.openxmlformats.org/drawingml/2006/main">
                  <a:graphicData uri="http://schemas.microsoft.com/office/word/2010/wordprocessingShape">
                    <wps:wsp>
                      <wps:cNvSpPr/>
                      <wps:spPr>
                        <a:xfrm>
                          <a:off x="0" y="0"/>
                          <a:ext cx="5586095" cy="1889125"/>
                        </a:xfrm>
                        <a:prstGeom prst="roundRect">
                          <a:avLst>
                            <a:gd name="adj" fmla="val 16667"/>
                          </a:avLst>
                        </a:prstGeom>
                        <a:noFill/>
                        <a:ln w="15875" cap="flat" cmpd="sng">
                          <a:solidFill>
                            <a:srgbClr val="000000"/>
                          </a:solidFill>
                          <a:prstDash val="dash"/>
                          <a:headEnd type="none" w="med" len="med"/>
                          <a:tailEnd type="none" w="med" len="med"/>
                        </a:ln>
                        <a:effectLst/>
                      </wps:spPr>
                      <wps:txbx>
                        <w:txbxContent>
                          <w:p/>
                        </w:txbxContent>
                      </wps:txbx>
                      <wps:bodyPr upright="1"/>
                    </wps:wsp>
                  </a:graphicData>
                </a:graphic>
              </wp:anchor>
            </w:drawing>
          </mc:Choice>
          <mc:Fallback>
            <w:pict>
              <v:roundrect id="_x0000_s1026" o:spid="_x0000_s1026" o:spt="2" style="position:absolute;left:0pt;margin-left:21.15pt;margin-top:0.95pt;height:148.75pt;width:439.85pt;z-index:251660288;mso-width-relative:page;mso-height-relative:page;" filled="f" stroked="t" coordsize="21600,21600" arcsize="0.166666666666667" o:gfxdata="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rp&#10;crjWAAAACAEAAA8AAAAAAAAAAQAgAAAAIgAAAGRycy9kb3ducmV2LnhtbFBLAQIUABQAAAAIAIdO&#10;4kBTTH1nJQIAADwEAAAOAAAAAAAAAAEAIAAAACUBAABkcnMvZTJvRG9jLnhtbFBLBQYAAAAABgAG&#10;AFkBAAC8BQAAAAA=&#10;">
                <v:fill on="f" focussize="0,0"/>
                <v:stroke weight="1.25pt" color="#000000" joinstyle="round" dashstyle="dash"/>
                <v:imagedata o:title=""/>
                <o:lock v:ext="edit" aspectratio="f"/>
                <v:textbox>
                  <w:txbxContent>
                    <w:p/>
                  </w:txbxContent>
                </v:textbox>
              </v:roundrect>
            </w:pict>
          </mc:Fallback>
        </mc:AlternateContent>
      </w:r>
    </w:p>
    <w:p>
      <w:pPr>
        <w:pStyle w:val="15"/>
        <w:spacing w:line="360" w:lineRule="auto"/>
        <w:ind w:firstLine="0"/>
        <w:jc w:val="center"/>
        <w:rPr>
          <w:rFonts w:ascii="宋体" w:hAnsi="宋体"/>
        </w:rPr>
      </w:pPr>
      <w:r>
        <w:rPr>
          <w:rFonts w:hint="eastAsia" w:ascii="宋体" w:hAnsi="宋体"/>
        </w:rPr>
        <w:t xml:space="preserve">    法定代表授权委托人身份证复印件贴于此处，并加盖单位公章，否则该证明无效。</w:t>
      </w:r>
    </w:p>
    <w:p>
      <w:pPr>
        <w:pStyle w:val="15"/>
        <w:spacing w:line="360" w:lineRule="auto"/>
        <w:ind w:firstLine="0"/>
        <w:jc w:val="center"/>
        <w:rPr>
          <w:rFonts w:ascii="宋体" w:hAnsi="宋体"/>
          <w:sz w:val="30"/>
        </w:rPr>
      </w:pPr>
    </w:p>
    <w:p>
      <w:pPr>
        <w:pStyle w:val="15"/>
        <w:spacing w:line="360" w:lineRule="auto"/>
        <w:ind w:firstLine="0"/>
        <w:jc w:val="center"/>
        <w:rPr>
          <w:rFonts w:ascii="宋体" w:hAnsi="宋体"/>
          <w:sz w:val="30"/>
        </w:rPr>
      </w:pPr>
    </w:p>
    <w:p>
      <w:pPr>
        <w:pStyle w:val="15"/>
        <w:snapToGrid w:val="0"/>
        <w:spacing w:line="440" w:lineRule="exact"/>
        <w:ind w:firstLine="0"/>
        <w:rPr>
          <w:rFonts w:ascii="宋体" w:hAnsi="宋体"/>
        </w:rPr>
      </w:pPr>
    </w:p>
    <w:p>
      <w:pPr>
        <w:pStyle w:val="15"/>
        <w:snapToGrid w:val="0"/>
        <w:spacing w:line="440" w:lineRule="exact"/>
        <w:ind w:firstLine="0"/>
        <w:jc w:val="right"/>
        <w:rPr>
          <w:rFonts w:ascii="宋体" w:hAnsi="宋体"/>
        </w:rPr>
      </w:pPr>
    </w:p>
    <w:p>
      <w:pPr>
        <w:pStyle w:val="15"/>
        <w:snapToGrid w:val="0"/>
        <w:spacing w:line="440" w:lineRule="exact"/>
        <w:ind w:firstLine="0"/>
        <w:jc w:val="right"/>
        <w:rPr>
          <w:rFonts w:ascii="宋体" w:hAnsi="宋体"/>
        </w:rPr>
      </w:pPr>
    </w:p>
    <w:p>
      <w:pPr>
        <w:pStyle w:val="15"/>
        <w:snapToGrid w:val="0"/>
        <w:spacing w:line="440" w:lineRule="exact"/>
        <w:ind w:firstLine="0"/>
        <w:jc w:val="right"/>
        <w:rPr>
          <w:rFonts w:ascii="宋体" w:hAnsi="宋体"/>
        </w:rPr>
      </w:pPr>
      <w:r>
        <w:rPr>
          <w:rFonts w:hint="eastAsia" w:ascii="宋体" w:hAnsi="宋体"/>
        </w:rPr>
        <w:t>日期：</w:t>
      </w:r>
      <w:r>
        <w:rPr>
          <w:rFonts w:hint="eastAsia" w:ascii="宋体" w:hAnsi="宋体"/>
          <w:u w:val="single"/>
        </w:rPr>
        <w:t xml:space="preserve">         </w:t>
      </w:r>
      <w:r>
        <w:rPr>
          <w:rFonts w:hint="eastAsia" w:ascii="宋体" w:hAnsi="宋体"/>
        </w:rPr>
        <w:t>年</w:t>
      </w:r>
      <w:r>
        <w:rPr>
          <w:rFonts w:hint="eastAsia" w:ascii="宋体" w:hAnsi="宋体"/>
          <w:u w:val="single"/>
        </w:rPr>
        <w:t xml:space="preserve">       </w:t>
      </w:r>
      <w:r>
        <w:rPr>
          <w:rFonts w:hint="eastAsia" w:ascii="宋体" w:hAnsi="宋体"/>
        </w:rPr>
        <w:t>月</w:t>
      </w:r>
      <w:r>
        <w:rPr>
          <w:rFonts w:hint="eastAsia" w:ascii="宋体" w:hAnsi="宋体"/>
          <w:u w:val="single"/>
        </w:rPr>
        <w:t xml:space="preserve">      </w:t>
      </w:r>
      <w:r>
        <w:rPr>
          <w:rFonts w:hint="eastAsia" w:ascii="宋体" w:hAnsi="宋体"/>
        </w:rPr>
        <w:t>日</w:t>
      </w:r>
    </w:p>
    <w:p>
      <w:pPr>
        <w:pStyle w:val="15"/>
        <w:spacing w:line="360" w:lineRule="auto"/>
        <w:ind w:firstLine="0"/>
        <w:rPr>
          <w:rFonts w:ascii="宋体" w:hAnsi="宋体"/>
          <w:b/>
        </w:rPr>
      </w:pPr>
      <w:r>
        <w:rPr>
          <w:rFonts w:hint="eastAsia" w:ascii="宋体" w:hAnsi="宋体"/>
          <w:b/>
        </w:rPr>
        <w:t>备注：若系投标人的法定代表人亲自参与本项目投标的一切活动，并签署投标文件，则无需此授权书。</w:t>
      </w:r>
    </w:p>
    <w:p>
      <w:pPr>
        <w:pStyle w:val="15"/>
        <w:spacing w:line="360" w:lineRule="auto"/>
        <w:ind w:firstLine="0"/>
        <w:jc w:val="center"/>
      </w:pPr>
    </w:p>
    <w:p>
      <w:pPr>
        <w:pStyle w:val="15"/>
        <w:snapToGrid w:val="0"/>
        <w:spacing w:line="440" w:lineRule="exact"/>
        <w:ind w:firstLine="0"/>
        <w:jc w:val="center"/>
        <w:outlineLvl w:val="1"/>
        <w:rPr>
          <w:sz w:val="28"/>
          <w:szCs w:val="28"/>
        </w:rPr>
      </w:pPr>
      <w:r>
        <w:rPr>
          <w:rFonts w:hAnsi="宋体"/>
          <w:sz w:val="28"/>
          <w:szCs w:val="28"/>
        </w:rPr>
        <w:t>四、已标价的工程量清单</w:t>
      </w:r>
      <w:bookmarkEnd w:id="570"/>
    </w:p>
    <w:p>
      <w:pPr>
        <w:pStyle w:val="76"/>
        <w:spacing w:line="420" w:lineRule="atLeast"/>
        <w:rPr>
          <w:rFonts w:ascii="宋体" w:hAnsi="宋体"/>
          <w:szCs w:val="21"/>
          <w:u w:val="single"/>
        </w:rPr>
      </w:pPr>
    </w:p>
    <w:p>
      <w:pPr>
        <w:pStyle w:val="76"/>
        <w:spacing w:line="420" w:lineRule="atLeast"/>
        <w:rPr>
          <w:rFonts w:ascii="宋体" w:hAnsi="宋体"/>
          <w:sz w:val="32"/>
        </w:rPr>
      </w:pPr>
      <w:r>
        <w:rPr>
          <w:rFonts w:hint="eastAsia" w:ascii="宋体" w:hAnsi="宋体"/>
          <w:szCs w:val="21"/>
          <w:u w:val="single"/>
        </w:rPr>
        <w:t xml:space="preserve">                                 </w:t>
      </w:r>
      <w:r>
        <w:rPr>
          <w:rFonts w:hint="eastAsia" w:ascii="宋体" w:hAnsi="宋体"/>
          <w:sz w:val="32"/>
        </w:rPr>
        <w:t>工程</w:t>
      </w:r>
    </w:p>
    <w:p>
      <w:pPr>
        <w:pStyle w:val="76"/>
        <w:spacing w:line="420" w:lineRule="atLeast"/>
        <w:rPr>
          <w:rFonts w:ascii="宋体" w:hAnsi="宋体"/>
          <w:sz w:val="32"/>
        </w:rPr>
      </w:pPr>
    </w:p>
    <w:p>
      <w:pPr>
        <w:pStyle w:val="76"/>
        <w:spacing w:line="420" w:lineRule="atLeast"/>
        <w:rPr>
          <w:rFonts w:ascii="宋体" w:hAnsi="宋体"/>
          <w:sz w:val="84"/>
          <w:szCs w:val="84"/>
        </w:rPr>
      </w:pPr>
    </w:p>
    <w:p>
      <w:pPr>
        <w:pStyle w:val="76"/>
        <w:spacing w:line="420" w:lineRule="atLeast"/>
        <w:rPr>
          <w:rFonts w:ascii="宋体" w:hAnsi="宋体"/>
          <w:sz w:val="84"/>
          <w:szCs w:val="84"/>
        </w:rPr>
      </w:pPr>
    </w:p>
    <w:p>
      <w:pPr>
        <w:pStyle w:val="76"/>
        <w:spacing w:line="420" w:lineRule="atLeast"/>
        <w:rPr>
          <w:rFonts w:ascii="宋体" w:hAnsi="宋体"/>
          <w:sz w:val="72"/>
          <w:szCs w:val="72"/>
        </w:rPr>
      </w:pPr>
      <w:r>
        <w:rPr>
          <w:rFonts w:hint="eastAsia" w:ascii="宋体" w:hAnsi="宋体"/>
          <w:sz w:val="72"/>
          <w:szCs w:val="72"/>
        </w:rPr>
        <w:t>投标总价</w:t>
      </w:r>
    </w:p>
    <w:p>
      <w:pPr>
        <w:pStyle w:val="76"/>
        <w:spacing w:line="420" w:lineRule="atLeast"/>
        <w:rPr>
          <w:rFonts w:ascii="宋体" w:hAnsi="宋体"/>
          <w:sz w:val="32"/>
        </w:rPr>
      </w:pPr>
    </w:p>
    <w:p>
      <w:pPr>
        <w:pStyle w:val="76"/>
        <w:spacing w:line="420" w:lineRule="atLeast"/>
        <w:rPr>
          <w:rFonts w:ascii="宋体" w:hAnsi="宋体"/>
          <w:sz w:val="32"/>
        </w:rPr>
      </w:pPr>
    </w:p>
    <w:p>
      <w:pPr>
        <w:pStyle w:val="76"/>
        <w:spacing w:line="420" w:lineRule="atLeast"/>
        <w:jc w:val="both"/>
        <w:rPr>
          <w:rFonts w:ascii="宋体" w:hAnsi="宋体"/>
          <w:sz w:val="32"/>
        </w:rPr>
      </w:pPr>
    </w:p>
    <w:p>
      <w:pPr>
        <w:pStyle w:val="76"/>
        <w:spacing w:line="420" w:lineRule="atLeast"/>
        <w:jc w:val="both"/>
        <w:rPr>
          <w:rFonts w:ascii="宋体" w:hAnsi="宋体"/>
          <w:sz w:val="32"/>
        </w:rPr>
      </w:pPr>
    </w:p>
    <w:p>
      <w:pPr>
        <w:pStyle w:val="76"/>
        <w:spacing w:line="420" w:lineRule="atLeast"/>
        <w:rPr>
          <w:rFonts w:ascii="宋体" w:hAnsi="宋体"/>
          <w:sz w:val="32"/>
        </w:rPr>
      </w:pPr>
    </w:p>
    <w:p>
      <w:pPr>
        <w:pStyle w:val="76"/>
        <w:spacing w:line="420" w:lineRule="atLeast"/>
        <w:rPr>
          <w:rFonts w:ascii="宋体" w:hAnsi="宋体"/>
          <w:sz w:val="32"/>
          <w:u w:val="single"/>
        </w:rPr>
      </w:pPr>
      <w:r>
        <w:rPr>
          <w:rFonts w:hint="eastAsia" w:ascii="宋体" w:hAnsi="宋体"/>
          <w:sz w:val="32"/>
        </w:rPr>
        <w:t>投标人：</w:t>
      </w:r>
      <w:r>
        <w:rPr>
          <w:rFonts w:hint="eastAsia" w:ascii="宋体" w:hAnsi="宋体"/>
          <w:sz w:val="32"/>
          <w:u w:val="single"/>
        </w:rPr>
        <w:t xml:space="preserve">                        （单位盖章）</w:t>
      </w:r>
    </w:p>
    <w:p>
      <w:pPr>
        <w:pStyle w:val="76"/>
        <w:spacing w:line="420" w:lineRule="atLeast"/>
        <w:rPr>
          <w:rFonts w:ascii="宋体" w:hAnsi="宋体"/>
          <w:szCs w:val="21"/>
        </w:rPr>
      </w:pPr>
      <w:r>
        <w:rPr>
          <w:rFonts w:hint="eastAsia" w:ascii="宋体" w:hAnsi="宋体"/>
          <w:sz w:val="32"/>
        </w:rPr>
        <w:t xml:space="preserve">年   月   日   </w:t>
      </w:r>
    </w:p>
    <w:p>
      <w:pPr>
        <w:pStyle w:val="15"/>
        <w:spacing w:line="360" w:lineRule="auto"/>
        <w:ind w:firstLine="0"/>
        <w:jc w:val="center"/>
        <w:rPr>
          <w:sz w:val="25"/>
        </w:rPr>
      </w:pPr>
    </w:p>
    <w:p>
      <w:pPr>
        <w:spacing w:line="420" w:lineRule="atLeast"/>
        <w:rPr>
          <w:kern w:val="0"/>
          <w:sz w:val="24"/>
        </w:rPr>
      </w:pPr>
    </w:p>
    <w:p>
      <w:pPr>
        <w:spacing w:line="420" w:lineRule="atLeast"/>
        <w:rPr>
          <w:kern w:val="0"/>
          <w:sz w:val="24"/>
        </w:rPr>
      </w:pPr>
    </w:p>
    <w:p>
      <w:pPr>
        <w:spacing w:line="420" w:lineRule="atLeast"/>
        <w:rPr>
          <w:kern w:val="0"/>
          <w:sz w:val="24"/>
        </w:rPr>
      </w:pPr>
    </w:p>
    <w:p>
      <w:pPr>
        <w:ind w:right="450"/>
        <w:jc w:val="right"/>
        <w:rPr>
          <w:szCs w:val="21"/>
        </w:rPr>
      </w:pPr>
    </w:p>
    <w:p>
      <w:pPr>
        <w:ind w:right="450"/>
        <w:jc w:val="right"/>
        <w:rPr>
          <w:szCs w:val="21"/>
        </w:rPr>
      </w:pPr>
    </w:p>
    <w:p>
      <w:pPr>
        <w:ind w:right="450"/>
        <w:jc w:val="right"/>
        <w:rPr>
          <w:szCs w:val="21"/>
        </w:rPr>
      </w:pPr>
    </w:p>
    <w:p>
      <w:pPr>
        <w:pStyle w:val="15"/>
        <w:snapToGrid w:val="0"/>
        <w:spacing w:line="440" w:lineRule="exact"/>
        <w:ind w:firstLine="0"/>
        <w:jc w:val="center"/>
        <w:outlineLvl w:val="1"/>
        <w:rPr>
          <w:sz w:val="28"/>
          <w:szCs w:val="28"/>
        </w:rPr>
      </w:pPr>
      <w:bookmarkStart w:id="571" w:name="_Toc286661180"/>
      <w:r>
        <w:rPr>
          <w:rFonts w:hAnsi="宋体"/>
          <w:sz w:val="28"/>
          <w:szCs w:val="28"/>
        </w:rPr>
        <w:t>投标总价</w:t>
      </w:r>
      <w:bookmarkEnd w:id="571"/>
    </w:p>
    <w:p>
      <w:pPr>
        <w:adjustRightInd w:val="0"/>
        <w:snapToGrid w:val="0"/>
        <w:spacing w:line="440" w:lineRule="exact"/>
        <w:rPr>
          <w:sz w:val="30"/>
          <w:szCs w:val="30"/>
        </w:rPr>
      </w:pPr>
    </w:p>
    <w:p>
      <w:pPr>
        <w:adjustRightInd w:val="0"/>
        <w:snapToGrid w:val="0"/>
        <w:spacing w:line="440" w:lineRule="exact"/>
        <w:rPr>
          <w:sz w:val="30"/>
          <w:szCs w:val="30"/>
        </w:rPr>
      </w:pPr>
    </w:p>
    <w:p>
      <w:pPr>
        <w:adjustRightInd w:val="0"/>
        <w:snapToGrid w:val="0"/>
        <w:spacing w:line="440" w:lineRule="exact"/>
        <w:rPr>
          <w:sz w:val="30"/>
          <w:szCs w:val="30"/>
        </w:rPr>
      </w:pPr>
    </w:p>
    <w:p>
      <w:pPr>
        <w:adjustRightInd w:val="0"/>
        <w:snapToGrid w:val="0"/>
        <w:spacing w:line="440" w:lineRule="exact"/>
        <w:rPr>
          <w:sz w:val="30"/>
          <w:szCs w:val="30"/>
          <w:u w:val="single"/>
        </w:rPr>
      </w:pPr>
      <w:r>
        <w:rPr>
          <w:rFonts w:hAnsi="宋体"/>
          <w:kern w:val="0"/>
          <w:sz w:val="30"/>
          <w:szCs w:val="30"/>
        </w:rPr>
        <w:t>招标人：</w:t>
      </w:r>
    </w:p>
    <w:p>
      <w:pPr>
        <w:adjustRightInd w:val="0"/>
        <w:snapToGrid w:val="0"/>
        <w:spacing w:line="440" w:lineRule="exact"/>
        <w:rPr>
          <w:sz w:val="30"/>
          <w:szCs w:val="30"/>
        </w:rPr>
      </w:pPr>
    </w:p>
    <w:p>
      <w:pPr>
        <w:adjustRightInd w:val="0"/>
        <w:snapToGrid w:val="0"/>
        <w:spacing w:line="440" w:lineRule="exact"/>
        <w:rPr>
          <w:sz w:val="30"/>
          <w:szCs w:val="30"/>
          <w:u w:val="single"/>
        </w:rPr>
      </w:pPr>
      <w:r>
        <w:rPr>
          <w:rFonts w:hAnsi="宋体"/>
          <w:kern w:val="0"/>
          <w:sz w:val="30"/>
          <w:szCs w:val="30"/>
        </w:rPr>
        <w:t>工程名称：</w:t>
      </w:r>
    </w:p>
    <w:p>
      <w:pPr>
        <w:adjustRightInd w:val="0"/>
        <w:snapToGrid w:val="0"/>
        <w:spacing w:line="440" w:lineRule="exact"/>
        <w:rPr>
          <w:sz w:val="30"/>
          <w:szCs w:val="30"/>
          <w:u w:val="single"/>
        </w:rPr>
      </w:pPr>
      <w:r>
        <w:rPr>
          <w:rFonts w:hAnsi="宋体"/>
          <w:kern w:val="0"/>
          <w:sz w:val="30"/>
          <w:szCs w:val="30"/>
        </w:rPr>
        <w:t>投标总价（小写）：</w:t>
      </w:r>
    </w:p>
    <w:p>
      <w:pPr>
        <w:adjustRightInd w:val="0"/>
        <w:snapToGrid w:val="0"/>
        <w:spacing w:line="440" w:lineRule="exact"/>
        <w:rPr>
          <w:sz w:val="30"/>
          <w:szCs w:val="30"/>
          <w:u w:val="single"/>
        </w:rPr>
      </w:pPr>
      <w:r>
        <w:rPr>
          <w:rFonts w:hAnsi="宋体"/>
          <w:kern w:val="0"/>
          <w:sz w:val="30"/>
          <w:szCs w:val="30"/>
        </w:rPr>
        <w:t>（大写）：</w:t>
      </w:r>
    </w:p>
    <w:p>
      <w:pPr>
        <w:adjustRightInd w:val="0"/>
        <w:snapToGrid w:val="0"/>
        <w:spacing w:line="440" w:lineRule="exact"/>
        <w:rPr>
          <w:sz w:val="30"/>
          <w:szCs w:val="30"/>
        </w:rPr>
      </w:pPr>
    </w:p>
    <w:p>
      <w:pPr>
        <w:adjustRightInd w:val="0"/>
        <w:snapToGrid w:val="0"/>
        <w:spacing w:line="440" w:lineRule="exact"/>
        <w:rPr>
          <w:sz w:val="30"/>
          <w:szCs w:val="30"/>
        </w:rPr>
      </w:pPr>
    </w:p>
    <w:p>
      <w:pPr>
        <w:adjustRightInd w:val="0"/>
        <w:snapToGrid w:val="0"/>
        <w:spacing w:line="440" w:lineRule="exact"/>
        <w:rPr>
          <w:sz w:val="30"/>
          <w:szCs w:val="30"/>
          <w:u w:val="single"/>
        </w:rPr>
      </w:pPr>
      <w:r>
        <w:rPr>
          <w:rFonts w:hAnsi="宋体"/>
          <w:kern w:val="0"/>
          <w:sz w:val="30"/>
          <w:szCs w:val="30"/>
        </w:rPr>
        <w:t>投标人：</w:t>
      </w:r>
    </w:p>
    <w:p>
      <w:pPr>
        <w:adjustRightInd w:val="0"/>
        <w:snapToGrid w:val="0"/>
        <w:spacing w:line="440" w:lineRule="exact"/>
        <w:jc w:val="center"/>
        <w:rPr>
          <w:sz w:val="30"/>
          <w:szCs w:val="30"/>
        </w:rPr>
      </w:pPr>
      <w:r>
        <w:rPr>
          <w:rFonts w:hAnsi="宋体"/>
          <w:kern w:val="0"/>
          <w:sz w:val="30"/>
          <w:szCs w:val="30"/>
        </w:rPr>
        <w:t>（单位盖章）</w:t>
      </w:r>
    </w:p>
    <w:p>
      <w:pPr>
        <w:adjustRightInd w:val="0"/>
        <w:snapToGrid w:val="0"/>
        <w:spacing w:line="440" w:lineRule="exact"/>
        <w:rPr>
          <w:sz w:val="30"/>
          <w:szCs w:val="30"/>
        </w:rPr>
      </w:pPr>
    </w:p>
    <w:p>
      <w:pPr>
        <w:adjustRightInd w:val="0"/>
        <w:snapToGrid w:val="0"/>
        <w:spacing w:line="440" w:lineRule="exact"/>
        <w:rPr>
          <w:sz w:val="30"/>
          <w:szCs w:val="30"/>
        </w:rPr>
      </w:pPr>
    </w:p>
    <w:p>
      <w:pPr>
        <w:adjustRightInd w:val="0"/>
        <w:snapToGrid w:val="0"/>
        <w:spacing w:line="440" w:lineRule="exact"/>
        <w:rPr>
          <w:sz w:val="30"/>
          <w:szCs w:val="30"/>
        </w:rPr>
      </w:pPr>
    </w:p>
    <w:p>
      <w:pPr>
        <w:adjustRightInd w:val="0"/>
        <w:snapToGrid w:val="0"/>
        <w:spacing w:line="440" w:lineRule="exact"/>
        <w:rPr>
          <w:kern w:val="0"/>
          <w:sz w:val="30"/>
          <w:szCs w:val="30"/>
        </w:rPr>
      </w:pPr>
      <w:r>
        <w:rPr>
          <w:rFonts w:hAnsi="宋体"/>
          <w:kern w:val="0"/>
          <w:sz w:val="30"/>
          <w:szCs w:val="30"/>
        </w:rPr>
        <w:t>法定代表人</w:t>
      </w:r>
    </w:p>
    <w:p>
      <w:pPr>
        <w:adjustRightInd w:val="0"/>
        <w:snapToGrid w:val="0"/>
        <w:spacing w:line="440" w:lineRule="exact"/>
        <w:ind w:left="4350" w:hanging="4350" w:hangingChars="1450"/>
        <w:jc w:val="left"/>
        <w:rPr>
          <w:sz w:val="30"/>
          <w:szCs w:val="30"/>
        </w:rPr>
      </w:pPr>
      <w:r>
        <w:rPr>
          <w:rFonts w:hAnsi="宋体"/>
          <w:kern w:val="0"/>
          <w:sz w:val="30"/>
          <w:szCs w:val="30"/>
        </w:rPr>
        <w:t>或其授权人：</w:t>
      </w:r>
    </w:p>
    <w:p>
      <w:pPr>
        <w:adjustRightInd w:val="0"/>
        <w:snapToGrid w:val="0"/>
        <w:spacing w:line="440" w:lineRule="exact"/>
        <w:ind w:left="3045" w:leftChars="1450" w:firstLine="1800" w:firstLineChars="600"/>
        <w:jc w:val="left"/>
        <w:rPr>
          <w:sz w:val="30"/>
          <w:szCs w:val="30"/>
        </w:rPr>
      </w:pPr>
      <w:r>
        <w:rPr>
          <w:rFonts w:hAnsi="宋体"/>
          <w:kern w:val="0"/>
          <w:sz w:val="30"/>
          <w:szCs w:val="30"/>
        </w:rPr>
        <w:t>（签字或盖章）</w:t>
      </w:r>
    </w:p>
    <w:p>
      <w:pPr>
        <w:adjustRightInd w:val="0"/>
        <w:snapToGrid w:val="0"/>
        <w:spacing w:line="440" w:lineRule="exact"/>
        <w:ind w:left="4350" w:hanging="4350" w:hangingChars="1450"/>
        <w:jc w:val="left"/>
        <w:rPr>
          <w:sz w:val="30"/>
          <w:szCs w:val="30"/>
        </w:rPr>
      </w:pPr>
    </w:p>
    <w:p>
      <w:pPr>
        <w:adjustRightInd w:val="0"/>
        <w:snapToGrid w:val="0"/>
        <w:spacing w:line="440" w:lineRule="exact"/>
        <w:ind w:left="4350" w:hanging="4350" w:hangingChars="1450"/>
        <w:jc w:val="left"/>
        <w:rPr>
          <w:sz w:val="30"/>
          <w:szCs w:val="30"/>
        </w:rPr>
      </w:pPr>
    </w:p>
    <w:p>
      <w:pPr>
        <w:adjustRightInd w:val="0"/>
        <w:snapToGrid w:val="0"/>
        <w:spacing w:line="440" w:lineRule="exact"/>
        <w:ind w:left="4350" w:hanging="4350" w:hangingChars="1450"/>
        <w:jc w:val="left"/>
        <w:rPr>
          <w:sz w:val="30"/>
          <w:szCs w:val="30"/>
        </w:rPr>
      </w:pPr>
    </w:p>
    <w:p>
      <w:pPr>
        <w:adjustRightInd w:val="0"/>
        <w:snapToGrid w:val="0"/>
        <w:spacing w:line="440" w:lineRule="exact"/>
        <w:rPr>
          <w:sz w:val="30"/>
          <w:szCs w:val="30"/>
          <w:u w:val="single"/>
        </w:rPr>
      </w:pPr>
      <w:r>
        <w:rPr>
          <w:rFonts w:hAnsi="宋体"/>
          <w:kern w:val="0"/>
          <w:sz w:val="30"/>
          <w:szCs w:val="30"/>
        </w:rPr>
        <w:t>编制人：</w:t>
      </w:r>
    </w:p>
    <w:p>
      <w:pPr>
        <w:adjustRightInd w:val="0"/>
        <w:snapToGrid w:val="0"/>
        <w:spacing w:line="440" w:lineRule="exact"/>
        <w:ind w:left="4350" w:hanging="4350" w:hangingChars="1450"/>
        <w:jc w:val="left"/>
        <w:rPr>
          <w:sz w:val="30"/>
          <w:szCs w:val="30"/>
        </w:rPr>
      </w:pPr>
      <w:r>
        <w:rPr>
          <w:rFonts w:hAnsi="宋体"/>
          <w:kern w:val="0"/>
          <w:sz w:val="30"/>
          <w:szCs w:val="30"/>
        </w:rPr>
        <w:t>（造价人员签字盖专用章）</w:t>
      </w:r>
    </w:p>
    <w:p>
      <w:pPr>
        <w:adjustRightInd w:val="0"/>
        <w:snapToGrid w:val="0"/>
        <w:spacing w:line="440" w:lineRule="exact"/>
        <w:ind w:left="4350" w:hanging="4350" w:hangingChars="1450"/>
        <w:jc w:val="left"/>
        <w:rPr>
          <w:sz w:val="30"/>
          <w:szCs w:val="30"/>
        </w:rPr>
      </w:pPr>
    </w:p>
    <w:p>
      <w:pPr>
        <w:adjustRightInd w:val="0"/>
        <w:snapToGrid w:val="0"/>
        <w:spacing w:line="440" w:lineRule="exact"/>
        <w:rPr>
          <w:sz w:val="30"/>
          <w:szCs w:val="30"/>
        </w:rPr>
      </w:pPr>
    </w:p>
    <w:p>
      <w:pPr>
        <w:adjustRightInd w:val="0"/>
        <w:snapToGrid w:val="0"/>
        <w:spacing w:line="440" w:lineRule="exact"/>
        <w:rPr>
          <w:sz w:val="30"/>
          <w:szCs w:val="30"/>
        </w:rPr>
      </w:pPr>
    </w:p>
    <w:p>
      <w:pPr>
        <w:adjustRightInd w:val="0"/>
        <w:snapToGrid w:val="0"/>
        <w:spacing w:line="440" w:lineRule="exact"/>
        <w:rPr>
          <w:kern w:val="0"/>
          <w:sz w:val="30"/>
          <w:szCs w:val="30"/>
        </w:rPr>
      </w:pPr>
      <w:r>
        <w:rPr>
          <w:rFonts w:hAnsi="宋体"/>
          <w:kern w:val="0"/>
          <w:sz w:val="30"/>
          <w:szCs w:val="30"/>
        </w:rPr>
        <w:t>编制时间：年月日</w:t>
      </w:r>
    </w:p>
    <w:p>
      <w:pPr>
        <w:adjustRightInd w:val="0"/>
        <w:snapToGrid w:val="0"/>
        <w:spacing w:line="440" w:lineRule="exact"/>
        <w:rPr>
          <w:sz w:val="30"/>
          <w:szCs w:val="30"/>
        </w:rPr>
      </w:pPr>
    </w:p>
    <w:p>
      <w:pPr>
        <w:rPr>
          <w:szCs w:val="21"/>
        </w:rPr>
      </w:pPr>
    </w:p>
    <w:p>
      <w:pPr>
        <w:jc w:val="right"/>
        <w:rPr>
          <w:szCs w:val="21"/>
        </w:rPr>
      </w:pPr>
    </w:p>
    <w:p>
      <w:pPr>
        <w:jc w:val="right"/>
        <w:rPr>
          <w:szCs w:val="21"/>
        </w:rPr>
      </w:pPr>
    </w:p>
    <w:p>
      <w:pPr>
        <w:jc w:val="right"/>
        <w:rPr>
          <w:szCs w:val="21"/>
        </w:rPr>
      </w:pPr>
    </w:p>
    <w:p>
      <w:pPr>
        <w:spacing w:line="480" w:lineRule="auto"/>
        <w:jc w:val="center"/>
        <w:rPr>
          <w:b/>
          <w:sz w:val="36"/>
          <w:szCs w:val="36"/>
        </w:rPr>
      </w:pPr>
      <w:bookmarkStart w:id="572" w:name="_Toc359843982"/>
      <w:bookmarkStart w:id="573" w:name="_Toc359843523"/>
      <w:bookmarkStart w:id="574" w:name="_Toc359930015"/>
      <w:bookmarkStart w:id="575" w:name="_Toc359843529"/>
      <w:bookmarkStart w:id="576" w:name="_Toc359843988"/>
      <w:bookmarkStart w:id="577" w:name="_Toc359930021"/>
      <w:bookmarkStart w:id="578" w:name="_Toc359930028"/>
      <w:bookmarkStart w:id="579" w:name="_Toc359843536"/>
      <w:bookmarkStart w:id="580" w:name="_Toc359843995"/>
      <w:bookmarkStart w:id="581" w:name="_Toc359844004"/>
      <w:bookmarkStart w:id="582" w:name="_Toc359930037"/>
      <w:bookmarkStart w:id="583" w:name="_Toc359843545"/>
      <w:r>
        <w:rPr>
          <w:rFonts w:hAnsi="宋体"/>
          <w:b/>
          <w:sz w:val="36"/>
          <w:szCs w:val="36"/>
        </w:rPr>
        <w:t>总说明</w:t>
      </w:r>
    </w:p>
    <w:p>
      <w:pPr>
        <w:rPr>
          <w:sz w:val="24"/>
        </w:rPr>
      </w:pPr>
      <w:r>
        <w:rPr>
          <w:rFonts w:hAnsi="宋体"/>
          <w:sz w:val="24"/>
        </w:rPr>
        <w:t>工程名称：第页共页</w:t>
      </w:r>
    </w:p>
    <w:tbl>
      <w:tblPr>
        <w:tblStyle w:val="57"/>
        <w:tblW w:w="8495"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16" w:hRule="atLeast"/>
        </w:trPr>
        <w:tc>
          <w:tcPr>
            <w:tcW w:w="8495" w:type="dxa"/>
          </w:tcPr>
          <w:p>
            <w:pPr>
              <w:ind w:right="-195" w:rightChars="-93"/>
              <w:rPr>
                <w:sz w:val="24"/>
              </w:rPr>
            </w:pPr>
          </w:p>
          <w:p>
            <w:pPr>
              <w:rPr>
                <w:sz w:val="24"/>
              </w:rPr>
            </w:pPr>
          </w:p>
          <w:p>
            <w:pPr>
              <w:rPr>
                <w:sz w:val="24"/>
              </w:rPr>
            </w:pPr>
          </w:p>
          <w:p>
            <w:pPr>
              <w:rPr>
                <w:sz w:val="24"/>
              </w:rPr>
            </w:pPr>
          </w:p>
          <w:p>
            <w:pPr>
              <w:rPr>
                <w:sz w:val="24"/>
              </w:rPr>
            </w:pPr>
          </w:p>
        </w:tc>
      </w:tr>
    </w:tbl>
    <w:p>
      <w:pPr>
        <w:jc w:val="right"/>
        <w:rPr>
          <w:szCs w:val="21"/>
        </w:rPr>
      </w:pPr>
    </w:p>
    <w:p>
      <w:pPr>
        <w:jc w:val="right"/>
        <w:rPr>
          <w:szCs w:val="21"/>
        </w:rPr>
      </w:pPr>
    </w:p>
    <w:p>
      <w:pPr>
        <w:jc w:val="right"/>
        <w:rPr>
          <w:szCs w:val="21"/>
        </w:rPr>
      </w:pPr>
    </w:p>
    <w:p>
      <w:pPr>
        <w:jc w:val="right"/>
        <w:rPr>
          <w:szCs w:val="21"/>
        </w:rPr>
      </w:pPr>
      <w:r>
        <w:rPr>
          <w:rFonts w:hAnsi="宋体"/>
          <w:szCs w:val="21"/>
        </w:rPr>
        <w:t>表</w:t>
      </w:r>
      <w:r>
        <w:rPr>
          <w:szCs w:val="21"/>
        </w:rPr>
        <w:t>—01</w:t>
      </w:r>
    </w:p>
    <w:p>
      <w:pPr>
        <w:spacing w:line="480" w:lineRule="auto"/>
        <w:jc w:val="center"/>
        <w:rPr>
          <w:b/>
          <w:sz w:val="36"/>
          <w:szCs w:val="36"/>
        </w:rPr>
      </w:pPr>
    </w:p>
    <w:p>
      <w:pPr>
        <w:spacing w:line="480" w:lineRule="auto"/>
        <w:jc w:val="center"/>
        <w:rPr>
          <w:b/>
          <w:sz w:val="36"/>
          <w:szCs w:val="36"/>
        </w:rPr>
      </w:pPr>
      <w:r>
        <w:rPr>
          <w:rFonts w:hAnsi="宋体"/>
          <w:b/>
          <w:sz w:val="36"/>
          <w:szCs w:val="36"/>
        </w:rPr>
        <w:t>建设项目投标报价汇总表</w:t>
      </w:r>
    </w:p>
    <w:p>
      <w:pPr>
        <w:rPr>
          <w:sz w:val="24"/>
        </w:rPr>
      </w:pPr>
      <w:r>
        <w:rPr>
          <w:rFonts w:hAnsi="宋体"/>
          <w:sz w:val="24"/>
        </w:rPr>
        <w:t>工程名称：第页共页</w:t>
      </w:r>
    </w:p>
    <w:tbl>
      <w:tblPr>
        <w:tblStyle w:val="57"/>
        <w:tblW w:w="883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2087"/>
        <w:gridCol w:w="1218"/>
        <w:gridCol w:w="1320"/>
        <w:gridCol w:w="1828"/>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959" w:type="dxa"/>
            <w:vMerge w:val="restart"/>
            <w:vAlign w:val="center"/>
          </w:tcPr>
          <w:p>
            <w:pPr>
              <w:jc w:val="center"/>
              <w:rPr>
                <w:szCs w:val="21"/>
              </w:rPr>
            </w:pPr>
            <w:r>
              <w:rPr>
                <w:rFonts w:hAnsi="宋体"/>
                <w:szCs w:val="21"/>
              </w:rPr>
              <w:t>序号</w:t>
            </w:r>
          </w:p>
        </w:tc>
        <w:tc>
          <w:tcPr>
            <w:tcW w:w="2087" w:type="dxa"/>
            <w:vMerge w:val="restart"/>
            <w:vAlign w:val="center"/>
          </w:tcPr>
          <w:p>
            <w:pPr>
              <w:jc w:val="center"/>
              <w:rPr>
                <w:szCs w:val="21"/>
              </w:rPr>
            </w:pPr>
            <w:r>
              <w:rPr>
                <w:rFonts w:hAnsi="宋体"/>
                <w:szCs w:val="21"/>
              </w:rPr>
              <w:t>单项工程名称</w:t>
            </w:r>
          </w:p>
        </w:tc>
        <w:tc>
          <w:tcPr>
            <w:tcW w:w="1218" w:type="dxa"/>
            <w:vMerge w:val="restart"/>
            <w:vAlign w:val="center"/>
          </w:tcPr>
          <w:p>
            <w:pPr>
              <w:rPr>
                <w:szCs w:val="21"/>
              </w:rPr>
            </w:pPr>
            <w:r>
              <w:rPr>
                <w:rFonts w:hAnsi="宋体"/>
                <w:szCs w:val="21"/>
              </w:rPr>
              <w:t>金额（元）</w:t>
            </w:r>
          </w:p>
        </w:tc>
        <w:tc>
          <w:tcPr>
            <w:tcW w:w="4569" w:type="dxa"/>
            <w:gridSpan w:val="3"/>
            <w:vAlign w:val="center"/>
          </w:tcPr>
          <w:p>
            <w:pPr>
              <w:jc w:val="center"/>
              <w:rPr>
                <w:szCs w:val="21"/>
              </w:rPr>
            </w:pPr>
            <w:r>
              <w:rPr>
                <w:rFonts w:hAnsi="宋体"/>
                <w:szCs w:val="21"/>
              </w:rPr>
              <w:t>其中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959" w:type="dxa"/>
            <w:vMerge w:val="continue"/>
            <w:vAlign w:val="center"/>
          </w:tcPr>
          <w:p>
            <w:pPr>
              <w:jc w:val="center"/>
              <w:rPr>
                <w:szCs w:val="21"/>
              </w:rPr>
            </w:pPr>
          </w:p>
        </w:tc>
        <w:tc>
          <w:tcPr>
            <w:tcW w:w="2087" w:type="dxa"/>
            <w:vMerge w:val="continue"/>
            <w:vAlign w:val="center"/>
          </w:tcPr>
          <w:p>
            <w:pPr>
              <w:widowControl/>
              <w:jc w:val="center"/>
              <w:rPr>
                <w:szCs w:val="21"/>
              </w:rPr>
            </w:pPr>
          </w:p>
        </w:tc>
        <w:tc>
          <w:tcPr>
            <w:tcW w:w="1218" w:type="dxa"/>
            <w:vMerge w:val="continue"/>
            <w:vAlign w:val="center"/>
          </w:tcPr>
          <w:p>
            <w:pPr>
              <w:widowControl/>
              <w:jc w:val="center"/>
              <w:rPr>
                <w:szCs w:val="21"/>
              </w:rPr>
            </w:pPr>
          </w:p>
        </w:tc>
        <w:tc>
          <w:tcPr>
            <w:tcW w:w="1320" w:type="dxa"/>
            <w:vAlign w:val="center"/>
          </w:tcPr>
          <w:p>
            <w:pPr>
              <w:jc w:val="center"/>
              <w:rPr>
                <w:szCs w:val="21"/>
              </w:rPr>
            </w:pPr>
            <w:r>
              <w:rPr>
                <w:rFonts w:hAnsi="宋体"/>
                <w:szCs w:val="21"/>
              </w:rPr>
              <w:t>暂估价</w:t>
            </w:r>
          </w:p>
          <w:p>
            <w:pPr>
              <w:jc w:val="center"/>
              <w:rPr>
                <w:szCs w:val="21"/>
              </w:rPr>
            </w:pPr>
            <w:r>
              <w:rPr>
                <w:rFonts w:hAnsi="宋体"/>
                <w:szCs w:val="21"/>
              </w:rPr>
              <w:t>（元）</w:t>
            </w:r>
          </w:p>
        </w:tc>
        <w:tc>
          <w:tcPr>
            <w:tcW w:w="1828" w:type="dxa"/>
            <w:vAlign w:val="center"/>
          </w:tcPr>
          <w:p>
            <w:pPr>
              <w:jc w:val="center"/>
              <w:rPr>
                <w:szCs w:val="21"/>
              </w:rPr>
            </w:pPr>
            <w:r>
              <w:rPr>
                <w:rFonts w:hAnsi="宋体"/>
                <w:szCs w:val="21"/>
              </w:rPr>
              <w:t>安全文明</w:t>
            </w:r>
          </w:p>
          <w:p>
            <w:pPr>
              <w:jc w:val="center"/>
              <w:rPr>
                <w:szCs w:val="21"/>
              </w:rPr>
            </w:pPr>
            <w:r>
              <w:rPr>
                <w:rFonts w:hAnsi="宋体"/>
                <w:szCs w:val="21"/>
              </w:rPr>
              <w:t>施工费（元）</w:t>
            </w:r>
          </w:p>
        </w:tc>
        <w:tc>
          <w:tcPr>
            <w:tcW w:w="1421" w:type="dxa"/>
            <w:vAlign w:val="center"/>
          </w:tcPr>
          <w:p>
            <w:pPr>
              <w:jc w:val="center"/>
              <w:rPr>
                <w:szCs w:val="21"/>
              </w:rPr>
            </w:pPr>
            <w:r>
              <w:rPr>
                <w:rFonts w:hAnsi="宋体"/>
                <w:szCs w:val="21"/>
              </w:rPr>
              <w:t>规费</w:t>
            </w:r>
          </w:p>
          <w:p>
            <w:pPr>
              <w:jc w:val="center"/>
              <w:rPr>
                <w:szCs w:val="21"/>
              </w:rPr>
            </w:pPr>
            <w:r>
              <w:rPr>
                <w:rFonts w:hAnsi="宋体"/>
                <w:szCs w:val="21"/>
              </w:rPr>
              <w:t>（元）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39" w:hRule="atLeast"/>
        </w:trPr>
        <w:tc>
          <w:tcPr>
            <w:tcW w:w="959" w:type="dxa"/>
          </w:tcPr>
          <w:p>
            <w:pPr>
              <w:jc w:val="center"/>
              <w:rPr>
                <w:szCs w:val="21"/>
              </w:rPr>
            </w:pPr>
          </w:p>
          <w:p>
            <w:pPr>
              <w:jc w:val="center"/>
              <w:rPr>
                <w:szCs w:val="21"/>
              </w:rPr>
            </w:pPr>
          </w:p>
          <w:p>
            <w:pPr>
              <w:jc w:val="center"/>
              <w:rPr>
                <w:szCs w:val="21"/>
              </w:rPr>
            </w:pPr>
          </w:p>
        </w:tc>
        <w:tc>
          <w:tcPr>
            <w:tcW w:w="2087" w:type="dxa"/>
          </w:tcPr>
          <w:p>
            <w:pPr>
              <w:widowControl/>
              <w:jc w:val="center"/>
              <w:rPr>
                <w:szCs w:val="21"/>
              </w:rPr>
            </w:pPr>
          </w:p>
          <w:p>
            <w:pPr>
              <w:widowControl/>
              <w:jc w:val="center"/>
              <w:rPr>
                <w:szCs w:val="21"/>
              </w:rPr>
            </w:pPr>
          </w:p>
          <w:p>
            <w:pPr>
              <w:jc w:val="center"/>
              <w:rPr>
                <w:szCs w:val="21"/>
              </w:rPr>
            </w:pPr>
          </w:p>
        </w:tc>
        <w:tc>
          <w:tcPr>
            <w:tcW w:w="1218" w:type="dxa"/>
          </w:tcPr>
          <w:p>
            <w:pPr>
              <w:widowControl/>
              <w:jc w:val="center"/>
              <w:rPr>
                <w:szCs w:val="21"/>
              </w:rPr>
            </w:pPr>
          </w:p>
          <w:p>
            <w:pPr>
              <w:widowControl/>
              <w:jc w:val="center"/>
              <w:rPr>
                <w:szCs w:val="21"/>
              </w:rPr>
            </w:pPr>
          </w:p>
          <w:p>
            <w:pPr>
              <w:jc w:val="center"/>
              <w:rPr>
                <w:szCs w:val="21"/>
              </w:rPr>
            </w:pPr>
          </w:p>
        </w:tc>
        <w:tc>
          <w:tcPr>
            <w:tcW w:w="1320" w:type="dxa"/>
          </w:tcPr>
          <w:p>
            <w:pPr>
              <w:widowControl/>
              <w:jc w:val="center"/>
              <w:rPr>
                <w:szCs w:val="21"/>
              </w:rPr>
            </w:pPr>
          </w:p>
          <w:p>
            <w:pPr>
              <w:widowControl/>
              <w:jc w:val="center"/>
              <w:rPr>
                <w:szCs w:val="21"/>
              </w:rPr>
            </w:pPr>
          </w:p>
          <w:p>
            <w:pPr>
              <w:jc w:val="center"/>
              <w:rPr>
                <w:szCs w:val="21"/>
              </w:rPr>
            </w:pPr>
          </w:p>
        </w:tc>
        <w:tc>
          <w:tcPr>
            <w:tcW w:w="1828" w:type="dxa"/>
          </w:tcPr>
          <w:p>
            <w:pPr>
              <w:widowControl/>
              <w:jc w:val="center"/>
              <w:rPr>
                <w:szCs w:val="21"/>
              </w:rPr>
            </w:pPr>
          </w:p>
          <w:p>
            <w:pPr>
              <w:widowControl/>
              <w:jc w:val="center"/>
              <w:rPr>
                <w:szCs w:val="21"/>
              </w:rPr>
            </w:pPr>
          </w:p>
          <w:p>
            <w:pPr>
              <w:jc w:val="center"/>
              <w:rPr>
                <w:szCs w:val="21"/>
              </w:rPr>
            </w:pPr>
          </w:p>
        </w:tc>
        <w:tc>
          <w:tcPr>
            <w:tcW w:w="1421" w:type="dxa"/>
          </w:tcPr>
          <w:p>
            <w:pPr>
              <w:widowControl/>
              <w:jc w:val="center"/>
              <w:rPr>
                <w:szCs w:val="21"/>
              </w:rPr>
            </w:pPr>
          </w:p>
          <w:p>
            <w:pPr>
              <w:widowControl/>
              <w:jc w:val="center"/>
              <w:rPr>
                <w:szCs w:val="21"/>
              </w:rPr>
            </w:pPr>
          </w:p>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trPr>
        <w:tc>
          <w:tcPr>
            <w:tcW w:w="3046" w:type="dxa"/>
            <w:gridSpan w:val="2"/>
            <w:vAlign w:val="center"/>
          </w:tcPr>
          <w:p>
            <w:pPr>
              <w:jc w:val="center"/>
              <w:rPr>
                <w:szCs w:val="21"/>
              </w:rPr>
            </w:pPr>
            <w:r>
              <w:rPr>
                <w:rFonts w:hAnsi="宋体"/>
                <w:szCs w:val="21"/>
              </w:rPr>
              <w:t>合计</w:t>
            </w:r>
          </w:p>
        </w:tc>
        <w:tc>
          <w:tcPr>
            <w:tcW w:w="1218" w:type="dxa"/>
            <w:vAlign w:val="center"/>
          </w:tcPr>
          <w:p>
            <w:pPr>
              <w:jc w:val="center"/>
              <w:rPr>
                <w:szCs w:val="21"/>
              </w:rPr>
            </w:pPr>
          </w:p>
        </w:tc>
        <w:tc>
          <w:tcPr>
            <w:tcW w:w="1320" w:type="dxa"/>
            <w:vAlign w:val="center"/>
          </w:tcPr>
          <w:p>
            <w:pPr>
              <w:jc w:val="center"/>
              <w:rPr>
                <w:szCs w:val="21"/>
              </w:rPr>
            </w:pPr>
          </w:p>
        </w:tc>
        <w:tc>
          <w:tcPr>
            <w:tcW w:w="1828" w:type="dxa"/>
            <w:vAlign w:val="center"/>
          </w:tcPr>
          <w:p>
            <w:pPr>
              <w:jc w:val="center"/>
              <w:rPr>
                <w:szCs w:val="21"/>
              </w:rPr>
            </w:pPr>
          </w:p>
        </w:tc>
        <w:tc>
          <w:tcPr>
            <w:tcW w:w="1421" w:type="dxa"/>
            <w:vAlign w:val="center"/>
          </w:tcPr>
          <w:p>
            <w:pPr>
              <w:jc w:val="center"/>
              <w:rPr>
                <w:szCs w:val="21"/>
              </w:rPr>
            </w:pPr>
          </w:p>
        </w:tc>
      </w:tr>
    </w:tbl>
    <w:p>
      <w:pPr>
        <w:rPr>
          <w:sz w:val="18"/>
          <w:szCs w:val="18"/>
        </w:rPr>
      </w:pPr>
      <w:r>
        <w:rPr>
          <w:rFonts w:hAnsi="宋体"/>
          <w:sz w:val="18"/>
          <w:szCs w:val="18"/>
        </w:rPr>
        <w:t>注：本表适用于工程项目招标控制价或投标报价的汇总</w:t>
      </w:r>
    </w:p>
    <w:p>
      <w:pPr>
        <w:jc w:val="right"/>
        <w:rPr>
          <w:sz w:val="18"/>
          <w:szCs w:val="18"/>
        </w:rPr>
      </w:pPr>
    </w:p>
    <w:p>
      <w:pPr>
        <w:jc w:val="right"/>
        <w:rPr>
          <w:sz w:val="18"/>
          <w:szCs w:val="18"/>
        </w:rPr>
      </w:pPr>
      <w:r>
        <w:rPr>
          <w:rFonts w:hAnsi="宋体"/>
          <w:sz w:val="18"/>
          <w:szCs w:val="18"/>
        </w:rPr>
        <w:t>表</w:t>
      </w:r>
      <w:r>
        <w:rPr>
          <w:sz w:val="18"/>
          <w:szCs w:val="18"/>
        </w:rPr>
        <w:t>—02</w:t>
      </w:r>
    </w:p>
    <w:p>
      <w:pPr>
        <w:spacing w:line="480" w:lineRule="auto"/>
        <w:jc w:val="center"/>
        <w:rPr>
          <w:b/>
          <w:sz w:val="36"/>
          <w:szCs w:val="36"/>
        </w:rPr>
      </w:pPr>
    </w:p>
    <w:p>
      <w:pPr>
        <w:spacing w:line="480" w:lineRule="auto"/>
        <w:jc w:val="center"/>
        <w:rPr>
          <w:b/>
          <w:sz w:val="36"/>
          <w:szCs w:val="36"/>
        </w:rPr>
      </w:pPr>
      <w:r>
        <w:rPr>
          <w:rFonts w:hAnsi="宋体"/>
          <w:b/>
          <w:sz w:val="36"/>
          <w:szCs w:val="36"/>
        </w:rPr>
        <w:t>单项工程投标报价汇总表</w:t>
      </w:r>
    </w:p>
    <w:p>
      <w:pPr>
        <w:rPr>
          <w:sz w:val="24"/>
        </w:rPr>
      </w:pPr>
      <w:r>
        <w:rPr>
          <w:rFonts w:hAnsi="宋体"/>
          <w:sz w:val="24"/>
        </w:rPr>
        <w:t>工程名称：第页共页</w:t>
      </w:r>
    </w:p>
    <w:tbl>
      <w:tblPr>
        <w:tblStyle w:val="57"/>
        <w:tblW w:w="958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9"/>
        <w:gridCol w:w="2688"/>
        <w:gridCol w:w="1484"/>
        <w:gridCol w:w="1370"/>
        <w:gridCol w:w="1712"/>
        <w:gridCol w:w="12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1079" w:type="dxa"/>
            <w:vMerge w:val="restart"/>
            <w:vAlign w:val="center"/>
          </w:tcPr>
          <w:p>
            <w:pPr>
              <w:jc w:val="center"/>
              <w:rPr>
                <w:szCs w:val="21"/>
              </w:rPr>
            </w:pPr>
            <w:r>
              <w:rPr>
                <w:rFonts w:hAnsi="宋体"/>
                <w:szCs w:val="21"/>
              </w:rPr>
              <w:t>序号</w:t>
            </w:r>
          </w:p>
        </w:tc>
        <w:tc>
          <w:tcPr>
            <w:tcW w:w="2688" w:type="dxa"/>
            <w:vMerge w:val="restart"/>
            <w:vAlign w:val="center"/>
          </w:tcPr>
          <w:p>
            <w:pPr>
              <w:jc w:val="center"/>
              <w:rPr>
                <w:szCs w:val="21"/>
              </w:rPr>
            </w:pPr>
            <w:r>
              <w:rPr>
                <w:rFonts w:hAnsi="宋体"/>
                <w:szCs w:val="21"/>
              </w:rPr>
              <w:t>单位工程名称</w:t>
            </w:r>
          </w:p>
        </w:tc>
        <w:tc>
          <w:tcPr>
            <w:tcW w:w="1484" w:type="dxa"/>
            <w:vMerge w:val="restart"/>
            <w:vAlign w:val="center"/>
          </w:tcPr>
          <w:p>
            <w:pPr>
              <w:rPr>
                <w:szCs w:val="21"/>
              </w:rPr>
            </w:pPr>
            <w:r>
              <w:rPr>
                <w:rFonts w:hAnsi="宋体"/>
                <w:szCs w:val="21"/>
              </w:rPr>
              <w:t>金额（元）</w:t>
            </w:r>
          </w:p>
        </w:tc>
        <w:tc>
          <w:tcPr>
            <w:tcW w:w="4337" w:type="dxa"/>
            <w:gridSpan w:val="3"/>
            <w:vAlign w:val="center"/>
          </w:tcPr>
          <w:p>
            <w:pPr>
              <w:jc w:val="center"/>
              <w:rPr>
                <w:szCs w:val="21"/>
              </w:rPr>
            </w:pPr>
            <w:r>
              <w:rPr>
                <w:rFonts w:hAnsi="宋体"/>
                <w:szCs w:val="21"/>
              </w:rPr>
              <w:t>其中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trPr>
        <w:tc>
          <w:tcPr>
            <w:tcW w:w="1079" w:type="dxa"/>
            <w:vMerge w:val="continue"/>
            <w:vAlign w:val="center"/>
          </w:tcPr>
          <w:p>
            <w:pPr>
              <w:jc w:val="center"/>
              <w:rPr>
                <w:szCs w:val="21"/>
              </w:rPr>
            </w:pPr>
          </w:p>
        </w:tc>
        <w:tc>
          <w:tcPr>
            <w:tcW w:w="2688" w:type="dxa"/>
            <w:vMerge w:val="continue"/>
            <w:vAlign w:val="center"/>
          </w:tcPr>
          <w:p>
            <w:pPr>
              <w:widowControl/>
              <w:jc w:val="center"/>
              <w:rPr>
                <w:szCs w:val="21"/>
              </w:rPr>
            </w:pPr>
          </w:p>
        </w:tc>
        <w:tc>
          <w:tcPr>
            <w:tcW w:w="1484" w:type="dxa"/>
            <w:vMerge w:val="continue"/>
            <w:vAlign w:val="center"/>
          </w:tcPr>
          <w:p>
            <w:pPr>
              <w:widowControl/>
              <w:jc w:val="center"/>
              <w:rPr>
                <w:szCs w:val="21"/>
              </w:rPr>
            </w:pPr>
          </w:p>
        </w:tc>
        <w:tc>
          <w:tcPr>
            <w:tcW w:w="1370" w:type="dxa"/>
            <w:vAlign w:val="center"/>
          </w:tcPr>
          <w:p>
            <w:pPr>
              <w:jc w:val="center"/>
              <w:rPr>
                <w:szCs w:val="21"/>
              </w:rPr>
            </w:pPr>
            <w:r>
              <w:rPr>
                <w:rFonts w:hAnsi="宋体"/>
                <w:szCs w:val="21"/>
              </w:rPr>
              <w:t>暂估价</w:t>
            </w:r>
          </w:p>
          <w:p>
            <w:pPr>
              <w:jc w:val="center"/>
              <w:rPr>
                <w:szCs w:val="21"/>
              </w:rPr>
            </w:pPr>
            <w:r>
              <w:rPr>
                <w:rFonts w:hAnsi="宋体"/>
                <w:szCs w:val="21"/>
              </w:rPr>
              <w:t>（元）</w:t>
            </w:r>
          </w:p>
        </w:tc>
        <w:tc>
          <w:tcPr>
            <w:tcW w:w="1712" w:type="dxa"/>
            <w:vAlign w:val="center"/>
          </w:tcPr>
          <w:p>
            <w:pPr>
              <w:jc w:val="center"/>
              <w:rPr>
                <w:szCs w:val="21"/>
              </w:rPr>
            </w:pPr>
            <w:r>
              <w:rPr>
                <w:rFonts w:hAnsi="宋体"/>
                <w:szCs w:val="21"/>
              </w:rPr>
              <w:t>安全文明</w:t>
            </w:r>
          </w:p>
          <w:p>
            <w:pPr>
              <w:jc w:val="center"/>
              <w:rPr>
                <w:szCs w:val="21"/>
              </w:rPr>
            </w:pPr>
            <w:r>
              <w:rPr>
                <w:rFonts w:hAnsi="宋体"/>
                <w:szCs w:val="21"/>
              </w:rPr>
              <w:t>施工费（元）</w:t>
            </w:r>
          </w:p>
        </w:tc>
        <w:tc>
          <w:tcPr>
            <w:tcW w:w="1255" w:type="dxa"/>
            <w:vAlign w:val="center"/>
          </w:tcPr>
          <w:p>
            <w:pPr>
              <w:jc w:val="center"/>
              <w:rPr>
                <w:szCs w:val="21"/>
              </w:rPr>
            </w:pPr>
            <w:r>
              <w:rPr>
                <w:rFonts w:hAnsi="宋体"/>
                <w:szCs w:val="21"/>
              </w:rPr>
              <w:t>规费</w:t>
            </w:r>
          </w:p>
          <w:p>
            <w:pPr>
              <w:jc w:val="center"/>
              <w:rPr>
                <w:szCs w:val="21"/>
              </w:rPr>
            </w:pPr>
            <w:r>
              <w:rPr>
                <w:rFonts w:hAnsi="宋体"/>
                <w:szCs w:val="21"/>
              </w:rPr>
              <w:t>（元）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56" w:hRule="atLeast"/>
        </w:trPr>
        <w:tc>
          <w:tcPr>
            <w:tcW w:w="1079" w:type="dxa"/>
          </w:tcPr>
          <w:p>
            <w:pPr>
              <w:jc w:val="center"/>
              <w:rPr>
                <w:szCs w:val="21"/>
              </w:rPr>
            </w:pPr>
          </w:p>
          <w:p>
            <w:pPr>
              <w:jc w:val="center"/>
              <w:rPr>
                <w:szCs w:val="21"/>
              </w:rPr>
            </w:pPr>
          </w:p>
          <w:p>
            <w:pPr>
              <w:jc w:val="center"/>
              <w:rPr>
                <w:szCs w:val="21"/>
              </w:rPr>
            </w:pPr>
          </w:p>
        </w:tc>
        <w:tc>
          <w:tcPr>
            <w:tcW w:w="2688" w:type="dxa"/>
          </w:tcPr>
          <w:p>
            <w:pPr>
              <w:widowControl/>
              <w:jc w:val="center"/>
              <w:rPr>
                <w:szCs w:val="21"/>
              </w:rPr>
            </w:pPr>
          </w:p>
          <w:p>
            <w:pPr>
              <w:widowControl/>
              <w:jc w:val="center"/>
              <w:rPr>
                <w:szCs w:val="21"/>
              </w:rPr>
            </w:pPr>
          </w:p>
          <w:p>
            <w:pPr>
              <w:jc w:val="center"/>
              <w:rPr>
                <w:szCs w:val="21"/>
              </w:rPr>
            </w:pPr>
          </w:p>
        </w:tc>
        <w:tc>
          <w:tcPr>
            <w:tcW w:w="1484" w:type="dxa"/>
          </w:tcPr>
          <w:p>
            <w:pPr>
              <w:widowControl/>
              <w:jc w:val="center"/>
              <w:rPr>
                <w:szCs w:val="21"/>
              </w:rPr>
            </w:pPr>
          </w:p>
          <w:p>
            <w:pPr>
              <w:widowControl/>
              <w:jc w:val="center"/>
              <w:rPr>
                <w:szCs w:val="21"/>
              </w:rPr>
            </w:pPr>
          </w:p>
          <w:p>
            <w:pPr>
              <w:jc w:val="center"/>
              <w:rPr>
                <w:szCs w:val="21"/>
              </w:rPr>
            </w:pPr>
          </w:p>
        </w:tc>
        <w:tc>
          <w:tcPr>
            <w:tcW w:w="1370" w:type="dxa"/>
          </w:tcPr>
          <w:p>
            <w:pPr>
              <w:widowControl/>
              <w:jc w:val="center"/>
              <w:rPr>
                <w:szCs w:val="21"/>
              </w:rPr>
            </w:pPr>
          </w:p>
          <w:p>
            <w:pPr>
              <w:widowControl/>
              <w:jc w:val="center"/>
              <w:rPr>
                <w:szCs w:val="21"/>
              </w:rPr>
            </w:pPr>
          </w:p>
          <w:p>
            <w:pPr>
              <w:jc w:val="center"/>
              <w:rPr>
                <w:szCs w:val="21"/>
              </w:rPr>
            </w:pPr>
          </w:p>
        </w:tc>
        <w:tc>
          <w:tcPr>
            <w:tcW w:w="1712" w:type="dxa"/>
          </w:tcPr>
          <w:p>
            <w:pPr>
              <w:widowControl/>
              <w:jc w:val="center"/>
              <w:rPr>
                <w:szCs w:val="21"/>
              </w:rPr>
            </w:pPr>
          </w:p>
          <w:p>
            <w:pPr>
              <w:widowControl/>
              <w:jc w:val="center"/>
              <w:rPr>
                <w:szCs w:val="21"/>
              </w:rPr>
            </w:pPr>
          </w:p>
          <w:p>
            <w:pPr>
              <w:jc w:val="center"/>
              <w:rPr>
                <w:szCs w:val="21"/>
              </w:rPr>
            </w:pPr>
          </w:p>
        </w:tc>
        <w:tc>
          <w:tcPr>
            <w:tcW w:w="1255" w:type="dxa"/>
          </w:tcPr>
          <w:p>
            <w:pPr>
              <w:widowControl/>
              <w:jc w:val="center"/>
              <w:rPr>
                <w:szCs w:val="21"/>
              </w:rPr>
            </w:pPr>
          </w:p>
          <w:p>
            <w:pPr>
              <w:widowControl/>
              <w:jc w:val="center"/>
              <w:rPr>
                <w:szCs w:val="21"/>
              </w:rPr>
            </w:pPr>
          </w:p>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767" w:type="dxa"/>
            <w:gridSpan w:val="2"/>
            <w:vAlign w:val="center"/>
          </w:tcPr>
          <w:p>
            <w:pPr>
              <w:jc w:val="center"/>
              <w:rPr>
                <w:szCs w:val="21"/>
              </w:rPr>
            </w:pPr>
            <w:r>
              <w:rPr>
                <w:rFonts w:hAnsi="宋体"/>
                <w:szCs w:val="21"/>
              </w:rPr>
              <w:t>合计</w:t>
            </w:r>
          </w:p>
        </w:tc>
        <w:tc>
          <w:tcPr>
            <w:tcW w:w="1484" w:type="dxa"/>
            <w:vAlign w:val="center"/>
          </w:tcPr>
          <w:p>
            <w:pPr>
              <w:jc w:val="center"/>
              <w:rPr>
                <w:szCs w:val="21"/>
              </w:rPr>
            </w:pPr>
          </w:p>
        </w:tc>
        <w:tc>
          <w:tcPr>
            <w:tcW w:w="1370" w:type="dxa"/>
            <w:vAlign w:val="center"/>
          </w:tcPr>
          <w:p>
            <w:pPr>
              <w:jc w:val="center"/>
              <w:rPr>
                <w:szCs w:val="21"/>
              </w:rPr>
            </w:pPr>
          </w:p>
        </w:tc>
        <w:tc>
          <w:tcPr>
            <w:tcW w:w="1712" w:type="dxa"/>
            <w:vAlign w:val="center"/>
          </w:tcPr>
          <w:p>
            <w:pPr>
              <w:jc w:val="center"/>
              <w:rPr>
                <w:szCs w:val="21"/>
              </w:rPr>
            </w:pPr>
          </w:p>
        </w:tc>
        <w:tc>
          <w:tcPr>
            <w:tcW w:w="1255" w:type="dxa"/>
            <w:vAlign w:val="center"/>
          </w:tcPr>
          <w:p>
            <w:pPr>
              <w:jc w:val="center"/>
              <w:rPr>
                <w:szCs w:val="21"/>
              </w:rPr>
            </w:pPr>
          </w:p>
        </w:tc>
      </w:tr>
    </w:tbl>
    <w:p>
      <w:pPr>
        <w:rPr>
          <w:sz w:val="18"/>
          <w:szCs w:val="18"/>
        </w:rPr>
      </w:pPr>
      <w:r>
        <w:rPr>
          <w:rFonts w:hAnsi="宋体"/>
          <w:sz w:val="18"/>
          <w:szCs w:val="18"/>
        </w:rPr>
        <w:t>注：本表适用于单项工程招标控制价或投标报价的汇总。暂估价包括分部分项工程中的暂估价和专业工程暂估价。</w:t>
      </w:r>
    </w:p>
    <w:p>
      <w:pPr>
        <w:jc w:val="right"/>
        <w:rPr>
          <w:sz w:val="18"/>
          <w:szCs w:val="18"/>
        </w:rPr>
      </w:pPr>
    </w:p>
    <w:p>
      <w:pPr>
        <w:jc w:val="right"/>
        <w:rPr>
          <w:sz w:val="18"/>
          <w:szCs w:val="18"/>
        </w:rPr>
      </w:pPr>
      <w:r>
        <w:rPr>
          <w:rFonts w:hAnsi="宋体"/>
          <w:sz w:val="18"/>
          <w:szCs w:val="18"/>
        </w:rPr>
        <w:t>表</w:t>
      </w:r>
      <w:r>
        <w:rPr>
          <w:sz w:val="18"/>
          <w:szCs w:val="18"/>
        </w:rPr>
        <w:t>—03</w:t>
      </w:r>
    </w:p>
    <w:p>
      <w:pPr>
        <w:spacing w:line="480" w:lineRule="auto"/>
        <w:jc w:val="center"/>
        <w:rPr>
          <w:b/>
          <w:sz w:val="36"/>
          <w:szCs w:val="36"/>
        </w:rPr>
      </w:pPr>
    </w:p>
    <w:p>
      <w:pPr>
        <w:spacing w:line="480" w:lineRule="auto"/>
        <w:jc w:val="center"/>
        <w:rPr>
          <w:b/>
          <w:sz w:val="36"/>
          <w:szCs w:val="36"/>
        </w:rPr>
      </w:pPr>
      <w:r>
        <w:rPr>
          <w:rFonts w:hAnsi="宋体"/>
          <w:b/>
          <w:sz w:val="36"/>
          <w:szCs w:val="36"/>
        </w:rPr>
        <w:t>单位工程投标报价汇总表</w:t>
      </w:r>
    </w:p>
    <w:p>
      <w:pPr>
        <w:rPr>
          <w:sz w:val="24"/>
        </w:rPr>
      </w:pPr>
      <w:r>
        <w:rPr>
          <w:rFonts w:hAnsi="宋体"/>
          <w:sz w:val="24"/>
        </w:rPr>
        <w:t>工程名称：标段：第页共页</w:t>
      </w:r>
    </w:p>
    <w:tbl>
      <w:tblPr>
        <w:tblStyle w:val="57"/>
        <w:tblW w:w="968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0"/>
        <w:gridCol w:w="3914"/>
        <w:gridCol w:w="2422"/>
        <w:gridCol w:w="23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trPr>
        <w:tc>
          <w:tcPr>
            <w:tcW w:w="1040" w:type="dxa"/>
            <w:tcBorders>
              <w:bottom w:val="single" w:color="auto" w:sz="4" w:space="0"/>
            </w:tcBorders>
            <w:vAlign w:val="center"/>
          </w:tcPr>
          <w:p>
            <w:pPr>
              <w:jc w:val="center"/>
              <w:rPr>
                <w:szCs w:val="21"/>
              </w:rPr>
            </w:pPr>
            <w:r>
              <w:rPr>
                <w:rFonts w:hAnsi="宋体"/>
                <w:szCs w:val="21"/>
              </w:rPr>
              <w:t>序号</w:t>
            </w:r>
          </w:p>
        </w:tc>
        <w:tc>
          <w:tcPr>
            <w:tcW w:w="3914" w:type="dxa"/>
            <w:tcBorders>
              <w:bottom w:val="single" w:color="auto" w:sz="4" w:space="0"/>
            </w:tcBorders>
            <w:vAlign w:val="center"/>
          </w:tcPr>
          <w:p>
            <w:pPr>
              <w:jc w:val="center"/>
              <w:rPr>
                <w:szCs w:val="21"/>
              </w:rPr>
            </w:pPr>
            <w:r>
              <w:rPr>
                <w:rFonts w:hAnsi="宋体"/>
                <w:szCs w:val="21"/>
              </w:rPr>
              <w:t>汇总内容</w:t>
            </w:r>
          </w:p>
        </w:tc>
        <w:tc>
          <w:tcPr>
            <w:tcW w:w="2422" w:type="dxa"/>
            <w:tcBorders>
              <w:bottom w:val="single" w:color="auto" w:sz="4" w:space="0"/>
            </w:tcBorders>
            <w:vAlign w:val="center"/>
          </w:tcPr>
          <w:p>
            <w:pPr>
              <w:jc w:val="center"/>
              <w:rPr>
                <w:szCs w:val="21"/>
              </w:rPr>
            </w:pPr>
            <w:r>
              <w:rPr>
                <w:rFonts w:hAnsi="宋体"/>
                <w:szCs w:val="21"/>
              </w:rPr>
              <w:t>金额（元）</w:t>
            </w:r>
          </w:p>
        </w:tc>
        <w:tc>
          <w:tcPr>
            <w:tcW w:w="2312" w:type="dxa"/>
            <w:tcBorders>
              <w:bottom w:val="single" w:color="auto" w:sz="4" w:space="0"/>
            </w:tcBorders>
            <w:vAlign w:val="center"/>
          </w:tcPr>
          <w:p>
            <w:pPr>
              <w:jc w:val="center"/>
              <w:rPr>
                <w:szCs w:val="21"/>
              </w:rPr>
            </w:pPr>
            <w:r>
              <w:rPr>
                <w:rFonts w:hAnsi="宋体"/>
                <w:szCs w:val="21"/>
              </w:rPr>
              <w:t>其中：暂估价（元）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1</w:t>
            </w:r>
          </w:p>
        </w:tc>
        <w:tc>
          <w:tcPr>
            <w:tcW w:w="3914" w:type="dxa"/>
            <w:vAlign w:val="center"/>
          </w:tcPr>
          <w:p>
            <w:pPr>
              <w:rPr>
                <w:szCs w:val="21"/>
              </w:rPr>
            </w:pPr>
            <w:r>
              <w:rPr>
                <w:rFonts w:hAnsi="宋体"/>
                <w:szCs w:val="21"/>
              </w:rPr>
              <w:t>分部分项工程</w:t>
            </w:r>
          </w:p>
        </w:tc>
        <w:tc>
          <w:tcPr>
            <w:tcW w:w="2422" w:type="dxa"/>
            <w:vAlign w:val="center"/>
          </w:tcPr>
          <w:p>
            <w:pPr>
              <w:jc w:val="center"/>
              <w:rPr>
                <w:szCs w:val="21"/>
              </w:rPr>
            </w:pPr>
          </w:p>
        </w:tc>
        <w:tc>
          <w:tcPr>
            <w:tcW w:w="2312"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1.1</w:t>
            </w: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1.2</w:t>
            </w: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1.3</w:t>
            </w: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1.4</w:t>
            </w: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1.5</w:t>
            </w: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p>
        </w:tc>
        <w:tc>
          <w:tcPr>
            <w:tcW w:w="3914" w:type="dxa"/>
            <w:vAlign w:val="center"/>
          </w:tcPr>
          <w:p>
            <w:pPr>
              <w:rPr>
                <w:szCs w:val="21"/>
              </w:rPr>
            </w:pP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2</w:t>
            </w:r>
          </w:p>
        </w:tc>
        <w:tc>
          <w:tcPr>
            <w:tcW w:w="3914" w:type="dxa"/>
            <w:vAlign w:val="center"/>
          </w:tcPr>
          <w:p>
            <w:pPr>
              <w:rPr>
                <w:szCs w:val="21"/>
              </w:rPr>
            </w:pPr>
            <w:r>
              <w:rPr>
                <w:rFonts w:hAnsi="宋体"/>
                <w:szCs w:val="21"/>
              </w:rPr>
              <w:t>措施项目</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2.1</w:t>
            </w:r>
          </w:p>
        </w:tc>
        <w:tc>
          <w:tcPr>
            <w:tcW w:w="3914" w:type="dxa"/>
            <w:vAlign w:val="center"/>
          </w:tcPr>
          <w:p>
            <w:pPr>
              <w:ind w:firstLine="310" w:firstLineChars="148"/>
              <w:rPr>
                <w:szCs w:val="21"/>
              </w:rPr>
            </w:pPr>
            <w:r>
              <w:rPr>
                <w:rFonts w:hAnsi="宋体"/>
                <w:szCs w:val="21"/>
              </w:rPr>
              <w:t>安全文明施工费</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3</w:t>
            </w:r>
          </w:p>
        </w:tc>
        <w:tc>
          <w:tcPr>
            <w:tcW w:w="3914" w:type="dxa"/>
            <w:vAlign w:val="center"/>
          </w:tcPr>
          <w:p>
            <w:pPr>
              <w:rPr>
                <w:szCs w:val="21"/>
              </w:rPr>
            </w:pPr>
            <w:r>
              <w:rPr>
                <w:rFonts w:hAnsi="宋体"/>
                <w:szCs w:val="21"/>
              </w:rPr>
              <w:t>其他项目</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3.1</w:t>
            </w:r>
          </w:p>
        </w:tc>
        <w:tc>
          <w:tcPr>
            <w:tcW w:w="3914" w:type="dxa"/>
            <w:vAlign w:val="center"/>
          </w:tcPr>
          <w:p>
            <w:pPr>
              <w:ind w:firstLine="310" w:firstLineChars="148"/>
              <w:rPr>
                <w:szCs w:val="21"/>
              </w:rPr>
            </w:pPr>
            <w:r>
              <w:rPr>
                <w:rFonts w:hAnsi="宋体"/>
                <w:szCs w:val="21"/>
              </w:rPr>
              <w:t>暂列金额</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3.2</w:t>
            </w:r>
          </w:p>
        </w:tc>
        <w:tc>
          <w:tcPr>
            <w:tcW w:w="3914" w:type="dxa"/>
            <w:vAlign w:val="center"/>
          </w:tcPr>
          <w:p>
            <w:pPr>
              <w:ind w:firstLine="310" w:firstLineChars="148"/>
              <w:rPr>
                <w:szCs w:val="21"/>
              </w:rPr>
            </w:pPr>
            <w:r>
              <w:rPr>
                <w:rFonts w:hAnsi="宋体"/>
                <w:szCs w:val="21"/>
              </w:rPr>
              <w:t>专业工程暂估价</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3.3</w:t>
            </w:r>
          </w:p>
        </w:tc>
        <w:tc>
          <w:tcPr>
            <w:tcW w:w="3914" w:type="dxa"/>
            <w:vAlign w:val="center"/>
          </w:tcPr>
          <w:p>
            <w:pPr>
              <w:ind w:firstLine="310" w:firstLineChars="148"/>
              <w:rPr>
                <w:szCs w:val="21"/>
              </w:rPr>
            </w:pPr>
            <w:r>
              <w:rPr>
                <w:rFonts w:hAnsi="宋体"/>
                <w:szCs w:val="21"/>
              </w:rPr>
              <w:t>计日工</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3.4</w:t>
            </w:r>
          </w:p>
        </w:tc>
        <w:tc>
          <w:tcPr>
            <w:tcW w:w="3914" w:type="dxa"/>
            <w:vAlign w:val="center"/>
          </w:tcPr>
          <w:p>
            <w:pPr>
              <w:ind w:firstLine="310" w:firstLineChars="148"/>
              <w:rPr>
                <w:szCs w:val="21"/>
              </w:rPr>
            </w:pPr>
            <w:r>
              <w:rPr>
                <w:rFonts w:hAnsi="宋体"/>
                <w:szCs w:val="21"/>
              </w:rPr>
              <w:t>总承包服务费</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4</w:t>
            </w:r>
          </w:p>
        </w:tc>
        <w:tc>
          <w:tcPr>
            <w:tcW w:w="3914" w:type="dxa"/>
            <w:vAlign w:val="center"/>
          </w:tcPr>
          <w:p>
            <w:pPr>
              <w:rPr>
                <w:szCs w:val="21"/>
              </w:rPr>
            </w:pPr>
            <w:r>
              <w:rPr>
                <w:rFonts w:hAnsi="宋体"/>
                <w:szCs w:val="21"/>
              </w:rPr>
              <w:t>规费</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1040" w:type="dxa"/>
            <w:vAlign w:val="center"/>
          </w:tcPr>
          <w:p>
            <w:pPr>
              <w:jc w:val="center"/>
              <w:rPr>
                <w:szCs w:val="21"/>
              </w:rPr>
            </w:pPr>
            <w:r>
              <w:rPr>
                <w:szCs w:val="21"/>
              </w:rPr>
              <w:t>5</w:t>
            </w:r>
          </w:p>
        </w:tc>
        <w:tc>
          <w:tcPr>
            <w:tcW w:w="3914" w:type="dxa"/>
            <w:vAlign w:val="center"/>
          </w:tcPr>
          <w:p>
            <w:pPr>
              <w:rPr>
                <w:szCs w:val="21"/>
              </w:rPr>
            </w:pPr>
            <w:r>
              <w:rPr>
                <w:rFonts w:hAnsi="宋体"/>
                <w:szCs w:val="21"/>
              </w:rPr>
              <w:t>税金</w:t>
            </w:r>
          </w:p>
        </w:tc>
        <w:tc>
          <w:tcPr>
            <w:tcW w:w="2422" w:type="dxa"/>
          </w:tcPr>
          <w:p>
            <w:pPr>
              <w:jc w:val="center"/>
              <w:rPr>
                <w:szCs w:val="21"/>
              </w:rPr>
            </w:pPr>
          </w:p>
        </w:tc>
        <w:tc>
          <w:tcPr>
            <w:tcW w:w="2312" w:type="dxa"/>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4954" w:type="dxa"/>
            <w:gridSpan w:val="2"/>
            <w:vAlign w:val="center"/>
          </w:tcPr>
          <w:p>
            <w:pPr>
              <w:jc w:val="center"/>
              <w:rPr>
                <w:szCs w:val="21"/>
              </w:rPr>
            </w:pPr>
            <w:r>
              <w:rPr>
                <w:rFonts w:hAnsi="宋体"/>
                <w:szCs w:val="21"/>
              </w:rPr>
              <w:t>招标报价合计</w:t>
            </w:r>
            <w:r>
              <w:rPr>
                <w:szCs w:val="21"/>
              </w:rPr>
              <w:t>=1+2+3+4+5</w:t>
            </w:r>
          </w:p>
        </w:tc>
        <w:tc>
          <w:tcPr>
            <w:tcW w:w="2422" w:type="dxa"/>
            <w:vAlign w:val="center"/>
          </w:tcPr>
          <w:p>
            <w:pPr>
              <w:jc w:val="center"/>
              <w:rPr>
                <w:szCs w:val="21"/>
              </w:rPr>
            </w:pPr>
          </w:p>
        </w:tc>
        <w:tc>
          <w:tcPr>
            <w:tcW w:w="2312" w:type="dxa"/>
            <w:vAlign w:val="center"/>
          </w:tcPr>
          <w:p>
            <w:pPr>
              <w:jc w:val="center"/>
              <w:rPr>
                <w:szCs w:val="21"/>
              </w:rPr>
            </w:pPr>
          </w:p>
        </w:tc>
      </w:tr>
    </w:tbl>
    <w:p>
      <w:pPr>
        <w:rPr>
          <w:sz w:val="18"/>
          <w:szCs w:val="18"/>
        </w:rPr>
      </w:pPr>
      <w:r>
        <w:rPr>
          <w:rFonts w:hAnsi="宋体"/>
          <w:sz w:val="18"/>
          <w:szCs w:val="18"/>
        </w:rPr>
        <w:t>注：本表适用于单位工程投标报价的汇总，如无单位工程划分，单项工程也使用本表汇总。</w:t>
      </w:r>
    </w:p>
    <w:p>
      <w:pPr>
        <w:jc w:val="right"/>
      </w:pPr>
      <w:r>
        <w:rPr>
          <w:rFonts w:hAnsi="宋体"/>
        </w:rPr>
        <w:t>表</w:t>
      </w:r>
      <w:r>
        <w:t>—04</w:t>
      </w:r>
    </w:p>
    <w:p>
      <w:pPr>
        <w:ind w:right="420"/>
        <w:jc w:val="center"/>
        <w:rPr>
          <w:b/>
          <w:bCs/>
          <w:kern w:val="0"/>
          <w:sz w:val="32"/>
          <w:szCs w:val="32"/>
        </w:rPr>
      </w:pPr>
    </w:p>
    <w:p>
      <w:pPr>
        <w:ind w:right="420"/>
        <w:jc w:val="center"/>
        <w:rPr>
          <w:b/>
          <w:bCs/>
          <w:kern w:val="0"/>
          <w:sz w:val="32"/>
          <w:szCs w:val="32"/>
        </w:rPr>
      </w:pPr>
    </w:p>
    <w:p>
      <w:pPr>
        <w:ind w:right="420"/>
        <w:jc w:val="center"/>
        <w:rPr>
          <w:b/>
          <w:bCs/>
          <w:kern w:val="0"/>
          <w:sz w:val="32"/>
          <w:szCs w:val="32"/>
        </w:rPr>
      </w:pPr>
      <w:r>
        <w:rPr>
          <w:rFonts w:hAnsi="宋体"/>
          <w:b/>
          <w:bCs/>
          <w:kern w:val="0"/>
          <w:sz w:val="32"/>
          <w:szCs w:val="32"/>
        </w:rPr>
        <w:t>分部分项工程和措施项目计价表</w:t>
      </w:r>
    </w:p>
    <w:p>
      <w:pPr>
        <w:ind w:right="420"/>
        <w:jc w:val="center"/>
        <w:rPr>
          <w:b/>
          <w:bCs/>
          <w:kern w:val="0"/>
          <w:sz w:val="32"/>
          <w:szCs w:val="32"/>
        </w:rPr>
      </w:pPr>
    </w:p>
    <w:p>
      <w:pPr>
        <w:pStyle w:val="2"/>
        <w:tabs>
          <w:tab w:val="left" w:pos="4529"/>
          <w:tab w:val="left" w:pos="7890"/>
          <w:tab w:val="left" w:pos="8416"/>
          <w:tab w:val="left" w:pos="9047"/>
        </w:tabs>
        <w:ind w:firstLine="230" w:firstLineChars="100"/>
        <w:rPr>
          <w:rFonts w:eastAsia="宋体"/>
        </w:rPr>
      </w:pPr>
      <w:r>
        <w:rPr>
          <w:rFonts w:hAnsi="宋体" w:eastAsia="宋体"/>
        </w:rPr>
        <w:t>工程名称：标段：第页共页</w:t>
      </w:r>
    </w:p>
    <w:tbl>
      <w:tblPr>
        <w:tblStyle w:val="57"/>
        <w:tblW w:w="9391" w:type="dxa"/>
        <w:tblInd w:w="93" w:type="dxa"/>
        <w:tblLayout w:type="fixed"/>
        <w:tblCellMar>
          <w:top w:w="0" w:type="dxa"/>
          <w:left w:w="108" w:type="dxa"/>
          <w:bottom w:w="0" w:type="dxa"/>
          <w:right w:w="108" w:type="dxa"/>
        </w:tblCellMar>
      </w:tblPr>
      <w:tblGrid>
        <w:gridCol w:w="546"/>
        <w:gridCol w:w="1581"/>
        <w:gridCol w:w="1186"/>
        <w:gridCol w:w="2107"/>
        <w:gridCol w:w="658"/>
        <w:gridCol w:w="809"/>
        <w:gridCol w:w="791"/>
        <w:gridCol w:w="797"/>
        <w:gridCol w:w="916"/>
      </w:tblGrid>
      <w:tr>
        <w:tblPrEx>
          <w:tblCellMar>
            <w:top w:w="0" w:type="dxa"/>
            <w:left w:w="108" w:type="dxa"/>
            <w:bottom w:w="0" w:type="dxa"/>
            <w:right w:w="108" w:type="dxa"/>
          </w:tblCellMar>
        </w:tblPrEx>
        <w:trPr>
          <w:trHeight w:val="428" w:hRule="atLeast"/>
        </w:trPr>
        <w:tc>
          <w:tcPr>
            <w:tcW w:w="546" w:type="dxa"/>
            <w:vMerge w:val="restart"/>
            <w:tcBorders>
              <w:top w:val="single" w:color="auto" w:sz="8" w:space="0"/>
              <w:left w:val="single" w:color="auto" w:sz="8"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序号</w:t>
            </w:r>
          </w:p>
        </w:tc>
        <w:tc>
          <w:tcPr>
            <w:tcW w:w="1581"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项目编码</w:t>
            </w:r>
          </w:p>
        </w:tc>
        <w:tc>
          <w:tcPr>
            <w:tcW w:w="1186"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项目名称</w:t>
            </w:r>
          </w:p>
        </w:tc>
        <w:tc>
          <w:tcPr>
            <w:tcW w:w="2107"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项目特征描述</w:t>
            </w:r>
          </w:p>
        </w:tc>
        <w:tc>
          <w:tcPr>
            <w:tcW w:w="658"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rFonts w:hAnsi="宋体"/>
                <w:b/>
                <w:bCs/>
                <w:kern w:val="0"/>
                <w:sz w:val="20"/>
                <w:szCs w:val="20"/>
              </w:rPr>
            </w:pPr>
            <w:r>
              <w:rPr>
                <w:rFonts w:hAnsi="宋体"/>
                <w:b/>
                <w:bCs/>
                <w:kern w:val="0"/>
                <w:sz w:val="20"/>
                <w:szCs w:val="20"/>
              </w:rPr>
              <w:t>计量</w:t>
            </w:r>
          </w:p>
          <w:p>
            <w:pPr>
              <w:widowControl/>
              <w:jc w:val="center"/>
              <w:rPr>
                <w:b/>
                <w:bCs/>
                <w:kern w:val="0"/>
                <w:sz w:val="20"/>
                <w:szCs w:val="20"/>
              </w:rPr>
            </w:pPr>
            <w:r>
              <w:rPr>
                <w:rFonts w:hAnsi="宋体"/>
                <w:b/>
                <w:bCs/>
                <w:kern w:val="0"/>
                <w:sz w:val="20"/>
                <w:szCs w:val="20"/>
              </w:rPr>
              <w:t>单位</w:t>
            </w:r>
          </w:p>
        </w:tc>
        <w:tc>
          <w:tcPr>
            <w:tcW w:w="809"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工程量</w:t>
            </w:r>
          </w:p>
        </w:tc>
        <w:tc>
          <w:tcPr>
            <w:tcW w:w="2504" w:type="dxa"/>
            <w:gridSpan w:val="3"/>
            <w:tcBorders>
              <w:top w:val="single" w:color="auto" w:sz="8" w:space="0"/>
              <w:left w:val="nil"/>
              <w:bottom w:val="single" w:color="auto" w:sz="4" w:space="0"/>
              <w:right w:val="single" w:color="auto" w:sz="8" w:space="0"/>
            </w:tcBorders>
            <w:vAlign w:val="center"/>
          </w:tcPr>
          <w:p>
            <w:pPr>
              <w:widowControl/>
              <w:jc w:val="center"/>
              <w:rPr>
                <w:b/>
                <w:bCs/>
                <w:kern w:val="0"/>
                <w:sz w:val="20"/>
                <w:szCs w:val="20"/>
              </w:rPr>
            </w:pPr>
            <w:r>
              <w:rPr>
                <w:rFonts w:hAnsi="宋体"/>
                <w:b/>
                <w:bCs/>
                <w:kern w:val="0"/>
                <w:sz w:val="20"/>
                <w:szCs w:val="20"/>
              </w:rPr>
              <w:t>金额（元）</w:t>
            </w:r>
          </w:p>
        </w:tc>
      </w:tr>
      <w:tr>
        <w:tblPrEx>
          <w:tblCellMar>
            <w:top w:w="0" w:type="dxa"/>
            <w:left w:w="108" w:type="dxa"/>
            <w:bottom w:w="0" w:type="dxa"/>
            <w:right w:w="108" w:type="dxa"/>
          </w:tblCellMar>
        </w:tblPrEx>
        <w:trPr>
          <w:trHeight w:val="388" w:hRule="atLeast"/>
        </w:trPr>
        <w:tc>
          <w:tcPr>
            <w:tcW w:w="546" w:type="dxa"/>
            <w:vMerge w:val="continue"/>
            <w:tcBorders>
              <w:top w:val="single" w:color="auto" w:sz="8" w:space="0"/>
              <w:left w:val="single" w:color="auto" w:sz="8" w:space="0"/>
              <w:bottom w:val="single" w:color="auto" w:sz="4" w:space="0"/>
              <w:right w:val="single" w:color="auto" w:sz="4" w:space="0"/>
            </w:tcBorders>
            <w:vAlign w:val="center"/>
          </w:tcPr>
          <w:p>
            <w:pPr>
              <w:widowControl/>
              <w:jc w:val="left"/>
              <w:rPr>
                <w:b/>
                <w:bCs/>
                <w:kern w:val="0"/>
                <w:sz w:val="20"/>
                <w:szCs w:val="20"/>
              </w:rPr>
            </w:pPr>
          </w:p>
        </w:tc>
        <w:tc>
          <w:tcPr>
            <w:tcW w:w="1581"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1186"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2107"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658"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809"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791" w:type="dxa"/>
            <w:vMerge w:val="restart"/>
            <w:tcBorders>
              <w:top w:val="nil"/>
              <w:left w:val="single" w:color="auto" w:sz="4" w:space="0"/>
              <w:bottom w:val="single" w:color="auto" w:sz="4" w:space="0"/>
              <w:right w:val="single" w:color="auto" w:sz="4" w:space="0"/>
            </w:tcBorders>
            <w:vAlign w:val="center"/>
          </w:tcPr>
          <w:p>
            <w:pPr>
              <w:widowControl/>
              <w:jc w:val="center"/>
              <w:rPr>
                <w:rFonts w:hAnsi="宋体"/>
                <w:b/>
                <w:bCs/>
                <w:kern w:val="0"/>
                <w:sz w:val="20"/>
                <w:szCs w:val="20"/>
              </w:rPr>
            </w:pPr>
            <w:r>
              <w:rPr>
                <w:rFonts w:hAnsi="宋体"/>
                <w:b/>
                <w:bCs/>
                <w:kern w:val="0"/>
                <w:sz w:val="20"/>
                <w:szCs w:val="20"/>
              </w:rPr>
              <w:t>综合</w:t>
            </w:r>
          </w:p>
          <w:p>
            <w:pPr>
              <w:widowControl/>
              <w:jc w:val="center"/>
              <w:rPr>
                <w:b/>
                <w:bCs/>
                <w:kern w:val="0"/>
                <w:sz w:val="20"/>
                <w:szCs w:val="20"/>
              </w:rPr>
            </w:pPr>
            <w:r>
              <w:rPr>
                <w:rFonts w:hAnsi="宋体"/>
                <w:b/>
                <w:bCs/>
                <w:kern w:val="0"/>
                <w:sz w:val="20"/>
                <w:szCs w:val="20"/>
              </w:rPr>
              <w:t>单价</w:t>
            </w:r>
          </w:p>
        </w:tc>
        <w:tc>
          <w:tcPr>
            <w:tcW w:w="797" w:type="dxa"/>
            <w:vMerge w:val="restart"/>
            <w:tcBorders>
              <w:top w:val="nil"/>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合价</w:t>
            </w:r>
          </w:p>
        </w:tc>
        <w:tc>
          <w:tcPr>
            <w:tcW w:w="916" w:type="dxa"/>
            <w:tcBorders>
              <w:top w:val="nil"/>
              <w:left w:val="nil"/>
              <w:bottom w:val="single" w:color="auto" w:sz="4" w:space="0"/>
              <w:right w:val="single" w:color="auto" w:sz="8" w:space="0"/>
            </w:tcBorders>
            <w:vAlign w:val="center"/>
          </w:tcPr>
          <w:p>
            <w:pPr>
              <w:widowControl/>
              <w:jc w:val="center"/>
              <w:rPr>
                <w:b/>
                <w:bCs/>
                <w:kern w:val="0"/>
                <w:sz w:val="20"/>
                <w:szCs w:val="20"/>
              </w:rPr>
            </w:pPr>
            <w:r>
              <w:rPr>
                <w:rFonts w:hAnsi="宋体"/>
                <w:b/>
                <w:bCs/>
                <w:kern w:val="0"/>
                <w:sz w:val="20"/>
                <w:szCs w:val="20"/>
              </w:rPr>
              <w:t>其中</w:t>
            </w:r>
          </w:p>
        </w:tc>
      </w:tr>
      <w:tr>
        <w:tblPrEx>
          <w:tblCellMar>
            <w:top w:w="0" w:type="dxa"/>
            <w:left w:w="108" w:type="dxa"/>
            <w:bottom w:w="0" w:type="dxa"/>
            <w:right w:w="108" w:type="dxa"/>
          </w:tblCellMar>
        </w:tblPrEx>
        <w:trPr>
          <w:trHeight w:val="388" w:hRule="atLeast"/>
        </w:trPr>
        <w:tc>
          <w:tcPr>
            <w:tcW w:w="546" w:type="dxa"/>
            <w:vMerge w:val="continue"/>
            <w:tcBorders>
              <w:top w:val="single" w:color="auto" w:sz="8" w:space="0"/>
              <w:left w:val="single" w:color="auto" w:sz="8" w:space="0"/>
              <w:bottom w:val="single" w:color="auto" w:sz="4" w:space="0"/>
              <w:right w:val="single" w:color="auto" w:sz="4" w:space="0"/>
            </w:tcBorders>
            <w:vAlign w:val="center"/>
          </w:tcPr>
          <w:p>
            <w:pPr>
              <w:widowControl/>
              <w:jc w:val="left"/>
              <w:rPr>
                <w:b/>
                <w:bCs/>
                <w:kern w:val="0"/>
                <w:sz w:val="20"/>
                <w:szCs w:val="20"/>
              </w:rPr>
            </w:pPr>
          </w:p>
        </w:tc>
        <w:tc>
          <w:tcPr>
            <w:tcW w:w="1581"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1186"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2107"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658"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809"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791" w:type="dxa"/>
            <w:vMerge w:val="continue"/>
            <w:tcBorders>
              <w:top w:val="nil"/>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797" w:type="dxa"/>
            <w:vMerge w:val="continue"/>
            <w:tcBorders>
              <w:top w:val="nil"/>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916" w:type="dxa"/>
            <w:tcBorders>
              <w:top w:val="nil"/>
              <w:left w:val="nil"/>
              <w:bottom w:val="single" w:color="auto" w:sz="4" w:space="0"/>
              <w:right w:val="single" w:color="auto" w:sz="8" w:space="0"/>
            </w:tcBorders>
            <w:vAlign w:val="center"/>
          </w:tcPr>
          <w:p>
            <w:pPr>
              <w:widowControl/>
              <w:jc w:val="center"/>
              <w:rPr>
                <w:b/>
                <w:bCs/>
                <w:kern w:val="0"/>
                <w:sz w:val="20"/>
                <w:szCs w:val="20"/>
              </w:rPr>
            </w:pPr>
            <w:r>
              <w:rPr>
                <w:rFonts w:hAnsi="宋体"/>
                <w:b/>
                <w:bCs/>
                <w:kern w:val="0"/>
                <w:sz w:val="20"/>
                <w:szCs w:val="20"/>
              </w:rPr>
              <w:t>暂估价</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　</w:t>
            </w: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581"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86"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210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658"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809"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68" w:hRule="atLeast"/>
        </w:trPr>
        <w:tc>
          <w:tcPr>
            <w:tcW w:w="7678" w:type="dxa"/>
            <w:gridSpan w:val="7"/>
            <w:tcBorders>
              <w:top w:val="single" w:color="auto" w:sz="4" w:space="0"/>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本页小计</w:t>
            </w:r>
          </w:p>
        </w:tc>
        <w:tc>
          <w:tcPr>
            <w:tcW w:w="797"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4" w:space="0"/>
              <w:right w:val="single" w:color="auto" w:sz="8" w:space="0"/>
            </w:tcBorders>
            <w:vAlign w:val="center"/>
          </w:tcPr>
          <w:p>
            <w:pPr>
              <w:widowControl/>
              <w:jc w:val="right"/>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450" w:hRule="atLeast"/>
        </w:trPr>
        <w:tc>
          <w:tcPr>
            <w:tcW w:w="7678" w:type="dxa"/>
            <w:gridSpan w:val="7"/>
            <w:tcBorders>
              <w:top w:val="single" w:color="auto" w:sz="4" w:space="0"/>
              <w:left w:val="single" w:color="auto" w:sz="8" w:space="0"/>
              <w:bottom w:val="single" w:color="auto" w:sz="8" w:space="0"/>
              <w:right w:val="single" w:color="auto" w:sz="4" w:space="0"/>
            </w:tcBorders>
            <w:vAlign w:val="center"/>
          </w:tcPr>
          <w:p>
            <w:pPr>
              <w:widowControl/>
              <w:jc w:val="center"/>
              <w:rPr>
                <w:kern w:val="0"/>
                <w:sz w:val="18"/>
                <w:szCs w:val="18"/>
              </w:rPr>
            </w:pPr>
            <w:r>
              <w:rPr>
                <w:rFonts w:hAnsi="宋体"/>
                <w:kern w:val="0"/>
                <w:sz w:val="18"/>
                <w:szCs w:val="18"/>
              </w:rPr>
              <w:t>合计</w:t>
            </w:r>
          </w:p>
        </w:tc>
        <w:tc>
          <w:tcPr>
            <w:tcW w:w="797" w:type="dxa"/>
            <w:tcBorders>
              <w:top w:val="nil"/>
              <w:left w:val="nil"/>
              <w:bottom w:val="single" w:color="auto" w:sz="8" w:space="0"/>
              <w:right w:val="single" w:color="auto" w:sz="4" w:space="0"/>
            </w:tcBorders>
            <w:vAlign w:val="center"/>
          </w:tcPr>
          <w:p>
            <w:pPr>
              <w:widowControl/>
              <w:jc w:val="right"/>
              <w:rPr>
                <w:kern w:val="0"/>
                <w:sz w:val="18"/>
                <w:szCs w:val="18"/>
              </w:rPr>
            </w:pPr>
            <w:r>
              <w:rPr>
                <w:rFonts w:hAnsi="宋体"/>
                <w:kern w:val="0"/>
                <w:sz w:val="18"/>
                <w:szCs w:val="18"/>
              </w:rPr>
              <w:t>　</w:t>
            </w:r>
          </w:p>
        </w:tc>
        <w:tc>
          <w:tcPr>
            <w:tcW w:w="916" w:type="dxa"/>
            <w:tcBorders>
              <w:top w:val="nil"/>
              <w:left w:val="nil"/>
              <w:bottom w:val="single" w:color="auto" w:sz="8" w:space="0"/>
              <w:right w:val="single" w:color="auto" w:sz="8" w:space="0"/>
            </w:tcBorders>
            <w:vAlign w:val="center"/>
          </w:tcPr>
          <w:p>
            <w:pPr>
              <w:widowControl/>
              <w:jc w:val="right"/>
              <w:rPr>
                <w:kern w:val="0"/>
                <w:sz w:val="18"/>
                <w:szCs w:val="18"/>
              </w:rPr>
            </w:pPr>
            <w:r>
              <w:rPr>
                <w:rFonts w:hAnsi="宋体"/>
                <w:kern w:val="0"/>
                <w:sz w:val="18"/>
                <w:szCs w:val="18"/>
              </w:rPr>
              <w:t>　</w:t>
            </w:r>
          </w:p>
        </w:tc>
      </w:tr>
    </w:tbl>
    <w:p>
      <w:pPr>
        <w:widowControl/>
        <w:ind w:firstLine="360" w:firstLineChars="200"/>
        <w:rPr>
          <w:kern w:val="0"/>
          <w:sz w:val="18"/>
          <w:szCs w:val="18"/>
        </w:rPr>
      </w:pPr>
      <w:r>
        <w:rPr>
          <w:rFonts w:hAnsi="宋体"/>
          <w:kern w:val="0"/>
          <w:sz w:val="18"/>
          <w:szCs w:val="18"/>
        </w:rPr>
        <w:t>注：为计取规费等的使用，可在表中增设其中：</w:t>
      </w:r>
      <w:r>
        <w:rPr>
          <w:kern w:val="0"/>
          <w:sz w:val="18"/>
          <w:szCs w:val="18"/>
        </w:rPr>
        <w:t>“</w:t>
      </w:r>
      <w:r>
        <w:rPr>
          <w:rFonts w:hAnsi="宋体"/>
          <w:kern w:val="0"/>
          <w:sz w:val="18"/>
          <w:szCs w:val="18"/>
        </w:rPr>
        <w:t>定额人工费</w:t>
      </w:r>
      <w:r>
        <w:rPr>
          <w:kern w:val="0"/>
          <w:sz w:val="18"/>
          <w:szCs w:val="18"/>
        </w:rPr>
        <w:t>“</w:t>
      </w:r>
    </w:p>
    <w:p>
      <w:pPr>
        <w:spacing w:line="243" w:lineRule="exact"/>
        <w:jc w:val="right"/>
        <w:rPr>
          <w:sz w:val="18"/>
          <w:szCs w:val="18"/>
        </w:rPr>
      </w:pPr>
      <w:r>
        <w:rPr>
          <w:rFonts w:hAnsi="宋体"/>
          <w:sz w:val="18"/>
          <w:szCs w:val="18"/>
        </w:rPr>
        <w:t>表</w:t>
      </w:r>
      <w:r>
        <w:rPr>
          <w:sz w:val="18"/>
          <w:szCs w:val="18"/>
        </w:rPr>
        <w:t>-08</w:t>
      </w:r>
    </w:p>
    <w:p>
      <w:pPr>
        <w:pStyle w:val="77"/>
        <w:tabs>
          <w:tab w:val="left" w:pos="707"/>
        </w:tabs>
        <w:jc w:val="center"/>
        <w:outlineLvl w:val="2"/>
        <w:rPr>
          <w:rFonts w:ascii="Times New Roman" w:hAnsi="Times New Roman" w:cs="Times New Roman"/>
          <w:b/>
          <w:spacing w:val="1"/>
          <w:lang w:eastAsia="zh-CN"/>
        </w:rPr>
      </w:pPr>
    </w:p>
    <w:p>
      <w:pPr>
        <w:pStyle w:val="77"/>
        <w:tabs>
          <w:tab w:val="left" w:pos="707"/>
        </w:tabs>
        <w:jc w:val="center"/>
        <w:outlineLvl w:val="2"/>
        <w:rPr>
          <w:rFonts w:ascii="Times New Roman" w:hAnsi="Times New Roman" w:cs="Times New Roman"/>
          <w:b/>
          <w:spacing w:val="1"/>
          <w:lang w:eastAsia="zh-CN"/>
        </w:rPr>
      </w:pPr>
    </w:p>
    <w:p>
      <w:pPr>
        <w:pStyle w:val="77"/>
        <w:tabs>
          <w:tab w:val="left" w:pos="707"/>
        </w:tabs>
        <w:jc w:val="center"/>
        <w:outlineLvl w:val="2"/>
        <w:rPr>
          <w:rFonts w:ascii="Times New Roman" w:hAnsi="Times New Roman" w:cs="Times New Roman"/>
          <w:b/>
          <w:spacing w:val="1"/>
          <w:lang w:eastAsia="zh-CN"/>
        </w:rPr>
      </w:pPr>
    </w:p>
    <w:p>
      <w:pPr>
        <w:pStyle w:val="77"/>
        <w:tabs>
          <w:tab w:val="left" w:pos="707"/>
        </w:tabs>
        <w:jc w:val="center"/>
        <w:outlineLvl w:val="2"/>
        <w:rPr>
          <w:rFonts w:ascii="Times New Roman" w:hAnsi="Times New Roman" w:cs="Times New Roman"/>
          <w:b/>
          <w:spacing w:val="1"/>
          <w:lang w:eastAsia="zh-CN"/>
        </w:rPr>
      </w:pPr>
      <w:r>
        <w:rPr>
          <w:rFonts w:ascii="Times New Roman" w:hAnsi="Times New Roman" w:cs="Times New Roman"/>
          <w:b/>
          <w:spacing w:val="1"/>
          <w:lang w:eastAsia="zh-CN"/>
        </w:rPr>
        <w:tab/>
      </w:r>
      <w:bookmarkEnd w:id="572"/>
      <w:bookmarkEnd w:id="573"/>
      <w:bookmarkEnd w:id="574"/>
    </w:p>
    <w:p>
      <w:pPr>
        <w:pStyle w:val="77"/>
        <w:tabs>
          <w:tab w:val="left" w:pos="707"/>
        </w:tabs>
        <w:jc w:val="center"/>
        <w:outlineLvl w:val="2"/>
        <w:rPr>
          <w:rFonts w:ascii="Times New Roman" w:hAnsi="Times New Roman" w:cs="Times New Roman"/>
          <w:b/>
          <w:spacing w:val="1"/>
          <w:lang w:eastAsia="zh-CN"/>
        </w:rPr>
      </w:pPr>
      <w:r>
        <w:rPr>
          <w:rFonts w:ascii="Times New Roman" w:hAnsi="Times New Roman" w:cs="Times New Roman"/>
          <w:b/>
          <w:spacing w:val="1"/>
          <w:lang w:eastAsia="zh-CN"/>
        </w:rPr>
        <w:br w:type="page"/>
      </w:r>
      <w:r>
        <w:rPr>
          <w:rFonts w:ascii="Times New Roman" w:cs="Times New Roman"/>
          <w:b/>
          <w:spacing w:val="1"/>
          <w:lang w:eastAsia="zh-CN"/>
        </w:rPr>
        <w:t>综合单价分析表</w:t>
      </w:r>
    </w:p>
    <w:p>
      <w:pPr>
        <w:pStyle w:val="77"/>
        <w:tabs>
          <w:tab w:val="left" w:pos="707"/>
        </w:tabs>
        <w:jc w:val="center"/>
        <w:outlineLvl w:val="2"/>
        <w:rPr>
          <w:rFonts w:ascii="Times New Roman" w:hAnsi="Times New Roman" w:cs="Times New Roman"/>
          <w:b/>
          <w:spacing w:val="1"/>
          <w:lang w:eastAsia="zh-CN"/>
        </w:rPr>
      </w:pPr>
    </w:p>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工程名称：</w:t>
      </w:r>
      <w:r>
        <w:rPr>
          <w:rFonts w:ascii="Times New Roman" w:hAnsi="Times New Roman" w:cs="Times New Roman"/>
          <w:sz w:val="18"/>
          <w:szCs w:val="18"/>
          <w:lang w:eastAsia="zh-CN"/>
        </w:rPr>
        <w:tab/>
      </w:r>
      <w:r>
        <w:rPr>
          <w:rFonts w:ascii="Times New Roman" w:hAnsi="宋体" w:cs="Times New Roman"/>
          <w:sz w:val="18"/>
          <w:szCs w:val="18"/>
          <w:lang w:eastAsia="zh-CN"/>
        </w:rPr>
        <w:t>标段：第页共页</w:t>
      </w:r>
    </w:p>
    <w:tbl>
      <w:tblPr>
        <w:tblStyle w:val="57"/>
        <w:tblW w:w="8940" w:type="dxa"/>
        <w:jc w:val="center"/>
        <w:tblLayout w:type="fixed"/>
        <w:tblCellMar>
          <w:top w:w="0" w:type="dxa"/>
          <w:left w:w="0" w:type="dxa"/>
          <w:bottom w:w="0" w:type="dxa"/>
          <w:right w:w="0" w:type="dxa"/>
        </w:tblCellMar>
      </w:tblPr>
      <w:tblGrid>
        <w:gridCol w:w="540"/>
        <w:gridCol w:w="180"/>
        <w:gridCol w:w="318"/>
        <w:gridCol w:w="402"/>
        <w:gridCol w:w="540"/>
        <w:gridCol w:w="555"/>
        <w:gridCol w:w="29"/>
        <w:gridCol w:w="639"/>
        <w:gridCol w:w="200"/>
        <w:gridCol w:w="404"/>
        <w:gridCol w:w="630"/>
        <w:gridCol w:w="663"/>
        <w:gridCol w:w="529"/>
        <w:gridCol w:w="12"/>
        <w:gridCol w:w="600"/>
        <w:gridCol w:w="143"/>
        <w:gridCol w:w="551"/>
        <w:gridCol w:w="283"/>
        <w:gridCol w:w="405"/>
        <w:gridCol w:w="87"/>
        <w:gridCol w:w="244"/>
        <w:gridCol w:w="309"/>
        <w:gridCol w:w="677"/>
      </w:tblGrid>
      <w:tr>
        <w:tblPrEx>
          <w:tblCellMar>
            <w:top w:w="0" w:type="dxa"/>
            <w:left w:w="0" w:type="dxa"/>
            <w:bottom w:w="0" w:type="dxa"/>
            <w:right w:w="0" w:type="dxa"/>
          </w:tblCellMar>
        </w:tblPrEx>
        <w:trPr>
          <w:trHeight w:val="576" w:hRule="exact"/>
          <w:jc w:val="center"/>
        </w:trPr>
        <w:tc>
          <w:tcPr>
            <w:tcW w:w="1038"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项目编码</w:t>
            </w:r>
          </w:p>
        </w:tc>
        <w:tc>
          <w:tcPr>
            <w:tcW w:w="1497"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868" w:type="dxa"/>
            <w:gridSpan w:val="3"/>
            <w:tcBorders>
              <w:top w:val="single" w:color="000000" w:sz="4" w:space="0"/>
              <w:left w:val="single" w:color="auto"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项目名称</w:t>
            </w:r>
          </w:p>
        </w:tc>
        <w:tc>
          <w:tcPr>
            <w:tcW w:w="2226" w:type="dxa"/>
            <w:gridSpan w:val="4"/>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755" w:type="dxa"/>
            <w:gridSpan w:val="3"/>
            <w:tcBorders>
              <w:top w:val="single" w:color="000000" w:sz="4" w:space="0"/>
              <w:left w:val="single" w:color="auto" w:sz="4" w:space="0"/>
              <w:bottom w:val="single" w:color="000000" w:sz="4" w:space="0"/>
              <w:right w:val="single" w:color="auto" w:sz="2"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计量单位</w:t>
            </w:r>
          </w:p>
        </w:tc>
        <w:tc>
          <w:tcPr>
            <w:tcW w:w="834" w:type="dxa"/>
            <w:gridSpan w:val="2"/>
            <w:tcBorders>
              <w:top w:val="single" w:color="000000" w:sz="4" w:space="0"/>
              <w:left w:val="single" w:color="auto" w:sz="4" w:space="0"/>
              <w:bottom w:val="single" w:color="000000" w:sz="4" w:space="0"/>
              <w:right w:val="single" w:color="auto" w:sz="2" w:space="0"/>
            </w:tcBorders>
            <w:vAlign w:val="center"/>
          </w:tcPr>
          <w:p>
            <w:pPr>
              <w:pStyle w:val="78"/>
              <w:jc w:val="center"/>
              <w:rPr>
                <w:rFonts w:ascii="Times New Roman" w:hAnsi="Times New Roman" w:cs="Times New Roman"/>
                <w:sz w:val="18"/>
                <w:szCs w:val="18"/>
              </w:rPr>
            </w:pPr>
          </w:p>
        </w:tc>
        <w:tc>
          <w:tcPr>
            <w:tcW w:w="736" w:type="dxa"/>
            <w:gridSpan w:val="3"/>
            <w:tcBorders>
              <w:top w:val="single" w:color="000000" w:sz="4" w:space="0"/>
              <w:left w:val="single" w:color="auto" w:sz="2"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工程量</w:t>
            </w:r>
          </w:p>
        </w:tc>
        <w:tc>
          <w:tcPr>
            <w:tcW w:w="986"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76" w:hRule="exact"/>
          <w:jc w:val="center"/>
        </w:trPr>
        <w:tc>
          <w:tcPr>
            <w:tcW w:w="8940" w:type="dxa"/>
            <w:gridSpan w:val="2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清单综合单价组成明细</w:t>
            </w:r>
          </w:p>
        </w:tc>
      </w:tr>
      <w:tr>
        <w:tblPrEx>
          <w:tblCellMar>
            <w:top w:w="0" w:type="dxa"/>
            <w:left w:w="0" w:type="dxa"/>
            <w:bottom w:w="0" w:type="dxa"/>
            <w:right w:w="0" w:type="dxa"/>
          </w:tblCellMar>
        </w:tblPrEx>
        <w:trPr>
          <w:trHeight w:val="578" w:hRule="exact"/>
          <w:jc w:val="center"/>
        </w:trPr>
        <w:tc>
          <w:tcPr>
            <w:tcW w:w="540" w:type="dxa"/>
            <w:vMerge w:val="restart"/>
            <w:tcBorders>
              <w:top w:val="single" w:color="000000" w:sz="4" w:space="0"/>
              <w:left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定额</w:t>
            </w:r>
          </w:p>
          <w:p>
            <w:pPr>
              <w:pStyle w:val="78"/>
              <w:jc w:val="center"/>
              <w:rPr>
                <w:rFonts w:ascii="Times New Roman" w:hAnsi="Times New Roman" w:cs="Times New Roman"/>
                <w:sz w:val="18"/>
                <w:szCs w:val="18"/>
              </w:rPr>
            </w:pPr>
            <w:r>
              <w:rPr>
                <w:rFonts w:ascii="Times New Roman" w:hAnsi="宋体" w:cs="Times New Roman"/>
                <w:sz w:val="18"/>
                <w:szCs w:val="18"/>
              </w:rPr>
              <w:t>编号</w:t>
            </w:r>
          </w:p>
        </w:tc>
        <w:tc>
          <w:tcPr>
            <w:tcW w:w="900" w:type="dxa"/>
            <w:gridSpan w:val="3"/>
            <w:vMerge w:val="restart"/>
            <w:tcBorders>
              <w:top w:val="single" w:color="000000" w:sz="4" w:space="0"/>
              <w:left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定额项目</w:t>
            </w:r>
          </w:p>
          <w:p>
            <w:pPr>
              <w:pStyle w:val="78"/>
              <w:jc w:val="center"/>
              <w:rPr>
                <w:rFonts w:ascii="Times New Roman" w:hAnsi="Times New Roman" w:cs="Times New Roman"/>
                <w:sz w:val="18"/>
                <w:szCs w:val="18"/>
              </w:rPr>
            </w:pPr>
            <w:r>
              <w:rPr>
                <w:rFonts w:ascii="Times New Roman" w:hAnsi="宋体" w:cs="Times New Roman"/>
                <w:sz w:val="18"/>
                <w:szCs w:val="18"/>
              </w:rPr>
              <w:t>名称</w:t>
            </w:r>
          </w:p>
        </w:tc>
        <w:tc>
          <w:tcPr>
            <w:tcW w:w="540" w:type="dxa"/>
            <w:vMerge w:val="restart"/>
            <w:tcBorders>
              <w:top w:val="single" w:color="000000" w:sz="4" w:space="0"/>
              <w:left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定额</w:t>
            </w:r>
          </w:p>
          <w:p>
            <w:pPr>
              <w:pStyle w:val="78"/>
              <w:jc w:val="center"/>
              <w:rPr>
                <w:rFonts w:ascii="Times New Roman" w:hAnsi="Times New Roman" w:cs="Times New Roman"/>
                <w:sz w:val="18"/>
                <w:szCs w:val="18"/>
              </w:rPr>
            </w:pPr>
            <w:r>
              <w:rPr>
                <w:rFonts w:ascii="Times New Roman" w:hAnsi="宋体" w:cs="Times New Roman"/>
                <w:sz w:val="18"/>
                <w:szCs w:val="18"/>
              </w:rPr>
              <w:t>单位</w:t>
            </w:r>
          </w:p>
        </w:tc>
        <w:tc>
          <w:tcPr>
            <w:tcW w:w="584" w:type="dxa"/>
            <w:gridSpan w:val="2"/>
            <w:vMerge w:val="restart"/>
            <w:tcBorders>
              <w:top w:val="single" w:color="000000" w:sz="4" w:space="0"/>
              <w:left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数量</w:t>
            </w:r>
          </w:p>
        </w:tc>
        <w:tc>
          <w:tcPr>
            <w:tcW w:w="3077" w:type="dxa"/>
            <w:gridSpan w:val="7"/>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单价</w:t>
            </w:r>
          </w:p>
        </w:tc>
        <w:tc>
          <w:tcPr>
            <w:tcW w:w="3299" w:type="dxa"/>
            <w:gridSpan w:val="9"/>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合价</w:t>
            </w:r>
          </w:p>
        </w:tc>
      </w:tr>
      <w:tr>
        <w:tblPrEx>
          <w:tblCellMar>
            <w:top w:w="0" w:type="dxa"/>
            <w:left w:w="0" w:type="dxa"/>
            <w:bottom w:w="0" w:type="dxa"/>
            <w:right w:w="0" w:type="dxa"/>
          </w:tblCellMar>
        </w:tblPrEx>
        <w:trPr>
          <w:trHeight w:val="809" w:hRule="exact"/>
          <w:jc w:val="center"/>
        </w:trPr>
        <w:tc>
          <w:tcPr>
            <w:tcW w:w="540" w:type="dxa"/>
            <w:vMerge w:val="continue"/>
            <w:tcBorders>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900" w:type="dxa"/>
            <w:gridSpan w:val="3"/>
            <w:vMerge w:val="continue"/>
            <w:tcBorders>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40" w:type="dxa"/>
            <w:vMerge w:val="continue"/>
            <w:tcBorders>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84" w:type="dxa"/>
            <w:gridSpan w:val="2"/>
            <w:vMerge w:val="continue"/>
            <w:tcBorders>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人工费</w:t>
            </w:r>
          </w:p>
        </w:tc>
        <w:tc>
          <w:tcPr>
            <w:tcW w:w="60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材料费</w:t>
            </w: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机械费</w:t>
            </w:r>
          </w:p>
        </w:tc>
        <w:tc>
          <w:tcPr>
            <w:tcW w:w="663" w:type="dxa"/>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管理费</w:t>
            </w:r>
          </w:p>
        </w:tc>
        <w:tc>
          <w:tcPr>
            <w:tcW w:w="541"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利润</w:t>
            </w: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人工费</w:t>
            </w: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材料费</w:t>
            </w: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机械费</w:t>
            </w: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管理费</w:t>
            </w: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利润</w:t>
            </w:r>
          </w:p>
        </w:tc>
      </w:tr>
      <w:tr>
        <w:tblPrEx>
          <w:tblCellMar>
            <w:top w:w="0" w:type="dxa"/>
            <w:left w:w="0" w:type="dxa"/>
            <w:bottom w:w="0" w:type="dxa"/>
            <w:right w:w="0" w:type="dxa"/>
          </w:tblCellMar>
        </w:tblPrEx>
        <w:trPr>
          <w:trHeight w:val="521" w:hRule="exact"/>
          <w:jc w:val="center"/>
        </w:trPr>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90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8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63" w:type="dxa"/>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541"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90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8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63" w:type="dxa"/>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541"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18" w:hRule="exact"/>
          <w:jc w:val="center"/>
        </w:trPr>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90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8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63" w:type="dxa"/>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541"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90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8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63" w:type="dxa"/>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541"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90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4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58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63" w:type="dxa"/>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541" w:type="dxa"/>
            <w:gridSpan w:val="2"/>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18" w:hRule="exact"/>
          <w:jc w:val="center"/>
        </w:trPr>
        <w:tc>
          <w:tcPr>
            <w:tcW w:w="1440" w:type="dxa"/>
            <w:gridSpan w:val="4"/>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综合人工工日</w:t>
            </w:r>
          </w:p>
        </w:tc>
        <w:tc>
          <w:tcPr>
            <w:tcW w:w="4201" w:type="dxa"/>
            <w:gridSpan w:val="10"/>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小</w:t>
            </w:r>
            <w:r>
              <w:rPr>
                <w:rFonts w:ascii="Times New Roman" w:hAnsi="Times New Roman" w:cs="Times New Roman"/>
                <w:sz w:val="18"/>
                <w:szCs w:val="18"/>
              </w:rPr>
              <w:tab/>
            </w:r>
            <w:r>
              <w:rPr>
                <w:rFonts w:ascii="Times New Roman" w:hAnsi="宋体" w:cs="Times New Roman"/>
                <w:sz w:val="18"/>
                <w:szCs w:val="18"/>
              </w:rPr>
              <w:t>计</w:t>
            </w: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88"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40" w:type="dxa"/>
            <w:gridSpan w:val="3"/>
            <w:tcBorders>
              <w:top w:val="single" w:color="000000" w:sz="4" w:space="0"/>
              <w:left w:val="single" w:color="000000" w:sz="4" w:space="0"/>
              <w:bottom w:val="single" w:color="000000" w:sz="4" w:space="0"/>
              <w:right w:val="single" w:color="auto" w:sz="4" w:space="0"/>
            </w:tcBorders>
            <w:vAlign w:val="center"/>
          </w:tcPr>
          <w:p>
            <w:pPr>
              <w:pStyle w:val="78"/>
              <w:jc w:val="center"/>
              <w:rPr>
                <w:rFonts w:ascii="Times New Roman" w:hAnsi="Times New Roman" w:cs="Times New Roman"/>
                <w:sz w:val="18"/>
                <w:szCs w:val="18"/>
              </w:rPr>
            </w:pPr>
          </w:p>
        </w:tc>
        <w:tc>
          <w:tcPr>
            <w:tcW w:w="677" w:type="dxa"/>
            <w:tcBorders>
              <w:top w:val="single" w:color="000000" w:sz="4" w:space="0"/>
              <w:left w:val="single" w:color="auto"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1440" w:type="dxa"/>
            <w:gridSpan w:val="4"/>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工日</w:t>
            </w:r>
          </w:p>
        </w:tc>
        <w:tc>
          <w:tcPr>
            <w:tcW w:w="4201" w:type="dxa"/>
            <w:gridSpan w:val="10"/>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未计价材料费</w:t>
            </w:r>
          </w:p>
        </w:tc>
        <w:tc>
          <w:tcPr>
            <w:tcW w:w="3299" w:type="dxa"/>
            <w:gridSpan w:val="9"/>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5641" w:type="dxa"/>
            <w:gridSpan w:val="14"/>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清单项目综合单价</w:t>
            </w:r>
          </w:p>
        </w:tc>
        <w:tc>
          <w:tcPr>
            <w:tcW w:w="3299" w:type="dxa"/>
            <w:gridSpan w:val="9"/>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809" w:hRule="exact"/>
          <w:jc w:val="center"/>
        </w:trPr>
        <w:tc>
          <w:tcPr>
            <w:tcW w:w="720" w:type="dxa"/>
            <w:gridSpan w:val="2"/>
            <w:vMerge w:val="restart"/>
            <w:tcBorders>
              <w:top w:val="single" w:color="000000" w:sz="4" w:space="0"/>
              <w:left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材料费明细</w:t>
            </w:r>
          </w:p>
        </w:tc>
        <w:tc>
          <w:tcPr>
            <w:tcW w:w="3087" w:type="dxa"/>
            <w:gridSpan w:val="8"/>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主要材料名称、规格、型号</w:t>
            </w: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单位</w:t>
            </w:r>
          </w:p>
        </w:tc>
        <w:tc>
          <w:tcPr>
            <w:tcW w:w="1204"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数量</w:t>
            </w: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单价（元）</w:t>
            </w: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合价（元）</w:t>
            </w: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暂估单价</w:t>
            </w:r>
            <w:r>
              <w:rPr>
                <w:rFonts w:ascii="Times New Roman" w:hAnsi="Times New Roman" w:cs="Times New Roman"/>
                <w:sz w:val="18"/>
                <w:szCs w:val="18"/>
              </w:rPr>
              <w:t>(</w:t>
            </w:r>
            <w:r>
              <w:rPr>
                <w:rFonts w:ascii="Times New Roman" w:hAnsi="宋体" w:cs="Times New Roman"/>
                <w:sz w:val="18"/>
                <w:szCs w:val="18"/>
              </w:rPr>
              <w:t>元</w:t>
            </w:r>
            <w:r>
              <w:rPr>
                <w:rFonts w:ascii="Times New Roman" w:hAnsi="Times New Roman" w:cs="Times New Roman"/>
                <w:sz w:val="18"/>
                <w:szCs w:val="18"/>
              </w:rPr>
              <w:t>)</w:t>
            </w: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暂估合价（元）</w:t>
            </w:r>
          </w:p>
        </w:tc>
      </w:tr>
      <w:tr>
        <w:tblPrEx>
          <w:tblCellMar>
            <w:top w:w="0" w:type="dxa"/>
            <w:left w:w="0" w:type="dxa"/>
            <w:bottom w:w="0" w:type="dxa"/>
            <w:right w:w="0" w:type="dxa"/>
          </w:tblCellMar>
        </w:tblPrEx>
        <w:trPr>
          <w:trHeight w:val="521" w:hRule="exact"/>
          <w:jc w:val="center"/>
        </w:trPr>
        <w:tc>
          <w:tcPr>
            <w:tcW w:w="720" w:type="dxa"/>
            <w:gridSpan w:val="2"/>
            <w:vMerge w:val="continue"/>
            <w:tcBorders>
              <w:left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3087" w:type="dxa"/>
            <w:gridSpan w:val="8"/>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04"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720" w:type="dxa"/>
            <w:gridSpan w:val="2"/>
            <w:vMerge w:val="continue"/>
            <w:tcBorders>
              <w:left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3087" w:type="dxa"/>
            <w:gridSpan w:val="8"/>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04"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18" w:hRule="exact"/>
          <w:jc w:val="center"/>
        </w:trPr>
        <w:tc>
          <w:tcPr>
            <w:tcW w:w="720" w:type="dxa"/>
            <w:gridSpan w:val="2"/>
            <w:vMerge w:val="continue"/>
            <w:tcBorders>
              <w:left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3087" w:type="dxa"/>
            <w:gridSpan w:val="8"/>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04"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720" w:type="dxa"/>
            <w:gridSpan w:val="2"/>
            <w:vMerge w:val="continue"/>
            <w:tcBorders>
              <w:left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3087" w:type="dxa"/>
            <w:gridSpan w:val="8"/>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04"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18" w:hRule="exact"/>
          <w:jc w:val="center"/>
        </w:trPr>
        <w:tc>
          <w:tcPr>
            <w:tcW w:w="720" w:type="dxa"/>
            <w:gridSpan w:val="2"/>
            <w:vMerge w:val="continue"/>
            <w:tcBorders>
              <w:left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3087" w:type="dxa"/>
            <w:gridSpan w:val="8"/>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3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04"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720" w:type="dxa"/>
            <w:gridSpan w:val="2"/>
            <w:vMerge w:val="continue"/>
            <w:tcBorders>
              <w:left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4921" w:type="dxa"/>
            <w:gridSpan w:val="1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其他材料费</w:t>
            </w:r>
          </w:p>
        </w:tc>
        <w:tc>
          <w:tcPr>
            <w:tcW w:w="60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Times New Roman" w:cs="Times New Roman"/>
                <w:sz w:val="18"/>
                <w:szCs w:val="18"/>
              </w:rPr>
              <w:t>—</w:t>
            </w:r>
          </w:p>
        </w:tc>
        <w:tc>
          <w:tcPr>
            <w:tcW w:w="694" w:type="dxa"/>
            <w:gridSpan w:val="2"/>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Times New Roman" w:cs="Times New Roman"/>
                <w:sz w:val="18"/>
                <w:szCs w:val="18"/>
              </w:rPr>
              <w:t>—</w:t>
            </w:r>
          </w:p>
        </w:tc>
        <w:tc>
          <w:tcPr>
            <w:tcW w:w="1230" w:type="dxa"/>
            <w:gridSpan w:val="3"/>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521" w:hRule="exact"/>
          <w:jc w:val="center"/>
        </w:trPr>
        <w:tc>
          <w:tcPr>
            <w:tcW w:w="720" w:type="dxa"/>
            <w:gridSpan w:val="2"/>
            <w:vMerge w:val="continue"/>
            <w:tcBorders>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p>
        </w:tc>
        <w:tc>
          <w:tcPr>
            <w:tcW w:w="4921" w:type="dxa"/>
            <w:gridSpan w:val="12"/>
            <w:tcBorders>
              <w:top w:val="single" w:color="000000" w:sz="4" w:space="0"/>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宋体" w:cs="Times New Roman"/>
                <w:sz w:val="18"/>
                <w:szCs w:val="18"/>
              </w:rPr>
              <w:t>材料费小计</w:t>
            </w:r>
          </w:p>
        </w:tc>
        <w:tc>
          <w:tcPr>
            <w:tcW w:w="600" w:type="dxa"/>
            <w:tcBorders>
              <w:top w:val="single" w:color="000000" w:sz="4" w:space="0"/>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Times New Roman" w:cs="Times New Roman"/>
                <w:sz w:val="18"/>
                <w:szCs w:val="18"/>
              </w:rPr>
              <w:t>—</w:t>
            </w:r>
          </w:p>
        </w:tc>
        <w:tc>
          <w:tcPr>
            <w:tcW w:w="694" w:type="dxa"/>
            <w:gridSpan w:val="2"/>
            <w:tcBorders>
              <w:top w:val="single" w:color="000000" w:sz="4" w:space="0"/>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p>
        </w:tc>
        <w:tc>
          <w:tcPr>
            <w:tcW w:w="775" w:type="dxa"/>
            <w:gridSpan w:val="3"/>
            <w:tcBorders>
              <w:top w:val="single" w:color="000000" w:sz="4" w:space="0"/>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r>
              <w:rPr>
                <w:rFonts w:ascii="Times New Roman" w:hAnsi="Times New Roman" w:cs="Times New Roman"/>
                <w:sz w:val="18"/>
                <w:szCs w:val="18"/>
              </w:rPr>
              <w:t>—</w:t>
            </w:r>
          </w:p>
        </w:tc>
        <w:tc>
          <w:tcPr>
            <w:tcW w:w="1230" w:type="dxa"/>
            <w:gridSpan w:val="3"/>
            <w:tcBorders>
              <w:top w:val="single" w:color="000000" w:sz="4" w:space="0"/>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p>
        </w:tc>
      </w:tr>
    </w:tbl>
    <w:p>
      <w:pPr>
        <w:pStyle w:val="78"/>
        <w:rPr>
          <w:rFonts w:ascii="Times New Roman" w:hAnsi="Times New Roman" w:cs="Times New Roman"/>
          <w:sz w:val="18"/>
          <w:szCs w:val="18"/>
          <w:lang w:eastAsia="zh-CN"/>
        </w:rPr>
      </w:pPr>
    </w:p>
    <w:p>
      <w:pPr>
        <w:pStyle w:val="78"/>
        <w:rPr>
          <w:rFonts w:ascii="Times New Roman" w:hAnsi="Times New Roman" w:cs="Times New Roman"/>
          <w:sz w:val="18"/>
          <w:szCs w:val="18"/>
          <w:lang w:eastAsia="zh-CN"/>
        </w:rPr>
      </w:pPr>
      <w:r>
        <w:rPr>
          <w:rFonts w:ascii="Times New Roman" w:hAnsi="宋体" w:cs="Times New Roman"/>
          <w:sz w:val="18"/>
          <w:szCs w:val="18"/>
          <w:lang w:eastAsia="zh-CN"/>
        </w:rPr>
        <w:t>注：</w:t>
      </w:r>
      <w:r>
        <w:rPr>
          <w:rFonts w:ascii="Times New Roman" w:hAnsi="Times New Roman" w:cs="Times New Roman"/>
          <w:sz w:val="18"/>
          <w:szCs w:val="18"/>
          <w:lang w:eastAsia="zh-CN"/>
        </w:rPr>
        <w:t>1</w:t>
      </w:r>
      <w:r>
        <w:rPr>
          <w:rFonts w:ascii="Times New Roman" w:hAnsi="宋体" w:cs="Times New Roman"/>
          <w:sz w:val="18"/>
          <w:szCs w:val="18"/>
          <w:lang w:eastAsia="zh-CN"/>
        </w:rPr>
        <w:t>如不使用省级或行业建设主管部门发布的计价依据，可不填定额编号、名称等。</w:t>
      </w:r>
    </w:p>
    <w:p>
      <w:pPr>
        <w:pStyle w:val="78"/>
        <w:ind w:firstLine="360" w:firstLineChars="200"/>
        <w:rPr>
          <w:rFonts w:ascii="Times New Roman" w:hAnsi="Times New Roman" w:cs="Times New Roman"/>
          <w:sz w:val="18"/>
          <w:szCs w:val="18"/>
          <w:lang w:eastAsia="zh-CN"/>
        </w:rPr>
      </w:pPr>
      <w:r>
        <w:rPr>
          <w:rFonts w:ascii="Times New Roman" w:hAnsi="Times New Roman" w:cs="Times New Roman"/>
          <w:sz w:val="18"/>
          <w:szCs w:val="18"/>
          <w:lang w:eastAsia="zh-CN"/>
        </w:rPr>
        <w:t>2</w:t>
      </w:r>
      <w:r>
        <w:rPr>
          <w:rFonts w:ascii="Times New Roman" w:hAnsi="宋体" w:cs="Times New Roman"/>
          <w:sz w:val="18"/>
          <w:szCs w:val="18"/>
          <w:lang w:eastAsia="zh-CN"/>
        </w:rPr>
        <w:t>招标文件提供了暂估单价的材料，按暂估的单价填入表内</w:t>
      </w:r>
      <w:r>
        <w:rPr>
          <w:rFonts w:ascii="Times New Roman" w:hAnsi="Times New Roman" w:cs="Times New Roman"/>
          <w:sz w:val="18"/>
          <w:szCs w:val="18"/>
          <w:lang w:eastAsia="zh-CN"/>
        </w:rPr>
        <w:t>“</w:t>
      </w:r>
      <w:r>
        <w:rPr>
          <w:rFonts w:ascii="Times New Roman" w:hAnsi="宋体" w:cs="Times New Roman"/>
          <w:sz w:val="18"/>
          <w:szCs w:val="18"/>
          <w:lang w:eastAsia="zh-CN"/>
        </w:rPr>
        <w:t>暂估单价</w:t>
      </w:r>
      <w:r>
        <w:rPr>
          <w:rFonts w:ascii="Times New Roman" w:hAnsi="Times New Roman" w:cs="Times New Roman"/>
          <w:sz w:val="18"/>
          <w:szCs w:val="18"/>
          <w:lang w:eastAsia="zh-CN"/>
        </w:rPr>
        <w:t>”</w:t>
      </w:r>
      <w:r>
        <w:rPr>
          <w:rFonts w:ascii="Times New Roman" w:hAnsi="宋体" w:cs="Times New Roman"/>
          <w:sz w:val="18"/>
          <w:szCs w:val="18"/>
          <w:lang w:eastAsia="zh-CN"/>
        </w:rPr>
        <w:t>栏及</w:t>
      </w:r>
      <w:r>
        <w:rPr>
          <w:rFonts w:ascii="Times New Roman" w:hAnsi="Times New Roman" w:cs="Times New Roman"/>
          <w:sz w:val="18"/>
          <w:szCs w:val="18"/>
          <w:lang w:eastAsia="zh-CN"/>
        </w:rPr>
        <w:t>“</w:t>
      </w:r>
      <w:r>
        <w:rPr>
          <w:rFonts w:ascii="Times New Roman" w:hAnsi="宋体" w:cs="Times New Roman"/>
          <w:sz w:val="18"/>
          <w:szCs w:val="18"/>
          <w:lang w:eastAsia="zh-CN"/>
        </w:rPr>
        <w:t>暂估合价</w:t>
      </w:r>
      <w:r>
        <w:rPr>
          <w:rFonts w:ascii="Times New Roman" w:hAnsi="Times New Roman" w:cs="Times New Roman"/>
          <w:sz w:val="18"/>
          <w:szCs w:val="18"/>
          <w:lang w:eastAsia="zh-CN"/>
        </w:rPr>
        <w:t>”</w:t>
      </w:r>
      <w:r>
        <w:rPr>
          <w:rFonts w:ascii="Times New Roman" w:hAnsi="宋体" w:cs="Times New Roman"/>
          <w:sz w:val="18"/>
          <w:szCs w:val="18"/>
          <w:lang w:eastAsia="zh-CN"/>
        </w:rPr>
        <w:t>栏。</w:t>
      </w:r>
    </w:p>
    <w:p>
      <w:pPr>
        <w:pStyle w:val="78"/>
        <w:ind w:firstLine="5490" w:firstLineChars="3050"/>
        <w:rPr>
          <w:rFonts w:ascii="Times New Roman" w:hAnsi="Times New Roman" w:cs="Times New Roman"/>
          <w:sz w:val="18"/>
          <w:szCs w:val="18"/>
          <w:lang w:eastAsia="zh-CN"/>
        </w:rPr>
      </w:pPr>
    </w:p>
    <w:p>
      <w:pPr>
        <w:pStyle w:val="78"/>
        <w:ind w:firstLine="8010" w:firstLineChars="4450"/>
        <w:rPr>
          <w:rFonts w:ascii="Times New Roman" w:hAnsi="Times New Roman" w:cs="Times New Roman"/>
          <w:sz w:val="18"/>
          <w:szCs w:val="18"/>
          <w:lang w:eastAsia="zh-CN"/>
        </w:rPr>
      </w:pPr>
    </w:p>
    <w:p>
      <w:pPr>
        <w:pStyle w:val="78"/>
        <w:ind w:firstLine="8010" w:firstLineChars="4450"/>
        <w:rPr>
          <w:rFonts w:ascii="Times New Roman" w:hAnsi="Times New Roman" w:cs="Times New Roman"/>
          <w:sz w:val="18"/>
          <w:szCs w:val="18"/>
          <w:lang w:eastAsia="zh-CN"/>
        </w:rPr>
      </w:pPr>
    </w:p>
    <w:p>
      <w:pPr>
        <w:pStyle w:val="78"/>
        <w:ind w:firstLine="8010" w:firstLineChars="4450"/>
        <w:rPr>
          <w:rFonts w:ascii="Times New Roman" w:hAnsi="Times New Roman" w:cs="Times New Roman"/>
          <w:sz w:val="18"/>
          <w:szCs w:val="18"/>
          <w:lang w:eastAsia="zh-CN"/>
        </w:rPr>
      </w:pPr>
    </w:p>
    <w:p>
      <w:pPr>
        <w:pStyle w:val="78"/>
        <w:ind w:firstLine="8010" w:firstLineChars="4450"/>
        <w:rPr>
          <w:rFonts w:ascii="Times New Roman" w:hAnsi="Times New Roman" w:cs="Times New Roman"/>
          <w:sz w:val="18"/>
          <w:szCs w:val="18"/>
          <w:lang w:eastAsia="zh-CN"/>
        </w:rPr>
      </w:pPr>
    </w:p>
    <w:p>
      <w:pPr>
        <w:pStyle w:val="78"/>
        <w:ind w:firstLine="8010" w:firstLineChars="4450"/>
        <w:rPr>
          <w:rFonts w:ascii="Times New Roman" w:hAnsi="Times New Roman" w:cs="Times New Roman"/>
          <w:sz w:val="18"/>
          <w:szCs w:val="18"/>
          <w:lang w:eastAsia="zh-CN"/>
        </w:rPr>
      </w:pPr>
      <w:r>
        <w:rPr>
          <w:rFonts w:ascii="Times New Roman" w:hAnsi="宋体" w:cs="Times New Roman"/>
          <w:sz w:val="18"/>
          <w:szCs w:val="18"/>
          <w:lang w:eastAsia="zh-CN"/>
        </w:rPr>
        <w:t>表</w:t>
      </w:r>
      <w:r>
        <w:rPr>
          <w:rFonts w:ascii="Times New Roman" w:hAnsi="Times New Roman" w:cs="Times New Roman"/>
          <w:sz w:val="18"/>
          <w:szCs w:val="18"/>
          <w:lang w:eastAsia="zh-CN"/>
        </w:rPr>
        <w:t>-09</w:t>
      </w:r>
    </w:p>
    <w:p>
      <w:pPr>
        <w:pStyle w:val="77"/>
        <w:tabs>
          <w:tab w:val="left" w:pos="707"/>
        </w:tabs>
        <w:jc w:val="center"/>
        <w:outlineLvl w:val="2"/>
        <w:rPr>
          <w:rFonts w:ascii="Times New Roman" w:hAnsi="Times New Roman" w:cs="Times New Roman"/>
          <w:b/>
          <w:spacing w:val="1"/>
          <w:lang w:eastAsia="zh-CN"/>
        </w:rPr>
      </w:pPr>
    </w:p>
    <w:p>
      <w:pPr>
        <w:pStyle w:val="77"/>
        <w:tabs>
          <w:tab w:val="left" w:pos="707"/>
        </w:tabs>
        <w:jc w:val="center"/>
        <w:outlineLvl w:val="2"/>
        <w:rPr>
          <w:rFonts w:ascii="Times New Roman" w:hAnsi="Times New Roman" w:cs="Times New Roman"/>
          <w:b/>
          <w:spacing w:val="1"/>
          <w:lang w:eastAsia="zh-CN"/>
        </w:rPr>
      </w:pPr>
      <w:r>
        <w:rPr>
          <w:rFonts w:ascii="Times New Roman" w:hAnsi="Times New Roman" w:cs="Times New Roman"/>
          <w:b/>
          <w:spacing w:val="1"/>
          <w:lang w:eastAsia="zh-CN"/>
        </w:rPr>
        <w:tab/>
      </w:r>
      <w:r>
        <w:rPr>
          <w:rFonts w:ascii="Times New Roman" w:cs="Times New Roman"/>
          <w:b/>
          <w:spacing w:val="1"/>
          <w:lang w:eastAsia="zh-CN"/>
        </w:rPr>
        <w:t>总价措施项目清单与计价表</w:t>
      </w:r>
    </w:p>
    <w:p>
      <w:pPr>
        <w:pStyle w:val="77"/>
        <w:tabs>
          <w:tab w:val="left" w:pos="707"/>
        </w:tabs>
        <w:jc w:val="center"/>
        <w:outlineLvl w:val="2"/>
        <w:rPr>
          <w:rFonts w:ascii="Times New Roman" w:hAnsi="Times New Roman" w:cs="Times New Roman"/>
          <w:b/>
          <w:spacing w:val="1"/>
          <w:lang w:eastAsia="zh-CN"/>
        </w:rPr>
      </w:pPr>
    </w:p>
    <w:p>
      <w:pPr>
        <w:pStyle w:val="2"/>
        <w:tabs>
          <w:tab w:val="left" w:pos="4529"/>
          <w:tab w:val="left" w:pos="7890"/>
          <w:tab w:val="left" w:pos="8416"/>
          <w:tab w:val="left" w:pos="9047"/>
        </w:tabs>
        <w:ind w:firstLine="230" w:firstLineChars="100"/>
        <w:rPr>
          <w:rFonts w:eastAsia="宋体"/>
        </w:rPr>
      </w:pPr>
      <w:r>
        <w:rPr>
          <w:rFonts w:hAnsi="宋体" w:eastAsia="宋体"/>
        </w:rPr>
        <w:t>工程</w:t>
      </w:r>
      <w:r>
        <w:rPr>
          <w:rFonts w:hAnsi="宋体" w:eastAsia="宋体"/>
          <w:spacing w:val="-3"/>
        </w:rPr>
        <w:t>名</w:t>
      </w:r>
      <w:r>
        <w:rPr>
          <w:rFonts w:hAnsi="宋体" w:eastAsia="宋体"/>
        </w:rPr>
        <w:t>称：</w:t>
      </w:r>
      <w:r>
        <w:rPr>
          <w:rFonts w:eastAsia="宋体"/>
        </w:rPr>
        <w:tab/>
      </w:r>
      <w:r>
        <w:rPr>
          <w:rFonts w:hAnsi="宋体" w:eastAsia="宋体"/>
        </w:rPr>
        <w:t>标</w:t>
      </w:r>
      <w:r>
        <w:rPr>
          <w:rFonts w:hAnsi="宋体" w:eastAsia="宋体"/>
          <w:spacing w:val="-3"/>
        </w:rPr>
        <w:t>段：</w:t>
      </w:r>
      <w:r>
        <w:rPr>
          <w:rFonts w:hAnsi="宋体" w:eastAsia="宋体"/>
        </w:rPr>
        <w:t>第页共页</w:t>
      </w:r>
    </w:p>
    <w:tbl>
      <w:tblPr>
        <w:tblStyle w:val="57"/>
        <w:tblW w:w="9392" w:type="dxa"/>
        <w:tblInd w:w="93" w:type="dxa"/>
        <w:tblLayout w:type="fixed"/>
        <w:tblCellMar>
          <w:top w:w="0" w:type="dxa"/>
          <w:left w:w="108" w:type="dxa"/>
          <w:bottom w:w="0" w:type="dxa"/>
          <w:right w:w="108" w:type="dxa"/>
        </w:tblCellMar>
      </w:tblPr>
      <w:tblGrid>
        <w:gridCol w:w="546"/>
        <w:gridCol w:w="1220"/>
        <w:gridCol w:w="1769"/>
        <w:gridCol w:w="933"/>
        <w:gridCol w:w="937"/>
        <w:gridCol w:w="994"/>
        <w:gridCol w:w="844"/>
        <w:gridCol w:w="1161"/>
        <w:gridCol w:w="988"/>
      </w:tblGrid>
      <w:tr>
        <w:tblPrEx>
          <w:tblCellMar>
            <w:top w:w="0" w:type="dxa"/>
            <w:left w:w="108" w:type="dxa"/>
            <w:bottom w:w="0" w:type="dxa"/>
            <w:right w:w="108" w:type="dxa"/>
          </w:tblCellMar>
        </w:tblPrEx>
        <w:trPr>
          <w:trHeight w:val="260" w:hRule="atLeast"/>
        </w:trPr>
        <w:tc>
          <w:tcPr>
            <w:tcW w:w="546" w:type="dxa"/>
            <w:vMerge w:val="restart"/>
            <w:tcBorders>
              <w:top w:val="single" w:color="auto" w:sz="8" w:space="0"/>
              <w:left w:val="single" w:color="auto" w:sz="8"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序号</w:t>
            </w:r>
          </w:p>
        </w:tc>
        <w:tc>
          <w:tcPr>
            <w:tcW w:w="1220" w:type="dxa"/>
            <w:vMerge w:val="restart"/>
            <w:tcBorders>
              <w:top w:val="single" w:color="auto" w:sz="8" w:space="0"/>
              <w:left w:val="nil"/>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项目编码</w:t>
            </w:r>
          </w:p>
        </w:tc>
        <w:tc>
          <w:tcPr>
            <w:tcW w:w="1769"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项目名称</w:t>
            </w:r>
          </w:p>
        </w:tc>
        <w:tc>
          <w:tcPr>
            <w:tcW w:w="933"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计算基础</w:t>
            </w:r>
          </w:p>
        </w:tc>
        <w:tc>
          <w:tcPr>
            <w:tcW w:w="937"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rFonts w:hAnsi="宋体"/>
                <w:b/>
                <w:bCs/>
                <w:kern w:val="0"/>
                <w:sz w:val="20"/>
                <w:szCs w:val="20"/>
              </w:rPr>
            </w:pPr>
            <w:r>
              <w:rPr>
                <w:rFonts w:hAnsi="宋体"/>
                <w:b/>
                <w:bCs/>
                <w:kern w:val="0"/>
                <w:sz w:val="20"/>
                <w:szCs w:val="20"/>
              </w:rPr>
              <w:t>费率</w:t>
            </w:r>
          </w:p>
          <w:p>
            <w:pPr>
              <w:widowControl/>
              <w:jc w:val="center"/>
              <w:rPr>
                <w:b/>
                <w:bCs/>
                <w:kern w:val="0"/>
                <w:sz w:val="20"/>
                <w:szCs w:val="20"/>
              </w:rPr>
            </w:pPr>
            <w:r>
              <w:rPr>
                <w:rFonts w:hAnsi="宋体"/>
                <w:b/>
                <w:bCs/>
                <w:kern w:val="0"/>
                <w:sz w:val="20"/>
                <w:szCs w:val="20"/>
              </w:rPr>
              <w:t>（</w:t>
            </w:r>
            <w:r>
              <w:rPr>
                <w:b/>
                <w:bCs/>
                <w:kern w:val="0"/>
                <w:sz w:val="20"/>
                <w:szCs w:val="20"/>
              </w:rPr>
              <w:t>%</w:t>
            </w:r>
            <w:r>
              <w:rPr>
                <w:rFonts w:hAnsi="宋体"/>
                <w:b/>
                <w:bCs/>
                <w:kern w:val="0"/>
                <w:sz w:val="20"/>
                <w:szCs w:val="20"/>
              </w:rPr>
              <w:t>）</w:t>
            </w:r>
          </w:p>
        </w:tc>
        <w:tc>
          <w:tcPr>
            <w:tcW w:w="994"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rFonts w:hAnsi="宋体"/>
                <w:b/>
                <w:bCs/>
                <w:kern w:val="0"/>
                <w:sz w:val="20"/>
                <w:szCs w:val="20"/>
              </w:rPr>
            </w:pPr>
            <w:r>
              <w:rPr>
                <w:rFonts w:hAnsi="宋体"/>
                <w:b/>
                <w:bCs/>
                <w:kern w:val="0"/>
                <w:sz w:val="20"/>
                <w:szCs w:val="20"/>
              </w:rPr>
              <w:t>金额</w:t>
            </w:r>
          </w:p>
          <w:p>
            <w:pPr>
              <w:widowControl/>
              <w:jc w:val="center"/>
              <w:rPr>
                <w:b/>
                <w:bCs/>
                <w:kern w:val="0"/>
                <w:sz w:val="20"/>
                <w:szCs w:val="20"/>
              </w:rPr>
            </w:pPr>
            <w:r>
              <w:rPr>
                <w:rFonts w:hAnsi="宋体"/>
                <w:b/>
                <w:bCs/>
                <w:kern w:val="0"/>
                <w:sz w:val="20"/>
                <w:szCs w:val="20"/>
              </w:rPr>
              <w:t>（元）</w:t>
            </w:r>
          </w:p>
        </w:tc>
        <w:tc>
          <w:tcPr>
            <w:tcW w:w="844"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rFonts w:hAnsi="宋体"/>
                <w:b/>
                <w:bCs/>
                <w:kern w:val="0"/>
                <w:sz w:val="20"/>
                <w:szCs w:val="20"/>
              </w:rPr>
            </w:pPr>
            <w:r>
              <w:rPr>
                <w:rFonts w:hAnsi="宋体"/>
                <w:b/>
                <w:bCs/>
                <w:kern w:val="0"/>
                <w:sz w:val="20"/>
                <w:szCs w:val="20"/>
              </w:rPr>
              <w:t>调整</w:t>
            </w:r>
          </w:p>
          <w:p>
            <w:pPr>
              <w:widowControl/>
              <w:jc w:val="center"/>
              <w:rPr>
                <w:rFonts w:hAnsi="宋体"/>
                <w:b/>
                <w:bCs/>
                <w:kern w:val="0"/>
                <w:sz w:val="20"/>
                <w:szCs w:val="20"/>
              </w:rPr>
            </w:pPr>
            <w:r>
              <w:rPr>
                <w:rFonts w:hAnsi="宋体"/>
                <w:b/>
                <w:bCs/>
                <w:kern w:val="0"/>
                <w:sz w:val="20"/>
                <w:szCs w:val="20"/>
              </w:rPr>
              <w:t>费率</w:t>
            </w:r>
          </w:p>
          <w:p>
            <w:pPr>
              <w:widowControl/>
              <w:jc w:val="center"/>
              <w:rPr>
                <w:b/>
                <w:bCs/>
                <w:kern w:val="0"/>
                <w:sz w:val="20"/>
                <w:szCs w:val="20"/>
              </w:rPr>
            </w:pPr>
            <w:r>
              <w:rPr>
                <w:rFonts w:hAnsi="宋体"/>
                <w:b/>
                <w:bCs/>
                <w:kern w:val="0"/>
                <w:sz w:val="20"/>
                <w:szCs w:val="20"/>
              </w:rPr>
              <w:t>（</w:t>
            </w:r>
            <w:r>
              <w:rPr>
                <w:b/>
                <w:bCs/>
                <w:kern w:val="0"/>
                <w:sz w:val="20"/>
                <w:szCs w:val="20"/>
              </w:rPr>
              <w:t>%</w:t>
            </w:r>
            <w:r>
              <w:rPr>
                <w:rFonts w:hAnsi="宋体"/>
                <w:b/>
                <w:bCs/>
                <w:kern w:val="0"/>
                <w:sz w:val="20"/>
                <w:szCs w:val="20"/>
              </w:rPr>
              <w:t>）</w:t>
            </w:r>
          </w:p>
        </w:tc>
        <w:tc>
          <w:tcPr>
            <w:tcW w:w="1161" w:type="dxa"/>
            <w:vMerge w:val="restart"/>
            <w:tcBorders>
              <w:top w:val="single" w:color="auto" w:sz="8" w:space="0"/>
              <w:left w:val="single" w:color="auto" w:sz="4" w:space="0"/>
              <w:bottom w:val="single" w:color="auto" w:sz="4" w:space="0"/>
              <w:right w:val="single" w:color="auto" w:sz="4" w:space="0"/>
            </w:tcBorders>
            <w:vAlign w:val="center"/>
          </w:tcPr>
          <w:p>
            <w:pPr>
              <w:widowControl/>
              <w:jc w:val="center"/>
              <w:rPr>
                <w:b/>
                <w:bCs/>
                <w:kern w:val="0"/>
                <w:sz w:val="20"/>
                <w:szCs w:val="20"/>
              </w:rPr>
            </w:pPr>
            <w:r>
              <w:rPr>
                <w:rFonts w:hAnsi="宋体"/>
                <w:b/>
                <w:bCs/>
                <w:kern w:val="0"/>
                <w:sz w:val="20"/>
                <w:szCs w:val="20"/>
              </w:rPr>
              <w:t>调整后金额（元）</w:t>
            </w:r>
          </w:p>
        </w:tc>
        <w:tc>
          <w:tcPr>
            <w:tcW w:w="988" w:type="dxa"/>
            <w:vMerge w:val="restart"/>
            <w:tcBorders>
              <w:top w:val="single" w:color="auto" w:sz="8" w:space="0"/>
              <w:left w:val="single" w:color="auto" w:sz="4" w:space="0"/>
              <w:bottom w:val="single" w:color="auto" w:sz="4" w:space="0"/>
              <w:right w:val="single" w:color="auto" w:sz="8" w:space="0"/>
            </w:tcBorders>
            <w:vAlign w:val="center"/>
          </w:tcPr>
          <w:p>
            <w:pPr>
              <w:widowControl/>
              <w:jc w:val="center"/>
              <w:rPr>
                <w:b/>
                <w:bCs/>
                <w:kern w:val="0"/>
                <w:sz w:val="20"/>
                <w:szCs w:val="20"/>
              </w:rPr>
            </w:pPr>
            <w:r>
              <w:rPr>
                <w:rFonts w:hAnsi="宋体"/>
                <w:b/>
                <w:bCs/>
                <w:kern w:val="0"/>
                <w:sz w:val="20"/>
                <w:szCs w:val="20"/>
              </w:rPr>
              <w:t>备注</w:t>
            </w:r>
          </w:p>
        </w:tc>
      </w:tr>
      <w:tr>
        <w:tblPrEx>
          <w:tblCellMar>
            <w:top w:w="0" w:type="dxa"/>
            <w:left w:w="108" w:type="dxa"/>
            <w:bottom w:w="0" w:type="dxa"/>
            <w:right w:w="108" w:type="dxa"/>
          </w:tblCellMar>
        </w:tblPrEx>
        <w:trPr>
          <w:trHeight w:val="309" w:hRule="atLeast"/>
        </w:trPr>
        <w:tc>
          <w:tcPr>
            <w:tcW w:w="546" w:type="dxa"/>
            <w:vMerge w:val="continue"/>
            <w:tcBorders>
              <w:top w:val="single" w:color="auto" w:sz="8" w:space="0"/>
              <w:left w:val="single" w:color="auto" w:sz="8" w:space="0"/>
              <w:bottom w:val="single" w:color="auto" w:sz="4" w:space="0"/>
              <w:right w:val="single" w:color="auto" w:sz="4" w:space="0"/>
            </w:tcBorders>
            <w:vAlign w:val="center"/>
          </w:tcPr>
          <w:p>
            <w:pPr>
              <w:widowControl/>
              <w:jc w:val="left"/>
              <w:rPr>
                <w:b/>
                <w:bCs/>
                <w:kern w:val="0"/>
                <w:sz w:val="20"/>
                <w:szCs w:val="20"/>
              </w:rPr>
            </w:pPr>
          </w:p>
        </w:tc>
        <w:tc>
          <w:tcPr>
            <w:tcW w:w="1220" w:type="dxa"/>
            <w:vMerge w:val="continue"/>
            <w:tcBorders>
              <w:top w:val="single" w:color="auto" w:sz="8" w:space="0"/>
              <w:left w:val="nil"/>
              <w:bottom w:val="single" w:color="auto" w:sz="4" w:space="0"/>
              <w:right w:val="single" w:color="auto" w:sz="4" w:space="0"/>
            </w:tcBorders>
            <w:vAlign w:val="center"/>
          </w:tcPr>
          <w:p>
            <w:pPr>
              <w:widowControl/>
              <w:jc w:val="left"/>
              <w:rPr>
                <w:b/>
                <w:bCs/>
                <w:kern w:val="0"/>
                <w:sz w:val="20"/>
                <w:szCs w:val="20"/>
              </w:rPr>
            </w:pPr>
          </w:p>
        </w:tc>
        <w:tc>
          <w:tcPr>
            <w:tcW w:w="1769"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933"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937"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994"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844"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1161" w:type="dxa"/>
            <w:vMerge w:val="continue"/>
            <w:tcBorders>
              <w:top w:val="single" w:color="auto" w:sz="8" w:space="0"/>
              <w:left w:val="single" w:color="auto" w:sz="4" w:space="0"/>
              <w:bottom w:val="single" w:color="auto" w:sz="4" w:space="0"/>
              <w:right w:val="single" w:color="auto" w:sz="4" w:space="0"/>
            </w:tcBorders>
            <w:vAlign w:val="center"/>
          </w:tcPr>
          <w:p>
            <w:pPr>
              <w:widowControl/>
              <w:jc w:val="left"/>
              <w:rPr>
                <w:b/>
                <w:bCs/>
                <w:kern w:val="0"/>
                <w:sz w:val="20"/>
                <w:szCs w:val="20"/>
              </w:rPr>
            </w:pPr>
          </w:p>
        </w:tc>
        <w:tc>
          <w:tcPr>
            <w:tcW w:w="988" w:type="dxa"/>
            <w:vMerge w:val="continue"/>
            <w:tcBorders>
              <w:top w:val="single" w:color="auto" w:sz="8" w:space="0"/>
              <w:left w:val="single" w:color="auto" w:sz="4" w:space="0"/>
              <w:bottom w:val="single" w:color="auto" w:sz="4" w:space="0"/>
              <w:right w:val="single" w:color="auto" w:sz="8" w:space="0"/>
            </w:tcBorders>
            <w:vAlign w:val="center"/>
          </w:tcPr>
          <w:p>
            <w:pPr>
              <w:widowControl/>
              <w:jc w:val="left"/>
              <w:rPr>
                <w:b/>
                <w:bCs/>
                <w:kern w:val="0"/>
                <w:sz w:val="20"/>
                <w:szCs w:val="20"/>
              </w:rPr>
            </w:pP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kern w:val="0"/>
                <w:sz w:val="18"/>
                <w:szCs w:val="18"/>
              </w:rPr>
              <w:t>1.1</w:t>
            </w: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安全文明施工费</w:t>
            </w: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kern w:val="0"/>
                <w:sz w:val="18"/>
                <w:szCs w:val="18"/>
              </w:rPr>
              <w:t>1.2</w:t>
            </w: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夜间施工增加费</w:t>
            </w: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kern w:val="0"/>
                <w:sz w:val="18"/>
                <w:szCs w:val="18"/>
              </w:rPr>
              <w:t>2</w:t>
            </w: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二次搬运费</w:t>
            </w: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kern w:val="0"/>
                <w:sz w:val="18"/>
                <w:szCs w:val="18"/>
              </w:rPr>
              <w:t>3</w:t>
            </w: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冬雨季施工增加费</w:t>
            </w: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kern w:val="0"/>
                <w:sz w:val="18"/>
                <w:szCs w:val="18"/>
              </w:rPr>
              <w:t>4</w:t>
            </w: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r>
              <w:rPr>
                <w:rFonts w:hAnsi="宋体"/>
                <w:kern w:val="0"/>
                <w:sz w:val="18"/>
                <w:szCs w:val="18"/>
              </w:rPr>
              <w:t>已完工程及设备保护费</w:t>
            </w: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r>
              <w:rPr>
                <w:rFonts w:hAnsi="宋体"/>
                <w:kern w:val="0"/>
                <w:sz w:val="18"/>
                <w:szCs w:val="18"/>
              </w:rPr>
              <w:t>　</w:t>
            </w: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p>
        </w:tc>
      </w:tr>
      <w:tr>
        <w:tblPrEx>
          <w:tblCellMar>
            <w:top w:w="0" w:type="dxa"/>
            <w:left w:w="108" w:type="dxa"/>
            <w:bottom w:w="0" w:type="dxa"/>
            <w:right w:w="108" w:type="dxa"/>
          </w:tblCellMar>
        </w:tblPrEx>
        <w:trPr>
          <w:trHeight w:val="814" w:hRule="atLeast"/>
        </w:trPr>
        <w:tc>
          <w:tcPr>
            <w:tcW w:w="546" w:type="dxa"/>
            <w:tcBorders>
              <w:top w:val="nil"/>
              <w:left w:val="single" w:color="auto" w:sz="8" w:space="0"/>
              <w:bottom w:val="single" w:color="auto" w:sz="4" w:space="0"/>
              <w:right w:val="single" w:color="auto" w:sz="4" w:space="0"/>
            </w:tcBorders>
            <w:vAlign w:val="center"/>
          </w:tcPr>
          <w:p>
            <w:pPr>
              <w:widowControl/>
              <w:jc w:val="center"/>
              <w:rPr>
                <w:kern w:val="0"/>
                <w:sz w:val="18"/>
                <w:szCs w:val="18"/>
              </w:rPr>
            </w:pPr>
          </w:p>
        </w:tc>
        <w:tc>
          <w:tcPr>
            <w:tcW w:w="1220"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769" w:type="dxa"/>
            <w:tcBorders>
              <w:top w:val="nil"/>
              <w:left w:val="nil"/>
              <w:bottom w:val="single" w:color="auto" w:sz="4" w:space="0"/>
              <w:right w:val="single" w:color="auto" w:sz="4" w:space="0"/>
            </w:tcBorders>
            <w:vAlign w:val="center"/>
          </w:tcPr>
          <w:p>
            <w:pPr>
              <w:widowControl/>
              <w:jc w:val="left"/>
              <w:rPr>
                <w:kern w:val="0"/>
                <w:sz w:val="18"/>
                <w:szCs w:val="18"/>
              </w:rPr>
            </w:pPr>
          </w:p>
        </w:tc>
        <w:tc>
          <w:tcPr>
            <w:tcW w:w="933"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37"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p>
        </w:tc>
      </w:tr>
      <w:tr>
        <w:tblPrEx>
          <w:tblCellMar>
            <w:top w:w="0" w:type="dxa"/>
            <w:left w:w="108" w:type="dxa"/>
            <w:bottom w:w="0" w:type="dxa"/>
            <w:right w:w="108" w:type="dxa"/>
          </w:tblCellMar>
        </w:tblPrEx>
        <w:trPr>
          <w:trHeight w:val="814" w:hRule="atLeast"/>
        </w:trPr>
        <w:tc>
          <w:tcPr>
            <w:tcW w:w="5405" w:type="dxa"/>
            <w:gridSpan w:val="5"/>
            <w:tcBorders>
              <w:top w:val="nil"/>
              <w:left w:val="single" w:color="auto" w:sz="8" w:space="0"/>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合计</w:t>
            </w:r>
          </w:p>
        </w:tc>
        <w:tc>
          <w:tcPr>
            <w:tcW w:w="994"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844" w:type="dxa"/>
            <w:tcBorders>
              <w:top w:val="nil"/>
              <w:left w:val="nil"/>
              <w:bottom w:val="single" w:color="auto" w:sz="4" w:space="0"/>
              <w:right w:val="single" w:color="auto" w:sz="4" w:space="0"/>
            </w:tcBorders>
            <w:vAlign w:val="center"/>
          </w:tcPr>
          <w:p>
            <w:pPr>
              <w:widowControl/>
              <w:jc w:val="center"/>
              <w:rPr>
                <w:kern w:val="0"/>
                <w:sz w:val="18"/>
                <w:szCs w:val="18"/>
              </w:rPr>
            </w:pPr>
            <w:r>
              <w:rPr>
                <w:rFonts w:hAnsi="宋体"/>
                <w:kern w:val="0"/>
                <w:sz w:val="18"/>
                <w:szCs w:val="18"/>
              </w:rPr>
              <w:t>　</w:t>
            </w:r>
          </w:p>
        </w:tc>
        <w:tc>
          <w:tcPr>
            <w:tcW w:w="1161" w:type="dxa"/>
            <w:tcBorders>
              <w:top w:val="nil"/>
              <w:left w:val="nil"/>
              <w:bottom w:val="single" w:color="auto" w:sz="4" w:space="0"/>
              <w:right w:val="single" w:color="auto" w:sz="4" w:space="0"/>
            </w:tcBorders>
            <w:vAlign w:val="center"/>
          </w:tcPr>
          <w:p>
            <w:pPr>
              <w:widowControl/>
              <w:jc w:val="right"/>
              <w:rPr>
                <w:kern w:val="0"/>
                <w:sz w:val="18"/>
                <w:szCs w:val="18"/>
              </w:rPr>
            </w:pPr>
            <w:r>
              <w:rPr>
                <w:rFonts w:hAnsi="宋体"/>
                <w:kern w:val="0"/>
                <w:sz w:val="18"/>
                <w:szCs w:val="18"/>
              </w:rPr>
              <w:t>　</w:t>
            </w:r>
          </w:p>
        </w:tc>
        <w:tc>
          <w:tcPr>
            <w:tcW w:w="988" w:type="dxa"/>
            <w:tcBorders>
              <w:top w:val="nil"/>
              <w:left w:val="nil"/>
              <w:bottom w:val="single" w:color="auto" w:sz="4" w:space="0"/>
              <w:right w:val="single" w:color="auto" w:sz="8" w:space="0"/>
            </w:tcBorders>
            <w:vAlign w:val="center"/>
          </w:tcPr>
          <w:p>
            <w:pPr>
              <w:widowControl/>
              <w:jc w:val="center"/>
              <w:rPr>
                <w:kern w:val="0"/>
                <w:sz w:val="18"/>
                <w:szCs w:val="18"/>
              </w:rPr>
            </w:pPr>
            <w:r>
              <w:rPr>
                <w:rFonts w:hAnsi="宋体"/>
                <w:kern w:val="0"/>
                <w:sz w:val="18"/>
                <w:szCs w:val="18"/>
              </w:rPr>
              <w:t>　</w:t>
            </w:r>
          </w:p>
        </w:tc>
      </w:tr>
    </w:tbl>
    <w:p>
      <w:pPr>
        <w:pStyle w:val="2"/>
        <w:tabs>
          <w:tab w:val="left" w:pos="4529"/>
          <w:tab w:val="left" w:pos="7890"/>
          <w:tab w:val="left" w:pos="8416"/>
          <w:tab w:val="left" w:pos="9047"/>
        </w:tabs>
        <w:ind w:firstLine="224" w:firstLineChars="100"/>
        <w:rPr>
          <w:rFonts w:eastAsia="宋体"/>
          <w:spacing w:val="-3"/>
        </w:rPr>
      </w:pPr>
    </w:p>
    <w:p>
      <w:pPr>
        <w:pStyle w:val="2"/>
        <w:tabs>
          <w:tab w:val="left" w:pos="4529"/>
          <w:tab w:val="left" w:pos="7890"/>
          <w:tab w:val="left" w:pos="8416"/>
          <w:tab w:val="left" w:pos="9047"/>
        </w:tabs>
        <w:ind w:firstLine="224" w:firstLineChars="100"/>
        <w:rPr>
          <w:rFonts w:eastAsia="宋体"/>
          <w:spacing w:val="-3"/>
        </w:rPr>
      </w:pPr>
      <w:r>
        <w:rPr>
          <w:rFonts w:hAnsi="宋体" w:eastAsia="宋体"/>
          <w:spacing w:val="-3"/>
        </w:rPr>
        <w:t>注：按施工方案计算的措施费，若无</w:t>
      </w:r>
      <w:r>
        <w:rPr>
          <w:rFonts w:eastAsia="宋体"/>
          <w:spacing w:val="-3"/>
        </w:rPr>
        <w:t>“</w:t>
      </w:r>
      <w:r>
        <w:rPr>
          <w:rFonts w:hAnsi="宋体" w:eastAsia="宋体"/>
          <w:spacing w:val="-3"/>
        </w:rPr>
        <w:t>计算基础</w:t>
      </w:r>
      <w:r>
        <w:rPr>
          <w:rFonts w:eastAsia="宋体"/>
          <w:spacing w:val="-3"/>
        </w:rPr>
        <w:t>”</w:t>
      </w:r>
      <w:r>
        <w:rPr>
          <w:rFonts w:hAnsi="宋体" w:eastAsia="宋体"/>
          <w:spacing w:val="-3"/>
        </w:rPr>
        <w:t>和</w:t>
      </w:r>
      <w:r>
        <w:rPr>
          <w:rFonts w:eastAsia="宋体"/>
          <w:spacing w:val="-3"/>
        </w:rPr>
        <w:t>“</w:t>
      </w:r>
      <w:r>
        <w:rPr>
          <w:rFonts w:hAnsi="宋体" w:eastAsia="宋体"/>
          <w:spacing w:val="-3"/>
        </w:rPr>
        <w:t>费率</w:t>
      </w:r>
      <w:r>
        <w:rPr>
          <w:rFonts w:eastAsia="宋体"/>
          <w:spacing w:val="-3"/>
        </w:rPr>
        <w:t>”</w:t>
      </w:r>
      <w:r>
        <w:rPr>
          <w:rFonts w:hAnsi="宋体" w:eastAsia="宋体"/>
          <w:spacing w:val="-3"/>
        </w:rPr>
        <w:t>的数值，也可只填</w:t>
      </w:r>
      <w:r>
        <w:rPr>
          <w:rFonts w:eastAsia="宋体"/>
          <w:spacing w:val="-3"/>
        </w:rPr>
        <w:t>“</w:t>
      </w:r>
      <w:r>
        <w:rPr>
          <w:rFonts w:hAnsi="宋体" w:eastAsia="宋体"/>
          <w:spacing w:val="-3"/>
        </w:rPr>
        <w:t>金额</w:t>
      </w:r>
      <w:r>
        <w:rPr>
          <w:rFonts w:eastAsia="宋体"/>
          <w:spacing w:val="-3"/>
        </w:rPr>
        <w:t>”</w:t>
      </w:r>
      <w:r>
        <w:rPr>
          <w:rFonts w:hAnsi="宋体" w:eastAsia="宋体"/>
          <w:spacing w:val="-3"/>
        </w:rPr>
        <w:t>数值，但应在备注栏说明施工方案出处或计算方法。</w:t>
      </w:r>
    </w:p>
    <w:p>
      <w:pPr>
        <w:spacing w:line="243" w:lineRule="exact"/>
        <w:jc w:val="right"/>
        <w:rPr>
          <w:sz w:val="18"/>
          <w:szCs w:val="18"/>
        </w:rPr>
      </w:pPr>
    </w:p>
    <w:p>
      <w:pPr>
        <w:spacing w:line="243" w:lineRule="exact"/>
        <w:jc w:val="right"/>
        <w:rPr>
          <w:sz w:val="18"/>
          <w:szCs w:val="18"/>
        </w:rPr>
      </w:pPr>
      <w:r>
        <w:rPr>
          <w:rFonts w:hAnsi="宋体"/>
          <w:sz w:val="18"/>
          <w:szCs w:val="18"/>
        </w:rPr>
        <w:t>表</w:t>
      </w:r>
      <w:r>
        <w:rPr>
          <w:sz w:val="18"/>
          <w:szCs w:val="18"/>
        </w:rPr>
        <w:t>-11</w:t>
      </w:r>
    </w:p>
    <w:p>
      <w:pPr>
        <w:spacing w:line="480" w:lineRule="auto"/>
        <w:jc w:val="center"/>
        <w:rPr>
          <w:b/>
          <w:sz w:val="36"/>
          <w:szCs w:val="36"/>
        </w:rPr>
      </w:pPr>
      <w:r>
        <w:rPr>
          <w:rFonts w:hAnsi="宋体"/>
          <w:b/>
          <w:sz w:val="36"/>
          <w:szCs w:val="36"/>
        </w:rPr>
        <w:t>其他项目清单与计价汇总表</w:t>
      </w:r>
    </w:p>
    <w:p>
      <w:pPr>
        <w:pStyle w:val="2"/>
        <w:tabs>
          <w:tab w:val="left" w:pos="4529"/>
          <w:tab w:val="left" w:pos="7890"/>
          <w:tab w:val="left" w:pos="8416"/>
          <w:tab w:val="left" w:pos="9047"/>
        </w:tabs>
        <w:ind w:firstLine="224" w:firstLineChars="100"/>
        <w:rPr>
          <w:rFonts w:eastAsia="宋体"/>
          <w:spacing w:val="-3"/>
        </w:rPr>
      </w:pPr>
      <w:r>
        <w:rPr>
          <w:rFonts w:hAnsi="宋体" w:eastAsia="宋体"/>
          <w:spacing w:val="-3"/>
        </w:rPr>
        <w:t>工程名称：</w:t>
      </w:r>
      <w:r>
        <w:rPr>
          <w:rFonts w:hint="eastAsia" w:hAnsi="宋体" w:eastAsia="宋体"/>
          <w:spacing w:val="-3"/>
        </w:rPr>
        <w:t xml:space="preserve">       </w:t>
      </w:r>
      <w:r>
        <w:rPr>
          <w:rFonts w:hAnsi="宋体" w:eastAsia="宋体"/>
          <w:spacing w:val="-3"/>
        </w:rPr>
        <w:t>标段：</w:t>
      </w:r>
      <w:r>
        <w:rPr>
          <w:rFonts w:hint="eastAsia" w:hAnsi="宋体" w:eastAsia="宋体"/>
          <w:spacing w:val="-3"/>
        </w:rPr>
        <w:t xml:space="preserve">        </w:t>
      </w:r>
      <w:r>
        <w:rPr>
          <w:rFonts w:hAnsi="宋体" w:eastAsia="宋体"/>
          <w:spacing w:val="-3"/>
        </w:rPr>
        <w:t>第</w:t>
      </w:r>
      <w:r>
        <w:rPr>
          <w:rFonts w:hint="eastAsia" w:hAnsi="宋体" w:eastAsia="宋体"/>
          <w:spacing w:val="-3"/>
        </w:rPr>
        <w:t xml:space="preserve">    </w:t>
      </w:r>
      <w:r>
        <w:rPr>
          <w:rFonts w:hAnsi="宋体" w:eastAsia="宋体"/>
          <w:spacing w:val="-3"/>
        </w:rPr>
        <w:t>页</w:t>
      </w:r>
      <w:r>
        <w:rPr>
          <w:rFonts w:hint="eastAsia" w:hAnsi="宋体" w:eastAsia="宋体"/>
          <w:spacing w:val="-3"/>
        </w:rPr>
        <w:t xml:space="preserve">             </w:t>
      </w:r>
      <w:r>
        <w:rPr>
          <w:rFonts w:hAnsi="宋体" w:eastAsia="宋体"/>
          <w:spacing w:val="-3"/>
        </w:rPr>
        <w:t>共</w:t>
      </w:r>
      <w:r>
        <w:rPr>
          <w:rFonts w:hint="eastAsia" w:hAnsi="宋体" w:eastAsia="宋体"/>
          <w:spacing w:val="-3"/>
        </w:rPr>
        <w:t xml:space="preserve">     </w:t>
      </w:r>
      <w:r>
        <w:rPr>
          <w:rFonts w:hAnsi="宋体" w:eastAsia="宋体"/>
          <w:spacing w:val="-3"/>
        </w:rPr>
        <w:t>页</w:t>
      </w:r>
    </w:p>
    <w:tbl>
      <w:tblPr>
        <w:tblStyle w:val="57"/>
        <w:tblW w:w="860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0"/>
        <w:gridCol w:w="2760"/>
        <w:gridCol w:w="1400"/>
        <w:gridCol w:w="1300"/>
        <w:gridCol w:w="2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40" w:type="dxa"/>
            <w:vMerge w:val="restart"/>
            <w:vAlign w:val="center"/>
          </w:tcPr>
          <w:p>
            <w:pPr>
              <w:jc w:val="center"/>
              <w:rPr>
                <w:szCs w:val="21"/>
              </w:rPr>
            </w:pPr>
            <w:r>
              <w:rPr>
                <w:rFonts w:hAnsi="宋体"/>
                <w:szCs w:val="21"/>
              </w:rPr>
              <w:t>序号</w:t>
            </w:r>
          </w:p>
        </w:tc>
        <w:tc>
          <w:tcPr>
            <w:tcW w:w="2760" w:type="dxa"/>
            <w:vMerge w:val="restart"/>
            <w:vAlign w:val="center"/>
          </w:tcPr>
          <w:p>
            <w:pPr>
              <w:jc w:val="center"/>
              <w:rPr>
                <w:szCs w:val="21"/>
              </w:rPr>
            </w:pPr>
            <w:r>
              <w:rPr>
                <w:rFonts w:hAnsi="宋体"/>
                <w:szCs w:val="21"/>
              </w:rPr>
              <w:t>项目名称</w:t>
            </w:r>
          </w:p>
        </w:tc>
        <w:tc>
          <w:tcPr>
            <w:tcW w:w="1400" w:type="dxa"/>
            <w:vMerge w:val="restart"/>
            <w:vAlign w:val="center"/>
          </w:tcPr>
          <w:p>
            <w:pPr>
              <w:jc w:val="center"/>
              <w:rPr>
                <w:szCs w:val="21"/>
              </w:rPr>
            </w:pPr>
            <w:r>
              <w:rPr>
                <w:rFonts w:hAnsi="宋体"/>
                <w:szCs w:val="21"/>
              </w:rPr>
              <w:t>计量单位</w:t>
            </w:r>
          </w:p>
        </w:tc>
        <w:tc>
          <w:tcPr>
            <w:tcW w:w="1300" w:type="dxa"/>
            <w:vMerge w:val="restart"/>
            <w:vAlign w:val="center"/>
          </w:tcPr>
          <w:p>
            <w:pPr>
              <w:jc w:val="center"/>
              <w:rPr>
                <w:szCs w:val="21"/>
              </w:rPr>
            </w:pPr>
            <w:r>
              <w:rPr>
                <w:rFonts w:hAnsi="宋体"/>
                <w:szCs w:val="21"/>
              </w:rPr>
              <w:t>金额（元）</w:t>
            </w:r>
          </w:p>
        </w:tc>
        <w:tc>
          <w:tcPr>
            <w:tcW w:w="2300" w:type="dxa"/>
            <w:vMerge w:val="restart"/>
            <w:vAlign w:val="center"/>
          </w:tcPr>
          <w:p>
            <w:pPr>
              <w:jc w:val="center"/>
              <w:rPr>
                <w:szCs w:val="21"/>
              </w:rPr>
            </w:pPr>
            <w:r>
              <w:rPr>
                <w:rFonts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40" w:type="dxa"/>
            <w:vMerge w:val="continue"/>
            <w:vAlign w:val="center"/>
          </w:tcPr>
          <w:p>
            <w:pPr>
              <w:jc w:val="center"/>
              <w:rPr>
                <w:szCs w:val="21"/>
              </w:rPr>
            </w:pPr>
          </w:p>
        </w:tc>
        <w:tc>
          <w:tcPr>
            <w:tcW w:w="2760" w:type="dxa"/>
            <w:vMerge w:val="continue"/>
            <w:vAlign w:val="center"/>
          </w:tcPr>
          <w:p>
            <w:pPr>
              <w:rPr>
                <w:szCs w:val="21"/>
              </w:rPr>
            </w:pPr>
          </w:p>
        </w:tc>
        <w:tc>
          <w:tcPr>
            <w:tcW w:w="1400" w:type="dxa"/>
            <w:vMerge w:val="continue"/>
            <w:vAlign w:val="center"/>
          </w:tcPr>
          <w:p>
            <w:pPr>
              <w:rPr>
                <w:szCs w:val="21"/>
              </w:rPr>
            </w:pPr>
          </w:p>
        </w:tc>
        <w:tc>
          <w:tcPr>
            <w:tcW w:w="1300" w:type="dxa"/>
            <w:vMerge w:val="continue"/>
            <w:vAlign w:val="center"/>
          </w:tcPr>
          <w:p>
            <w:pPr>
              <w:rPr>
                <w:szCs w:val="21"/>
              </w:rPr>
            </w:pPr>
          </w:p>
        </w:tc>
        <w:tc>
          <w:tcPr>
            <w:tcW w:w="2300" w:type="dxa"/>
            <w:vMerge w:val="continue"/>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1</w:t>
            </w:r>
          </w:p>
        </w:tc>
        <w:tc>
          <w:tcPr>
            <w:tcW w:w="2760" w:type="dxa"/>
            <w:vAlign w:val="center"/>
          </w:tcPr>
          <w:p>
            <w:pPr>
              <w:rPr>
                <w:szCs w:val="21"/>
              </w:rPr>
            </w:pPr>
            <w:r>
              <w:rPr>
                <w:rFonts w:hAnsi="宋体"/>
                <w:szCs w:val="21"/>
              </w:rPr>
              <w:t>暂列金额</w:t>
            </w:r>
          </w:p>
        </w:tc>
        <w:tc>
          <w:tcPr>
            <w:tcW w:w="1400" w:type="dxa"/>
            <w:vAlign w:val="center"/>
          </w:tcPr>
          <w:p>
            <w:pPr>
              <w:rPr>
                <w:szCs w:val="21"/>
              </w:rPr>
            </w:pPr>
          </w:p>
        </w:tc>
        <w:tc>
          <w:tcPr>
            <w:tcW w:w="1300" w:type="dxa"/>
            <w:vAlign w:val="center"/>
          </w:tcPr>
          <w:p>
            <w:pPr>
              <w:rPr>
                <w:szCs w:val="21"/>
              </w:rPr>
            </w:pPr>
          </w:p>
        </w:tc>
        <w:tc>
          <w:tcPr>
            <w:tcW w:w="2300" w:type="dxa"/>
            <w:vAlign w:val="center"/>
          </w:tcPr>
          <w:p>
            <w:pPr>
              <w:jc w:val="center"/>
              <w:rPr>
                <w:szCs w:val="21"/>
              </w:rPr>
            </w:pPr>
            <w:r>
              <w:rPr>
                <w:rFonts w:hAnsi="宋体"/>
                <w:szCs w:val="21"/>
              </w:rPr>
              <w:t>明细详见</w:t>
            </w:r>
          </w:p>
          <w:p>
            <w:pPr>
              <w:jc w:val="center"/>
              <w:rPr>
                <w:szCs w:val="21"/>
              </w:rPr>
            </w:pPr>
            <w:r>
              <w:rPr>
                <w:rFonts w:hAnsi="宋体"/>
                <w:szCs w:val="21"/>
              </w:rPr>
              <w:t>表</w:t>
            </w:r>
            <w:r>
              <w:rPr>
                <w:szCs w:val="21"/>
              </w:rPr>
              <w:t>—12—1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2</w:t>
            </w:r>
          </w:p>
        </w:tc>
        <w:tc>
          <w:tcPr>
            <w:tcW w:w="2760" w:type="dxa"/>
            <w:vAlign w:val="center"/>
          </w:tcPr>
          <w:p>
            <w:pPr>
              <w:rPr>
                <w:szCs w:val="21"/>
              </w:rPr>
            </w:pPr>
            <w:r>
              <w:rPr>
                <w:rFonts w:hAnsi="宋体"/>
                <w:szCs w:val="21"/>
              </w:rPr>
              <w:t>暂估价</w:t>
            </w: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2.1</w:t>
            </w:r>
          </w:p>
        </w:tc>
        <w:tc>
          <w:tcPr>
            <w:tcW w:w="2760" w:type="dxa"/>
            <w:vAlign w:val="center"/>
          </w:tcPr>
          <w:p>
            <w:pPr>
              <w:rPr>
                <w:szCs w:val="21"/>
              </w:rPr>
            </w:pPr>
            <w:r>
              <w:rPr>
                <w:rFonts w:hAnsi="宋体"/>
                <w:szCs w:val="21"/>
              </w:rPr>
              <w:t>材料（工程设备）暂估价</w:t>
            </w:r>
          </w:p>
        </w:tc>
        <w:tc>
          <w:tcPr>
            <w:tcW w:w="1400" w:type="dxa"/>
            <w:vAlign w:val="center"/>
          </w:tcPr>
          <w:p>
            <w:pPr>
              <w:rPr>
                <w:szCs w:val="21"/>
              </w:rPr>
            </w:pPr>
          </w:p>
        </w:tc>
        <w:tc>
          <w:tcPr>
            <w:tcW w:w="1300" w:type="dxa"/>
            <w:vAlign w:val="center"/>
          </w:tcPr>
          <w:p>
            <w:pPr>
              <w:jc w:val="center"/>
              <w:rPr>
                <w:szCs w:val="21"/>
              </w:rPr>
            </w:pPr>
            <w:r>
              <w:rPr>
                <w:szCs w:val="21"/>
              </w:rPr>
              <w:t>—</w:t>
            </w:r>
          </w:p>
        </w:tc>
        <w:tc>
          <w:tcPr>
            <w:tcW w:w="2300" w:type="dxa"/>
            <w:vAlign w:val="center"/>
          </w:tcPr>
          <w:p>
            <w:pPr>
              <w:jc w:val="center"/>
              <w:rPr>
                <w:szCs w:val="21"/>
              </w:rPr>
            </w:pPr>
            <w:r>
              <w:rPr>
                <w:rFonts w:hAnsi="宋体"/>
                <w:szCs w:val="21"/>
              </w:rPr>
              <w:t>明细详见</w:t>
            </w:r>
          </w:p>
          <w:p>
            <w:pPr>
              <w:jc w:val="center"/>
              <w:rPr>
                <w:szCs w:val="21"/>
              </w:rPr>
            </w:pPr>
            <w:r>
              <w:rPr>
                <w:rFonts w:hAnsi="宋体"/>
                <w:szCs w:val="21"/>
              </w:rPr>
              <w:t>表</w:t>
            </w:r>
            <w:r>
              <w:rPr>
                <w:szCs w:val="21"/>
              </w:rPr>
              <w:t>—12—2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2.2</w:t>
            </w:r>
          </w:p>
        </w:tc>
        <w:tc>
          <w:tcPr>
            <w:tcW w:w="2760" w:type="dxa"/>
            <w:vAlign w:val="center"/>
          </w:tcPr>
          <w:p>
            <w:pPr>
              <w:rPr>
                <w:szCs w:val="21"/>
              </w:rPr>
            </w:pPr>
            <w:r>
              <w:rPr>
                <w:rFonts w:hAnsi="宋体"/>
                <w:szCs w:val="21"/>
              </w:rPr>
              <w:t>专业工程暂估价</w:t>
            </w:r>
          </w:p>
        </w:tc>
        <w:tc>
          <w:tcPr>
            <w:tcW w:w="1400" w:type="dxa"/>
            <w:vAlign w:val="center"/>
          </w:tcPr>
          <w:p>
            <w:pPr>
              <w:rPr>
                <w:szCs w:val="21"/>
              </w:rPr>
            </w:pPr>
          </w:p>
        </w:tc>
        <w:tc>
          <w:tcPr>
            <w:tcW w:w="1300" w:type="dxa"/>
            <w:vAlign w:val="center"/>
          </w:tcPr>
          <w:p>
            <w:pPr>
              <w:rPr>
                <w:szCs w:val="21"/>
              </w:rPr>
            </w:pPr>
          </w:p>
        </w:tc>
        <w:tc>
          <w:tcPr>
            <w:tcW w:w="2300" w:type="dxa"/>
            <w:vAlign w:val="center"/>
          </w:tcPr>
          <w:p>
            <w:pPr>
              <w:jc w:val="center"/>
              <w:rPr>
                <w:szCs w:val="21"/>
              </w:rPr>
            </w:pPr>
            <w:r>
              <w:rPr>
                <w:rFonts w:hAnsi="宋体"/>
                <w:szCs w:val="21"/>
              </w:rPr>
              <w:t>明细详见</w:t>
            </w:r>
          </w:p>
          <w:p>
            <w:pPr>
              <w:jc w:val="center"/>
              <w:rPr>
                <w:szCs w:val="21"/>
              </w:rPr>
            </w:pPr>
            <w:r>
              <w:rPr>
                <w:rFonts w:hAnsi="宋体"/>
                <w:szCs w:val="21"/>
              </w:rPr>
              <w:t>表</w:t>
            </w:r>
            <w:r>
              <w:rPr>
                <w:szCs w:val="21"/>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3</w:t>
            </w:r>
          </w:p>
        </w:tc>
        <w:tc>
          <w:tcPr>
            <w:tcW w:w="2760" w:type="dxa"/>
            <w:vAlign w:val="center"/>
          </w:tcPr>
          <w:p>
            <w:pPr>
              <w:rPr>
                <w:szCs w:val="21"/>
              </w:rPr>
            </w:pPr>
            <w:r>
              <w:rPr>
                <w:rFonts w:hAnsi="宋体"/>
                <w:szCs w:val="21"/>
              </w:rPr>
              <w:t>计日工</w:t>
            </w:r>
          </w:p>
        </w:tc>
        <w:tc>
          <w:tcPr>
            <w:tcW w:w="1400" w:type="dxa"/>
            <w:vAlign w:val="center"/>
          </w:tcPr>
          <w:p>
            <w:pPr>
              <w:rPr>
                <w:szCs w:val="21"/>
              </w:rPr>
            </w:pPr>
          </w:p>
        </w:tc>
        <w:tc>
          <w:tcPr>
            <w:tcW w:w="1300" w:type="dxa"/>
            <w:vAlign w:val="center"/>
          </w:tcPr>
          <w:p>
            <w:pPr>
              <w:rPr>
                <w:szCs w:val="21"/>
              </w:rPr>
            </w:pPr>
          </w:p>
        </w:tc>
        <w:tc>
          <w:tcPr>
            <w:tcW w:w="2300" w:type="dxa"/>
            <w:vAlign w:val="center"/>
          </w:tcPr>
          <w:p>
            <w:pPr>
              <w:jc w:val="center"/>
              <w:rPr>
                <w:szCs w:val="21"/>
              </w:rPr>
            </w:pPr>
            <w:r>
              <w:rPr>
                <w:rFonts w:hAnsi="宋体"/>
                <w:szCs w:val="21"/>
              </w:rPr>
              <w:t>明细详见</w:t>
            </w:r>
          </w:p>
          <w:p>
            <w:pPr>
              <w:jc w:val="center"/>
              <w:rPr>
                <w:szCs w:val="21"/>
              </w:rPr>
            </w:pPr>
            <w:r>
              <w:rPr>
                <w:rFonts w:hAnsi="宋体"/>
                <w:szCs w:val="21"/>
              </w:rPr>
              <w:t>表</w:t>
            </w:r>
            <w:r>
              <w:rPr>
                <w:szCs w:val="21"/>
              </w:rPr>
              <w:t>—12—4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4</w:t>
            </w:r>
          </w:p>
        </w:tc>
        <w:tc>
          <w:tcPr>
            <w:tcW w:w="2760" w:type="dxa"/>
            <w:vAlign w:val="center"/>
          </w:tcPr>
          <w:p>
            <w:pPr>
              <w:rPr>
                <w:szCs w:val="21"/>
              </w:rPr>
            </w:pPr>
            <w:r>
              <w:rPr>
                <w:rFonts w:hAnsi="宋体"/>
                <w:szCs w:val="21"/>
              </w:rPr>
              <w:t>总承包服务费</w:t>
            </w:r>
          </w:p>
        </w:tc>
        <w:tc>
          <w:tcPr>
            <w:tcW w:w="1400" w:type="dxa"/>
            <w:vAlign w:val="center"/>
          </w:tcPr>
          <w:p>
            <w:pPr>
              <w:rPr>
                <w:szCs w:val="21"/>
              </w:rPr>
            </w:pPr>
          </w:p>
        </w:tc>
        <w:tc>
          <w:tcPr>
            <w:tcW w:w="1300" w:type="dxa"/>
            <w:vAlign w:val="center"/>
          </w:tcPr>
          <w:p>
            <w:pPr>
              <w:rPr>
                <w:szCs w:val="21"/>
              </w:rPr>
            </w:pPr>
          </w:p>
        </w:tc>
        <w:tc>
          <w:tcPr>
            <w:tcW w:w="2300" w:type="dxa"/>
            <w:vAlign w:val="center"/>
          </w:tcPr>
          <w:p>
            <w:pPr>
              <w:jc w:val="center"/>
              <w:rPr>
                <w:szCs w:val="21"/>
              </w:rPr>
            </w:pPr>
            <w:r>
              <w:rPr>
                <w:rFonts w:hAnsi="宋体"/>
                <w:szCs w:val="21"/>
              </w:rPr>
              <w:t>明细详见</w:t>
            </w:r>
          </w:p>
          <w:p>
            <w:pPr>
              <w:jc w:val="center"/>
              <w:rPr>
                <w:szCs w:val="21"/>
              </w:rPr>
            </w:pPr>
            <w:r>
              <w:rPr>
                <w:rFonts w:hAnsi="宋体"/>
                <w:szCs w:val="21"/>
              </w:rPr>
              <w:t>表</w:t>
            </w:r>
            <w:r>
              <w:rPr>
                <w:szCs w:val="21"/>
              </w:rPr>
              <w:t>—12—5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r>
              <w:rPr>
                <w:szCs w:val="21"/>
              </w:rPr>
              <w:t>5</w:t>
            </w:r>
          </w:p>
        </w:tc>
        <w:tc>
          <w:tcPr>
            <w:tcW w:w="2760" w:type="dxa"/>
            <w:vAlign w:val="center"/>
          </w:tcPr>
          <w:p>
            <w:pPr>
              <w:jc w:val="center"/>
              <w:rPr>
                <w:szCs w:val="21"/>
              </w:rPr>
            </w:pP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p>
        </w:tc>
        <w:tc>
          <w:tcPr>
            <w:tcW w:w="2760" w:type="dxa"/>
            <w:vAlign w:val="center"/>
          </w:tcPr>
          <w:p>
            <w:pPr>
              <w:jc w:val="center"/>
              <w:rPr>
                <w:szCs w:val="21"/>
              </w:rPr>
            </w:pP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p>
        </w:tc>
        <w:tc>
          <w:tcPr>
            <w:tcW w:w="2760" w:type="dxa"/>
            <w:vAlign w:val="center"/>
          </w:tcPr>
          <w:p>
            <w:pPr>
              <w:jc w:val="center"/>
              <w:rPr>
                <w:szCs w:val="21"/>
              </w:rPr>
            </w:pP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p>
        </w:tc>
        <w:tc>
          <w:tcPr>
            <w:tcW w:w="2760" w:type="dxa"/>
            <w:vAlign w:val="center"/>
          </w:tcPr>
          <w:p>
            <w:pPr>
              <w:jc w:val="center"/>
              <w:rPr>
                <w:szCs w:val="21"/>
              </w:rPr>
            </w:pP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p>
        </w:tc>
        <w:tc>
          <w:tcPr>
            <w:tcW w:w="2760" w:type="dxa"/>
            <w:vAlign w:val="center"/>
          </w:tcPr>
          <w:p>
            <w:pPr>
              <w:jc w:val="center"/>
              <w:rPr>
                <w:szCs w:val="21"/>
              </w:rPr>
            </w:pP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840" w:type="dxa"/>
            <w:vAlign w:val="center"/>
          </w:tcPr>
          <w:p>
            <w:pPr>
              <w:jc w:val="center"/>
              <w:rPr>
                <w:szCs w:val="21"/>
              </w:rPr>
            </w:pPr>
          </w:p>
        </w:tc>
        <w:tc>
          <w:tcPr>
            <w:tcW w:w="2760" w:type="dxa"/>
            <w:vAlign w:val="center"/>
          </w:tcPr>
          <w:p>
            <w:pPr>
              <w:jc w:val="center"/>
              <w:rPr>
                <w:szCs w:val="21"/>
              </w:rPr>
            </w:pPr>
          </w:p>
        </w:tc>
        <w:tc>
          <w:tcPr>
            <w:tcW w:w="1400" w:type="dxa"/>
            <w:vAlign w:val="center"/>
          </w:tcPr>
          <w:p>
            <w:pPr>
              <w:rPr>
                <w:szCs w:val="21"/>
              </w:rPr>
            </w:pPr>
          </w:p>
        </w:tc>
        <w:tc>
          <w:tcPr>
            <w:tcW w:w="1300" w:type="dxa"/>
            <w:vAlign w:val="center"/>
          </w:tcPr>
          <w:p>
            <w:pPr>
              <w:rPr>
                <w:szCs w:val="21"/>
              </w:rPr>
            </w:pPr>
          </w:p>
        </w:tc>
        <w:tc>
          <w:tcPr>
            <w:tcW w:w="230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50" w:hRule="atLeast"/>
        </w:trPr>
        <w:tc>
          <w:tcPr>
            <w:tcW w:w="840" w:type="dxa"/>
            <w:vAlign w:val="center"/>
          </w:tcPr>
          <w:p>
            <w:pPr>
              <w:jc w:val="center"/>
              <w:rPr>
                <w:szCs w:val="21"/>
              </w:rPr>
            </w:pPr>
          </w:p>
        </w:tc>
        <w:tc>
          <w:tcPr>
            <w:tcW w:w="2760" w:type="dxa"/>
            <w:vAlign w:val="center"/>
          </w:tcPr>
          <w:p>
            <w:pPr>
              <w:ind w:firstLine="310" w:firstLineChars="148"/>
              <w:jc w:val="center"/>
              <w:rPr>
                <w:szCs w:val="21"/>
              </w:rPr>
            </w:pPr>
          </w:p>
        </w:tc>
        <w:tc>
          <w:tcPr>
            <w:tcW w:w="1400" w:type="dxa"/>
            <w:vAlign w:val="center"/>
          </w:tcPr>
          <w:p>
            <w:pPr>
              <w:ind w:firstLine="310" w:firstLineChars="148"/>
              <w:rPr>
                <w:szCs w:val="21"/>
              </w:rPr>
            </w:pPr>
          </w:p>
        </w:tc>
        <w:tc>
          <w:tcPr>
            <w:tcW w:w="1300" w:type="dxa"/>
            <w:vAlign w:val="center"/>
          </w:tcPr>
          <w:p>
            <w:pPr>
              <w:ind w:firstLine="310" w:firstLineChars="148"/>
              <w:rPr>
                <w:szCs w:val="21"/>
              </w:rPr>
            </w:pPr>
          </w:p>
        </w:tc>
        <w:tc>
          <w:tcPr>
            <w:tcW w:w="2300" w:type="dxa"/>
            <w:vAlign w:val="center"/>
          </w:tcPr>
          <w:p>
            <w:pPr>
              <w:ind w:firstLine="310" w:firstLineChars="148"/>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6300" w:type="dxa"/>
            <w:gridSpan w:val="4"/>
            <w:vAlign w:val="center"/>
          </w:tcPr>
          <w:p>
            <w:pPr>
              <w:jc w:val="center"/>
              <w:rPr>
                <w:szCs w:val="21"/>
              </w:rPr>
            </w:pPr>
            <w:r>
              <w:rPr>
                <w:rFonts w:hAnsi="宋体"/>
                <w:szCs w:val="21"/>
              </w:rPr>
              <w:t>合计</w:t>
            </w:r>
          </w:p>
        </w:tc>
        <w:tc>
          <w:tcPr>
            <w:tcW w:w="2300" w:type="dxa"/>
            <w:vAlign w:val="center"/>
          </w:tcPr>
          <w:p>
            <w:pPr>
              <w:rPr>
                <w:szCs w:val="21"/>
              </w:rPr>
            </w:pPr>
          </w:p>
        </w:tc>
      </w:tr>
    </w:tbl>
    <w:p>
      <w:pPr>
        <w:rPr>
          <w:sz w:val="18"/>
          <w:szCs w:val="18"/>
        </w:rPr>
      </w:pPr>
      <w:r>
        <w:rPr>
          <w:rFonts w:hAnsi="宋体"/>
          <w:sz w:val="18"/>
          <w:szCs w:val="18"/>
        </w:rPr>
        <w:t>注：材料（工程设备）暂估单价进入清单项目综合单价，此处不汇总。</w:t>
      </w:r>
    </w:p>
    <w:p>
      <w:pPr>
        <w:jc w:val="right"/>
        <w:rPr>
          <w:sz w:val="18"/>
          <w:szCs w:val="18"/>
        </w:rPr>
      </w:pPr>
    </w:p>
    <w:p>
      <w:pPr>
        <w:jc w:val="right"/>
        <w:rPr>
          <w:sz w:val="18"/>
          <w:szCs w:val="18"/>
        </w:rPr>
      </w:pPr>
    </w:p>
    <w:p>
      <w:pPr>
        <w:jc w:val="right"/>
        <w:rPr>
          <w:sz w:val="18"/>
          <w:szCs w:val="18"/>
        </w:rPr>
      </w:pPr>
      <w:r>
        <w:rPr>
          <w:rFonts w:hAnsi="宋体"/>
          <w:sz w:val="18"/>
          <w:szCs w:val="18"/>
        </w:rPr>
        <w:t>表</w:t>
      </w:r>
      <w:r>
        <w:rPr>
          <w:sz w:val="18"/>
          <w:szCs w:val="18"/>
        </w:rPr>
        <w:t>—12</w:t>
      </w:r>
    </w:p>
    <w:p>
      <w:pPr>
        <w:rPr>
          <w:sz w:val="24"/>
        </w:rPr>
      </w:pPr>
    </w:p>
    <w:p>
      <w:pPr>
        <w:spacing w:line="480" w:lineRule="auto"/>
        <w:jc w:val="center"/>
        <w:rPr>
          <w:b/>
          <w:sz w:val="36"/>
          <w:szCs w:val="36"/>
        </w:rPr>
      </w:pPr>
      <w:r>
        <w:rPr>
          <w:rFonts w:hAnsi="宋体"/>
          <w:b/>
          <w:sz w:val="36"/>
          <w:szCs w:val="36"/>
        </w:rPr>
        <w:t>暂列金额明细表</w:t>
      </w:r>
    </w:p>
    <w:p>
      <w:pPr>
        <w:pStyle w:val="2"/>
        <w:tabs>
          <w:tab w:val="left" w:pos="4529"/>
          <w:tab w:val="left" w:pos="7890"/>
          <w:tab w:val="left" w:pos="8416"/>
          <w:tab w:val="left" w:pos="9047"/>
        </w:tabs>
        <w:ind w:firstLine="224" w:firstLineChars="100"/>
        <w:rPr>
          <w:rFonts w:eastAsia="宋体"/>
          <w:spacing w:val="-3"/>
        </w:rPr>
      </w:pPr>
      <w:r>
        <w:rPr>
          <w:rFonts w:hAnsi="宋体" w:eastAsia="宋体"/>
          <w:spacing w:val="-3"/>
        </w:rPr>
        <w:t>工程名称：</w:t>
      </w:r>
      <w:r>
        <w:rPr>
          <w:rFonts w:hint="eastAsia" w:hAnsi="宋体" w:eastAsia="宋体"/>
          <w:spacing w:val="-3"/>
        </w:rPr>
        <w:t xml:space="preserve">          </w:t>
      </w:r>
      <w:r>
        <w:rPr>
          <w:rFonts w:hAnsi="宋体" w:eastAsia="宋体"/>
          <w:spacing w:val="-3"/>
        </w:rPr>
        <w:t>标段：</w:t>
      </w:r>
      <w:r>
        <w:rPr>
          <w:rFonts w:hint="eastAsia" w:hAnsi="宋体" w:eastAsia="宋体"/>
          <w:spacing w:val="-3"/>
        </w:rPr>
        <w:t xml:space="preserve">          </w:t>
      </w:r>
      <w:r>
        <w:rPr>
          <w:rFonts w:hAnsi="宋体" w:eastAsia="宋体"/>
          <w:spacing w:val="-3"/>
        </w:rPr>
        <w:t>第页</w:t>
      </w:r>
      <w:r>
        <w:rPr>
          <w:rFonts w:hint="eastAsia" w:hAnsi="宋体" w:eastAsia="宋体"/>
          <w:spacing w:val="-3"/>
        </w:rPr>
        <w:t xml:space="preserve">           </w:t>
      </w:r>
      <w:r>
        <w:rPr>
          <w:rFonts w:hAnsi="宋体" w:eastAsia="宋体"/>
          <w:spacing w:val="-3"/>
        </w:rPr>
        <w:t>共页</w:t>
      </w:r>
    </w:p>
    <w:tbl>
      <w:tblPr>
        <w:tblStyle w:val="57"/>
        <w:tblW w:w="884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4"/>
        <w:gridCol w:w="3376"/>
        <w:gridCol w:w="1508"/>
        <w:gridCol w:w="1608"/>
        <w:gridCol w:w="15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844" w:type="dxa"/>
            <w:vMerge w:val="restart"/>
            <w:vAlign w:val="center"/>
          </w:tcPr>
          <w:p>
            <w:pPr>
              <w:jc w:val="center"/>
              <w:rPr>
                <w:szCs w:val="21"/>
              </w:rPr>
            </w:pPr>
            <w:r>
              <w:rPr>
                <w:rFonts w:hAnsi="宋体"/>
                <w:szCs w:val="21"/>
              </w:rPr>
              <w:t>序号</w:t>
            </w:r>
          </w:p>
        </w:tc>
        <w:tc>
          <w:tcPr>
            <w:tcW w:w="3376" w:type="dxa"/>
            <w:vMerge w:val="restart"/>
            <w:vAlign w:val="center"/>
          </w:tcPr>
          <w:p>
            <w:pPr>
              <w:jc w:val="center"/>
              <w:rPr>
                <w:szCs w:val="21"/>
              </w:rPr>
            </w:pPr>
            <w:r>
              <w:rPr>
                <w:rFonts w:hAnsi="宋体"/>
                <w:szCs w:val="21"/>
              </w:rPr>
              <w:t>项目名称</w:t>
            </w:r>
          </w:p>
        </w:tc>
        <w:tc>
          <w:tcPr>
            <w:tcW w:w="1508" w:type="dxa"/>
            <w:vMerge w:val="restart"/>
            <w:vAlign w:val="center"/>
          </w:tcPr>
          <w:p>
            <w:pPr>
              <w:jc w:val="center"/>
              <w:rPr>
                <w:szCs w:val="21"/>
              </w:rPr>
            </w:pPr>
            <w:r>
              <w:rPr>
                <w:rFonts w:hAnsi="宋体"/>
                <w:szCs w:val="21"/>
              </w:rPr>
              <w:t>计量单位</w:t>
            </w:r>
          </w:p>
        </w:tc>
        <w:tc>
          <w:tcPr>
            <w:tcW w:w="1608" w:type="dxa"/>
            <w:vMerge w:val="restart"/>
            <w:vAlign w:val="center"/>
          </w:tcPr>
          <w:p>
            <w:pPr>
              <w:jc w:val="center"/>
              <w:rPr>
                <w:szCs w:val="21"/>
              </w:rPr>
            </w:pPr>
            <w:r>
              <w:rPr>
                <w:rFonts w:hAnsi="宋体"/>
                <w:szCs w:val="21"/>
              </w:rPr>
              <w:t>暂定金额（元）</w:t>
            </w:r>
          </w:p>
        </w:tc>
        <w:tc>
          <w:tcPr>
            <w:tcW w:w="1507" w:type="dxa"/>
            <w:vMerge w:val="restart"/>
            <w:vAlign w:val="center"/>
          </w:tcPr>
          <w:p>
            <w:pPr>
              <w:jc w:val="center"/>
              <w:rPr>
                <w:szCs w:val="21"/>
              </w:rPr>
            </w:pPr>
            <w:r>
              <w:rPr>
                <w:rFonts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844" w:type="dxa"/>
            <w:vMerge w:val="continue"/>
            <w:vAlign w:val="center"/>
          </w:tcPr>
          <w:p>
            <w:pPr>
              <w:jc w:val="center"/>
              <w:rPr>
                <w:szCs w:val="21"/>
              </w:rPr>
            </w:pPr>
          </w:p>
        </w:tc>
        <w:tc>
          <w:tcPr>
            <w:tcW w:w="3376" w:type="dxa"/>
            <w:vMerge w:val="continue"/>
            <w:vAlign w:val="center"/>
          </w:tcPr>
          <w:p>
            <w:pPr>
              <w:rPr>
                <w:szCs w:val="21"/>
              </w:rPr>
            </w:pPr>
          </w:p>
        </w:tc>
        <w:tc>
          <w:tcPr>
            <w:tcW w:w="1508" w:type="dxa"/>
            <w:vMerge w:val="continue"/>
            <w:vAlign w:val="center"/>
          </w:tcPr>
          <w:p>
            <w:pPr>
              <w:rPr>
                <w:szCs w:val="21"/>
              </w:rPr>
            </w:pPr>
          </w:p>
        </w:tc>
        <w:tc>
          <w:tcPr>
            <w:tcW w:w="1608" w:type="dxa"/>
            <w:vMerge w:val="continue"/>
            <w:vAlign w:val="center"/>
          </w:tcPr>
          <w:p>
            <w:pPr>
              <w:rPr>
                <w:szCs w:val="21"/>
              </w:rPr>
            </w:pPr>
          </w:p>
        </w:tc>
        <w:tc>
          <w:tcPr>
            <w:tcW w:w="1507" w:type="dxa"/>
            <w:vMerge w:val="continue"/>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1</w:t>
            </w:r>
          </w:p>
        </w:tc>
        <w:tc>
          <w:tcPr>
            <w:tcW w:w="3376" w:type="dxa"/>
            <w:vAlign w:val="center"/>
          </w:tcPr>
          <w:p>
            <w:pP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2</w:t>
            </w:r>
          </w:p>
        </w:tc>
        <w:tc>
          <w:tcPr>
            <w:tcW w:w="3376" w:type="dxa"/>
            <w:vAlign w:val="center"/>
          </w:tcPr>
          <w:p>
            <w:pP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67" w:hRule="atLeast"/>
        </w:trPr>
        <w:tc>
          <w:tcPr>
            <w:tcW w:w="844" w:type="dxa"/>
            <w:vAlign w:val="center"/>
          </w:tcPr>
          <w:p>
            <w:pPr>
              <w:jc w:val="center"/>
              <w:rPr>
                <w:szCs w:val="21"/>
              </w:rPr>
            </w:pPr>
            <w:r>
              <w:rPr>
                <w:szCs w:val="21"/>
              </w:rPr>
              <w:t>3</w:t>
            </w:r>
          </w:p>
        </w:tc>
        <w:tc>
          <w:tcPr>
            <w:tcW w:w="3376" w:type="dxa"/>
            <w:vAlign w:val="center"/>
          </w:tcPr>
          <w:p>
            <w:pPr>
              <w:ind w:firstLine="415" w:firstLineChars="198"/>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4</w:t>
            </w:r>
          </w:p>
        </w:tc>
        <w:tc>
          <w:tcPr>
            <w:tcW w:w="3376" w:type="dxa"/>
            <w:vAlign w:val="center"/>
          </w:tcPr>
          <w:p>
            <w:pPr>
              <w:ind w:firstLine="415" w:firstLineChars="198"/>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5</w:t>
            </w:r>
          </w:p>
        </w:tc>
        <w:tc>
          <w:tcPr>
            <w:tcW w:w="3376" w:type="dxa"/>
            <w:vAlign w:val="center"/>
          </w:tcPr>
          <w:p>
            <w:pP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6</w:t>
            </w:r>
          </w:p>
        </w:tc>
        <w:tc>
          <w:tcPr>
            <w:tcW w:w="3376" w:type="dxa"/>
            <w:vAlign w:val="center"/>
          </w:tcPr>
          <w:p>
            <w:pP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7</w:t>
            </w:r>
          </w:p>
        </w:tc>
        <w:tc>
          <w:tcPr>
            <w:tcW w:w="3376" w:type="dxa"/>
            <w:vAlign w:val="center"/>
          </w:tcPr>
          <w:p>
            <w:pPr>
              <w:jc w:val="cente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67" w:hRule="atLeast"/>
        </w:trPr>
        <w:tc>
          <w:tcPr>
            <w:tcW w:w="844" w:type="dxa"/>
            <w:vAlign w:val="center"/>
          </w:tcPr>
          <w:p>
            <w:pPr>
              <w:jc w:val="center"/>
              <w:rPr>
                <w:szCs w:val="21"/>
              </w:rPr>
            </w:pPr>
            <w:r>
              <w:rPr>
                <w:szCs w:val="21"/>
              </w:rPr>
              <w:t>8</w:t>
            </w:r>
          </w:p>
        </w:tc>
        <w:tc>
          <w:tcPr>
            <w:tcW w:w="3376" w:type="dxa"/>
            <w:vAlign w:val="center"/>
          </w:tcPr>
          <w:p>
            <w:pPr>
              <w:jc w:val="cente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9</w:t>
            </w:r>
          </w:p>
        </w:tc>
        <w:tc>
          <w:tcPr>
            <w:tcW w:w="3376" w:type="dxa"/>
            <w:vAlign w:val="center"/>
          </w:tcPr>
          <w:p>
            <w:pPr>
              <w:jc w:val="cente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10</w:t>
            </w:r>
          </w:p>
        </w:tc>
        <w:tc>
          <w:tcPr>
            <w:tcW w:w="3376" w:type="dxa"/>
            <w:vAlign w:val="center"/>
          </w:tcPr>
          <w:p>
            <w:pPr>
              <w:jc w:val="cente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844" w:type="dxa"/>
            <w:vAlign w:val="center"/>
          </w:tcPr>
          <w:p>
            <w:pPr>
              <w:jc w:val="center"/>
              <w:rPr>
                <w:szCs w:val="21"/>
              </w:rPr>
            </w:pPr>
            <w:r>
              <w:rPr>
                <w:szCs w:val="21"/>
              </w:rPr>
              <w:t>11</w:t>
            </w:r>
          </w:p>
        </w:tc>
        <w:tc>
          <w:tcPr>
            <w:tcW w:w="3376" w:type="dxa"/>
            <w:vAlign w:val="center"/>
          </w:tcPr>
          <w:p>
            <w:pPr>
              <w:jc w:val="center"/>
              <w:rPr>
                <w:szCs w:val="21"/>
              </w:rPr>
            </w:pPr>
          </w:p>
        </w:tc>
        <w:tc>
          <w:tcPr>
            <w:tcW w:w="1508" w:type="dxa"/>
            <w:vAlign w:val="center"/>
          </w:tcPr>
          <w:p>
            <w:pPr>
              <w:rPr>
                <w:szCs w:val="21"/>
              </w:rPr>
            </w:pPr>
          </w:p>
        </w:tc>
        <w:tc>
          <w:tcPr>
            <w:tcW w:w="1608" w:type="dxa"/>
            <w:vAlign w:val="center"/>
          </w:tcPr>
          <w:p>
            <w:pPr>
              <w:rPr>
                <w:szCs w:val="21"/>
              </w:rPr>
            </w:pPr>
          </w:p>
        </w:tc>
        <w:tc>
          <w:tcPr>
            <w:tcW w:w="1507"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trPr>
        <w:tc>
          <w:tcPr>
            <w:tcW w:w="5728" w:type="dxa"/>
            <w:gridSpan w:val="3"/>
            <w:vAlign w:val="center"/>
          </w:tcPr>
          <w:p>
            <w:pPr>
              <w:jc w:val="center"/>
              <w:rPr>
                <w:szCs w:val="21"/>
              </w:rPr>
            </w:pPr>
            <w:r>
              <w:rPr>
                <w:rFonts w:hAnsi="宋体"/>
                <w:szCs w:val="21"/>
              </w:rPr>
              <w:t>合计</w:t>
            </w:r>
          </w:p>
        </w:tc>
        <w:tc>
          <w:tcPr>
            <w:tcW w:w="1608" w:type="dxa"/>
            <w:vAlign w:val="center"/>
          </w:tcPr>
          <w:p>
            <w:pPr>
              <w:jc w:val="center"/>
              <w:rPr>
                <w:szCs w:val="21"/>
              </w:rPr>
            </w:pPr>
          </w:p>
        </w:tc>
        <w:tc>
          <w:tcPr>
            <w:tcW w:w="1507" w:type="dxa"/>
            <w:vAlign w:val="center"/>
          </w:tcPr>
          <w:p>
            <w:pPr>
              <w:jc w:val="center"/>
              <w:rPr>
                <w:szCs w:val="21"/>
              </w:rPr>
            </w:pPr>
            <w:r>
              <w:rPr>
                <w:szCs w:val="21"/>
              </w:rPr>
              <w:t>—</w:t>
            </w:r>
          </w:p>
        </w:tc>
      </w:tr>
    </w:tbl>
    <w:p>
      <w:pPr>
        <w:rPr>
          <w:sz w:val="18"/>
          <w:szCs w:val="18"/>
        </w:rPr>
      </w:pPr>
      <w:r>
        <w:rPr>
          <w:rFonts w:hAnsi="宋体"/>
          <w:sz w:val="18"/>
          <w:szCs w:val="18"/>
        </w:rPr>
        <w:t>注：此表由招标人填写，如不能详列，也可只列暂定金额总额，投标人应将上述暂列金额计入投标总价中。</w:t>
      </w:r>
    </w:p>
    <w:p>
      <w:pPr>
        <w:jc w:val="right"/>
        <w:rPr>
          <w:sz w:val="18"/>
          <w:szCs w:val="18"/>
        </w:rPr>
      </w:pPr>
    </w:p>
    <w:p>
      <w:pPr>
        <w:jc w:val="right"/>
        <w:rPr>
          <w:sz w:val="18"/>
          <w:szCs w:val="18"/>
        </w:rPr>
      </w:pPr>
    </w:p>
    <w:p>
      <w:pPr>
        <w:jc w:val="right"/>
        <w:rPr>
          <w:sz w:val="18"/>
          <w:szCs w:val="18"/>
        </w:rPr>
      </w:pPr>
    </w:p>
    <w:p>
      <w:pPr>
        <w:jc w:val="right"/>
        <w:rPr>
          <w:sz w:val="18"/>
          <w:szCs w:val="18"/>
        </w:rPr>
      </w:pPr>
    </w:p>
    <w:p>
      <w:pPr>
        <w:jc w:val="right"/>
        <w:rPr>
          <w:sz w:val="18"/>
          <w:szCs w:val="18"/>
        </w:rPr>
      </w:pPr>
    </w:p>
    <w:p>
      <w:pPr>
        <w:jc w:val="right"/>
        <w:rPr>
          <w:sz w:val="18"/>
          <w:szCs w:val="18"/>
        </w:rPr>
      </w:pPr>
    </w:p>
    <w:p>
      <w:pPr>
        <w:jc w:val="right"/>
        <w:rPr>
          <w:sz w:val="18"/>
          <w:szCs w:val="18"/>
        </w:rPr>
      </w:pPr>
    </w:p>
    <w:p>
      <w:pPr>
        <w:jc w:val="right"/>
        <w:rPr>
          <w:sz w:val="18"/>
          <w:szCs w:val="18"/>
        </w:rPr>
      </w:pPr>
      <w:r>
        <w:rPr>
          <w:rFonts w:hAnsi="宋体"/>
          <w:sz w:val="18"/>
          <w:szCs w:val="18"/>
        </w:rPr>
        <w:t>表</w:t>
      </w:r>
      <w:r>
        <w:rPr>
          <w:sz w:val="18"/>
          <w:szCs w:val="18"/>
        </w:rPr>
        <w:t>—12—1</w:t>
      </w:r>
    </w:p>
    <w:p>
      <w:pPr>
        <w:pStyle w:val="77"/>
        <w:tabs>
          <w:tab w:val="left" w:pos="707"/>
        </w:tabs>
        <w:jc w:val="center"/>
        <w:outlineLvl w:val="2"/>
        <w:rPr>
          <w:rFonts w:ascii="Times New Roman" w:hAnsi="Times New Roman" w:cs="Times New Roman"/>
          <w:b/>
          <w:spacing w:val="1"/>
          <w:lang w:eastAsia="zh-CN"/>
        </w:rPr>
      </w:pPr>
    </w:p>
    <w:p>
      <w:pPr>
        <w:pStyle w:val="77"/>
        <w:tabs>
          <w:tab w:val="left" w:pos="707"/>
        </w:tabs>
        <w:jc w:val="center"/>
        <w:outlineLvl w:val="2"/>
        <w:rPr>
          <w:rFonts w:ascii="Times New Roman" w:hAnsi="Times New Roman" w:cs="Times New Roman"/>
          <w:b/>
          <w:spacing w:val="1"/>
          <w:lang w:eastAsia="zh-CN"/>
        </w:rPr>
      </w:pPr>
      <w:r>
        <w:rPr>
          <w:rFonts w:ascii="Times New Roman" w:cs="Times New Roman"/>
          <w:b/>
          <w:spacing w:val="1"/>
          <w:lang w:eastAsia="zh-CN"/>
        </w:rPr>
        <w:t>材料（工程设备）暂估单价及调整表</w:t>
      </w:r>
      <w:bookmarkEnd w:id="575"/>
      <w:bookmarkEnd w:id="576"/>
      <w:bookmarkEnd w:id="577"/>
    </w:p>
    <w:p>
      <w:pPr>
        <w:spacing w:before="19" w:line="200" w:lineRule="exact"/>
        <w:rPr>
          <w:sz w:val="20"/>
          <w:szCs w:val="20"/>
        </w:rPr>
      </w:pPr>
    </w:p>
    <w:p>
      <w:pPr>
        <w:pStyle w:val="2"/>
        <w:tabs>
          <w:tab w:val="left" w:pos="4529"/>
          <w:tab w:val="left" w:pos="7890"/>
          <w:tab w:val="left" w:pos="8416"/>
          <w:tab w:val="left" w:pos="9047"/>
        </w:tabs>
        <w:ind w:firstLine="230" w:firstLineChars="100"/>
        <w:rPr>
          <w:rFonts w:eastAsia="宋体"/>
        </w:rPr>
      </w:pPr>
      <w:r>
        <w:rPr>
          <w:rFonts w:hAnsi="宋体" w:eastAsia="宋体"/>
        </w:rPr>
        <w:t>工程</w:t>
      </w:r>
      <w:r>
        <w:rPr>
          <w:rFonts w:hAnsi="宋体" w:eastAsia="宋体"/>
          <w:spacing w:val="-3"/>
        </w:rPr>
        <w:t>名</w:t>
      </w:r>
      <w:r>
        <w:rPr>
          <w:rFonts w:hAnsi="宋体" w:eastAsia="宋体"/>
        </w:rPr>
        <w:t>称：</w:t>
      </w:r>
      <w:r>
        <w:rPr>
          <w:rFonts w:eastAsia="宋体"/>
        </w:rPr>
        <w:tab/>
      </w:r>
      <w:r>
        <w:rPr>
          <w:rFonts w:hAnsi="宋体" w:eastAsia="宋体"/>
        </w:rPr>
        <w:t>标</w:t>
      </w:r>
      <w:r>
        <w:rPr>
          <w:rFonts w:hAnsi="宋体" w:eastAsia="宋体"/>
          <w:spacing w:val="-3"/>
        </w:rPr>
        <w:t>段：</w:t>
      </w:r>
      <w:r>
        <w:rPr>
          <w:rFonts w:hint="eastAsia" w:hAnsi="宋体" w:eastAsia="宋体"/>
          <w:spacing w:val="-3"/>
        </w:rPr>
        <w:t xml:space="preserve">           </w:t>
      </w:r>
      <w:r>
        <w:rPr>
          <w:rFonts w:hAnsi="宋体" w:eastAsia="宋体"/>
        </w:rPr>
        <w:t>第</w:t>
      </w:r>
      <w:r>
        <w:rPr>
          <w:rFonts w:hint="eastAsia" w:hAnsi="宋体" w:eastAsia="宋体"/>
        </w:rPr>
        <w:t xml:space="preserve">  </w:t>
      </w:r>
      <w:r>
        <w:rPr>
          <w:rFonts w:hAnsi="宋体" w:eastAsia="宋体"/>
        </w:rPr>
        <w:t>页</w:t>
      </w:r>
      <w:r>
        <w:rPr>
          <w:rFonts w:hint="eastAsia" w:hAnsi="宋体" w:eastAsia="宋体"/>
        </w:rPr>
        <w:t xml:space="preserve">        </w:t>
      </w:r>
      <w:r>
        <w:rPr>
          <w:rFonts w:hAnsi="宋体" w:eastAsia="宋体"/>
        </w:rPr>
        <w:t>共</w:t>
      </w:r>
      <w:r>
        <w:rPr>
          <w:rFonts w:hint="eastAsia" w:hAnsi="宋体" w:eastAsia="宋体"/>
        </w:rPr>
        <w:t xml:space="preserve">  </w:t>
      </w:r>
      <w:r>
        <w:rPr>
          <w:rFonts w:hAnsi="宋体" w:eastAsia="宋体"/>
        </w:rPr>
        <w:t>页</w:t>
      </w:r>
    </w:p>
    <w:p>
      <w:pPr>
        <w:spacing w:before="9" w:line="40" w:lineRule="exact"/>
        <w:rPr>
          <w:sz w:val="4"/>
          <w:szCs w:val="4"/>
        </w:rPr>
      </w:pPr>
    </w:p>
    <w:tbl>
      <w:tblPr>
        <w:tblStyle w:val="57"/>
        <w:tblW w:w="9229" w:type="dxa"/>
        <w:jc w:val="center"/>
        <w:tblLayout w:type="fixed"/>
        <w:tblCellMar>
          <w:top w:w="0" w:type="dxa"/>
          <w:left w:w="0" w:type="dxa"/>
          <w:bottom w:w="0" w:type="dxa"/>
          <w:right w:w="0" w:type="dxa"/>
        </w:tblCellMar>
      </w:tblPr>
      <w:tblGrid>
        <w:gridCol w:w="648"/>
        <w:gridCol w:w="1060"/>
        <w:gridCol w:w="1787"/>
        <w:gridCol w:w="566"/>
        <w:gridCol w:w="659"/>
        <w:gridCol w:w="630"/>
        <w:gridCol w:w="574"/>
        <w:gridCol w:w="525"/>
        <w:gridCol w:w="549"/>
        <w:gridCol w:w="485"/>
        <w:gridCol w:w="525"/>
        <w:gridCol w:w="525"/>
        <w:gridCol w:w="696"/>
      </w:tblGrid>
      <w:tr>
        <w:tblPrEx>
          <w:tblCellMar>
            <w:top w:w="0" w:type="dxa"/>
            <w:left w:w="0" w:type="dxa"/>
            <w:bottom w:w="0" w:type="dxa"/>
            <w:right w:w="0" w:type="dxa"/>
          </w:tblCellMar>
        </w:tblPrEx>
        <w:trPr>
          <w:trHeight w:val="605" w:hRule="exact"/>
          <w:jc w:val="center"/>
        </w:trPr>
        <w:tc>
          <w:tcPr>
            <w:tcW w:w="648" w:type="dxa"/>
            <w:vMerge w:val="restart"/>
            <w:tcBorders>
              <w:top w:val="single" w:color="000000" w:sz="4" w:space="0"/>
              <w:left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r>
              <w:rPr>
                <w:rFonts w:ascii="Times New Roman" w:hAnsi="宋体" w:cs="Times New Roman"/>
                <w:sz w:val="18"/>
                <w:szCs w:val="18"/>
              </w:rPr>
              <w:t>序号</w:t>
            </w:r>
          </w:p>
        </w:tc>
        <w:tc>
          <w:tcPr>
            <w:tcW w:w="1060" w:type="dxa"/>
            <w:vMerge w:val="restart"/>
            <w:tcBorders>
              <w:top w:val="single" w:color="000000" w:sz="4" w:space="0"/>
              <w:left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材料编码</w:t>
            </w:r>
          </w:p>
        </w:tc>
        <w:tc>
          <w:tcPr>
            <w:tcW w:w="1787" w:type="dxa"/>
            <w:vMerge w:val="restart"/>
            <w:tcBorders>
              <w:top w:val="single" w:color="000000" w:sz="4" w:space="0"/>
              <w:left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材料（工程设备）名称、规格、型号</w:t>
            </w:r>
          </w:p>
        </w:tc>
        <w:tc>
          <w:tcPr>
            <w:tcW w:w="566" w:type="dxa"/>
            <w:vMerge w:val="restart"/>
            <w:tcBorders>
              <w:top w:val="single" w:color="000000" w:sz="4" w:space="0"/>
              <w:left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r>
              <w:rPr>
                <w:rFonts w:ascii="Times New Roman" w:hAnsi="宋体" w:cs="Times New Roman"/>
                <w:sz w:val="18"/>
                <w:szCs w:val="18"/>
              </w:rPr>
              <w:t>计量单位</w:t>
            </w:r>
          </w:p>
        </w:tc>
        <w:tc>
          <w:tcPr>
            <w:tcW w:w="1289" w:type="dxa"/>
            <w:gridSpan w:val="2"/>
            <w:tcBorders>
              <w:top w:val="single" w:color="000000" w:sz="4" w:space="0"/>
              <w:left w:val="single" w:color="000000" w:sz="4" w:space="0"/>
              <w:bottom w:val="single" w:color="auto"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数量</w:t>
            </w:r>
          </w:p>
        </w:tc>
        <w:tc>
          <w:tcPr>
            <w:tcW w:w="1099" w:type="dxa"/>
            <w:gridSpan w:val="2"/>
            <w:tcBorders>
              <w:top w:val="single" w:color="000000" w:sz="4" w:space="0"/>
              <w:left w:val="single" w:color="auto" w:sz="4" w:space="0"/>
              <w:bottom w:val="single" w:color="auto"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r>
              <w:rPr>
                <w:rFonts w:ascii="Times New Roman" w:hAnsi="宋体" w:cs="Times New Roman"/>
                <w:sz w:val="18"/>
                <w:szCs w:val="18"/>
                <w:lang w:eastAsia="zh-CN"/>
              </w:rPr>
              <w:t>暂估</w:t>
            </w:r>
            <w:r>
              <w:rPr>
                <w:rFonts w:ascii="Times New Roman" w:hAnsi="宋体" w:cs="Times New Roman"/>
                <w:sz w:val="18"/>
                <w:szCs w:val="18"/>
              </w:rPr>
              <w:t>（元）</w:t>
            </w:r>
          </w:p>
        </w:tc>
        <w:tc>
          <w:tcPr>
            <w:tcW w:w="1034" w:type="dxa"/>
            <w:gridSpan w:val="2"/>
            <w:tcBorders>
              <w:top w:val="single" w:color="000000" w:sz="4" w:space="0"/>
              <w:left w:val="single" w:color="auto" w:sz="4" w:space="0"/>
              <w:bottom w:val="single" w:color="auto"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r>
              <w:rPr>
                <w:rFonts w:ascii="Times New Roman" w:hAnsi="宋体" w:cs="Times New Roman"/>
                <w:sz w:val="18"/>
                <w:szCs w:val="18"/>
                <w:lang w:eastAsia="zh-CN"/>
              </w:rPr>
              <w:t>确认</w:t>
            </w:r>
            <w:r>
              <w:rPr>
                <w:rFonts w:ascii="Times New Roman" w:hAnsi="宋体" w:cs="Times New Roman"/>
                <w:sz w:val="18"/>
                <w:szCs w:val="18"/>
              </w:rPr>
              <w:t>（元）</w:t>
            </w:r>
          </w:p>
        </w:tc>
        <w:tc>
          <w:tcPr>
            <w:tcW w:w="1050" w:type="dxa"/>
            <w:gridSpan w:val="2"/>
            <w:tcBorders>
              <w:top w:val="single" w:color="000000" w:sz="4" w:space="0"/>
              <w:left w:val="single" w:color="000000" w:sz="4" w:space="0"/>
              <w:bottom w:val="single" w:color="auto"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r>
              <w:rPr>
                <w:rFonts w:ascii="Times New Roman" w:hAnsi="宋体" w:cs="Times New Roman"/>
                <w:sz w:val="18"/>
                <w:szCs w:val="18"/>
                <w:lang w:eastAsia="zh-CN"/>
              </w:rPr>
              <w:t>差额</w:t>
            </w:r>
            <w:r>
              <w:rPr>
                <w:rFonts w:ascii="Times New Roman" w:hAnsi="Times New Roman" w:cs="Times New Roman"/>
                <w:sz w:val="18"/>
                <w:szCs w:val="18"/>
                <w:lang w:eastAsia="zh-CN"/>
              </w:rPr>
              <w:t>±</w:t>
            </w:r>
            <w:r>
              <w:rPr>
                <w:rFonts w:ascii="Times New Roman" w:hAnsi="宋体" w:cs="Times New Roman"/>
                <w:sz w:val="18"/>
                <w:szCs w:val="18"/>
              </w:rPr>
              <w:t>（元）</w:t>
            </w:r>
          </w:p>
        </w:tc>
        <w:tc>
          <w:tcPr>
            <w:tcW w:w="696" w:type="dxa"/>
            <w:vMerge w:val="restart"/>
            <w:tcBorders>
              <w:top w:val="single" w:color="000000" w:sz="4" w:space="0"/>
              <w:left w:val="single" w:color="auto"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r>
              <w:rPr>
                <w:rFonts w:ascii="Times New Roman" w:hAnsi="宋体" w:cs="Times New Roman"/>
                <w:sz w:val="18"/>
                <w:szCs w:val="18"/>
              </w:rPr>
              <w:t>备注</w:t>
            </w:r>
          </w:p>
        </w:tc>
      </w:tr>
      <w:tr>
        <w:tblPrEx>
          <w:tblCellMar>
            <w:top w:w="0" w:type="dxa"/>
            <w:left w:w="0" w:type="dxa"/>
            <w:bottom w:w="0" w:type="dxa"/>
            <w:right w:w="0" w:type="dxa"/>
          </w:tblCellMar>
        </w:tblPrEx>
        <w:trPr>
          <w:trHeight w:val="438" w:hRule="exact"/>
          <w:jc w:val="center"/>
        </w:trPr>
        <w:tc>
          <w:tcPr>
            <w:tcW w:w="648" w:type="dxa"/>
            <w:vMerge w:val="continue"/>
            <w:tcBorders>
              <w:left w:val="single" w:color="000000" w:sz="4" w:space="0"/>
              <w:bottom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p>
        </w:tc>
        <w:tc>
          <w:tcPr>
            <w:tcW w:w="1060" w:type="dxa"/>
            <w:vMerge w:val="continue"/>
            <w:tcBorders>
              <w:left w:val="single" w:color="000000" w:sz="4" w:space="0"/>
              <w:bottom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p>
        </w:tc>
        <w:tc>
          <w:tcPr>
            <w:tcW w:w="1787" w:type="dxa"/>
            <w:vMerge w:val="continue"/>
            <w:tcBorders>
              <w:left w:val="single" w:color="000000" w:sz="4" w:space="0"/>
              <w:bottom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p>
        </w:tc>
        <w:tc>
          <w:tcPr>
            <w:tcW w:w="566" w:type="dxa"/>
            <w:vMerge w:val="continue"/>
            <w:tcBorders>
              <w:left w:val="single" w:color="000000" w:sz="4" w:space="0"/>
              <w:bottom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p>
        </w:tc>
        <w:tc>
          <w:tcPr>
            <w:tcW w:w="659" w:type="dxa"/>
            <w:tcBorders>
              <w:top w:val="single" w:color="auto" w:sz="4" w:space="0"/>
              <w:left w:val="single" w:color="000000"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投标</w:t>
            </w:r>
          </w:p>
        </w:tc>
        <w:tc>
          <w:tcPr>
            <w:tcW w:w="630" w:type="dxa"/>
            <w:tcBorders>
              <w:top w:val="single" w:color="auto"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确认</w:t>
            </w:r>
          </w:p>
        </w:tc>
        <w:tc>
          <w:tcPr>
            <w:tcW w:w="574" w:type="dxa"/>
            <w:tcBorders>
              <w:top w:val="single" w:color="auto"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单价</w:t>
            </w:r>
          </w:p>
        </w:tc>
        <w:tc>
          <w:tcPr>
            <w:tcW w:w="525" w:type="dxa"/>
            <w:tcBorders>
              <w:top w:val="single" w:color="auto"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合价</w:t>
            </w:r>
          </w:p>
        </w:tc>
        <w:tc>
          <w:tcPr>
            <w:tcW w:w="549" w:type="dxa"/>
            <w:tcBorders>
              <w:top w:val="single" w:color="auto"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单价</w:t>
            </w:r>
          </w:p>
        </w:tc>
        <w:tc>
          <w:tcPr>
            <w:tcW w:w="485" w:type="dxa"/>
            <w:tcBorders>
              <w:top w:val="single" w:color="auto" w:sz="4" w:space="0"/>
              <w:left w:val="single" w:color="auto" w:sz="4" w:space="0"/>
              <w:bottom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合价</w:t>
            </w:r>
          </w:p>
        </w:tc>
        <w:tc>
          <w:tcPr>
            <w:tcW w:w="525" w:type="dxa"/>
            <w:tcBorders>
              <w:top w:val="single" w:color="auto" w:sz="4" w:space="0"/>
              <w:left w:val="single" w:color="000000"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单价</w:t>
            </w:r>
          </w:p>
        </w:tc>
        <w:tc>
          <w:tcPr>
            <w:tcW w:w="525" w:type="dxa"/>
            <w:tcBorders>
              <w:top w:val="single" w:color="auto"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lang w:eastAsia="zh-CN"/>
              </w:rPr>
            </w:pPr>
            <w:r>
              <w:rPr>
                <w:rFonts w:ascii="Times New Roman" w:hAnsi="宋体" w:cs="Times New Roman"/>
                <w:sz w:val="18"/>
                <w:szCs w:val="18"/>
                <w:lang w:eastAsia="zh-CN"/>
              </w:rPr>
              <w:t>合价</w:t>
            </w:r>
          </w:p>
        </w:tc>
        <w:tc>
          <w:tcPr>
            <w:tcW w:w="696" w:type="dxa"/>
            <w:vMerge w:val="continue"/>
            <w:tcBorders>
              <w:left w:val="single" w:color="auto" w:sz="4" w:space="0"/>
              <w:bottom w:val="single" w:color="000000" w:sz="4" w:space="0"/>
              <w:right w:val="single" w:color="000000" w:sz="4" w:space="0"/>
            </w:tcBorders>
            <w:tcMar>
              <w:top w:w="28" w:type="dxa"/>
              <w:left w:w="28" w:type="dxa"/>
              <w:bottom w:w="28" w:type="dxa"/>
              <w:right w:w="28" w:type="dxa"/>
            </w:tcMar>
            <w:vAlign w:val="center"/>
          </w:tcPr>
          <w:p>
            <w:pPr>
              <w:pStyle w:val="78"/>
              <w:spacing w:line="300" w:lineRule="exact"/>
              <w:jc w:val="center"/>
              <w:rPr>
                <w:rFonts w:ascii="Times New Roman" w:hAnsi="Times New Roman" w:cs="Times New Roman"/>
                <w:sz w:val="18"/>
                <w:szCs w:val="18"/>
              </w:rPr>
            </w:p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tcMar>
              <w:top w:w="28" w:type="dxa"/>
              <w:left w:w="28" w:type="dxa"/>
              <w:bottom w:w="28" w:type="dxa"/>
              <w:right w:w="28" w:type="dxa"/>
            </w:tcMar>
            <w:vAlign w:val="center"/>
          </w:tcPr>
          <w:p>
            <w:pPr>
              <w:spacing w:line="300" w:lineRule="exact"/>
            </w:pPr>
          </w:p>
        </w:tc>
        <w:tc>
          <w:tcPr>
            <w:tcW w:w="1060" w:type="dxa"/>
            <w:tcBorders>
              <w:top w:val="single" w:color="000000" w:sz="4" w:space="0"/>
              <w:left w:val="single" w:color="000000" w:sz="4" w:space="0"/>
              <w:bottom w:val="single" w:color="000000" w:sz="4" w:space="0"/>
              <w:right w:val="single" w:color="000000" w:sz="4" w:space="0"/>
            </w:tcBorders>
            <w:tcMar>
              <w:top w:w="28" w:type="dxa"/>
              <w:left w:w="28" w:type="dxa"/>
              <w:bottom w:w="28" w:type="dxa"/>
              <w:right w:w="28" w:type="dxa"/>
            </w:tcMar>
          </w:tcPr>
          <w:p>
            <w:pPr>
              <w:spacing w:line="300" w:lineRule="exact"/>
            </w:pPr>
          </w:p>
        </w:tc>
        <w:tc>
          <w:tcPr>
            <w:tcW w:w="1787" w:type="dxa"/>
            <w:tcBorders>
              <w:top w:val="single" w:color="000000" w:sz="4" w:space="0"/>
              <w:left w:val="single" w:color="000000" w:sz="4" w:space="0"/>
              <w:bottom w:val="single" w:color="000000" w:sz="4" w:space="0"/>
              <w:right w:val="single" w:color="000000" w:sz="4" w:space="0"/>
            </w:tcBorders>
            <w:tcMar>
              <w:top w:w="28" w:type="dxa"/>
              <w:left w:w="28" w:type="dxa"/>
              <w:bottom w:w="28" w:type="dxa"/>
              <w:right w:w="28" w:type="dxa"/>
            </w:tcMar>
            <w:vAlign w:val="center"/>
          </w:tcPr>
          <w:p>
            <w:pPr>
              <w:spacing w:line="300" w:lineRule="exact"/>
            </w:pPr>
          </w:p>
        </w:tc>
        <w:tc>
          <w:tcPr>
            <w:tcW w:w="566" w:type="dxa"/>
            <w:tcBorders>
              <w:top w:val="single" w:color="000000" w:sz="4" w:space="0"/>
              <w:left w:val="single" w:color="000000" w:sz="4" w:space="0"/>
              <w:bottom w:val="single" w:color="000000" w:sz="4" w:space="0"/>
              <w:right w:val="single" w:color="000000" w:sz="4" w:space="0"/>
            </w:tcBorders>
            <w:tcMar>
              <w:top w:w="28" w:type="dxa"/>
              <w:left w:w="28" w:type="dxa"/>
              <w:bottom w:w="28" w:type="dxa"/>
              <w:right w:w="28" w:type="dxa"/>
            </w:tcMar>
            <w:vAlign w:val="center"/>
          </w:tcPr>
          <w:p>
            <w:pPr>
              <w:spacing w:line="300" w:lineRule="exact"/>
            </w:pPr>
          </w:p>
        </w:tc>
        <w:tc>
          <w:tcPr>
            <w:tcW w:w="659" w:type="dxa"/>
            <w:tcBorders>
              <w:top w:val="single" w:color="000000" w:sz="4" w:space="0"/>
              <w:left w:val="single" w:color="000000"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630" w:type="dxa"/>
            <w:tcBorders>
              <w:top w:val="single" w:color="000000"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574" w:type="dxa"/>
            <w:tcBorders>
              <w:top w:val="single" w:color="000000"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525" w:type="dxa"/>
            <w:tcBorders>
              <w:top w:val="single" w:color="000000"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549" w:type="dxa"/>
            <w:tcBorders>
              <w:top w:val="single" w:color="000000"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485" w:type="dxa"/>
            <w:tcBorders>
              <w:top w:val="single" w:color="000000" w:sz="4" w:space="0"/>
              <w:left w:val="single" w:color="auto" w:sz="4" w:space="0"/>
              <w:bottom w:val="single" w:color="000000" w:sz="4" w:space="0"/>
              <w:right w:val="single" w:color="000000" w:sz="4" w:space="0"/>
            </w:tcBorders>
            <w:tcMar>
              <w:top w:w="28" w:type="dxa"/>
              <w:left w:w="28" w:type="dxa"/>
              <w:bottom w:w="28" w:type="dxa"/>
              <w:right w:w="28" w:type="dxa"/>
            </w:tcMar>
            <w:vAlign w:val="center"/>
          </w:tcPr>
          <w:p>
            <w:pPr>
              <w:spacing w:line="300" w:lineRule="exact"/>
            </w:pPr>
          </w:p>
        </w:tc>
        <w:tc>
          <w:tcPr>
            <w:tcW w:w="525" w:type="dxa"/>
            <w:tcBorders>
              <w:top w:val="single" w:color="000000" w:sz="4" w:space="0"/>
              <w:left w:val="single" w:color="000000"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525" w:type="dxa"/>
            <w:tcBorders>
              <w:top w:val="single" w:color="000000" w:sz="4" w:space="0"/>
              <w:left w:val="single" w:color="auto" w:sz="4" w:space="0"/>
              <w:bottom w:val="single" w:color="000000" w:sz="4" w:space="0"/>
              <w:right w:val="single" w:color="auto" w:sz="4" w:space="0"/>
            </w:tcBorders>
            <w:tcMar>
              <w:top w:w="28" w:type="dxa"/>
              <w:left w:w="28" w:type="dxa"/>
              <w:bottom w:w="28" w:type="dxa"/>
              <w:right w:w="28" w:type="dxa"/>
            </w:tcMar>
            <w:vAlign w:val="center"/>
          </w:tcPr>
          <w:p>
            <w:pPr>
              <w:spacing w:line="300" w:lineRule="exact"/>
            </w:pPr>
          </w:p>
        </w:tc>
        <w:tc>
          <w:tcPr>
            <w:tcW w:w="696" w:type="dxa"/>
            <w:tcBorders>
              <w:top w:val="single" w:color="000000" w:sz="4" w:space="0"/>
              <w:left w:val="single" w:color="auto" w:sz="4" w:space="0"/>
              <w:bottom w:val="single" w:color="000000" w:sz="4" w:space="0"/>
              <w:right w:val="single" w:color="000000" w:sz="4" w:space="0"/>
            </w:tcBorders>
            <w:tcMar>
              <w:top w:w="28" w:type="dxa"/>
              <w:left w:w="28" w:type="dxa"/>
              <w:bottom w:w="28" w:type="dxa"/>
              <w:right w:w="28" w:type="dxa"/>
            </w:tcMar>
            <w:vAlign w:val="center"/>
          </w:tcPr>
          <w:p>
            <w:pPr>
              <w:spacing w:line="300" w:lineRule="exact"/>
            </w:p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6"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3"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6"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648" w:type="dxa"/>
            <w:tcBorders>
              <w:top w:val="single" w:color="000000" w:sz="4" w:space="0"/>
              <w:left w:val="single" w:color="000000" w:sz="4" w:space="0"/>
              <w:bottom w:val="single" w:color="000000" w:sz="4" w:space="0"/>
              <w:right w:val="single" w:color="000000" w:sz="4" w:space="0"/>
            </w:tcBorders>
            <w:vAlign w:val="center"/>
          </w:tcPr>
          <w:p/>
        </w:tc>
        <w:tc>
          <w:tcPr>
            <w:tcW w:w="1060" w:type="dxa"/>
            <w:tcBorders>
              <w:top w:val="single" w:color="000000" w:sz="4" w:space="0"/>
              <w:left w:val="single" w:color="000000" w:sz="4" w:space="0"/>
              <w:bottom w:val="single" w:color="000000" w:sz="4" w:space="0"/>
              <w:right w:val="single" w:color="000000" w:sz="4" w:space="0"/>
            </w:tcBorders>
          </w:tcPr>
          <w:p/>
        </w:tc>
        <w:tc>
          <w:tcPr>
            <w:tcW w:w="1787" w:type="dxa"/>
            <w:tcBorders>
              <w:top w:val="single" w:color="000000" w:sz="4" w:space="0"/>
              <w:left w:val="single" w:color="000000" w:sz="4" w:space="0"/>
              <w:bottom w:val="single" w:color="000000" w:sz="4" w:space="0"/>
              <w:right w:val="single" w:color="000000" w:sz="4" w:space="0"/>
            </w:tcBorders>
            <w:vAlign w:val="center"/>
          </w:tcPr>
          <w:p/>
        </w:tc>
        <w:tc>
          <w:tcPr>
            <w:tcW w:w="566" w:type="dxa"/>
            <w:tcBorders>
              <w:top w:val="single" w:color="000000" w:sz="4" w:space="0"/>
              <w:left w:val="single" w:color="000000" w:sz="4" w:space="0"/>
              <w:bottom w:val="single" w:color="000000" w:sz="4" w:space="0"/>
              <w:right w:val="single" w:color="000000" w:sz="4" w:space="0"/>
            </w:tcBorders>
            <w:vAlign w:val="center"/>
          </w:tcPr>
          <w:p/>
        </w:tc>
        <w:tc>
          <w:tcPr>
            <w:tcW w:w="659" w:type="dxa"/>
            <w:tcBorders>
              <w:top w:val="single" w:color="000000" w:sz="4" w:space="0"/>
              <w:left w:val="single" w:color="000000" w:sz="4" w:space="0"/>
              <w:bottom w:val="single" w:color="000000" w:sz="4" w:space="0"/>
              <w:right w:val="single" w:color="auto" w:sz="4" w:space="0"/>
            </w:tcBorders>
            <w:vAlign w:val="center"/>
          </w:tcPr>
          <w:p/>
        </w:tc>
        <w:tc>
          <w:tcPr>
            <w:tcW w:w="630" w:type="dxa"/>
            <w:tcBorders>
              <w:top w:val="single" w:color="000000" w:sz="4" w:space="0"/>
              <w:left w:val="single" w:color="auto" w:sz="4" w:space="0"/>
              <w:bottom w:val="single" w:color="000000" w:sz="4" w:space="0"/>
              <w:right w:val="single" w:color="auto" w:sz="4" w:space="0"/>
            </w:tcBorders>
            <w:vAlign w:val="center"/>
          </w:tcPr>
          <w:p/>
        </w:tc>
        <w:tc>
          <w:tcPr>
            <w:tcW w:w="574" w:type="dxa"/>
            <w:tcBorders>
              <w:top w:val="single" w:color="000000" w:sz="4" w:space="0"/>
              <w:left w:val="single" w:color="auto"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549" w:type="dxa"/>
            <w:tcBorders>
              <w:top w:val="single" w:color="000000" w:sz="4" w:space="0"/>
              <w:left w:val="single" w:color="auto" w:sz="4" w:space="0"/>
              <w:bottom w:val="single" w:color="000000" w:sz="4" w:space="0"/>
              <w:right w:val="single" w:color="auto" w:sz="4" w:space="0"/>
            </w:tcBorders>
            <w:vAlign w:val="center"/>
          </w:tcPr>
          <w:p/>
        </w:tc>
        <w:tc>
          <w:tcPr>
            <w:tcW w:w="485" w:type="dxa"/>
            <w:tcBorders>
              <w:top w:val="single" w:color="000000" w:sz="4" w:space="0"/>
              <w:left w:val="single" w:color="auto" w:sz="4" w:space="0"/>
              <w:bottom w:val="single" w:color="000000" w:sz="4" w:space="0"/>
              <w:right w:val="single" w:color="000000" w:sz="4" w:space="0"/>
            </w:tcBorders>
            <w:vAlign w:val="center"/>
          </w:tcPr>
          <w:p/>
        </w:tc>
        <w:tc>
          <w:tcPr>
            <w:tcW w:w="525" w:type="dxa"/>
            <w:tcBorders>
              <w:top w:val="single" w:color="000000" w:sz="4" w:space="0"/>
              <w:left w:val="single" w:color="000000" w:sz="4" w:space="0"/>
              <w:bottom w:val="single" w:color="000000" w:sz="4" w:space="0"/>
              <w:right w:val="single" w:color="auto" w:sz="4" w:space="0"/>
            </w:tcBorders>
            <w:vAlign w:val="center"/>
          </w:tcPr>
          <w:p/>
        </w:tc>
        <w:tc>
          <w:tcPr>
            <w:tcW w:w="525" w:type="dxa"/>
            <w:tcBorders>
              <w:top w:val="single" w:color="000000" w:sz="4" w:space="0"/>
              <w:left w:val="single" w:color="auto"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775" w:hRule="exact"/>
          <w:jc w:val="center"/>
        </w:trPr>
        <w:tc>
          <w:tcPr>
            <w:tcW w:w="5350" w:type="dxa"/>
            <w:gridSpan w:val="6"/>
            <w:tcBorders>
              <w:top w:val="single" w:color="000000" w:sz="4" w:space="0"/>
              <w:left w:val="single" w:color="000000" w:sz="4" w:space="0"/>
              <w:bottom w:val="single" w:color="000000" w:sz="4" w:space="0"/>
              <w:right w:val="single" w:color="auto" w:sz="4" w:space="0"/>
            </w:tcBorders>
            <w:vAlign w:val="center"/>
          </w:tcPr>
          <w:p>
            <w:pPr>
              <w:jc w:val="center"/>
            </w:pPr>
            <w:r>
              <w:rPr>
                <w:rFonts w:hAnsi="宋体"/>
              </w:rPr>
              <w:t>合计</w:t>
            </w:r>
          </w:p>
        </w:tc>
        <w:tc>
          <w:tcPr>
            <w:tcW w:w="1099" w:type="dxa"/>
            <w:gridSpan w:val="2"/>
            <w:tcBorders>
              <w:top w:val="single" w:color="000000" w:sz="4" w:space="0"/>
              <w:left w:val="single" w:color="auto" w:sz="4" w:space="0"/>
              <w:bottom w:val="single" w:color="000000" w:sz="4" w:space="0"/>
              <w:right w:val="single" w:color="auto" w:sz="4" w:space="0"/>
            </w:tcBorders>
            <w:vAlign w:val="center"/>
          </w:tcPr>
          <w:p/>
        </w:tc>
        <w:tc>
          <w:tcPr>
            <w:tcW w:w="1034" w:type="dxa"/>
            <w:gridSpan w:val="2"/>
            <w:tcBorders>
              <w:top w:val="single" w:color="000000" w:sz="4" w:space="0"/>
              <w:left w:val="single" w:color="auto" w:sz="4" w:space="0"/>
              <w:bottom w:val="single" w:color="000000" w:sz="4" w:space="0"/>
              <w:right w:val="single" w:color="000000" w:sz="4" w:space="0"/>
            </w:tcBorders>
            <w:vAlign w:val="center"/>
          </w:tcPr>
          <w:p/>
        </w:tc>
        <w:tc>
          <w:tcPr>
            <w:tcW w:w="1050" w:type="dxa"/>
            <w:gridSpan w:val="2"/>
            <w:tcBorders>
              <w:top w:val="single" w:color="000000" w:sz="4" w:space="0"/>
              <w:left w:val="single" w:color="000000" w:sz="4" w:space="0"/>
              <w:bottom w:val="single" w:color="000000" w:sz="4" w:space="0"/>
              <w:right w:val="single" w:color="auto" w:sz="4" w:space="0"/>
            </w:tcBorders>
            <w:vAlign w:val="center"/>
          </w:tcPr>
          <w:p/>
        </w:tc>
        <w:tc>
          <w:tcPr>
            <w:tcW w:w="696" w:type="dxa"/>
            <w:tcBorders>
              <w:top w:val="single" w:color="000000" w:sz="4" w:space="0"/>
              <w:left w:val="single" w:color="auto" w:sz="4" w:space="0"/>
              <w:bottom w:val="single" w:color="000000" w:sz="4" w:space="0"/>
              <w:right w:val="single" w:color="000000" w:sz="4" w:space="0"/>
            </w:tcBorders>
            <w:vAlign w:val="center"/>
          </w:tcPr>
          <w:p/>
        </w:tc>
      </w:tr>
    </w:tbl>
    <w:p>
      <w:pPr>
        <w:spacing w:line="243" w:lineRule="exact"/>
        <w:ind w:firstLine="270" w:firstLineChars="150"/>
        <w:rPr>
          <w:sz w:val="18"/>
          <w:szCs w:val="18"/>
        </w:rPr>
      </w:pPr>
      <w:r>
        <w:rPr>
          <w:rFonts w:hAnsi="宋体"/>
          <w:sz w:val="18"/>
          <w:szCs w:val="18"/>
        </w:rPr>
        <w:t>注</w:t>
      </w:r>
      <w:r>
        <w:rPr>
          <w:rFonts w:hAnsi="宋体"/>
          <w:spacing w:val="-22"/>
          <w:sz w:val="18"/>
          <w:szCs w:val="18"/>
        </w:rPr>
        <w:t>：</w:t>
      </w:r>
      <w:r>
        <w:rPr>
          <w:spacing w:val="-22"/>
          <w:sz w:val="18"/>
          <w:szCs w:val="18"/>
        </w:rPr>
        <w:t>1</w:t>
      </w:r>
      <w:r>
        <w:rPr>
          <w:rFonts w:hAnsi="宋体"/>
          <w:spacing w:val="-22"/>
          <w:sz w:val="18"/>
          <w:szCs w:val="18"/>
        </w:rPr>
        <w:t>、</w:t>
      </w:r>
      <w:r>
        <w:rPr>
          <w:rFonts w:hAnsi="宋体"/>
          <w:sz w:val="18"/>
          <w:szCs w:val="18"/>
        </w:rPr>
        <w:t>此表由招标人填写</w:t>
      </w:r>
      <w:r>
        <w:rPr>
          <w:sz w:val="18"/>
          <w:szCs w:val="18"/>
        </w:rPr>
        <w:t>“</w:t>
      </w:r>
      <w:r>
        <w:rPr>
          <w:rFonts w:hAnsi="宋体"/>
          <w:sz w:val="18"/>
          <w:szCs w:val="18"/>
        </w:rPr>
        <w:t>材料编码</w:t>
      </w:r>
      <w:r>
        <w:rPr>
          <w:sz w:val="18"/>
          <w:szCs w:val="18"/>
        </w:rPr>
        <w:t>”</w:t>
      </w:r>
      <w:r>
        <w:rPr>
          <w:rFonts w:hAnsi="宋体"/>
          <w:sz w:val="18"/>
          <w:szCs w:val="18"/>
        </w:rPr>
        <w:t>、</w:t>
      </w:r>
      <w:r>
        <w:rPr>
          <w:sz w:val="18"/>
          <w:szCs w:val="18"/>
        </w:rPr>
        <w:t>“</w:t>
      </w:r>
      <w:r>
        <w:rPr>
          <w:rFonts w:hAnsi="宋体"/>
          <w:sz w:val="18"/>
          <w:szCs w:val="18"/>
        </w:rPr>
        <w:t>材料（工程设备）名称、规格、型号</w:t>
      </w:r>
      <w:r>
        <w:rPr>
          <w:sz w:val="18"/>
          <w:szCs w:val="18"/>
        </w:rPr>
        <w:t>”</w:t>
      </w:r>
      <w:r>
        <w:rPr>
          <w:rFonts w:hAnsi="宋体"/>
          <w:sz w:val="18"/>
          <w:szCs w:val="18"/>
        </w:rPr>
        <w:t>、</w:t>
      </w:r>
      <w:r>
        <w:rPr>
          <w:sz w:val="18"/>
          <w:szCs w:val="18"/>
        </w:rPr>
        <w:t>“</w:t>
      </w:r>
      <w:r>
        <w:rPr>
          <w:rFonts w:hAnsi="宋体"/>
          <w:sz w:val="18"/>
          <w:szCs w:val="18"/>
        </w:rPr>
        <w:t>计量单位</w:t>
      </w:r>
      <w:r>
        <w:rPr>
          <w:sz w:val="18"/>
          <w:szCs w:val="18"/>
        </w:rPr>
        <w:t>”</w:t>
      </w:r>
      <w:r>
        <w:rPr>
          <w:rFonts w:hAnsi="宋体"/>
          <w:sz w:val="18"/>
          <w:szCs w:val="18"/>
        </w:rPr>
        <w:t>、</w:t>
      </w:r>
      <w:r>
        <w:rPr>
          <w:sz w:val="18"/>
          <w:szCs w:val="18"/>
        </w:rPr>
        <w:t>“</w:t>
      </w:r>
      <w:r>
        <w:rPr>
          <w:rFonts w:hAnsi="宋体"/>
          <w:sz w:val="18"/>
          <w:szCs w:val="18"/>
        </w:rPr>
        <w:t>暂估单价</w:t>
      </w:r>
      <w:r>
        <w:rPr>
          <w:sz w:val="18"/>
          <w:szCs w:val="18"/>
        </w:rPr>
        <w:t>”</w:t>
      </w:r>
      <w:r>
        <w:rPr>
          <w:rFonts w:hAnsi="宋体"/>
          <w:spacing w:val="-22"/>
          <w:sz w:val="18"/>
          <w:szCs w:val="18"/>
        </w:rPr>
        <w:t>，</w:t>
      </w:r>
      <w:r>
        <w:rPr>
          <w:rFonts w:hAnsi="宋体"/>
          <w:sz w:val="18"/>
          <w:szCs w:val="18"/>
        </w:rPr>
        <w:t>并在备注栏说明暂估价的材料、工程设备拟用在那些清单项目上</w:t>
      </w:r>
      <w:r>
        <w:rPr>
          <w:rFonts w:hAnsi="宋体"/>
          <w:spacing w:val="-22"/>
          <w:sz w:val="18"/>
          <w:szCs w:val="18"/>
        </w:rPr>
        <w:t>，</w:t>
      </w:r>
      <w:r>
        <w:rPr>
          <w:rFonts w:hAnsi="宋体"/>
          <w:sz w:val="18"/>
          <w:szCs w:val="18"/>
        </w:rPr>
        <w:t>投标人应将上述材料、工程设备暂估单价计入工程量清单综合单价报价中，并填写</w:t>
      </w:r>
      <w:r>
        <w:rPr>
          <w:sz w:val="18"/>
          <w:szCs w:val="18"/>
        </w:rPr>
        <w:t>“</w:t>
      </w:r>
      <w:r>
        <w:rPr>
          <w:rFonts w:hAnsi="宋体"/>
          <w:sz w:val="18"/>
          <w:szCs w:val="18"/>
        </w:rPr>
        <w:t>数量</w:t>
      </w:r>
      <w:r>
        <w:rPr>
          <w:sz w:val="18"/>
          <w:szCs w:val="18"/>
        </w:rPr>
        <w:t>”</w:t>
      </w:r>
      <w:r>
        <w:rPr>
          <w:rFonts w:hAnsi="宋体"/>
          <w:sz w:val="18"/>
          <w:szCs w:val="18"/>
        </w:rPr>
        <w:t>中的</w:t>
      </w:r>
      <w:r>
        <w:rPr>
          <w:sz w:val="18"/>
          <w:szCs w:val="18"/>
        </w:rPr>
        <w:t>“</w:t>
      </w:r>
      <w:r>
        <w:rPr>
          <w:rFonts w:hAnsi="宋体"/>
          <w:sz w:val="18"/>
          <w:szCs w:val="18"/>
        </w:rPr>
        <w:t>投标</w:t>
      </w:r>
      <w:r>
        <w:rPr>
          <w:sz w:val="18"/>
          <w:szCs w:val="18"/>
        </w:rPr>
        <w:t>”</w:t>
      </w:r>
      <w:r>
        <w:rPr>
          <w:rFonts w:hAnsi="宋体"/>
          <w:sz w:val="18"/>
          <w:szCs w:val="18"/>
        </w:rPr>
        <w:t>和</w:t>
      </w:r>
      <w:r>
        <w:rPr>
          <w:sz w:val="18"/>
          <w:szCs w:val="18"/>
        </w:rPr>
        <w:t>“</w:t>
      </w:r>
      <w:r>
        <w:rPr>
          <w:rFonts w:hAnsi="宋体"/>
          <w:sz w:val="18"/>
          <w:szCs w:val="18"/>
        </w:rPr>
        <w:t>暂估合价</w:t>
      </w:r>
      <w:r>
        <w:rPr>
          <w:sz w:val="18"/>
          <w:szCs w:val="18"/>
        </w:rPr>
        <w:t xml:space="preserve">” </w:t>
      </w:r>
      <w:r>
        <w:rPr>
          <w:rFonts w:hAnsi="宋体"/>
          <w:sz w:val="18"/>
          <w:szCs w:val="18"/>
        </w:rPr>
        <w:t>列。</w:t>
      </w:r>
    </w:p>
    <w:p>
      <w:pPr>
        <w:spacing w:line="243" w:lineRule="exact"/>
        <w:ind w:firstLine="270" w:firstLineChars="150"/>
        <w:rPr>
          <w:sz w:val="18"/>
          <w:szCs w:val="18"/>
        </w:rPr>
      </w:pPr>
      <w:r>
        <w:rPr>
          <w:sz w:val="18"/>
          <w:szCs w:val="18"/>
        </w:rPr>
        <w:t xml:space="preserve">    2</w:t>
      </w:r>
      <w:r>
        <w:rPr>
          <w:rFonts w:hAnsi="宋体"/>
          <w:sz w:val="18"/>
          <w:szCs w:val="18"/>
        </w:rPr>
        <w:t>、此表中所列暂估材料（工程设备）为暂时不能确定价格的材料（工程设备），不包含发包人供应材料（工程设备）。</w:t>
      </w:r>
    </w:p>
    <w:p>
      <w:pPr>
        <w:jc w:val="right"/>
        <w:rPr>
          <w:sz w:val="18"/>
          <w:szCs w:val="18"/>
        </w:rPr>
      </w:pPr>
      <w:r>
        <w:rPr>
          <w:rFonts w:hAnsi="宋体"/>
          <w:sz w:val="18"/>
          <w:szCs w:val="18"/>
        </w:rPr>
        <w:t>表</w:t>
      </w:r>
      <w:r>
        <w:rPr>
          <w:sz w:val="18"/>
          <w:szCs w:val="18"/>
        </w:rPr>
        <w:t>—12—2</w:t>
      </w:r>
    </w:p>
    <w:p>
      <w:pPr>
        <w:spacing w:line="243" w:lineRule="exact"/>
        <w:jc w:val="right"/>
        <w:rPr>
          <w:sz w:val="18"/>
          <w:szCs w:val="18"/>
        </w:rPr>
      </w:pPr>
    </w:p>
    <w:p>
      <w:pPr>
        <w:spacing w:line="243" w:lineRule="exact"/>
        <w:jc w:val="center"/>
        <w:rPr>
          <w:sz w:val="18"/>
          <w:szCs w:val="18"/>
        </w:rPr>
      </w:pPr>
    </w:p>
    <w:p>
      <w:pPr>
        <w:spacing w:line="243" w:lineRule="exact"/>
        <w:jc w:val="center"/>
        <w:rPr>
          <w:sz w:val="18"/>
          <w:szCs w:val="18"/>
        </w:rPr>
      </w:pPr>
    </w:p>
    <w:p>
      <w:pPr>
        <w:spacing w:line="243" w:lineRule="exact"/>
        <w:jc w:val="center"/>
        <w:rPr>
          <w:sz w:val="18"/>
          <w:szCs w:val="18"/>
        </w:rPr>
        <w:sectPr>
          <w:footerReference r:id="rId4" w:type="default"/>
          <w:footerReference r:id="rId5" w:type="even"/>
          <w:pgSz w:w="11907" w:h="16840"/>
          <w:pgMar w:top="1418" w:right="1361" w:bottom="1304" w:left="1361" w:header="0" w:footer="975" w:gutter="0"/>
          <w:cols w:space="720" w:num="1"/>
        </w:sectPr>
      </w:pPr>
    </w:p>
    <w:p>
      <w:pPr>
        <w:pStyle w:val="77"/>
        <w:tabs>
          <w:tab w:val="left" w:pos="707"/>
        </w:tabs>
        <w:jc w:val="center"/>
        <w:outlineLvl w:val="2"/>
        <w:rPr>
          <w:rFonts w:ascii="Times New Roman" w:hAnsi="Times New Roman" w:cs="Times New Roman"/>
          <w:b/>
          <w:spacing w:val="1"/>
          <w:lang w:eastAsia="zh-CN"/>
        </w:rPr>
      </w:pPr>
      <w:r>
        <w:rPr>
          <w:rFonts w:ascii="Times New Roman" w:cs="Times New Roman"/>
          <w:b/>
          <w:spacing w:val="1"/>
          <w:lang w:eastAsia="zh-CN"/>
        </w:rPr>
        <w:t>专业工程暂估价及结算价表</w:t>
      </w:r>
    </w:p>
    <w:p>
      <w:pPr>
        <w:pStyle w:val="77"/>
        <w:tabs>
          <w:tab w:val="left" w:pos="707"/>
        </w:tabs>
        <w:jc w:val="center"/>
        <w:outlineLvl w:val="2"/>
        <w:rPr>
          <w:rFonts w:ascii="Times New Roman" w:hAnsi="Times New Roman" w:cs="Times New Roman"/>
          <w:b/>
          <w:spacing w:val="1"/>
          <w:lang w:eastAsia="zh-CN"/>
        </w:rPr>
      </w:pPr>
    </w:p>
    <w:p>
      <w:pPr>
        <w:pStyle w:val="2"/>
        <w:tabs>
          <w:tab w:val="left" w:pos="4529"/>
          <w:tab w:val="left" w:pos="7890"/>
          <w:tab w:val="left" w:pos="8416"/>
          <w:tab w:val="left" w:pos="9047"/>
        </w:tabs>
        <w:ind w:firstLine="224" w:firstLineChars="100"/>
        <w:rPr>
          <w:rFonts w:eastAsia="宋体"/>
          <w:spacing w:val="-3"/>
        </w:rPr>
      </w:pPr>
      <w:r>
        <w:rPr>
          <w:rFonts w:hAnsi="宋体" w:eastAsia="宋体"/>
          <w:spacing w:val="-3"/>
        </w:rPr>
        <w:t>工程名称：标段：第页共页</w:t>
      </w:r>
    </w:p>
    <w:tbl>
      <w:tblPr>
        <w:tblStyle w:val="57"/>
        <w:tblW w:w="92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7"/>
        <w:gridCol w:w="2044"/>
        <w:gridCol w:w="1410"/>
        <w:gridCol w:w="1674"/>
        <w:gridCol w:w="1309"/>
        <w:gridCol w:w="1078"/>
        <w:gridCol w:w="10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647" w:type="dxa"/>
            <w:vAlign w:val="center"/>
          </w:tcPr>
          <w:p>
            <w:pPr>
              <w:jc w:val="center"/>
              <w:rPr>
                <w:szCs w:val="21"/>
              </w:rPr>
            </w:pPr>
            <w:r>
              <w:rPr>
                <w:rFonts w:hAnsi="宋体"/>
                <w:szCs w:val="21"/>
              </w:rPr>
              <w:t>序号</w:t>
            </w:r>
          </w:p>
        </w:tc>
        <w:tc>
          <w:tcPr>
            <w:tcW w:w="2044" w:type="dxa"/>
            <w:vAlign w:val="center"/>
          </w:tcPr>
          <w:p>
            <w:pPr>
              <w:jc w:val="center"/>
              <w:rPr>
                <w:szCs w:val="21"/>
              </w:rPr>
            </w:pPr>
            <w:r>
              <w:rPr>
                <w:rFonts w:hAnsi="宋体"/>
                <w:szCs w:val="21"/>
              </w:rPr>
              <w:t>工程名称</w:t>
            </w:r>
          </w:p>
        </w:tc>
        <w:tc>
          <w:tcPr>
            <w:tcW w:w="1410" w:type="dxa"/>
            <w:vAlign w:val="center"/>
          </w:tcPr>
          <w:p>
            <w:pPr>
              <w:jc w:val="center"/>
              <w:rPr>
                <w:szCs w:val="21"/>
              </w:rPr>
            </w:pPr>
            <w:r>
              <w:rPr>
                <w:rFonts w:hAnsi="宋体"/>
                <w:szCs w:val="21"/>
              </w:rPr>
              <w:t>工程内容</w:t>
            </w:r>
          </w:p>
        </w:tc>
        <w:tc>
          <w:tcPr>
            <w:tcW w:w="1674" w:type="dxa"/>
            <w:vAlign w:val="center"/>
          </w:tcPr>
          <w:p>
            <w:pPr>
              <w:jc w:val="center"/>
              <w:rPr>
                <w:szCs w:val="21"/>
              </w:rPr>
            </w:pPr>
            <w:r>
              <w:rPr>
                <w:rFonts w:hAnsi="宋体"/>
                <w:szCs w:val="21"/>
              </w:rPr>
              <w:t>暂估金额（元）</w:t>
            </w:r>
          </w:p>
        </w:tc>
        <w:tc>
          <w:tcPr>
            <w:tcW w:w="1309" w:type="dxa"/>
            <w:vAlign w:val="center"/>
          </w:tcPr>
          <w:p>
            <w:pPr>
              <w:jc w:val="center"/>
              <w:rPr>
                <w:szCs w:val="21"/>
              </w:rPr>
            </w:pPr>
            <w:r>
              <w:rPr>
                <w:rFonts w:hAnsi="宋体"/>
                <w:szCs w:val="21"/>
              </w:rPr>
              <w:t>结算金额（元）</w:t>
            </w:r>
          </w:p>
        </w:tc>
        <w:tc>
          <w:tcPr>
            <w:tcW w:w="1078" w:type="dxa"/>
          </w:tcPr>
          <w:p>
            <w:pPr>
              <w:jc w:val="center"/>
              <w:rPr>
                <w:szCs w:val="21"/>
              </w:rPr>
            </w:pPr>
            <w:r>
              <w:rPr>
                <w:rFonts w:hAnsi="宋体"/>
                <w:szCs w:val="21"/>
              </w:rPr>
              <w:t>差额</w:t>
            </w:r>
          </w:p>
          <w:p>
            <w:pPr>
              <w:jc w:val="center"/>
              <w:rPr>
                <w:szCs w:val="21"/>
              </w:rPr>
            </w:pPr>
            <w:r>
              <w:rPr>
                <w:sz w:val="18"/>
                <w:szCs w:val="18"/>
              </w:rPr>
              <w:t>±</w:t>
            </w:r>
            <w:r>
              <w:rPr>
                <w:rFonts w:hAnsi="宋体"/>
                <w:sz w:val="18"/>
                <w:szCs w:val="18"/>
              </w:rPr>
              <w:t>（元）</w:t>
            </w:r>
          </w:p>
        </w:tc>
        <w:tc>
          <w:tcPr>
            <w:tcW w:w="1078" w:type="dxa"/>
            <w:vAlign w:val="center"/>
          </w:tcPr>
          <w:p>
            <w:pPr>
              <w:jc w:val="center"/>
              <w:rPr>
                <w:szCs w:val="21"/>
              </w:rPr>
            </w:pPr>
            <w:r>
              <w:rPr>
                <w:rFonts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jc w:val="cente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jc w:val="center"/>
              <w:rPr>
                <w:szCs w:val="21"/>
              </w:rPr>
            </w:pPr>
          </w:p>
        </w:tc>
        <w:tc>
          <w:tcPr>
            <w:tcW w:w="1078" w:type="dxa"/>
          </w:tcPr>
          <w:p>
            <w:pPr>
              <w:jc w:val="center"/>
              <w:rPr>
                <w:szCs w:val="21"/>
              </w:rPr>
            </w:pPr>
          </w:p>
        </w:tc>
        <w:tc>
          <w:tcPr>
            <w:tcW w:w="1078"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rPr>
                <w:szCs w:val="21"/>
              </w:rPr>
            </w:pPr>
          </w:p>
        </w:tc>
        <w:tc>
          <w:tcPr>
            <w:tcW w:w="1078"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ind w:firstLine="415" w:firstLineChars="198"/>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jc w:val="center"/>
              <w:rPr>
                <w:szCs w:val="21"/>
              </w:rPr>
            </w:pPr>
          </w:p>
        </w:tc>
        <w:tc>
          <w:tcPr>
            <w:tcW w:w="1078"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ind w:firstLine="415" w:firstLineChars="198"/>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jc w:val="center"/>
              <w:rPr>
                <w:szCs w:val="21"/>
              </w:rPr>
            </w:pPr>
          </w:p>
        </w:tc>
        <w:tc>
          <w:tcPr>
            <w:tcW w:w="1078"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jc w:val="center"/>
              <w:rPr>
                <w:szCs w:val="21"/>
              </w:rPr>
            </w:pPr>
          </w:p>
        </w:tc>
        <w:tc>
          <w:tcPr>
            <w:tcW w:w="1078"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jc w:val="center"/>
              <w:rPr>
                <w:szCs w:val="21"/>
              </w:rPr>
            </w:pPr>
          </w:p>
        </w:tc>
        <w:tc>
          <w:tcPr>
            <w:tcW w:w="1078"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jc w:val="cente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rPr>
                <w:szCs w:val="21"/>
              </w:rPr>
            </w:pPr>
          </w:p>
        </w:tc>
        <w:tc>
          <w:tcPr>
            <w:tcW w:w="1078"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jc w:val="cente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rPr>
                <w:szCs w:val="21"/>
              </w:rPr>
            </w:pPr>
          </w:p>
        </w:tc>
        <w:tc>
          <w:tcPr>
            <w:tcW w:w="1078"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jc w:val="cente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rPr>
                <w:szCs w:val="21"/>
              </w:rPr>
            </w:pPr>
          </w:p>
        </w:tc>
        <w:tc>
          <w:tcPr>
            <w:tcW w:w="1078"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647" w:type="dxa"/>
            <w:vAlign w:val="center"/>
          </w:tcPr>
          <w:p>
            <w:pPr>
              <w:jc w:val="center"/>
              <w:rPr>
                <w:szCs w:val="21"/>
              </w:rPr>
            </w:pPr>
          </w:p>
        </w:tc>
        <w:tc>
          <w:tcPr>
            <w:tcW w:w="2044" w:type="dxa"/>
            <w:vAlign w:val="center"/>
          </w:tcPr>
          <w:p>
            <w:pPr>
              <w:jc w:val="center"/>
              <w:rPr>
                <w:szCs w:val="21"/>
              </w:rPr>
            </w:pPr>
          </w:p>
        </w:tc>
        <w:tc>
          <w:tcPr>
            <w:tcW w:w="1410" w:type="dxa"/>
            <w:vAlign w:val="center"/>
          </w:tcPr>
          <w:p>
            <w:pPr>
              <w:rPr>
                <w:szCs w:val="21"/>
              </w:rPr>
            </w:pPr>
          </w:p>
        </w:tc>
        <w:tc>
          <w:tcPr>
            <w:tcW w:w="1674" w:type="dxa"/>
          </w:tcPr>
          <w:p>
            <w:pPr>
              <w:rPr>
                <w:szCs w:val="21"/>
              </w:rPr>
            </w:pPr>
          </w:p>
        </w:tc>
        <w:tc>
          <w:tcPr>
            <w:tcW w:w="1309" w:type="dxa"/>
            <w:vAlign w:val="center"/>
          </w:tcPr>
          <w:p>
            <w:pPr>
              <w:rPr>
                <w:szCs w:val="21"/>
              </w:rPr>
            </w:pPr>
          </w:p>
        </w:tc>
        <w:tc>
          <w:tcPr>
            <w:tcW w:w="1078" w:type="dxa"/>
          </w:tcPr>
          <w:p>
            <w:pPr>
              <w:rPr>
                <w:szCs w:val="21"/>
              </w:rPr>
            </w:pPr>
          </w:p>
        </w:tc>
        <w:tc>
          <w:tcPr>
            <w:tcW w:w="1078"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4101" w:type="dxa"/>
            <w:gridSpan w:val="3"/>
            <w:vAlign w:val="center"/>
          </w:tcPr>
          <w:p>
            <w:pPr>
              <w:jc w:val="center"/>
              <w:rPr>
                <w:szCs w:val="21"/>
              </w:rPr>
            </w:pPr>
            <w:r>
              <w:rPr>
                <w:rFonts w:hAnsi="宋体"/>
                <w:szCs w:val="21"/>
              </w:rPr>
              <w:t>合计</w:t>
            </w:r>
          </w:p>
        </w:tc>
        <w:tc>
          <w:tcPr>
            <w:tcW w:w="1674" w:type="dxa"/>
          </w:tcPr>
          <w:p>
            <w:pPr>
              <w:rPr>
                <w:szCs w:val="21"/>
              </w:rPr>
            </w:pPr>
          </w:p>
        </w:tc>
        <w:tc>
          <w:tcPr>
            <w:tcW w:w="1309" w:type="dxa"/>
            <w:vAlign w:val="center"/>
          </w:tcPr>
          <w:p>
            <w:pPr>
              <w:rPr>
                <w:szCs w:val="21"/>
              </w:rPr>
            </w:pPr>
          </w:p>
        </w:tc>
        <w:tc>
          <w:tcPr>
            <w:tcW w:w="1078" w:type="dxa"/>
          </w:tcPr>
          <w:p>
            <w:pPr>
              <w:rPr>
                <w:szCs w:val="21"/>
              </w:rPr>
            </w:pPr>
          </w:p>
        </w:tc>
        <w:tc>
          <w:tcPr>
            <w:tcW w:w="1078" w:type="dxa"/>
            <w:vAlign w:val="center"/>
          </w:tcPr>
          <w:p>
            <w:pPr>
              <w:rPr>
                <w:szCs w:val="21"/>
              </w:rPr>
            </w:pPr>
          </w:p>
        </w:tc>
      </w:tr>
    </w:tbl>
    <w:p>
      <w:pPr>
        <w:rPr>
          <w:sz w:val="18"/>
          <w:szCs w:val="18"/>
        </w:rPr>
      </w:pPr>
      <w:r>
        <w:rPr>
          <w:rFonts w:hAnsi="宋体"/>
          <w:sz w:val="18"/>
          <w:szCs w:val="18"/>
        </w:rPr>
        <w:t>注：此表</w:t>
      </w:r>
      <w:r>
        <w:rPr>
          <w:sz w:val="18"/>
          <w:szCs w:val="18"/>
        </w:rPr>
        <w:t>“</w:t>
      </w:r>
      <w:r>
        <w:rPr>
          <w:rFonts w:hAnsi="宋体"/>
          <w:sz w:val="18"/>
          <w:szCs w:val="18"/>
        </w:rPr>
        <w:t>暂估金额</w:t>
      </w:r>
      <w:r>
        <w:rPr>
          <w:sz w:val="18"/>
          <w:szCs w:val="18"/>
        </w:rPr>
        <w:t>”</w:t>
      </w:r>
      <w:r>
        <w:rPr>
          <w:rFonts w:hAnsi="宋体"/>
          <w:sz w:val="18"/>
          <w:szCs w:val="18"/>
        </w:rPr>
        <w:t>由招标人填写，投标人应将</w:t>
      </w:r>
      <w:r>
        <w:rPr>
          <w:sz w:val="18"/>
          <w:szCs w:val="18"/>
        </w:rPr>
        <w:t>“</w:t>
      </w:r>
      <w:r>
        <w:rPr>
          <w:rFonts w:hAnsi="宋体"/>
          <w:sz w:val="18"/>
          <w:szCs w:val="18"/>
        </w:rPr>
        <w:t>暂估金额</w:t>
      </w:r>
      <w:r>
        <w:rPr>
          <w:sz w:val="18"/>
          <w:szCs w:val="18"/>
        </w:rPr>
        <w:t>”</w:t>
      </w:r>
      <w:r>
        <w:rPr>
          <w:rFonts w:hAnsi="宋体"/>
          <w:sz w:val="18"/>
          <w:szCs w:val="18"/>
        </w:rPr>
        <w:t>计入投标总价中。</w:t>
      </w:r>
    </w:p>
    <w:p>
      <w:pPr>
        <w:jc w:val="right"/>
        <w:rPr>
          <w:sz w:val="18"/>
          <w:szCs w:val="18"/>
        </w:rPr>
      </w:pPr>
      <w:r>
        <w:rPr>
          <w:rFonts w:hAnsi="宋体"/>
          <w:sz w:val="18"/>
          <w:szCs w:val="18"/>
        </w:rPr>
        <w:t>表</w:t>
      </w:r>
      <w:r>
        <w:rPr>
          <w:sz w:val="18"/>
          <w:szCs w:val="18"/>
        </w:rPr>
        <w:t>—12—3</w:t>
      </w:r>
    </w:p>
    <w:p>
      <w:pPr>
        <w:jc w:val="right"/>
        <w:rPr>
          <w:sz w:val="18"/>
          <w:szCs w:val="18"/>
        </w:rPr>
      </w:pPr>
    </w:p>
    <w:p>
      <w:pPr>
        <w:jc w:val="right"/>
        <w:rPr>
          <w:sz w:val="18"/>
          <w:szCs w:val="18"/>
        </w:rPr>
      </w:pPr>
    </w:p>
    <w:p>
      <w:pPr>
        <w:spacing w:line="480" w:lineRule="auto"/>
        <w:jc w:val="center"/>
        <w:rPr>
          <w:b/>
          <w:sz w:val="36"/>
          <w:szCs w:val="36"/>
        </w:rPr>
      </w:pPr>
    </w:p>
    <w:p>
      <w:pPr>
        <w:spacing w:line="480" w:lineRule="auto"/>
        <w:jc w:val="center"/>
        <w:rPr>
          <w:b/>
          <w:sz w:val="36"/>
          <w:szCs w:val="36"/>
        </w:rPr>
      </w:pPr>
    </w:p>
    <w:p>
      <w:pPr>
        <w:pStyle w:val="77"/>
        <w:tabs>
          <w:tab w:val="left" w:pos="707"/>
        </w:tabs>
        <w:jc w:val="center"/>
        <w:outlineLvl w:val="2"/>
        <w:rPr>
          <w:rFonts w:ascii="Times New Roman" w:hAnsi="Times New Roman" w:cs="Times New Roman"/>
          <w:b/>
          <w:spacing w:val="1"/>
          <w:lang w:eastAsia="zh-CN"/>
        </w:rPr>
      </w:pPr>
      <w:r>
        <w:rPr>
          <w:rFonts w:ascii="Times New Roman" w:cs="Times New Roman"/>
          <w:b/>
          <w:spacing w:val="1"/>
          <w:lang w:eastAsia="zh-CN"/>
        </w:rPr>
        <w:t>计日工表</w:t>
      </w:r>
    </w:p>
    <w:p>
      <w:pPr>
        <w:pStyle w:val="77"/>
        <w:tabs>
          <w:tab w:val="left" w:pos="707"/>
        </w:tabs>
        <w:jc w:val="center"/>
        <w:outlineLvl w:val="2"/>
        <w:rPr>
          <w:rFonts w:ascii="Times New Roman" w:hAnsi="Times New Roman" w:cs="Times New Roman"/>
          <w:b/>
          <w:spacing w:val="1"/>
          <w:lang w:eastAsia="zh-CN"/>
        </w:rPr>
      </w:pPr>
    </w:p>
    <w:p>
      <w:pPr>
        <w:rPr>
          <w:sz w:val="24"/>
        </w:rPr>
      </w:pPr>
      <w:r>
        <w:rPr>
          <w:rFonts w:hAnsi="宋体"/>
          <w:sz w:val="24"/>
        </w:rPr>
        <w:t>工程名称：标段：第页共页</w:t>
      </w:r>
    </w:p>
    <w:tbl>
      <w:tblPr>
        <w:tblStyle w:val="57"/>
        <w:tblW w:w="843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1684"/>
        <w:gridCol w:w="899"/>
        <w:gridCol w:w="981"/>
        <w:gridCol w:w="1145"/>
        <w:gridCol w:w="1105"/>
        <w:gridCol w:w="990"/>
        <w:gridCol w:w="9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687" w:type="dxa"/>
            <w:vMerge w:val="restart"/>
            <w:vAlign w:val="center"/>
          </w:tcPr>
          <w:p>
            <w:pPr>
              <w:jc w:val="center"/>
              <w:rPr>
                <w:szCs w:val="21"/>
              </w:rPr>
            </w:pPr>
            <w:r>
              <w:rPr>
                <w:rFonts w:hAnsi="宋体"/>
                <w:szCs w:val="21"/>
              </w:rPr>
              <w:t>编号</w:t>
            </w:r>
          </w:p>
        </w:tc>
        <w:tc>
          <w:tcPr>
            <w:tcW w:w="1684" w:type="dxa"/>
            <w:vMerge w:val="restart"/>
            <w:vAlign w:val="center"/>
          </w:tcPr>
          <w:p>
            <w:pPr>
              <w:jc w:val="center"/>
              <w:rPr>
                <w:szCs w:val="21"/>
              </w:rPr>
            </w:pPr>
            <w:r>
              <w:rPr>
                <w:rFonts w:hAnsi="宋体"/>
                <w:szCs w:val="21"/>
              </w:rPr>
              <w:t>项目名称</w:t>
            </w:r>
          </w:p>
        </w:tc>
        <w:tc>
          <w:tcPr>
            <w:tcW w:w="899" w:type="dxa"/>
            <w:vMerge w:val="restart"/>
            <w:vAlign w:val="center"/>
          </w:tcPr>
          <w:p>
            <w:pPr>
              <w:jc w:val="center"/>
              <w:rPr>
                <w:szCs w:val="21"/>
              </w:rPr>
            </w:pPr>
            <w:r>
              <w:rPr>
                <w:rFonts w:hAnsi="宋体"/>
                <w:szCs w:val="21"/>
              </w:rPr>
              <w:t>单位</w:t>
            </w:r>
          </w:p>
        </w:tc>
        <w:tc>
          <w:tcPr>
            <w:tcW w:w="981" w:type="dxa"/>
            <w:vMerge w:val="restart"/>
            <w:vAlign w:val="center"/>
          </w:tcPr>
          <w:p>
            <w:pPr>
              <w:jc w:val="center"/>
              <w:rPr>
                <w:szCs w:val="21"/>
              </w:rPr>
            </w:pPr>
            <w:r>
              <w:rPr>
                <w:rFonts w:hAnsi="宋体"/>
                <w:szCs w:val="21"/>
              </w:rPr>
              <w:t>暂定数量</w:t>
            </w:r>
          </w:p>
        </w:tc>
        <w:tc>
          <w:tcPr>
            <w:tcW w:w="1145" w:type="dxa"/>
            <w:vMerge w:val="restart"/>
            <w:vAlign w:val="center"/>
          </w:tcPr>
          <w:p>
            <w:pPr>
              <w:jc w:val="center"/>
              <w:rPr>
                <w:szCs w:val="21"/>
              </w:rPr>
            </w:pPr>
            <w:r>
              <w:rPr>
                <w:rFonts w:hAnsi="宋体"/>
                <w:szCs w:val="21"/>
              </w:rPr>
              <w:t>实际数量</w:t>
            </w:r>
          </w:p>
        </w:tc>
        <w:tc>
          <w:tcPr>
            <w:tcW w:w="1105" w:type="dxa"/>
            <w:vMerge w:val="restart"/>
            <w:vAlign w:val="center"/>
          </w:tcPr>
          <w:p>
            <w:pPr>
              <w:jc w:val="center"/>
              <w:rPr>
                <w:szCs w:val="21"/>
              </w:rPr>
            </w:pPr>
            <w:r>
              <w:rPr>
                <w:rFonts w:hAnsi="宋体"/>
                <w:szCs w:val="21"/>
              </w:rPr>
              <w:t>综合单价（元）</w:t>
            </w:r>
          </w:p>
        </w:tc>
        <w:tc>
          <w:tcPr>
            <w:tcW w:w="1935" w:type="dxa"/>
            <w:gridSpan w:val="2"/>
          </w:tcPr>
          <w:p>
            <w:pPr>
              <w:jc w:val="center"/>
              <w:rPr>
                <w:szCs w:val="21"/>
              </w:rPr>
            </w:pPr>
            <w:r>
              <w:rPr>
                <w:rFonts w:hAnsi="宋体"/>
                <w:szCs w:val="21"/>
              </w:rPr>
              <w:t>合价（元）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687" w:type="dxa"/>
            <w:vMerge w:val="continue"/>
            <w:vAlign w:val="center"/>
          </w:tcPr>
          <w:p>
            <w:pPr>
              <w:jc w:val="center"/>
              <w:rPr>
                <w:szCs w:val="21"/>
              </w:rPr>
            </w:pPr>
          </w:p>
        </w:tc>
        <w:tc>
          <w:tcPr>
            <w:tcW w:w="1684" w:type="dxa"/>
            <w:vMerge w:val="continue"/>
            <w:vAlign w:val="center"/>
          </w:tcPr>
          <w:p>
            <w:pPr>
              <w:jc w:val="center"/>
              <w:rPr>
                <w:szCs w:val="21"/>
              </w:rPr>
            </w:pPr>
          </w:p>
        </w:tc>
        <w:tc>
          <w:tcPr>
            <w:tcW w:w="899" w:type="dxa"/>
            <w:vMerge w:val="continue"/>
            <w:vAlign w:val="center"/>
          </w:tcPr>
          <w:p>
            <w:pPr>
              <w:jc w:val="center"/>
              <w:rPr>
                <w:szCs w:val="21"/>
              </w:rPr>
            </w:pPr>
          </w:p>
        </w:tc>
        <w:tc>
          <w:tcPr>
            <w:tcW w:w="981" w:type="dxa"/>
            <w:vMerge w:val="continue"/>
            <w:vAlign w:val="center"/>
          </w:tcPr>
          <w:p>
            <w:pPr>
              <w:jc w:val="center"/>
              <w:rPr>
                <w:szCs w:val="21"/>
              </w:rPr>
            </w:pPr>
          </w:p>
        </w:tc>
        <w:tc>
          <w:tcPr>
            <w:tcW w:w="1145" w:type="dxa"/>
            <w:vMerge w:val="continue"/>
            <w:vAlign w:val="center"/>
          </w:tcPr>
          <w:p>
            <w:pPr>
              <w:jc w:val="center"/>
              <w:rPr>
                <w:szCs w:val="21"/>
              </w:rPr>
            </w:pPr>
          </w:p>
        </w:tc>
        <w:tc>
          <w:tcPr>
            <w:tcW w:w="1105" w:type="dxa"/>
            <w:vMerge w:val="continue"/>
            <w:vAlign w:val="center"/>
          </w:tcPr>
          <w:p>
            <w:pPr>
              <w:jc w:val="center"/>
              <w:rPr>
                <w:szCs w:val="21"/>
              </w:rPr>
            </w:pPr>
          </w:p>
        </w:tc>
        <w:tc>
          <w:tcPr>
            <w:tcW w:w="990" w:type="dxa"/>
            <w:vAlign w:val="center"/>
          </w:tcPr>
          <w:p>
            <w:pPr>
              <w:jc w:val="center"/>
              <w:rPr>
                <w:szCs w:val="21"/>
              </w:rPr>
            </w:pPr>
            <w:r>
              <w:rPr>
                <w:rFonts w:hAnsi="宋体"/>
                <w:szCs w:val="21"/>
              </w:rPr>
              <w:t>暂定</w:t>
            </w:r>
          </w:p>
        </w:tc>
        <w:tc>
          <w:tcPr>
            <w:tcW w:w="945" w:type="dxa"/>
            <w:vAlign w:val="center"/>
          </w:tcPr>
          <w:p>
            <w:pPr>
              <w:jc w:val="center"/>
              <w:rPr>
                <w:szCs w:val="21"/>
              </w:rPr>
            </w:pPr>
            <w:r>
              <w:rPr>
                <w:rFonts w:hAnsi="宋体"/>
                <w:szCs w:val="21"/>
              </w:rPr>
              <w:t>实际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rFonts w:hAnsi="宋体"/>
                <w:szCs w:val="21"/>
              </w:rPr>
              <w:t>一</w:t>
            </w:r>
          </w:p>
        </w:tc>
        <w:tc>
          <w:tcPr>
            <w:tcW w:w="1684" w:type="dxa"/>
            <w:vAlign w:val="center"/>
          </w:tcPr>
          <w:p>
            <w:pPr>
              <w:jc w:val="center"/>
              <w:rPr>
                <w:szCs w:val="21"/>
              </w:rPr>
            </w:pPr>
            <w:r>
              <w:rPr>
                <w:rFonts w:hAnsi="宋体"/>
                <w:szCs w:val="21"/>
              </w:rPr>
              <w:t>人工</w:t>
            </w: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jc w:val="center"/>
              <w:rPr>
                <w:szCs w:val="21"/>
              </w:rPr>
            </w:pPr>
          </w:p>
        </w:tc>
        <w:tc>
          <w:tcPr>
            <w:tcW w:w="990" w:type="dxa"/>
          </w:tcPr>
          <w:p>
            <w:pPr>
              <w:jc w:val="center"/>
              <w:rPr>
                <w:szCs w:val="21"/>
              </w:rPr>
            </w:pPr>
          </w:p>
        </w:tc>
        <w:tc>
          <w:tcPr>
            <w:tcW w:w="945"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1</w:t>
            </w:r>
          </w:p>
        </w:tc>
        <w:tc>
          <w:tcPr>
            <w:tcW w:w="1684" w:type="dxa"/>
            <w:vAlign w:val="center"/>
          </w:tcPr>
          <w:p>
            <w:pP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2</w:t>
            </w:r>
          </w:p>
        </w:tc>
        <w:tc>
          <w:tcPr>
            <w:tcW w:w="1684" w:type="dxa"/>
            <w:vAlign w:val="center"/>
          </w:tcPr>
          <w:p>
            <w:pPr>
              <w:ind w:firstLine="415" w:firstLineChars="198"/>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jc w:val="center"/>
              <w:rPr>
                <w:szCs w:val="21"/>
              </w:rPr>
            </w:pPr>
          </w:p>
        </w:tc>
        <w:tc>
          <w:tcPr>
            <w:tcW w:w="990" w:type="dxa"/>
          </w:tcPr>
          <w:p>
            <w:pPr>
              <w:jc w:val="center"/>
              <w:rPr>
                <w:szCs w:val="21"/>
              </w:rPr>
            </w:pPr>
          </w:p>
        </w:tc>
        <w:tc>
          <w:tcPr>
            <w:tcW w:w="945"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3</w:t>
            </w:r>
          </w:p>
        </w:tc>
        <w:tc>
          <w:tcPr>
            <w:tcW w:w="1684" w:type="dxa"/>
            <w:vAlign w:val="center"/>
          </w:tcPr>
          <w:p>
            <w:pPr>
              <w:ind w:firstLine="415" w:firstLineChars="198"/>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jc w:val="center"/>
              <w:rPr>
                <w:szCs w:val="21"/>
              </w:rPr>
            </w:pPr>
          </w:p>
        </w:tc>
        <w:tc>
          <w:tcPr>
            <w:tcW w:w="990" w:type="dxa"/>
          </w:tcPr>
          <w:p>
            <w:pPr>
              <w:jc w:val="center"/>
              <w:rPr>
                <w:szCs w:val="21"/>
              </w:rPr>
            </w:pPr>
          </w:p>
        </w:tc>
        <w:tc>
          <w:tcPr>
            <w:tcW w:w="945"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4</w:t>
            </w:r>
          </w:p>
        </w:tc>
        <w:tc>
          <w:tcPr>
            <w:tcW w:w="1684" w:type="dxa"/>
            <w:vAlign w:val="center"/>
          </w:tcPr>
          <w:p>
            <w:pP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jc w:val="center"/>
              <w:rPr>
                <w:szCs w:val="21"/>
              </w:rPr>
            </w:pPr>
          </w:p>
        </w:tc>
        <w:tc>
          <w:tcPr>
            <w:tcW w:w="990" w:type="dxa"/>
          </w:tcPr>
          <w:p>
            <w:pPr>
              <w:jc w:val="center"/>
              <w:rPr>
                <w:szCs w:val="21"/>
              </w:rPr>
            </w:pPr>
          </w:p>
        </w:tc>
        <w:tc>
          <w:tcPr>
            <w:tcW w:w="945"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501" w:type="dxa"/>
            <w:gridSpan w:val="6"/>
            <w:vAlign w:val="center"/>
          </w:tcPr>
          <w:p>
            <w:pPr>
              <w:jc w:val="center"/>
              <w:rPr>
                <w:szCs w:val="21"/>
              </w:rPr>
            </w:pPr>
            <w:r>
              <w:rPr>
                <w:rFonts w:hAnsi="宋体"/>
                <w:szCs w:val="21"/>
              </w:rPr>
              <w:t>人工小计</w:t>
            </w:r>
          </w:p>
        </w:tc>
        <w:tc>
          <w:tcPr>
            <w:tcW w:w="990" w:type="dxa"/>
          </w:tcPr>
          <w:p>
            <w:pPr>
              <w:jc w:val="center"/>
              <w:rPr>
                <w:szCs w:val="21"/>
              </w:rPr>
            </w:pPr>
          </w:p>
        </w:tc>
        <w:tc>
          <w:tcPr>
            <w:tcW w:w="945"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rFonts w:hAnsi="宋体"/>
                <w:szCs w:val="21"/>
              </w:rPr>
              <w:t>二</w:t>
            </w:r>
          </w:p>
        </w:tc>
        <w:tc>
          <w:tcPr>
            <w:tcW w:w="1684" w:type="dxa"/>
            <w:vAlign w:val="center"/>
          </w:tcPr>
          <w:p>
            <w:pPr>
              <w:jc w:val="center"/>
              <w:rPr>
                <w:szCs w:val="21"/>
              </w:rPr>
            </w:pPr>
            <w:r>
              <w:rPr>
                <w:rFonts w:hAnsi="宋体"/>
                <w:szCs w:val="21"/>
              </w:rPr>
              <w:t>材料</w:t>
            </w: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1</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2</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3</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4</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5</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6</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501" w:type="dxa"/>
            <w:gridSpan w:val="6"/>
            <w:vAlign w:val="center"/>
          </w:tcPr>
          <w:p>
            <w:pPr>
              <w:jc w:val="center"/>
              <w:rPr>
                <w:szCs w:val="21"/>
              </w:rPr>
            </w:pPr>
            <w:r>
              <w:rPr>
                <w:rFonts w:hAnsi="宋体"/>
                <w:szCs w:val="21"/>
              </w:rPr>
              <w:t>材料小计</w:t>
            </w: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rFonts w:hAnsi="宋体"/>
                <w:szCs w:val="21"/>
              </w:rPr>
              <w:t>三</w:t>
            </w:r>
          </w:p>
        </w:tc>
        <w:tc>
          <w:tcPr>
            <w:tcW w:w="1684" w:type="dxa"/>
            <w:vAlign w:val="center"/>
          </w:tcPr>
          <w:p>
            <w:pPr>
              <w:jc w:val="center"/>
              <w:rPr>
                <w:szCs w:val="21"/>
              </w:rPr>
            </w:pPr>
            <w:r>
              <w:rPr>
                <w:rFonts w:hAnsi="宋体"/>
                <w:szCs w:val="21"/>
              </w:rPr>
              <w:t>施工机械</w:t>
            </w: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1</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2</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3</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87" w:type="dxa"/>
            <w:vAlign w:val="center"/>
          </w:tcPr>
          <w:p>
            <w:pPr>
              <w:jc w:val="center"/>
              <w:rPr>
                <w:szCs w:val="21"/>
              </w:rPr>
            </w:pPr>
            <w:r>
              <w:rPr>
                <w:szCs w:val="21"/>
              </w:rPr>
              <w:t>4</w:t>
            </w:r>
          </w:p>
        </w:tc>
        <w:tc>
          <w:tcPr>
            <w:tcW w:w="1684" w:type="dxa"/>
            <w:vAlign w:val="center"/>
          </w:tcPr>
          <w:p>
            <w:pPr>
              <w:jc w:val="center"/>
              <w:rPr>
                <w:szCs w:val="21"/>
              </w:rPr>
            </w:pPr>
          </w:p>
        </w:tc>
        <w:tc>
          <w:tcPr>
            <w:tcW w:w="899" w:type="dxa"/>
            <w:vAlign w:val="center"/>
          </w:tcPr>
          <w:p>
            <w:pPr>
              <w:rPr>
                <w:szCs w:val="21"/>
              </w:rPr>
            </w:pPr>
          </w:p>
        </w:tc>
        <w:tc>
          <w:tcPr>
            <w:tcW w:w="981" w:type="dxa"/>
            <w:vAlign w:val="center"/>
          </w:tcPr>
          <w:p>
            <w:pPr>
              <w:rPr>
                <w:szCs w:val="21"/>
              </w:rPr>
            </w:pPr>
          </w:p>
        </w:tc>
        <w:tc>
          <w:tcPr>
            <w:tcW w:w="1145" w:type="dxa"/>
            <w:vAlign w:val="center"/>
          </w:tcPr>
          <w:p>
            <w:pPr>
              <w:rPr>
                <w:szCs w:val="21"/>
              </w:rPr>
            </w:pPr>
          </w:p>
        </w:tc>
        <w:tc>
          <w:tcPr>
            <w:tcW w:w="1105" w:type="dxa"/>
          </w:tcPr>
          <w:p>
            <w:pPr>
              <w:rPr>
                <w:szCs w:val="21"/>
              </w:rPr>
            </w:pP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501" w:type="dxa"/>
            <w:gridSpan w:val="6"/>
            <w:vAlign w:val="center"/>
          </w:tcPr>
          <w:p>
            <w:pPr>
              <w:jc w:val="center"/>
              <w:rPr>
                <w:szCs w:val="21"/>
              </w:rPr>
            </w:pPr>
            <w:r>
              <w:rPr>
                <w:rFonts w:hAnsi="宋体"/>
                <w:szCs w:val="21"/>
              </w:rPr>
              <w:t>施工机械小计</w:t>
            </w: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501" w:type="dxa"/>
            <w:gridSpan w:val="6"/>
            <w:vAlign w:val="center"/>
          </w:tcPr>
          <w:p>
            <w:pPr>
              <w:rPr>
                <w:szCs w:val="21"/>
              </w:rPr>
            </w:pPr>
            <w:r>
              <w:rPr>
                <w:rFonts w:hAnsi="宋体"/>
                <w:szCs w:val="21"/>
              </w:rPr>
              <w:t>四、企业管理费和利润</w:t>
            </w:r>
          </w:p>
        </w:tc>
        <w:tc>
          <w:tcPr>
            <w:tcW w:w="990" w:type="dxa"/>
          </w:tcPr>
          <w:p>
            <w:pPr>
              <w:rPr>
                <w:szCs w:val="21"/>
              </w:rPr>
            </w:pPr>
          </w:p>
        </w:tc>
        <w:tc>
          <w:tcPr>
            <w:tcW w:w="945"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6501" w:type="dxa"/>
            <w:gridSpan w:val="6"/>
            <w:vAlign w:val="center"/>
          </w:tcPr>
          <w:p>
            <w:pPr>
              <w:jc w:val="center"/>
              <w:rPr>
                <w:szCs w:val="21"/>
              </w:rPr>
            </w:pPr>
            <w:r>
              <w:rPr>
                <w:rFonts w:hAnsi="宋体"/>
                <w:szCs w:val="21"/>
              </w:rPr>
              <w:t>总计</w:t>
            </w:r>
          </w:p>
        </w:tc>
        <w:tc>
          <w:tcPr>
            <w:tcW w:w="990" w:type="dxa"/>
          </w:tcPr>
          <w:p>
            <w:pPr>
              <w:rPr>
                <w:szCs w:val="21"/>
              </w:rPr>
            </w:pPr>
          </w:p>
        </w:tc>
        <w:tc>
          <w:tcPr>
            <w:tcW w:w="945" w:type="dxa"/>
            <w:vAlign w:val="center"/>
          </w:tcPr>
          <w:p>
            <w:pPr>
              <w:rPr>
                <w:szCs w:val="21"/>
              </w:rPr>
            </w:pPr>
          </w:p>
        </w:tc>
      </w:tr>
    </w:tbl>
    <w:p>
      <w:pPr>
        <w:rPr>
          <w:sz w:val="18"/>
          <w:szCs w:val="18"/>
        </w:rPr>
      </w:pPr>
      <w:r>
        <w:rPr>
          <w:rFonts w:hAnsi="宋体"/>
          <w:sz w:val="18"/>
          <w:szCs w:val="18"/>
        </w:rPr>
        <w:t>注：此表项目名称、暂定数量由招标人填写，投标时，单价由投标人自助报价，按暂定数量计算合价计入投标总价中。</w:t>
      </w:r>
    </w:p>
    <w:p>
      <w:pPr>
        <w:jc w:val="right"/>
        <w:rPr>
          <w:sz w:val="18"/>
          <w:szCs w:val="18"/>
        </w:rPr>
      </w:pPr>
    </w:p>
    <w:p>
      <w:pPr>
        <w:jc w:val="right"/>
        <w:rPr>
          <w:sz w:val="18"/>
          <w:szCs w:val="18"/>
        </w:rPr>
      </w:pPr>
      <w:r>
        <w:rPr>
          <w:rFonts w:hAnsi="宋体"/>
          <w:sz w:val="18"/>
          <w:szCs w:val="18"/>
        </w:rPr>
        <w:t>表</w:t>
      </w:r>
      <w:r>
        <w:rPr>
          <w:sz w:val="18"/>
          <w:szCs w:val="18"/>
        </w:rPr>
        <w:t>—12—4</w:t>
      </w:r>
    </w:p>
    <w:p>
      <w:pPr>
        <w:pStyle w:val="77"/>
        <w:tabs>
          <w:tab w:val="left" w:pos="707"/>
        </w:tabs>
        <w:jc w:val="center"/>
        <w:outlineLvl w:val="2"/>
        <w:rPr>
          <w:rFonts w:ascii="Times New Roman" w:hAnsi="Times New Roman" w:cs="Times New Roman"/>
          <w:b/>
          <w:spacing w:val="1"/>
          <w:lang w:eastAsia="zh-CN"/>
        </w:rPr>
      </w:pPr>
      <w:r>
        <w:rPr>
          <w:rFonts w:ascii="Times New Roman" w:cs="Times New Roman"/>
          <w:b/>
          <w:spacing w:val="1"/>
          <w:lang w:eastAsia="zh-CN"/>
        </w:rPr>
        <w:br w:type="page"/>
      </w:r>
      <w:r>
        <w:rPr>
          <w:rFonts w:ascii="Times New Roman" w:cs="Times New Roman"/>
          <w:b/>
          <w:spacing w:val="1"/>
          <w:lang w:eastAsia="zh-CN"/>
        </w:rPr>
        <w:t>总承包服务费计价表</w:t>
      </w:r>
    </w:p>
    <w:p>
      <w:pPr>
        <w:pStyle w:val="77"/>
        <w:tabs>
          <w:tab w:val="left" w:pos="707"/>
        </w:tabs>
        <w:jc w:val="center"/>
        <w:outlineLvl w:val="2"/>
        <w:rPr>
          <w:rFonts w:ascii="Times New Roman" w:hAnsi="Times New Roman" w:cs="Times New Roman"/>
          <w:b/>
          <w:spacing w:val="1"/>
          <w:lang w:eastAsia="zh-CN"/>
        </w:rPr>
      </w:pPr>
    </w:p>
    <w:p>
      <w:pPr>
        <w:rPr>
          <w:sz w:val="24"/>
        </w:rPr>
      </w:pPr>
      <w:r>
        <w:rPr>
          <w:rFonts w:hAnsi="宋体"/>
          <w:sz w:val="24"/>
        </w:rPr>
        <w:t>工程名称：标段：第页共页</w:t>
      </w:r>
    </w:p>
    <w:tbl>
      <w:tblPr>
        <w:tblStyle w:val="57"/>
        <w:tblW w:w="890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1"/>
        <w:gridCol w:w="2160"/>
        <w:gridCol w:w="1470"/>
        <w:gridCol w:w="1200"/>
        <w:gridCol w:w="1155"/>
        <w:gridCol w:w="1155"/>
        <w:gridCol w:w="1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681" w:type="dxa"/>
            <w:vAlign w:val="center"/>
          </w:tcPr>
          <w:p>
            <w:pPr>
              <w:jc w:val="center"/>
              <w:rPr>
                <w:szCs w:val="21"/>
              </w:rPr>
            </w:pPr>
            <w:r>
              <w:rPr>
                <w:rFonts w:hAnsi="宋体"/>
                <w:szCs w:val="21"/>
              </w:rPr>
              <w:t>序号</w:t>
            </w:r>
          </w:p>
        </w:tc>
        <w:tc>
          <w:tcPr>
            <w:tcW w:w="2160" w:type="dxa"/>
            <w:vAlign w:val="center"/>
          </w:tcPr>
          <w:p>
            <w:pPr>
              <w:jc w:val="center"/>
              <w:rPr>
                <w:szCs w:val="21"/>
              </w:rPr>
            </w:pPr>
            <w:r>
              <w:rPr>
                <w:rFonts w:hAnsi="宋体"/>
                <w:szCs w:val="21"/>
              </w:rPr>
              <w:t>工程名称</w:t>
            </w:r>
          </w:p>
        </w:tc>
        <w:tc>
          <w:tcPr>
            <w:tcW w:w="1470" w:type="dxa"/>
            <w:vAlign w:val="center"/>
          </w:tcPr>
          <w:p>
            <w:pPr>
              <w:jc w:val="center"/>
              <w:rPr>
                <w:szCs w:val="21"/>
              </w:rPr>
            </w:pPr>
            <w:r>
              <w:rPr>
                <w:rFonts w:hAnsi="宋体"/>
                <w:szCs w:val="21"/>
              </w:rPr>
              <w:t>项目价值（元）</w:t>
            </w:r>
          </w:p>
        </w:tc>
        <w:tc>
          <w:tcPr>
            <w:tcW w:w="1200" w:type="dxa"/>
            <w:vAlign w:val="center"/>
          </w:tcPr>
          <w:p>
            <w:pPr>
              <w:jc w:val="center"/>
              <w:rPr>
                <w:szCs w:val="21"/>
              </w:rPr>
            </w:pPr>
            <w:r>
              <w:rPr>
                <w:rFonts w:hAnsi="宋体"/>
                <w:szCs w:val="21"/>
              </w:rPr>
              <w:t>服务内容</w:t>
            </w:r>
          </w:p>
        </w:tc>
        <w:tc>
          <w:tcPr>
            <w:tcW w:w="1155" w:type="dxa"/>
            <w:vAlign w:val="center"/>
          </w:tcPr>
          <w:p>
            <w:pPr>
              <w:jc w:val="center"/>
              <w:rPr>
                <w:szCs w:val="21"/>
              </w:rPr>
            </w:pPr>
            <w:r>
              <w:rPr>
                <w:rFonts w:hAnsi="宋体"/>
                <w:szCs w:val="21"/>
              </w:rPr>
              <w:t>计算基础</w:t>
            </w:r>
          </w:p>
        </w:tc>
        <w:tc>
          <w:tcPr>
            <w:tcW w:w="1155" w:type="dxa"/>
            <w:vAlign w:val="center"/>
          </w:tcPr>
          <w:p>
            <w:pPr>
              <w:jc w:val="center"/>
              <w:rPr>
                <w:szCs w:val="21"/>
              </w:rPr>
            </w:pPr>
            <w:r>
              <w:rPr>
                <w:rFonts w:hAnsi="宋体"/>
                <w:szCs w:val="21"/>
              </w:rPr>
              <w:t>费率（</w:t>
            </w:r>
            <w:r>
              <w:rPr>
                <w:szCs w:val="21"/>
              </w:rPr>
              <w:t>%</w:t>
            </w:r>
            <w:r>
              <w:rPr>
                <w:rFonts w:hAnsi="宋体"/>
                <w:szCs w:val="21"/>
              </w:rPr>
              <w:t>）</w:t>
            </w:r>
          </w:p>
        </w:tc>
        <w:tc>
          <w:tcPr>
            <w:tcW w:w="1080" w:type="dxa"/>
            <w:vAlign w:val="center"/>
          </w:tcPr>
          <w:p>
            <w:pPr>
              <w:jc w:val="center"/>
              <w:rPr>
                <w:szCs w:val="21"/>
              </w:rPr>
            </w:pPr>
            <w:r>
              <w:rPr>
                <w:rFonts w:hAnsi="宋体"/>
                <w:szCs w:val="21"/>
              </w:rPr>
              <w:t>金额（元）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r>
              <w:rPr>
                <w:szCs w:val="21"/>
              </w:rPr>
              <w:t>1</w:t>
            </w:r>
          </w:p>
        </w:tc>
        <w:tc>
          <w:tcPr>
            <w:tcW w:w="2160" w:type="dxa"/>
            <w:vAlign w:val="center"/>
          </w:tcPr>
          <w:p>
            <w:pPr>
              <w:rPr>
                <w:szCs w:val="21"/>
              </w:rPr>
            </w:pPr>
            <w:r>
              <w:rPr>
                <w:rFonts w:hAnsi="宋体"/>
                <w:szCs w:val="21"/>
              </w:rPr>
              <w:t>发包人发包专业工程</w:t>
            </w: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jc w:val="center"/>
              <w:rPr>
                <w:szCs w:val="21"/>
              </w:rPr>
            </w:pPr>
          </w:p>
        </w:tc>
        <w:tc>
          <w:tcPr>
            <w:tcW w:w="1080"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r>
              <w:rPr>
                <w:szCs w:val="21"/>
              </w:rPr>
              <w:t>2</w:t>
            </w:r>
          </w:p>
        </w:tc>
        <w:tc>
          <w:tcPr>
            <w:tcW w:w="2160" w:type="dxa"/>
            <w:vAlign w:val="center"/>
          </w:tcPr>
          <w:p>
            <w:pPr>
              <w:rPr>
                <w:szCs w:val="21"/>
              </w:rPr>
            </w:pPr>
            <w:r>
              <w:rPr>
                <w:rFonts w:hAnsi="宋体"/>
                <w:szCs w:val="21"/>
              </w:rPr>
              <w:t>发包人供应材料</w:t>
            </w: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rPr>
                <w:szCs w:val="21"/>
              </w:rPr>
            </w:pPr>
          </w:p>
        </w:tc>
        <w:tc>
          <w:tcPr>
            <w:tcW w:w="108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ind w:firstLine="415" w:firstLineChars="198"/>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jc w:val="center"/>
              <w:rPr>
                <w:szCs w:val="21"/>
              </w:rPr>
            </w:pPr>
          </w:p>
        </w:tc>
        <w:tc>
          <w:tcPr>
            <w:tcW w:w="1080"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ind w:firstLine="415" w:firstLineChars="198"/>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jc w:val="center"/>
              <w:rPr>
                <w:szCs w:val="21"/>
              </w:rPr>
            </w:pPr>
          </w:p>
        </w:tc>
        <w:tc>
          <w:tcPr>
            <w:tcW w:w="1080"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jc w:val="center"/>
              <w:rPr>
                <w:szCs w:val="21"/>
              </w:rPr>
            </w:pPr>
          </w:p>
        </w:tc>
        <w:tc>
          <w:tcPr>
            <w:tcW w:w="1080"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jc w:val="center"/>
              <w:rPr>
                <w:szCs w:val="21"/>
              </w:rPr>
            </w:pPr>
          </w:p>
        </w:tc>
        <w:tc>
          <w:tcPr>
            <w:tcW w:w="1080" w:type="dxa"/>
            <w:vAlign w:val="center"/>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jc w:val="cente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rPr>
                <w:szCs w:val="21"/>
              </w:rPr>
            </w:pPr>
          </w:p>
        </w:tc>
        <w:tc>
          <w:tcPr>
            <w:tcW w:w="108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jc w:val="cente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rPr>
                <w:szCs w:val="21"/>
              </w:rPr>
            </w:pPr>
          </w:p>
        </w:tc>
        <w:tc>
          <w:tcPr>
            <w:tcW w:w="108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jc w:val="cente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rPr>
                <w:szCs w:val="21"/>
              </w:rPr>
            </w:pPr>
          </w:p>
        </w:tc>
        <w:tc>
          <w:tcPr>
            <w:tcW w:w="108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jc w:val="cente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rPr>
                <w:szCs w:val="21"/>
              </w:rPr>
            </w:pPr>
          </w:p>
        </w:tc>
        <w:tc>
          <w:tcPr>
            <w:tcW w:w="1080" w:type="dxa"/>
            <w:vAlign w:val="center"/>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681" w:type="dxa"/>
            <w:vAlign w:val="center"/>
          </w:tcPr>
          <w:p>
            <w:pPr>
              <w:jc w:val="center"/>
              <w:rPr>
                <w:szCs w:val="21"/>
              </w:rPr>
            </w:pPr>
          </w:p>
        </w:tc>
        <w:tc>
          <w:tcPr>
            <w:tcW w:w="2160" w:type="dxa"/>
            <w:vAlign w:val="center"/>
          </w:tcPr>
          <w:p>
            <w:pPr>
              <w:jc w:val="center"/>
              <w:rPr>
                <w:szCs w:val="21"/>
              </w:rPr>
            </w:pPr>
          </w:p>
        </w:tc>
        <w:tc>
          <w:tcPr>
            <w:tcW w:w="1470" w:type="dxa"/>
            <w:vAlign w:val="center"/>
          </w:tcPr>
          <w:p>
            <w:pPr>
              <w:rPr>
                <w:szCs w:val="21"/>
              </w:rPr>
            </w:pPr>
          </w:p>
        </w:tc>
        <w:tc>
          <w:tcPr>
            <w:tcW w:w="1200" w:type="dxa"/>
            <w:vAlign w:val="center"/>
          </w:tcPr>
          <w:p>
            <w:pPr>
              <w:rPr>
                <w:szCs w:val="21"/>
              </w:rPr>
            </w:pPr>
          </w:p>
        </w:tc>
        <w:tc>
          <w:tcPr>
            <w:tcW w:w="1155" w:type="dxa"/>
            <w:vAlign w:val="center"/>
          </w:tcPr>
          <w:p>
            <w:pPr>
              <w:rPr>
                <w:szCs w:val="21"/>
              </w:rPr>
            </w:pPr>
          </w:p>
        </w:tc>
        <w:tc>
          <w:tcPr>
            <w:tcW w:w="1155" w:type="dxa"/>
          </w:tcPr>
          <w:p>
            <w:pPr>
              <w:rPr>
                <w:szCs w:val="21"/>
              </w:rPr>
            </w:pPr>
          </w:p>
        </w:tc>
        <w:tc>
          <w:tcPr>
            <w:tcW w:w="1080" w:type="dxa"/>
            <w:vAlign w:val="center"/>
          </w:tcPr>
          <w:p>
            <w:pPr>
              <w:rPr>
                <w:szCs w:val="21"/>
              </w:rPr>
            </w:pPr>
          </w:p>
        </w:tc>
      </w:tr>
    </w:tbl>
    <w:p>
      <w:pPr>
        <w:rPr>
          <w:sz w:val="18"/>
          <w:szCs w:val="18"/>
        </w:rPr>
      </w:pPr>
      <w:r>
        <w:rPr>
          <w:rFonts w:hAnsi="宋体"/>
          <w:sz w:val="18"/>
          <w:szCs w:val="18"/>
        </w:rPr>
        <w:t>注：此表项目名称、服务内容由招标人填写，投标时，费率及金额由投标人自主报价，计入投标总价中。</w:t>
      </w:r>
    </w:p>
    <w:p>
      <w:pPr>
        <w:jc w:val="right"/>
        <w:rPr>
          <w:sz w:val="18"/>
          <w:szCs w:val="18"/>
        </w:rPr>
      </w:pPr>
      <w:r>
        <w:rPr>
          <w:rFonts w:hAnsi="宋体"/>
          <w:sz w:val="18"/>
          <w:szCs w:val="18"/>
        </w:rPr>
        <w:t>表</w:t>
      </w:r>
      <w:r>
        <w:rPr>
          <w:sz w:val="18"/>
          <w:szCs w:val="18"/>
        </w:rPr>
        <w:t>—12—5</w:t>
      </w:r>
    </w:p>
    <w:p>
      <w:pPr>
        <w:jc w:val="right"/>
        <w:rPr>
          <w:sz w:val="18"/>
          <w:szCs w:val="18"/>
        </w:rPr>
      </w:pPr>
    </w:p>
    <w:p>
      <w:pPr>
        <w:pStyle w:val="15"/>
        <w:spacing w:line="360" w:lineRule="auto"/>
        <w:ind w:firstLine="0"/>
        <w:rPr>
          <w:sz w:val="25"/>
        </w:rPr>
      </w:pPr>
    </w:p>
    <w:p>
      <w:pPr>
        <w:pStyle w:val="79"/>
        <w:tabs>
          <w:tab w:val="left" w:pos="484"/>
          <w:tab w:val="left" w:pos="1449"/>
        </w:tabs>
        <w:spacing w:line="419" w:lineRule="exact"/>
        <w:ind w:right="62"/>
        <w:jc w:val="center"/>
        <w:outlineLvl w:val="1"/>
        <w:rPr>
          <w:rFonts w:ascii="Times New Roman" w:hAnsi="Times New Roman" w:cs="Times New Roman"/>
          <w:b/>
          <w:lang w:eastAsia="zh-CN"/>
        </w:rPr>
      </w:pPr>
    </w:p>
    <w:p>
      <w:pPr>
        <w:pStyle w:val="79"/>
        <w:tabs>
          <w:tab w:val="left" w:pos="484"/>
          <w:tab w:val="left" w:pos="1449"/>
        </w:tabs>
        <w:spacing w:line="419" w:lineRule="exact"/>
        <w:ind w:right="62"/>
        <w:outlineLvl w:val="1"/>
        <w:rPr>
          <w:rFonts w:ascii="Times New Roman" w:hAnsi="Times New Roman" w:cs="Times New Roman"/>
          <w:b/>
          <w:lang w:eastAsia="zh-CN"/>
        </w:rPr>
      </w:pPr>
    </w:p>
    <w:p>
      <w:pPr>
        <w:pStyle w:val="79"/>
        <w:tabs>
          <w:tab w:val="left" w:pos="484"/>
          <w:tab w:val="left" w:pos="1449"/>
        </w:tabs>
        <w:spacing w:line="419" w:lineRule="exact"/>
        <w:ind w:right="62"/>
        <w:jc w:val="center"/>
        <w:outlineLvl w:val="1"/>
        <w:rPr>
          <w:rFonts w:ascii="Times New Roman" w:hAnsi="Times New Roman" w:cs="Times New Roman"/>
          <w:b/>
          <w:lang w:eastAsia="zh-CN"/>
        </w:rPr>
      </w:pPr>
      <w:r>
        <w:rPr>
          <w:rFonts w:ascii="Times New Roman" w:cs="Times New Roman"/>
          <w:b/>
          <w:lang w:eastAsia="zh-CN"/>
        </w:rPr>
        <w:t>规费、税金项目计价表</w:t>
      </w:r>
      <w:bookmarkEnd w:id="578"/>
      <w:bookmarkEnd w:id="579"/>
      <w:bookmarkEnd w:id="580"/>
    </w:p>
    <w:p>
      <w:pPr>
        <w:spacing w:before="19" w:line="200" w:lineRule="exact"/>
        <w:rPr>
          <w:sz w:val="20"/>
          <w:szCs w:val="20"/>
        </w:rPr>
      </w:pPr>
    </w:p>
    <w:p>
      <w:pPr>
        <w:pStyle w:val="2"/>
        <w:tabs>
          <w:tab w:val="left" w:pos="4094"/>
          <w:tab w:val="left" w:pos="7455"/>
          <w:tab w:val="left" w:pos="7981"/>
          <w:tab w:val="left" w:pos="8715"/>
        </w:tabs>
        <w:ind w:firstLine="115" w:firstLineChars="50"/>
        <w:rPr>
          <w:rFonts w:eastAsia="宋体"/>
        </w:rPr>
      </w:pPr>
      <w:r>
        <w:rPr>
          <w:rFonts w:hAnsi="宋体" w:eastAsia="宋体"/>
        </w:rPr>
        <w:t>工</w:t>
      </w:r>
      <w:r>
        <w:rPr>
          <w:rFonts w:hAnsi="宋体" w:eastAsia="宋体"/>
          <w:spacing w:val="-3"/>
        </w:rPr>
        <w:t>程</w:t>
      </w:r>
      <w:r>
        <w:rPr>
          <w:rFonts w:hAnsi="宋体" w:eastAsia="宋体"/>
        </w:rPr>
        <w:t>名</w:t>
      </w:r>
      <w:r>
        <w:rPr>
          <w:rFonts w:hAnsi="宋体" w:eastAsia="宋体"/>
          <w:spacing w:val="-3"/>
        </w:rPr>
        <w:t>称</w:t>
      </w:r>
      <w:r>
        <w:rPr>
          <w:rFonts w:hAnsi="宋体" w:eastAsia="宋体"/>
        </w:rPr>
        <w:t>：标</w:t>
      </w:r>
      <w:r>
        <w:rPr>
          <w:rFonts w:hAnsi="宋体" w:eastAsia="宋体"/>
          <w:spacing w:val="-3"/>
        </w:rPr>
        <w:t>段</w:t>
      </w:r>
      <w:r>
        <w:rPr>
          <w:rFonts w:hAnsi="宋体" w:eastAsia="宋体"/>
        </w:rPr>
        <w:t>：第</w:t>
      </w:r>
      <w:r>
        <w:rPr>
          <w:rFonts w:hAnsi="宋体" w:eastAsia="宋体"/>
          <w:spacing w:val="-3"/>
        </w:rPr>
        <w:t>页</w:t>
      </w:r>
      <w:r>
        <w:rPr>
          <w:rFonts w:hAnsi="宋体" w:eastAsia="宋体"/>
        </w:rPr>
        <w:t>共页</w:t>
      </w:r>
    </w:p>
    <w:p>
      <w:pPr>
        <w:spacing w:before="9" w:line="40" w:lineRule="exact"/>
        <w:rPr>
          <w:sz w:val="4"/>
          <w:szCs w:val="4"/>
        </w:rPr>
      </w:pPr>
    </w:p>
    <w:tbl>
      <w:tblPr>
        <w:tblStyle w:val="57"/>
        <w:tblW w:w="8973" w:type="dxa"/>
        <w:jc w:val="center"/>
        <w:tblLayout w:type="fixed"/>
        <w:tblCellMar>
          <w:top w:w="0" w:type="dxa"/>
          <w:left w:w="0" w:type="dxa"/>
          <w:bottom w:w="0" w:type="dxa"/>
          <w:right w:w="0" w:type="dxa"/>
        </w:tblCellMar>
      </w:tblPr>
      <w:tblGrid>
        <w:gridCol w:w="762"/>
        <w:gridCol w:w="2529"/>
        <w:gridCol w:w="2275"/>
        <w:gridCol w:w="1167"/>
        <w:gridCol w:w="1167"/>
        <w:gridCol w:w="1073"/>
      </w:tblGrid>
      <w:tr>
        <w:tblPrEx>
          <w:tblCellMar>
            <w:top w:w="0" w:type="dxa"/>
            <w:left w:w="0" w:type="dxa"/>
            <w:bottom w:w="0" w:type="dxa"/>
            <w:right w:w="0" w:type="dxa"/>
          </w:tblCellMar>
        </w:tblPrEx>
        <w:trPr>
          <w:trHeight w:val="709" w:hRule="exact"/>
          <w:jc w:val="center"/>
        </w:trPr>
        <w:tc>
          <w:tcPr>
            <w:tcW w:w="762"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宋体" w:cs="Times New Roman"/>
                <w:sz w:val="18"/>
                <w:szCs w:val="18"/>
              </w:rPr>
              <w:t>序号</w:t>
            </w:r>
          </w:p>
        </w:tc>
        <w:tc>
          <w:tcPr>
            <w:tcW w:w="2529"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宋体" w:cs="Times New Roman"/>
                <w:sz w:val="18"/>
                <w:szCs w:val="18"/>
              </w:rPr>
              <w:t>项目名称</w:t>
            </w:r>
          </w:p>
        </w:tc>
        <w:tc>
          <w:tcPr>
            <w:tcW w:w="2275"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宋体" w:cs="Times New Roman"/>
                <w:sz w:val="18"/>
                <w:szCs w:val="18"/>
              </w:rPr>
              <w:t>计算基础</w:t>
            </w:r>
          </w:p>
        </w:tc>
        <w:tc>
          <w:tcPr>
            <w:tcW w:w="1167" w:type="dxa"/>
            <w:tcBorders>
              <w:top w:val="single" w:color="000000" w:sz="4" w:space="0"/>
              <w:left w:val="single" w:color="000000" w:sz="4" w:space="0"/>
              <w:bottom w:val="single" w:color="000000" w:sz="4" w:space="0"/>
              <w:right w:val="single" w:color="000000" w:sz="6"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计算基数</w:t>
            </w:r>
          </w:p>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（元）</w:t>
            </w:r>
          </w:p>
        </w:tc>
        <w:tc>
          <w:tcPr>
            <w:tcW w:w="1167" w:type="dxa"/>
            <w:tcBorders>
              <w:top w:val="single" w:color="000000" w:sz="4" w:space="0"/>
              <w:left w:val="single" w:color="000000" w:sz="6"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宋体" w:cs="Times New Roman"/>
                <w:sz w:val="18"/>
                <w:szCs w:val="18"/>
                <w:lang w:eastAsia="zh-CN"/>
              </w:rPr>
              <w:t>计算</w:t>
            </w:r>
            <w:r>
              <w:rPr>
                <w:rFonts w:ascii="Times New Roman" w:hAnsi="宋体" w:cs="Times New Roman"/>
                <w:sz w:val="18"/>
                <w:szCs w:val="18"/>
              </w:rPr>
              <w:t>费率（</w:t>
            </w:r>
            <w:r>
              <w:rPr>
                <w:rFonts w:ascii="Times New Roman" w:hAnsi="Times New Roman" w:cs="Times New Roman"/>
                <w:spacing w:val="1"/>
                <w:sz w:val="18"/>
                <w:szCs w:val="18"/>
              </w:rPr>
              <w:t>%</w:t>
            </w:r>
            <w:r>
              <w:rPr>
                <w:rFonts w:ascii="Times New Roman" w:hAnsi="宋体" w:cs="Times New Roman"/>
                <w:sz w:val="18"/>
                <w:szCs w:val="18"/>
              </w:rPr>
              <w:t>）</w:t>
            </w:r>
          </w:p>
        </w:tc>
        <w:tc>
          <w:tcPr>
            <w:tcW w:w="1073"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宋体" w:cs="Times New Roman"/>
                <w:sz w:val="18"/>
                <w:szCs w:val="18"/>
              </w:rPr>
              <w:t>金额（元）</w:t>
            </w:r>
          </w:p>
        </w:tc>
      </w:tr>
      <w:tr>
        <w:tblPrEx>
          <w:tblCellMar>
            <w:top w:w="0" w:type="dxa"/>
            <w:left w:w="0" w:type="dxa"/>
            <w:bottom w:w="0" w:type="dxa"/>
            <w:right w:w="0" w:type="dxa"/>
          </w:tblCellMar>
        </w:tblPrEx>
        <w:trPr>
          <w:trHeight w:val="931" w:hRule="exact"/>
          <w:jc w:val="center"/>
        </w:trPr>
        <w:tc>
          <w:tcPr>
            <w:tcW w:w="762"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Times New Roman" w:cs="Times New Roman"/>
                <w:sz w:val="18"/>
                <w:szCs w:val="18"/>
              </w:rPr>
              <w:t>1</w:t>
            </w:r>
          </w:p>
        </w:tc>
        <w:tc>
          <w:tcPr>
            <w:tcW w:w="2529"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rPr>
                <w:rFonts w:ascii="Times New Roman" w:hAnsi="Times New Roman" w:cs="Times New Roman"/>
                <w:sz w:val="18"/>
                <w:szCs w:val="18"/>
              </w:rPr>
            </w:pPr>
            <w:r>
              <w:rPr>
                <w:rFonts w:ascii="Times New Roman" w:hAnsi="宋体" w:cs="Times New Roman"/>
                <w:sz w:val="18"/>
                <w:szCs w:val="18"/>
              </w:rPr>
              <w:t>规费</w:t>
            </w:r>
          </w:p>
        </w:tc>
        <w:tc>
          <w:tcPr>
            <w:tcW w:w="2275" w:type="dxa"/>
            <w:vMerge w:val="restart"/>
            <w:tcBorders>
              <w:top w:val="single" w:color="000000" w:sz="4" w:space="0"/>
              <w:left w:val="single" w:color="000000" w:sz="4" w:space="0"/>
              <w:right w:val="single" w:color="000000" w:sz="4" w:space="0"/>
            </w:tcBorders>
            <w:tcMar>
              <w:top w:w="108" w:type="dxa"/>
              <w:left w:w="108" w:type="dxa"/>
              <w:bottom w:w="108" w:type="dxa"/>
              <w:right w:w="108" w:type="dxa"/>
            </w:tcMar>
            <w:vAlign w:val="center"/>
          </w:tcPr>
          <w:p>
            <w:pPr>
              <w:ind w:firstLine="180" w:firstLineChars="100"/>
              <w:jc w:val="center"/>
              <w:rPr>
                <w:sz w:val="18"/>
                <w:szCs w:val="18"/>
              </w:rPr>
            </w:pPr>
            <w:r>
              <w:rPr>
                <w:rFonts w:hAnsi="宋体"/>
                <w:sz w:val="18"/>
                <w:szCs w:val="18"/>
              </w:rPr>
              <w:t>分部分项工程费</w:t>
            </w:r>
            <w:r>
              <w:rPr>
                <w:spacing w:val="6"/>
                <w:sz w:val="18"/>
                <w:szCs w:val="18"/>
              </w:rPr>
              <w:t>+</w:t>
            </w:r>
            <w:r>
              <w:rPr>
                <w:rFonts w:hAnsi="宋体"/>
                <w:spacing w:val="7"/>
                <w:sz w:val="18"/>
                <w:szCs w:val="18"/>
              </w:rPr>
              <w:t>措</w:t>
            </w:r>
            <w:r>
              <w:rPr>
                <w:rFonts w:hAnsi="宋体"/>
                <w:spacing w:val="4"/>
                <w:sz w:val="18"/>
                <w:szCs w:val="18"/>
              </w:rPr>
              <w:t>施项目</w:t>
            </w:r>
            <w:r>
              <w:rPr>
                <w:rFonts w:hAnsi="宋体"/>
                <w:spacing w:val="5"/>
                <w:sz w:val="18"/>
                <w:szCs w:val="18"/>
              </w:rPr>
              <w:t>费</w:t>
            </w:r>
            <w:r>
              <w:rPr>
                <w:spacing w:val="8"/>
                <w:sz w:val="18"/>
                <w:szCs w:val="18"/>
              </w:rPr>
              <w:t>+</w:t>
            </w:r>
            <w:r>
              <w:rPr>
                <w:rFonts w:hAnsi="宋体"/>
                <w:spacing w:val="4"/>
                <w:sz w:val="18"/>
                <w:szCs w:val="18"/>
              </w:rPr>
              <w:t>其他</w:t>
            </w:r>
            <w:r>
              <w:rPr>
                <w:rFonts w:hAnsi="宋体"/>
                <w:sz w:val="18"/>
                <w:szCs w:val="18"/>
              </w:rPr>
              <w:t>项目费</w:t>
            </w:r>
          </w:p>
          <w:p>
            <w:pPr>
              <w:ind w:firstLine="180" w:firstLineChars="100"/>
              <w:jc w:val="center"/>
            </w:pPr>
            <w:r>
              <w:rPr>
                <w:sz w:val="18"/>
                <w:szCs w:val="18"/>
              </w:rPr>
              <w:t>-</w:t>
            </w:r>
            <w:r>
              <w:rPr>
                <w:rFonts w:hAnsi="宋体"/>
                <w:sz w:val="18"/>
                <w:szCs w:val="18"/>
              </w:rPr>
              <w:t>工程设备费</w:t>
            </w:r>
          </w:p>
        </w:tc>
        <w:tc>
          <w:tcPr>
            <w:tcW w:w="1167" w:type="dxa"/>
            <w:tcBorders>
              <w:top w:val="single" w:color="000000" w:sz="4" w:space="0"/>
              <w:left w:val="single" w:color="000000" w:sz="4" w:space="0"/>
              <w:bottom w:val="single" w:color="000000" w:sz="4" w:space="0"/>
              <w:right w:val="single" w:color="000000" w:sz="6" w:space="0"/>
            </w:tcBorders>
            <w:tcMar>
              <w:top w:w="108" w:type="dxa"/>
              <w:left w:w="108" w:type="dxa"/>
              <w:bottom w:w="108" w:type="dxa"/>
              <w:right w:w="108" w:type="dxa"/>
            </w:tcMar>
            <w:vAlign w:val="center"/>
          </w:tcPr>
          <w:p/>
        </w:tc>
        <w:tc>
          <w:tcPr>
            <w:tcW w:w="1167" w:type="dxa"/>
            <w:tcBorders>
              <w:top w:val="single" w:color="000000" w:sz="4" w:space="0"/>
              <w:left w:val="single" w:color="000000" w:sz="6" w:space="0"/>
              <w:bottom w:val="single" w:color="000000" w:sz="4" w:space="0"/>
              <w:right w:val="single" w:color="000000" w:sz="4" w:space="0"/>
            </w:tcBorders>
            <w:tcMar>
              <w:top w:w="108" w:type="dxa"/>
              <w:left w:w="108" w:type="dxa"/>
              <w:bottom w:w="108" w:type="dxa"/>
              <w:right w:w="108" w:type="dxa"/>
            </w:tcMar>
            <w:vAlign w:val="center"/>
          </w:tcPr>
          <w:p/>
        </w:tc>
        <w:tc>
          <w:tcPr>
            <w:tcW w:w="1073"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tc>
      </w:tr>
      <w:tr>
        <w:tblPrEx>
          <w:tblCellMar>
            <w:top w:w="0" w:type="dxa"/>
            <w:left w:w="0" w:type="dxa"/>
            <w:bottom w:w="0" w:type="dxa"/>
            <w:right w:w="0" w:type="dxa"/>
          </w:tblCellMar>
        </w:tblPrEx>
        <w:trPr>
          <w:trHeight w:val="1283" w:hRule="exact"/>
          <w:jc w:val="center"/>
        </w:trPr>
        <w:tc>
          <w:tcPr>
            <w:tcW w:w="762"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Times New Roman" w:cs="Times New Roman"/>
                <w:spacing w:val="1"/>
                <w:sz w:val="18"/>
                <w:szCs w:val="18"/>
              </w:rPr>
              <w:t>1.1</w:t>
            </w:r>
          </w:p>
        </w:tc>
        <w:tc>
          <w:tcPr>
            <w:tcW w:w="2529"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ind w:firstLine="450" w:firstLineChars="250"/>
              <w:rPr>
                <w:rFonts w:ascii="Times New Roman" w:hAnsi="Times New Roman" w:cs="Times New Roman"/>
                <w:sz w:val="18"/>
                <w:szCs w:val="18"/>
              </w:rPr>
            </w:pPr>
            <w:r>
              <w:rPr>
                <w:rFonts w:ascii="Times New Roman" w:hAnsi="宋体" w:cs="Times New Roman"/>
                <w:sz w:val="18"/>
                <w:szCs w:val="18"/>
                <w:lang w:eastAsia="zh-CN"/>
              </w:rPr>
              <w:t>社会保险费</w:t>
            </w:r>
          </w:p>
        </w:tc>
        <w:tc>
          <w:tcPr>
            <w:tcW w:w="2275" w:type="dxa"/>
            <w:vMerge w:val="continue"/>
            <w:tcBorders>
              <w:left w:val="single" w:color="000000" w:sz="4" w:space="0"/>
              <w:right w:val="single" w:color="000000" w:sz="4" w:space="0"/>
            </w:tcBorders>
            <w:tcMar>
              <w:top w:w="108" w:type="dxa"/>
              <w:left w:w="108" w:type="dxa"/>
              <w:bottom w:w="108" w:type="dxa"/>
              <w:right w:w="108" w:type="dxa"/>
            </w:tcMar>
            <w:vAlign w:val="center"/>
          </w:tcPr>
          <w:p>
            <w:pPr>
              <w:ind w:firstLine="210" w:firstLineChars="100"/>
            </w:pPr>
          </w:p>
        </w:tc>
        <w:tc>
          <w:tcPr>
            <w:tcW w:w="1167" w:type="dxa"/>
            <w:tcBorders>
              <w:top w:val="single" w:color="000000" w:sz="4" w:space="0"/>
              <w:left w:val="single" w:color="000000" w:sz="4" w:space="0"/>
              <w:bottom w:val="single" w:color="000000" w:sz="4" w:space="0"/>
              <w:right w:val="single" w:color="000000" w:sz="6" w:space="0"/>
            </w:tcBorders>
            <w:tcMar>
              <w:top w:w="108" w:type="dxa"/>
              <w:left w:w="108" w:type="dxa"/>
              <w:bottom w:w="108" w:type="dxa"/>
              <w:right w:w="108" w:type="dxa"/>
            </w:tcMar>
            <w:vAlign w:val="center"/>
          </w:tcPr>
          <w:p/>
        </w:tc>
        <w:tc>
          <w:tcPr>
            <w:tcW w:w="1167" w:type="dxa"/>
            <w:tcBorders>
              <w:top w:val="single" w:color="000000" w:sz="4" w:space="0"/>
              <w:left w:val="single" w:color="000000" w:sz="6" w:space="0"/>
              <w:bottom w:val="single" w:color="000000" w:sz="4" w:space="0"/>
              <w:right w:val="single" w:color="000000" w:sz="4" w:space="0"/>
            </w:tcBorders>
            <w:tcMar>
              <w:top w:w="108" w:type="dxa"/>
              <w:left w:w="108" w:type="dxa"/>
              <w:bottom w:w="108" w:type="dxa"/>
              <w:right w:w="108" w:type="dxa"/>
            </w:tcMar>
            <w:vAlign w:val="center"/>
          </w:tcPr>
          <w:p/>
        </w:tc>
        <w:tc>
          <w:tcPr>
            <w:tcW w:w="1073"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tc>
      </w:tr>
      <w:tr>
        <w:tblPrEx>
          <w:tblCellMar>
            <w:top w:w="0" w:type="dxa"/>
            <w:left w:w="0" w:type="dxa"/>
            <w:bottom w:w="0" w:type="dxa"/>
            <w:right w:w="0" w:type="dxa"/>
          </w:tblCellMar>
        </w:tblPrEx>
        <w:trPr>
          <w:trHeight w:val="1414" w:hRule="exact"/>
          <w:jc w:val="center"/>
        </w:trPr>
        <w:tc>
          <w:tcPr>
            <w:tcW w:w="762"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lang w:eastAsia="zh-CN"/>
              </w:rPr>
            </w:pPr>
            <w:r>
              <w:rPr>
                <w:rFonts w:ascii="Times New Roman" w:hAnsi="Times New Roman" w:cs="Times New Roman"/>
                <w:spacing w:val="1"/>
                <w:sz w:val="18"/>
                <w:szCs w:val="18"/>
              </w:rPr>
              <w:t>1.</w:t>
            </w:r>
            <w:r>
              <w:rPr>
                <w:rFonts w:ascii="Times New Roman" w:hAnsi="Times New Roman" w:cs="Times New Roman"/>
                <w:spacing w:val="1"/>
                <w:sz w:val="18"/>
                <w:szCs w:val="18"/>
                <w:lang w:eastAsia="zh-CN"/>
              </w:rPr>
              <w:t>2</w:t>
            </w:r>
          </w:p>
        </w:tc>
        <w:tc>
          <w:tcPr>
            <w:tcW w:w="2529"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ind w:firstLine="450" w:firstLineChars="250"/>
              <w:rPr>
                <w:rFonts w:ascii="Times New Roman" w:hAnsi="Times New Roman" w:cs="Times New Roman"/>
                <w:sz w:val="18"/>
                <w:szCs w:val="18"/>
                <w:lang w:eastAsia="zh-CN"/>
              </w:rPr>
            </w:pPr>
            <w:r>
              <w:rPr>
                <w:rFonts w:ascii="Times New Roman" w:hAnsi="宋体" w:cs="Times New Roman"/>
                <w:sz w:val="18"/>
                <w:szCs w:val="18"/>
                <w:lang w:eastAsia="zh-CN"/>
              </w:rPr>
              <w:t>住房公积金</w:t>
            </w:r>
          </w:p>
        </w:tc>
        <w:tc>
          <w:tcPr>
            <w:tcW w:w="2275" w:type="dxa"/>
            <w:vMerge w:val="continue"/>
            <w:tcBorders>
              <w:left w:val="single" w:color="000000" w:sz="4" w:space="0"/>
              <w:right w:val="single" w:color="000000" w:sz="4" w:space="0"/>
            </w:tcBorders>
            <w:tcMar>
              <w:top w:w="108" w:type="dxa"/>
              <w:left w:w="108" w:type="dxa"/>
              <w:bottom w:w="108" w:type="dxa"/>
              <w:right w:w="108" w:type="dxa"/>
            </w:tcMar>
            <w:vAlign w:val="center"/>
          </w:tcPr>
          <w:p>
            <w:pPr>
              <w:ind w:firstLine="210" w:firstLineChars="100"/>
            </w:pPr>
          </w:p>
        </w:tc>
        <w:tc>
          <w:tcPr>
            <w:tcW w:w="1167" w:type="dxa"/>
            <w:tcBorders>
              <w:top w:val="single" w:color="000000" w:sz="4" w:space="0"/>
              <w:left w:val="single" w:color="000000" w:sz="4" w:space="0"/>
              <w:bottom w:val="single" w:color="000000" w:sz="4" w:space="0"/>
              <w:right w:val="single" w:color="000000" w:sz="6" w:space="0"/>
            </w:tcBorders>
            <w:tcMar>
              <w:top w:w="108" w:type="dxa"/>
              <w:left w:w="108" w:type="dxa"/>
              <w:bottom w:w="108" w:type="dxa"/>
              <w:right w:w="108" w:type="dxa"/>
            </w:tcMar>
            <w:vAlign w:val="center"/>
          </w:tcPr>
          <w:p/>
        </w:tc>
        <w:tc>
          <w:tcPr>
            <w:tcW w:w="1167" w:type="dxa"/>
            <w:tcBorders>
              <w:top w:val="single" w:color="000000" w:sz="4" w:space="0"/>
              <w:left w:val="single" w:color="000000" w:sz="6" w:space="0"/>
              <w:bottom w:val="single" w:color="000000" w:sz="4" w:space="0"/>
              <w:right w:val="single" w:color="000000" w:sz="4" w:space="0"/>
            </w:tcBorders>
            <w:tcMar>
              <w:top w:w="108" w:type="dxa"/>
              <w:left w:w="108" w:type="dxa"/>
              <w:bottom w:w="108" w:type="dxa"/>
              <w:right w:w="108" w:type="dxa"/>
            </w:tcMar>
            <w:vAlign w:val="center"/>
          </w:tcPr>
          <w:p/>
        </w:tc>
        <w:tc>
          <w:tcPr>
            <w:tcW w:w="1073"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tc>
      </w:tr>
      <w:tr>
        <w:tblPrEx>
          <w:tblCellMar>
            <w:top w:w="0" w:type="dxa"/>
            <w:left w:w="0" w:type="dxa"/>
            <w:bottom w:w="0" w:type="dxa"/>
            <w:right w:w="0" w:type="dxa"/>
          </w:tblCellMar>
        </w:tblPrEx>
        <w:trPr>
          <w:trHeight w:val="1231" w:hRule="exact"/>
          <w:jc w:val="center"/>
        </w:trPr>
        <w:tc>
          <w:tcPr>
            <w:tcW w:w="762" w:type="dxa"/>
            <w:tcBorders>
              <w:top w:val="single" w:color="000000" w:sz="4" w:space="0"/>
              <w:left w:val="single" w:color="000000" w:sz="4" w:space="0"/>
              <w:bottom w:val="single" w:color="000000" w:sz="6" w:space="0"/>
              <w:right w:val="single" w:color="000000" w:sz="4" w:space="0"/>
            </w:tcBorders>
            <w:tcMar>
              <w:top w:w="108" w:type="dxa"/>
              <w:left w:w="108" w:type="dxa"/>
              <w:bottom w:w="108" w:type="dxa"/>
              <w:right w:w="108" w:type="dxa"/>
            </w:tcMar>
            <w:vAlign w:val="center"/>
          </w:tcPr>
          <w:p>
            <w:pPr>
              <w:jc w:val="center"/>
            </w:pPr>
            <w:r>
              <w:rPr>
                <w:spacing w:val="1"/>
                <w:sz w:val="18"/>
                <w:szCs w:val="18"/>
              </w:rPr>
              <w:t>1.3</w:t>
            </w:r>
          </w:p>
        </w:tc>
        <w:tc>
          <w:tcPr>
            <w:tcW w:w="2529" w:type="dxa"/>
            <w:tcBorders>
              <w:top w:val="single" w:color="000000" w:sz="4" w:space="0"/>
              <w:left w:val="single" w:color="000000" w:sz="4" w:space="0"/>
              <w:bottom w:val="single" w:color="000000" w:sz="6" w:space="0"/>
              <w:right w:val="single" w:color="000000" w:sz="4" w:space="0"/>
            </w:tcBorders>
            <w:tcMar>
              <w:top w:w="108" w:type="dxa"/>
              <w:left w:w="108" w:type="dxa"/>
              <w:bottom w:w="108" w:type="dxa"/>
              <w:right w:w="108" w:type="dxa"/>
            </w:tcMar>
            <w:vAlign w:val="center"/>
          </w:tcPr>
          <w:p>
            <w:pPr>
              <w:pStyle w:val="78"/>
              <w:ind w:firstLine="450" w:firstLineChars="250"/>
              <w:rPr>
                <w:rFonts w:ascii="Times New Roman" w:hAnsi="Times New Roman" w:cs="Times New Roman"/>
                <w:sz w:val="18"/>
                <w:szCs w:val="18"/>
                <w:lang w:eastAsia="zh-CN"/>
              </w:rPr>
            </w:pPr>
            <w:r>
              <w:rPr>
                <w:rFonts w:hint="eastAsia" w:ascii="宋体" w:hAnsi="宋体" w:cs="宋体"/>
                <w:sz w:val="18"/>
                <w:szCs w:val="18"/>
                <w:lang w:eastAsia="zh-CN"/>
              </w:rPr>
              <w:t>环境保护税</w:t>
            </w:r>
          </w:p>
        </w:tc>
        <w:tc>
          <w:tcPr>
            <w:tcW w:w="2275" w:type="dxa"/>
            <w:vMerge w:val="continue"/>
            <w:tcBorders>
              <w:left w:val="single" w:color="000000" w:sz="4" w:space="0"/>
              <w:bottom w:val="single" w:color="000000" w:sz="6" w:space="0"/>
              <w:right w:val="single" w:color="000000" w:sz="4" w:space="0"/>
            </w:tcBorders>
            <w:tcMar>
              <w:top w:w="108" w:type="dxa"/>
              <w:left w:w="108" w:type="dxa"/>
              <w:bottom w:w="108" w:type="dxa"/>
              <w:right w:w="108" w:type="dxa"/>
            </w:tcMar>
            <w:vAlign w:val="center"/>
          </w:tcPr>
          <w:p>
            <w:pPr>
              <w:ind w:firstLine="210" w:firstLineChars="100"/>
            </w:pPr>
          </w:p>
        </w:tc>
        <w:tc>
          <w:tcPr>
            <w:tcW w:w="1167" w:type="dxa"/>
            <w:tcBorders>
              <w:top w:val="single" w:color="000000" w:sz="4" w:space="0"/>
              <w:left w:val="single" w:color="000000" w:sz="4" w:space="0"/>
              <w:bottom w:val="single" w:color="000000" w:sz="6" w:space="0"/>
              <w:right w:val="single" w:color="000000" w:sz="6" w:space="0"/>
            </w:tcBorders>
            <w:tcMar>
              <w:top w:w="108" w:type="dxa"/>
              <w:left w:w="108" w:type="dxa"/>
              <w:bottom w:w="108" w:type="dxa"/>
              <w:right w:w="108" w:type="dxa"/>
            </w:tcMar>
            <w:vAlign w:val="center"/>
          </w:tcPr>
          <w:p/>
        </w:tc>
        <w:tc>
          <w:tcPr>
            <w:tcW w:w="1167" w:type="dxa"/>
            <w:tcBorders>
              <w:top w:val="single" w:color="000000" w:sz="4" w:space="0"/>
              <w:left w:val="single" w:color="000000" w:sz="6" w:space="0"/>
              <w:bottom w:val="single" w:color="000000" w:sz="6" w:space="0"/>
              <w:right w:val="single" w:color="000000" w:sz="4" w:space="0"/>
            </w:tcBorders>
            <w:tcMar>
              <w:top w:w="108" w:type="dxa"/>
              <w:left w:w="108" w:type="dxa"/>
              <w:bottom w:w="108" w:type="dxa"/>
              <w:right w:w="108" w:type="dxa"/>
            </w:tcMar>
            <w:vAlign w:val="center"/>
          </w:tcPr>
          <w:p/>
        </w:tc>
        <w:tc>
          <w:tcPr>
            <w:tcW w:w="1073" w:type="dxa"/>
            <w:tcBorders>
              <w:top w:val="single" w:color="000000" w:sz="4" w:space="0"/>
              <w:left w:val="single" w:color="000000" w:sz="4" w:space="0"/>
              <w:bottom w:val="single" w:color="000000" w:sz="6" w:space="0"/>
              <w:right w:val="single" w:color="000000" w:sz="4" w:space="0"/>
            </w:tcBorders>
            <w:tcMar>
              <w:top w:w="108" w:type="dxa"/>
              <w:left w:w="108" w:type="dxa"/>
              <w:bottom w:w="108" w:type="dxa"/>
              <w:right w:w="108" w:type="dxa"/>
            </w:tcMar>
            <w:vAlign w:val="center"/>
          </w:tcPr>
          <w:p/>
        </w:tc>
      </w:tr>
      <w:tr>
        <w:tblPrEx>
          <w:tblCellMar>
            <w:top w:w="0" w:type="dxa"/>
            <w:left w:w="0" w:type="dxa"/>
            <w:bottom w:w="0" w:type="dxa"/>
            <w:right w:w="0" w:type="dxa"/>
          </w:tblCellMar>
        </w:tblPrEx>
        <w:trPr>
          <w:trHeight w:val="2148" w:hRule="exact"/>
          <w:jc w:val="center"/>
        </w:trPr>
        <w:tc>
          <w:tcPr>
            <w:tcW w:w="762"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jc w:val="center"/>
              <w:rPr>
                <w:rFonts w:ascii="Times New Roman" w:hAnsi="Times New Roman" w:cs="Times New Roman"/>
                <w:sz w:val="18"/>
                <w:szCs w:val="18"/>
              </w:rPr>
            </w:pPr>
            <w:r>
              <w:rPr>
                <w:rFonts w:ascii="Times New Roman" w:hAnsi="Times New Roman" w:cs="Times New Roman"/>
                <w:sz w:val="18"/>
                <w:szCs w:val="18"/>
              </w:rPr>
              <w:t>2</w:t>
            </w:r>
          </w:p>
        </w:tc>
        <w:tc>
          <w:tcPr>
            <w:tcW w:w="2529"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rPr>
                <w:rFonts w:ascii="Times New Roman" w:hAnsi="Times New Roman" w:cs="Times New Roman"/>
                <w:sz w:val="18"/>
                <w:szCs w:val="18"/>
              </w:rPr>
            </w:pPr>
            <w:r>
              <w:rPr>
                <w:rFonts w:ascii="Times New Roman" w:hAnsi="宋体" w:cs="Times New Roman"/>
                <w:sz w:val="18"/>
                <w:szCs w:val="18"/>
              </w:rPr>
              <w:t>税金</w:t>
            </w:r>
          </w:p>
        </w:tc>
        <w:tc>
          <w:tcPr>
            <w:tcW w:w="2275"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pPr>
              <w:pStyle w:val="78"/>
              <w:spacing w:line="362" w:lineRule="auto"/>
              <w:ind w:firstLine="188" w:firstLineChars="100"/>
              <w:jc w:val="center"/>
              <w:rPr>
                <w:rFonts w:ascii="Times New Roman" w:hAnsi="Times New Roman" w:cs="Times New Roman"/>
                <w:sz w:val="18"/>
                <w:szCs w:val="18"/>
                <w:lang w:eastAsia="zh-CN"/>
              </w:rPr>
            </w:pPr>
            <w:r>
              <w:rPr>
                <w:rFonts w:ascii="Times New Roman" w:hAnsi="宋体" w:cs="Times New Roman"/>
                <w:spacing w:val="4"/>
                <w:sz w:val="18"/>
                <w:szCs w:val="18"/>
                <w:lang w:eastAsia="zh-CN"/>
              </w:rPr>
              <w:t>分部分项工程费</w:t>
            </w:r>
            <w:r>
              <w:rPr>
                <w:rFonts w:ascii="Times New Roman" w:hAnsi="Times New Roman" w:cs="Times New Roman"/>
                <w:spacing w:val="6"/>
                <w:sz w:val="18"/>
                <w:szCs w:val="18"/>
                <w:lang w:eastAsia="zh-CN"/>
              </w:rPr>
              <w:t>+</w:t>
            </w:r>
            <w:r>
              <w:rPr>
                <w:rFonts w:ascii="Times New Roman" w:hAnsi="宋体" w:cs="Times New Roman"/>
                <w:spacing w:val="7"/>
                <w:sz w:val="18"/>
                <w:szCs w:val="18"/>
                <w:lang w:eastAsia="zh-CN"/>
              </w:rPr>
              <w:t>措</w:t>
            </w:r>
            <w:r>
              <w:rPr>
                <w:rFonts w:ascii="Times New Roman" w:hAnsi="宋体" w:cs="Times New Roman"/>
                <w:spacing w:val="4"/>
                <w:sz w:val="18"/>
                <w:szCs w:val="18"/>
                <w:lang w:eastAsia="zh-CN"/>
              </w:rPr>
              <w:t>施项目</w:t>
            </w:r>
            <w:r>
              <w:rPr>
                <w:rFonts w:ascii="Times New Roman" w:hAnsi="宋体" w:cs="Times New Roman"/>
                <w:spacing w:val="5"/>
                <w:sz w:val="18"/>
                <w:szCs w:val="18"/>
                <w:lang w:eastAsia="zh-CN"/>
              </w:rPr>
              <w:t>费</w:t>
            </w:r>
            <w:r>
              <w:rPr>
                <w:rFonts w:ascii="Times New Roman" w:hAnsi="Times New Roman" w:cs="Times New Roman"/>
                <w:spacing w:val="8"/>
                <w:sz w:val="18"/>
                <w:szCs w:val="18"/>
                <w:lang w:eastAsia="zh-CN"/>
              </w:rPr>
              <w:t>+</w:t>
            </w:r>
            <w:r>
              <w:rPr>
                <w:rFonts w:ascii="Times New Roman" w:hAnsi="宋体" w:cs="Times New Roman"/>
                <w:spacing w:val="4"/>
                <w:sz w:val="18"/>
                <w:szCs w:val="18"/>
                <w:lang w:eastAsia="zh-CN"/>
              </w:rPr>
              <w:t>其他</w:t>
            </w:r>
            <w:r>
              <w:rPr>
                <w:rFonts w:ascii="Times New Roman" w:hAnsi="宋体" w:cs="Times New Roman"/>
                <w:sz w:val="18"/>
                <w:szCs w:val="18"/>
                <w:lang w:eastAsia="zh-CN"/>
              </w:rPr>
              <w:t>项目费</w:t>
            </w:r>
            <w:r>
              <w:rPr>
                <w:rFonts w:ascii="Times New Roman" w:hAnsi="Times New Roman" w:cs="Times New Roman"/>
                <w:spacing w:val="1"/>
                <w:sz w:val="18"/>
                <w:szCs w:val="18"/>
                <w:lang w:eastAsia="zh-CN"/>
              </w:rPr>
              <w:t>+</w:t>
            </w:r>
            <w:r>
              <w:rPr>
                <w:rFonts w:ascii="Times New Roman" w:hAnsi="宋体" w:cs="Times New Roman"/>
                <w:sz w:val="18"/>
                <w:szCs w:val="18"/>
                <w:lang w:eastAsia="zh-CN"/>
              </w:rPr>
              <w:t>规费</w:t>
            </w:r>
            <w:r>
              <w:rPr>
                <w:rFonts w:ascii="Times New Roman" w:hAnsi="Times New Roman" w:cs="Times New Roman"/>
                <w:sz w:val="18"/>
                <w:szCs w:val="18"/>
                <w:lang w:eastAsia="zh-CN"/>
              </w:rPr>
              <w:t>-</w:t>
            </w:r>
            <w:r>
              <w:rPr>
                <w:rFonts w:ascii="Times New Roman" w:hAnsi="宋体" w:cs="Times New Roman"/>
                <w:sz w:val="18"/>
                <w:szCs w:val="18"/>
                <w:lang w:eastAsia="zh-CN"/>
              </w:rPr>
              <w:t>按规定不计税的工程设备金额</w:t>
            </w:r>
          </w:p>
        </w:tc>
        <w:tc>
          <w:tcPr>
            <w:tcW w:w="1167" w:type="dxa"/>
            <w:tcBorders>
              <w:top w:val="single" w:color="000000" w:sz="4" w:space="0"/>
              <w:left w:val="single" w:color="000000" w:sz="4" w:space="0"/>
              <w:bottom w:val="single" w:color="000000" w:sz="4" w:space="0"/>
              <w:right w:val="single" w:color="000000" w:sz="6" w:space="0"/>
            </w:tcBorders>
            <w:tcMar>
              <w:top w:w="108" w:type="dxa"/>
              <w:left w:w="108" w:type="dxa"/>
              <w:bottom w:w="108" w:type="dxa"/>
              <w:right w:w="108" w:type="dxa"/>
            </w:tcMar>
            <w:vAlign w:val="center"/>
          </w:tcPr>
          <w:p/>
        </w:tc>
        <w:tc>
          <w:tcPr>
            <w:tcW w:w="1167" w:type="dxa"/>
            <w:tcBorders>
              <w:top w:val="single" w:color="000000" w:sz="4" w:space="0"/>
              <w:left w:val="single" w:color="000000" w:sz="6" w:space="0"/>
              <w:bottom w:val="single" w:color="000000" w:sz="4" w:space="0"/>
              <w:right w:val="single" w:color="000000" w:sz="4" w:space="0"/>
            </w:tcBorders>
            <w:tcMar>
              <w:top w:w="108" w:type="dxa"/>
              <w:left w:w="108" w:type="dxa"/>
              <w:bottom w:w="108" w:type="dxa"/>
              <w:right w:w="108" w:type="dxa"/>
            </w:tcMar>
            <w:vAlign w:val="center"/>
          </w:tcPr>
          <w:p/>
        </w:tc>
        <w:tc>
          <w:tcPr>
            <w:tcW w:w="1073" w:type="dxa"/>
            <w:tcBorders>
              <w:top w:val="single" w:color="000000" w:sz="4" w:space="0"/>
              <w:left w:val="single" w:color="000000" w:sz="4" w:space="0"/>
              <w:bottom w:val="single" w:color="000000" w:sz="4" w:space="0"/>
              <w:right w:val="single" w:color="000000" w:sz="4" w:space="0"/>
            </w:tcBorders>
            <w:tcMar>
              <w:top w:w="108" w:type="dxa"/>
              <w:left w:w="108" w:type="dxa"/>
              <w:bottom w:w="108" w:type="dxa"/>
              <w:right w:w="108" w:type="dxa"/>
            </w:tcMar>
            <w:vAlign w:val="center"/>
          </w:tcPr>
          <w:p/>
        </w:tc>
      </w:tr>
    </w:tbl>
    <w:p>
      <w:pPr>
        <w:pStyle w:val="2"/>
        <w:spacing w:before="21"/>
        <w:jc w:val="left"/>
        <w:rPr>
          <w:rFonts w:eastAsia="宋体"/>
          <w:sz w:val="18"/>
          <w:szCs w:val="18"/>
        </w:rPr>
      </w:pPr>
    </w:p>
    <w:p>
      <w:pPr>
        <w:pStyle w:val="2"/>
        <w:spacing w:before="21"/>
        <w:jc w:val="left"/>
        <w:rPr>
          <w:rFonts w:eastAsia="宋体"/>
          <w:sz w:val="18"/>
          <w:szCs w:val="18"/>
        </w:rPr>
      </w:pPr>
    </w:p>
    <w:p>
      <w:pPr>
        <w:pStyle w:val="2"/>
        <w:spacing w:before="21"/>
        <w:jc w:val="left"/>
        <w:rPr>
          <w:rFonts w:eastAsia="宋体"/>
          <w:sz w:val="18"/>
          <w:szCs w:val="18"/>
        </w:rPr>
      </w:pPr>
    </w:p>
    <w:p>
      <w:pPr>
        <w:pStyle w:val="2"/>
        <w:spacing w:before="21"/>
        <w:jc w:val="left"/>
        <w:rPr>
          <w:rFonts w:eastAsia="宋体"/>
          <w:sz w:val="18"/>
          <w:szCs w:val="18"/>
        </w:rPr>
      </w:pPr>
    </w:p>
    <w:p>
      <w:pPr>
        <w:pStyle w:val="2"/>
        <w:spacing w:before="21"/>
        <w:jc w:val="left"/>
        <w:rPr>
          <w:rFonts w:eastAsia="宋体"/>
          <w:sz w:val="18"/>
          <w:szCs w:val="18"/>
        </w:rPr>
      </w:pPr>
    </w:p>
    <w:p>
      <w:pPr>
        <w:pStyle w:val="2"/>
        <w:spacing w:before="21"/>
        <w:ind w:right="360"/>
        <w:jc w:val="right"/>
        <w:rPr>
          <w:rFonts w:eastAsia="宋体"/>
          <w:sz w:val="18"/>
          <w:szCs w:val="18"/>
        </w:rPr>
      </w:pPr>
      <w:r>
        <w:rPr>
          <w:rFonts w:hAnsi="宋体" w:eastAsia="宋体"/>
          <w:sz w:val="18"/>
          <w:szCs w:val="18"/>
        </w:rPr>
        <w:t>表</w:t>
      </w:r>
      <w:r>
        <w:rPr>
          <w:rFonts w:eastAsia="宋体"/>
          <w:sz w:val="18"/>
          <w:szCs w:val="18"/>
        </w:rPr>
        <w:t>-13</w:t>
      </w:r>
    </w:p>
    <w:p>
      <w:pPr>
        <w:pStyle w:val="77"/>
        <w:tabs>
          <w:tab w:val="left" w:pos="707"/>
        </w:tabs>
        <w:jc w:val="center"/>
        <w:outlineLvl w:val="2"/>
        <w:rPr>
          <w:rFonts w:ascii="Times New Roman" w:hAnsi="Times New Roman" w:cs="Times New Roman"/>
          <w:b/>
          <w:spacing w:val="1"/>
          <w:lang w:eastAsia="zh-CN"/>
        </w:rPr>
      </w:pPr>
    </w:p>
    <w:p>
      <w:pPr>
        <w:pStyle w:val="77"/>
        <w:tabs>
          <w:tab w:val="left" w:pos="707"/>
        </w:tabs>
        <w:jc w:val="center"/>
        <w:outlineLvl w:val="2"/>
        <w:rPr>
          <w:rFonts w:ascii="Times New Roman" w:hAnsi="Times New Roman" w:cs="Times New Roman"/>
          <w:b/>
          <w:spacing w:val="1"/>
          <w:lang w:eastAsia="zh-CN"/>
        </w:rPr>
      </w:pPr>
      <w:r>
        <w:rPr>
          <w:rFonts w:ascii="Times New Roman" w:cs="Times New Roman"/>
          <w:b/>
          <w:spacing w:val="1"/>
          <w:lang w:eastAsia="zh-CN"/>
        </w:rPr>
        <w:br w:type="page"/>
      </w:r>
      <w:r>
        <w:rPr>
          <w:rFonts w:ascii="Times New Roman" w:cs="Times New Roman"/>
          <w:b/>
          <w:spacing w:val="1"/>
          <w:lang w:eastAsia="zh-CN"/>
        </w:rPr>
        <w:t>发包人提供材料和工程设备一览表</w:t>
      </w:r>
      <w:bookmarkEnd w:id="581"/>
      <w:bookmarkEnd w:id="582"/>
      <w:bookmarkEnd w:id="583"/>
    </w:p>
    <w:p>
      <w:pPr>
        <w:spacing w:before="19" w:line="200" w:lineRule="exact"/>
        <w:rPr>
          <w:sz w:val="28"/>
          <w:szCs w:val="28"/>
        </w:rPr>
      </w:pPr>
    </w:p>
    <w:p>
      <w:pPr>
        <w:pStyle w:val="77"/>
        <w:tabs>
          <w:tab w:val="left" w:pos="707"/>
        </w:tabs>
        <w:jc w:val="center"/>
        <w:outlineLvl w:val="2"/>
        <w:rPr>
          <w:rFonts w:ascii="Times New Roman" w:hAnsi="Times New Roman" w:cs="Times New Roman"/>
          <w:b/>
          <w:spacing w:val="1"/>
          <w:lang w:eastAsia="zh-CN"/>
        </w:rPr>
      </w:pPr>
      <w:bookmarkStart w:id="584" w:name="_Toc359844005"/>
      <w:bookmarkStart w:id="585" w:name="_Toc359843546"/>
      <w:bookmarkStart w:id="586" w:name="_Toc359930038"/>
    </w:p>
    <w:p>
      <w:pPr>
        <w:pStyle w:val="78"/>
        <w:spacing w:line="362" w:lineRule="auto"/>
        <w:ind w:firstLine="540" w:firstLineChars="300"/>
        <w:rPr>
          <w:rFonts w:ascii="Times New Roman" w:hAnsi="Times New Roman" w:cs="Times New Roman"/>
          <w:sz w:val="18"/>
          <w:szCs w:val="18"/>
          <w:lang w:eastAsia="zh-CN"/>
        </w:rPr>
      </w:pPr>
      <w:r>
        <w:rPr>
          <w:rFonts w:ascii="Times New Roman" w:hAnsi="宋体" w:cs="Times New Roman"/>
          <w:sz w:val="18"/>
          <w:szCs w:val="18"/>
          <w:lang w:eastAsia="zh-CN"/>
        </w:rPr>
        <w:t>工程名称：</w:t>
      </w:r>
      <w:r>
        <w:rPr>
          <w:rFonts w:ascii="Times New Roman" w:hAnsi="Times New Roman" w:cs="Times New Roman"/>
          <w:sz w:val="18"/>
          <w:szCs w:val="18"/>
          <w:lang w:eastAsia="zh-CN"/>
        </w:rPr>
        <w:tab/>
      </w:r>
      <w:r>
        <w:rPr>
          <w:rFonts w:ascii="Times New Roman" w:hAnsi="宋体" w:cs="Times New Roman"/>
          <w:sz w:val="18"/>
          <w:szCs w:val="18"/>
          <w:lang w:eastAsia="zh-CN"/>
        </w:rPr>
        <w:t>标段</w:t>
      </w:r>
      <w:r>
        <w:rPr>
          <w:rFonts w:ascii="Times New Roman" w:hAnsi="Times New Roman" w:cs="Times New Roman"/>
          <w:sz w:val="18"/>
          <w:szCs w:val="18"/>
          <w:lang w:eastAsia="zh-CN"/>
        </w:rPr>
        <w:t xml:space="preserve">:                                      </w:t>
      </w:r>
      <w:r>
        <w:rPr>
          <w:rFonts w:ascii="Times New Roman" w:hAnsi="宋体" w:cs="Times New Roman"/>
          <w:sz w:val="18"/>
          <w:szCs w:val="18"/>
          <w:lang w:eastAsia="zh-CN"/>
        </w:rPr>
        <w:t>第页共页</w:t>
      </w:r>
    </w:p>
    <w:tbl>
      <w:tblPr>
        <w:tblStyle w:val="57"/>
        <w:tblW w:w="8699" w:type="dxa"/>
        <w:jc w:val="center"/>
        <w:tblLayout w:type="fixed"/>
        <w:tblCellMar>
          <w:top w:w="0" w:type="dxa"/>
          <w:left w:w="0" w:type="dxa"/>
          <w:bottom w:w="0" w:type="dxa"/>
          <w:right w:w="0" w:type="dxa"/>
        </w:tblCellMar>
      </w:tblPr>
      <w:tblGrid>
        <w:gridCol w:w="600"/>
        <w:gridCol w:w="1077"/>
        <w:gridCol w:w="2005"/>
        <w:gridCol w:w="735"/>
        <w:gridCol w:w="600"/>
        <w:gridCol w:w="757"/>
        <w:gridCol w:w="735"/>
        <w:gridCol w:w="795"/>
        <w:gridCol w:w="765"/>
        <w:gridCol w:w="630"/>
      </w:tblGrid>
      <w:tr>
        <w:tblPrEx>
          <w:tblCellMar>
            <w:top w:w="0" w:type="dxa"/>
            <w:left w:w="0" w:type="dxa"/>
            <w:bottom w:w="0" w:type="dxa"/>
            <w:right w:w="0" w:type="dxa"/>
          </w:tblCellMar>
        </w:tblPrEx>
        <w:trPr>
          <w:trHeight w:val="1072"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序号</w:t>
            </w:r>
          </w:p>
        </w:tc>
        <w:tc>
          <w:tcPr>
            <w:tcW w:w="1077" w:type="dxa"/>
            <w:tcBorders>
              <w:top w:val="single" w:color="000000" w:sz="4" w:space="0"/>
              <w:left w:val="single" w:color="000000" w:sz="4" w:space="0"/>
              <w:bottom w:val="single" w:color="000000" w:sz="4" w:space="0"/>
              <w:right w:val="single" w:color="000000" w:sz="4" w:space="0"/>
            </w:tcBorders>
            <w:vAlign w:val="center"/>
          </w:tcPr>
          <w:p>
            <w:pPr>
              <w:rPr>
                <w:sz w:val="18"/>
                <w:szCs w:val="18"/>
              </w:rPr>
            </w:pPr>
            <w:r>
              <w:rPr>
                <w:rFonts w:hAnsi="宋体"/>
                <w:sz w:val="18"/>
                <w:szCs w:val="18"/>
              </w:rPr>
              <w:t>材料编码</w:t>
            </w: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材料</w:t>
            </w:r>
            <w:r>
              <w:rPr>
                <w:rFonts w:ascii="Times New Roman" w:hAnsi="Times New Roman" w:cs="Times New Roman"/>
                <w:sz w:val="18"/>
                <w:szCs w:val="18"/>
                <w:lang w:eastAsia="zh-CN"/>
              </w:rPr>
              <w:t>(</w:t>
            </w:r>
            <w:r>
              <w:rPr>
                <w:rFonts w:ascii="Times New Roman" w:hAnsi="宋体" w:cs="Times New Roman"/>
                <w:sz w:val="18"/>
                <w:szCs w:val="18"/>
                <w:lang w:eastAsia="zh-CN"/>
              </w:rPr>
              <w:t>工程设备</w:t>
            </w:r>
            <w:r>
              <w:rPr>
                <w:rFonts w:ascii="Times New Roman" w:hAnsi="Times New Roman" w:cs="Times New Roman"/>
                <w:sz w:val="18"/>
                <w:szCs w:val="18"/>
                <w:lang w:eastAsia="zh-CN"/>
              </w:rPr>
              <w:t>)</w:t>
            </w:r>
          </w:p>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名称、规格、型号</w:t>
            </w: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单位</w:t>
            </w: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数量</w:t>
            </w: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单价</w:t>
            </w:r>
          </w:p>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（元）</w:t>
            </w:r>
          </w:p>
        </w:tc>
        <w:tc>
          <w:tcPr>
            <w:tcW w:w="73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合价</w:t>
            </w:r>
          </w:p>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（元）</w:t>
            </w:r>
          </w:p>
        </w:tc>
        <w:tc>
          <w:tcPr>
            <w:tcW w:w="795" w:type="dxa"/>
            <w:tcBorders>
              <w:top w:val="single" w:color="000000" w:sz="4" w:space="0"/>
              <w:left w:val="single" w:color="000000" w:sz="4" w:space="0"/>
              <w:bottom w:val="single" w:color="000000" w:sz="4" w:space="0"/>
              <w:right w:val="single" w:color="000000" w:sz="4" w:space="0"/>
            </w:tcBorders>
            <w:tcMar>
              <w:top w:w="28" w:type="dxa"/>
              <w:left w:w="28" w:type="dxa"/>
              <w:bottom w:w="28" w:type="dxa"/>
              <w:right w:w="28" w:type="dxa"/>
            </w:tcMar>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交货</w:t>
            </w:r>
          </w:p>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方式</w:t>
            </w:r>
          </w:p>
        </w:tc>
        <w:tc>
          <w:tcPr>
            <w:tcW w:w="765" w:type="dxa"/>
            <w:tcBorders>
              <w:top w:val="single" w:color="000000" w:sz="4" w:space="0"/>
              <w:left w:val="single" w:color="000000" w:sz="4" w:space="0"/>
              <w:bottom w:val="single" w:color="000000" w:sz="4" w:space="0"/>
              <w:right w:val="single" w:color="000000" w:sz="6" w:space="0"/>
            </w:tcBorders>
            <w:tcMar>
              <w:top w:w="28" w:type="dxa"/>
              <w:left w:w="28" w:type="dxa"/>
              <w:bottom w:w="28" w:type="dxa"/>
              <w:right w:w="28" w:type="dxa"/>
            </w:tcMar>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送达</w:t>
            </w:r>
          </w:p>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地点</w:t>
            </w:r>
          </w:p>
        </w:tc>
        <w:tc>
          <w:tcPr>
            <w:tcW w:w="630" w:type="dxa"/>
            <w:tcBorders>
              <w:top w:val="single" w:color="000000" w:sz="4" w:space="0"/>
              <w:left w:val="single" w:color="000000" w:sz="6" w:space="0"/>
              <w:bottom w:val="single" w:color="000000" w:sz="4" w:space="0"/>
              <w:right w:val="single" w:color="000000" w:sz="4" w:space="0"/>
            </w:tcBorders>
            <w:tcMar>
              <w:top w:w="28" w:type="dxa"/>
              <w:left w:w="28" w:type="dxa"/>
              <w:bottom w:w="28" w:type="dxa"/>
              <w:right w:w="28" w:type="dxa"/>
            </w:tcMar>
            <w:vAlign w:val="center"/>
          </w:tcPr>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备注</w:t>
            </w: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6" w:space="0"/>
              <w:bottom w:val="single" w:color="000000" w:sz="4" w:space="0"/>
              <w:right w:val="single" w:color="000000" w:sz="6"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auto" w:sz="2"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30" w:type="dxa"/>
            <w:tcBorders>
              <w:top w:val="single" w:color="000000" w:sz="4" w:space="0"/>
              <w:left w:val="single" w:color="000000" w:sz="6"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6" w:space="0"/>
              <w:bottom w:val="single" w:color="000000" w:sz="4" w:space="0"/>
              <w:right w:val="single" w:color="000000" w:sz="6"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auto" w:sz="2"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rPr>
                <w:sz w:val="18"/>
                <w:szCs w:val="18"/>
              </w:rPr>
            </w:pPr>
          </w:p>
        </w:tc>
        <w:tc>
          <w:tcPr>
            <w:tcW w:w="630" w:type="dxa"/>
            <w:tcBorders>
              <w:top w:val="single" w:color="000000" w:sz="4" w:space="0"/>
              <w:left w:val="single" w:color="000000" w:sz="6" w:space="0"/>
              <w:bottom w:val="single" w:color="000000" w:sz="4" w:space="0"/>
              <w:right w:val="single" w:color="000000" w:sz="4" w:space="0"/>
            </w:tcBorders>
            <w:vAlign w:val="center"/>
          </w:tcPr>
          <w:p>
            <w:pPr>
              <w:rPr>
                <w:sz w:val="18"/>
                <w:szCs w:val="18"/>
              </w:rPr>
            </w:pPr>
          </w:p>
        </w:tc>
      </w:tr>
      <w:tr>
        <w:tblPrEx>
          <w:tblCellMar>
            <w:top w:w="0" w:type="dxa"/>
            <w:left w:w="0" w:type="dxa"/>
            <w:bottom w:w="0" w:type="dxa"/>
            <w:right w:w="0" w:type="dxa"/>
          </w:tblCellMar>
        </w:tblPrEx>
        <w:trPr>
          <w:trHeight w:val="680" w:hRule="exact"/>
          <w:jc w:val="center"/>
        </w:trPr>
        <w:tc>
          <w:tcPr>
            <w:tcW w:w="600" w:type="dxa"/>
            <w:tcBorders>
              <w:top w:val="single" w:color="000000" w:sz="4" w:space="0"/>
              <w:left w:val="single" w:color="000000" w:sz="4" w:space="0"/>
              <w:bottom w:val="single" w:color="000000" w:sz="4" w:space="0"/>
              <w:right w:val="single" w:color="000000" w:sz="6"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1077" w:type="dxa"/>
            <w:tcBorders>
              <w:top w:val="single" w:color="000000" w:sz="4" w:space="0"/>
              <w:left w:val="single" w:color="000000" w:sz="6" w:space="0"/>
              <w:bottom w:val="single" w:color="000000" w:sz="4" w:space="0"/>
              <w:right w:val="single" w:color="000000" w:sz="6" w:space="0"/>
            </w:tcBorders>
          </w:tcPr>
          <w:p>
            <w:pPr>
              <w:pStyle w:val="78"/>
              <w:spacing w:line="362" w:lineRule="auto"/>
              <w:ind w:firstLine="180" w:firstLineChars="100"/>
              <w:rPr>
                <w:rFonts w:ascii="Times New Roman" w:hAnsi="Times New Roman" w:cs="Times New Roman"/>
                <w:sz w:val="18"/>
                <w:szCs w:val="18"/>
                <w:lang w:eastAsia="zh-CN"/>
              </w:rPr>
            </w:pPr>
          </w:p>
        </w:tc>
        <w:tc>
          <w:tcPr>
            <w:tcW w:w="2005"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600" w:type="dxa"/>
            <w:tcBorders>
              <w:top w:val="single" w:color="000000" w:sz="4" w:space="0"/>
              <w:left w:val="single" w:color="000000" w:sz="6" w:space="0"/>
              <w:bottom w:val="single" w:color="000000" w:sz="4" w:space="0"/>
              <w:right w:val="single" w:color="auto" w:sz="2"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57" w:type="dxa"/>
            <w:tcBorders>
              <w:top w:val="single" w:color="000000" w:sz="4" w:space="0"/>
              <w:left w:val="single" w:color="auto" w:sz="2"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35" w:type="dxa"/>
            <w:tcBorders>
              <w:top w:val="single" w:color="000000" w:sz="4" w:space="0"/>
              <w:left w:val="single" w:color="000000" w:sz="4" w:space="0"/>
              <w:bottom w:val="single" w:color="000000" w:sz="4" w:space="0"/>
              <w:right w:val="single" w:color="000000" w:sz="4" w:space="0"/>
            </w:tcBorders>
          </w:tcPr>
          <w:p>
            <w:pPr>
              <w:pStyle w:val="78"/>
              <w:spacing w:line="362" w:lineRule="auto"/>
              <w:ind w:firstLine="180" w:firstLineChars="100"/>
              <w:rPr>
                <w:rFonts w:ascii="Times New Roman" w:hAnsi="Times New Roman" w:cs="Times New Roman"/>
                <w:sz w:val="18"/>
                <w:szCs w:val="18"/>
                <w:lang w:eastAsia="zh-CN"/>
              </w:rPr>
            </w:pPr>
          </w:p>
        </w:tc>
        <w:tc>
          <w:tcPr>
            <w:tcW w:w="795"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ind w:firstLine="180" w:firstLineChars="100"/>
              <w:rPr>
                <w:rFonts w:ascii="Times New Roman" w:hAnsi="Times New Roman" w:cs="Times New Roman"/>
                <w:sz w:val="18"/>
                <w:szCs w:val="18"/>
                <w:lang w:eastAsia="zh-CN"/>
              </w:rPr>
            </w:pPr>
          </w:p>
        </w:tc>
        <w:tc>
          <w:tcPr>
            <w:tcW w:w="765" w:type="dxa"/>
            <w:tcBorders>
              <w:top w:val="single" w:color="000000" w:sz="4" w:space="0"/>
              <w:left w:val="single" w:color="000000" w:sz="4" w:space="0"/>
              <w:bottom w:val="single" w:color="000000" w:sz="4" w:space="0"/>
              <w:right w:val="single" w:color="000000" w:sz="6" w:space="0"/>
            </w:tcBorders>
            <w:vAlign w:val="center"/>
          </w:tcPr>
          <w:p>
            <w:pPr>
              <w:rPr>
                <w:sz w:val="18"/>
                <w:szCs w:val="18"/>
              </w:rPr>
            </w:pPr>
          </w:p>
        </w:tc>
        <w:tc>
          <w:tcPr>
            <w:tcW w:w="630" w:type="dxa"/>
            <w:tcBorders>
              <w:top w:val="single" w:color="000000" w:sz="4" w:space="0"/>
              <w:left w:val="single" w:color="000000" w:sz="6" w:space="0"/>
              <w:bottom w:val="single" w:color="000000" w:sz="4" w:space="0"/>
              <w:right w:val="single" w:color="000000" w:sz="4" w:space="0"/>
            </w:tcBorders>
            <w:vAlign w:val="center"/>
          </w:tcPr>
          <w:p>
            <w:pPr>
              <w:rPr>
                <w:sz w:val="18"/>
                <w:szCs w:val="18"/>
              </w:rPr>
            </w:pPr>
          </w:p>
        </w:tc>
      </w:tr>
    </w:tbl>
    <w:p>
      <w:pPr>
        <w:pStyle w:val="78"/>
        <w:spacing w:line="362" w:lineRule="auto"/>
        <w:ind w:firstLine="180" w:firstLineChars="100"/>
        <w:rPr>
          <w:rFonts w:ascii="Times New Roman" w:hAnsi="Times New Roman" w:cs="Times New Roman"/>
          <w:sz w:val="18"/>
          <w:szCs w:val="18"/>
          <w:lang w:eastAsia="zh-CN"/>
        </w:rPr>
      </w:pPr>
    </w:p>
    <w:p>
      <w:pPr>
        <w:pStyle w:val="78"/>
        <w:spacing w:line="362" w:lineRule="auto"/>
        <w:ind w:firstLine="180" w:firstLineChars="100"/>
        <w:rPr>
          <w:rFonts w:ascii="Times New Roman" w:hAnsi="Times New Roman" w:cs="Times New Roman"/>
          <w:sz w:val="18"/>
          <w:szCs w:val="18"/>
          <w:lang w:eastAsia="zh-CN"/>
        </w:rPr>
      </w:pPr>
      <w:r>
        <w:rPr>
          <w:rFonts w:ascii="Times New Roman" w:hAnsi="宋体" w:cs="Times New Roman"/>
          <w:sz w:val="18"/>
          <w:szCs w:val="18"/>
          <w:lang w:eastAsia="zh-CN"/>
        </w:rPr>
        <w:t>注</w:t>
      </w:r>
      <w:r>
        <w:rPr>
          <w:rFonts w:ascii="Times New Roman" w:hAnsi="Times New Roman" w:cs="Times New Roman"/>
          <w:sz w:val="18"/>
          <w:szCs w:val="18"/>
          <w:lang w:eastAsia="zh-CN"/>
        </w:rPr>
        <w:t>:1.</w:t>
      </w:r>
      <w:r>
        <w:rPr>
          <w:rFonts w:ascii="Times New Roman" w:hAnsi="宋体" w:cs="Times New Roman"/>
          <w:sz w:val="18"/>
          <w:szCs w:val="18"/>
          <w:lang w:eastAsia="zh-CN"/>
        </w:rPr>
        <w:t>此表由招标人填写除</w:t>
      </w:r>
      <w:r>
        <w:rPr>
          <w:rFonts w:ascii="Times New Roman" w:hAnsi="Times New Roman" w:cs="Times New Roman"/>
          <w:sz w:val="18"/>
          <w:szCs w:val="18"/>
          <w:lang w:eastAsia="zh-CN"/>
        </w:rPr>
        <w:t>“</w:t>
      </w:r>
      <w:r>
        <w:rPr>
          <w:rFonts w:ascii="Times New Roman" w:hAnsi="宋体" w:cs="Times New Roman"/>
          <w:sz w:val="18"/>
          <w:szCs w:val="18"/>
          <w:lang w:eastAsia="zh-CN"/>
        </w:rPr>
        <w:t>数量</w:t>
      </w:r>
      <w:r>
        <w:rPr>
          <w:rFonts w:ascii="Times New Roman" w:hAnsi="Times New Roman" w:cs="Times New Roman"/>
          <w:sz w:val="18"/>
          <w:szCs w:val="18"/>
          <w:lang w:eastAsia="zh-CN"/>
        </w:rPr>
        <w:t>”</w:t>
      </w:r>
      <w:r>
        <w:rPr>
          <w:rFonts w:ascii="Times New Roman" w:hAnsi="宋体" w:cs="Times New Roman"/>
          <w:sz w:val="18"/>
          <w:szCs w:val="18"/>
          <w:lang w:eastAsia="zh-CN"/>
        </w:rPr>
        <w:t>、</w:t>
      </w:r>
      <w:r>
        <w:rPr>
          <w:rFonts w:ascii="Times New Roman" w:hAnsi="Times New Roman" w:cs="Times New Roman"/>
          <w:sz w:val="18"/>
          <w:szCs w:val="18"/>
          <w:lang w:eastAsia="zh-CN"/>
        </w:rPr>
        <w:t>“</w:t>
      </w:r>
      <w:r>
        <w:rPr>
          <w:rFonts w:ascii="Times New Roman" w:hAnsi="宋体" w:cs="Times New Roman"/>
          <w:sz w:val="18"/>
          <w:szCs w:val="18"/>
          <w:lang w:eastAsia="zh-CN"/>
        </w:rPr>
        <w:t>合价</w:t>
      </w:r>
      <w:r>
        <w:rPr>
          <w:rFonts w:ascii="Times New Roman" w:hAnsi="Times New Roman" w:cs="Times New Roman"/>
          <w:sz w:val="18"/>
          <w:szCs w:val="18"/>
          <w:lang w:eastAsia="zh-CN"/>
        </w:rPr>
        <w:t>”</w:t>
      </w:r>
      <w:r>
        <w:rPr>
          <w:rFonts w:ascii="Times New Roman" w:hAnsi="宋体" w:cs="Times New Roman"/>
          <w:sz w:val="18"/>
          <w:szCs w:val="18"/>
          <w:lang w:eastAsia="zh-CN"/>
        </w:rPr>
        <w:t>栏之外的内容，</w:t>
      </w:r>
      <w:r>
        <w:rPr>
          <w:rFonts w:ascii="Times New Roman" w:hAnsi="Times New Roman" w:cs="Times New Roman"/>
          <w:sz w:val="18"/>
          <w:szCs w:val="18"/>
          <w:lang w:eastAsia="zh-CN"/>
        </w:rPr>
        <w:t>“</w:t>
      </w:r>
      <w:r>
        <w:rPr>
          <w:rFonts w:ascii="Times New Roman" w:hAnsi="宋体" w:cs="Times New Roman"/>
          <w:sz w:val="18"/>
          <w:szCs w:val="18"/>
          <w:lang w:eastAsia="zh-CN"/>
        </w:rPr>
        <w:t>数量</w:t>
      </w:r>
      <w:r>
        <w:rPr>
          <w:rFonts w:ascii="Times New Roman" w:hAnsi="Times New Roman" w:cs="Times New Roman"/>
          <w:sz w:val="18"/>
          <w:szCs w:val="18"/>
          <w:lang w:eastAsia="zh-CN"/>
        </w:rPr>
        <w:t>”</w:t>
      </w:r>
      <w:r>
        <w:rPr>
          <w:rFonts w:ascii="Times New Roman" w:hAnsi="宋体" w:cs="Times New Roman"/>
          <w:sz w:val="18"/>
          <w:szCs w:val="18"/>
          <w:lang w:eastAsia="zh-CN"/>
        </w:rPr>
        <w:t>、</w:t>
      </w:r>
      <w:r>
        <w:rPr>
          <w:rFonts w:ascii="Times New Roman" w:hAnsi="Times New Roman" w:cs="Times New Roman"/>
          <w:sz w:val="18"/>
          <w:szCs w:val="18"/>
          <w:lang w:eastAsia="zh-CN"/>
        </w:rPr>
        <w:t>“</w:t>
      </w:r>
      <w:r>
        <w:rPr>
          <w:rFonts w:ascii="Times New Roman" w:hAnsi="宋体" w:cs="Times New Roman"/>
          <w:sz w:val="18"/>
          <w:szCs w:val="18"/>
          <w:lang w:eastAsia="zh-CN"/>
        </w:rPr>
        <w:t>合价</w:t>
      </w:r>
      <w:r>
        <w:rPr>
          <w:rFonts w:ascii="Times New Roman" w:hAnsi="Times New Roman" w:cs="Times New Roman"/>
          <w:sz w:val="18"/>
          <w:szCs w:val="18"/>
          <w:lang w:eastAsia="zh-CN"/>
        </w:rPr>
        <w:t>”</w:t>
      </w:r>
      <w:r>
        <w:rPr>
          <w:rFonts w:ascii="Times New Roman" w:hAnsi="宋体" w:cs="Times New Roman"/>
          <w:sz w:val="18"/>
          <w:szCs w:val="18"/>
          <w:lang w:eastAsia="zh-CN"/>
        </w:rPr>
        <w:t>由投标人填写。</w:t>
      </w:r>
    </w:p>
    <w:p>
      <w:pPr>
        <w:pStyle w:val="78"/>
        <w:spacing w:line="362" w:lineRule="auto"/>
        <w:ind w:firstLine="450" w:firstLineChars="250"/>
        <w:rPr>
          <w:rFonts w:ascii="Times New Roman" w:hAnsi="Times New Roman" w:cs="Times New Roman"/>
          <w:sz w:val="18"/>
          <w:szCs w:val="18"/>
          <w:lang w:eastAsia="zh-CN"/>
        </w:rPr>
      </w:pPr>
      <w:r>
        <w:rPr>
          <w:rFonts w:ascii="Times New Roman" w:hAnsi="Times New Roman" w:cs="Times New Roman"/>
          <w:sz w:val="18"/>
          <w:szCs w:val="18"/>
          <w:lang w:eastAsia="zh-CN"/>
        </w:rPr>
        <w:t>2.</w:t>
      </w:r>
      <w:r>
        <w:rPr>
          <w:rFonts w:ascii="Times New Roman" w:hAnsi="宋体" w:cs="Times New Roman"/>
          <w:sz w:val="18"/>
          <w:szCs w:val="18"/>
          <w:lang w:eastAsia="zh-CN"/>
        </w:rPr>
        <w:t>结算时，</w:t>
      </w:r>
      <w:r>
        <w:rPr>
          <w:rFonts w:ascii="Times New Roman" w:hAnsi="Times New Roman" w:cs="Times New Roman"/>
          <w:sz w:val="18"/>
          <w:szCs w:val="18"/>
          <w:lang w:eastAsia="zh-CN"/>
        </w:rPr>
        <w:t>“</w:t>
      </w:r>
      <w:r>
        <w:rPr>
          <w:rFonts w:ascii="Times New Roman" w:hAnsi="宋体" w:cs="Times New Roman"/>
          <w:sz w:val="18"/>
          <w:szCs w:val="18"/>
          <w:lang w:eastAsia="zh-CN"/>
        </w:rPr>
        <w:t>单价</w:t>
      </w:r>
      <w:r>
        <w:rPr>
          <w:rFonts w:ascii="Times New Roman" w:hAnsi="Times New Roman" w:cs="Times New Roman"/>
          <w:sz w:val="18"/>
          <w:szCs w:val="18"/>
          <w:lang w:eastAsia="zh-CN"/>
        </w:rPr>
        <w:t>”</w:t>
      </w:r>
      <w:r>
        <w:rPr>
          <w:rFonts w:ascii="Times New Roman" w:hAnsi="宋体" w:cs="Times New Roman"/>
          <w:sz w:val="18"/>
          <w:szCs w:val="18"/>
          <w:lang w:eastAsia="zh-CN"/>
        </w:rPr>
        <w:t>栏按招标人实际采购价（包含采保费）列入。</w:t>
      </w:r>
    </w:p>
    <w:p>
      <w:pPr>
        <w:pStyle w:val="78"/>
        <w:spacing w:line="362" w:lineRule="auto"/>
        <w:jc w:val="right"/>
        <w:rPr>
          <w:rFonts w:ascii="Times New Roman" w:hAnsi="Times New Roman" w:cs="Times New Roman"/>
          <w:sz w:val="18"/>
          <w:szCs w:val="18"/>
          <w:lang w:eastAsia="zh-CN"/>
        </w:rPr>
      </w:pPr>
      <w:r>
        <w:rPr>
          <w:rFonts w:ascii="Times New Roman" w:hAnsi="宋体" w:cs="Times New Roman"/>
          <w:sz w:val="18"/>
          <w:szCs w:val="18"/>
          <w:lang w:eastAsia="zh-CN"/>
        </w:rPr>
        <w:t>表</w:t>
      </w:r>
      <w:r>
        <w:rPr>
          <w:rFonts w:ascii="Times New Roman" w:hAnsi="Times New Roman" w:cs="Times New Roman"/>
          <w:sz w:val="18"/>
          <w:szCs w:val="18"/>
          <w:lang w:eastAsia="zh-CN"/>
        </w:rPr>
        <w:t>-20</w:t>
      </w:r>
    </w:p>
    <w:p>
      <w:pPr>
        <w:pStyle w:val="77"/>
        <w:tabs>
          <w:tab w:val="left" w:pos="707"/>
        </w:tabs>
        <w:jc w:val="center"/>
        <w:outlineLvl w:val="2"/>
        <w:rPr>
          <w:rFonts w:ascii="Times New Roman" w:hAnsi="Times New Roman" w:cs="Times New Roman"/>
          <w:b/>
          <w:spacing w:val="1"/>
          <w:lang w:eastAsia="zh-CN"/>
        </w:rPr>
      </w:pPr>
      <w:r>
        <w:rPr>
          <w:rFonts w:ascii="Times New Roman" w:cs="Times New Roman"/>
          <w:b/>
          <w:spacing w:val="1"/>
          <w:lang w:eastAsia="zh-CN"/>
        </w:rPr>
        <w:br w:type="page"/>
      </w:r>
      <w:r>
        <w:rPr>
          <w:rFonts w:ascii="Times New Roman" w:cs="Times New Roman"/>
          <w:b/>
          <w:spacing w:val="1"/>
          <w:lang w:eastAsia="zh-CN"/>
        </w:rPr>
        <w:t>承包人提供主要材料和工程设备一览表</w:t>
      </w:r>
      <w:bookmarkEnd w:id="584"/>
      <w:bookmarkEnd w:id="585"/>
      <w:bookmarkEnd w:id="586"/>
    </w:p>
    <w:p>
      <w:pPr>
        <w:pStyle w:val="79"/>
        <w:spacing w:before="8"/>
        <w:jc w:val="center"/>
        <w:rPr>
          <w:rFonts w:ascii="Times New Roman" w:hAnsi="Times New Roman" w:cs="Times New Roman"/>
          <w:sz w:val="24"/>
          <w:szCs w:val="24"/>
          <w:lang w:eastAsia="zh-CN"/>
        </w:rPr>
      </w:pPr>
      <w:r>
        <w:rPr>
          <w:rFonts w:ascii="Times New Roman" w:hAnsi="Times New Roman" w:cs="Times New Roman"/>
          <w:spacing w:val="1"/>
          <w:sz w:val="24"/>
          <w:szCs w:val="24"/>
          <w:lang w:eastAsia="zh-CN"/>
        </w:rPr>
        <w:t>(</w:t>
      </w:r>
      <w:r>
        <w:rPr>
          <w:rFonts w:ascii="Times New Roman" w:cs="Times New Roman"/>
          <w:spacing w:val="1"/>
          <w:sz w:val="24"/>
          <w:szCs w:val="24"/>
          <w:lang w:eastAsia="zh-CN"/>
        </w:rPr>
        <w:t>适用于造价信息差额调整法</w:t>
      </w:r>
      <w:r>
        <w:rPr>
          <w:rFonts w:ascii="Times New Roman" w:hAnsi="Times New Roman" w:cs="Times New Roman"/>
          <w:spacing w:val="1"/>
          <w:sz w:val="24"/>
          <w:szCs w:val="24"/>
          <w:lang w:eastAsia="zh-CN"/>
        </w:rPr>
        <w:t>)</w:t>
      </w:r>
    </w:p>
    <w:p>
      <w:pPr>
        <w:spacing w:before="19" w:line="200" w:lineRule="exact"/>
        <w:rPr>
          <w:sz w:val="20"/>
          <w:szCs w:val="20"/>
        </w:rPr>
      </w:pPr>
    </w:p>
    <w:p>
      <w:pPr>
        <w:pStyle w:val="2"/>
        <w:tabs>
          <w:tab w:val="left" w:pos="4094"/>
          <w:tab w:val="left" w:pos="7455"/>
          <w:tab w:val="left" w:pos="7981"/>
          <w:tab w:val="left" w:pos="8715"/>
        </w:tabs>
        <w:rPr>
          <w:rFonts w:eastAsia="宋体"/>
        </w:rPr>
      </w:pPr>
      <w:r>
        <w:rPr>
          <w:rFonts w:hAnsi="宋体" w:eastAsia="宋体"/>
        </w:rPr>
        <w:t>工</w:t>
      </w:r>
      <w:r>
        <w:rPr>
          <w:rFonts w:hAnsi="宋体" w:eastAsia="宋体"/>
          <w:spacing w:val="-3"/>
        </w:rPr>
        <w:t>程</w:t>
      </w:r>
      <w:r>
        <w:rPr>
          <w:rFonts w:hAnsi="宋体" w:eastAsia="宋体"/>
        </w:rPr>
        <w:t>名</w:t>
      </w:r>
      <w:r>
        <w:rPr>
          <w:rFonts w:hAnsi="宋体" w:eastAsia="宋体"/>
          <w:spacing w:val="-3"/>
        </w:rPr>
        <w:t>称</w:t>
      </w:r>
      <w:r>
        <w:rPr>
          <w:rFonts w:hAnsi="宋体" w:eastAsia="宋体"/>
        </w:rPr>
        <w:t>：标</w:t>
      </w:r>
      <w:r>
        <w:rPr>
          <w:rFonts w:hAnsi="宋体" w:eastAsia="宋体"/>
          <w:spacing w:val="-3"/>
        </w:rPr>
        <w:t>段</w:t>
      </w:r>
      <w:r>
        <w:rPr>
          <w:rFonts w:hAnsi="宋体" w:eastAsia="宋体"/>
        </w:rPr>
        <w:t>：第</w:t>
      </w:r>
      <w:r>
        <w:rPr>
          <w:rFonts w:hAnsi="宋体" w:eastAsia="宋体"/>
          <w:spacing w:val="-3"/>
        </w:rPr>
        <w:t>页</w:t>
      </w:r>
      <w:r>
        <w:rPr>
          <w:rFonts w:hAnsi="宋体" w:eastAsia="宋体"/>
        </w:rPr>
        <w:t>共页</w:t>
      </w:r>
    </w:p>
    <w:p>
      <w:pPr>
        <w:spacing w:before="9" w:line="40" w:lineRule="exact"/>
        <w:rPr>
          <w:sz w:val="4"/>
          <w:szCs w:val="4"/>
        </w:rPr>
      </w:pPr>
    </w:p>
    <w:tbl>
      <w:tblPr>
        <w:tblStyle w:val="57"/>
        <w:tblW w:w="9252" w:type="dxa"/>
        <w:jc w:val="center"/>
        <w:tblLayout w:type="fixed"/>
        <w:tblCellMar>
          <w:top w:w="0" w:type="dxa"/>
          <w:left w:w="0" w:type="dxa"/>
          <w:bottom w:w="0" w:type="dxa"/>
          <w:right w:w="0" w:type="dxa"/>
        </w:tblCellMar>
      </w:tblPr>
      <w:tblGrid>
        <w:gridCol w:w="649"/>
        <w:gridCol w:w="1341"/>
        <w:gridCol w:w="1575"/>
        <w:gridCol w:w="758"/>
        <w:gridCol w:w="758"/>
        <w:gridCol w:w="850"/>
        <w:gridCol w:w="851"/>
        <w:gridCol w:w="851"/>
        <w:gridCol w:w="851"/>
        <w:gridCol w:w="768"/>
      </w:tblGrid>
      <w:tr>
        <w:tblPrEx>
          <w:tblCellMar>
            <w:top w:w="0" w:type="dxa"/>
            <w:left w:w="0" w:type="dxa"/>
            <w:bottom w:w="0" w:type="dxa"/>
            <w:right w:w="0" w:type="dxa"/>
          </w:tblCellMar>
        </w:tblPrEx>
        <w:trPr>
          <w:trHeight w:val="1238"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序号</w:t>
            </w:r>
          </w:p>
        </w:tc>
        <w:tc>
          <w:tcPr>
            <w:tcW w:w="1341"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材料编码</w:t>
            </w:r>
          </w:p>
        </w:tc>
        <w:tc>
          <w:tcPr>
            <w:tcW w:w="1575"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名称、规格、型号</w:t>
            </w:r>
          </w:p>
        </w:tc>
        <w:tc>
          <w:tcPr>
            <w:tcW w:w="758"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jc w:val="center"/>
              <w:rPr>
                <w:rFonts w:ascii="Times New Roman" w:hAnsi="Times New Roman" w:cs="Times New Roman"/>
                <w:sz w:val="18"/>
                <w:szCs w:val="18"/>
                <w:lang w:eastAsia="zh-CN"/>
              </w:rPr>
            </w:pPr>
            <w:r>
              <w:rPr>
                <w:rFonts w:ascii="Times New Roman" w:hAnsi="宋体" w:cs="Times New Roman"/>
                <w:sz w:val="18"/>
                <w:szCs w:val="18"/>
                <w:lang w:eastAsia="zh-CN"/>
              </w:rPr>
              <w:t>单位</w:t>
            </w:r>
          </w:p>
        </w:tc>
        <w:tc>
          <w:tcPr>
            <w:tcW w:w="758" w:type="dxa"/>
            <w:tcBorders>
              <w:top w:val="single" w:color="000000" w:sz="4" w:space="0"/>
              <w:left w:val="single" w:color="000000" w:sz="4" w:space="0"/>
              <w:bottom w:val="single" w:color="000000" w:sz="4" w:space="0"/>
              <w:right w:val="single" w:color="000000" w:sz="4" w:space="0"/>
            </w:tcBorders>
            <w:vAlign w:val="center"/>
          </w:tcPr>
          <w:p>
            <w:pPr>
              <w:pStyle w:val="78"/>
              <w:spacing w:line="362" w:lineRule="auto"/>
              <w:jc w:val="center"/>
              <w:rPr>
                <w:rFonts w:ascii="Times New Roman" w:hAnsi="Times New Roman" w:cs="Times New Roman"/>
                <w:sz w:val="18"/>
                <w:szCs w:val="18"/>
                <w:lang w:eastAsia="zh-CN"/>
              </w:rPr>
            </w:pPr>
            <w:r>
              <w:rPr>
                <w:rFonts w:ascii="Times New Roman" w:hAnsi="宋体" w:cs="Times New Roman"/>
                <w:sz w:val="18"/>
                <w:szCs w:val="18"/>
                <w:lang w:eastAsia="zh-CN"/>
              </w:rPr>
              <w:t>数量</w:t>
            </w:r>
          </w:p>
        </w:tc>
        <w:tc>
          <w:tcPr>
            <w:tcW w:w="850"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风险系数</w:t>
            </w:r>
            <w:r>
              <w:rPr>
                <w:rFonts w:ascii="Times New Roman" w:hAnsi="宋体" w:cs="Times New Roman"/>
                <w:sz w:val="18"/>
                <w:szCs w:val="18"/>
              </w:rPr>
              <w:t>（</w:t>
            </w:r>
            <w:r>
              <w:rPr>
                <w:rFonts w:ascii="Times New Roman" w:hAnsi="Times New Roman" w:cs="Times New Roman"/>
                <w:spacing w:val="1"/>
                <w:sz w:val="18"/>
                <w:szCs w:val="18"/>
              </w:rPr>
              <w:t>%</w:t>
            </w:r>
            <w:r>
              <w:rPr>
                <w:rFonts w:ascii="Times New Roman" w:hAnsi="宋体" w:cs="Times New Roman"/>
                <w:sz w:val="18"/>
                <w:szCs w:val="18"/>
              </w:rPr>
              <w:t>）</w:t>
            </w:r>
          </w:p>
        </w:tc>
        <w:tc>
          <w:tcPr>
            <w:tcW w:w="851"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基准单价</w:t>
            </w:r>
            <w:r>
              <w:rPr>
                <w:rFonts w:ascii="Times New Roman" w:hAnsi="宋体" w:cs="Times New Roman"/>
                <w:sz w:val="18"/>
                <w:szCs w:val="18"/>
              </w:rPr>
              <w:t>（元）</w:t>
            </w:r>
          </w:p>
        </w:tc>
        <w:tc>
          <w:tcPr>
            <w:tcW w:w="851"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投标单价</w:t>
            </w:r>
            <w:r>
              <w:rPr>
                <w:rFonts w:ascii="Times New Roman" w:hAnsi="宋体" w:cs="Times New Roman"/>
                <w:sz w:val="18"/>
                <w:szCs w:val="18"/>
              </w:rPr>
              <w:t>（元）</w:t>
            </w:r>
          </w:p>
        </w:tc>
        <w:tc>
          <w:tcPr>
            <w:tcW w:w="851"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发承包人确认单价（元）</w:t>
            </w:r>
          </w:p>
        </w:tc>
        <w:tc>
          <w:tcPr>
            <w:tcW w:w="768"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r>
              <w:rPr>
                <w:rFonts w:ascii="Times New Roman" w:hAnsi="宋体" w:cs="Times New Roman"/>
                <w:sz w:val="18"/>
                <w:szCs w:val="18"/>
                <w:lang w:eastAsia="zh-CN"/>
              </w:rPr>
              <w:t>备注</w:t>
            </w: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lang w:eastAsia="zh-CN"/>
              </w:rPr>
            </w:pPr>
          </w:p>
        </w:tc>
        <w:tc>
          <w:tcPr>
            <w:tcW w:w="1341" w:type="dxa"/>
            <w:tcBorders>
              <w:top w:val="single" w:color="000000" w:sz="4" w:space="0"/>
              <w:left w:val="single" w:color="000000" w:sz="4" w:space="0"/>
              <w:bottom w:val="single" w:color="000000" w:sz="4" w:space="0"/>
              <w:right w:val="single" w:color="000000" w:sz="4" w:space="0"/>
            </w:tcBorders>
          </w:tcPr>
          <w:p/>
        </w:tc>
        <w:tc>
          <w:tcPr>
            <w:tcW w:w="1575" w:type="dxa"/>
            <w:tcBorders>
              <w:top w:val="single" w:color="000000" w:sz="4" w:space="0"/>
              <w:left w:val="single" w:color="000000" w:sz="4" w:space="0"/>
              <w:bottom w:val="single" w:color="000000" w:sz="4" w:space="0"/>
              <w:right w:val="single" w:color="000000" w:sz="4" w:space="0"/>
            </w:tcBorders>
            <w:vAlign w:val="center"/>
          </w:tcPr>
          <w:p/>
        </w:tc>
        <w:tc>
          <w:tcPr>
            <w:tcW w:w="758" w:type="dxa"/>
            <w:tcBorders>
              <w:top w:val="single" w:color="000000" w:sz="4" w:space="0"/>
              <w:left w:val="single" w:color="000000" w:sz="4" w:space="0"/>
              <w:bottom w:val="single" w:color="000000" w:sz="4" w:space="0"/>
              <w:right w:val="single" w:color="000000" w:sz="6" w:space="0"/>
            </w:tcBorders>
            <w:vAlign w:val="center"/>
          </w:tcPr>
          <w:p/>
        </w:tc>
        <w:tc>
          <w:tcPr>
            <w:tcW w:w="758" w:type="dxa"/>
            <w:tcBorders>
              <w:top w:val="single" w:color="000000" w:sz="4" w:space="0"/>
              <w:left w:val="single" w:color="000000" w:sz="6" w:space="0"/>
              <w:bottom w:val="single" w:color="000000" w:sz="4" w:space="0"/>
              <w:right w:val="single" w:color="000000" w:sz="4" w:space="0"/>
            </w:tcBorders>
            <w:vAlign w:val="center"/>
          </w:tcPr>
          <w:p/>
        </w:tc>
        <w:tc>
          <w:tcPr>
            <w:tcW w:w="850"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851" w:type="dxa"/>
            <w:tcBorders>
              <w:top w:val="single" w:color="000000" w:sz="4" w:space="0"/>
              <w:left w:val="single" w:color="000000" w:sz="4" w:space="0"/>
              <w:bottom w:val="single" w:color="000000" w:sz="4" w:space="0"/>
              <w:right w:val="single" w:color="000000" w:sz="4" w:space="0"/>
            </w:tcBorders>
            <w:vAlign w:val="center"/>
          </w:tcPr>
          <w:p/>
        </w:tc>
        <w:tc>
          <w:tcPr>
            <w:tcW w:w="768" w:type="dxa"/>
            <w:tcBorders>
              <w:top w:val="single" w:color="000000" w:sz="4" w:space="0"/>
              <w:left w:val="single" w:color="000000" w:sz="4" w:space="0"/>
              <w:bottom w:val="single" w:color="000000" w:sz="4" w:space="0"/>
              <w:right w:val="single" w:color="000000" w:sz="4" w:space="0"/>
            </w:tcBorders>
            <w:vAlign w:val="center"/>
          </w:tc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000000" w:sz="4"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c>
          <w:tcPr>
            <w:tcW w:w="1341" w:type="dxa"/>
            <w:tcBorders>
              <w:top w:val="single" w:color="000000" w:sz="4" w:space="0"/>
              <w:left w:val="single" w:color="000000" w:sz="4" w:space="0"/>
              <w:bottom w:val="single" w:color="000000" w:sz="4" w:space="0"/>
              <w:right w:val="single" w:color="000000" w:sz="4" w:space="0"/>
            </w:tcBorders>
          </w:tcPr>
          <w:p>
            <w:pPr>
              <w:pStyle w:val="78"/>
              <w:tabs>
                <w:tab w:val="left" w:pos="542"/>
              </w:tabs>
              <w:jc w:val="center"/>
              <w:rPr>
                <w:rFonts w:ascii="Times New Roman" w:hAnsi="Times New Roman" w:cs="Times New Roman"/>
                <w:sz w:val="18"/>
                <w:szCs w:val="18"/>
                <w:lang w:eastAsia="zh-CN"/>
              </w:rPr>
            </w:pPr>
          </w:p>
        </w:tc>
        <w:tc>
          <w:tcPr>
            <w:tcW w:w="1575" w:type="dxa"/>
            <w:tcBorders>
              <w:top w:val="single" w:color="000000" w:sz="4" w:space="0"/>
              <w:left w:val="single" w:color="000000" w:sz="4" w:space="0"/>
              <w:bottom w:val="single" w:color="000000" w:sz="4" w:space="0"/>
              <w:right w:val="single" w:color="000000" w:sz="6" w:space="0"/>
            </w:tcBorders>
            <w:vAlign w:val="center"/>
          </w:tcPr>
          <w:p>
            <w:pPr>
              <w:pStyle w:val="78"/>
              <w:tabs>
                <w:tab w:val="left" w:pos="542"/>
              </w:tabs>
              <w:jc w:val="center"/>
              <w:rPr>
                <w:rFonts w:ascii="Times New Roman" w:hAnsi="Times New Roman" w:cs="Times New Roman"/>
                <w:sz w:val="18"/>
                <w:szCs w:val="18"/>
                <w:lang w:eastAsia="zh-CN"/>
              </w:rPr>
            </w:pPr>
          </w:p>
        </w:tc>
        <w:tc>
          <w:tcPr>
            <w:tcW w:w="758" w:type="dxa"/>
            <w:tcBorders>
              <w:top w:val="single" w:color="000000" w:sz="4" w:space="0"/>
              <w:left w:val="single" w:color="000000" w:sz="6" w:space="0"/>
              <w:bottom w:val="single" w:color="000000" w:sz="4" w:space="0"/>
              <w:right w:val="single" w:color="000000" w:sz="4" w:space="0"/>
            </w:tcBorders>
            <w:vAlign w:val="center"/>
          </w:tcPr>
          <w:p>
            <w:pPr>
              <w:pStyle w:val="78"/>
              <w:tabs>
                <w:tab w:val="left" w:pos="542"/>
              </w:tabs>
              <w:jc w:val="center"/>
              <w:rPr>
                <w:rFonts w:ascii="Times New Roman" w:hAnsi="Times New Roman" w:cs="Times New Roman"/>
                <w:sz w:val="18"/>
                <w:szCs w:val="18"/>
                <w:lang w:eastAsia="zh-CN"/>
              </w:rPr>
            </w:pPr>
          </w:p>
        </w:tc>
        <w:tc>
          <w:tcPr>
            <w:tcW w:w="758" w:type="dxa"/>
            <w:tcBorders>
              <w:top w:val="single" w:color="000000" w:sz="4" w:space="0"/>
              <w:left w:val="single" w:color="000000" w:sz="6" w:space="0"/>
              <w:bottom w:val="single" w:color="000000" w:sz="4" w:space="0"/>
              <w:right w:val="single" w:color="000000" w:sz="4" w:space="0"/>
            </w:tcBorders>
            <w:vAlign w:val="center"/>
          </w:tcPr>
          <w:p>
            <w:pPr>
              <w:pStyle w:val="78"/>
              <w:tabs>
                <w:tab w:val="left" w:pos="542"/>
              </w:tabs>
              <w:ind w:left="199"/>
              <w:jc w:val="center"/>
              <w:rPr>
                <w:rFonts w:ascii="Times New Roman" w:hAnsi="Times New Roman" w:cs="Times New Roman"/>
                <w:sz w:val="18"/>
                <w:szCs w:val="18"/>
                <w:lang w:eastAsia="zh-CN"/>
              </w:rPr>
            </w:pPr>
          </w:p>
        </w:tc>
        <w:tc>
          <w:tcPr>
            <w:tcW w:w="850" w:type="dxa"/>
            <w:tcBorders>
              <w:top w:val="single" w:color="000000" w:sz="4" w:space="0"/>
              <w:left w:val="single" w:color="000000" w:sz="4" w:space="0"/>
              <w:bottom w:val="single" w:color="000000" w:sz="4" w:space="0"/>
              <w:right w:val="single" w:color="000000" w:sz="4" w:space="0"/>
            </w:tcBorders>
            <w:vAlign w:val="center"/>
          </w:tcPr>
          <w:p>
            <w:pPr>
              <w:pStyle w:val="78"/>
              <w:rPr>
                <w:rFonts w:ascii="Times New Roman" w:hAnsi="Times New Roman" w:cs="Times New Roman"/>
                <w:lang w:eastAsia="zh-CN"/>
              </w:rPr>
            </w:pPr>
          </w:p>
        </w:tc>
        <w:tc>
          <w:tcPr>
            <w:tcW w:w="851" w:type="dxa"/>
            <w:tcBorders>
              <w:top w:val="single" w:color="000000" w:sz="4" w:space="0"/>
              <w:left w:val="single" w:color="000000" w:sz="4" w:space="0"/>
              <w:bottom w:val="single" w:color="000000" w:sz="4" w:space="0"/>
              <w:right w:val="single" w:color="000000" w:sz="4" w:space="0"/>
            </w:tcBorders>
            <w:vAlign w:val="center"/>
          </w:tcPr>
          <w:p>
            <w:pPr>
              <w:pStyle w:val="78"/>
              <w:jc w:val="center"/>
              <w:rPr>
                <w:rFonts w:ascii="Times New Roman" w:hAnsi="Times New Roman" w:cs="Times New Roman"/>
                <w:sz w:val="18"/>
                <w:szCs w:val="18"/>
              </w:rPr>
            </w:pPr>
          </w:p>
        </w:tc>
        <w:tc>
          <w:tcPr>
            <w:tcW w:w="851" w:type="dxa"/>
            <w:tcBorders>
              <w:top w:val="single" w:color="000000" w:sz="4" w:space="0"/>
              <w:left w:val="single" w:color="000000" w:sz="4" w:space="0"/>
              <w:bottom w:val="single" w:color="000000" w:sz="4"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c>
          <w:tcPr>
            <w:tcW w:w="851" w:type="dxa"/>
            <w:tcBorders>
              <w:top w:val="single" w:color="000000" w:sz="4" w:space="0"/>
              <w:left w:val="single" w:color="000000" w:sz="4" w:space="0"/>
              <w:bottom w:val="single" w:color="000000" w:sz="4"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c>
          <w:tcPr>
            <w:tcW w:w="768" w:type="dxa"/>
            <w:tcBorders>
              <w:top w:val="single" w:color="000000" w:sz="4" w:space="0"/>
              <w:left w:val="single" w:color="000000" w:sz="4" w:space="0"/>
              <w:bottom w:val="single" w:color="000000" w:sz="4"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r>
      <w:tr>
        <w:tblPrEx>
          <w:tblCellMar>
            <w:top w:w="0" w:type="dxa"/>
            <w:left w:w="0" w:type="dxa"/>
            <w:bottom w:w="0" w:type="dxa"/>
            <w:right w:w="0" w:type="dxa"/>
          </w:tblCellMar>
        </w:tblPrEx>
        <w:trPr>
          <w:trHeight w:val="680" w:hRule="exact"/>
          <w:jc w:val="center"/>
        </w:trPr>
        <w:tc>
          <w:tcPr>
            <w:tcW w:w="649" w:type="dxa"/>
            <w:tcBorders>
              <w:top w:val="single" w:color="000000" w:sz="4" w:space="0"/>
              <w:left w:val="single" w:color="000000" w:sz="4" w:space="0"/>
              <w:bottom w:val="single" w:color="auto" w:sz="2"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p>
            <w:pPr>
              <w:pStyle w:val="78"/>
              <w:spacing w:before="4" w:line="140" w:lineRule="exact"/>
              <w:rPr>
                <w:rFonts w:ascii="Times New Roman" w:hAnsi="Times New Roman" w:cs="Times New Roman"/>
                <w:sz w:val="14"/>
                <w:szCs w:val="14"/>
                <w:lang w:eastAsia="zh-CN"/>
              </w:rPr>
            </w:pPr>
          </w:p>
        </w:tc>
        <w:tc>
          <w:tcPr>
            <w:tcW w:w="1341" w:type="dxa"/>
            <w:tcBorders>
              <w:top w:val="single" w:color="000000" w:sz="4" w:space="0"/>
              <w:left w:val="single" w:color="000000" w:sz="4" w:space="0"/>
              <w:bottom w:val="single" w:color="auto" w:sz="2" w:space="0"/>
              <w:right w:val="single" w:color="000000" w:sz="4" w:space="0"/>
            </w:tcBorders>
          </w:tcPr>
          <w:p>
            <w:pPr>
              <w:pStyle w:val="78"/>
              <w:tabs>
                <w:tab w:val="left" w:pos="542"/>
              </w:tabs>
              <w:jc w:val="center"/>
              <w:rPr>
                <w:rFonts w:ascii="Times New Roman" w:hAnsi="Times New Roman" w:cs="Times New Roman"/>
                <w:sz w:val="18"/>
                <w:szCs w:val="18"/>
                <w:lang w:eastAsia="zh-CN"/>
              </w:rPr>
            </w:pPr>
          </w:p>
        </w:tc>
        <w:tc>
          <w:tcPr>
            <w:tcW w:w="1575" w:type="dxa"/>
            <w:tcBorders>
              <w:top w:val="single" w:color="000000" w:sz="4" w:space="0"/>
              <w:left w:val="single" w:color="000000" w:sz="4" w:space="0"/>
              <w:bottom w:val="single" w:color="auto" w:sz="2" w:space="0"/>
              <w:right w:val="single" w:color="000000" w:sz="6" w:space="0"/>
            </w:tcBorders>
            <w:vAlign w:val="center"/>
          </w:tcPr>
          <w:p>
            <w:pPr>
              <w:pStyle w:val="78"/>
              <w:tabs>
                <w:tab w:val="left" w:pos="542"/>
              </w:tabs>
              <w:jc w:val="center"/>
              <w:rPr>
                <w:rFonts w:ascii="Times New Roman" w:hAnsi="Times New Roman" w:cs="Times New Roman"/>
                <w:sz w:val="18"/>
                <w:szCs w:val="18"/>
                <w:lang w:eastAsia="zh-CN"/>
              </w:rPr>
            </w:pPr>
          </w:p>
        </w:tc>
        <w:tc>
          <w:tcPr>
            <w:tcW w:w="758" w:type="dxa"/>
            <w:tcBorders>
              <w:top w:val="single" w:color="000000" w:sz="4" w:space="0"/>
              <w:left w:val="single" w:color="000000" w:sz="6" w:space="0"/>
              <w:bottom w:val="single" w:color="auto" w:sz="2" w:space="0"/>
              <w:right w:val="single" w:color="000000" w:sz="4" w:space="0"/>
            </w:tcBorders>
            <w:vAlign w:val="center"/>
          </w:tcPr>
          <w:p>
            <w:pPr>
              <w:pStyle w:val="78"/>
              <w:tabs>
                <w:tab w:val="left" w:pos="542"/>
              </w:tabs>
              <w:jc w:val="center"/>
              <w:rPr>
                <w:rFonts w:ascii="Times New Roman" w:hAnsi="Times New Roman" w:cs="Times New Roman"/>
                <w:sz w:val="18"/>
                <w:szCs w:val="18"/>
                <w:lang w:eastAsia="zh-CN"/>
              </w:rPr>
            </w:pPr>
          </w:p>
        </w:tc>
        <w:tc>
          <w:tcPr>
            <w:tcW w:w="758" w:type="dxa"/>
            <w:tcBorders>
              <w:top w:val="single" w:color="000000" w:sz="4" w:space="0"/>
              <w:left w:val="single" w:color="000000" w:sz="6" w:space="0"/>
              <w:bottom w:val="single" w:color="auto" w:sz="2" w:space="0"/>
              <w:right w:val="single" w:color="000000" w:sz="4" w:space="0"/>
            </w:tcBorders>
            <w:vAlign w:val="center"/>
          </w:tcPr>
          <w:p>
            <w:pPr>
              <w:pStyle w:val="78"/>
              <w:tabs>
                <w:tab w:val="left" w:pos="542"/>
              </w:tabs>
              <w:ind w:left="199"/>
              <w:jc w:val="center"/>
              <w:rPr>
                <w:rFonts w:ascii="Times New Roman" w:hAnsi="Times New Roman" w:cs="Times New Roman"/>
                <w:sz w:val="18"/>
                <w:szCs w:val="18"/>
                <w:lang w:eastAsia="zh-CN"/>
              </w:rPr>
            </w:pPr>
          </w:p>
        </w:tc>
        <w:tc>
          <w:tcPr>
            <w:tcW w:w="850" w:type="dxa"/>
            <w:tcBorders>
              <w:top w:val="single" w:color="000000" w:sz="4" w:space="0"/>
              <w:left w:val="single" w:color="000000" w:sz="4" w:space="0"/>
              <w:bottom w:val="single" w:color="auto" w:sz="2" w:space="0"/>
              <w:right w:val="single" w:color="000000" w:sz="4" w:space="0"/>
            </w:tcBorders>
            <w:vAlign w:val="center"/>
          </w:tcPr>
          <w:p>
            <w:pPr>
              <w:pStyle w:val="78"/>
              <w:rPr>
                <w:rFonts w:ascii="Times New Roman" w:hAnsi="Times New Roman" w:cs="Times New Roman"/>
                <w:lang w:eastAsia="zh-CN"/>
              </w:rPr>
            </w:pPr>
          </w:p>
        </w:tc>
        <w:tc>
          <w:tcPr>
            <w:tcW w:w="851" w:type="dxa"/>
            <w:tcBorders>
              <w:top w:val="single" w:color="000000" w:sz="4" w:space="0"/>
              <w:left w:val="single" w:color="000000" w:sz="4" w:space="0"/>
              <w:bottom w:val="single" w:color="auto" w:sz="2" w:space="0"/>
              <w:right w:val="single" w:color="000000" w:sz="4" w:space="0"/>
            </w:tcBorders>
            <w:vAlign w:val="center"/>
          </w:tcPr>
          <w:p>
            <w:pPr>
              <w:pStyle w:val="78"/>
              <w:jc w:val="center"/>
              <w:rPr>
                <w:rFonts w:ascii="Times New Roman" w:hAnsi="Times New Roman" w:cs="Times New Roman"/>
                <w:sz w:val="18"/>
                <w:szCs w:val="18"/>
              </w:rPr>
            </w:pPr>
          </w:p>
        </w:tc>
        <w:tc>
          <w:tcPr>
            <w:tcW w:w="851" w:type="dxa"/>
            <w:tcBorders>
              <w:top w:val="single" w:color="000000" w:sz="4" w:space="0"/>
              <w:left w:val="single" w:color="000000" w:sz="4" w:space="0"/>
              <w:bottom w:val="single" w:color="auto" w:sz="2"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c>
          <w:tcPr>
            <w:tcW w:w="851" w:type="dxa"/>
            <w:tcBorders>
              <w:top w:val="single" w:color="000000" w:sz="4" w:space="0"/>
              <w:left w:val="single" w:color="000000" w:sz="4" w:space="0"/>
              <w:bottom w:val="single" w:color="auto" w:sz="2"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c>
          <w:tcPr>
            <w:tcW w:w="768" w:type="dxa"/>
            <w:tcBorders>
              <w:top w:val="single" w:color="000000" w:sz="4" w:space="0"/>
              <w:left w:val="single" w:color="000000" w:sz="4" w:space="0"/>
              <w:bottom w:val="single" w:color="auto" w:sz="2" w:space="0"/>
              <w:right w:val="single" w:color="000000" w:sz="4" w:space="0"/>
            </w:tcBorders>
            <w:vAlign w:val="center"/>
          </w:tcPr>
          <w:p>
            <w:pPr>
              <w:pStyle w:val="78"/>
              <w:spacing w:before="4" w:line="140" w:lineRule="exact"/>
              <w:rPr>
                <w:rFonts w:ascii="Times New Roman" w:hAnsi="Times New Roman" w:cs="Times New Roman"/>
                <w:sz w:val="14"/>
                <w:szCs w:val="14"/>
                <w:lang w:eastAsia="zh-CN"/>
              </w:rPr>
            </w:pPr>
          </w:p>
        </w:tc>
      </w:tr>
    </w:tbl>
    <w:p>
      <w:pPr>
        <w:spacing w:line="243" w:lineRule="exact"/>
        <w:ind w:firstLine="90" w:firstLineChars="50"/>
        <w:rPr>
          <w:sz w:val="18"/>
          <w:szCs w:val="18"/>
        </w:rPr>
      </w:pPr>
      <w:r>
        <w:rPr>
          <w:rFonts w:hAnsi="宋体"/>
          <w:sz w:val="18"/>
          <w:szCs w:val="18"/>
        </w:rPr>
        <w:t>注：</w:t>
      </w:r>
      <w:r>
        <w:rPr>
          <w:sz w:val="18"/>
          <w:szCs w:val="18"/>
        </w:rPr>
        <w:t>1.</w:t>
      </w:r>
      <w:r>
        <w:rPr>
          <w:rFonts w:hAnsi="宋体"/>
          <w:sz w:val="18"/>
          <w:szCs w:val="18"/>
        </w:rPr>
        <w:t>此表应由招标人填写除</w:t>
      </w:r>
      <w:r>
        <w:rPr>
          <w:sz w:val="18"/>
          <w:szCs w:val="18"/>
        </w:rPr>
        <w:t>“</w:t>
      </w:r>
      <w:r>
        <w:rPr>
          <w:rFonts w:hAnsi="宋体"/>
          <w:sz w:val="18"/>
          <w:szCs w:val="18"/>
        </w:rPr>
        <w:t>数量</w:t>
      </w:r>
      <w:r>
        <w:rPr>
          <w:sz w:val="18"/>
          <w:szCs w:val="18"/>
        </w:rPr>
        <w:t>”</w:t>
      </w:r>
      <w:r>
        <w:rPr>
          <w:rFonts w:hAnsi="宋体"/>
          <w:sz w:val="18"/>
          <w:szCs w:val="18"/>
        </w:rPr>
        <w:t>、</w:t>
      </w:r>
      <w:r>
        <w:rPr>
          <w:sz w:val="18"/>
          <w:szCs w:val="18"/>
        </w:rPr>
        <w:t>“</w:t>
      </w:r>
      <w:r>
        <w:rPr>
          <w:rFonts w:hAnsi="宋体"/>
          <w:sz w:val="18"/>
          <w:szCs w:val="18"/>
        </w:rPr>
        <w:t>投标单价</w:t>
      </w:r>
      <w:r>
        <w:rPr>
          <w:sz w:val="18"/>
          <w:szCs w:val="18"/>
        </w:rPr>
        <w:t>”</w:t>
      </w:r>
      <w:r>
        <w:rPr>
          <w:rFonts w:hAnsi="宋体"/>
          <w:sz w:val="18"/>
          <w:szCs w:val="18"/>
        </w:rPr>
        <w:t>栏之外的内容，投标人在投标时自主确定投标数量和单价。</w:t>
      </w:r>
    </w:p>
    <w:p>
      <w:pPr>
        <w:spacing w:line="243" w:lineRule="exact"/>
        <w:ind w:left="520" w:leftChars="205" w:hanging="90" w:hangingChars="50"/>
        <w:rPr>
          <w:sz w:val="18"/>
          <w:szCs w:val="18"/>
        </w:rPr>
      </w:pPr>
      <w:r>
        <w:rPr>
          <w:sz w:val="18"/>
          <w:szCs w:val="18"/>
        </w:rPr>
        <w:t>2.</w:t>
      </w:r>
      <w:r>
        <w:rPr>
          <w:rFonts w:hAnsi="宋体"/>
          <w:sz w:val="18"/>
          <w:szCs w:val="18"/>
        </w:rPr>
        <w:t>招标人应优先采用工程造价管理机构发布的单价作为基准单价，未发布的，通过市场调查确定其基准单价。</w:t>
      </w:r>
    </w:p>
    <w:p>
      <w:pPr>
        <w:spacing w:line="243" w:lineRule="exact"/>
        <w:ind w:left="520" w:leftChars="205" w:hanging="90" w:hangingChars="50"/>
        <w:rPr>
          <w:sz w:val="18"/>
          <w:szCs w:val="18"/>
        </w:rPr>
      </w:pPr>
      <w:r>
        <w:rPr>
          <w:sz w:val="18"/>
          <w:szCs w:val="18"/>
        </w:rPr>
        <w:t>3.</w:t>
      </w:r>
      <w:r>
        <w:rPr>
          <w:rFonts w:hAnsi="宋体"/>
          <w:sz w:val="18"/>
          <w:szCs w:val="18"/>
        </w:rPr>
        <w:t>此表中不包含暂估单价的材料（工程设备）。</w:t>
      </w:r>
    </w:p>
    <w:p>
      <w:pPr>
        <w:pStyle w:val="2"/>
        <w:spacing w:line="299" w:lineRule="exact"/>
        <w:jc w:val="right"/>
        <w:rPr>
          <w:rFonts w:eastAsia="宋体"/>
          <w:sz w:val="18"/>
          <w:szCs w:val="18"/>
        </w:rPr>
      </w:pPr>
      <w:r>
        <w:rPr>
          <w:rFonts w:hAnsi="宋体" w:eastAsia="宋体"/>
          <w:sz w:val="18"/>
          <w:szCs w:val="18"/>
        </w:rPr>
        <w:t>表</w:t>
      </w:r>
      <w:r>
        <w:rPr>
          <w:rFonts w:eastAsia="宋体"/>
          <w:sz w:val="18"/>
          <w:szCs w:val="18"/>
        </w:rPr>
        <w:t>-21</w:t>
      </w:r>
    </w:p>
    <w:p>
      <w:pPr>
        <w:jc w:val="left"/>
        <w:rPr>
          <w:szCs w:val="21"/>
        </w:rPr>
      </w:pPr>
    </w:p>
    <w:p>
      <w:pPr>
        <w:jc w:val="right"/>
        <w:rPr>
          <w:szCs w:val="21"/>
        </w:rPr>
      </w:pPr>
    </w:p>
    <w:p>
      <w:pPr>
        <w:jc w:val="right"/>
        <w:rPr>
          <w:szCs w:val="21"/>
        </w:rPr>
      </w:pPr>
    </w:p>
    <w:p>
      <w:pPr>
        <w:pStyle w:val="15"/>
        <w:snapToGrid w:val="0"/>
        <w:spacing w:line="440" w:lineRule="exact"/>
        <w:ind w:firstLine="0"/>
        <w:jc w:val="center"/>
        <w:outlineLvl w:val="1"/>
        <w:rPr>
          <w:rFonts w:hAnsi="宋体"/>
          <w:sz w:val="28"/>
          <w:szCs w:val="28"/>
        </w:rPr>
      </w:pPr>
      <w:r>
        <w:rPr>
          <w:rFonts w:hint="eastAsia" w:hAnsi="宋体"/>
          <w:sz w:val="28"/>
          <w:szCs w:val="28"/>
        </w:rPr>
        <w:t>五、计划投入的主要施工机械设备表</w:t>
      </w:r>
    </w:p>
    <w:tbl>
      <w:tblPr>
        <w:tblStyle w:val="57"/>
        <w:tblpPr w:leftFromText="180" w:rightFromText="180" w:vertAnchor="text" w:horzAnchor="page" w:tblpX="1348" w:tblpY="47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8"/>
        <w:gridCol w:w="2300"/>
        <w:gridCol w:w="700"/>
        <w:gridCol w:w="700"/>
        <w:gridCol w:w="900"/>
        <w:gridCol w:w="900"/>
        <w:gridCol w:w="1100"/>
        <w:gridCol w:w="1100"/>
        <w:gridCol w:w="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 w:type="dxa"/>
          </w:tcPr>
          <w:p>
            <w:pPr>
              <w:pStyle w:val="15"/>
              <w:spacing w:line="360" w:lineRule="auto"/>
              <w:ind w:firstLine="0"/>
              <w:jc w:val="center"/>
              <w:rPr>
                <w:rFonts w:ascii="宋体" w:hAnsi="宋体"/>
                <w:position w:val="-32"/>
                <w:sz w:val="23"/>
              </w:rPr>
            </w:pPr>
            <w:r>
              <w:rPr>
                <w:rFonts w:hint="eastAsia" w:ascii="宋体" w:hAnsi="宋体"/>
                <w:position w:val="-32"/>
                <w:sz w:val="23"/>
              </w:rPr>
              <w:t>序号</w:t>
            </w:r>
          </w:p>
        </w:tc>
        <w:tc>
          <w:tcPr>
            <w:tcW w:w="2300" w:type="dxa"/>
          </w:tcPr>
          <w:p>
            <w:pPr>
              <w:pStyle w:val="15"/>
              <w:spacing w:line="360" w:lineRule="auto"/>
              <w:ind w:firstLine="0"/>
              <w:jc w:val="center"/>
              <w:rPr>
                <w:rFonts w:ascii="宋体" w:hAnsi="宋体"/>
                <w:position w:val="-50"/>
                <w:sz w:val="23"/>
              </w:rPr>
            </w:pPr>
            <w:r>
              <w:rPr>
                <w:rFonts w:hint="eastAsia" w:ascii="宋体" w:hAnsi="宋体"/>
                <w:position w:val="-50"/>
                <w:sz w:val="23"/>
              </w:rPr>
              <w:t>机械设备名称</w:t>
            </w:r>
          </w:p>
        </w:tc>
        <w:tc>
          <w:tcPr>
            <w:tcW w:w="700" w:type="dxa"/>
          </w:tcPr>
          <w:p>
            <w:pPr>
              <w:pStyle w:val="15"/>
              <w:spacing w:line="360" w:lineRule="auto"/>
              <w:ind w:firstLine="0"/>
              <w:jc w:val="center"/>
              <w:rPr>
                <w:rFonts w:ascii="宋体" w:hAnsi="宋体"/>
                <w:position w:val="-30"/>
                <w:sz w:val="23"/>
              </w:rPr>
            </w:pPr>
            <w:r>
              <w:rPr>
                <w:rFonts w:hint="eastAsia" w:ascii="宋体" w:hAnsi="宋体"/>
                <w:position w:val="-30"/>
                <w:sz w:val="23"/>
              </w:rPr>
              <w:t>型号规格</w:t>
            </w:r>
          </w:p>
        </w:tc>
        <w:tc>
          <w:tcPr>
            <w:tcW w:w="700" w:type="dxa"/>
          </w:tcPr>
          <w:p>
            <w:pPr>
              <w:pStyle w:val="15"/>
              <w:spacing w:line="360" w:lineRule="auto"/>
              <w:ind w:firstLine="0"/>
              <w:jc w:val="center"/>
              <w:rPr>
                <w:rFonts w:ascii="宋体" w:hAnsi="宋体"/>
                <w:position w:val="-50"/>
                <w:sz w:val="23"/>
              </w:rPr>
            </w:pPr>
            <w:r>
              <w:rPr>
                <w:rFonts w:hint="eastAsia" w:ascii="宋体" w:hAnsi="宋体"/>
                <w:position w:val="-50"/>
                <w:sz w:val="23"/>
              </w:rPr>
              <w:t>数量</w:t>
            </w:r>
          </w:p>
        </w:tc>
        <w:tc>
          <w:tcPr>
            <w:tcW w:w="900" w:type="dxa"/>
          </w:tcPr>
          <w:p>
            <w:pPr>
              <w:pStyle w:val="15"/>
              <w:spacing w:line="360" w:lineRule="auto"/>
              <w:ind w:firstLine="0"/>
              <w:jc w:val="center"/>
              <w:rPr>
                <w:rFonts w:ascii="宋体" w:hAnsi="宋体"/>
                <w:position w:val="-30"/>
                <w:sz w:val="23"/>
              </w:rPr>
            </w:pPr>
            <w:r>
              <w:rPr>
                <w:rFonts w:hint="eastAsia" w:ascii="宋体" w:hAnsi="宋体"/>
                <w:position w:val="-30"/>
                <w:sz w:val="23"/>
              </w:rPr>
              <w:t>国 别</w:t>
            </w:r>
          </w:p>
          <w:p>
            <w:pPr>
              <w:pStyle w:val="15"/>
              <w:spacing w:line="360" w:lineRule="auto"/>
              <w:ind w:firstLine="0"/>
              <w:jc w:val="center"/>
              <w:rPr>
                <w:rFonts w:ascii="宋体" w:hAnsi="宋体"/>
                <w:position w:val="-30"/>
                <w:sz w:val="23"/>
              </w:rPr>
            </w:pPr>
            <w:r>
              <w:rPr>
                <w:rFonts w:hint="eastAsia" w:ascii="宋体" w:hAnsi="宋体"/>
                <w:position w:val="-30"/>
                <w:sz w:val="23"/>
              </w:rPr>
              <w:t>产 地</w:t>
            </w:r>
          </w:p>
        </w:tc>
        <w:tc>
          <w:tcPr>
            <w:tcW w:w="900" w:type="dxa"/>
          </w:tcPr>
          <w:p>
            <w:pPr>
              <w:pStyle w:val="15"/>
              <w:spacing w:line="360" w:lineRule="auto"/>
              <w:ind w:firstLine="0"/>
              <w:jc w:val="center"/>
              <w:rPr>
                <w:rFonts w:ascii="宋体" w:hAnsi="宋体"/>
                <w:position w:val="-30"/>
                <w:sz w:val="23"/>
              </w:rPr>
            </w:pPr>
            <w:r>
              <w:rPr>
                <w:rFonts w:hint="eastAsia" w:ascii="宋体" w:hAnsi="宋体"/>
                <w:position w:val="-30"/>
                <w:sz w:val="23"/>
              </w:rPr>
              <w:t>制 造</w:t>
            </w:r>
          </w:p>
          <w:p>
            <w:pPr>
              <w:pStyle w:val="15"/>
              <w:spacing w:line="360" w:lineRule="auto"/>
              <w:ind w:firstLine="0"/>
              <w:jc w:val="center"/>
              <w:rPr>
                <w:rFonts w:ascii="宋体" w:hAnsi="宋体"/>
                <w:position w:val="-30"/>
                <w:sz w:val="23"/>
              </w:rPr>
            </w:pPr>
            <w:r>
              <w:rPr>
                <w:rFonts w:hint="eastAsia" w:ascii="宋体" w:hAnsi="宋体"/>
                <w:position w:val="-30"/>
                <w:sz w:val="23"/>
              </w:rPr>
              <w:t>年 份</w:t>
            </w:r>
          </w:p>
        </w:tc>
        <w:tc>
          <w:tcPr>
            <w:tcW w:w="1100" w:type="dxa"/>
          </w:tcPr>
          <w:p>
            <w:pPr>
              <w:pStyle w:val="15"/>
              <w:spacing w:line="360" w:lineRule="auto"/>
              <w:ind w:firstLine="0"/>
              <w:jc w:val="center"/>
              <w:rPr>
                <w:rFonts w:ascii="宋体" w:hAnsi="宋体"/>
                <w:position w:val="-30"/>
                <w:sz w:val="21"/>
              </w:rPr>
            </w:pPr>
            <w:r>
              <w:rPr>
                <w:rFonts w:hint="eastAsia" w:ascii="宋体" w:hAnsi="宋体"/>
                <w:position w:val="-30"/>
                <w:sz w:val="21"/>
              </w:rPr>
              <w:t>额定功率(KW)</w:t>
            </w:r>
          </w:p>
        </w:tc>
        <w:tc>
          <w:tcPr>
            <w:tcW w:w="1100" w:type="dxa"/>
          </w:tcPr>
          <w:p>
            <w:pPr>
              <w:pStyle w:val="15"/>
              <w:spacing w:line="360" w:lineRule="auto"/>
              <w:ind w:firstLine="0"/>
              <w:jc w:val="center"/>
              <w:rPr>
                <w:rFonts w:ascii="宋体" w:hAnsi="宋体"/>
                <w:position w:val="-30"/>
                <w:sz w:val="21"/>
              </w:rPr>
            </w:pPr>
            <w:r>
              <w:rPr>
                <w:rFonts w:hint="eastAsia" w:ascii="宋体" w:hAnsi="宋体"/>
                <w:position w:val="-30"/>
                <w:sz w:val="21"/>
              </w:rPr>
              <w:t>生产能力(MH)</w:t>
            </w:r>
          </w:p>
        </w:tc>
        <w:tc>
          <w:tcPr>
            <w:tcW w:w="700" w:type="dxa"/>
          </w:tcPr>
          <w:p>
            <w:pPr>
              <w:pStyle w:val="15"/>
              <w:spacing w:line="360" w:lineRule="auto"/>
              <w:ind w:firstLine="0"/>
              <w:jc w:val="center"/>
              <w:rPr>
                <w:rFonts w:ascii="宋体" w:hAnsi="宋体"/>
                <w:position w:val="-50"/>
                <w:sz w:val="23"/>
              </w:rPr>
            </w:pPr>
            <w:r>
              <w:rPr>
                <w:rFonts w:hint="eastAsia" w:ascii="宋体" w:hAnsi="宋体"/>
                <w:position w:val="-50"/>
                <w:sz w:val="23"/>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pPr>
              <w:pStyle w:val="15"/>
              <w:spacing w:line="360" w:lineRule="auto"/>
              <w:ind w:firstLine="0"/>
              <w:rPr>
                <w:rFonts w:ascii="宋体" w:hAnsi="宋体"/>
                <w:sz w:val="25"/>
              </w:rPr>
            </w:pPr>
          </w:p>
        </w:tc>
        <w:tc>
          <w:tcPr>
            <w:tcW w:w="23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9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1100" w:type="dxa"/>
          </w:tcPr>
          <w:p>
            <w:pPr>
              <w:pStyle w:val="15"/>
              <w:spacing w:line="360" w:lineRule="auto"/>
              <w:ind w:firstLine="0"/>
              <w:rPr>
                <w:rFonts w:ascii="宋体" w:hAnsi="宋体"/>
                <w:sz w:val="25"/>
              </w:rPr>
            </w:pPr>
          </w:p>
        </w:tc>
        <w:tc>
          <w:tcPr>
            <w:tcW w:w="700" w:type="dxa"/>
          </w:tcPr>
          <w:p>
            <w:pPr>
              <w:pStyle w:val="15"/>
              <w:spacing w:line="360" w:lineRule="auto"/>
              <w:ind w:firstLine="0"/>
              <w:rPr>
                <w:rFonts w:ascii="宋体" w:hAnsi="宋体"/>
                <w:sz w:val="25"/>
              </w:rPr>
            </w:pPr>
          </w:p>
        </w:tc>
      </w:tr>
    </w:tbl>
    <w:p>
      <w:pPr>
        <w:pStyle w:val="15"/>
        <w:spacing w:line="360" w:lineRule="auto"/>
        <w:ind w:firstLine="0"/>
        <w:jc w:val="center"/>
        <w:rPr>
          <w:rFonts w:ascii="宋体" w:hAnsi="宋体"/>
          <w:sz w:val="25"/>
        </w:rPr>
      </w:pPr>
    </w:p>
    <w:p>
      <w:pPr>
        <w:rPr>
          <w:rFonts w:hAnsi="宋体"/>
          <w:sz w:val="28"/>
          <w:szCs w:val="28"/>
        </w:rPr>
      </w:pPr>
      <w:r>
        <w:rPr>
          <w:rFonts w:hint="eastAsia" w:hAnsi="宋体"/>
          <w:sz w:val="28"/>
          <w:szCs w:val="28"/>
        </w:rPr>
        <w:br w:type="page"/>
      </w:r>
    </w:p>
    <w:p>
      <w:pPr>
        <w:pStyle w:val="15"/>
        <w:snapToGrid w:val="0"/>
        <w:spacing w:line="440" w:lineRule="exact"/>
        <w:ind w:firstLine="0"/>
        <w:jc w:val="center"/>
        <w:outlineLvl w:val="1"/>
        <w:rPr>
          <w:sz w:val="28"/>
          <w:szCs w:val="28"/>
        </w:rPr>
      </w:pPr>
      <w:r>
        <w:rPr>
          <w:rFonts w:hint="eastAsia" w:hAnsi="宋体"/>
          <w:sz w:val="28"/>
          <w:szCs w:val="28"/>
        </w:rPr>
        <w:t>六</w:t>
      </w:r>
      <w:r>
        <w:rPr>
          <w:rFonts w:hAnsi="宋体"/>
          <w:sz w:val="28"/>
          <w:szCs w:val="28"/>
        </w:rPr>
        <w:t>、主要施工管理人员表</w:t>
      </w:r>
    </w:p>
    <w:p>
      <w:pPr>
        <w:pStyle w:val="15"/>
        <w:spacing w:line="360" w:lineRule="auto"/>
        <w:ind w:firstLine="0"/>
        <w:jc w:val="center"/>
        <w:rPr>
          <w:sz w:val="25"/>
        </w:rPr>
      </w:pPr>
    </w:p>
    <w:tbl>
      <w:tblPr>
        <w:tblStyle w:val="57"/>
        <w:tblW w:w="83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
        <w:gridCol w:w="1500"/>
        <w:gridCol w:w="799"/>
        <w:gridCol w:w="800"/>
        <w:gridCol w:w="800"/>
        <w:gridCol w:w="3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8" w:type="dxa"/>
          </w:tcPr>
          <w:p>
            <w:pPr>
              <w:spacing w:line="420" w:lineRule="atLeast"/>
              <w:rPr>
                <w:kern w:val="0"/>
                <w:sz w:val="24"/>
              </w:rPr>
            </w:pPr>
            <w:r>
              <w:rPr>
                <w:rFonts w:hAnsi="宋体"/>
                <w:kern w:val="0"/>
                <w:sz w:val="24"/>
              </w:rPr>
              <w:t>机构</w:t>
            </w:r>
          </w:p>
        </w:tc>
        <w:tc>
          <w:tcPr>
            <w:tcW w:w="1500" w:type="dxa"/>
          </w:tcPr>
          <w:p>
            <w:pPr>
              <w:spacing w:line="420" w:lineRule="atLeast"/>
              <w:rPr>
                <w:kern w:val="0"/>
                <w:sz w:val="24"/>
              </w:rPr>
            </w:pPr>
            <w:r>
              <w:rPr>
                <w:rFonts w:hAnsi="宋体"/>
                <w:kern w:val="0"/>
                <w:sz w:val="24"/>
              </w:rPr>
              <w:t>项目工程师</w:t>
            </w:r>
          </w:p>
        </w:tc>
        <w:tc>
          <w:tcPr>
            <w:tcW w:w="799" w:type="dxa"/>
          </w:tcPr>
          <w:p>
            <w:pPr>
              <w:spacing w:line="420" w:lineRule="atLeast"/>
              <w:rPr>
                <w:kern w:val="0"/>
                <w:sz w:val="24"/>
              </w:rPr>
            </w:pPr>
            <w:r>
              <w:rPr>
                <w:rFonts w:hAnsi="宋体"/>
                <w:kern w:val="0"/>
                <w:sz w:val="24"/>
              </w:rPr>
              <w:t>姓名</w:t>
            </w:r>
          </w:p>
        </w:tc>
        <w:tc>
          <w:tcPr>
            <w:tcW w:w="800" w:type="dxa"/>
          </w:tcPr>
          <w:p>
            <w:pPr>
              <w:spacing w:line="420" w:lineRule="atLeast"/>
              <w:rPr>
                <w:kern w:val="0"/>
                <w:sz w:val="24"/>
              </w:rPr>
            </w:pPr>
            <w:r>
              <w:rPr>
                <w:rFonts w:hAnsi="宋体"/>
                <w:kern w:val="0"/>
                <w:sz w:val="24"/>
              </w:rPr>
              <w:t>职务</w:t>
            </w:r>
          </w:p>
        </w:tc>
        <w:tc>
          <w:tcPr>
            <w:tcW w:w="800" w:type="dxa"/>
          </w:tcPr>
          <w:p>
            <w:pPr>
              <w:spacing w:line="420" w:lineRule="atLeast"/>
              <w:rPr>
                <w:kern w:val="0"/>
                <w:sz w:val="24"/>
              </w:rPr>
            </w:pPr>
            <w:r>
              <w:rPr>
                <w:rFonts w:hAnsi="宋体"/>
                <w:kern w:val="0"/>
                <w:sz w:val="24"/>
              </w:rPr>
              <w:t>职称</w:t>
            </w:r>
          </w:p>
        </w:tc>
        <w:tc>
          <w:tcPr>
            <w:tcW w:w="3700" w:type="dxa"/>
          </w:tcPr>
          <w:p>
            <w:pPr>
              <w:spacing w:line="420" w:lineRule="atLeast"/>
              <w:rPr>
                <w:kern w:val="0"/>
                <w:sz w:val="24"/>
              </w:rPr>
            </w:pPr>
            <w:r>
              <w:rPr>
                <w:rFonts w:hAnsi="宋体"/>
                <w:kern w:val="0"/>
                <w:sz w:val="24"/>
              </w:rPr>
              <w:t>主要资历、经验及承担过的工程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restart"/>
          </w:tcPr>
          <w:p>
            <w:pPr>
              <w:spacing w:line="420" w:lineRule="atLeast"/>
              <w:rPr>
                <w:kern w:val="0"/>
                <w:sz w:val="24"/>
              </w:rPr>
            </w:pPr>
          </w:p>
          <w:p>
            <w:pPr>
              <w:spacing w:line="420" w:lineRule="atLeast"/>
              <w:rPr>
                <w:kern w:val="0"/>
                <w:sz w:val="24"/>
              </w:rPr>
            </w:pPr>
          </w:p>
          <w:p>
            <w:pPr>
              <w:spacing w:line="420" w:lineRule="atLeast"/>
              <w:rPr>
                <w:kern w:val="0"/>
                <w:sz w:val="24"/>
              </w:rPr>
            </w:pPr>
            <w:r>
              <w:rPr>
                <w:rFonts w:hAnsi="宋体"/>
                <w:kern w:val="0"/>
                <w:sz w:val="24"/>
              </w:rPr>
              <w:t>总</w:t>
            </w:r>
          </w:p>
          <w:p>
            <w:pPr>
              <w:spacing w:line="420" w:lineRule="atLeast"/>
              <w:rPr>
                <w:kern w:val="0"/>
                <w:sz w:val="24"/>
              </w:rPr>
            </w:pPr>
          </w:p>
          <w:p>
            <w:pPr>
              <w:spacing w:line="420" w:lineRule="atLeast"/>
              <w:rPr>
                <w:kern w:val="0"/>
                <w:sz w:val="24"/>
              </w:rPr>
            </w:pPr>
            <w:r>
              <w:rPr>
                <w:rFonts w:hAnsi="宋体"/>
                <w:kern w:val="0"/>
                <w:sz w:val="24"/>
              </w:rPr>
              <w:t>部</w:t>
            </w:r>
          </w:p>
        </w:tc>
        <w:tc>
          <w:tcPr>
            <w:tcW w:w="1500" w:type="dxa"/>
          </w:tcPr>
          <w:p>
            <w:pPr>
              <w:spacing w:line="420" w:lineRule="atLeast"/>
              <w:rPr>
                <w:kern w:val="0"/>
                <w:sz w:val="24"/>
              </w:rPr>
            </w:pPr>
            <w:r>
              <w:rPr>
                <w:rFonts w:hAnsi="宋体"/>
                <w:kern w:val="0"/>
                <w:sz w:val="24"/>
              </w:rPr>
              <w:t>项目主管</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r>
              <w:rPr>
                <w:rFonts w:hAnsi="宋体"/>
                <w:kern w:val="0"/>
                <w:sz w:val="24"/>
              </w:rPr>
              <w:t>技术负责人</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restart"/>
          </w:tcPr>
          <w:p>
            <w:pPr>
              <w:spacing w:line="420" w:lineRule="atLeast"/>
              <w:rPr>
                <w:kern w:val="0"/>
                <w:sz w:val="24"/>
              </w:rPr>
            </w:pPr>
          </w:p>
          <w:p>
            <w:pPr>
              <w:spacing w:line="420" w:lineRule="atLeast"/>
              <w:rPr>
                <w:kern w:val="0"/>
                <w:sz w:val="24"/>
              </w:rPr>
            </w:pPr>
          </w:p>
          <w:p>
            <w:pPr>
              <w:spacing w:line="420" w:lineRule="atLeast"/>
              <w:rPr>
                <w:kern w:val="0"/>
                <w:sz w:val="24"/>
              </w:rPr>
            </w:pPr>
            <w:r>
              <w:rPr>
                <w:rFonts w:hAnsi="宋体"/>
                <w:kern w:val="0"/>
                <w:sz w:val="24"/>
              </w:rPr>
              <w:t>现</w:t>
            </w:r>
          </w:p>
          <w:p>
            <w:pPr>
              <w:spacing w:line="420" w:lineRule="atLeast"/>
              <w:rPr>
                <w:kern w:val="0"/>
                <w:sz w:val="24"/>
              </w:rPr>
            </w:pPr>
          </w:p>
          <w:p>
            <w:pPr>
              <w:spacing w:line="420" w:lineRule="atLeast"/>
              <w:rPr>
                <w:kern w:val="0"/>
                <w:sz w:val="24"/>
              </w:rPr>
            </w:pPr>
          </w:p>
          <w:p>
            <w:pPr>
              <w:spacing w:line="420" w:lineRule="atLeast"/>
              <w:rPr>
                <w:kern w:val="0"/>
                <w:sz w:val="24"/>
              </w:rPr>
            </w:pPr>
            <w:r>
              <w:rPr>
                <w:rFonts w:hAnsi="宋体"/>
                <w:kern w:val="0"/>
                <w:sz w:val="24"/>
              </w:rPr>
              <w:t>场</w:t>
            </w:r>
          </w:p>
        </w:tc>
        <w:tc>
          <w:tcPr>
            <w:tcW w:w="1500" w:type="dxa"/>
          </w:tcPr>
          <w:p>
            <w:pPr>
              <w:spacing w:line="420" w:lineRule="atLeast"/>
              <w:rPr>
                <w:kern w:val="0"/>
                <w:sz w:val="24"/>
              </w:rPr>
            </w:pPr>
            <w:r>
              <w:rPr>
                <w:rFonts w:hAnsi="宋体"/>
                <w:kern w:val="0"/>
                <w:sz w:val="24"/>
              </w:rPr>
              <w:t>项目负责人</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r>
              <w:rPr>
                <w:rFonts w:hAnsi="宋体"/>
                <w:kern w:val="0"/>
                <w:sz w:val="24"/>
              </w:rPr>
              <w:t>项目工程师</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r>
              <w:rPr>
                <w:rFonts w:hAnsi="宋体"/>
                <w:kern w:val="0"/>
                <w:sz w:val="24"/>
              </w:rPr>
              <w:t>质量管理</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r>
              <w:rPr>
                <w:rFonts w:hAnsi="宋体"/>
                <w:kern w:val="0"/>
                <w:sz w:val="24"/>
              </w:rPr>
              <w:t>材料管理</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r>
              <w:rPr>
                <w:rFonts w:hAnsi="宋体"/>
                <w:kern w:val="0"/>
                <w:sz w:val="24"/>
              </w:rPr>
              <w:t>安全管理</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r>
              <w:rPr>
                <w:rFonts w:hAnsi="宋体"/>
                <w:kern w:val="0"/>
                <w:sz w:val="24"/>
              </w:rPr>
              <w:t>计划管理</w:t>
            </w: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rPr>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pPr>
              <w:spacing w:line="420" w:lineRule="atLeast"/>
              <w:rPr>
                <w:kern w:val="0"/>
                <w:sz w:val="24"/>
              </w:rPr>
            </w:pPr>
          </w:p>
        </w:tc>
        <w:tc>
          <w:tcPr>
            <w:tcW w:w="1500" w:type="dxa"/>
          </w:tcPr>
          <w:p>
            <w:pPr>
              <w:spacing w:line="420" w:lineRule="atLeast"/>
              <w:rPr>
                <w:kern w:val="0"/>
                <w:sz w:val="24"/>
              </w:rPr>
            </w:pPr>
          </w:p>
        </w:tc>
        <w:tc>
          <w:tcPr>
            <w:tcW w:w="799" w:type="dxa"/>
          </w:tcPr>
          <w:p>
            <w:pPr>
              <w:spacing w:line="420" w:lineRule="atLeast"/>
              <w:rPr>
                <w:kern w:val="0"/>
                <w:sz w:val="24"/>
              </w:rPr>
            </w:pPr>
          </w:p>
        </w:tc>
        <w:tc>
          <w:tcPr>
            <w:tcW w:w="800" w:type="dxa"/>
          </w:tcPr>
          <w:p>
            <w:pPr>
              <w:spacing w:line="420" w:lineRule="atLeast"/>
              <w:rPr>
                <w:kern w:val="0"/>
                <w:sz w:val="24"/>
              </w:rPr>
            </w:pPr>
          </w:p>
        </w:tc>
        <w:tc>
          <w:tcPr>
            <w:tcW w:w="800" w:type="dxa"/>
          </w:tcPr>
          <w:p>
            <w:pPr>
              <w:spacing w:line="420" w:lineRule="atLeast"/>
              <w:rPr>
                <w:kern w:val="0"/>
                <w:sz w:val="24"/>
              </w:rPr>
            </w:pPr>
          </w:p>
        </w:tc>
        <w:tc>
          <w:tcPr>
            <w:tcW w:w="3700" w:type="dxa"/>
          </w:tcPr>
          <w:p>
            <w:pPr>
              <w:spacing w:line="420" w:lineRule="atLeast"/>
              <w:jc w:val="center"/>
              <w:rPr>
                <w:kern w:val="0"/>
                <w:sz w:val="24"/>
              </w:rPr>
            </w:pPr>
          </w:p>
        </w:tc>
      </w:tr>
    </w:tbl>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spacing w:line="420" w:lineRule="atLeast"/>
        <w:rPr>
          <w:sz w:val="24"/>
        </w:rPr>
      </w:pPr>
    </w:p>
    <w:p>
      <w:pPr>
        <w:adjustRightInd w:val="0"/>
        <w:snapToGrid w:val="0"/>
        <w:spacing w:line="440" w:lineRule="exact"/>
        <w:rPr>
          <w:rFonts w:hAnsi="宋体"/>
          <w:kern w:val="0"/>
          <w:sz w:val="44"/>
          <w:szCs w:val="44"/>
        </w:rPr>
      </w:pPr>
    </w:p>
    <w:p>
      <w:pPr>
        <w:jc w:val="right"/>
        <w:rPr>
          <w:szCs w:val="21"/>
        </w:rPr>
      </w:pPr>
    </w:p>
    <w:p>
      <w:pPr>
        <w:pStyle w:val="76"/>
        <w:spacing w:line="420" w:lineRule="atLeast"/>
        <w:rPr>
          <w:b/>
          <w:bCs/>
          <w:sz w:val="44"/>
          <w:szCs w:val="32"/>
        </w:rPr>
      </w:pPr>
      <w:bookmarkStart w:id="587" w:name="_Toc465181339"/>
      <w:bookmarkStart w:id="588" w:name="_Toc404159964"/>
      <w:r>
        <w:rPr>
          <w:rFonts w:hAnsi="宋体"/>
          <w:b/>
          <w:bCs/>
          <w:sz w:val="44"/>
          <w:szCs w:val="32"/>
        </w:rPr>
        <w:t>第七章</w:t>
      </w:r>
      <w:bookmarkStart w:id="589" w:name="_Toc262456721"/>
      <w:bookmarkStart w:id="590" w:name="_Toc288209286"/>
      <w:bookmarkStart w:id="591" w:name="_Toc288889655"/>
      <w:r>
        <w:rPr>
          <w:rFonts w:hint="eastAsia" w:hAnsi="宋体"/>
          <w:b/>
          <w:bCs/>
          <w:sz w:val="44"/>
          <w:szCs w:val="32"/>
        </w:rPr>
        <w:t xml:space="preserve"> </w:t>
      </w:r>
      <w:r>
        <w:rPr>
          <w:rFonts w:hAnsi="宋体"/>
          <w:b/>
          <w:bCs/>
          <w:sz w:val="44"/>
          <w:szCs w:val="32"/>
        </w:rPr>
        <w:t>资格审查证明材料</w:t>
      </w:r>
      <w:bookmarkEnd w:id="587"/>
      <w:bookmarkEnd w:id="588"/>
      <w:bookmarkEnd w:id="589"/>
      <w:bookmarkEnd w:id="590"/>
      <w:bookmarkEnd w:id="591"/>
    </w:p>
    <w:p>
      <w:pPr>
        <w:spacing w:line="360" w:lineRule="auto"/>
        <w:ind w:firstLine="480"/>
        <w:rPr>
          <w:sz w:val="25"/>
        </w:rPr>
      </w:pPr>
    </w:p>
    <w:p>
      <w:pPr>
        <w:spacing w:line="360" w:lineRule="auto"/>
        <w:ind w:firstLine="480"/>
        <w:rPr>
          <w:sz w:val="25"/>
        </w:rPr>
      </w:pPr>
      <w:r>
        <w:rPr>
          <w:rFonts w:hAnsi="宋体"/>
          <w:sz w:val="25"/>
        </w:rPr>
        <w:t>一、资格证明材料：见本招标文件第一章</w:t>
      </w:r>
      <w:r>
        <w:rPr>
          <w:sz w:val="25"/>
        </w:rPr>
        <w:t>9.2</w:t>
      </w:r>
      <w:r>
        <w:rPr>
          <w:rFonts w:hAnsi="宋体"/>
          <w:sz w:val="25"/>
        </w:rPr>
        <w:t>、</w:t>
      </w:r>
      <w:r>
        <w:rPr>
          <w:sz w:val="25"/>
        </w:rPr>
        <w:t>9.3</w:t>
      </w:r>
      <w:r>
        <w:rPr>
          <w:rFonts w:hAnsi="宋体"/>
          <w:sz w:val="25"/>
        </w:rPr>
        <w:t>条。</w:t>
      </w:r>
    </w:p>
    <w:p>
      <w:pPr>
        <w:spacing w:line="360" w:lineRule="auto"/>
        <w:ind w:firstLine="480"/>
        <w:rPr>
          <w:sz w:val="25"/>
        </w:rPr>
      </w:pPr>
      <w:r>
        <w:rPr>
          <w:rFonts w:hAnsi="宋体"/>
          <w:sz w:val="25"/>
        </w:rPr>
        <w:t>二、资格审查材料封面及相关表格如下：</w:t>
      </w: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widowControl/>
        <w:spacing w:line="460" w:lineRule="exact"/>
        <w:ind w:firstLine="480" w:firstLineChars="200"/>
        <w:jc w:val="left"/>
        <w:rPr>
          <w:kern w:val="0"/>
          <w:sz w:val="24"/>
        </w:rPr>
      </w:pPr>
    </w:p>
    <w:p>
      <w:pPr>
        <w:spacing w:line="360" w:lineRule="auto"/>
        <w:rPr>
          <w:kern w:val="0"/>
          <w:sz w:val="24"/>
        </w:rPr>
      </w:pPr>
    </w:p>
    <w:p>
      <w:pPr>
        <w:spacing w:line="360" w:lineRule="auto"/>
        <w:rPr>
          <w:kern w:val="0"/>
          <w:sz w:val="24"/>
        </w:rPr>
      </w:pPr>
    </w:p>
    <w:p>
      <w:pPr>
        <w:spacing w:line="360" w:lineRule="auto"/>
        <w:jc w:val="center"/>
        <w:rPr>
          <w:sz w:val="44"/>
          <w:szCs w:val="44"/>
        </w:rPr>
      </w:pPr>
      <w:r>
        <w:rPr>
          <w:rFonts w:hAnsi="宋体"/>
          <w:sz w:val="44"/>
          <w:szCs w:val="44"/>
        </w:rPr>
        <w:t>封面</w:t>
      </w:r>
    </w:p>
    <w:p>
      <w:pPr>
        <w:spacing w:line="360" w:lineRule="auto"/>
        <w:rPr>
          <w:szCs w:val="21"/>
        </w:rPr>
      </w:pPr>
    </w:p>
    <w:p>
      <w:pPr>
        <w:spacing w:line="360" w:lineRule="auto"/>
        <w:rPr>
          <w:szCs w:val="21"/>
        </w:rPr>
      </w:pPr>
    </w:p>
    <w:p>
      <w:pPr>
        <w:spacing w:line="360" w:lineRule="auto"/>
        <w:ind w:firstLine="1234" w:firstLineChars="343"/>
        <w:rPr>
          <w:rFonts w:ascii="宋体" w:hAnsi="宋体"/>
          <w:sz w:val="36"/>
        </w:rPr>
      </w:pPr>
      <w:r>
        <w:rPr>
          <w:rFonts w:hint="eastAsia" w:ascii="宋体" w:hAnsi="宋体"/>
          <w:sz w:val="36"/>
          <w:u w:val="single"/>
        </w:rPr>
        <w:t xml:space="preserve">                </w:t>
      </w:r>
      <w:r>
        <w:rPr>
          <w:rFonts w:hint="eastAsia" w:ascii="宋体" w:hAnsi="宋体"/>
          <w:sz w:val="36"/>
        </w:rPr>
        <w:t>（项目名称）施工招标</w:t>
      </w:r>
    </w:p>
    <w:p>
      <w:pPr>
        <w:jc w:val="center"/>
        <w:rPr>
          <w:rFonts w:ascii="宋体" w:hAnsi="宋体"/>
          <w:sz w:val="52"/>
          <w:szCs w:val="52"/>
        </w:rPr>
      </w:pPr>
      <w:bookmarkStart w:id="592" w:name="_Toc288209287"/>
      <w:bookmarkStart w:id="593" w:name="_Toc288889656"/>
      <w:bookmarkStart w:id="594" w:name="_Toc262456722"/>
    </w:p>
    <w:p>
      <w:pPr>
        <w:jc w:val="center"/>
        <w:rPr>
          <w:rFonts w:ascii="宋体" w:hAnsi="宋体"/>
          <w:sz w:val="52"/>
          <w:szCs w:val="52"/>
        </w:rPr>
      </w:pPr>
    </w:p>
    <w:p>
      <w:pPr>
        <w:jc w:val="center"/>
        <w:rPr>
          <w:rFonts w:ascii="宋体" w:hAnsi="宋体"/>
          <w:sz w:val="52"/>
          <w:szCs w:val="52"/>
        </w:rPr>
      </w:pPr>
    </w:p>
    <w:p>
      <w:pPr>
        <w:jc w:val="center"/>
        <w:rPr>
          <w:rFonts w:ascii="宋体" w:hAnsi="宋体"/>
          <w:sz w:val="52"/>
          <w:szCs w:val="52"/>
        </w:rPr>
      </w:pPr>
      <w:r>
        <w:rPr>
          <w:rFonts w:hint="eastAsia" w:ascii="宋体" w:hAnsi="宋体"/>
          <w:sz w:val="52"/>
          <w:szCs w:val="52"/>
        </w:rPr>
        <w:t>投标人资格审查文件</w:t>
      </w:r>
      <w:bookmarkEnd w:id="592"/>
      <w:bookmarkEnd w:id="593"/>
      <w:bookmarkEnd w:id="594"/>
    </w:p>
    <w:p>
      <w:pPr>
        <w:spacing w:line="360" w:lineRule="auto"/>
        <w:ind w:firstLine="1920"/>
        <w:rPr>
          <w:rFonts w:ascii="宋体" w:hAnsi="宋体"/>
          <w:sz w:val="32"/>
        </w:rPr>
      </w:pPr>
      <w:r>
        <w:rPr>
          <w:rFonts w:hint="eastAsia" w:ascii="宋体" w:hAnsi="宋体"/>
          <w:sz w:val="32"/>
        </w:rPr>
        <w:t xml:space="preserve">    </w:t>
      </w:r>
    </w:p>
    <w:p>
      <w:pPr>
        <w:adjustRightInd w:val="0"/>
        <w:snapToGrid w:val="0"/>
        <w:spacing w:line="360" w:lineRule="auto"/>
        <w:rPr>
          <w:rFonts w:ascii="宋体" w:hAnsi="宋体"/>
          <w:sz w:val="24"/>
        </w:rPr>
      </w:pPr>
    </w:p>
    <w:p>
      <w:pPr>
        <w:adjustRightInd w:val="0"/>
        <w:snapToGrid w:val="0"/>
        <w:spacing w:line="360" w:lineRule="auto"/>
        <w:rPr>
          <w:rFonts w:ascii="宋体" w:hAnsi="宋体"/>
          <w:sz w:val="10"/>
        </w:rPr>
      </w:pPr>
      <w:r>
        <w:rPr>
          <w:rFonts w:hint="eastAsia" w:ascii="宋体" w:hAnsi="宋体"/>
          <w:sz w:val="32"/>
        </w:rPr>
        <w:t xml:space="preserve">              </w:t>
      </w:r>
    </w:p>
    <w:p>
      <w:pPr>
        <w:adjustRightInd w:val="0"/>
        <w:snapToGrid w:val="0"/>
        <w:spacing w:line="360" w:lineRule="auto"/>
        <w:jc w:val="center"/>
        <w:rPr>
          <w:rFonts w:ascii="宋体" w:hAnsi="宋体"/>
          <w:sz w:val="32"/>
        </w:rPr>
      </w:pPr>
    </w:p>
    <w:p>
      <w:pPr>
        <w:adjustRightInd w:val="0"/>
        <w:snapToGrid w:val="0"/>
        <w:spacing w:line="360" w:lineRule="auto"/>
        <w:jc w:val="center"/>
        <w:rPr>
          <w:rFonts w:ascii="宋体" w:hAnsi="宋体"/>
          <w:sz w:val="32"/>
        </w:rPr>
      </w:pPr>
    </w:p>
    <w:p>
      <w:pPr>
        <w:adjustRightInd w:val="0"/>
        <w:snapToGrid w:val="0"/>
        <w:spacing w:line="360" w:lineRule="auto"/>
        <w:jc w:val="center"/>
        <w:rPr>
          <w:rFonts w:ascii="宋体" w:hAnsi="宋体"/>
          <w:sz w:val="32"/>
        </w:rPr>
      </w:pPr>
    </w:p>
    <w:p>
      <w:pPr>
        <w:adjustRightInd w:val="0"/>
        <w:snapToGrid w:val="0"/>
        <w:spacing w:line="360" w:lineRule="auto"/>
        <w:ind w:firstLine="964" w:firstLineChars="300"/>
        <w:rPr>
          <w:rFonts w:ascii="宋体" w:hAnsi="宋体"/>
          <w:b/>
          <w:sz w:val="32"/>
          <w:u w:val="single"/>
        </w:rPr>
      </w:pPr>
      <w:r>
        <w:rPr>
          <w:rFonts w:hint="eastAsia" w:ascii="宋体" w:hAnsi="宋体"/>
          <w:b/>
          <w:sz w:val="32"/>
        </w:rPr>
        <w:t xml:space="preserve">投标人： </w:t>
      </w:r>
      <w:r>
        <w:rPr>
          <w:rFonts w:hint="eastAsia" w:ascii="宋体" w:hAnsi="宋体"/>
          <w:b/>
          <w:sz w:val="32"/>
          <w:u w:val="single"/>
        </w:rPr>
        <w:t xml:space="preserve">                         （盖章）</w:t>
      </w:r>
    </w:p>
    <w:p>
      <w:pPr>
        <w:adjustRightInd w:val="0"/>
        <w:snapToGrid w:val="0"/>
        <w:spacing w:line="360" w:lineRule="auto"/>
        <w:ind w:firstLine="1680"/>
        <w:rPr>
          <w:rFonts w:ascii="宋体" w:hAnsi="宋体"/>
          <w:b/>
          <w:sz w:val="18"/>
          <w:szCs w:val="18"/>
        </w:rPr>
      </w:pPr>
      <w:r>
        <w:rPr>
          <w:rFonts w:hint="eastAsia" w:ascii="宋体" w:hAnsi="宋体"/>
          <w:b/>
          <w:sz w:val="32"/>
        </w:rPr>
        <w:t xml:space="preserve"> </w:t>
      </w:r>
    </w:p>
    <w:p>
      <w:pPr>
        <w:adjustRightInd w:val="0"/>
        <w:snapToGrid w:val="0"/>
        <w:spacing w:line="360" w:lineRule="auto"/>
        <w:ind w:firstLine="964" w:firstLineChars="300"/>
        <w:rPr>
          <w:rFonts w:ascii="宋体" w:hAnsi="宋体"/>
          <w:b/>
          <w:sz w:val="32"/>
          <w:u w:val="single"/>
        </w:rPr>
      </w:pPr>
      <w:r>
        <w:rPr>
          <w:rFonts w:hint="eastAsia" w:ascii="宋体" w:hAnsi="宋体"/>
          <w:b/>
          <w:sz w:val="32"/>
        </w:rPr>
        <w:t xml:space="preserve">法定代表人或其委托代理人：  </w:t>
      </w:r>
      <w:r>
        <w:rPr>
          <w:rFonts w:hint="eastAsia" w:ascii="宋体" w:hAnsi="宋体"/>
          <w:b/>
          <w:sz w:val="32"/>
          <w:u w:val="single"/>
        </w:rPr>
        <w:t>（签字或盖章）</w:t>
      </w:r>
    </w:p>
    <w:p>
      <w:pPr>
        <w:adjustRightInd w:val="0"/>
        <w:snapToGrid w:val="0"/>
        <w:spacing w:line="360" w:lineRule="auto"/>
        <w:jc w:val="center"/>
        <w:rPr>
          <w:rFonts w:ascii="宋体" w:hAnsi="宋体"/>
          <w:b/>
          <w:sz w:val="18"/>
          <w:szCs w:val="18"/>
        </w:rPr>
      </w:pPr>
    </w:p>
    <w:p>
      <w:pPr>
        <w:adjustRightInd w:val="0"/>
        <w:snapToGrid w:val="0"/>
        <w:spacing w:line="360" w:lineRule="auto"/>
        <w:rPr>
          <w:rFonts w:ascii="宋体" w:hAnsi="宋体"/>
          <w:b/>
          <w:sz w:val="32"/>
          <w:u w:val="single"/>
        </w:rPr>
      </w:pPr>
      <w:r>
        <w:rPr>
          <w:rFonts w:hint="eastAsia" w:ascii="宋体" w:hAnsi="宋体"/>
          <w:b/>
          <w:sz w:val="32"/>
        </w:rPr>
        <w:t xml:space="preserve">      地址：</w:t>
      </w:r>
      <w:r>
        <w:rPr>
          <w:rFonts w:hint="eastAsia" w:ascii="宋体" w:hAnsi="宋体"/>
          <w:b/>
          <w:sz w:val="32"/>
          <w:u w:val="single"/>
        </w:rPr>
        <w:t xml:space="preserve">                                   </w:t>
      </w:r>
    </w:p>
    <w:p>
      <w:pPr>
        <w:spacing w:line="360" w:lineRule="auto"/>
        <w:rPr>
          <w:rFonts w:ascii="宋体" w:hAnsi="宋体"/>
          <w:b/>
          <w:sz w:val="18"/>
          <w:szCs w:val="18"/>
        </w:rPr>
      </w:pPr>
      <w:r>
        <w:rPr>
          <w:rFonts w:hint="eastAsia" w:ascii="宋体" w:hAnsi="宋体"/>
          <w:b/>
          <w:sz w:val="32"/>
        </w:rPr>
        <w:t xml:space="preserve">            </w:t>
      </w:r>
    </w:p>
    <w:p>
      <w:pPr>
        <w:spacing w:line="360" w:lineRule="auto"/>
        <w:ind w:firstLine="964" w:firstLineChars="300"/>
        <w:rPr>
          <w:rFonts w:ascii="宋体" w:hAnsi="宋体"/>
          <w:sz w:val="30"/>
        </w:rPr>
      </w:pPr>
      <w:r>
        <w:rPr>
          <w:rFonts w:hint="eastAsia" w:ascii="宋体" w:hAnsi="宋体"/>
          <w:b/>
          <w:sz w:val="32"/>
        </w:rPr>
        <w:t>日期：</w:t>
      </w:r>
      <w:r>
        <w:rPr>
          <w:rFonts w:hint="eastAsia" w:ascii="宋体" w:hAnsi="宋体"/>
          <w:b/>
          <w:sz w:val="32"/>
          <w:u w:val="single"/>
        </w:rPr>
        <w:t xml:space="preserve">         </w:t>
      </w:r>
      <w:r>
        <w:rPr>
          <w:rFonts w:hint="eastAsia" w:ascii="宋体" w:hAnsi="宋体"/>
          <w:b/>
          <w:sz w:val="32"/>
        </w:rPr>
        <w:t>年</w:t>
      </w:r>
      <w:r>
        <w:rPr>
          <w:rFonts w:hint="eastAsia" w:ascii="宋体" w:hAnsi="宋体"/>
          <w:b/>
          <w:sz w:val="32"/>
          <w:u w:val="single"/>
        </w:rPr>
        <w:t xml:space="preserve">          </w:t>
      </w:r>
      <w:r>
        <w:rPr>
          <w:rFonts w:hint="eastAsia" w:ascii="宋体" w:hAnsi="宋体"/>
          <w:b/>
          <w:sz w:val="32"/>
        </w:rPr>
        <w:t>月</w:t>
      </w:r>
      <w:r>
        <w:rPr>
          <w:rFonts w:hint="eastAsia" w:ascii="宋体" w:hAnsi="宋体"/>
          <w:b/>
          <w:sz w:val="32"/>
          <w:u w:val="single"/>
        </w:rPr>
        <w:t xml:space="preserve">          </w:t>
      </w:r>
      <w:r>
        <w:rPr>
          <w:rFonts w:hint="eastAsia" w:ascii="宋体" w:hAnsi="宋体"/>
          <w:b/>
          <w:sz w:val="32"/>
        </w:rPr>
        <w:t>日</w:t>
      </w:r>
      <w:r>
        <w:rPr>
          <w:rFonts w:hint="eastAsia" w:ascii="宋体" w:hAnsi="宋体"/>
          <w:sz w:val="30"/>
        </w:rPr>
        <w:t xml:space="preserve"> </w:t>
      </w:r>
    </w:p>
    <w:p>
      <w:pPr>
        <w:spacing w:line="360" w:lineRule="auto"/>
        <w:ind w:firstLine="1084" w:firstLineChars="300"/>
        <w:rPr>
          <w:rFonts w:ascii="宋体" w:hAnsi="宋体"/>
          <w:b/>
          <w:sz w:val="36"/>
        </w:rPr>
      </w:pPr>
    </w:p>
    <w:p>
      <w:pPr>
        <w:pStyle w:val="15"/>
        <w:spacing w:line="360" w:lineRule="auto"/>
        <w:ind w:firstLine="0"/>
        <w:jc w:val="center"/>
        <w:outlineLvl w:val="1"/>
        <w:rPr>
          <w:sz w:val="32"/>
        </w:rPr>
      </w:pPr>
      <w:r>
        <w:rPr>
          <w:rFonts w:hAnsi="宋体"/>
          <w:sz w:val="28"/>
          <w:szCs w:val="28"/>
        </w:rPr>
        <w:t>法定代表人身份证明</w:t>
      </w:r>
    </w:p>
    <w:p>
      <w:pPr>
        <w:pStyle w:val="15"/>
        <w:snapToGrid w:val="0"/>
        <w:spacing w:line="440" w:lineRule="exact"/>
        <w:ind w:firstLine="0"/>
        <w:rPr>
          <w:sz w:val="30"/>
        </w:rPr>
      </w:pPr>
    </w:p>
    <w:p>
      <w:pPr>
        <w:pStyle w:val="15"/>
        <w:snapToGrid w:val="0"/>
        <w:spacing w:line="440" w:lineRule="exact"/>
        <w:ind w:firstLine="480" w:firstLineChars="200"/>
        <w:rPr>
          <w:rFonts w:ascii="宋体" w:hAnsi="宋体"/>
          <w:u w:val="single"/>
        </w:rPr>
      </w:pPr>
      <w:r>
        <w:rPr>
          <w:rFonts w:hint="eastAsia" w:ascii="宋体" w:hAnsi="宋体"/>
        </w:rPr>
        <w:t>投标人单位名称：</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投标人单位性质：</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投标人单位地址：</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成立时间：</w:t>
      </w:r>
      <w:r>
        <w:rPr>
          <w:rFonts w:hint="eastAsia" w:ascii="宋体" w:hAnsi="宋体"/>
          <w:u w:val="single"/>
        </w:rPr>
        <w:t xml:space="preserve">     </w:t>
      </w:r>
      <w:r>
        <w:rPr>
          <w:rFonts w:hint="eastAsia" w:ascii="宋体" w:hAnsi="宋体"/>
        </w:rPr>
        <w:t>年</w:t>
      </w:r>
      <w:r>
        <w:rPr>
          <w:rFonts w:hint="eastAsia" w:ascii="宋体" w:hAnsi="宋体"/>
          <w:u w:val="single"/>
        </w:rPr>
        <w:t xml:space="preserve">     </w:t>
      </w:r>
      <w:r>
        <w:rPr>
          <w:rFonts w:hint="eastAsia" w:ascii="宋体" w:hAnsi="宋体"/>
        </w:rPr>
        <w:t xml:space="preserve">月 </w:t>
      </w:r>
      <w:r>
        <w:rPr>
          <w:rFonts w:hint="eastAsia" w:ascii="宋体" w:hAnsi="宋体"/>
          <w:u w:val="single"/>
        </w:rPr>
        <w:t xml:space="preserve">    </w:t>
      </w:r>
      <w:r>
        <w:rPr>
          <w:rFonts w:hint="eastAsia" w:ascii="宋体" w:hAnsi="宋体"/>
        </w:rPr>
        <w:t>日</w:t>
      </w:r>
    </w:p>
    <w:p>
      <w:pPr>
        <w:pStyle w:val="15"/>
        <w:snapToGrid w:val="0"/>
        <w:spacing w:line="440" w:lineRule="exact"/>
        <w:ind w:firstLine="480" w:firstLineChars="200"/>
        <w:rPr>
          <w:rFonts w:ascii="宋体" w:hAnsi="宋体"/>
          <w:u w:val="single"/>
        </w:rPr>
      </w:pPr>
      <w:r>
        <w:rPr>
          <w:rFonts w:hint="eastAsia" w:ascii="宋体" w:hAnsi="宋体"/>
        </w:rPr>
        <w:t>经营期限：</w:t>
      </w:r>
      <w:r>
        <w:rPr>
          <w:rFonts w:hint="eastAsia" w:ascii="宋体" w:hAnsi="宋体"/>
          <w:sz w:val="30"/>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姓名：</w:t>
      </w:r>
      <w:r>
        <w:rPr>
          <w:rFonts w:hint="eastAsia" w:ascii="宋体" w:hAnsi="宋体"/>
          <w:u w:val="single"/>
        </w:rPr>
        <w:t xml:space="preserve">             </w:t>
      </w:r>
      <w:r>
        <w:rPr>
          <w:rFonts w:hint="eastAsia" w:ascii="宋体" w:hAnsi="宋体"/>
        </w:rPr>
        <w:t>性别：</w:t>
      </w:r>
      <w:r>
        <w:rPr>
          <w:rFonts w:hint="eastAsia" w:ascii="宋体" w:hAnsi="宋体"/>
          <w:u w:val="single"/>
        </w:rPr>
        <w:t xml:space="preserve">              </w:t>
      </w:r>
    </w:p>
    <w:p>
      <w:pPr>
        <w:pStyle w:val="15"/>
        <w:snapToGrid w:val="0"/>
        <w:spacing w:line="440" w:lineRule="exact"/>
        <w:ind w:firstLine="480" w:firstLineChars="200"/>
        <w:rPr>
          <w:rFonts w:ascii="宋体" w:hAnsi="宋体"/>
          <w:u w:val="single"/>
        </w:rPr>
      </w:pPr>
      <w:r>
        <w:rPr>
          <w:rFonts w:hint="eastAsia" w:ascii="宋体" w:hAnsi="宋体"/>
        </w:rPr>
        <w:t>年龄：</w:t>
      </w:r>
      <w:r>
        <w:rPr>
          <w:rFonts w:hint="eastAsia" w:ascii="宋体" w:hAnsi="宋体"/>
          <w:u w:val="single"/>
        </w:rPr>
        <w:t xml:space="preserve">             </w:t>
      </w:r>
      <w:r>
        <w:rPr>
          <w:rFonts w:hint="eastAsia" w:ascii="宋体" w:hAnsi="宋体"/>
        </w:rPr>
        <w:t>职务：</w:t>
      </w:r>
      <w:r>
        <w:rPr>
          <w:rFonts w:hint="eastAsia" w:ascii="宋体" w:hAnsi="宋体"/>
          <w:u w:val="single"/>
        </w:rPr>
        <w:t xml:space="preserve">               </w:t>
      </w:r>
    </w:p>
    <w:p>
      <w:pPr>
        <w:pStyle w:val="15"/>
        <w:snapToGrid w:val="0"/>
        <w:spacing w:line="440" w:lineRule="exact"/>
        <w:ind w:firstLine="480" w:firstLineChars="200"/>
        <w:rPr>
          <w:rFonts w:ascii="宋体" w:hAnsi="宋体"/>
        </w:rPr>
      </w:pPr>
      <w:r>
        <w:rPr>
          <w:rFonts w:hint="eastAsia" w:ascii="宋体" w:hAnsi="宋体"/>
        </w:rPr>
        <w:t>系：</w:t>
      </w:r>
      <w:r>
        <w:rPr>
          <w:rFonts w:hint="eastAsia" w:ascii="宋体" w:hAnsi="宋体"/>
          <w:u w:val="single"/>
        </w:rPr>
        <w:t xml:space="preserve">                              </w:t>
      </w:r>
      <w:r>
        <w:rPr>
          <w:rFonts w:hint="eastAsia" w:ascii="宋体" w:hAnsi="宋体"/>
        </w:rPr>
        <w:t>(投标人单位名称)的法定代表人。</w:t>
      </w:r>
    </w:p>
    <w:p>
      <w:pPr>
        <w:pStyle w:val="15"/>
        <w:snapToGrid w:val="0"/>
        <w:spacing w:line="440" w:lineRule="exact"/>
        <w:ind w:firstLine="480" w:firstLineChars="200"/>
        <w:rPr>
          <w:rFonts w:ascii="宋体" w:hAnsi="宋体"/>
        </w:rPr>
      </w:pPr>
      <w:r>
        <w:rPr>
          <w:rFonts w:hint="eastAsia" w:ascii="宋体" w:hAnsi="宋体"/>
        </w:rPr>
        <w:t>法定代表人联系电话：</w:t>
      </w:r>
      <w:r>
        <w:rPr>
          <w:rFonts w:hint="eastAsia" w:ascii="宋体" w:hAnsi="宋体"/>
          <w:sz w:val="30"/>
          <w:u w:val="single"/>
        </w:rPr>
        <w:t xml:space="preserve">                     </w:t>
      </w:r>
    </w:p>
    <w:p>
      <w:pPr>
        <w:pStyle w:val="15"/>
        <w:snapToGrid w:val="0"/>
        <w:spacing w:line="440" w:lineRule="exact"/>
        <w:ind w:firstLine="480" w:firstLineChars="200"/>
        <w:rPr>
          <w:rFonts w:ascii="宋体" w:hAnsi="宋体"/>
        </w:rPr>
      </w:pPr>
      <w:r>
        <w:rPr>
          <w:rFonts w:hint="eastAsia" w:ascii="宋体" w:hAnsi="宋体"/>
        </w:rPr>
        <w:t>特此证明。</w:t>
      </w:r>
    </w:p>
    <w:p>
      <w:pPr>
        <w:pStyle w:val="15"/>
        <w:spacing w:line="360" w:lineRule="auto"/>
        <w:ind w:firstLine="0"/>
        <w:rPr>
          <w:rFonts w:ascii="宋体" w:hAnsi="宋体"/>
          <w:sz w:val="30"/>
        </w:rPr>
      </w:pPr>
    </w:p>
    <w:p>
      <w:pPr>
        <w:pStyle w:val="15"/>
        <w:spacing w:line="360" w:lineRule="auto"/>
        <w:ind w:firstLine="0"/>
        <w:jc w:val="center"/>
        <w:rPr>
          <w:rFonts w:ascii="宋体" w:hAnsi="宋体"/>
          <w:sz w:val="30"/>
        </w:rPr>
      </w:pPr>
      <w:r>
        <w:rPr>
          <w:rFonts w:ascii="宋体" w:hAnsi="宋体"/>
          <w:sz w:val="30"/>
        </w:rPr>
        <mc:AlternateContent>
          <mc:Choice Requires="wps">
            <w:drawing>
              <wp:anchor distT="0" distB="0" distL="114300" distR="114300" simplePos="0" relativeHeight="251661312" behindDoc="0" locked="0" layoutInCell="1" allowOverlap="1">
                <wp:simplePos x="0" y="0"/>
                <wp:positionH relativeFrom="column">
                  <wp:posOffset>392430</wp:posOffset>
                </wp:positionH>
                <wp:positionV relativeFrom="paragraph">
                  <wp:posOffset>18415</wp:posOffset>
                </wp:positionV>
                <wp:extent cx="5126355" cy="1931670"/>
                <wp:effectExtent l="7620" t="7620" r="9525" b="22860"/>
                <wp:wrapNone/>
                <wp:docPr id="3" name="圆角矩形 3"/>
                <wp:cNvGraphicFramePr/>
                <a:graphic xmlns:a="http://schemas.openxmlformats.org/drawingml/2006/main">
                  <a:graphicData uri="http://schemas.microsoft.com/office/word/2010/wordprocessingShape">
                    <wps:wsp>
                      <wps:cNvSpPr/>
                      <wps:spPr>
                        <a:xfrm>
                          <a:off x="0" y="0"/>
                          <a:ext cx="5126355" cy="1931670"/>
                        </a:xfrm>
                        <a:prstGeom prst="roundRect">
                          <a:avLst>
                            <a:gd name="adj" fmla="val 16667"/>
                          </a:avLst>
                        </a:prstGeom>
                        <a:noFill/>
                        <a:ln w="15875" cap="flat" cmpd="sng">
                          <a:solidFill>
                            <a:srgbClr val="000000"/>
                          </a:solidFill>
                          <a:prstDash val="dash"/>
                          <a:headEnd type="none" w="med" len="med"/>
                          <a:tailEnd type="none" w="med" len="med"/>
                        </a:ln>
                        <a:effectLst/>
                      </wps:spPr>
                      <wps:txbx>
                        <w:txbxContent>
                          <w:p/>
                        </w:txbxContent>
                      </wps:txbx>
                      <wps:bodyPr upright="1"/>
                    </wps:wsp>
                  </a:graphicData>
                </a:graphic>
              </wp:anchor>
            </w:drawing>
          </mc:Choice>
          <mc:Fallback>
            <w:pict>
              <v:roundrect id="_x0000_s1026" o:spid="_x0000_s1026" o:spt="2" style="position:absolute;left:0pt;margin-left:30.9pt;margin-top:1.45pt;height:152.1pt;width:403.65pt;z-index:251661312;mso-width-relative:page;mso-height-relative:page;" filled="f" stroked="t" coordsize="21600,21600" arcsize="0.166666666666667" o:gfxdata="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e&#10;Mv2+1wAAAAgBAAAPAAAAAAAAAAEAIAAAACIAAABkcnMvZG93bnJldi54bWxQSwECFAAUAAAACACH&#10;TuJAwjqOECUCAAA8BAAADgAAAAAAAAABACAAAAAmAQAAZHJzL2Uyb0RvYy54bWxQSwUGAAAAAAYA&#10;BgBZAQAAvQUAAAAA&#10;">
                <v:fill on="f" focussize="0,0"/>
                <v:stroke weight="1.25pt" color="#000000" joinstyle="round" dashstyle="dash"/>
                <v:imagedata o:title=""/>
                <o:lock v:ext="edit" aspectratio="f"/>
                <v:textbox>
                  <w:txbxContent>
                    <w:p/>
                  </w:txbxContent>
                </v:textbox>
              </v:roundrect>
            </w:pict>
          </mc:Fallback>
        </mc:AlternateContent>
      </w:r>
    </w:p>
    <w:p>
      <w:pPr>
        <w:pStyle w:val="15"/>
        <w:spacing w:line="360" w:lineRule="auto"/>
        <w:ind w:firstLine="793" w:firstLineChars="329"/>
        <w:rPr>
          <w:rFonts w:ascii="宋体" w:hAnsi="宋体"/>
          <w:b/>
        </w:rPr>
      </w:pPr>
      <w:r>
        <w:rPr>
          <w:rFonts w:hint="eastAsia" w:ascii="宋体" w:hAnsi="宋体"/>
          <w:b/>
        </w:rPr>
        <w:t>法定代表人身份证复印件贴于此处，并加盖单位公章，否则该证明无效。</w:t>
      </w:r>
    </w:p>
    <w:p>
      <w:pPr>
        <w:pStyle w:val="15"/>
        <w:spacing w:line="360" w:lineRule="auto"/>
        <w:ind w:firstLine="0"/>
        <w:jc w:val="center"/>
        <w:rPr>
          <w:rFonts w:ascii="宋体" w:hAnsi="宋体"/>
          <w:sz w:val="30"/>
        </w:rPr>
      </w:pPr>
    </w:p>
    <w:p>
      <w:pPr>
        <w:pStyle w:val="15"/>
        <w:spacing w:line="360" w:lineRule="auto"/>
        <w:jc w:val="center"/>
        <w:rPr>
          <w:rFonts w:ascii="宋体" w:hAnsi="宋体"/>
          <w:sz w:val="30"/>
        </w:rPr>
      </w:pPr>
    </w:p>
    <w:p>
      <w:pPr>
        <w:pStyle w:val="15"/>
        <w:snapToGrid w:val="0"/>
        <w:spacing w:line="440" w:lineRule="exact"/>
        <w:ind w:firstLine="480" w:firstLineChars="200"/>
        <w:rPr>
          <w:rFonts w:ascii="宋体" w:hAnsi="宋体"/>
        </w:rPr>
      </w:pPr>
    </w:p>
    <w:p>
      <w:pPr>
        <w:pStyle w:val="15"/>
        <w:snapToGrid w:val="0"/>
        <w:spacing w:line="440" w:lineRule="exact"/>
        <w:ind w:firstLine="480" w:firstLineChars="200"/>
        <w:rPr>
          <w:rFonts w:ascii="宋体" w:hAnsi="宋体"/>
        </w:rPr>
      </w:pPr>
    </w:p>
    <w:p>
      <w:pPr>
        <w:pStyle w:val="15"/>
        <w:snapToGrid w:val="0"/>
        <w:spacing w:line="440" w:lineRule="exact"/>
        <w:ind w:firstLine="480" w:firstLineChars="200"/>
        <w:rPr>
          <w:rFonts w:ascii="宋体" w:hAnsi="宋体"/>
        </w:rPr>
      </w:pPr>
    </w:p>
    <w:p>
      <w:pPr>
        <w:pStyle w:val="15"/>
        <w:snapToGrid w:val="0"/>
        <w:spacing w:line="440" w:lineRule="exact"/>
        <w:ind w:firstLine="3840" w:firstLineChars="1600"/>
        <w:jc w:val="right"/>
        <w:rPr>
          <w:rFonts w:ascii="宋体" w:hAnsi="宋体"/>
        </w:rPr>
      </w:pPr>
      <w:r>
        <w:rPr>
          <w:rFonts w:hint="eastAsia" w:ascii="宋体" w:hAnsi="宋体"/>
        </w:rPr>
        <w:t>投标人：</w:t>
      </w:r>
      <w:r>
        <w:rPr>
          <w:rFonts w:hint="eastAsia" w:ascii="宋体" w:hAnsi="宋体"/>
          <w:u w:val="single"/>
        </w:rPr>
        <w:t xml:space="preserve">                 </w:t>
      </w:r>
      <w:r>
        <w:rPr>
          <w:rFonts w:hint="eastAsia" w:ascii="宋体" w:hAnsi="宋体"/>
        </w:rPr>
        <w:t>(盖单位章)</w:t>
      </w:r>
    </w:p>
    <w:p>
      <w:pPr>
        <w:pStyle w:val="15"/>
        <w:snapToGrid w:val="0"/>
        <w:spacing w:line="440" w:lineRule="exact"/>
        <w:ind w:firstLine="3840" w:firstLineChars="1600"/>
        <w:jc w:val="right"/>
        <w:rPr>
          <w:rFonts w:ascii="宋体" w:hAnsi="宋体"/>
          <w:u w:val="single"/>
        </w:rPr>
      </w:pPr>
      <w:r>
        <w:rPr>
          <w:rFonts w:hint="eastAsia" w:ascii="宋体" w:hAnsi="宋体"/>
        </w:rPr>
        <w:t>日   期：</w:t>
      </w:r>
      <w:r>
        <w:rPr>
          <w:rFonts w:hint="eastAsia" w:ascii="宋体" w:hAnsi="宋体"/>
          <w:u w:val="single"/>
        </w:rPr>
        <w:t xml:space="preserve">        </w:t>
      </w:r>
      <w:r>
        <w:rPr>
          <w:rFonts w:hint="eastAsia" w:ascii="宋体" w:hAnsi="宋体"/>
        </w:rPr>
        <w:t>年</w:t>
      </w:r>
      <w:r>
        <w:rPr>
          <w:rFonts w:hint="eastAsia" w:ascii="宋体" w:hAnsi="宋体"/>
          <w:u w:val="single"/>
        </w:rPr>
        <w:t xml:space="preserve">      </w:t>
      </w:r>
      <w:r>
        <w:rPr>
          <w:rFonts w:hint="eastAsia" w:ascii="宋体" w:hAnsi="宋体"/>
        </w:rPr>
        <w:t>月</w:t>
      </w:r>
      <w:r>
        <w:rPr>
          <w:rFonts w:hint="eastAsia" w:ascii="宋体" w:hAnsi="宋体"/>
          <w:u w:val="single"/>
        </w:rPr>
        <w:t xml:space="preserve">      </w:t>
      </w:r>
      <w:r>
        <w:rPr>
          <w:rFonts w:hint="eastAsia" w:ascii="宋体" w:hAnsi="宋体"/>
        </w:rPr>
        <w:t>日</w:t>
      </w:r>
    </w:p>
    <w:p>
      <w:pPr>
        <w:pStyle w:val="15"/>
        <w:spacing w:line="360" w:lineRule="auto"/>
        <w:ind w:firstLine="0"/>
        <w:jc w:val="center"/>
        <w:rPr>
          <w:rFonts w:ascii="宋体" w:hAnsi="宋体"/>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pacing w:line="360" w:lineRule="auto"/>
        <w:ind w:firstLine="0"/>
        <w:jc w:val="center"/>
        <w:rPr>
          <w:sz w:val="25"/>
        </w:rPr>
      </w:pPr>
    </w:p>
    <w:p>
      <w:pPr>
        <w:pStyle w:val="15"/>
        <w:snapToGrid w:val="0"/>
        <w:spacing w:line="440" w:lineRule="exact"/>
        <w:ind w:firstLine="0"/>
        <w:jc w:val="center"/>
        <w:outlineLvl w:val="1"/>
        <w:rPr>
          <w:sz w:val="28"/>
          <w:szCs w:val="28"/>
        </w:rPr>
      </w:pPr>
      <w:r>
        <w:rPr>
          <w:rFonts w:hAnsi="宋体"/>
          <w:sz w:val="28"/>
          <w:szCs w:val="28"/>
        </w:rPr>
        <w:br w:type="page"/>
      </w:r>
      <w:r>
        <w:rPr>
          <w:rFonts w:hAnsi="宋体"/>
          <w:sz w:val="28"/>
          <w:szCs w:val="28"/>
        </w:rPr>
        <w:t>授权委托书</w:t>
      </w:r>
    </w:p>
    <w:p>
      <w:pPr>
        <w:pStyle w:val="15"/>
        <w:snapToGrid w:val="0"/>
        <w:spacing w:line="440" w:lineRule="exact"/>
        <w:ind w:firstLine="480"/>
      </w:pPr>
    </w:p>
    <w:p>
      <w:pPr>
        <w:pStyle w:val="15"/>
        <w:snapToGrid w:val="0"/>
        <w:spacing w:line="440" w:lineRule="exact"/>
        <w:ind w:firstLine="480" w:firstLineChars="200"/>
        <w:rPr>
          <w:rFonts w:ascii="宋体" w:hAnsi="宋体"/>
        </w:rPr>
      </w:pPr>
      <w:r>
        <w:rPr>
          <w:rFonts w:hint="eastAsia" w:ascii="宋体" w:hAnsi="宋体"/>
        </w:rPr>
        <w:t>本授权委托书声明：本人</w:t>
      </w:r>
      <w:r>
        <w:rPr>
          <w:rFonts w:hint="eastAsia" w:ascii="宋体" w:hAnsi="宋体"/>
          <w:u w:val="single"/>
        </w:rPr>
        <w:t xml:space="preserve">         </w:t>
      </w:r>
      <w:r>
        <w:rPr>
          <w:rFonts w:hint="eastAsia" w:ascii="宋体" w:hAnsi="宋体"/>
        </w:rPr>
        <w:t>(姓名)系</w:t>
      </w:r>
      <w:r>
        <w:rPr>
          <w:rFonts w:hint="eastAsia" w:ascii="宋体" w:hAnsi="宋体"/>
          <w:u w:val="single"/>
        </w:rPr>
        <w:t xml:space="preserve">                </w:t>
      </w:r>
      <w:r>
        <w:rPr>
          <w:rFonts w:hint="eastAsia" w:ascii="宋体" w:hAnsi="宋体"/>
        </w:rPr>
        <w:t>(投标人单位名称)的法定代表人，现委托</w:t>
      </w:r>
      <w:r>
        <w:rPr>
          <w:rFonts w:hint="eastAsia" w:ascii="宋体" w:hAnsi="宋体"/>
          <w:u w:val="single"/>
        </w:rPr>
        <w:t xml:space="preserve">        </w:t>
      </w:r>
      <w:r>
        <w:rPr>
          <w:rFonts w:hint="eastAsia" w:ascii="宋体" w:hAnsi="宋体"/>
        </w:rPr>
        <w:t>(姓名)（身份证号：</w:t>
      </w:r>
      <w:r>
        <w:rPr>
          <w:rFonts w:hint="eastAsia" w:ascii="宋体" w:hAnsi="宋体"/>
          <w:u w:val="single"/>
        </w:rPr>
        <w:t xml:space="preserve">                   </w:t>
      </w:r>
      <w:r>
        <w:rPr>
          <w:rFonts w:hint="eastAsia" w:ascii="宋体" w:hAnsi="宋体"/>
        </w:rPr>
        <w:t>）为我方代理人。代理人根据授权，以我方名义签署、澄清、说明、补正、递交、撤回、修改</w:t>
      </w:r>
      <w:r>
        <w:rPr>
          <w:rFonts w:hint="eastAsia" w:ascii="宋体" w:hAnsi="宋体"/>
          <w:u w:val="single"/>
        </w:rPr>
        <w:t xml:space="preserve">                    </w:t>
      </w:r>
      <w:r>
        <w:rPr>
          <w:rFonts w:hint="eastAsia" w:ascii="宋体" w:hAnsi="宋体"/>
        </w:rPr>
        <w:t>（项目名称）施工投标文件，签订合同和处理有关事宜，其法律后果由我方承担。</w:t>
      </w:r>
    </w:p>
    <w:p>
      <w:pPr>
        <w:pStyle w:val="15"/>
        <w:snapToGrid w:val="0"/>
        <w:spacing w:line="440" w:lineRule="exact"/>
        <w:ind w:firstLine="480"/>
        <w:rPr>
          <w:rFonts w:ascii="宋体" w:hAnsi="宋体"/>
        </w:rPr>
      </w:pPr>
      <w:r>
        <w:rPr>
          <w:rFonts w:hint="eastAsia" w:ascii="宋体" w:hAnsi="宋体"/>
        </w:rPr>
        <w:t>委托期限：</w:t>
      </w:r>
      <w:r>
        <w:rPr>
          <w:rFonts w:hint="eastAsia" w:ascii="宋体" w:hAnsi="宋体"/>
          <w:u w:val="single"/>
        </w:rPr>
        <w:t xml:space="preserve">             </w:t>
      </w:r>
      <w:r>
        <w:rPr>
          <w:rFonts w:hint="eastAsia" w:ascii="宋体" w:hAnsi="宋体"/>
        </w:rPr>
        <w:t>。</w:t>
      </w:r>
    </w:p>
    <w:p>
      <w:pPr>
        <w:pStyle w:val="15"/>
        <w:snapToGrid w:val="0"/>
        <w:spacing w:line="440" w:lineRule="exact"/>
        <w:ind w:firstLine="480" w:firstLineChars="200"/>
        <w:jc w:val="left"/>
        <w:rPr>
          <w:rFonts w:ascii="宋体" w:hAnsi="宋体"/>
          <w:sz w:val="28"/>
          <w:szCs w:val="28"/>
        </w:rPr>
      </w:pPr>
      <w:r>
        <w:rPr>
          <w:rFonts w:hint="eastAsia" w:ascii="宋体" w:hAnsi="宋体"/>
        </w:rPr>
        <w:t>授权委托人联系电话：</w:t>
      </w:r>
      <w:r>
        <w:rPr>
          <w:rFonts w:hint="eastAsia" w:ascii="宋体" w:hAnsi="宋体"/>
          <w:sz w:val="28"/>
          <w:szCs w:val="28"/>
          <w:u w:val="single"/>
        </w:rPr>
        <w:t xml:space="preserve">                          </w:t>
      </w:r>
    </w:p>
    <w:p>
      <w:pPr>
        <w:pStyle w:val="15"/>
        <w:snapToGrid w:val="0"/>
        <w:spacing w:line="440" w:lineRule="exact"/>
        <w:ind w:firstLine="480" w:firstLineChars="200"/>
        <w:rPr>
          <w:rFonts w:ascii="宋体" w:hAnsi="宋体"/>
        </w:rPr>
      </w:pPr>
      <w:r>
        <w:rPr>
          <w:rFonts w:hint="eastAsia" w:ascii="宋体" w:hAnsi="宋体"/>
        </w:rPr>
        <w:t>代理人无转委托权。</w:t>
      </w: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r>
        <w:rPr>
          <w:rFonts w:hint="eastAsia" w:ascii="宋体" w:hAnsi="宋体"/>
        </w:rPr>
        <w:t>代理人：</w:t>
      </w:r>
      <w:r>
        <w:rPr>
          <w:rFonts w:hint="eastAsia" w:ascii="宋体" w:hAnsi="宋体"/>
          <w:u w:val="single"/>
        </w:rPr>
        <w:t xml:space="preserve">          </w:t>
      </w:r>
      <w:r>
        <w:rPr>
          <w:rFonts w:hint="eastAsia" w:ascii="宋体" w:hAnsi="宋体"/>
        </w:rPr>
        <w:t xml:space="preserve"> 性别：</w:t>
      </w:r>
      <w:r>
        <w:rPr>
          <w:rFonts w:hint="eastAsia" w:ascii="宋体" w:hAnsi="宋体"/>
          <w:u w:val="single"/>
        </w:rPr>
        <w:t xml:space="preserve">                </w:t>
      </w:r>
      <w:r>
        <w:rPr>
          <w:rFonts w:hint="eastAsia" w:ascii="宋体" w:hAnsi="宋体"/>
        </w:rPr>
        <w:t>年龄：</w:t>
      </w:r>
      <w:r>
        <w:rPr>
          <w:rFonts w:hint="eastAsia" w:ascii="宋体" w:hAnsi="宋体"/>
          <w:u w:val="single"/>
        </w:rPr>
        <w:t xml:space="preserve">               </w:t>
      </w:r>
    </w:p>
    <w:p>
      <w:pPr>
        <w:pStyle w:val="15"/>
        <w:snapToGrid w:val="0"/>
        <w:spacing w:line="440" w:lineRule="exact"/>
        <w:ind w:firstLine="0"/>
        <w:rPr>
          <w:rFonts w:ascii="宋体" w:hAnsi="宋体"/>
        </w:rPr>
      </w:pPr>
      <w:r>
        <w:rPr>
          <w:rFonts w:hint="eastAsia" w:ascii="宋体" w:hAnsi="宋体"/>
        </w:rPr>
        <w:t>代理人单位：</w:t>
      </w:r>
      <w:r>
        <w:rPr>
          <w:rFonts w:hint="eastAsia" w:ascii="宋体" w:hAnsi="宋体"/>
          <w:u w:val="single"/>
        </w:rPr>
        <w:t xml:space="preserve">                    </w:t>
      </w:r>
      <w:r>
        <w:rPr>
          <w:rFonts w:hint="eastAsia" w:ascii="宋体" w:hAnsi="宋体"/>
        </w:rPr>
        <w:t>部门：</w:t>
      </w:r>
      <w:r>
        <w:rPr>
          <w:rFonts w:hint="eastAsia" w:ascii="宋体" w:hAnsi="宋体"/>
          <w:u w:val="single"/>
        </w:rPr>
        <w:t xml:space="preserve">              </w:t>
      </w:r>
      <w:r>
        <w:rPr>
          <w:rFonts w:hint="eastAsia" w:ascii="宋体" w:hAnsi="宋体"/>
        </w:rPr>
        <w:t>职务：</w:t>
      </w:r>
      <w:r>
        <w:rPr>
          <w:rFonts w:hint="eastAsia" w:ascii="宋体" w:hAnsi="宋体"/>
          <w:u w:val="single"/>
        </w:rPr>
        <w:t xml:space="preserve">               </w:t>
      </w: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r>
        <w:rPr>
          <w:rFonts w:hint="eastAsia" w:ascii="宋体" w:hAnsi="宋体"/>
        </w:rPr>
        <w:t>投标人：</w:t>
      </w:r>
      <w:r>
        <w:rPr>
          <w:rFonts w:hint="eastAsia" w:ascii="宋体" w:hAnsi="宋体"/>
          <w:u w:val="single"/>
        </w:rPr>
        <w:t xml:space="preserve">                       </w:t>
      </w:r>
      <w:r>
        <w:rPr>
          <w:rFonts w:hint="eastAsia" w:ascii="宋体" w:hAnsi="宋体"/>
        </w:rPr>
        <w:t>(盖单位章)</w:t>
      </w: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p>
    <w:p>
      <w:pPr>
        <w:pStyle w:val="15"/>
        <w:snapToGrid w:val="0"/>
        <w:spacing w:line="440" w:lineRule="exact"/>
        <w:ind w:firstLine="0"/>
        <w:rPr>
          <w:rFonts w:ascii="宋体" w:hAnsi="宋体"/>
        </w:rPr>
      </w:pPr>
      <w:r>
        <w:rPr>
          <w:rFonts w:hint="eastAsia" w:ascii="宋体" w:hAnsi="宋体"/>
        </w:rPr>
        <w:t xml:space="preserve">法定代表人： </w:t>
      </w:r>
      <w:r>
        <w:rPr>
          <w:rFonts w:hint="eastAsia" w:ascii="宋体" w:hAnsi="宋体"/>
          <w:u w:val="single"/>
        </w:rPr>
        <w:t xml:space="preserve">                      </w:t>
      </w:r>
      <w:r>
        <w:rPr>
          <w:rFonts w:hint="eastAsia" w:ascii="宋体" w:hAnsi="宋体"/>
        </w:rPr>
        <w:t>(签字或印章)</w:t>
      </w:r>
    </w:p>
    <w:p>
      <w:pPr>
        <w:pStyle w:val="15"/>
        <w:snapToGrid w:val="0"/>
        <w:spacing w:line="440" w:lineRule="exact"/>
        <w:ind w:firstLine="0"/>
        <w:rPr>
          <w:rFonts w:ascii="宋体" w:hAnsi="宋体"/>
        </w:rPr>
      </w:pPr>
    </w:p>
    <w:p>
      <w:pPr>
        <w:pStyle w:val="15"/>
        <w:jc w:val="left"/>
        <w:rPr>
          <w:rFonts w:ascii="宋体" w:hAnsi="宋体"/>
          <w:sz w:val="30"/>
        </w:rPr>
      </w:pPr>
    </w:p>
    <w:p>
      <w:pPr>
        <w:pStyle w:val="15"/>
        <w:spacing w:line="360" w:lineRule="auto"/>
        <w:ind w:firstLine="0"/>
        <w:jc w:val="center"/>
        <w:rPr>
          <w:rFonts w:ascii="宋体" w:hAnsi="宋体"/>
          <w:sz w:val="30"/>
        </w:rPr>
      </w:pPr>
      <w:r>
        <w:rPr>
          <w:rFonts w:ascii="宋体" w:hAnsi="宋体"/>
          <w:sz w:val="30"/>
        </w:rPr>
        <mc:AlternateContent>
          <mc:Choice Requires="wps">
            <w:drawing>
              <wp:anchor distT="0" distB="0" distL="114300" distR="114300" simplePos="0" relativeHeight="251662336" behindDoc="0" locked="0" layoutInCell="1" allowOverlap="1">
                <wp:simplePos x="0" y="0"/>
                <wp:positionH relativeFrom="column">
                  <wp:posOffset>-87630</wp:posOffset>
                </wp:positionH>
                <wp:positionV relativeFrom="paragraph">
                  <wp:posOffset>21590</wp:posOffset>
                </wp:positionV>
                <wp:extent cx="5586095" cy="1889125"/>
                <wp:effectExtent l="7620" t="7620" r="26035" b="8255"/>
                <wp:wrapNone/>
                <wp:docPr id="4" name="圆角矩形 4"/>
                <wp:cNvGraphicFramePr/>
                <a:graphic xmlns:a="http://schemas.openxmlformats.org/drawingml/2006/main">
                  <a:graphicData uri="http://schemas.microsoft.com/office/word/2010/wordprocessingShape">
                    <wps:wsp>
                      <wps:cNvSpPr/>
                      <wps:spPr>
                        <a:xfrm>
                          <a:off x="0" y="0"/>
                          <a:ext cx="5586095" cy="1889125"/>
                        </a:xfrm>
                        <a:prstGeom prst="roundRect">
                          <a:avLst>
                            <a:gd name="adj" fmla="val 16667"/>
                          </a:avLst>
                        </a:prstGeom>
                        <a:noFill/>
                        <a:ln w="15875" cap="flat" cmpd="sng">
                          <a:solidFill>
                            <a:srgbClr val="000000"/>
                          </a:solidFill>
                          <a:prstDash val="dash"/>
                          <a:headEnd type="none" w="med" len="med"/>
                          <a:tailEnd type="none" w="med" len="med"/>
                        </a:ln>
                        <a:effectLst/>
                      </wps:spPr>
                      <wps:txbx>
                        <w:txbxContent>
                          <w:p/>
                        </w:txbxContent>
                      </wps:txbx>
                      <wps:bodyPr upright="1"/>
                    </wps:wsp>
                  </a:graphicData>
                </a:graphic>
              </wp:anchor>
            </w:drawing>
          </mc:Choice>
          <mc:Fallback>
            <w:pict>
              <v:roundrect id="_x0000_s1026" o:spid="_x0000_s1026" o:spt="2" style="position:absolute;left:0pt;margin-left:-6.9pt;margin-top:1.7pt;height:148.75pt;width:439.85pt;z-index:251662336;mso-width-relative:page;mso-height-relative:page;" filled="f" stroked="t" coordsize="21600,21600" arcsize="0.166666666666667" o:gfxdata="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4DKbtcAAAAJAQAADwAAAAAAAAABACAAAAAiAAAAZHJzL2Rvd25yZXYueG1sUEsBAhQAFAAAAAgA&#10;h07iQBjomPgmAgAAPAQAAA4AAAAAAAAAAQAgAAAAJgEAAGRycy9lMm9Eb2MueG1sUEsFBgAAAAAG&#10;AAYAWQEAAL4FAAAAAA==&#10;">
                <v:fill on="f" focussize="0,0"/>
                <v:stroke weight="1.25pt" color="#000000" joinstyle="round" dashstyle="dash"/>
                <v:imagedata o:title=""/>
                <o:lock v:ext="edit" aspectratio="f"/>
                <v:textbox>
                  <w:txbxContent>
                    <w:p/>
                  </w:txbxContent>
                </v:textbox>
              </v:roundrect>
            </w:pict>
          </mc:Fallback>
        </mc:AlternateContent>
      </w:r>
    </w:p>
    <w:p>
      <w:pPr>
        <w:pStyle w:val="15"/>
        <w:spacing w:line="360" w:lineRule="auto"/>
        <w:ind w:firstLine="0"/>
        <w:jc w:val="center"/>
        <w:rPr>
          <w:rFonts w:ascii="宋体" w:hAnsi="宋体"/>
        </w:rPr>
      </w:pPr>
      <w:r>
        <w:rPr>
          <w:rFonts w:hint="eastAsia" w:ascii="宋体" w:hAnsi="宋体"/>
        </w:rPr>
        <w:t>法定代表授权委托人身份证复印件贴于此处，并加盖单位公章，否则该证明无效。</w:t>
      </w:r>
    </w:p>
    <w:p>
      <w:pPr>
        <w:pStyle w:val="15"/>
        <w:spacing w:line="360" w:lineRule="auto"/>
        <w:ind w:firstLine="0"/>
        <w:jc w:val="center"/>
        <w:rPr>
          <w:rFonts w:ascii="宋体" w:hAnsi="宋体"/>
          <w:sz w:val="30"/>
        </w:rPr>
      </w:pPr>
    </w:p>
    <w:p>
      <w:pPr>
        <w:pStyle w:val="15"/>
        <w:spacing w:line="360" w:lineRule="auto"/>
        <w:ind w:firstLine="0"/>
        <w:jc w:val="center"/>
        <w:rPr>
          <w:rFonts w:ascii="宋体" w:hAnsi="宋体"/>
          <w:sz w:val="30"/>
        </w:rPr>
      </w:pPr>
    </w:p>
    <w:p>
      <w:pPr>
        <w:pStyle w:val="15"/>
        <w:snapToGrid w:val="0"/>
        <w:spacing w:line="440" w:lineRule="exact"/>
        <w:ind w:firstLine="0"/>
        <w:rPr>
          <w:rFonts w:ascii="宋体" w:hAnsi="宋体"/>
        </w:rPr>
      </w:pPr>
    </w:p>
    <w:p>
      <w:pPr>
        <w:pStyle w:val="15"/>
        <w:snapToGrid w:val="0"/>
        <w:spacing w:line="440" w:lineRule="exact"/>
        <w:ind w:firstLine="0"/>
        <w:jc w:val="right"/>
        <w:rPr>
          <w:rFonts w:ascii="宋体" w:hAnsi="宋体"/>
        </w:rPr>
      </w:pPr>
    </w:p>
    <w:p>
      <w:pPr>
        <w:pStyle w:val="15"/>
        <w:snapToGrid w:val="0"/>
        <w:spacing w:line="440" w:lineRule="exact"/>
        <w:ind w:firstLine="0"/>
        <w:jc w:val="right"/>
        <w:rPr>
          <w:rFonts w:ascii="宋体" w:hAnsi="宋体"/>
        </w:rPr>
      </w:pPr>
    </w:p>
    <w:p>
      <w:pPr>
        <w:pStyle w:val="15"/>
        <w:snapToGrid w:val="0"/>
        <w:spacing w:line="440" w:lineRule="exact"/>
        <w:ind w:firstLine="0"/>
        <w:jc w:val="right"/>
        <w:rPr>
          <w:rFonts w:ascii="宋体" w:hAnsi="宋体"/>
        </w:rPr>
      </w:pPr>
      <w:r>
        <w:rPr>
          <w:rFonts w:hint="eastAsia" w:ascii="宋体" w:hAnsi="宋体"/>
        </w:rPr>
        <w:t>日期：</w:t>
      </w:r>
      <w:r>
        <w:rPr>
          <w:rFonts w:hint="eastAsia" w:ascii="宋体" w:hAnsi="宋体"/>
          <w:u w:val="single"/>
        </w:rPr>
        <w:t xml:space="preserve">         </w:t>
      </w:r>
      <w:r>
        <w:rPr>
          <w:rFonts w:hint="eastAsia" w:ascii="宋体" w:hAnsi="宋体"/>
        </w:rPr>
        <w:t>年</w:t>
      </w:r>
      <w:r>
        <w:rPr>
          <w:rFonts w:hint="eastAsia" w:ascii="宋体" w:hAnsi="宋体"/>
          <w:u w:val="single"/>
        </w:rPr>
        <w:t xml:space="preserve">       </w:t>
      </w:r>
      <w:r>
        <w:rPr>
          <w:rFonts w:hint="eastAsia" w:ascii="宋体" w:hAnsi="宋体"/>
        </w:rPr>
        <w:t>月</w:t>
      </w:r>
      <w:r>
        <w:rPr>
          <w:rFonts w:hint="eastAsia" w:ascii="宋体" w:hAnsi="宋体"/>
          <w:u w:val="single"/>
        </w:rPr>
        <w:t xml:space="preserve">      </w:t>
      </w:r>
      <w:r>
        <w:rPr>
          <w:rFonts w:hint="eastAsia" w:ascii="宋体" w:hAnsi="宋体"/>
        </w:rPr>
        <w:t>日</w:t>
      </w:r>
    </w:p>
    <w:p>
      <w:pPr>
        <w:pStyle w:val="15"/>
        <w:spacing w:line="360" w:lineRule="auto"/>
        <w:ind w:firstLine="0"/>
        <w:jc w:val="center"/>
        <w:rPr>
          <w:rFonts w:ascii="宋体" w:hAnsi="宋体"/>
        </w:rPr>
      </w:pPr>
    </w:p>
    <w:p>
      <w:pPr>
        <w:pStyle w:val="15"/>
        <w:spacing w:line="360" w:lineRule="auto"/>
        <w:ind w:firstLine="0"/>
        <w:jc w:val="center"/>
      </w:pPr>
    </w:p>
    <w:p>
      <w:pPr>
        <w:tabs>
          <w:tab w:val="left" w:pos="993"/>
        </w:tabs>
        <w:spacing w:line="360" w:lineRule="auto"/>
        <w:rPr>
          <w:sz w:val="24"/>
        </w:rPr>
      </w:pPr>
      <w:r>
        <w:rPr>
          <w:rFonts w:hAnsi="宋体"/>
          <w:sz w:val="24"/>
        </w:rPr>
        <w:t>附表</w:t>
      </w:r>
      <w:r>
        <w:rPr>
          <w:sz w:val="24"/>
        </w:rPr>
        <w:t>1</w:t>
      </w:r>
      <w:r>
        <w:rPr>
          <w:rFonts w:hAnsi="宋体"/>
          <w:sz w:val="24"/>
        </w:rPr>
        <w:t>：</w:t>
      </w:r>
    </w:p>
    <w:p>
      <w:pPr>
        <w:tabs>
          <w:tab w:val="left" w:pos="993"/>
        </w:tabs>
        <w:spacing w:line="360" w:lineRule="auto"/>
        <w:jc w:val="center"/>
        <w:rPr>
          <w:sz w:val="24"/>
        </w:rPr>
      </w:pPr>
    </w:p>
    <w:p>
      <w:pPr>
        <w:tabs>
          <w:tab w:val="left" w:pos="993"/>
        </w:tabs>
        <w:spacing w:line="360" w:lineRule="auto"/>
        <w:jc w:val="center"/>
        <w:rPr>
          <w:sz w:val="32"/>
          <w:szCs w:val="32"/>
        </w:rPr>
      </w:pPr>
      <w:r>
        <w:rPr>
          <w:rFonts w:hAnsi="宋体"/>
          <w:sz w:val="32"/>
          <w:szCs w:val="32"/>
        </w:rPr>
        <w:t>投标申请人一般情况</w:t>
      </w:r>
    </w:p>
    <w:tbl>
      <w:tblPr>
        <w:tblStyle w:val="57"/>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7"/>
        <w:gridCol w:w="2654"/>
        <w:gridCol w:w="705"/>
        <w:gridCol w:w="47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1</w:t>
            </w:r>
          </w:p>
        </w:tc>
        <w:tc>
          <w:tcPr>
            <w:tcW w:w="8062" w:type="dxa"/>
            <w:gridSpan w:val="3"/>
          </w:tcPr>
          <w:p>
            <w:pPr>
              <w:tabs>
                <w:tab w:val="left" w:pos="993"/>
              </w:tabs>
              <w:spacing w:line="360" w:lineRule="auto"/>
              <w:rPr>
                <w:szCs w:val="21"/>
              </w:rPr>
            </w:pPr>
            <w:r>
              <w:rPr>
                <w:rFonts w:hAnsi="宋体"/>
                <w:szCs w:val="21"/>
              </w:rPr>
              <w:t>企业名称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2</w:t>
            </w:r>
          </w:p>
        </w:tc>
        <w:tc>
          <w:tcPr>
            <w:tcW w:w="8062" w:type="dxa"/>
            <w:gridSpan w:val="3"/>
          </w:tcPr>
          <w:p>
            <w:pPr>
              <w:tabs>
                <w:tab w:val="left" w:pos="993"/>
              </w:tabs>
              <w:spacing w:line="360" w:lineRule="auto"/>
              <w:rPr>
                <w:szCs w:val="21"/>
              </w:rPr>
            </w:pPr>
            <w:r>
              <w:rPr>
                <w:rFonts w:hAnsi="宋体"/>
                <w:szCs w:val="21"/>
              </w:rPr>
              <w:t>总部地址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3</w:t>
            </w:r>
          </w:p>
        </w:tc>
        <w:tc>
          <w:tcPr>
            <w:tcW w:w="8062" w:type="dxa"/>
            <w:gridSpan w:val="3"/>
          </w:tcPr>
          <w:p>
            <w:pPr>
              <w:tabs>
                <w:tab w:val="left" w:pos="993"/>
              </w:tabs>
              <w:spacing w:line="360" w:lineRule="auto"/>
              <w:rPr>
                <w:szCs w:val="21"/>
              </w:rPr>
            </w:pPr>
            <w:r>
              <w:rPr>
                <w:rFonts w:hAnsi="宋体"/>
                <w:szCs w:val="21"/>
              </w:rPr>
              <w:t>当地代表处地址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7" w:type="dxa"/>
          </w:tcPr>
          <w:p>
            <w:pPr>
              <w:tabs>
                <w:tab w:val="left" w:pos="993"/>
              </w:tabs>
              <w:spacing w:line="360" w:lineRule="auto"/>
              <w:rPr>
                <w:szCs w:val="21"/>
              </w:rPr>
            </w:pPr>
            <w:r>
              <w:rPr>
                <w:szCs w:val="21"/>
              </w:rPr>
              <w:t>4</w:t>
            </w:r>
          </w:p>
        </w:tc>
        <w:tc>
          <w:tcPr>
            <w:tcW w:w="3359" w:type="dxa"/>
            <w:gridSpan w:val="2"/>
          </w:tcPr>
          <w:p>
            <w:pPr>
              <w:tabs>
                <w:tab w:val="left" w:pos="993"/>
              </w:tabs>
              <w:spacing w:line="360" w:lineRule="auto"/>
              <w:rPr>
                <w:szCs w:val="21"/>
              </w:rPr>
            </w:pPr>
            <w:r>
              <w:rPr>
                <w:rFonts w:hAnsi="宋体"/>
                <w:szCs w:val="21"/>
              </w:rPr>
              <w:t>电话</w:t>
            </w:r>
          </w:p>
        </w:tc>
        <w:tc>
          <w:tcPr>
            <w:tcW w:w="4703" w:type="dxa"/>
          </w:tcPr>
          <w:p>
            <w:pPr>
              <w:tabs>
                <w:tab w:val="left" w:pos="993"/>
              </w:tabs>
              <w:spacing w:line="360" w:lineRule="auto"/>
              <w:rPr>
                <w:szCs w:val="21"/>
              </w:rPr>
            </w:pPr>
            <w:r>
              <w:rPr>
                <w:rFonts w:hAnsi="宋体"/>
                <w:szCs w:val="21"/>
              </w:rPr>
              <w:t>联系人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7" w:type="dxa"/>
          </w:tcPr>
          <w:p>
            <w:pPr>
              <w:tabs>
                <w:tab w:val="left" w:pos="993"/>
              </w:tabs>
              <w:spacing w:line="360" w:lineRule="auto"/>
              <w:rPr>
                <w:szCs w:val="21"/>
              </w:rPr>
            </w:pPr>
            <w:r>
              <w:rPr>
                <w:szCs w:val="21"/>
              </w:rPr>
              <w:t>5</w:t>
            </w:r>
          </w:p>
        </w:tc>
        <w:tc>
          <w:tcPr>
            <w:tcW w:w="3359" w:type="dxa"/>
            <w:gridSpan w:val="2"/>
          </w:tcPr>
          <w:p>
            <w:pPr>
              <w:tabs>
                <w:tab w:val="left" w:pos="993"/>
              </w:tabs>
              <w:spacing w:line="360" w:lineRule="auto"/>
              <w:rPr>
                <w:szCs w:val="21"/>
              </w:rPr>
            </w:pPr>
            <w:r>
              <w:rPr>
                <w:rFonts w:hAnsi="宋体"/>
                <w:szCs w:val="21"/>
              </w:rPr>
              <w:t>传真</w:t>
            </w:r>
          </w:p>
        </w:tc>
        <w:tc>
          <w:tcPr>
            <w:tcW w:w="4703" w:type="dxa"/>
          </w:tcPr>
          <w:p>
            <w:pPr>
              <w:tabs>
                <w:tab w:val="left" w:pos="993"/>
              </w:tabs>
              <w:spacing w:line="360" w:lineRule="auto"/>
              <w:rPr>
                <w:szCs w:val="21"/>
              </w:rPr>
            </w:pPr>
            <w:r>
              <w:rPr>
                <w:rFonts w:hAnsi="宋体"/>
                <w:szCs w:val="21"/>
              </w:rPr>
              <w:t>电子邮件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7" w:type="dxa"/>
          </w:tcPr>
          <w:p>
            <w:pPr>
              <w:tabs>
                <w:tab w:val="left" w:pos="993"/>
              </w:tabs>
              <w:spacing w:line="360" w:lineRule="auto"/>
              <w:rPr>
                <w:szCs w:val="21"/>
              </w:rPr>
            </w:pPr>
            <w:r>
              <w:rPr>
                <w:szCs w:val="21"/>
              </w:rPr>
              <w:t>6</w:t>
            </w:r>
          </w:p>
        </w:tc>
        <w:tc>
          <w:tcPr>
            <w:tcW w:w="3359" w:type="dxa"/>
            <w:gridSpan w:val="2"/>
          </w:tcPr>
          <w:p>
            <w:pPr>
              <w:tabs>
                <w:tab w:val="left" w:pos="993"/>
              </w:tabs>
              <w:spacing w:line="360" w:lineRule="auto"/>
              <w:rPr>
                <w:szCs w:val="21"/>
              </w:rPr>
            </w:pPr>
            <w:r>
              <w:rPr>
                <w:rFonts w:hAnsi="宋体"/>
                <w:szCs w:val="21"/>
              </w:rPr>
              <w:t>注册地</w:t>
            </w:r>
          </w:p>
        </w:tc>
        <w:tc>
          <w:tcPr>
            <w:tcW w:w="4703" w:type="dxa"/>
          </w:tcPr>
          <w:p>
            <w:pPr>
              <w:tabs>
                <w:tab w:val="left" w:pos="993"/>
              </w:tabs>
              <w:spacing w:line="360" w:lineRule="auto"/>
              <w:rPr>
                <w:szCs w:val="21"/>
              </w:rPr>
            </w:pPr>
            <w:r>
              <w:rPr>
                <w:rFonts w:hAnsi="宋体"/>
                <w:szCs w:val="21"/>
              </w:rPr>
              <w:t>注册年份（请附营业执照复印件）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7</w:t>
            </w:r>
          </w:p>
        </w:tc>
        <w:tc>
          <w:tcPr>
            <w:tcW w:w="8062" w:type="dxa"/>
            <w:gridSpan w:val="3"/>
          </w:tcPr>
          <w:p>
            <w:pPr>
              <w:tabs>
                <w:tab w:val="left" w:pos="993"/>
              </w:tabs>
              <w:spacing w:line="360" w:lineRule="auto"/>
              <w:rPr>
                <w:szCs w:val="21"/>
              </w:rPr>
            </w:pPr>
            <w:r>
              <w:rPr>
                <w:rFonts w:hAnsi="宋体"/>
                <w:szCs w:val="21"/>
              </w:rPr>
              <w:t>公司资质等级证书号（请附有关证书的复印件）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8</w:t>
            </w:r>
          </w:p>
        </w:tc>
        <w:tc>
          <w:tcPr>
            <w:tcW w:w="8062" w:type="dxa"/>
            <w:gridSpan w:val="3"/>
          </w:tcPr>
          <w:p>
            <w:pPr>
              <w:tabs>
                <w:tab w:val="left" w:pos="993"/>
              </w:tabs>
              <w:spacing w:line="360" w:lineRule="auto"/>
              <w:rPr>
                <w:szCs w:val="21"/>
              </w:rPr>
            </w:pPr>
            <w:r>
              <w:rPr>
                <w:rFonts w:hAnsi="宋体"/>
                <w:szCs w:val="21"/>
              </w:rPr>
              <w:t>公司</w:t>
            </w:r>
            <w:r>
              <w:rPr>
                <w:rFonts w:hAnsi="宋体"/>
                <w:szCs w:val="21"/>
                <w:u w:val="single"/>
              </w:rPr>
              <w:t>（是否通过，何种）</w:t>
            </w:r>
            <w:r>
              <w:rPr>
                <w:rFonts w:hAnsi="宋体"/>
                <w:szCs w:val="21"/>
              </w:rPr>
              <w:t>质量保证体系认证（如通过请附相关证书复印件，并提供认证机构年审监督报告）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9</w:t>
            </w:r>
          </w:p>
        </w:tc>
        <w:tc>
          <w:tcPr>
            <w:tcW w:w="8062" w:type="dxa"/>
            <w:gridSpan w:val="3"/>
          </w:tcPr>
          <w:p>
            <w:pPr>
              <w:tabs>
                <w:tab w:val="left" w:pos="993"/>
              </w:tabs>
              <w:spacing w:line="360" w:lineRule="auto"/>
              <w:rPr>
                <w:szCs w:val="21"/>
              </w:rPr>
            </w:pPr>
            <w:r>
              <w:rPr>
                <w:rFonts w:hAnsi="宋体"/>
                <w:szCs w:val="21"/>
              </w:rPr>
              <w:t>主营范围</w:t>
            </w:r>
          </w:p>
          <w:p>
            <w:pPr>
              <w:tabs>
                <w:tab w:val="left" w:pos="993"/>
              </w:tabs>
              <w:spacing w:line="360" w:lineRule="auto"/>
              <w:rPr>
                <w:szCs w:val="21"/>
                <w:u w:val="single"/>
              </w:rPr>
            </w:pPr>
            <w:r>
              <w:rPr>
                <w:szCs w:val="21"/>
              </w:rPr>
              <w:t>1.</w:t>
            </w:r>
          </w:p>
          <w:p>
            <w:pPr>
              <w:tabs>
                <w:tab w:val="left" w:pos="993"/>
              </w:tabs>
              <w:spacing w:line="360" w:lineRule="auto"/>
              <w:rPr>
                <w:szCs w:val="21"/>
                <w:u w:val="single"/>
              </w:rPr>
            </w:pPr>
            <w:r>
              <w:rPr>
                <w:szCs w:val="21"/>
              </w:rPr>
              <w:t>2.</w:t>
            </w:r>
          </w:p>
          <w:p>
            <w:pPr>
              <w:tabs>
                <w:tab w:val="left" w:pos="993"/>
              </w:tabs>
              <w:spacing w:line="360" w:lineRule="auto"/>
              <w:rPr>
                <w:szCs w:val="21"/>
                <w:u w:val="single"/>
              </w:rPr>
            </w:pPr>
            <w:r>
              <w:rPr>
                <w:szCs w:val="21"/>
              </w:rPr>
              <w:t>3.</w:t>
            </w:r>
          </w:p>
          <w:p>
            <w:pPr>
              <w:tabs>
                <w:tab w:val="left" w:pos="993"/>
              </w:tabs>
              <w:spacing w:line="360" w:lineRule="auto"/>
              <w:rPr>
                <w:szCs w:val="21"/>
                <w:u w:val="single"/>
              </w:rPr>
            </w:pPr>
            <w:r>
              <w:rPr>
                <w:szCs w:val="21"/>
              </w:rPr>
              <w:t>4.</w:t>
            </w:r>
          </w:p>
          <w:p>
            <w:pPr>
              <w:tabs>
                <w:tab w:val="left" w:pos="993"/>
              </w:tabs>
              <w:spacing w:line="360" w:lineRule="auto"/>
              <w:rPr>
                <w:szCs w:val="21"/>
              </w:rPr>
            </w:pPr>
            <w:r>
              <w:rPr>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7" w:type="dxa"/>
          </w:tcPr>
          <w:p>
            <w:pPr>
              <w:tabs>
                <w:tab w:val="left" w:pos="993"/>
              </w:tabs>
              <w:spacing w:line="360" w:lineRule="auto"/>
              <w:rPr>
                <w:szCs w:val="21"/>
              </w:rPr>
            </w:pPr>
            <w:r>
              <w:rPr>
                <w:szCs w:val="21"/>
              </w:rPr>
              <w:t>10</w:t>
            </w:r>
          </w:p>
        </w:tc>
        <w:tc>
          <w:tcPr>
            <w:tcW w:w="2654" w:type="dxa"/>
          </w:tcPr>
          <w:p>
            <w:pPr>
              <w:tabs>
                <w:tab w:val="left" w:pos="993"/>
              </w:tabs>
              <w:spacing w:line="360" w:lineRule="auto"/>
              <w:rPr>
                <w:szCs w:val="21"/>
              </w:rPr>
            </w:pPr>
            <w:r>
              <w:rPr>
                <w:rFonts w:hAnsi="宋体"/>
                <w:szCs w:val="21"/>
              </w:rPr>
              <w:t>作为总承包人经历年数</w:t>
            </w:r>
          </w:p>
        </w:tc>
        <w:tc>
          <w:tcPr>
            <w:tcW w:w="5408" w:type="dxa"/>
            <w:gridSpan w:val="2"/>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7" w:type="dxa"/>
          </w:tcPr>
          <w:p>
            <w:pPr>
              <w:tabs>
                <w:tab w:val="left" w:pos="993"/>
              </w:tabs>
              <w:spacing w:line="360" w:lineRule="auto"/>
              <w:rPr>
                <w:szCs w:val="21"/>
              </w:rPr>
            </w:pPr>
            <w:r>
              <w:rPr>
                <w:szCs w:val="21"/>
              </w:rPr>
              <w:t>11</w:t>
            </w:r>
          </w:p>
        </w:tc>
        <w:tc>
          <w:tcPr>
            <w:tcW w:w="2654" w:type="dxa"/>
          </w:tcPr>
          <w:p>
            <w:pPr>
              <w:tabs>
                <w:tab w:val="left" w:pos="993"/>
              </w:tabs>
              <w:spacing w:line="360" w:lineRule="auto"/>
              <w:rPr>
                <w:szCs w:val="21"/>
              </w:rPr>
            </w:pPr>
            <w:r>
              <w:rPr>
                <w:rFonts w:hAnsi="宋体"/>
                <w:szCs w:val="21"/>
              </w:rPr>
              <w:t>作为分包商经历年数</w:t>
            </w:r>
          </w:p>
        </w:tc>
        <w:tc>
          <w:tcPr>
            <w:tcW w:w="5408" w:type="dxa"/>
            <w:gridSpan w:val="2"/>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pPr>
              <w:tabs>
                <w:tab w:val="left" w:pos="993"/>
              </w:tabs>
              <w:spacing w:line="360" w:lineRule="auto"/>
              <w:rPr>
                <w:szCs w:val="21"/>
              </w:rPr>
            </w:pPr>
            <w:r>
              <w:rPr>
                <w:szCs w:val="21"/>
              </w:rPr>
              <w:t>12</w:t>
            </w:r>
          </w:p>
        </w:tc>
        <w:tc>
          <w:tcPr>
            <w:tcW w:w="8062" w:type="dxa"/>
            <w:gridSpan w:val="3"/>
          </w:tcPr>
          <w:p>
            <w:pPr>
              <w:tabs>
                <w:tab w:val="left" w:pos="993"/>
              </w:tabs>
              <w:spacing w:line="360" w:lineRule="auto"/>
              <w:rPr>
                <w:szCs w:val="21"/>
              </w:rPr>
            </w:pPr>
            <w:r>
              <w:rPr>
                <w:rFonts w:hAnsi="宋体"/>
                <w:szCs w:val="21"/>
              </w:rPr>
              <w:t>其他需要说明的情况</w:t>
            </w:r>
          </w:p>
        </w:tc>
      </w:tr>
    </w:tbl>
    <w:p>
      <w:pPr>
        <w:pStyle w:val="15"/>
        <w:spacing w:line="360" w:lineRule="auto"/>
        <w:ind w:firstLine="480"/>
        <w:rPr>
          <w:b/>
          <w:bCs/>
          <w:sz w:val="21"/>
        </w:rPr>
      </w:pPr>
      <w:r>
        <w:rPr>
          <w:b/>
          <w:bCs/>
          <w:sz w:val="21"/>
        </w:rPr>
        <w:br w:type="page"/>
      </w:r>
    </w:p>
    <w:p>
      <w:pPr>
        <w:pStyle w:val="15"/>
        <w:spacing w:line="360" w:lineRule="auto"/>
        <w:ind w:firstLine="480"/>
      </w:pPr>
      <w:r>
        <w:rPr>
          <w:rFonts w:hAnsi="宋体"/>
        </w:rPr>
        <w:t>附表</w:t>
      </w:r>
      <w:r>
        <w:t>2</w:t>
      </w:r>
      <w:r>
        <w:rPr>
          <w:rFonts w:hAnsi="宋体"/>
        </w:rPr>
        <w:t>：</w:t>
      </w:r>
    </w:p>
    <w:p>
      <w:pPr>
        <w:tabs>
          <w:tab w:val="left" w:pos="993"/>
        </w:tabs>
        <w:spacing w:line="360" w:lineRule="auto"/>
        <w:jc w:val="center"/>
        <w:rPr>
          <w:sz w:val="36"/>
        </w:rPr>
      </w:pPr>
      <w:r>
        <w:rPr>
          <w:rFonts w:hAnsi="宋体"/>
          <w:sz w:val="36"/>
        </w:rPr>
        <w:t>近三年工程营业额数据表</w:t>
      </w:r>
    </w:p>
    <w:p>
      <w:pPr>
        <w:tabs>
          <w:tab w:val="left" w:pos="993"/>
        </w:tabs>
        <w:spacing w:line="360" w:lineRule="auto"/>
        <w:ind w:firstLine="420" w:firstLineChars="200"/>
        <w:rPr>
          <w:szCs w:val="21"/>
          <w:u w:val="single"/>
        </w:rPr>
      </w:pPr>
      <w:r>
        <w:rPr>
          <w:rFonts w:hAnsi="宋体"/>
          <w:szCs w:val="21"/>
        </w:rPr>
        <w:t>投标申请人或联合体成员名称：</w:t>
      </w:r>
    </w:p>
    <w:tbl>
      <w:tblPr>
        <w:tblStyle w:val="57"/>
        <w:tblW w:w="86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92"/>
        <w:gridCol w:w="2892"/>
        <w:gridCol w:w="28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21" w:hRule="atLeast"/>
          <w:jc w:val="center"/>
        </w:trPr>
        <w:tc>
          <w:tcPr>
            <w:tcW w:w="8676" w:type="dxa"/>
            <w:gridSpan w:val="3"/>
            <w:vAlign w:val="center"/>
          </w:tcPr>
          <w:p>
            <w:pPr>
              <w:tabs>
                <w:tab w:val="left" w:pos="993"/>
              </w:tabs>
              <w:spacing w:line="360" w:lineRule="auto"/>
              <w:jc w:val="center"/>
              <w:rPr>
                <w:szCs w:val="21"/>
              </w:rPr>
            </w:pPr>
            <w:r>
              <w:rPr>
                <w:rFonts w:hAnsi="宋体"/>
                <w:szCs w:val="21"/>
              </w:rPr>
              <w:t>近三年工程营业额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3" w:hRule="atLeast"/>
          <w:jc w:val="center"/>
        </w:trPr>
        <w:tc>
          <w:tcPr>
            <w:tcW w:w="2892" w:type="dxa"/>
            <w:vAlign w:val="center"/>
          </w:tcPr>
          <w:p>
            <w:pPr>
              <w:tabs>
                <w:tab w:val="left" w:pos="993"/>
              </w:tabs>
              <w:spacing w:line="360" w:lineRule="auto"/>
              <w:jc w:val="center"/>
              <w:rPr>
                <w:szCs w:val="21"/>
              </w:rPr>
            </w:pPr>
            <w:r>
              <w:rPr>
                <w:rFonts w:hAnsi="宋体"/>
                <w:szCs w:val="21"/>
              </w:rPr>
              <w:t>财务年度</w:t>
            </w:r>
          </w:p>
        </w:tc>
        <w:tc>
          <w:tcPr>
            <w:tcW w:w="2892" w:type="dxa"/>
            <w:vAlign w:val="center"/>
          </w:tcPr>
          <w:p>
            <w:pPr>
              <w:tabs>
                <w:tab w:val="left" w:pos="993"/>
              </w:tabs>
              <w:spacing w:line="360" w:lineRule="auto"/>
              <w:jc w:val="center"/>
              <w:rPr>
                <w:szCs w:val="21"/>
              </w:rPr>
            </w:pPr>
            <w:r>
              <w:rPr>
                <w:rFonts w:hAnsi="宋体"/>
                <w:szCs w:val="21"/>
              </w:rPr>
              <w:t>营业额（单位）</w:t>
            </w:r>
          </w:p>
        </w:tc>
        <w:tc>
          <w:tcPr>
            <w:tcW w:w="2892" w:type="dxa"/>
            <w:vAlign w:val="center"/>
          </w:tcPr>
          <w:p>
            <w:pPr>
              <w:tabs>
                <w:tab w:val="left" w:pos="993"/>
              </w:tabs>
              <w:spacing w:line="360" w:lineRule="auto"/>
              <w:jc w:val="center"/>
              <w:rPr>
                <w:szCs w:val="21"/>
              </w:rPr>
            </w:pPr>
            <w:r>
              <w:rPr>
                <w:rFonts w:hAnsi="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7" w:hRule="atLeast"/>
          <w:jc w:val="center"/>
        </w:trPr>
        <w:tc>
          <w:tcPr>
            <w:tcW w:w="2892" w:type="dxa"/>
            <w:vAlign w:val="center"/>
          </w:tcPr>
          <w:p>
            <w:pPr>
              <w:tabs>
                <w:tab w:val="left" w:pos="993"/>
              </w:tabs>
              <w:spacing w:line="360" w:lineRule="auto"/>
              <w:rPr>
                <w:szCs w:val="21"/>
              </w:rPr>
            </w:pPr>
            <w:r>
              <w:rPr>
                <w:rFonts w:hAnsi="宋体"/>
                <w:szCs w:val="21"/>
              </w:rPr>
              <w:t>第一年（应明确公元纪年）</w:t>
            </w:r>
          </w:p>
        </w:tc>
        <w:tc>
          <w:tcPr>
            <w:tcW w:w="2892" w:type="dxa"/>
            <w:vAlign w:val="center"/>
          </w:tcPr>
          <w:p>
            <w:pPr>
              <w:tabs>
                <w:tab w:val="left" w:pos="993"/>
              </w:tabs>
              <w:spacing w:line="360" w:lineRule="auto"/>
              <w:jc w:val="center"/>
              <w:rPr>
                <w:szCs w:val="21"/>
              </w:rPr>
            </w:pPr>
          </w:p>
        </w:tc>
        <w:tc>
          <w:tcPr>
            <w:tcW w:w="2892" w:type="dxa"/>
            <w:vAlign w:val="center"/>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8" w:hRule="atLeast"/>
          <w:jc w:val="center"/>
        </w:trPr>
        <w:tc>
          <w:tcPr>
            <w:tcW w:w="2892" w:type="dxa"/>
            <w:vAlign w:val="center"/>
          </w:tcPr>
          <w:p>
            <w:pPr>
              <w:tabs>
                <w:tab w:val="left" w:pos="993"/>
              </w:tabs>
              <w:spacing w:line="360" w:lineRule="auto"/>
              <w:rPr>
                <w:szCs w:val="21"/>
              </w:rPr>
            </w:pPr>
            <w:r>
              <w:rPr>
                <w:rFonts w:hAnsi="宋体"/>
                <w:szCs w:val="21"/>
              </w:rPr>
              <w:t>第二年（应明确公元纪年）</w:t>
            </w:r>
          </w:p>
        </w:tc>
        <w:tc>
          <w:tcPr>
            <w:tcW w:w="2892" w:type="dxa"/>
            <w:vAlign w:val="center"/>
          </w:tcPr>
          <w:p>
            <w:pPr>
              <w:tabs>
                <w:tab w:val="left" w:pos="993"/>
              </w:tabs>
              <w:spacing w:line="360" w:lineRule="auto"/>
              <w:jc w:val="center"/>
              <w:rPr>
                <w:szCs w:val="21"/>
              </w:rPr>
            </w:pPr>
          </w:p>
        </w:tc>
        <w:tc>
          <w:tcPr>
            <w:tcW w:w="2892" w:type="dxa"/>
            <w:vAlign w:val="center"/>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8" w:hRule="atLeast"/>
          <w:jc w:val="center"/>
        </w:trPr>
        <w:tc>
          <w:tcPr>
            <w:tcW w:w="2892" w:type="dxa"/>
            <w:vAlign w:val="center"/>
          </w:tcPr>
          <w:p>
            <w:pPr>
              <w:tabs>
                <w:tab w:val="left" w:pos="993"/>
              </w:tabs>
              <w:spacing w:line="360" w:lineRule="auto"/>
              <w:rPr>
                <w:szCs w:val="21"/>
              </w:rPr>
            </w:pPr>
            <w:r>
              <w:rPr>
                <w:rFonts w:hAnsi="宋体"/>
                <w:szCs w:val="21"/>
              </w:rPr>
              <w:t>第三年（应明确公元纪年）</w:t>
            </w:r>
          </w:p>
        </w:tc>
        <w:tc>
          <w:tcPr>
            <w:tcW w:w="2892" w:type="dxa"/>
            <w:vAlign w:val="center"/>
          </w:tcPr>
          <w:p>
            <w:pPr>
              <w:tabs>
                <w:tab w:val="left" w:pos="993"/>
              </w:tabs>
              <w:spacing w:line="360" w:lineRule="auto"/>
              <w:jc w:val="center"/>
              <w:rPr>
                <w:szCs w:val="21"/>
              </w:rPr>
            </w:pPr>
          </w:p>
        </w:tc>
        <w:tc>
          <w:tcPr>
            <w:tcW w:w="2892" w:type="dxa"/>
            <w:vAlign w:val="center"/>
          </w:tcPr>
          <w:p>
            <w:pPr>
              <w:tabs>
                <w:tab w:val="left" w:pos="993"/>
              </w:tabs>
              <w:spacing w:line="360" w:lineRule="auto"/>
              <w:jc w:val="center"/>
              <w:rPr>
                <w:szCs w:val="21"/>
              </w:rPr>
            </w:pPr>
          </w:p>
        </w:tc>
      </w:tr>
    </w:tbl>
    <w:p>
      <w:pPr>
        <w:tabs>
          <w:tab w:val="left" w:pos="993"/>
        </w:tabs>
        <w:spacing w:line="360" w:lineRule="auto"/>
        <w:rPr>
          <w:b/>
          <w:bCs/>
          <w:sz w:val="24"/>
        </w:rPr>
      </w:pPr>
    </w:p>
    <w:p>
      <w:pPr>
        <w:tabs>
          <w:tab w:val="left" w:pos="993"/>
        </w:tabs>
        <w:spacing w:line="360" w:lineRule="auto"/>
        <w:rPr>
          <w:b/>
          <w:bCs/>
          <w:sz w:val="24"/>
        </w:rPr>
      </w:pPr>
    </w:p>
    <w:p>
      <w:pPr>
        <w:tabs>
          <w:tab w:val="left" w:pos="993"/>
        </w:tabs>
        <w:spacing w:line="360" w:lineRule="auto"/>
        <w:rPr>
          <w:b/>
          <w:bCs/>
          <w:sz w:val="24"/>
        </w:rPr>
      </w:pPr>
    </w:p>
    <w:p>
      <w:pPr>
        <w:tabs>
          <w:tab w:val="left" w:pos="993"/>
        </w:tabs>
        <w:spacing w:line="360" w:lineRule="auto"/>
        <w:rPr>
          <w:b/>
          <w:bCs/>
          <w:sz w:val="24"/>
        </w:rPr>
      </w:pPr>
    </w:p>
    <w:p>
      <w:pPr>
        <w:tabs>
          <w:tab w:val="left" w:pos="993"/>
        </w:tabs>
        <w:spacing w:line="360" w:lineRule="auto"/>
        <w:rPr>
          <w:b/>
          <w:bCs/>
          <w:sz w:val="24"/>
        </w:rPr>
      </w:pPr>
    </w:p>
    <w:p>
      <w:pPr>
        <w:tabs>
          <w:tab w:val="left" w:pos="993"/>
        </w:tabs>
        <w:spacing w:line="360" w:lineRule="auto"/>
      </w:pPr>
    </w:p>
    <w:p>
      <w:pPr>
        <w:tabs>
          <w:tab w:val="left" w:pos="993"/>
        </w:tabs>
        <w:spacing w:line="360" w:lineRule="auto"/>
        <w:rPr>
          <w:sz w:val="24"/>
        </w:rPr>
      </w:pPr>
      <w:r>
        <w:rPr>
          <w:rFonts w:hAnsi="宋体"/>
        </w:rPr>
        <w:br w:type="page"/>
      </w:r>
      <w:r>
        <w:rPr>
          <w:rFonts w:hAnsi="宋体"/>
        </w:rPr>
        <w:t>附表</w:t>
      </w:r>
      <w:r>
        <w:t>3</w:t>
      </w:r>
      <w:r>
        <w:rPr>
          <w:rFonts w:hAnsi="宋体"/>
          <w:sz w:val="24"/>
        </w:rPr>
        <w:t>：</w:t>
      </w:r>
    </w:p>
    <w:p>
      <w:pPr>
        <w:tabs>
          <w:tab w:val="left" w:pos="993"/>
        </w:tabs>
        <w:spacing w:line="360" w:lineRule="auto"/>
        <w:jc w:val="center"/>
        <w:rPr>
          <w:sz w:val="36"/>
        </w:rPr>
      </w:pPr>
    </w:p>
    <w:p>
      <w:pPr>
        <w:tabs>
          <w:tab w:val="left" w:pos="993"/>
        </w:tabs>
        <w:spacing w:line="360" w:lineRule="auto"/>
        <w:jc w:val="center"/>
        <w:rPr>
          <w:sz w:val="36"/>
        </w:rPr>
      </w:pPr>
      <w:r>
        <w:rPr>
          <w:rFonts w:hAnsi="宋体"/>
          <w:sz w:val="36"/>
        </w:rPr>
        <w:t>近二年已完工程及目前在建工程一览表</w:t>
      </w:r>
    </w:p>
    <w:p>
      <w:pPr>
        <w:tabs>
          <w:tab w:val="left" w:pos="993"/>
        </w:tabs>
        <w:spacing w:line="360" w:lineRule="auto"/>
        <w:rPr>
          <w:szCs w:val="21"/>
          <w:u w:val="single"/>
        </w:rPr>
      </w:pPr>
      <w:r>
        <w:rPr>
          <w:rFonts w:hAnsi="宋体"/>
          <w:szCs w:val="21"/>
        </w:rPr>
        <w:t>投标申请人或联合体成员名称：</w:t>
      </w:r>
    </w:p>
    <w:tbl>
      <w:tblPr>
        <w:tblStyle w:val="57"/>
        <w:tblW w:w="93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1260"/>
        <w:gridCol w:w="2160"/>
        <w:gridCol w:w="2036"/>
        <w:gridCol w:w="1744"/>
        <w:gridCol w:w="13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rFonts w:hAnsi="宋体"/>
                <w:szCs w:val="21"/>
              </w:rPr>
              <w:t>序号</w:t>
            </w:r>
          </w:p>
        </w:tc>
        <w:tc>
          <w:tcPr>
            <w:tcW w:w="1260" w:type="dxa"/>
          </w:tcPr>
          <w:p>
            <w:pPr>
              <w:tabs>
                <w:tab w:val="left" w:pos="993"/>
              </w:tabs>
              <w:spacing w:line="360" w:lineRule="auto"/>
              <w:jc w:val="center"/>
              <w:rPr>
                <w:szCs w:val="21"/>
              </w:rPr>
            </w:pPr>
            <w:r>
              <w:rPr>
                <w:rFonts w:hAnsi="宋体"/>
                <w:szCs w:val="21"/>
              </w:rPr>
              <w:t>工程名称</w:t>
            </w:r>
          </w:p>
        </w:tc>
        <w:tc>
          <w:tcPr>
            <w:tcW w:w="2160" w:type="dxa"/>
          </w:tcPr>
          <w:p>
            <w:pPr>
              <w:tabs>
                <w:tab w:val="left" w:pos="993"/>
              </w:tabs>
              <w:spacing w:line="360" w:lineRule="auto"/>
              <w:jc w:val="center"/>
              <w:rPr>
                <w:szCs w:val="21"/>
              </w:rPr>
            </w:pPr>
            <w:r>
              <w:rPr>
                <w:rFonts w:hAnsi="宋体"/>
                <w:szCs w:val="21"/>
              </w:rPr>
              <w:t>监理（咨询）单位</w:t>
            </w:r>
          </w:p>
        </w:tc>
        <w:tc>
          <w:tcPr>
            <w:tcW w:w="2036" w:type="dxa"/>
          </w:tcPr>
          <w:p>
            <w:pPr>
              <w:tabs>
                <w:tab w:val="left" w:pos="993"/>
              </w:tabs>
              <w:spacing w:line="360" w:lineRule="auto"/>
              <w:jc w:val="center"/>
              <w:rPr>
                <w:szCs w:val="21"/>
              </w:rPr>
            </w:pPr>
            <w:r>
              <w:rPr>
                <w:rFonts w:hAnsi="宋体"/>
                <w:szCs w:val="21"/>
              </w:rPr>
              <w:t>合同金额（万元）</w:t>
            </w:r>
          </w:p>
        </w:tc>
        <w:tc>
          <w:tcPr>
            <w:tcW w:w="1744" w:type="dxa"/>
          </w:tcPr>
          <w:p>
            <w:pPr>
              <w:tabs>
                <w:tab w:val="left" w:pos="993"/>
              </w:tabs>
              <w:spacing w:line="360" w:lineRule="auto"/>
              <w:jc w:val="center"/>
              <w:rPr>
                <w:szCs w:val="21"/>
              </w:rPr>
            </w:pPr>
            <w:r>
              <w:rPr>
                <w:rFonts w:hAnsi="宋体"/>
                <w:szCs w:val="21"/>
              </w:rPr>
              <w:t>竣工质量标准</w:t>
            </w:r>
          </w:p>
        </w:tc>
        <w:tc>
          <w:tcPr>
            <w:tcW w:w="1356" w:type="dxa"/>
          </w:tcPr>
          <w:p>
            <w:pPr>
              <w:tabs>
                <w:tab w:val="left" w:pos="993"/>
              </w:tabs>
              <w:spacing w:line="360" w:lineRule="auto"/>
              <w:jc w:val="center"/>
              <w:rPr>
                <w:szCs w:val="21"/>
              </w:rPr>
            </w:pPr>
            <w:r>
              <w:rPr>
                <w:rFonts w:hAnsi="宋体"/>
                <w:szCs w:val="21"/>
              </w:rPr>
              <w:t>竣工日期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1</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2</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3</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4</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5</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r>
              <w:rPr>
                <w:szCs w:val="21"/>
              </w:rPr>
              <w:t>…</w:t>
            </w: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tabs>
                <w:tab w:val="left" w:pos="993"/>
              </w:tabs>
              <w:spacing w:line="360" w:lineRule="auto"/>
              <w:rPr>
                <w:szCs w:val="21"/>
              </w:rPr>
            </w:pPr>
          </w:p>
        </w:tc>
        <w:tc>
          <w:tcPr>
            <w:tcW w:w="1260" w:type="dxa"/>
          </w:tcPr>
          <w:p>
            <w:pPr>
              <w:tabs>
                <w:tab w:val="left" w:pos="993"/>
              </w:tabs>
              <w:spacing w:line="360" w:lineRule="auto"/>
              <w:rPr>
                <w:szCs w:val="21"/>
              </w:rPr>
            </w:pPr>
          </w:p>
        </w:tc>
        <w:tc>
          <w:tcPr>
            <w:tcW w:w="2160" w:type="dxa"/>
          </w:tcPr>
          <w:p>
            <w:pPr>
              <w:tabs>
                <w:tab w:val="left" w:pos="993"/>
              </w:tabs>
              <w:spacing w:line="360" w:lineRule="auto"/>
              <w:rPr>
                <w:szCs w:val="21"/>
              </w:rPr>
            </w:pPr>
          </w:p>
        </w:tc>
        <w:tc>
          <w:tcPr>
            <w:tcW w:w="2036" w:type="dxa"/>
          </w:tcPr>
          <w:p>
            <w:pPr>
              <w:tabs>
                <w:tab w:val="left" w:pos="993"/>
              </w:tabs>
              <w:spacing w:line="360" w:lineRule="auto"/>
              <w:rPr>
                <w:szCs w:val="21"/>
              </w:rPr>
            </w:pPr>
          </w:p>
        </w:tc>
        <w:tc>
          <w:tcPr>
            <w:tcW w:w="1744" w:type="dxa"/>
          </w:tcPr>
          <w:p>
            <w:pPr>
              <w:tabs>
                <w:tab w:val="left" w:pos="993"/>
              </w:tabs>
              <w:spacing w:line="360" w:lineRule="auto"/>
              <w:rPr>
                <w:szCs w:val="21"/>
              </w:rPr>
            </w:pPr>
          </w:p>
        </w:tc>
        <w:tc>
          <w:tcPr>
            <w:tcW w:w="1356" w:type="dxa"/>
          </w:tcPr>
          <w:p>
            <w:pPr>
              <w:tabs>
                <w:tab w:val="left" w:pos="993"/>
              </w:tabs>
              <w:spacing w:line="360" w:lineRule="auto"/>
              <w:rPr>
                <w:szCs w:val="21"/>
              </w:rPr>
            </w:pPr>
          </w:p>
        </w:tc>
      </w:tr>
    </w:tbl>
    <w:p>
      <w:pPr>
        <w:tabs>
          <w:tab w:val="left" w:pos="993"/>
        </w:tabs>
        <w:spacing w:line="360" w:lineRule="auto"/>
      </w:pPr>
    </w:p>
    <w:p>
      <w:pPr>
        <w:tabs>
          <w:tab w:val="left" w:pos="993"/>
        </w:tabs>
        <w:spacing w:line="360" w:lineRule="auto"/>
      </w:pPr>
    </w:p>
    <w:p>
      <w:pPr>
        <w:tabs>
          <w:tab w:val="left" w:pos="993"/>
        </w:tabs>
        <w:spacing w:line="360" w:lineRule="auto"/>
      </w:pPr>
    </w:p>
    <w:p>
      <w:pPr>
        <w:tabs>
          <w:tab w:val="left" w:pos="993"/>
        </w:tabs>
        <w:spacing w:line="360" w:lineRule="auto"/>
      </w:pPr>
    </w:p>
    <w:p>
      <w:pPr>
        <w:tabs>
          <w:tab w:val="left" w:pos="993"/>
        </w:tabs>
        <w:spacing w:line="360" w:lineRule="auto"/>
        <w:rPr>
          <w:sz w:val="24"/>
        </w:rPr>
      </w:pPr>
      <w:r>
        <w:br w:type="page"/>
      </w:r>
      <w:r>
        <w:rPr>
          <w:rFonts w:hAnsi="宋体"/>
        </w:rPr>
        <w:t>附表</w:t>
      </w:r>
      <w:r>
        <w:t>4</w:t>
      </w:r>
      <w:r>
        <w:rPr>
          <w:rFonts w:hAnsi="宋体"/>
          <w:sz w:val="24"/>
        </w:rPr>
        <w:t>：</w:t>
      </w:r>
    </w:p>
    <w:p>
      <w:pPr>
        <w:tabs>
          <w:tab w:val="left" w:pos="993"/>
        </w:tabs>
        <w:spacing w:line="360" w:lineRule="auto"/>
        <w:ind w:firstLine="1620" w:firstLineChars="450"/>
        <w:jc w:val="center"/>
        <w:rPr>
          <w:sz w:val="36"/>
        </w:rPr>
      </w:pPr>
      <w:r>
        <w:rPr>
          <w:rFonts w:hAnsi="宋体"/>
          <w:sz w:val="36"/>
        </w:rPr>
        <w:t>财务状况表</w:t>
      </w:r>
    </w:p>
    <w:p>
      <w:pPr>
        <w:rPr>
          <w:szCs w:val="21"/>
        </w:rPr>
      </w:pPr>
      <w:r>
        <w:rPr>
          <w:rFonts w:hAnsi="宋体"/>
          <w:szCs w:val="21"/>
        </w:rPr>
        <w:t>一、开户银行情况</w:t>
      </w:r>
    </w:p>
    <w:tbl>
      <w:tblPr>
        <w:tblStyle w:val="57"/>
        <w:tblW w:w="86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3696"/>
        <w:gridCol w:w="28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6" w:hRule="atLeast"/>
        </w:trPr>
        <w:tc>
          <w:tcPr>
            <w:tcW w:w="2088" w:type="dxa"/>
            <w:vMerge w:val="restart"/>
            <w:vAlign w:val="center"/>
          </w:tcPr>
          <w:p>
            <w:pPr>
              <w:tabs>
                <w:tab w:val="left" w:pos="993"/>
              </w:tabs>
              <w:spacing w:line="360" w:lineRule="auto"/>
              <w:jc w:val="center"/>
              <w:rPr>
                <w:szCs w:val="21"/>
              </w:rPr>
            </w:pPr>
            <w:r>
              <w:rPr>
                <w:rFonts w:hAnsi="宋体"/>
                <w:szCs w:val="21"/>
              </w:rPr>
              <w:t>开户银行</w:t>
            </w:r>
          </w:p>
        </w:tc>
        <w:tc>
          <w:tcPr>
            <w:tcW w:w="6588" w:type="dxa"/>
            <w:gridSpan w:val="2"/>
          </w:tcPr>
          <w:p>
            <w:pPr>
              <w:tabs>
                <w:tab w:val="left" w:pos="993"/>
              </w:tabs>
              <w:spacing w:line="360" w:lineRule="auto"/>
              <w:rPr>
                <w:szCs w:val="21"/>
              </w:rPr>
            </w:pPr>
            <w:r>
              <w:rPr>
                <w:rFonts w:hAnsi="宋体"/>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088" w:type="dxa"/>
            <w:vMerge w:val="continue"/>
          </w:tcPr>
          <w:p>
            <w:pPr>
              <w:tabs>
                <w:tab w:val="left" w:pos="993"/>
              </w:tabs>
              <w:spacing w:line="360" w:lineRule="auto"/>
              <w:rPr>
                <w:b/>
                <w:bCs/>
                <w:szCs w:val="21"/>
              </w:rPr>
            </w:pPr>
          </w:p>
        </w:tc>
        <w:tc>
          <w:tcPr>
            <w:tcW w:w="6588" w:type="dxa"/>
            <w:gridSpan w:val="2"/>
          </w:tcPr>
          <w:p>
            <w:pPr>
              <w:tabs>
                <w:tab w:val="left" w:pos="993"/>
              </w:tabs>
              <w:spacing w:line="360" w:lineRule="auto"/>
              <w:rPr>
                <w:szCs w:val="21"/>
              </w:rPr>
            </w:pPr>
            <w:r>
              <w:rPr>
                <w:rFonts w:hAnsi="宋体"/>
                <w:szCs w:val="21"/>
              </w:rPr>
              <w:t>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088" w:type="dxa"/>
            <w:vMerge w:val="continue"/>
          </w:tcPr>
          <w:p>
            <w:pPr>
              <w:tabs>
                <w:tab w:val="left" w:pos="993"/>
              </w:tabs>
              <w:spacing w:line="360" w:lineRule="auto"/>
              <w:rPr>
                <w:b/>
                <w:bCs/>
                <w:szCs w:val="21"/>
              </w:rPr>
            </w:pPr>
          </w:p>
        </w:tc>
        <w:tc>
          <w:tcPr>
            <w:tcW w:w="3696" w:type="dxa"/>
          </w:tcPr>
          <w:p>
            <w:pPr>
              <w:tabs>
                <w:tab w:val="left" w:pos="993"/>
              </w:tabs>
              <w:spacing w:line="360" w:lineRule="auto"/>
              <w:rPr>
                <w:szCs w:val="21"/>
              </w:rPr>
            </w:pPr>
            <w:r>
              <w:rPr>
                <w:rFonts w:hAnsi="宋体"/>
                <w:szCs w:val="21"/>
              </w:rPr>
              <w:t>电话：</w:t>
            </w:r>
          </w:p>
        </w:tc>
        <w:tc>
          <w:tcPr>
            <w:tcW w:w="2892" w:type="dxa"/>
          </w:tcPr>
          <w:p>
            <w:pPr>
              <w:tabs>
                <w:tab w:val="left" w:pos="993"/>
              </w:tabs>
              <w:spacing w:line="360" w:lineRule="auto"/>
              <w:rPr>
                <w:szCs w:val="21"/>
              </w:rPr>
            </w:pPr>
            <w:r>
              <w:rPr>
                <w:rFonts w:hAnsi="宋体"/>
                <w:szCs w:val="21"/>
              </w:rPr>
              <w:t>联系人及职务：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088" w:type="dxa"/>
            <w:vMerge w:val="continue"/>
          </w:tcPr>
          <w:p>
            <w:pPr>
              <w:tabs>
                <w:tab w:val="left" w:pos="993"/>
              </w:tabs>
              <w:spacing w:line="360" w:lineRule="auto"/>
              <w:rPr>
                <w:b/>
                <w:bCs/>
                <w:szCs w:val="21"/>
              </w:rPr>
            </w:pPr>
          </w:p>
        </w:tc>
        <w:tc>
          <w:tcPr>
            <w:tcW w:w="3696" w:type="dxa"/>
          </w:tcPr>
          <w:p>
            <w:pPr>
              <w:tabs>
                <w:tab w:val="left" w:pos="993"/>
              </w:tabs>
              <w:spacing w:line="360" w:lineRule="auto"/>
              <w:rPr>
                <w:szCs w:val="21"/>
              </w:rPr>
            </w:pPr>
            <w:r>
              <w:rPr>
                <w:rFonts w:hAnsi="宋体"/>
                <w:szCs w:val="21"/>
              </w:rPr>
              <w:t>传真：</w:t>
            </w:r>
          </w:p>
        </w:tc>
        <w:tc>
          <w:tcPr>
            <w:tcW w:w="2892" w:type="dxa"/>
          </w:tcPr>
          <w:p>
            <w:pPr>
              <w:tabs>
                <w:tab w:val="left" w:pos="993"/>
              </w:tabs>
              <w:spacing w:line="360" w:lineRule="auto"/>
              <w:rPr>
                <w:szCs w:val="21"/>
              </w:rPr>
            </w:pPr>
            <w:r>
              <w:rPr>
                <w:rFonts w:hAnsi="宋体"/>
                <w:szCs w:val="21"/>
              </w:rPr>
              <w:t>电传：</w:t>
            </w:r>
          </w:p>
        </w:tc>
      </w:tr>
    </w:tbl>
    <w:p>
      <w:pPr>
        <w:tabs>
          <w:tab w:val="left" w:pos="993"/>
        </w:tabs>
        <w:spacing w:line="360" w:lineRule="auto"/>
        <w:rPr>
          <w:b/>
          <w:bCs/>
          <w:szCs w:val="21"/>
        </w:rPr>
      </w:pPr>
      <w:r>
        <w:rPr>
          <w:rFonts w:hAnsi="宋体"/>
          <w:b/>
          <w:bCs/>
          <w:szCs w:val="21"/>
        </w:rPr>
        <w:t>二、近三年每年的资产负债情况</w:t>
      </w:r>
    </w:p>
    <w:tbl>
      <w:tblPr>
        <w:tblStyle w:val="57"/>
        <w:tblW w:w="86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69"/>
        <w:gridCol w:w="2169"/>
        <w:gridCol w:w="2169"/>
        <w:gridCol w:w="21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169" w:type="dxa"/>
            <w:vMerge w:val="restart"/>
            <w:vAlign w:val="center"/>
          </w:tcPr>
          <w:p>
            <w:pPr>
              <w:tabs>
                <w:tab w:val="left" w:pos="993"/>
              </w:tabs>
              <w:spacing w:line="360" w:lineRule="auto"/>
              <w:jc w:val="center"/>
              <w:rPr>
                <w:szCs w:val="21"/>
              </w:rPr>
            </w:pPr>
            <w:r>
              <w:rPr>
                <w:rFonts w:hAnsi="宋体"/>
                <w:szCs w:val="21"/>
              </w:rPr>
              <w:t>财务状况</w:t>
            </w:r>
          </w:p>
          <w:p>
            <w:pPr>
              <w:tabs>
                <w:tab w:val="left" w:pos="993"/>
              </w:tabs>
              <w:spacing w:line="360" w:lineRule="auto"/>
              <w:jc w:val="center"/>
              <w:rPr>
                <w:szCs w:val="21"/>
              </w:rPr>
            </w:pPr>
            <w:r>
              <w:rPr>
                <w:rFonts w:hAnsi="宋体"/>
                <w:szCs w:val="21"/>
              </w:rPr>
              <w:t>（单位）</w:t>
            </w:r>
          </w:p>
        </w:tc>
        <w:tc>
          <w:tcPr>
            <w:tcW w:w="6507" w:type="dxa"/>
            <w:gridSpan w:val="3"/>
            <w:vAlign w:val="center"/>
          </w:tcPr>
          <w:p>
            <w:pPr>
              <w:tabs>
                <w:tab w:val="left" w:pos="993"/>
              </w:tabs>
              <w:spacing w:line="360" w:lineRule="auto"/>
              <w:jc w:val="center"/>
              <w:rPr>
                <w:szCs w:val="21"/>
              </w:rPr>
            </w:pPr>
            <w:r>
              <w:rPr>
                <w:rFonts w:hAnsi="宋体"/>
                <w:szCs w:val="21"/>
              </w:rPr>
              <w:t>近三年（应分别明确公元纪年）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169" w:type="dxa"/>
            <w:vMerge w:val="continue"/>
            <w:vAlign w:val="center"/>
          </w:tcPr>
          <w:p>
            <w:pPr>
              <w:tabs>
                <w:tab w:val="left" w:pos="993"/>
              </w:tabs>
              <w:spacing w:line="360" w:lineRule="auto"/>
              <w:jc w:val="center"/>
              <w:rPr>
                <w:szCs w:val="21"/>
              </w:rPr>
            </w:pPr>
          </w:p>
        </w:tc>
        <w:tc>
          <w:tcPr>
            <w:tcW w:w="2169" w:type="dxa"/>
            <w:vAlign w:val="center"/>
          </w:tcPr>
          <w:p>
            <w:pPr>
              <w:tabs>
                <w:tab w:val="left" w:pos="993"/>
              </w:tabs>
              <w:spacing w:line="360" w:lineRule="auto"/>
              <w:jc w:val="center"/>
              <w:rPr>
                <w:szCs w:val="21"/>
              </w:rPr>
            </w:pPr>
            <w:r>
              <w:rPr>
                <w:rFonts w:hAnsi="宋体"/>
                <w:szCs w:val="21"/>
              </w:rPr>
              <w:t>第一年</w:t>
            </w:r>
          </w:p>
        </w:tc>
        <w:tc>
          <w:tcPr>
            <w:tcW w:w="2169" w:type="dxa"/>
            <w:vAlign w:val="center"/>
          </w:tcPr>
          <w:p>
            <w:pPr>
              <w:tabs>
                <w:tab w:val="left" w:pos="993"/>
              </w:tabs>
              <w:spacing w:line="360" w:lineRule="auto"/>
              <w:jc w:val="center"/>
              <w:rPr>
                <w:szCs w:val="21"/>
              </w:rPr>
            </w:pPr>
            <w:r>
              <w:rPr>
                <w:rFonts w:hAnsi="宋体"/>
                <w:szCs w:val="21"/>
              </w:rPr>
              <w:t>第二年</w:t>
            </w:r>
          </w:p>
        </w:tc>
        <w:tc>
          <w:tcPr>
            <w:tcW w:w="2169" w:type="dxa"/>
            <w:vAlign w:val="center"/>
          </w:tcPr>
          <w:p>
            <w:pPr>
              <w:tabs>
                <w:tab w:val="left" w:pos="993"/>
              </w:tabs>
              <w:spacing w:line="360" w:lineRule="auto"/>
              <w:jc w:val="center"/>
              <w:rPr>
                <w:szCs w:val="21"/>
              </w:rPr>
            </w:pPr>
            <w:r>
              <w:rPr>
                <w:rFonts w:hAnsi="宋体"/>
                <w:szCs w:val="21"/>
              </w:rPr>
              <w:t>第三年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9" w:type="dxa"/>
          </w:tcPr>
          <w:p>
            <w:pPr>
              <w:tabs>
                <w:tab w:val="left" w:pos="993"/>
              </w:tabs>
              <w:spacing w:line="360" w:lineRule="auto"/>
              <w:rPr>
                <w:szCs w:val="21"/>
              </w:rPr>
            </w:pPr>
            <w:r>
              <w:rPr>
                <w:szCs w:val="21"/>
              </w:rPr>
              <w:t>1.</w:t>
            </w:r>
            <w:r>
              <w:rPr>
                <w:rFonts w:hAnsi="宋体"/>
                <w:szCs w:val="21"/>
              </w:rPr>
              <w:t>总资产</w:t>
            </w: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169" w:type="dxa"/>
          </w:tcPr>
          <w:p>
            <w:pPr>
              <w:tabs>
                <w:tab w:val="left" w:pos="993"/>
              </w:tabs>
              <w:spacing w:line="360" w:lineRule="auto"/>
              <w:rPr>
                <w:szCs w:val="21"/>
              </w:rPr>
            </w:pPr>
            <w:r>
              <w:rPr>
                <w:szCs w:val="21"/>
              </w:rPr>
              <w:t>2.</w:t>
            </w:r>
            <w:r>
              <w:rPr>
                <w:rFonts w:hAnsi="宋体"/>
                <w:szCs w:val="21"/>
              </w:rPr>
              <w:t>流动资产</w:t>
            </w: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9" w:type="dxa"/>
          </w:tcPr>
          <w:p>
            <w:pPr>
              <w:tabs>
                <w:tab w:val="left" w:pos="993"/>
              </w:tabs>
              <w:spacing w:line="360" w:lineRule="auto"/>
              <w:rPr>
                <w:szCs w:val="21"/>
              </w:rPr>
            </w:pPr>
            <w:r>
              <w:rPr>
                <w:szCs w:val="21"/>
              </w:rPr>
              <w:t>3.</w:t>
            </w:r>
            <w:r>
              <w:rPr>
                <w:rFonts w:hAnsi="宋体"/>
                <w:szCs w:val="21"/>
              </w:rPr>
              <w:t>总负债</w:t>
            </w: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9" w:type="dxa"/>
          </w:tcPr>
          <w:p>
            <w:pPr>
              <w:tabs>
                <w:tab w:val="left" w:pos="993"/>
              </w:tabs>
              <w:spacing w:line="360" w:lineRule="auto"/>
              <w:rPr>
                <w:szCs w:val="21"/>
              </w:rPr>
            </w:pPr>
            <w:r>
              <w:rPr>
                <w:szCs w:val="21"/>
              </w:rPr>
              <w:t>4.</w:t>
            </w:r>
            <w:r>
              <w:rPr>
                <w:rFonts w:hAnsi="宋体"/>
                <w:szCs w:val="21"/>
              </w:rPr>
              <w:t>流动负债</w:t>
            </w: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9" w:type="dxa"/>
          </w:tcPr>
          <w:p>
            <w:pPr>
              <w:tabs>
                <w:tab w:val="left" w:pos="993"/>
              </w:tabs>
              <w:spacing w:line="360" w:lineRule="auto"/>
              <w:rPr>
                <w:szCs w:val="21"/>
              </w:rPr>
            </w:pPr>
            <w:r>
              <w:rPr>
                <w:szCs w:val="21"/>
              </w:rPr>
              <w:t>5.</w:t>
            </w:r>
            <w:r>
              <w:rPr>
                <w:rFonts w:hAnsi="宋体"/>
                <w:szCs w:val="21"/>
              </w:rPr>
              <w:t>税前利润</w:t>
            </w: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 w:hRule="atLeast"/>
        </w:trPr>
        <w:tc>
          <w:tcPr>
            <w:tcW w:w="2169" w:type="dxa"/>
          </w:tcPr>
          <w:p>
            <w:pPr>
              <w:tabs>
                <w:tab w:val="left" w:pos="993"/>
              </w:tabs>
              <w:spacing w:line="360" w:lineRule="auto"/>
              <w:rPr>
                <w:szCs w:val="21"/>
              </w:rPr>
            </w:pPr>
            <w:r>
              <w:rPr>
                <w:szCs w:val="21"/>
              </w:rPr>
              <w:t>6.</w:t>
            </w:r>
            <w:r>
              <w:rPr>
                <w:rFonts w:hAnsi="宋体"/>
                <w:szCs w:val="21"/>
              </w:rPr>
              <w:t>税后利润</w:t>
            </w: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c>
          <w:tcPr>
            <w:tcW w:w="2169" w:type="dxa"/>
          </w:tcPr>
          <w:p>
            <w:pPr>
              <w:tabs>
                <w:tab w:val="left" w:pos="993"/>
              </w:tabs>
              <w:spacing w:line="360" w:lineRule="auto"/>
              <w:rPr>
                <w:szCs w:val="21"/>
              </w:rPr>
            </w:pPr>
          </w:p>
        </w:tc>
      </w:tr>
    </w:tbl>
    <w:p>
      <w:pPr>
        <w:pStyle w:val="2"/>
        <w:rPr>
          <w:rFonts w:eastAsia="宋体"/>
          <w:sz w:val="21"/>
          <w:szCs w:val="21"/>
        </w:rPr>
      </w:pPr>
      <w:r>
        <w:rPr>
          <w:rFonts w:hAnsi="宋体" w:eastAsia="宋体"/>
          <w:sz w:val="21"/>
          <w:szCs w:val="21"/>
        </w:rPr>
        <w:t>三、为达到本项目现金流量需要提出是信贷计划（投标申请人在其他合同上投入的资金不在此范围内）</w:t>
      </w:r>
    </w:p>
    <w:tbl>
      <w:tblPr>
        <w:tblStyle w:val="57"/>
        <w:tblW w:w="86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38"/>
        <w:gridCol w:w="43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38" w:type="dxa"/>
          </w:tcPr>
          <w:p>
            <w:pPr>
              <w:spacing w:line="360" w:lineRule="auto"/>
              <w:jc w:val="center"/>
              <w:rPr>
                <w:szCs w:val="21"/>
              </w:rPr>
            </w:pPr>
            <w:r>
              <w:rPr>
                <w:rFonts w:hAnsi="宋体"/>
                <w:szCs w:val="21"/>
              </w:rPr>
              <w:t>信贷来源</w:t>
            </w:r>
          </w:p>
        </w:tc>
        <w:tc>
          <w:tcPr>
            <w:tcW w:w="4338" w:type="dxa"/>
          </w:tcPr>
          <w:p>
            <w:pPr>
              <w:spacing w:line="360" w:lineRule="auto"/>
              <w:jc w:val="center"/>
              <w:rPr>
                <w:szCs w:val="21"/>
              </w:rPr>
            </w:pPr>
            <w:r>
              <w:rPr>
                <w:rFonts w:hAnsi="宋体"/>
                <w:szCs w:val="21"/>
              </w:rPr>
              <w:t>信贷金额（单位）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38" w:type="dxa"/>
          </w:tcPr>
          <w:p>
            <w:pPr>
              <w:spacing w:line="360" w:lineRule="auto"/>
              <w:rPr>
                <w:szCs w:val="21"/>
              </w:rPr>
            </w:pPr>
            <w:r>
              <w:rPr>
                <w:szCs w:val="21"/>
              </w:rPr>
              <w:t>1</w:t>
            </w:r>
          </w:p>
        </w:tc>
        <w:tc>
          <w:tcPr>
            <w:tcW w:w="4338" w:type="dxa"/>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38" w:type="dxa"/>
          </w:tcPr>
          <w:p>
            <w:pPr>
              <w:spacing w:line="360" w:lineRule="auto"/>
              <w:rPr>
                <w:szCs w:val="21"/>
              </w:rPr>
            </w:pPr>
            <w:r>
              <w:rPr>
                <w:szCs w:val="21"/>
              </w:rPr>
              <w:t>2</w:t>
            </w:r>
          </w:p>
        </w:tc>
        <w:tc>
          <w:tcPr>
            <w:tcW w:w="4338" w:type="dxa"/>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338" w:type="dxa"/>
          </w:tcPr>
          <w:p>
            <w:pPr>
              <w:spacing w:line="360" w:lineRule="auto"/>
              <w:rPr>
                <w:szCs w:val="21"/>
              </w:rPr>
            </w:pPr>
            <w:r>
              <w:rPr>
                <w:szCs w:val="21"/>
              </w:rPr>
              <w:t>3</w:t>
            </w:r>
          </w:p>
        </w:tc>
        <w:tc>
          <w:tcPr>
            <w:tcW w:w="4338" w:type="dxa"/>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38" w:type="dxa"/>
          </w:tcPr>
          <w:p>
            <w:pPr>
              <w:spacing w:line="360" w:lineRule="auto"/>
              <w:rPr>
                <w:szCs w:val="21"/>
              </w:rPr>
            </w:pPr>
            <w:r>
              <w:rPr>
                <w:szCs w:val="21"/>
              </w:rPr>
              <w:t>4</w:t>
            </w:r>
          </w:p>
        </w:tc>
        <w:tc>
          <w:tcPr>
            <w:tcW w:w="4338" w:type="dxa"/>
          </w:tcPr>
          <w:p>
            <w:pPr>
              <w:spacing w:line="360" w:lineRule="auto"/>
              <w:rPr>
                <w:szCs w:val="21"/>
              </w:rPr>
            </w:pPr>
          </w:p>
        </w:tc>
      </w:tr>
    </w:tbl>
    <w:p>
      <w:pPr>
        <w:tabs>
          <w:tab w:val="left" w:pos="993"/>
        </w:tabs>
        <w:spacing w:line="360" w:lineRule="auto"/>
      </w:pPr>
    </w:p>
    <w:p>
      <w:pPr>
        <w:tabs>
          <w:tab w:val="left" w:pos="993"/>
        </w:tabs>
        <w:spacing w:line="360" w:lineRule="auto"/>
      </w:pPr>
    </w:p>
    <w:p>
      <w:pPr>
        <w:tabs>
          <w:tab w:val="left" w:pos="993"/>
        </w:tabs>
        <w:spacing w:line="360" w:lineRule="auto"/>
      </w:pPr>
    </w:p>
    <w:p>
      <w:pPr>
        <w:tabs>
          <w:tab w:val="left" w:pos="993"/>
        </w:tabs>
        <w:spacing w:line="360" w:lineRule="auto"/>
      </w:pPr>
    </w:p>
    <w:p>
      <w:pPr>
        <w:tabs>
          <w:tab w:val="left" w:pos="993"/>
        </w:tabs>
        <w:spacing w:line="360" w:lineRule="auto"/>
      </w:pPr>
    </w:p>
    <w:p>
      <w:pPr>
        <w:tabs>
          <w:tab w:val="left" w:pos="993"/>
        </w:tabs>
        <w:spacing w:line="360" w:lineRule="auto"/>
      </w:pPr>
      <w:r>
        <w:rPr>
          <w:rFonts w:hAnsi="宋体"/>
        </w:rPr>
        <w:br w:type="page"/>
      </w:r>
      <w:r>
        <w:rPr>
          <w:rFonts w:hAnsi="宋体"/>
        </w:rPr>
        <w:t>附表</w:t>
      </w:r>
      <w:r>
        <w:t>6</w:t>
      </w:r>
    </w:p>
    <w:p>
      <w:pPr>
        <w:tabs>
          <w:tab w:val="left" w:pos="993"/>
        </w:tabs>
        <w:spacing w:line="360" w:lineRule="auto"/>
        <w:jc w:val="center"/>
        <w:rPr>
          <w:sz w:val="24"/>
        </w:rPr>
      </w:pPr>
      <w:r>
        <w:rPr>
          <w:rFonts w:hAnsi="宋体"/>
          <w:sz w:val="24"/>
        </w:rPr>
        <w:t>拟派往本招标工程项目负责人简历表</w:t>
      </w:r>
    </w:p>
    <w:p>
      <w:pPr>
        <w:tabs>
          <w:tab w:val="left" w:pos="993"/>
        </w:tabs>
        <w:spacing w:line="360" w:lineRule="auto"/>
        <w:rPr>
          <w:szCs w:val="21"/>
          <w:u w:val="single"/>
        </w:rPr>
      </w:pPr>
      <w:r>
        <w:rPr>
          <w:rFonts w:hAnsi="宋体"/>
          <w:szCs w:val="21"/>
        </w:rPr>
        <w:t>招标申请人或联合体成员名称</w:t>
      </w:r>
    </w:p>
    <w:tbl>
      <w:tblPr>
        <w:tblStyle w:val="57"/>
        <w:tblW w:w="86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438"/>
        <w:gridCol w:w="1446"/>
        <w:gridCol w:w="96"/>
        <w:gridCol w:w="180"/>
        <w:gridCol w:w="900"/>
        <w:gridCol w:w="180"/>
        <w:gridCol w:w="540"/>
        <w:gridCol w:w="996"/>
        <w:gridCol w:w="264"/>
        <w:gridCol w:w="900"/>
        <w:gridCol w:w="282"/>
        <w:gridCol w:w="14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Pr>
          <w:p>
            <w:pPr>
              <w:tabs>
                <w:tab w:val="left" w:pos="993"/>
              </w:tabs>
              <w:spacing w:line="360" w:lineRule="auto"/>
              <w:jc w:val="center"/>
              <w:rPr>
                <w:szCs w:val="21"/>
              </w:rPr>
            </w:pPr>
            <w:r>
              <w:rPr>
                <w:rFonts w:hAnsi="宋体"/>
                <w:szCs w:val="21"/>
              </w:rPr>
              <w:t>姓名</w:t>
            </w:r>
          </w:p>
        </w:tc>
        <w:tc>
          <w:tcPr>
            <w:tcW w:w="2160" w:type="dxa"/>
            <w:gridSpan w:val="4"/>
          </w:tcPr>
          <w:p>
            <w:pPr>
              <w:tabs>
                <w:tab w:val="left" w:pos="993"/>
              </w:tabs>
              <w:spacing w:line="360" w:lineRule="auto"/>
              <w:jc w:val="center"/>
              <w:rPr>
                <w:szCs w:val="21"/>
              </w:rPr>
            </w:pPr>
          </w:p>
        </w:tc>
        <w:tc>
          <w:tcPr>
            <w:tcW w:w="1080" w:type="dxa"/>
            <w:gridSpan w:val="2"/>
          </w:tcPr>
          <w:p>
            <w:pPr>
              <w:tabs>
                <w:tab w:val="left" w:pos="993"/>
              </w:tabs>
              <w:spacing w:line="360" w:lineRule="auto"/>
              <w:jc w:val="center"/>
              <w:rPr>
                <w:szCs w:val="21"/>
              </w:rPr>
            </w:pPr>
            <w:r>
              <w:rPr>
                <w:rFonts w:hAnsi="宋体"/>
                <w:szCs w:val="21"/>
              </w:rPr>
              <w:t>性别</w:t>
            </w:r>
          </w:p>
        </w:tc>
        <w:tc>
          <w:tcPr>
            <w:tcW w:w="1800" w:type="dxa"/>
            <w:gridSpan w:val="3"/>
          </w:tcPr>
          <w:p>
            <w:pPr>
              <w:tabs>
                <w:tab w:val="left" w:pos="993"/>
              </w:tabs>
              <w:spacing w:line="360" w:lineRule="auto"/>
              <w:jc w:val="center"/>
              <w:rPr>
                <w:szCs w:val="21"/>
              </w:rPr>
            </w:pPr>
          </w:p>
        </w:tc>
        <w:tc>
          <w:tcPr>
            <w:tcW w:w="900" w:type="dxa"/>
          </w:tcPr>
          <w:p>
            <w:pPr>
              <w:tabs>
                <w:tab w:val="left" w:pos="993"/>
              </w:tabs>
              <w:spacing w:line="360" w:lineRule="auto"/>
              <w:jc w:val="center"/>
              <w:rPr>
                <w:szCs w:val="21"/>
              </w:rPr>
            </w:pPr>
            <w:r>
              <w:rPr>
                <w:rFonts w:hAnsi="宋体"/>
                <w:szCs w:val="21"/>
              </w:rPr>
              <w:t>年龄</w:t>
            </w:r>
          </w:p>
        </w:tc>
        <w:tc>
          <w:tcPr>
            <w:tcW w:w="1728" w:type="dxa"/>
            <w:gridSpan w:val="2"/>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Pr>
          <w:p>
            <w:pPr>
              <w:tabs>
                <w:tab w:val="left" w:pos="993"/>
              </w:tabs>
              <w:spacing w:line="360" w:lineRule="auto"/>
              <w:jc w:val="center"/>
              <w:rPr>
                <w:szCs w:val="21"/>
              </w:rPr>
            </w:pPr>
            <w:r>
              <w:rPr>
                <w:rFonts w:hAnsi="宋体"/>
                <w:szCs w:val="21"/>
              </w:rPr>
              <w:t>职务</w:t>
            </w:r>
          </w:p>
        </w:tc>
        <w:tc>
          <w:tcPr>
            <w:tcW w:w="2160" w:type="dxa"/>
            <w:gridSpan w:val="4"/>
          </w:tcPr>
          <w:p>
            <w:pPr>
              <w:tabs>
                <w:tab w:val="left" w:pos="993"/>
              </w:tabs>
              <w:spacing w:line="360" w:lineRule="auto"/>
              <w:jc w:val="center"/>
              <w:rPr>
                <w:szCs w:val="21"/>
              </w:rPr>
            </w:pPr>
          </w:p>
        </w:tc>
        <w:tc>
          <w:tcPr>
            <w:tcW w:w="1080" w:type="dxa"/>
            <w:gridSpan w:val="2"/>
          </w:tcPr>
          <w:p>
            <w:pPr>
              <w:tabs>
                <w:tab w:val="left" w:pos="993"/>
              </w:tabs>
              <w:spacing w:line="360" w:lineRule="auto"/>
              <w:jc w:val="center"/>
              <w:rPr>
                <w:szCs w:val="21"/>
              </w:rPr>
            </w:pPr>
            <w:r>
              <w:rPr>
                <w:rFonts w:hAnsi="宋体"/>
                <w:szCs w:val="21"/>
              </w:rPr>
              <w:t>职称</w:t>
            </w:r>
          </w:p>
        </w:tc>
        <w:tc>
          <w:tcPr>
            <w:tcW w:w="1800" w:type="dxa"/>
            <w:gridSpan w:val="3"/>
          </w:tcPr>
          <w:p>
            <w:pPr>
              <w:tabs>
                <w:tab w:val="left" w:pos="993"/>
              </w:tabs>
              <w:spacing w:line="360" w:lineRule="auto"/>
              <w:jc w:val="center"/>
              <w:rPr>
                <w:szCs w:val="21"/>
              </w:rPr>
            </w:pPr>
          </w:p>
        </w:tc>
        <w:tc>
          <w:tcPr>
            <w:tcW w:w="900" w:type="dxa"/>
          </w:tcPr>
          <w:p>
            <w:pPr>
              <w:tabs>
                <w:tab w:val="left" w:pos="993"/>
              </w:tabs>
              <w:spacing w:line="360" w:lineRule="auto"/>
              <w:jc w:val="center"/>
              <w:rPr>
                <w:szCs w:val="21"/>
              </w:rPr>
            </w:pPr>
            <w:r>
              <w:rPr>
                <w:rFonts w:hAnsi="宋体"/>
                <w:szCs w:val="21"/>
              </w:rPr>
              <w:t>学历</w:t>
            </w:r>
          </w:p>
        </w:tc>
        <w:tc>
          <w:tcPr>
            <w:tcW w:w="1728" w:type="dxa"/>
            <w:gridSpan w:val="2"/>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988" w:type="dxa"/>
            <w:gridSpan w:val="4"/>
          </w:tcPr>
          <w:p>
            <w:pPr>
              <w:tabs>
                <w:tab w:val="left" w:pos="993"/>
              </w:tabs>
              <w:spacing w:line="360" w:lineRule="auto"/>
              <w:jc w:val="center"/>
              <w:rPr>
                <w:szCs w:val="21"/>
              </w:rPr>
            </w:pPr>
            <w:r>
              <w:rPr>
                <w:rFonts w:hAnsi="宋体"/>
                <w:szCs w:val="21"/>
              </w:rPr>
              <w:t>参加工作时间</w:t>
            </w:r>
          </w:p>
        </w:tc>
        <w:tc>
          <w:tcPr>
            <w:tcW w:w="1800" w:type="dxa"/>
            <w:gridSpan w:val="4"/>
          </w:tcPr>
          <w:p>
            <w:pPr>
              <w:tabs>
                <w:tab w:val="left" w:pos="993"/>
              </w:tabs>
              <w:spacing w:line="360" w:lineRule="auto"/>
              <w:jc w:val="center"/>
              <w:rPr>
                <w:szCs w:val="21"/>
              </w:rPr>
            </w:pPr>
          </w:p>
        </w:tc>
        <w:tc>
          <w:tcPr>
            <w:tcW w:w="2442" w:type="dxa"/>
            <w:gridSpan w:val="4"/>
          </w:tcPr>
          <w:p>
            <w:pPr>
              <w:tabs>
                <w:tab w:val="left" w:pos="993"/>
              </w:tabs>
              <w:spacing w:line="360" w:lineRule="auto"/>
              <w:jc w:val="center"/>
              <w:rPr>
                <w:szCs w:val="21"/>
              </w:rPr>
            </w:pPr>
            <w:r>
              <w:rPr>
                <w:rFonts w:hAnsi="宋体"/>
                <w:szCs w:val="21"/>
              </w:rPr>
              <w:t>担任项目负责人年限</w:t>
            </w:r>
          </w:p>
        </w:tc>
        <w:tc>
          <w:tcPr>
            <w:tcW w:w="1446" w:type="dxa"/>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2988" w:type="dxa"/>
            <w:gridSpan w:val="4"/>
          </w:tcPr>
          <w:p>
            <w:pPr>
              <w:tabs>
                <w:tab w:val="left" w:pos="993"/>
              </w:tabs>
              <w:spacing w:line="360" w:lineRule="auto"/>
              <w:jc w:val="center"/>
              <w:rPr>
                <w:szCs w:val="21"/>
              </w:rPr>
            </w:pPr>
            <w:r>
              <w:rPr>
                <w:rFonts w:hAnsi="宋体"/>
                <w:szCs w:val="21"/>
              </w:rPr>
              <w:t>项目负责人注册证书编号</w:t>
            </w:r>
          </w:p>
        </w:tc>
        <w:tc>
          <w:tcPr>
            <w:tcW w:w="5688" w:type="dxa"/>
            <w:gridSpan w:val="9"/>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676" w:type="dxa"/>
            <w:gridSpan w:val="13"/>
          </w:tcPr>
          <w:p>
            <w:pPr>
              <w:tabs>
                <w:tab w:val="left" w:pos="993"/>
              </w:tabs>
              <w:spacing w:line="360" w:lineRule="auto"/>
              <w:jc w:val="center"/>
              <w:rPr>
                <w:szCs w:val="21"/>
              </w:rPr>
            </w:pPr>
            <w:r>
              <w:rPr>
                <w:rFonts w:hAnsi="宋体"/>
                <w:szCs w:val="21"/>
              </w:rPr>
              <w:t>在建和已完工程项目情况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Cs w:val="21"/>
              </w:rPr>
            </w:pPr>
            <w:r>
              <w:rPr>
                <w:rFonts w:hAnsi="宋体"/>
                <w:szCs w:val="21"/>
              </w:rPr>
              <w:t>建设单位</w:t>
            </w:r>
          </w:p>
        </w:tc>
        <w:tc>
          <w:tcPr>
            <w:tcW w:w="1446" w:type="dxa"/>
          </w:tcPr>
          <w:p>
            <w:pPr>
              <w:tabs>
                <w:tab w:val="left" w:pos="993"/>
              </w:tabs>
              <w:spacing w:line="360" w:lineRule="auto"/>
              <w:jc w:val="center"/>
              <w:rPr>
                <w:szCs w:val="21"/>
              </w:rPr>
            </w:pPr>
            <w:r>
              <w:rPr>
                <w:rFonts w:hAnsi="宋体"/>
                <w:szCs w:val="21"/>
              </w:rPr>
              <w:t>项目名称</w:t>
            </w:r>
          </w:p>
        </w:tc>
        <w:tc>
          <w:tcPr>
            <w:tcW w:w="1176" w:type="dxa"/>
            <w:gridSpan w:val="3"/>
          </w:tcPr>
          <w:p>
            <w:pPr>
              <w:tabs>
                <w:tab w:val="left" w:pos="993"/>
              </w:tabs>
              <w:spacing w:line="360" w:lineRule="auto"/>
              <w:jc w:val="center"/>
              <w:rPr>
                <w:szCs w:val="21"/>
              </w:rPr>
            </w:pPr>
            <w:r>
              <w:rPr>
                <w:rFonts w:hAnsi="宋体"/>
                <w:szCs w:val="21"/>
              </w:rPr>
              <w:t>建设规模</w:t>
            </w:r>
          </w:p>
        </w:tc>
        <w:tc>
          <w:tcPr>
            <w:tcW w:w="1716" w:type="dxa"/>
            <w:gridSpan w:val="3"/>
          </w:tcPr>
          <w:p>
            <w:pPr>
              <w:tabs>
                <w:tab w:val="left" w:pos="993"/>
              </w:tabs>
              <w:spacing w:line="360" w:lineRule="auto"/>
              <w:jc w:val="center"/>
              <w:rPr>
                <w:szCs w:val="21"/>
              </w:rPr>
            </w:pPr>
            <w:r>
              <w:rPr>
                <w:rFonts w:hAnsi="宋体"/>
                <w:szCs w:val="21"/>
              </w:rPr>
              <w:t>开、竣工日期</w:t>
            </w:r>
          </w:p>
        </w:tc>
        <w:tc>
          <w:tcPr>
            <w:tcW w:w="1446" w:type="dxa"/>
            <w:gridSpan w:val="3"/>
          </w:tcPr>
          <w:p>
            <w:pPr>
              <w:tabs>
                <w:tab w:val="left" w:pos="993"/>
              </w:tabs>
              <w:spacing w:line="360" w:lineRule="auto"/>
              <w:jc w:val="center"/>
              <w:rPr>
                <w:szCs w:val="21"/>
              </w:rPr>
            </w:pPr>
            <w:r>
              <w:rPr>
                <w:rFonts w:hAnsi="宋体"/>
                <w:szCs w:val="21"/>
              </w:rPr>
              <w:t>在建或已完</w:t>
            </w:r>
          </w:p>
        </w:tc>
        <w:tc>
          <w:tcPr>
            <w:tcW w:w="1446" w:type="dxa"/>
          </w:tcPr>
          <w:p>
            <w:pPr>
              <w:tabs>
                <w:tab w:val="left" w:pos="993"/>
              </w:tabs>
              <w:spacing w:line="360" w:lineRule="auto"/>
              <w:jc w:val="center"/>
              <w:rPr>
                <w:szCs w:val="21"/>
              </w:rPr>
            </w:pPr>
            <w:r>
              <w:rPr>
                <w:rFonts w:hAnsi="宋体"/>
                <w:szCs w:val="21"/>
              </w:rPr>
              <w:t>工程质量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bl>
    <w:p>
      <w:pPr>
        <w:tabs>
          <w:tab w:val="left" w:pos="993"/>
        </w:tabs>
        <w:spacing w:line="360" w:lineRule="auto"/>
        <w:rPr>
          <w:sz w:val="24"/>
        </w:rPr>
      </w:pPr>
    </w:p>
    <w:p>
      <w:pPr>
        <w:tabs>
          <w:tab w:val="left" w:pos="993"/>
        </w:tabs>
        <w:spacing w:line="360" w:lineRule="auto"/>
      </w:pPr>
      <w:r>
        <w:br w:type="page"/>
      </w:r>
    </w:p>
    <w:p>
      <w:pPr>
        <w:tabs>
          <w:tab w:val="left" w:pos="993"/>
        </w:tabs>
        <w:spacing w:line="360" w:lineRule="auto"/>
      </w:pPr>
      <w:r>
        <w:rPr>
          <w:rFonts w:hAnsi="宋体"/>
        </w:rPr>
        <w:t>附表</w:t>
      </w:r>
      <w:r>
        <w:t>7</w:t>
      </w:r>
    </w:p>
    <w:p>
      <w:pPr>
        <w:tabs>
          <w:tab w:val="left" w:pos="993"/>
        </w:tabs>
        <w:spacing w:line="360" w:lineRule="auto"/>
        <w:jc w:val="center"/>
        <w:rPr>
          <w:sz w:val="32"/>
        </w:rPr>
      </w:pPr>
      <w:r>
        <w:rPr>
          <w:rFonts w:hAnsi="宋体"/>
          <w:sz w:val="32"/>
        </w:rPr>
        <w:t>拟派往本招标工程项目技术负责人简历表</w:t>
      </w:r>
    </w:p>
    <w:p>
      <w:pPr>
        <w:tabs>
          <w:tab w:val="left" w:pos="993"/>
        </w:tabs>
        <w:spacing w:line="360" w:lineRule="auto"/>
        <w:ind w:firstLine="420" w:firstLineChars="200"/>
        <w:rPr>
          <w:szCs w:val="21"/>
          <w:u w:val="single"/>
        </w:rPr>
      </w:pPr>
      <w:r>
        <w:rPr>
          <w:rFonts w:hAnsi="宋体"/>
          <w:szCs w:val="21"/>
        </w:rPr>
        <w:t>招标申请人或联合体成员名称</w:t>
      </w:r>
    </w:p>
    <w:tbl>
      <w:tblPr>
        <w:tblStyle w:val="57"/>
        <w:tblW w:w="86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438"/>
        <w:gridCol w:w="1446"/>
        <w:gridCol w:w="96"/>
        <w:gridCol w:w="180"/>
        <w:gridCol w:w="900"/>
        <w:gridCol w:w="180"/>
        <w:gridCol w:w="540"/>
        <w:gridCol w:w="996"/>
        <w:gridCol w:w="264"/>
        <w:gridCol w:w="900"/>
        <w:gridCol w:w="282"/>
        <w:gridCol w:w="14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8" w:type="dxa"/>
          </w:tcPr>
          <w:p>
            <w:pPr>
              <w:tabs>
                <w:tab w:val="left" w:pos="993"/>
              </w:tabs>
              <w:spacing w:line="360" w:lineRule="auto"/>
              <w:jc w:val="center"/>
              <w:rPr>
                <w:szCs w:val="21"/>
              </w:rPr>
            </w:pPr>
            <w:r>
              <w:rPr>
                <w:rFonts w:hAnsi="宋体"/>
                <w:szCs w:val="21"/>
              </w:rPr>
              <w:t>姓名</w:t>
            </w:r>
          </w:p>
        </w:tc>
        <w:tc>
          <w:tcPr>
            <w:tcW w:w="2160" w:type="dxa"/>
            <w:gridSpan w:val="4"/>
          </w:tcPr>
          <w:p>
            <w:pPr>
              <w:tabs>
                <w:tab w:val="left" w:pos="993"/>
              </w:tabs>
              <w:spacing w:line="360" w:lineRule="auto"/>
              <w:jc w:val="center"/>
              <w:rPr>
                <w:szCs w:val="21"/>
              </w:rPr>
            </w:pPr>
          </w:p>
        </w:tc>
        <w:tc>
          <w:tcPr>
            <w:tcW w:w="1080" w:type="dxa"/>
            <w:gridSpan w:val="2"/>
          </w:tcPr>
          <w:p>
            <w:pPr>
              <w:tabs>
                <w:tab w:val="left" w:pos="993"/>
              </w:tabs>
              <w:spacing w:line="360" w:lineRule="auto"/>
              <w:jc w:val="center"/>
              <w:rPr>
                <w:szCs w:val="21"/>
              </w:rPr>
            </w:pPr>
            <w:r>
              <w:rPr>
                <w:rFonts w:hAnsi="宋体"/>
                <w:szCs w:val="21"/>
              </w:rPr>
              <w:t>性别</w:t>
            </w:r>
          </w:p>
        </w:tc>
        <w:tc>
          <w:tcPr>
            <w:tcW w:w="1800" w:type="dxa"/>
            <w:gridSpan w:val="3"/>
          </w:tcPr>
          <w:p>
            <w:pPr>
              <w:tabs>
                <w:tab w:val="left" w:pos="993"/>
              </w:tabs>
              <w:spacing w:line="360" w:lineRule="auto"/>
              <w:jc w:val="center"/>
              <w:rPr>
                <w:szCs w:val="21"/>
              </w:rPr>
            </w:pPr>
          </w:p>
        </w:tc>
        <w:tc>
          <w:tcPr>
            <w:tcW w:w="900" w:type="dxa"/>
          </w:tcPr>
          <w:p>
            <w:pPr>
              <w:tabs>
                <w:tab w:val="left" w:pos="993"/>
              </w:tabs>
              <w:spacing w:line="360" w:lineRule="auto"/>
              <w:jc w:val="center"/>
              <w:rPr>
                <w:szCs w:val="21"/>
              </w:rPr>
            </w:pPr>
            <w:r>
              <w:rPr>
                <w:rFonts w:hAnsi="宋体"/>
                <w:szCs w:val="21"/>
              </w:rPr>
              <w:t>年龄</w:t>
            </w:r>
          </w:p>
        </w:tc>
        <w:tc>
          <w:tcPr>
            <w:tcW w:w="1728" w:type="dxa"/>
            <w:gridSpan w:val="2"/>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8" w:type="dxa"/>
          </w:tcPr>
          <w:p>
            <w:pPr>
              <w:tabs>
                <w:tab w:val="left" w:pos="993"/>
              </w:tabs>
              <w:spacing w:line="360" w:lineRule="auto"/>
              <w:jc w:val="center"/>
              <w:rPr>
                <w:szCs w:val="21"/>
              </w:rPr>
            </w:pPr>
            <w:r>
              <w:rPr>
                <w:rFonts w:hAnsi="宋体"/>
                <w:szCs w:val="21"/>
              </w:rPr>
              <w:t>职务</w:t>
            </w:r>
          </w:p>
        </w:tc>
        <w:tc>
          <w:tcPr>
            <w:tcW w:w="2160" w:type="dxa"/>
            <w:gridSpan w:val="4"/>
          </w:tcPr>
          <w:p>
            <w:pPr>
              <w:tabs>
                <w:tab w:val="left" w:pos="993"/>
              </w:tabs>
              <w:spacing w:line="360" w:lineRule="auto"/>
              <w:jc w:val="center"/>
              <w:rPr>
                <w:szCs w:val="21"/>
              </w:rPr>
            </w:pPr>
          </w:p>
        </w:tc>
        <w:tc>
          <w:tcPr>
            <w:tcW w:w="1080" w:type="dxa"/>
            <w:gridSpan w:val="2"/>
          </w:tcPr>
          <w:p>
            <w:pPr>
              <w:tabs>
                <w:tab w:val="left" w:pos="993"/>
              </w:tabs>
              <w:spacing w:line="360" w:lineRule="auto"/>
              <w:jc w:val="center"/>
              <w:rPr>
                <w:szCs w:val="21"/>
              </w:rPr>
            </w:pPr>
            <w:r>
              <w:rPr>
                <w:rFonts w:hAnsi="宋体"/>
                <w:szCs w:val="21"/>
              </w:rPr>
              <w:t>职称</w:t>
            </w:r>
          </w:p>
        </w:tc>
        <w:tc>
          <w:tcPr>
            <w:tcW w:w="1800" w:type="dxa"/>
            <w:gridSpan w:val="3"/>
          </w:tcPr>
          <w:p>
            <w:pPr>
              <w:tabs>
                <w:tab w:val="left" w:pos="993"/>
              </w:tabs>
              <w:spacing w:line="360" w:lineRule="auto"/>
              <w:jc w:val="center"/>
              <w:rPr>
                <w:szCs w:val="21"/>
              </w:rPr>
            </w:pPr>
          </w:p>
        </w:tc>
        <w:tc>
          <w:tcPr>
            <w:tcW w:w="900" w:type="dxa"/>
          </w:tcPr>
          <w:p>
            <w:pPr>
              <w:tabs>
                <w:tab w:val="left" w:pos="993"/>
              </w:tabs>
              <w:spacing w:line="360" w:lineRule="auto"/>
              <w:jc w:val="center"/>
              <w:rPr>
                <w:szCs w:val="21"/>
              </w:rPr>
            </w:pPr>
            <w:r>
              <w:rPr>
                <w:rFonts w:hAnsi="宋体"/>
                <w:szCs w:val="21"/>
              </w:rPr>
              <w:t>学历</w:t>
            </w:r>
          </w:p>
        </w:tc>
        <w:tc>
          <w:tcPr>
            <w:tcW w:w="1728" w:type="dxa"/>
            <w:gridSpan w:val="2"/>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988" w:type="dxa"/>
            <w:gridSpan w:val="4"/>
          </w:tcPr>
          <w:p>
            <w:pPr>
              <w:tabs>
                <w:tab w:val="left" w:pos="993"/>
              </w:tabs>
              <w:spacing w:line="360" w:lineRule="auto"/>
              <w:jc w:val="center"/>
              <w:rPr>
                <w:szCs w:val="21"/>
              </w:rPr>
            </w:pPr>
            <w:r>
              <w:rPr>
                <w:rFonts w:hAnsi="宋体"/>
                <w:szCs w:val="21"/>
              </w:rPr>
              <w:t>参加工作时间</w:t>
            </w:r>
          </w:p>
        </w:tc>
        <w:tc>
          <w:tcPr>
            <w:tcW w:w="1800" w:type="dxa"/>
            <w:gridSpan w:val="4"/>
          </w:tcPr>
          <w:p>
            <w:pPr>
              <w:tabs>
                <w:tab w:val="left" w:pos="993"/>
              </w:tabs>
              <w:spacing w:line="360" w:lineRule="auto"/>
              <w:jc w:val="center"/>
              <w:rPr>
                <w:szCs w:val="21"/>
              </w:rPr>
            </w:pPr>
          </w:p>
        </w:tc>
        <w:tc>
          <w:tcPr>
            <w:tcW w:w="2442" w:type="dxa"/>
            <w:gridSpan w:val="4"/>
          </w:tcPr>
          <w:p>
            <w:pPr>
              <w:tabs>
                <w:tab w:val="left" w:pos="993"/>
              </w:tabs>
              <w:spacing w:line="360" w:lineRule="auto"/>
              <w:jc w:val="center"/>
              <w:rPr>
                <w:szCs w:val="21"/>
              </w:rPr>
            </w:pPr>
            <w:r>
              <w:rPr>
                <w:rFonts w:hAnsi="宋体"/>
                <w:szCs w:val="21"/>
              </w:rPr>
              <w:t>担任技术负责人年限</w:t>
            </w:r>
          </w:p>
        </w:tc>
        <w:tc>
          <w:tcPr>
            <w:tcW w:w="1446" w:type="dxa"/>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988" w:type="dxa"/>
            <w:gridSpan w:val="4"/>
          </w:tcPr>
          <w:p>
            <w:pPr>
              <w:tabs>
                <w:tab w:val="left" w:pos="993"/>
              </w:tabs>
              <w:spacing w:line="360" w:lineRule="auto"/>
              <w:jc w:val="center"/>
              <w:rPr>
                <w:szCs w:val="21"/>
              </w:rPr>
            </w:pPr>
            <w:r>
              <w:rPr>
                <w:rFonts w:hAnsi="宋体"/>
                <w:szCs w:val="21"/>
              </w:rPr>
              <w:t>技术资格证书编号</w:t>
            </w:r>
          </w:p>
        </w:tc>
        <w:tc>
          <w:tcPr>
            <w:tcW w:w="5688" w:type="dxa"/>
            <w:gridSpan w:val="9"/>
          </w:tcPr>
          <w:p>
            <w:pPr>
              <w:tabs>
                <w:tab w:val="left" w:pos="993"/>
              </w:tabs>
              <w:spacing w:line="360" w:lineRule="auto"/>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8676" w:type="dxa"/>
            <w:gridSpan w:val="13"/>
          </w:tcPr>
          <w:p>
            <w:pPr>
              <w:tabs>
                <w:tab w:val="left" w:pos="993"/>
              </w:tabs>
              <w:spacing w:line="360" w:lineRule="auto"/>
              <w:jc w:val="center"/>
              <w:rPr>
                <w:szCs w:val="21"/>
              </w:rPr>
            </w:pPr>
            <w:r>
              <w:rPr>
                <w:rFonts w:hAnsi="宋体"/>
                <w:szCs w:val="21"/>
              </w:rPr>
              <w:t>在建和已完工程项目情况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Cs w:val="21"/>
              </w:rPr>
            </w:pPr>
            <w:r>
              <w:rPr>
                <w:rFonts w:hAnsi="宋体"/>
                <w:szCs w:val="21"/>
              </w:rPr>
              <w:t>建设单位</w:t>
            </w:r>
          </w:p>
        </w:tc>
        <w:tc>
          <w:tcPr>
            <w:tcW w:w="1446" w:type="dxa"/>
          </w:tcPr>
          <w:p>
            <w:pPr>
              <w:tabs>
                <w:tab w:val="left" w:pos="993"/>
              </w:tabs>
              <w:spacing w:line="360" w:lineRule="auto"/>
              <w:jc w:val="center"/>
              <w:rPr>
                <w:szCs w:val="21"/>
              </w:rPr>
            </w:pPr>
            <w:r>
              <w:rPr>
                <w:rFonts w:hAnsi="宋体"/>
                <w:szCs w:val="21"/>
              </w:rPr>
              <w:t>项目名称</w:t>
            </w:r>
          </w:p>
        </w:tc>
        <w:tc>
          <w:tcPr>
            <w:tcW w:w="1176" w:type="dxa"/>
            <w:gridSpan w:val="3"/>
          </w:tcPr>
          <w:p>
            <w:pPr>
              <w:tabs>
                <w:tab w:val="left" w:pos="993"/>
              </w:tabs>
              <w:spacing w:line="360" w:lineRule="auto"/>
              <w:jc w:val="center"/>
              <w:rPr>
                <w:szCs w:val="21"/>
              </w:rPr>
            </w:pPr>
            <w:r>
              <w:rPr>
                <w:rFonts w:hAnsi="宋体"/>
                <w:szCs w:val="21"/>
              </w:rPr>
              <w:t>建设规模</w:t>
            </w:r>
          </w:p>
        </w:tc>
        <w:tc>
          <w:tcPr>
            <w:tcW w:w="1716" w:type="dxa"/>
            <w:gridSpan w:val="3"/>
          </w:tcPr>
          <w:p>
            <w:pPr>
              <w:tabs>
                <w:tab w:val="left" w:pos="993"/>
              </w:tabs>
              <w:spacing w:line="360" w:lineRule="auto"/>
              <w:jc w:val="center"/>
              <w:rPr>
                <w:szCs w:val="21"/>
              </w:rPr>
            </w:pPr>
            <w:r>
              <w:rPr>
                <w:rFonts w:hAnsi="宋体"/>
                <w:szCs w:val="21"/>
              </w:rPr>
              <w:t>开、竣工日期</w:t>
            </w:r>
          </w:p>
        </w:tc>
        <w:tc>
          <w:tcPr>
            <w:tcW w:w="1446" w:type="dxa"/>
            <w:gridSpan w:val="3"/>
          </w:tcPr>
          <w:p>
            <w:pPr>
              <w:tabs>
                <w:tab w:val="left" w:pos="993"/>
              </w:tabs>
              <w:spacing w:line="360" w:lineRule="auto"/>
              <w:jc w:val="center"/>
              <w:rPr>
                <w:szCs w:val="21"/>
              </w:rPr>
            </w:pPr>
            <w:r>
              <w:rPr>
                <w:rFonts w:hAnsi="宋体"/>
                <w:szCs w:val="21"/>
              </w:rPr>
              <w:t>在建或已完</w:t>
            </w:r>
          </w:p>
        </w:tc>
        <w:tc>
          <w:tcPr>
            <w:tcW w:w="1446" w:type="dxa"/>
          </w:tcPr>
          <w:p>
            <w:pPr>
              <w:tabs>
                <w:tab w:val="left" w:pos="993"/>
              </w:tabs>
              <w:spacing w:line="360" w:lineRule="auto"/>
              <w:jc w:val="center"/>
              <w:rPr>
                <w:szCs w:val="21"/>
              </w:rPr>
            </w:pPr>
            <w:r>
              <w:rPr>
                <w:rFonts w:hAnsi="宋体"/>
                <w:szCs w:val="21"/>
              </w:rPr>
              <w:t>工程质量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c>
          <w:tcPr>
            <w:tcW w:w="1176" w:type="dxa"/>
            <w:gridSpan w:val="3"/>
          </w:tcPr>
          <w:p>
            <w:pPr>
              <w:tabs>
                <w:tab w:val="left" w:pos="993"/>
              </w:tabs>
              <w:spacing w:line="360" w:lineRule="auto"/>
              <w:jc w:val="center"/>
              <w:rPr>
                <w:sz w:val="24"/>
              </w:rPr>
            </w:pPr>
          </w:p>
        </w:tc>
        <w:tc>
          <w:tcPr>
            <w:tcW w:w="1716" w:type="dxa"/>
            <w:gridSpan w:val="3"/>
          </w:tcPr>
          <w:p>
            <w:pPr>
              <w:tabs>
                <w:tab w:val="left" w:pos="993"/>
              </w:tabs>
              <w:spacing w:line="360" w:lineRule="auto"/>
              <w:jc w:val="center"/>
              <w:rPr>
                <w:sz w:val="24"/>
              </w:rPr>
            </w:pPr>
          </w:p>
        </w:tc>
        <w:tc>
          <w:tcPr>
            <w:tcW w:w="1446" w:type="dxa"/>
            <w:gridSpan w:val="3"/>
          </w:tcPr>
          <w:p>
            <w:pPr>
              <w:tabs>
                <w:tab w:val="left" w:pos="993"/>
              </w:tabs>
              <w:spacing w:line="360" w:lineRule="auto"/>
              <w:jc w:val="center"/>
              <w:rPr>
                <w:sz w:val="24"/>
              </w:rPr>
            </w:pPr>
          </w:p>
        </w:tc>
        <w:tc>
          <w:tcPr>
            <w:tcW w:w="1446" w:type="dxa"/>
          </w:tcPr>
          <w:p>
            <w:pPr>
              <w:tabs>
                <w:tab w:val="left" w:pos="993"/>
              </w:tabs>
              <w:spacing w:line="360" w:lineRule="auto"/>
              <w:jc w:val="center"/>
              <w:rPr>
                <w:sz w:val="24"/>
              </w:rPr>
            </w:pPr>
          </w:p>
        </w:tc>
      </w:tr>
    </w:tbl>
    <w:p>
      <w:pPr>
        <w:tabs>
          <w:tab w:val="left" w:pos="993"/>
        </w:tabs>
        <w:spacing w:line="360" w:lineRule="auto"/>
        <w:ind w:firstLine="600" w:firstLineChars="250"/>
        <w:rPr>
          <w:sz w:val="24"/>
        </w:rPr>
      </w:pPr>
    </w:p>
    <w:p>
      <w:pPr>
        <w:tabs>
          <w:tab w:val="left" w:pos="993"/>
        </w:tabs>
        <w:spacing w:line="360" w:lineRule="auto"/>
        <w:ind w:firstLine="600" w:firstLineChars="250"/>
        <w:rPr>
          <w:sz w:val="24"/>
          <w:u w:val="single"/>
        </w:rPr>
      </w:pPr>
    </w:p>
    <w:p>
      <w:pPr>
        <w:tabs>
          <w:tab w:val="left" w:pos="993"/>
        </w:tabs>
        <w:spacing w:line="360" w:lineRule="auto"/>
      </w:pPr>
      <w:r>
        <w:rPr>
          <w:rFonts w:hAnsi="宋体"/>
        </w:rPr>
        <w:br w:type="page"/>
      </w:r>
      <w:r>
        <w:rPr>
          <w:rFonts w:hAnsi="宋体"/>
        </w:rPr>
        <w:t>附表</w:t>
      </w:r>
      <w:r>
        <w:t>8</w:t>
      </w:r>
    </w:p>
    <w:p>
      <w:pPr>
        <w:tabs>
          <w:tab w:val="left" w:pos="993"/>
        </w:tabs>
        <w:spacing w:line="360" w:lineRule="auto"/>
        <w:jc w:val="center"/>
        <w:rPr>
          <w:b/>
          <w:sz w:val="28"/>
        </w:rPr>
      </w:pPr>
      <w:r>
        <w:rPr>
          <w:rFonts w:hAnsi="宋体"/>
          <w:b/>
          <w:sz w:val="28"/>
        </w:rPr>
        <w:t>拟派往本招标工程项目的人员情况</w:t>
      </w:r>
    </w:p>
    <w:p>
      <w:pPr>
        <w:tabs>
          <w:tab w:val="left" w:pos="993"/>
        </w:tabs>
        <w:spacing w:line="360" w:lineRule="auto"/>
        <w:rPr>
          <w:szCs w:val="21"/>
          <w:u w:val="single"/>
        </w:rPr>
      </w:pPr>
      <w:r>
        <w:rPr>
          <w:rFonts w:hAnsi="宋体"/>
          <w:szCs w:val="21"/>
        </w:rPr>
        <w:t>投标申请人名称：</w:t>
      </w:r>
    </w:p>
    <w:tbl>
      <w:tblPr>
        <w:tblStyle w:val="57"/>
        <w:tblW w:w="97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9"/>
        <w:gridCol w:w="851"/>
        <w:gridCol w:w="698"/>
        <w:gridCol w:w="1888"/>
        <w:gridCol w:w="1119"/>
        <w:gridCol w:w="1119"/>
        <w:gridCol w:w="1119"/>
        <w:gridCol w:w="1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809" w:type="dxa"/>
            <w:vMerge w:val="restart"/>
            <w:vAlign w:val="center"/>
          </w:tcPr>
          <w:p>
            <w:pPr>
              <w:tabs>
                <w:tab w:val="left" w:pos="993"/>
              </w:tabs>
              <w:spacing w:line="440" w:lineRule="exact"/>
              <w:rPr>
                <w:b/>
                <w:bCs/>
                <w:szCs w:val="21"/>
              </w:rPr>
            </w:pPr>
            <w:r>
              <w:rPr>
                <w:rFonts w:hAnsi="宋体"/>
                <w:b/>
                <w:bCs/>
                <w:szCs w:val="21"/>
              </w:rPr>
              <w:t>职务</w:t>
            </w:r>
          </w:p>
        </w:tc>
        <w:tc>
          <w:tcPr>
            <w:tcW w:w="851" w:type="dxa"/>
            <w:vMerge w:val="restart"/>
            <w:vAlign w:val="center"/>
          </w:tcPr>
          <w:p>
            <w:pPr>
              <w:tabs>
                <w:tab w:val="left" w:pos="993"/>
              </w:tabs>
              <w:spacing w:line="440" w:lineRule="exact"/>
              <w:rPr>
                <w:b/>
                <w:bCs/>
                <w:szCs w:val="21"/>
              </w:rPr>
            </w:pPr>
            <w:r>
              <w:rPr>
                <w:rFonts w:hAnsi="宋体"/>
                <w:b/>
                <w:bCs/>
                <w:szCs w:val="21"/>
              </w:rPr>
              <w:t>姓名</w:t>
            </w:r>
          </w:p>
        </w:tc>
        <w:tc>
          <w:tcPr>
            <w:tcW w:w="698" w:type="dxa"/>
            <w:vMerge w:val="restart"/>
            <w:vAlign w:val="center"/>
          </w:tcPr>
          <w:p>
            <w:pPr>
              <w:tabs>
                <w:tab w:val="left" w:pos="993"/>
              </w:tabs>
              <w:spacing w:line="440" w:lineRule="exact"/>
              <w:rPr>
                <w:b/>
                <w:bCs/>
                <w:szCs w:val="21"/>
              </w:rPr>
            </w:pPr>
            <w:r>
              <w:rPr>
                <w:rFonts w:hAnsi="宋体"/>
                <w:b/>
                <w:bCs/>
                <w:szCs w:val="21"/>
              </w:rPr>
              <w:t>职称</w:t>
            </w:r>
          </w:p>
        </w:tc>
        <w:tc>
          <w:tcPr>
            <w:tcW w:w="5245" w:type="dxa"/>
            <w:gridSpan w:val="4"/>
            <w:vAlign w:val="center"/>
          </w:tcPr>
          <w:p>
            <w:pPr>
              <w:tabs>
                <w:tab w:val="left" w:pos="993"/>
              </w:tabs>
              <w:spacing w:line="440" w:lineRule="exact"/>
              <w:jc w:val="center"/>
              <w:rPr>
                <w:b/>
                <w:bCs/>
                <w:szCs w:val="21"/>
              </w:rPr>
            </w:pPr>
            <w:r>
              <w:rPr>
                <w:rFonts w:hAnsi="宋体"/>
                <w:b/>
                <w:bCs/>
                <w:szCs w:val="21"/>
              </w:rPr>
              <w:t>执业或职业资格证明</w:t>
            </w:r>
          </w:p>
        </w:tc>
        <w:tc>
          <w:tcPr>
            <w:tcW w:w="1119" w:type="dxa"/>
            <w:vMerge w:val="restart"/>
            <w:vAlign w:val="center"/>
          </w:tcPr>
          <w:p>
            <w:pPr>
              <w:tabs>
                <w:tab w:val="left" w:pos="993"/>
              </w:tabs>
              <w:spacing w:line="440" w:lineRule="exact"/>
              <w:jc w:val="center"/>
              <w:rPr>
                <w:b/>
                <w:bCs/>
                <w:szCs w:val="21"/>
              </w:rPr>
            </w:pPr>
            <w:r>
              <w:rPr>
                <w:rFonts w:hAnsi="宋体"/>
                <w:b/>
                <w:bCs/>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vMerge w:val="continue"/>
            <w:vAlign w:val="center"/>
          </w:tcPr>
          <w:p>
            <w:pPr>
              <w:tabs>
                <w:tab w:val="left" w:pos="993"/>
              </w:tabs>
              <w:spacing w:line="440" w:lineRule="exact"/>
              <w:rPr>
                <w:b/>
                <w:bCs/>
                <w:szCs w:val="21"/>
              </w:rPr>
            </w:pPr>
          </w:p>
        </w:tc>
        <w:tc>
          <w:tcPr>
            <w:tcW w:w="851" w:type="dxa"/>
            <w:vMerge w:val="continue"/>
            <w:vAlign w:val="center"/>
          </w:tcPr>
          <w:p>
            <w:pPr>
              <w:tabs>
                <w:tab w:val="left" w:pos="993"/>
              </w:tabs>
              <w:spacing w:line="440" w:lineRule="exact"/>
              <w:rPr>
                <w:b/>
                <w:bCs/>
                <w:szCs w:val="21"/>
              </w:rPr>
            </w:pPr>
          </w:p>
        </w:tc>
        <w:tc>
          <w:tcPr>
            <w:tcW w:w="698" w:type="dxa"/>
            <w:vMerge w:val="continue"/>
            <w:vAlign w:val="center"/>
          </w:tcPr>
          <w:p>
            <w:pPr>
              <w:tabs>
                <w:tab w:val="left" w:pos="993"/>
              </w:tabs>
              <w:spacing w:line="440" w:lineRule="exact"/>
              <w:rPr>
                <w:b/>
                <w:bCs/>
                <w:szCs w:val="21"/>
              </w:rPr>
            </w:pPr>
          </w:p>
        </w:tc>
        <w:tc>
          <w:tcPr>
            <w:tcW w:w="1888" w:type="dxa"/>
            <w:vAlign w:val="center"/>
          </w:tcPr>
          <w:p>
            <w:pPr>
              <w:tabs>
                <w:tab w:val="left" w:pos="993"/>
              </w:tabs>
              <w:spacing w:line="440" w:lineRule="exact"/>
              <w:rPr>
                <w:b/>
                <w:bCs/>
                <w:szCs w:val="21"/>
              </w:rPr>
            </w:pPr>
            <w:r>
              <w:rPr>
                <w:rFonts w:hAnsi="宋体"/>
                <w:b/>
                <w:bCs/>
                <w:szCs w:val="21"/>
              </w:rPr>
              <w:t>证书名称</w:t>
            </w:r>
          </w:p>
        </w:tc>
        <w:tc>
          <w:tcPr>
            <w:tcW w:w="1119" w:type="dxa"/>
            <w:vAlign w:val="center"/>
          </w:tcPr>
          <w:p>
            <w:pPr>
              <w:tabs>
                <w:tab w:val="left" w:pos="993"/>
              </w:tabs>
              <w:spacing w:line="440" w:lineRule="exact"/>
              <w:rPr>
                <w:b/>
                <w:bCs/>
                <w:szCs w:val="21"/>
              </w:rPr>
            </w:pPr>
            <w:r>
              <w:rPr>
                <w:rFonts w:hAnsi="宋体"/>
                <w:b/>
                <w:bCs/>
                <w:szCs w:val="21"/>
              </w:rPr>
              <w:t>级别</w:t>
            </w:r>
          </w:p>
        </w:tc>
        <w:tc>
          <w:tcPr>
            <w:tcW w:w="1119" w:type="dxa"/>
            <w:vAlign w:val="center"/>
          </w:tcPr>
          <w:p>
            <w:pPr>
              <w:tabs>
                <w:tab w:val="left" w:pos="993"/>
              </w:tabs>
              <w:spacing w:line="440" w:lineRule="exact"/>
              <w:rPr>
                <w:b/>
                <w:bCs/>
                <w:szCs w:val="21"/>
              </w:rPr>
            </w:pPr>
            <w:r>
              <w:rPr>
                <w:rFonts w:hAnsi="宋体"/>
                <w:b/>
                <w:bCs/>
                <w:szCs w:val="21"/>
              </w:rPr>
              <w:t>证号</w:t>
            </w:r>
          </w:p>
        </w:tc>
        <w:tc>
          <w:tcPr>
            <w:tcW w:w="1119" w:type="dxa"/>
            <w:vAlign w:val="center"/>
          </w:tcPr>
          <w:p>
            <w:pPr>
              <w:tabs>
                <w:tab w:val="left" w:pos="993"/>
              </w:tabs>
              <w:spacing w:line="440" w:lineRule="exact"/>
              <w:rPr>
                <w:b/>
                <w:bCs/>
                <w:szCs w:val="21"/>
              </w:rPr>
            </w:pPr>
            <w:r>
              <w:rPr>
                <w:rFonts w:hAnsi="宋体"/>
                <w:b/>
                <w:bCs/>
                <w:szCs w:val="21"/>
              </w:rPr>
              <w:t>专业</w:t>
            </w:r>
          </w:p>
        </w:tc>
        <w:tc>
          <w:tcPr>
            <w:tcW w:w="1119" w:type="dxa"/>
            <w:vMerge w:val="continue"/>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809" w:type="dxa"/>
            <w:vAlign w:val="center"/>
          </w:tcPr>
          <w:p>
            <w:pPr>
              <w:tabs>
                <w:tab w:val="left" w:pos="993"/>
              </w:tabs>
              <w:spacing w:line="440" w:lineRule="exact"/>
              <w:rPr>
                <w:bCs/>
                <w:szCs w:val="21"/>
              </w:rPr>
            </w:pPr>
            <w:r>
              <w:rPr>
                <w:rFonts w:hAnsi="宋体"/>
                <w:bCs/>
                <w:szCs w:val="21"/>
              </w:rPr>
              <w:t>项目负责人</w:t>
            </w:r>
          </w:p>
        </w:tc>
        <w:tc>
          <w:tcPr>
            <w:tcW w:w="851" w:type="dxa"/>
            <w:vAlign w:val="center"/>
          </w:tcPr>
          <w:p>
            <w:pPr>
              <w:tabs>
                <w:tab w:val="left" w:pos="993"/>
              </w:tabs>
              <w:spacing w:line="440" w:lineRule="exact"/>
              <w:rPr>
                <w:b/>
                <w:bCs/>
                <w:szCs w:val="21"/>
              </w:rPr>
            </w:pPr>
          </w:p>
        </w:tc>
        <w:tc>
          <w:tcPr>
            <w:tcW w:w="698" w:type="dxa"/>
            <w:vAlign w:val="center"/>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809" w:type="dxa"/>
          </w:tcPr>
          <w:p>
            <w:pPr>
              <w:tabs>
                <w:tab w:val="left" w:pos="993"/>
              </w:tabs>
              <w:spacing w:line="440" w:lineRule="exact"/>
              <w:rPr>
                <w:bCs/>
                <w:szCs w:val="21"/>
              </w:rPr>
            </w:pPr>
            <w:r>
              <w:rPr>
                <w:rFonts w:hAnsi="宋体"/>
                <w:bCs/>
                <w:szCs w:val="21"/>
              </w:rPr>
              <w:t>技术负责人</w:t>
            </w: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Cs/>
                <w:szCs w:val="21"/>
              </w:rPr>
            </w:pPr>
            <w:r>
              <w:rPr>
                <w:rFonts w:hAnsi="宋体"/>
                <w:bCs/>
                <w:szCs w:val="21"/>
              </w:rPr>
              <w:t>质量员</w:t>
            </w: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809" w:type="dxa"/>
          </w:tcPr>
          <w:p>
            <w:pPr>
              <w:tabs>
                <w:tab w:val="left" w:pos="993"/>
              </w:tabs>
              <w:spacing w:line="440" w:lineRule="exact"/>
              <w:rPr>
                <w:bCs/>
                <w:szCs w:val="21"/>
              </w:rPr>
            </w:pPr>
            <w:r>
              <w:rPr>
                <w:rFonts w:hAnsi="宋体"/>
                <w:bCs/>
                <w:szCs w:val="21"/>
              </w:rPr>
              <w:t>安全员</w:t>
            </w: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809" w:type="dxa"/>
          </w:tcPr>
          <w:p>
            <w:pPr>
              <w:tabs>
                <w:tab w:val="left" w:pos="993"/>
              </w:tabs>
              <w:spacing w:line="440" w:lineRule="exact"/>
              <w:rPr>
                <w:bCs/>
                <w:szCs w:val="21"/>
              </w:rPr>
            </w:pPr>
            <w:r>
              <w:rPr>
                <w:rFonts w:hAnsi="宋体"/>
                <w:bCs/>
                <w:szCs w:val="21"/>
              </w:rPr>
              <w:t>施工员</w:t>
            </w: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
                <w:bCs/>
                <w:szCs w:val="21"/>
              </w:rPr>
            </w:pP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
                <w:bCs/>
                <w:szCs w:val="21"/>
              </w:rPr>
            </w:pP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
                <w:bCs/>
                <w:szCs w:val="21"/>
              </w:rPr>
            </w:pP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
                <w:bCs/>
                <w:szCs w:val="21"/>
              </w:rPr>
            </w:pP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
                <w:bCs/>
                <w:szCs w:val="21"/>
              </w:rPr>
            </w:pP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809" w:type="dxa"/>
          </w:tcPr>
          <w:p>
            <w:pPr>
              <w:tabs>
                <w:tab w:val="left" w:pos="993"/>
              </w:tabs>
              <w:spacing w:line="440" w:lineRule="exact"/>
              <w:rPr>
                <w:b/>
                <w:bCs/>
                <w:szCs w:val="21"/>
              </w:rPr>
            </w:pPr>
          </w:p>
        </w:tc>
        <w:tc>
          <w:tcPr>
            <w:tcW w:w="851" w:type="dxa"/>
          </w:tcPr>
          <w:p>
            <w:pPr>
              <w:tabs>
                <w:tab w:val="left" w:pos="993"/>
              </w:tabs>
              <w:spacing w:line="440" w:lineRule="exact"/>
              <w:rPr>
                <w:b/>
                <w:bCs/>
                <w:szCs w:val="21"/>
              </w:rPr>
            </w:pPr>
          </w:p>
        </w:tc>
        <w:tc>
          <w:tcPr>
            <w:tcW w:w="698" w:type="dxa"/>
          </w:tcPr>
          <w:p>
            <w:pPr>
              <w:tabs>
                <w:tab w:val="left" w:pos="993"/>
              </w:tabs>
              <w:spacing w:line="440" w:lineRule="exact"/>
              <w:rPr>
                <w:b/>
                <w:bCs/>
                <w:szCs w:val="21"/>
              </w:rPr>
            </w:pPr>
          </w:p>
        </w:tc>
        <w:tc>
          <w:tcPr>
            <w:tcW w:w="1888"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c>
          <w:tcPr>
            <w:tcW w:w="1119" w:type="dxa"/>
          </w:tcPr>
          <w:p>
            <w:pPr>
              <w:tabs>
                <w:tab w:val="left" w:pos="993"/>
              </w:tabs>
              <w:spacing w:line="440" w:lineRule="exact"/>
              <w:rPr>
                <w:b/>
                <w:bCs/>
                <w:szCs w:val="21"/>
              </w:rPr>
            </w:pPr>
          </w:p>
        </w:tc>
      </w:tr>
    </w:tbl>
    <w:p>
      <w:pPr>
        <w:tabs>
          <w:tab w:val="left" w:pos="993"/>
        </w:tabs>
        <w:spacing w:line="440" w:lineRule="exact"/>
        <w:rPr>
          <w:b/>
          <w:bCs/>
          <w:szCs w:val="21"/>
        </w:rPr>
      </w:pPr>
    </w:p>
    <w:p>
      <w:pPr>
        <w:tabs>
          <w:tab w:val="left" w:pos="993"/>
        </w:tabs>
        <w:spacing w:line="360" w:lineRule="auto"/>
        <w:rPr>
          <w:b/>
          <w:bCs/>
          <w:szCs w:val="21"/>
        </w:rPr>
      </w:pPr>
      <w:r>
        <w:rPr>
          <w:rFonts w:hint="eastAsia"/>
          <w:b/>
          <w:bCs/>
          <w:szCs w:val="21"/>
        </w:rPr>
        <w:t>注：项目现场实施人员须与本表拟派人员一致，招标人将进行考核，否则按合同条款中人员更换处理，一切损失由投标人自行承担。</w:t>
      </w:r>
    </w:p>
    <w:p>
      <w:pPr>
        <w:tabs>
          <w:tab w:val="left" w:pos="993"/>
        </w:tabs>
        <w:spacing w:line="360" w:lineRule="auto"/>
      </w:pPr>
    </w:p>
    <w:p>
      <w:pPr>
        <w:tabs>
          <w:tab w:val="left" w:pos="993"/>
        </w:tabs>
        <w:spacing w:line="360" w:lineRule="auto"/>
        <w:rPr>
          <w:sz w:val="24"/>
        </w:rPr>
      </w:pPr>
    </w:p>
    <w:p>
      <w:pPr>
        <w:tabs>
          <w:tab w:val="left" w:pos="993"/>
        </w:tabs>
        <w:spacing w:line="360" w:lineRule="auto"/>
        <w:rPr>
          <w:sz w:val="24"/>
        </w:rPr>
      </w:pPr>
    </w:p>
    <w:p>
      <w:pPr>
        <w:tabs>
          <w:tab w:val="left" w:pos="993"/>
        </w:tabs>
        <w:spacing w:line="360" w:lineRule="auto"/>
        <w:rPr>
          <w:sz w:val="24"/>
        </w:rPr>
      </w:pPr>
    </w:p>
    <w:p>
      <w:pPr>
        <w:pStyle w:val="76"/>
        <w:snapToGrid w:val="0"/>
        <w:spacing w:after="0" w:line="420" w:lineRule="atLeast"/>
        <w:jc w:val="left"/>
        <w:rPr>
          <w:sz w:val="32"/>
        </w:rPr>
      </w:pPr>
      <w:r>
        <w:rPr>
          <w:rFonts w:hAnsi="宋体"/>
        </w:rPr>
        <w:t>附表</w:t>
      </w:r>
      <w:r>
        <w:rPr>
          <w:rFonts w:hint="eastAsia"/>
        </w:rPr>
        <w:t>9</w:t>
      </w:r>
    </w:p>
    <w:p>
      <w:pPr>
        <w:pStyle w:val="76"/>
        <w:snapToGrid w:val="0"/>
        <w:spacing w:after="0" w:line="420" w:lineRule="atLeast"/>
        <w:rPr>
          <w:sz w:val="28"/>
        </w:rPr>
      </w:pPr>
      <w:r>
        <w:rPr>
          <w:rFonts w:hAnsi="宋体"/>
          <w:sz w:val="28"/>
        </w:rPr>
        <w:t>诚信承诺书</w:t>
      </w:r>
    </w:p>
    <w:p>
      <w:pPr>
        <w:pStyle w:val="76"/>
        <w:snapToGrid w:val="0"/>
        <w:spacing w:after="0" w:line="420" w:lineRule="atLeast"/>
        <w:rPr>
          <w:sz w:val="32"/>
          <w:szCs w:val="32"/>
        </w:rPr>
      </w:pPr>
    </w:p>
    <w:p>
      <w:pPr>
        <w:adjustRightInd w:val="0"/>
        <w:snapToGrid w:val="0"/>
        <w:spacing w:line="440" w:lineRule="exact"/>
        <w:ind w:firstLine="415" w:firstLineChars="198"/>
        <w:rPr>
          <w:rFonts w:ascii="宋体" w:hAnsi="宋体"/>
          <w:szCs w:val="21"/>
        </w:rPr>
      </w:pPr>
      <w:r>
        <w:rPr>
          <w:rFonts w:hint="eastAsia" w:ascii="宋体" w:hAnsi="宋体"/>
          <w:szCs w:val="21"/>
          <w:u w:val="single"/>
        </w:rPr>
        <w:t xml:space="preserve">                        </w:t>
      </w:r>
      <w:r>
        <w:rPr>
          <w:rFonts w:hint="eastAsia" w:ascii="宋体" w:hAnsi="宋体"/>
          <w:szCs w:val="21"/>
        </w:rPr>
        <w:t>：（招标人名称）</w:t>
      </w:r>
    </w:p>
    <w:p>
      <w:pPr>
        <w:adjustRightInd w:val="0"/>
        <w:snapToGrid w:val="0"/>
        <w:spacing w:line="440" w:lineRule="exact"/>
        <w:ind w:firstLine="420" w:firstLineChars="200"/>
        <w:rPr>
          <w:rFonts w:ascii="宋体" w:hAnsi="宋体"/>
          <w:szCs w:val="21"/>
        </w:rPr>
      </w:pPr>
      <w:r>
        <w:rPr>
          <w:rFonts w:hint="eastAsia" w:ascii="宋体" w:hAnsi="宋体"/>
          <w:szCs w:val="21"/>
        </w:rPr>
        <w:t>我方参加你方的</w:t>
      </w:r>
      <w:r>
        <w:rPr>
          <w:rFonts w:hint="eastAsia" w:ascii="宋体" w:hAnsi="宋体"/>
          <w:szCs w:val="21"/>
          <w:u w:val="single"/>
        </w:rPr>
        <w:t xml:space="preserve">                          </w:t>
      </w:r>
      <w:r>
        <w:rPr>
          <w:rFonts w:hint="eastAsia" w:ascii="宋体" w:hAnsi="宋体"/>
          <w:szCs w:val="21"/>
        </w:rPr>
        <w:t>（以下简称“本工程”）的投标，现我方法定代表人向你方慎重承诺：</w:t>
      </w:r>
    </w:p>
    <w:p>
      <w:pPr>
        <w:widowControl/>
        <w:adjustRightInd w:val="0"/>
        <w:snapToGrid w:val="0"/>
        <w:spacing w:line="440" w:lineRule="exact"/>
        <w:ind w:firstLine="409" w:firstLineChars="195"/>
        <w:jc w:val="left"/>
        <w:rPr>
          <w:kern w:val="0"/>
          <w:szCs w:val="21"/>
        </w:rPr>
      </w:pPr>
      <w:r>
        <w:rPr>
          <w:rFonts w:hint="eastAsia" w:ascii="宋体" w:hAnsi="宋体"/>
          <w:szCs w:val="21"/>
        </w:rPr>
        <w:t>1、我方拟派项目负责人</w:t>
      </w:r>
      <w:r>
        <w:rPr>
          <w:rFonts w:hint="eastAsia" w:ascii="宋体" w:hAnsi="宋体"/>
          <w:szCs w:val="21"/>
          <w:u w:val="single"/>
        </w:rPr>
        <w:t xml:space="preserve">         </w:t>
      </w:r>
      <w:r>
        <w:rPr>
          <w:rFonts w:hint="eastAsia" w:ascii="宋体" w:hAnsi="宋体"/>
          <w:szCs w:val="21"/>
        </w:rPr>
        <w:t>（身份证号码：</w:t>
      </w:r>
      <w:r>
        <w:rPr>
          <w:rFonts w:hint="eastAsia" w:ascii="宋体" w:hAnsi="宋体"/>
          <w:szCs w:val="21"/>
          <w:u w:val="single"/>
        </w:rPr>
        <w:t xml:space="preserve">             </w:t>
      </w:r>
      <w:r>
        <w:rPr>
          <w:rFonts w:hint="eastAsia" w:ascii="宋体" w:hAnsi="宋体"/>
          <w:szCs w:val="21"/>
        </w:rPr>
        <w:t>；注册号：</w:t>
      </w:r>
      <w:r>
        <w:rPr>
          <w:rFonts w:hint="eastAsia" w:ascii="宋体" w:hAnsi="宋体"/>
          <w:szCs w:val="21"/>
          <w:u w:val="single"/>
        </w:rPr>
        <w:t xml:space="preserve">        </w:t>
      </w:r>
      <w:r>
        <w:rPr>
          <w:rFonts w:hint="eastAsia" w:ascii="宋体" w:hAnsi="宋体"/>
          <w:szCs w:val="21"/>
        </w:rPr>
        <w:t>）至本项目投标文件截止时间前无在建工程且无已中标未开工项目。如果我方经本工程评标委员会评定为中标候选人，在公示期间被他人举报并经招标投标监管机构核实，确认拟派项目负责人有在建工程，且不符合江苏省建设厅“苏建规字（2017）1号”《关于改革和完善房屋建筑和市政基础设施工程招标投标制度的实施意见》附件2《江苏省房屋建筑和市政基础设施工程施工招标资格审查办法》第十条第五款的规定，你方即可取消我方中标候选人资格，并同意投标保证金不予退还</w:t>
      </w:r>
      <w:r>
        <w:rPr>
          <w:rFonts w:hAnsi="宋体"/>
          <w:szCs w:val="21"/>
        </w:rPr>
        <w:t>。</w:t>
      </w:r>
    </w:p>
    <w:p>
      <w:pPr>
        <w:widowControl/>
        <w:adjustRightInd w:val="0"/>
        <w:snapToGrid w:val="0"/>
        <w:spacing w:line="440" w:lineRule="exact"/>
        <w:ind w:firstLine="409" w:firstLineChars="195"/>
        <w:jc w:val="left"/>
        <w:rPr>
          <w:szCs w:val="21"/>
        </w:rPr>
      </w:pPr>
      <w:r>
        <w:rPr>
          <w:szCs w:val="21"/>
        </w:rPr>
        <w:t>2</w:t>
      </w:r>
      <w:r>
        <w:rPr>
          <w:rFonts w:hAnsi="宋体"/>
          <w:szCs w:val="21"/>
        </w:rPr>
        <w:t>、我方财务和经营状况良好，具备履行合同能力；没有因骗取中标或者严重违约以及发生重大工程质量、安全生产事故等问题，被有关部门处于被责令停业、投标资格被取消或者财产被接管、冻结和破产状态；无因投标申请人违约或不恰当履约引起的合同争议纠纷及仲裁和诉讼记录。如果我方经本工程评标委员会评定为中标候选人后，被他人举报并经招标投标监管机构核实，确认存在上述不良记录，你方即可取消我方中标资格，并同意投标保证金不予退还，并接受处罚。</w:t>
      </w:r>
    </w:p>
    <w:p>
      <w:pPr>
        <w:widowControl/>
        <w:adjustRightInd w:val="0"/>
        <w:snapToGrid w:val="0"/>
        <w:spacing w:line="440" w:lineRule="exact"/>
        <w:ind w:firstLine="409" w:firstLineChars="195"/>
        <w:jc w:val="left"/>
        <w:rPr>
          <w:szCs w:val="21"/>
        </w:rPr>
      </w:pPr>
      <w:r>
        <w:rPr>
          <w:szCs w:val="21"/>
        </w:rPr>
        <w:t>3</w:t>
      </w:r>
      <w:r>
        <w:rPr>
          <w:rFonts w:hAnsi="宋体"/>
          <w:szCs w:val="21"/>
        </w:rPr>
        <w:t>、我方递交的投标文件中的所有资料都是真实可信的，没有弄虚作假。</w:t>
      </w:r>
    </w:p>
    <w:p>
      <w:pPr>
        <w:widowControl/>
        <w:adjustRightInd w:val="0"/>
        <w:snapToGrid w:val="0"/>
        <w:spacing w:line="440" w:lineRule="exact"/>
        <w:ind w:firstLine="409" w:firstLineChars="195"/>
        <w:jc w:val="left"/>
        <w:rPr>
          <w:szCs w:val="21"/>
        </w:rPr>
      </w:pPr>
      <w:r>
        <w:rPr>
          <w:szCs w:val="21"/>
        </w:rPr>
        <w:t>4</w:t>
      </w:r>
      <w:r>
        <w:rPr>
          <w:rFonts w:hAnsi="宋体"/>
          <w:szCs w:val="21"/>
        </w:rPr>
        <w:t>、我方不组织、不参与串标围标，没有出借资质等违法违规行为。</w:t>
      </w:r>
    </w:p>
    <w:p>
      <w:pPr>
        <w:widowControl/>
        <w:adjustRightInd w:val="0"/>
        <w:snapToGrid w:val="0"/>
        <w:spacing w:line="440" w:lineRule="exact"/>
        <w:ind w:firstLine="409" w:firstLineChars="195"/>
        <w:jc w:val="left"/>
        <w:rPr>
          <w:szCs w:val="21"/>
        </w:rPr>
      </w:pPr>
    </w:p>
    <w:p>
      <w:pPr>
        <w:adjustRightInd w:val="0"/>
        <w:snapToGrid w:val="0"/>
        <w:spacing w:line="440" w:lineRule="exact"/>
        <w:ind w:firstLine="422" w:firstLineChars="200"/>
        <w:rPr>
          <w:b/>
          <w:szCs w:val="21"/>
        </w:rPr>
      </w:pPr>
      <w:r>
        <w:rPr>
          <w:rFonts w:hAnsi="宋体"/>
          <w:b/>
          <w:szCs w:val="21"/>
        </w:rPr>
        <w:t>我方承诺：违反上述任何一条承诺，自愿意接受当地建设行政主管部门作出的依法处罚，包括同意你方取消我方中标资格并不予退还投标保证金或履约保证金，将我方列入黑名单，并上报南通市建设主管部门。</w:t>
      </w:r>
    </w:p>
    <w:p>
      <w:pPr>
        <w:adjustRightInd w:val="0"/>
        <w:snapToGrid w:val="0"/>
        <w:spacing w:line="440" w:lineRule="exact"/>
        <w:ind w:firstLine="221" w:firstLineChars="98"/>
        <w:rPr>
          <w:spacing w:val="8"/>
          <w:kern w:val="0"/>
          <w:szCs w:val="21"/>
        </w:rPr>
      </w:pPr>
    </w:p>
    <w:p>
      <w:pPr>
        <w:adjustRightInd w:val="0"/>
        <w:snapToGrid w:val="0"/>
        <w:spacing w:line="440" w:lineRule="exact"/>
        <w:ind w:firstLine="3255" w:firstLineChars="1550"/>
        <w:rPr>
          <w:rFonts w:ascii="宋体" w:hAnsi="宋体"/>
          <w:szCs w:val="21"/>
        </w:rPr>
      </w:pPr>
      <w:r>
        <w:rPr>
          <w:rFonts w:hint="eastAsia" w:ascii="宋体" w:hAnsi="宋体"/>
          <w:szCs w:val="21"/>
        </w:rPr>
        <w:t>投标申请人（盖章）：</w:t>
      </w:r>
      <w:r>
        <w:rPr>
          <w:rFonts w:hint="eastAsia" w:ascii="宋体" w:hAnsi="宋体"/>
          <w:szCs w:val="21"/>
          <w:u w:val="single"/>
        </w:rPr>
        <w:t xml:space="preserve">                         </w:t>
      </w:r>
      <w:r>
        <w:rPr>
          <w:rFonts w:hint="eastAsia" w:ascii="宋体" w:hAnsi="宋体"/>
          <w:szCs w:val="21"/>
        </w:rPr>
        <w:t xml:space="preserve"> </w:t>
      </w:r>
    </w:p>
    <w:p>
      <w:pPr>
        <w:tabs>
          <w:tab w:val="left" w:pos="4320"/>
        </w:tabs>
        <w:adjustRightInd w:val="0"/>
        <w:snapToGrid w:val="0"/>
        <w:spacing w:line="440" w:lineRule="exact"/>
        <w:ind w:firstLine="3255" w:firstLineChars="1550"/>
        <w:rPr>
          <w:rFonts w:ascii="宋体" w:hAnsi="宋体"/>
          <w:szCs w:val="21"/>
        </w:rPr>
      </w:pPr>
      <w:r>
        <w:rPr>
          <w:rFonts w:hint="eastAsia" w:ascii="宋体" w:hAnsi="宋体"/>
          <w:szCs w:val="21"/>
        </w:rPr>
        <w:t>法定代表人（签字或盖章）：</w:t>
      </w:r>
      <w:r>
        <w:rPr>
          <w:rFonts w:hint="eastAsia" w:ascii="宋体" w:hAnsi="宋体"/>
          <w:szCs w:val="21"/>
          <w:u w:val="single"/>
        </w:rPr>
        <w:t xml:space="preserve">                   </w:t>
      </w:r>
      <w:r>
        <w:rPr>
          <w:rFonts w:hint="eastAsia" w:ascii="宋体" w:hAnsi="宋体"/>
          <w:szCs w:val="21"/>
        </w:rPr>
        <w:t xml:space="preserve"> </w:t>
      </w:r>
    </w:p>
    <w:p>
      <w:pPr>
        <w:adjustRightInd w:val="0"/>
        <w:snapToGrid w:val="0"/>
        <w:spacing w:line="440" w:lineRule="exact"/>
        <w:rPr>
          <w:rFonts w:ascii="宋体" w:hAnsi="宋体"/>
          <w:szCs w:val="21"/>
        </w:rPr>
      </w:pPr>
      <w:r>
        <w:rPr>
          <w:rFonts w:hint="eastAsia" w:ascii="宋体" w:hAnsi="宋体"/>
          <w:szCs w:val="21"/>
        </w:rPr>
        <w:t xml:space="preserve">                                日期：</w:t>
      </w: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月</w:t>
      </w:r>
      <w:r>
        <w:rPr>
          <w:rFonts w:hint="eastAsia" w:ascii="宋体" w:hAnsi="宋体"/>
          <w:szCs w:val="21"/>
          <w:u w:val="single"/>
        </w:rPr>
        <w:t xml:space="preserve">       </w:t>
      </w:r>
      <w:r>
        <w:rPr>
          <w:rFonts w:hint="eastAsia" w:ascii="宋体" w:hAnsi="宋体"/>
          <w:szCs w:val="21"/>
        </w:rPr>
        <w:t>日</w:t>
      </w:r>
    </w:p>
    <w:p>
      <w:pPr>
        <w:spacing w:line="360" w:lineRule="auto"/>
        <w:ind w:firstLine="250" w:firstLineChars="98"/>
        <w:rPr>
          <w:spacing w:val="8"/>
          <w:kern w:val="0"/>
          <w:sz w:val="24"/>
        </w:rPr>
      </w:pPr>
    </w:p>
    <w:p>
      <w:pPr>
        <w:spacing w:line="360" w:lineRule="auto"/>
        <w:ind w:firstLine="250" w:firstLineChars="98"/>
        <w:rPr>
          <w:spacing w:val="8"/>
          <w:kern w:val="0"/>
          <w:sz w:val="24"/>
        </w:rPr>
      </w:pPr>
    </w:p>
    <w:p>
      <w:pPr>
        <w:spacing w:line="360" w:lineRule="auto"/>
        <w:ind w:firstLine="250" w:firstLineChars="98"/>
        <w:rPr>
          <w:spacing w:val="8"/>
          <w:kern w:val="0"/>
          <w:sz w:val="24"/>
        </w:rPr>
      </w:pPr>
    </w:p>
    <w:p>
      <w:r>
        <w:rPr>
          <w:rFonts w:hAnsi="宋体"/>
        </w:rPr>
        <w:t>附表</w:t>
      </w:r>
      <w:r>
        <w:rPr>
          <w:rFonts w:hint="eastAsia"/>
        </w:rPr>
        <w:t>10</w:t>
      </w:r>
    </w:p>
    <w:p>
      <w:pPr>
        <w:pStyle w:val="76"/>
        <w:snapToGrid w:val="0"/>
        <w:spacing w:after="0" w:line="440" w:lineRule="exact"/>
        <w:rPr>
          <w:sz w:val="28"/>
        </w:rPr>
      </w:pPr>
      <w:r>
        <w:rPr>
          <w:rFonts w:hAnsi="宋体"/>
          <w:sz w:val="28"/>
        </w:rPr>
        <w:t>工程完工证明</w:t>
      </w:r>
    </w:p>
    <w:p>
      <w:pPr>
        <w:adjustRightInd w:val="0"/>
        <w:snapToGrid w:val="0"/>
        <w:spacing w:line="440" w:lineRule="exact"/>
        <w:rPr>
          <w:b/>
          <w:bCs/>
        </w:rPr>
      </w:pPr>
    </w:p>
    <w:p>
      <w:pPr>
        <w:adjustRightInd w:val="0"/>
        <w:snapToGrid w:val="0"/>
        <w:spacing w:line="440" w:lineRule="exact"/>
        <w:rPr>
          <w:rFonts w:ascii="宋体" w:hAnsi="宋体"/>
          <w:szCs w:val="21"/>
        </w:rPr>
      </w:pPr>
      <w:bookmarkStart w:id="595" w:name="_Toc465181340"/>
      <w:bookmarkStart w:id="596" w:name="_Toc404159965"/>
      <w:r>
        <w:rPr>
          <w:rFonts w:hint="eastAsia" w:ascii="宋体" w:hAnsi="宋体"/>
          <w:szCs w:val="21"/>
          <w:u w:val="single"/>
        </w:rPr>
        <w:t xml:space="preserve">                                  </w:t>
      </w:r>
      <w:r>
        <w:rPr>
          <w:rFonts w:hint="eastAsia" w:ascii="宋体" w:hAnsi="宋体"/>
          <w:szCs w:val="21"/>
        </w:rPr>
        <w:t>：（招标人名称）</w:t>
      </w:r>
    </w:p>
    <w:p>
      <w:pPr>
        <w:adjustRightInd w:val="0"/>
        <w:snapToGrid w:val="0"/>
        <w:spacing w:line="440" w:lineRule="exact"/>
        <w:ind w:firstLine="422" w:firstLineChars="200"/>
        <w:rPr>
          <w:rFonts w:ascii="宋体" w:hAnsi="宋体"/>
          <w:szCs w:val="21"/>
        </w:rPr>
      </w:pPr>
      <w:r>
        <w:rPr>
          <w:rFonts w:hint="eastAsia" w:ascii="宋体" w:hAnsi="宋体"/>
          <w:b/>
          <w:szCs w:val="21"/>
          <w:u w:val="single"/>
        </w:rPr>
        <w:t xml:space="preserve">             </w:t>
      </w:r>
      <w:r>
        <w:rPr>
          <w:rFonts w:hint="eastAsia" w:ascii="宋体" w:hAnsi="宋体"/>
          <w:szCs w:val="21"/>
        </w:rPr>
        <w:t>（中标单位名称）的项目经理（项目负责人）</w:t>
      </w:r>
      <w:r>
        <w:rPr>
          <w:rFonts w:hint="eastAsia" w:ascii="宋体" w:hAnsi="宋体"/>
          <w:b/>
          <w:szCs w:val="21"/>
          <w:u w:val="single"/>
        </w:rPr>
        <w:t xml:space="preserve">       </w:t>
      </w:r>
      <w:r>
        <w:rPr>
          <w:rFonts w:hint="eastAsia" w:ascii="宋体" w:hAnsi="宋体"/>
          <w:szCs w:val="21"/>
        </w:rPr>
        <w:t xml:space="preserve">（姓名及注册编号）承接我单位的 </w:t>
      </w:r>
      <w:r>
        <w:rPr>
          <w:rFonts w:hint="eastAsia" w:ascii="宋体" w:hAnsi="宋体"/>
          <w:b/>
          <w:szCs w:val="21"/>
          <w:u w:val="single"/>
        </w:rPr>
        <w:t xml:space="preserve">                  </w:t>
      </w:r>
      <w:r>
        <w:rPr>
          <w:rFonts w:hint="eastAsia" w:ascii="宋体" w:hAnsi="宋体"/>
          <w:szCs w:val="21"/>
        </w:rPr>
        <w:t>（项目名称）</w:t>
      </w:r>
      <w:r>
        <w:rPr>
          <w:rFonts w:hint="eastAsia" w:ascii="宋体" w:hAnsi="宋体"/>
          <w:b/>
          <w:szCs w:val="21"/>
          <w:u w:val="single"/>
        </w:rPr>
        <w:t xml:space="preserve">              </w:t>
      </w:r>
      <w:r>
        <w:rPr>
          <w:rFonts w:hint="eastAsia" w:ascii="宋体" w:hAnsi="宋体"/>
          <w:szCs w:val="21"/>
        </w:rPr>
        <w:t>（标段名称）于</w:t>
      </w:r>
      <w:r>
        <w:rPr>
          <w:rFonts w:hint="eastAsia" w:ascii="宋体" w:hAnsi="宋体"/>
          <w:b/>
          <w:szCs w:val="21"/>
          <w:u w:val="single"/>
        </w:rPr>
        <w:t xml:space="preserve">    </w:t>
      </w:r>
      <w:r>
        <w:rPr>
          <w:rFonts w:hint="eastAsia" w:ascii="宋体" w:hAnsi="宋体"/>
          <w:szCs w:val="21"/>
        </w:rPr>
        <w:t xml:space="preserve">年 </w:t>
      </w:r>
      <w:r>
        <w:rPr>
          <w:rFonts w:hint="eastAsia" w:ascii="宋体" w:hAnsi="宋体"/>
          <w:b/>
          <w:szCs w:val="21"/>
          <w:u w:val="single"/>
        </w:rPr>
        <w:t xml:space="preserve">   </w:t>
      </w:r>
      <w:r>
        <w:rPr>
          <w:rFonts w:hint="eastAsia" w:ascii="宋体" w:hAnsi="宋体"/>
          <w:szCs w:val="21"/>
        </w:rPr>
        <w:t>月</w:t>
      </w:r>
      <w:r>
        <w:rPr>
          <w:rFonts w:hint="eastAsia" w:ascii="宋体" w:hAnsi="宋体"/>
          <w:b/>
          <w:szCs w:val="21"/>
          <w:u w:val="single"/>
        </w:rPr>
        <w:t xml:space="preserve">    </w:t>
      </w:r>
      <w:r>
        <w:rPr>
          <w:rFonts w:hint="eastAsia" w:ascii="宋体" w:hAnsi="宋体"/>
          <w:szCs w:val="21"/>
        </w:rPr>
        <w:t>日完工，现同意该项目经理参加其他工程招投标活动。</w:t>
      </w:r>
    </w:p>
    <w:p>
      <w:pPr>
        <w:adjustRightInd w:val="0"/>
        <w:snapToGrid w:val="0"/>
        <w:spacing w:line="440" w:lineRule="exact"/>
        <w:ind w:firstLine="420" w:firstLineChars="200"/>
        <w:rPr>
          <w:rFonts w:ascii="宋体" w:hAnsi="宋体"/>
          <w:szCs w:val="21"/>
        </w:rPr>
      </w:pPr>
      <w:r>
        <w:rPr>
          <w:rFonts w:hint="eastAsia" w:ascii="宋体" w:hAnsi="宋体"/>
          <w:szCs w:val="21"/>
        </w:rPr>
        <w:t>特此证明。</w:t>
      </w:r>
    </w:p>
    <w:p>
      <w:pPr>
        <w:adjustRightInd w:val="0"/>
        <w:snapToGrid w:val="0"/>
        <w:spacing w:line="440" w:lineRule="exact"/>
        <w:rPr>
          <w:rFonts w:ascii="宋体" w:hAnsi="宋体"/>
          <w:szCs w:val="21"/>
        </w:rPr>
      </w:pPr>
    </w:p>
    <w:p>
      <w:pPr>
        <w:adjustRightInd w:val="0"/>
        <w:snapToGrid w:val="0"/>
        <w:spacing w:line="440" w:lineRule="exact"/>
        <w:rPr>
          <w:rFonts w:ascii="宋体" w:hAnsi="宋体"/>
          <w:szCs w:val="21"/>
        </w:rPr>
      </w:pPr>
      <w:r>
        <w:rPr>
          <w:rFonts w:hint="eastAsia" w:ascii="宋体" w:hAnsi="宋体"/>
          <w:szCs w:val="21"/>
        </w:rPr>
        <w:t>注：如项目已竣工验收，附竣工验收单。</w:t>
      </w:r>
    </w:p>
    <w:p>
      <w:pPr>
        <w:adjustRightInd w:val="0"/>
        <w:snapToGrid w:val="0"/>
        <w:spacing w:line="440" w:lineRule="exact"/>
        <w:rPr>
          <w:rFonts w:ascii="宋体" w:hAnsi="宋体"/>
          <w:szCs w:val="21"/>
        </w:rPr>
      </w:pPr>
    </w:p>
    <w:p>
      <w:pPr>
        <w:adjustRightInd w:val="0"/>
        <w:snapToGrid w:val="0"/>
        <w:spacing w:line="440" w:lineRule="exact"/>
        <w:rPr>
          <w:rFonts w:ascii="宋体" w:hAnsi="宋体"/>
          <w:szCs w:val="21"/>
        </w:rPr>
      </w:pPr>
    </w:p>
    <w:p>
      <w:pPr>
        <w:adjustRightInd w:val="0"/>
        <w:snapToGrid w:val="0"/>
        <w:spacing w:line="440" w:lineRule="exact"/>
        <w:ind w:firstLine="422" w:firstLineChars="200"/>
        <w:rPr>
          <w:rFonts w:ascii="宋体" w:hAnsi="宋体"/>
          <w:b/>
          <w:szCs w:val="21"/>
        </w:rPr>
      </w:pPr>
    </w:p>
    <w:p>
      <w:pPr>
        <w:adjustRightInd w:val="0"/>
        <w:snapToGrid w:val="0"/>
        <w:spacing w:line="440" w:lineRule="exact"/>
        <w:jc w:val="right"/>
        <w:rPr>
          <w:rFonts w:ascii="宋体" w:hAnsi="宋体"/>
          <w:szCs w:val="21"/>
        </w:rPr>
      </w:pPr>
      <w:r>
        <w:rPr>
          <w:rFonts w:hint="eastAsia" w:ascii="宋体" w:hAnsi="宋体"/>
          <w:szCs w:val="21"/>
        </w:rPr>
        <w:t>单位公章（注：单位内设科室盖章无效）</w:t>
      </w:r>
    </w:p>
    <w:p>
      <w:pPr>
        <w:adjustRightInd w:val="0"/>
        <w:snapToGrid w:val="0"/>
        <w:spacing w:line="440" w:lineRule="exact"/>
        <w:ind w:firstLine="3570" w:firstLineChars="1700"/>
        <w:rPr>
          <w:rFonts w:ascii="宋体" w:hAnsi="宋体"/>
          <w:szCs w:val="21"/>
        </w:rPr>
        <w:sectPr>
          <w:pgSz w:w="11906" w:h="16838"/>
          <w:pgMar w:top="1440" w:right="1800" w:bottom="1440" w:left="1800" w:header="851" w:footer="992" w:gutter="0"/>
          <w:cols w:space="425" w:num="1"/>
          <w:docGrid w:type="lines" w:linePitch="312" w:charSpace="0"/>
        </w:sectPr>
      </w:pPr>
      <w:r>
        <w:rPr>
          <w:rFonts w:hint="eastAsia" w:ascii="宋体" w:hAnsi="宋体"/>
          <w:szCs w:val="21"/>
        </w:rPr>
        <w:t>日期：</w:t>
      </w: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rPr>
          <w:rFonts w:hAnsi="宋体"/>
          <w:kern w:val="0"/>
          <w:sz w:val="44"/>
          <w:szCs w:val="44"/>
        </w:rPr>
      </w:pPr>
    </w:p>
    <w:p>
      <w:pPr>
        <w:adjustRightInd w:val="0"/>
        <w:snapToGrid w:val="0"/>
        <w:spacing w:line="440" w:lineRule="exact"/>
        <w:jc w:val="center"/>
        <w:rPr>
          <w:sz w:val="44"/>
          <w:szCs w:val="44"/>
        </w:rPr>
      </w:pPr>
      <w:r>
        <w:rPr>
          <w:rFonts w:hAnsi="宋体"/>
          <w:kern w:val="0"/>
          <w:sz w:val="44"/>
          <w:szCs w:val="44"/>
        </w:rPr>
        <w:t>第八章</w:t>
      </w:r>
      <w:r>
        <w:rPr>
          <w:rFonts w:hint="eastAsia" w:hAnsi="宋体"/>
          <w:kern w:val="0"/>
          <w:sz w:val="44"/>
          <w:szCs w:val="44"/>
        </w:rPr>
        <w:t xml:space="preserve"> </w:t>
      </w:r>
      <w:r>
        <w:rPr>
          <w:rFonts w:hAnsi="宋体"/>
          <w:kern w:val="0"/>
          <w:sz w:val="44"/>
          <w:szCs w:val="44"/>
        </w:rPr>
        <w:t>工程量清单</w:t>
      </w:r>
      <w:bookmarkEnd w:id="595"/>
      <w:bookmarkEnd w:id="596"/>
    </w:p>
    <w:p>
      <w:pPr>
        <w:jc w:val="center"/>
        <w:rPr>
          <w:rFonts w:ascii="宋体" w:hAnsi="宋体"/>
        </w:rPr>
      </w:pPr>
    </w:p>
    <w:p>
      <w:pPr>
        <w:jc w:val="center"/>
        <w:rPr>
          <w:rFonts w:ascii="宋体" w:hAnsi="宋体"/>
        </w:rPr>
      </w:pPr>
    </w:p>
    <w:p>
      <w:pPr>
        <w:jc w:val="center"/>
        <w:rPr>
          <w:rFonts w:ascii="宋体" w:hAnsi="宋体"/>
        </w:rPr>
      </w:pPr>
      <w:r>
        <w:rPr>
          <w:rFonts w:hint="eastAsia" w:ascii="宋体" w:hAnsi="宋体"/>
        </w:rPr>
        <w:t>（“南通市崇川区人民政府网”下载）</w:t>
      </w:r>
    </w:p>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0000000000000000000"/>
    <w:charset w:val="86"/>
    <w:family w:val="auto"/>
    <w:pitch w:val="default"/>
    <w:sig w:usb0="00000000" w:usb1="00000000" w:usb2="00000000" w:usb3="00000000" w:csb0="00040000" w:csb1="00000000"/>
  </w:font>
  <w:font w:name="monospace">
    <w:altName w:val="Segoe Print"/>
    <w:panose1 w:val="00000000000000000000"/>
    <w:charset w:val="00"/>
    <w:family w:val="auto"/>
    <w:pitch w:val="default"/>
    <w:sig w:usb0="00000000" w:usb1="00000000" w:usb2="00000000" w:usb3="00000000" w:csb0="00040001" w:csb1="00000000"/>
  </w:font>
  <w:font w:name="Verdana">
    <w:panose1 w:val="020B0604030504040204"/>
    <w:charset w:val="00"/>
    <w:family w:val="swiss"/>
    <w:pitch w:val="default"/>
    <w:sig w:usb0="A1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时尚中黑简体">
    <w:altName w:val="黑体"/>
    <w:panose1 w:val="01010104010101010101"/>
    <w:charset w:val="86"/>
    <w:family w:val="auto"/>
    <w:pitch w:val="default"/>
    <w:sig w:usb0="00000000" w:usb1="00000000" w:usb2="00000012" w:usb3="00000000" w:csb0="00040001" w:csb1="00000000"/>
  </w:font>
  <w:font w:name="华文中宋">
    <w:altName w:val="宋体"/>
    <w:panose1 w:val="02010600040101010101"/>
    <w:charset w:val="86"/>
    <w:family w:val="auto"/>
    <w:pitch w:val="default"/>
    <w:sig w:usb0="00000000" w:usb1="00000000" w:usb2="00000000" w:usb3="00000000" w:csb0="0004009F" w:csb1="DFD70000"/>
  </w:font>
  <w:font w:name="Arial Narrow">
    <w:altName w:val="Arial"/>
    <w:panose1 w:val="020B0606020202030204"/>
    <w:charset w:val="00"/>
    <w:family w:val="swiss"/>
    <w:pitch w:val="default"/>
    <w:sig w:usb0="00000000" w:usb1="00000000" w:usb2="00000000" w:usb3="00000000" w:csb0="2000009F" w:csb1="DFD70000"/>
  </w:font>
  <w:font w:name="楷体_GB2312">
    <w:altName w:val="楷体"/>
    <w:panose1 w:val="00000000000000000000"/>
    <w:charset w:val="86"/>
    <w:family w:val="modern"/>
    <w:pitch w:val="default"/>
    <w:sig w:usb0="00000000" w:usb1="00000000" w:usb2="00000000" w:usb3="00000000" w:csb0="00040000" w:csb1="00000000"/>
  </w:font>
  <w:font w:name="华文细黑">
    <w:altName w:val="微软雅黑"/>
    <w:panose1 w:val="02010600040101010101"/>
    <w:charset w:val="86"/>
    <w:family w:val="auto"/>
    <w:pitch w:val="default"/>
    <w:sig w:usb0="00000000" w:usb1="00000000" w:usb2="00000000" w:usb3="00000000" w:csb0="0004009F" w:csb1="DFD70000"/>
  </w:font>
  <w:font w:name="Arial Unicode MS">
    <w:altName w:val="宋体"/>
    <w:panose1 w:val="020B0604020202020204"/>
    <w:charset w:val="86"/>
    <w:family w:val="swiss"/>
    <w:pitch w:val="default"/>
    <w:sig w:usb0="00000000" w:usb1="00000000" w:usb2="0000003F" w:usb3="00000000" w:csb0="003F01FF" w:csb1="00000000"/>
  </w:font>
  <w:font w:name="长城仿宋">
    <w:altName w:val="宋体"/>
    <w:panose1 w:val="00000000000000000000"/>
    <w:charset w:val="86"/>
    <w:family w:val="auto"/>
    <w:pitch w:val="default"/>
    <w:sig w:usb0="00000000" w:usb1="00000000" w:usb2="00000010" w:usb3="00000000" w:csb0="00040000" w:csb1="00000000"/>
  </w:font>
  <w:font w:name="Plotter">
    <w:altName w:val="Times New Roman"/>
    <w:panose1 w:val="00000000000000000000"/>
    <w:charset w:val="00"/>
    <w:family w:val="roman"/>
    <w:pitch w:val="default"/>
    <w:sig w:usb0="00000000" w:usb1="00000000" w:usb2="00000000" w:usb3="00000000" w:csb0="00000003" w:csb1="0012CEFC"/>
  </w:font>
  <w:font w:name="Microsoft YaHei UI">
    <w:altName w:val="宋体"/>
    <w:panose1 w:val="020B0503020204020204"/>
    <w:charset w:val="86"/>
    <w:family w:val="swiss"/>
    <w:pitch w:val="default"/>
    <w:sig w:usb0="00000000" w:usb1="00000000" w:usb2="00000016" w:usb3="00000000" w:csb0="0004001F" w:csb1="00000000"/>
  </w:font>
  <w:font w:name="Calibri Light">
    <w:panose1 w:val="020F0302020204030204"/>
    <w:charset w:val="00"/>
    <w:family w:val="swiss"/>
    <w:pitch w:val="default"/>
    <w:sig w:usb0="A00002EF" w:usb1="4000207B" w:usb2="00000000" w:usb3="00000000" w:csb0="2000019F" w:csb1="00000000"/>
  </w:font>
  <w:font w:name="Impact">
    <w:panose1 w:val="020B0806030902050204"/>
    <w:charset w:val="00"/>
    <w:family w:val="swiss"/>
    <w:pitch w:val="default"/>
    <w:sig w:usb0="00000287" w:usb1="00000000" w:usb2="00000000" w:usb3="00000000" w:csb0="2000009F" w:csb1="DFD70000"/>
  </w:font>
  <w:font w:name="Cambria Math">
    <w:panose1 w:val="02040503050406030204"/>
    <w:charset w:val="00"/>
    <w:family w:val="roman"/>
    <w:pitch w:val="default"/>
    <w:sig w:usb0="E00002FF" w:usb1="420024FF" w:usb2="00000000" w:usb3="00000000" w:csb0="2000019F" w:csb1="00000000"/>
  </w:font>
  <w:font w:name="MingLiU_HKSCS">
    <w:panose1 w:val="02020500000000000000"/>
    <w:charset w:val="88"/>
    <w:family w:val="roman"/>
    <w:pitch w:val="default"/>
    <w:sig w:usb0="A00002FF" w:usb1="38CFFCFA" w:usb2="00000016" w:usb3="00000000" w:csb0="00100001"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framePr w:wrap="around" w:vAnchor="text" w:hAnchor="margin" w:xAlign="center" w:y="1"/>
      <w:rPr>
        <w:rStyle w:val="62"/>
      </w:rPr>
    </w:pPr>
    <w:r>
      <w:fldChar w:fldCharType="begin"/>
    </w:r>
    <w:r>
      <w:rPr>
        <w:rStyle w:val="62"/>
      </w:rPr>
      <w:instrText xml:space="preserve">PAGE  </w:instrText>
    </w:r>
    <w:r>
      <w:fldChar w:fldCharType="separate"/>
    </w:r>
    <w:r>
      <w:rPr>
        <w:rStyle w:val="62"/>
      </w:rPr>
      <w:t>118</w:t>
    </w:r>
    <w:r>
      <w:fldChar w:fldCharType="end"/>
    </w:r>
  </w:p>
  <w:p>
    <w:pPr>
      <w:pStyle w:val="3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framePr w:wrap="around" w:vAnchor="text" w:hAnchor="margin" w:xAlign="center" w:y="1"/>
      <w:rPr>
        <w:rStyle w:val="62"/>
      </w:rPr>
    </w:pPr>
    <w:r>
      <w:fldChar w:fldCharType="begin"/>
    </w:r>
    <w:r>
      <w:rPr>
        <w:rStyle w:val="62"/>
      </w:rPr>
      <w:instrText xml:space="preserve">PAGE  </w:instrText>
    </w:r>
    <w:r>
      <w:fldChar w:fldCharType="end"/>
    </w:r>
  </w:p>
  <w:p>
    <w:pPr>
      <w:pStyle w:val="3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Bdr>
        <w:bottom w:val="none" w:color="auto" w:sz="0" w:space="1"/>
      </w:pBdr>
      <w:ind w:right="420"/>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1">
    <w:nsid w:val="58B62CEB"/>
    <w:multiLevelType w:val="singleLevel"/>
    <w:tmpl w:val="58B62CEB"/>
    <w:lvl w:ilvl="0" w:tentative="0">
      <w:start w:val="8"/>
      <w:numFmt w:val="decimal"/>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hideSpellingError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RjOTRhMDQ3MTI2NzE4YmQ5M2M0ZTY5ZDBmOGQyYjAifQ=="/>
  </w:docVars>
  <w:rsids>
    <w:rsidRoot w:val="52F72180"/>
    <w:rsid w:val="00003A41"/>
    <w:rsid w:val="000137E4"/>
    <w:rsid w:val="000304DE"/>
    <w:rsid w:val="00031285"/>
    <w:rsid w:val="0003519F"/>
    <w:rsid w:val="000361A4"/>
    <w:rsid w:val="00043AD6"/>
    <w:rsid w:val="00071A06"/>
    <w:rsid w:val="00074087"/>
    <w:rsid w:val="00080029"/>
    <w:rsid w:val="00085226"/>
    <w:rsid w:val="0008603F"/>
    <w:rsid w:val="000A2396"/>
    <w:rsid w:val="000A7A0B"/>
    <w:rsid w:val="000C379F"/>
    <w:rsid w:val="000D479E"/>
    <w:rsid w:val="000D651D"/>
    <w:rsid w:val="000E4F26"/>
    <w:rsid w:val="000E7CEF"/>
    <w:rsid w:val="00104010"/>
    <w:rsid w:val="00106D1F"/>
    <w:rsid w:val="001365EA"/>
    <w:rsid w:val="00180BD4"/>
    <w:rsid w:val="00197470"/>
    <w:rsid w:val="001A2003"/>
    <w:rsid w:val="001A23B9"/>
    <w:rsid w:val="001A5653"/>
    <w:rsid w:val="001B6EDD"/>
    <w:rsid w:val="001D5DB4"/>
    <w:rsid w:val="001E7D83"/>
    <w:rsid w:val="002068E1"/>
    <w:rsid w:val="00206D73"/>
    <w:rsid w:val="00223898"/>
    <w:rsid w:val="002655E4"/>
    <w:rsid w:val="002A17DC"/>
    <w:rsid w:val="002B4B9C"/>
    <w:rsid w:val="002C18B2"/>
    <w:rsid w:val="002C4EC2"/>
    <w:rsid w:val="002C51A8"/>
    <w:rsid w:val="002C7D8C"/>
    <w:rsid w:val="002D5DE4"/>
    <w:rsid w:val="002E24A5"/>
    <w:rsid w:val="002E29F9"/>
    <w:rsid w:val="002F3D3D"/>
    <w:rsid w:val="002F55A8"/>
    <w:rsid w:val="00307022"/>
    <w:rsid w:val="00311798"/>
    <w:rsid w:val="003303CE"/>
    <w:rsid w:val="00342720"/>
    <w:rsid w:val="00342FF4"/>
    <w:rsid w:val="00360D11"/>
    <w:rsid w:val="00391500"/>
    <w:rsid w:val="003A46CC"/>
    <w:rsid w:val="003B5E39"/>
    <w:rsid w:val="003B6976"/>
    <w:rsid w:val="003C48DD"/>
    <w:rsid w:val="003E67A4"/>
    <w:rsid w:val="003E7519"/>
    <w:rsid w:val="00402262"/>
    <w:rsid w:val="004266CE"/>
    <w:rsid w:val="004338C6"/>
    <w:rsid w:val="0043725C"/>
    <w:rsid w:val="00454A17"/>
    <w:rsid w:val="00471872"/>
    <w:rsid w:val="00492D9C"/>
    <w:rsid w:val="00494175"/>
    <w:rsid w:val="004B42CA"/>
    <w:rsid w:val="004B462F"/>
    <w:rsid w:val="004B604A"/>
    <w:rsid w:val="004D19F2"/>
    <w:rsid w:val="004E3348"/>
    <w:rsid w:val="004E3564"/>
    <w:rsid w:val="004F04CE"/>
    <w:rsid w:val="004F1608"/>
    <w:rsid w:val="00512874"/>
    <w:rsid w:val="005308F2"/>
    <w:rsid w:val="005374E7"/>
    <w:rsid w:val="00540B64"/>
    <w:rsid w:val="00543001"/>
    <w:rsid w:val="0055335B"/>
    <w:rsid w:val="005549B2"/>
    <w:rsid w:val="005935B4"/>
    <w:rsid w:val="00594E78"/>
    <w:rsid w:val="005A0C03"/>
    <w:rsid w:val="005C5464"/>
    <w:rsid w:val="005C7565"/>
    <w:rsid w:val="005D0A7C"/>
    <w:rsid w:val="005E183A"/>
    <w:rsid w:val="005E1ACF"/>
    <w:rsid w:val="005F06B7"/>
    <w:rsid w:val="005F6B01"/>
    <w:rsid w:val="0060255E"/>
    <w:rsid w:val="00622A99"/>
    <w:rsid w:val="00654635"/>
    <w:rsid w:val="00665D2A"/>
    <w:rsid w:val="00686F49"/>
    <w:rsid w:val="006C1D98"/>
    <w:rsid w:val="006C29FE"/>
    <w:rsid w:val="006D414B"/>
    <w:rsid w:val="006D70CD"/>
    <w:rsid w:val="006F293D"/>
    <w:rsid w:val="0074435D"/>
    <w:rsid w:val="00783B7D"/>
    <w:rsid w:val="00786406"/>
    <w:rsid w:val="00793D32"/>
    <w:rsid w:val="007A71AD"/>
    <w:rsid w:val="007B6B17"/>
    <w:rsid w:val="007C40BE"/>
    <w:rsid w:val="007C461F"/>
    <w:rsid w:val="007D4EFD"/>
    <w:rsid w:val="008008A3"/>
    <w:rsid w:val="0080420C"/>
    <w:rsid w:val="00807105"/>
    <w:rsid w:val="00817094"/>
    <w:rsid w:val="00821737"/>
    <w:rsid w:val="00863AF5"/>
    <w:rsid w:val="008841B5"/>
    <w:rsid w:val="00894F5B"/>
    <w:rsid w:val="008A2833"/>
    <w:rsid w:val="008B2150"/>
    <w:rsid w:val="008B223C"/>
    <w:rsid w:val="008B2EFF"/>
    <w:rsid w:val="008D1FA7"/>
    <w:rsid w:val="008D348A"/>
    <w:rsid w:val="008F010C"/>
    <w:rsid w:val="008F4644"/>
    <w:rsid w:val="00912F16"/>
    <w:rsid w:val="0091473A"/>
    <w:rsid w:val="00917D4A"/>
    <w:rsid w:val="0092441E"/>
    <w:rsid w:val="00952E2A"/>
    <w:rsid w:val="00966D2B"/>
    <w:rsid w:val="00970CF8"/>
    <w:rsid w:val="009721A4"/>
    <w:rsid w:val="00972FE0"/>
    <w:rsid w:val="00983613"/>
    <w:rsid w:val="00992907"/>
    <w:rsid w:val="009C45E7"/>
    <w:rsid w:val="009E66F2"/>
    <w:rsid w:val="009F5749"/>
    <w:rsid w:val="009F77FF"/>
    <w:rsid w:val="00A0532F"/>
    <w:rsid w:val="00A5579F"/>
    <w:rsid w:val="00A84D56"/>
    <w:rsid w:val="00A851CF"/>
    <w:rsid w:val="00A91C9D"/>
    <w:rsid w:val="00A93380"/>
    <w:rsid w:val="00A944F4"/>
    <w:rsid w:val="00AB50F3"/>
    <w:rsid w:val="00AB5BF7"/>
    <w:rsid w:val="00B22DF9"/>
    <w:rsid w:val="00B27B16"/>
    <w:rsid w:val="00B464E1"/>
    <w:rsid w:val="00B64FCC"/>
    <w:rsid w:val="00B66166"/>
    <w:rsid w:val="00B83814"/>
    <w:rsid w:val="00B95EA8"/>
    <w:rsid w:val="00B97C7C"/>
    <w:rsid w:val="00BD781C"/>
    <w:rsid w:val="00BD7D68"/>
    <w:rsid w:val="00BE0094"/>
    <w:rsid w:val="00BE71FE"/>
    <w:rsid w:val="00C02607"/>
    <w:rsid w:val="00C15D19"/>
    <w:rsid w:val="00C4341C"/>
    <w:rsid w:val="00C77CD4"/>
    <w:rsid w:val="00C93764"/>
    <w:rsid w:val="00CA0938"/>
    <w:rsid w:val="00CA1134"/>
    <w:rsid w:val="00CA4D38"/>
    <w:rsid w:val="00CF59F8"/>
    <w:rsid w:val="00D22DA4"/>
    <w:rsid w:val="00D53958"/>
    <w:rsid w:val="00D7432F"/>
    <w:rsid w:val="00D83849"/>
    <w:rsid w:val="00D85EAA"/>
    <w:rsid w:val="00DC28EF"/>
    <w:rsid w:val="00DC4E9D"/>
    <w:rsid w:val="00DD44C7"/>
    <w:rsid w:val="00DE6A1F"/>
    <w:rsid w:val="00E00D4D"/>
    <w:rsid w:val="00E107DE"/>
    <w:rsid w:val="00E34C68"/>
    <w:rsid w:val="00E53FA8"/>
    <w:rsid w:val="00E73988"/>
    <w:rsid w:val="00E769DA"/>
    <w:rsid w:val="00E82E12"/>
    <w:rsid w:val="00EA0DF4"/>
    <w:rsid w:val="00EB3912"/>
    <w:rsid w:val="00EC39F2"/>
    <w:rsid w:val="00F112C2"/>
    <w:rsid w:val="00F227FB"/>
    <w:rsid w:val="00F26BAE"/>
    <w:rsid w:val="00F52463"/>
    <w:rsid w:val="00F537A3"/>
    <w:rsid w:val="00F92DFB"/>
    <w:rsid w:val="00F96CCD"/>
    <w:rsid w:val="00FA7E59"/>
    <w:rsid w:val="00FB13C3"/>
    <w:rsid w:val="00FB356B"/>
    <w:rsid w:val="00FC251A"/>
    <w:rsid w:val="00FF0586"/>
    <w:rsid w:val="00FF2E5E"/>
    <w:rsid w:val="00FF43BC"/>
    <w:rsid w:val="016D7B84"/>
    <w:rsid w:val="02386E3D"/>
    <w:rsid w:val="04BB39E9"/>
    <w:rsid w:val="061554D8"/>
    <w:rsid w:val="064B152E"/>
    <w:rsid w:val="08384EBC"/>
    <w:rsid w:val="08BA15F2"/>
    <w:rsid w:val="09150091"/>
    <w:rsid w:val="0B392F2E"/>
    <w:rsid w:val="0C9B69E4"/>
    <w:rsid w:val="0C9E222B"/>
    <w:rsid w:val="109C3648"/>
    <w:rsid w:val="12420088"/>
    <w:rsid w:val="15FD4C86"/>
    <w:rsid w:val="1F25302C"/>
    <w:rsid w:val="1FEE719D"/>
    <w:rsid w:val="200A199D"/>
    <w:rsid w:val="20487479"/>
    <w:rsid w:val="215959B8"/>
    <w:rsid w:val="23863CED"/>
    <w:rsid w:val="2A0C4820"/>
    <w:rsid w:val="30A10943"/>
    <w:rsid w:val="31417964"/>
    <w:rsid w:val="31EE4CDB"/>
    <w:rsid w:val="356848A0"/>
    <w:rsid w:val="35BC36C1"/>
    <w:rsid w:val="38482980"/>
    <w:rsid w:val="3ABD24A5"/>
    <w:rsid w:val="3C6113C7"/>
    <w:rsid w:val="3D12155A"/>
    <w:rsid w:val="3D5B6C24"/>
    <w:rsid w:val="44412258"/>
    <w:rsid w:val="483E7756"/>
    <w:rsid w:val="4866783D"/>
    <w:rsid w:val="4A9B5DA6"/>
    <w:rsid w:val="4C837C16"/>
    <w:rsid w:val="5074071D"/>
    <w:rsid w:val="52256B63"/>
    <w:rsid w:val="52F72180"/>
    <w:rsid w:val="5395573C"/>
    <w:rsid w:val="55B92F6C"/>
    <w:rsid w:val="55EF3DB1"/>
    <w:rsid w:val="565344CE"/>
    <w:rsid w:val="57D87E0A"/>
    <w:rsid w:val="5D0E082B"/>
    <w:rsid w:val="60D82CE4"/>
    <w:rsid w:val="61CA2AE2"/>
    <w:rsid w:val="63564745"/>
    <w:rsid w:val="63ED5954"/>
    <w:rsid w:val="64877904"/>
    <w:rsid w:val="65505E78"/>
    <w:rsid w:val="68361C1E"/>
    <w:rsid w:val="68D4417F"/>
    <w:rsid w:val="6ACC7F74"/>
    <w:rsid w:val="6C495068"/>
    <w:rsid w:val="6DEB4431"/>
    <w:rsid w:val="739E701F"/>
    <w:rsid w:val="7AB73465"/>
    <w:rsid w:val="7BC76B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qFormat="1" w:unhideWhenUsed="0" w:uiPriority="0" w:semiHidden="0" w:name="index 4"/>
    <w:lsdException w:qFormat="1" w:unhideWhenUsed="0" w:uiPriority="0" w:semiHidden="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iPriority="99" w:semiHidden="0" w:name="footer"/>
    <w:lsdException w:uiPriority="0" w:name="index heading"/>
    <w:lsdException w:qFormat="1" w:unhideWhenUsed="0" w:uiPriority="0" w:semiHidden="0" w:name="caption"/>
    <w:lsdException w:qFormat="1" w:unhideWhenUsed="0" w:uiPriority="99" w:semiHidden="0" w:name="table of figures"/>
    <w:lsdException w:uiPriority="0" w:name="envelope address"/>
    <w:lsdException w:uiPriority="0" w:name="envelope return"/>
    <w:lsdException w:qFormat="1" w:unhideWhenUsed="0" w:uiPriority="99" w:semiHidden="0" w:name="footnote reference"/>
    <w:lsdException w:qFormat="1" w:unhideWhenUsed="0"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iPriority="0" w:name="macro"/>
    <w:lsdException w:qFormat="1" w:unhideWhenUsed="0" w:uiPriority="0" w:semiHidden="0" w:name="toa heading"/>
    <w:lsdException w:qFormat="1"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qFormat="1" w:unhideWhenUsed="0" w:uiPriority="0" w:semiHidden="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qFormat="1" w:unhideWhenUsed="0" w:uiPriority="99"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iPriority="99" w:semiHidden="0" w:name="Hyperlink"/>
    <w:lsdException w:qFormat="1" w:unhideWhenUsed="0" w:uiPriority="99"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0" w:semiHidden="0" w:name="Normal (Web)"/>
    <w:lsdException w:qFormat="1" w:unhideWhenUsed="0" w:uiPriority="0" w:semiHidden="0" w:name="HTML Acronym"/>
    <w:lsdException w:uiPriority="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link w:val="87"/>
    <w:qFormat/>
    <w:uiPriority w:val="0"/>
    <w:pPr>
      <w:keepNext/>
      <w:keepLines/>
      <w:spacing w:before="340" w:after="330" w:line="578" w:lineRule="auto"/>
      <w:outlineLvl w:val="0"/>
    </w:pPr>
    <w:rPr>
      <w:b/>
      <w:bCs/>
      <w:kern w:val="44"/>
      <w:sz w:val="44"/>
      <w:szCs w:val="44"/>
    </w:rPr>
  </w:style>
  <w:style w:type="paragraph" w:styleId="5">
    <w:name w:val="heading 2"/>
    <w:basedOn w:val="1"/>
    <w:next w:val="1"/>
    <w:link w:val="88"/>
    <w:qFormat/>
    <w:uiPriority w:val="9"/>
    <w:pPr>
      <w:keepNext/>
      <w:keepLines/>
      <w:spacing w:before="260" w:after="260" w:line="415" w:lineRule="auto"/>
      <w:outlineLvl w:val="1"/>
    </w:pPr>
    <w:rPr>
      <w:rFonts w:ascii="Arial" w:hAnsi="Arial" w:eastAsia="黑体"/>
      <w:b/>
      <w:bCs/>
      <w:sz w:val="32"/>
      <w:szCs w:val="32"/>
    </w:rPr>
  </w:style>
  <w:style w:type="paragraph" w:styleId="6">
    <w:name w:val="heading 3"/>
    <w:basedOn w:val="1"/>
    <w:next w:val="1"/>
    <w:link w:val="89"/>
    <w:qFormat/>
    <w:uiPriority w:val="0"/>
    <w:pPr>
      <w:keepNext/>
      <w:keepLines/>
      <w:spacing w:before="260" w:after="260" w:line="416" w:lineRule="auto"/>
      <w:outlineLvl w:val="2"/>
    </w:pPr>
    <w:rPr>
      <w:b/>
      <w:bCs/>
      <w:sz w:val="32"/>
      <w:szCs w:val="32"/>
    </w:rPr>
  </w:style>
  <w:style w:type="paragraph" w:styleId="7">
    <w:name w:val="heading 4"/>
    <w:basedOn w:val="1"/>
    <w:next w:val="1"/>
    <w:link w:val="90"/>
    <w:qFormat/>
    <w:uiPriority w:val="0"/>
    <w:pPr>
      <w:keepNext/>
      <w:keepLines/>
      <w:spacing w:before="280" w:after="290" w:line="374" w:lineRule="auto"/>
      <w:outlineLvl w:val="3"/>
    </w:pPr>
    <w:rPr>
      <w:rFonts w:ascii="Arial" w:hAnsi="Arial" w:eastAsia="黑体"/>
      <w:b/>
      <w:bCs/>
      <w:sz w:val="28"/>
      <w:szCs w:val="28"/>
    </w:rPr>
  </w:style>
  <w:style w:type="paragraph" w:styleId="8">
    <w:name w:val="heading 5"/>
    <w:basedOn w:val="1"/>
    <w:next w:val="1"/>
    <w:link w:val="82"/>
    <w:qFormat/>
    <w:uiPriority w:val="0"/>
    <w:pPr>
      <w:keepNext/>
      <w:keepLines/>
      <w:spacing w:before="280" w:after="290" w:line="376" w:lineRule="auto"/>
      <w:outlineLvl w:val="4"/>
    </w:pPr>
    <w:rPr>
      <w:b/>
      <w:bCs/>
      <w:sz w:val="28"/>
      <w:szCs w:val="28"/>
    </w:rPr>
  </w:style>
  <w:style w:type="paragraph" w:styleId="9">
    <w:name w:val="heading 6"/>
    <w:basedOn w:val="1"/>
    <w:next w:val="1"/>
    <w:link w:val="83"/>
    <w:qFormat/>
    <w:uiPriority w:val="0"/>
    <w:pPr>
      <w:keepNext/>
      <w:keepLines/>
      <w:spacing w:before="240" w:after="64" w:line="317" w:lineRule="auto"/>
      <w:outlineLvl w:val="5"/>
    </w:pPr>
    <w:rPr>
      <w:rFonts w:ascii="Cambria" w:hAnsi="Cambria"/>
      <w:b/>
      <w:bCs/>
      <w:sz w:val="24"/>
    </w:rPr>
  </w:style>
  <w:style w:type="paragraph" w:styleId="10">
    <w:name w:val="heading 7"/>
    <w:basedOn w:val="1"/>
    <w:next w:val="1"/>
    <w:link w:val="84"/>
    <w:qFormat/>
    <w:uiPriority w:val="0"/>
    <w:pPr>
      <w:keepNext/>
      <w:keepLines/>
      <w:spacing w:before="240" w:after="64" w:line="317" w:lineRule="auto"/>
      <w:outlineLvl w:val="6"/>
    </w:pPr>
    <w:rPr>
      <w:rFonts w:ascii="Calibri" w:hAnsi="Calibri"/>
      <w:b/>
      <w:bCs/>
      <w:sz w:val="24"/>
    </w:rPr>
  </w:style>
  <w:style w:type="paragraph" w:styleId="11">
    <w:name w:val="heading 8"/>
    <w:basedOn w:val="1"/>
    <w:next w:val="1"/>
    <w:link w:val="85"/>
    <w:qFormat/>
    <w:uiPriority w:val="0"/>
    <w:pPr>
      <w:keepNext/>
      <w:keepLines/>
      <w:spacing w:before="240" w:after="64" w:line="317" w:lineRule="auto"/>
      <w:outlineLvl w:val="7"/>
    </w:pPr>
    <w:rPr>
      <w:rFonts w:ascii="Cambria" w:hAnsi="Cambria"/>
      <w:sz w:val="24"/>
    </w:rPr>
  </w:style>
  <w:style w:type="paragraph" w:styleId="12">
    <w:name w:val="heading 9"/>
    <w:basedOn w:val="1"/>
    <w:next w:val="1"/>
    <w:link w:val="86"/>
    <w:qFormat/>
    <w:uiPriority w:val="0"/>
    <w:pPr>
      <w:keepNext/>
      <w:keepLines/>
      <w:spacing w:before="240" w:after="64" w:line="317" w:lineRule="auto"/>
      <w:outlineLvl w:val="8"/>
    </w:pPr>
    <w:rPr>
      <w:rFonts w:ascii="Cambria" w:hAnsi="Cambria"/>
      <w:szCs w:val="21"/>
    </w:rPr>
  </w:style>
  <w:style w:type="character" w:default="1" w:styleId="59">
    <w:name w:val="Default Paragraph Font"/>
    <w:semiHidden/>
    <w:unhideWhenUsed/>
    <w:qFormat/>
    <w:uiPriority w:val="1"/>
  </w:style>
  <w:style w:type="table" w:default="1" w:styleId="5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link w:val="113"/>
    <w:qFormat/>
    <w:uiPriority w:val="0"/>
    <w:pPr>
      <w:spacing w:line="360" w:lineRule="auto"/>
    </w:pPr>
    <w:rPr>
      <w:rFonts w:eastAsia="仿宋_GB2312" w:asciiTheme="minorHAnsi" w:hAnsiTheme="minorHAnsi" w:cstheme="minorBidi"/>
      <w:sz w:val="23"/>
    </w:rPr>
  </w:style>
  <w:style w:type="paragraph" w:customStyle="1" w:styleId="3">
    <w:name w:val="目录 82"/>
    <w:next w:val="1"/>
    <w:qFormat/>
    <w:uiPriority w:val="0"/>
    <w:pPr>
      <w:wordWrap w:val="0"/>
      <w:ind w:left="2975"/>
      <w:jc w:val="both"/>
    </w:pPr>
    <w:rPr>
      <w:rFonts w:ascii="宋体" w:hAnsi="宋体" w:eastAsia="宋体" w:cs="宋体"/>
      <w:sz w:val="21"/>
      <w:lang w:val="en-US" w:eastAsia="zh-CN" w:bidi="ar-SA"/>
    </w:rPr>
  </w:style>
  <w:style w:type="paragraph" w:styleId="13">
    <w:name w:val="toc 7"/>
    <w:basedOn w:val="1"/>
    <w:next w:val="1"/>
    <w:qFormat/>
    <w:uiPriority w:val="39"/>
    <w:pPr>
      <w:ind w:left="2520" w:leftChars="1200"/>
    </w:pPr>
    <w:rPr>
      <w:rFonts w:ascii="Calibri" w:hAnsi="Calibri"/>
      <w:szCs w:val="22"/>
    </w:rPr>
  </w:style>
  <w:style w:type="paragraph" w:styleId="14">
    <w:name w:val="List Number 2"/>
    <w:basedOn w:val="1"/>
    <w:qFormat/>
    <w:uiPriority w:val="0"/>
    <w:pPr>
      <w:widowControl/>
      <w:numPr>
        <w:ilvl w:val="0"/>
        <w:numId w:val="1"/>
      </w:numPr>
      <w:contextualSpacing/>
      <w:jc w:val="left"/>
    </w:pPr>
    <w:rPr>
      <w:rFonts w:ascii="宋体" w:hAnsi="宋体" w:cs="宋体"/>
      <w:kern w:val="0"/>
      <w:sz w:val="24"/>
    </w:rPr>
  </w:style>
  <w:style w:type="paragraph" w:styleId="15">
    <w:name w:val="Normal Indent"/>
    <w:basedOn w:val="1"/>
    <w:link w:val="91"/>
    <w:qFormat/>
    <w:uiPriority w:val="0"/>
    <w:pPr>
      <w:adjustRightInd w:val="0"/>
      <w:spacing w:line="360" w:lineRule="atLeast"/>
      <w:ind w:firstLine="482"/>
      <w:textAlignment w:val="baseline"/>
    </w:pPr>
    <w:rPr>
      <w:rFonts w:asciiTheme="minorHAnsi" w:hAnsiTheme="minorHAnsi" w:cstheme="minorBidi"/>
      <w:sz w:val="24"/>
    </w:rPr>
  </w:style>
  <w:style w:type="paragraph" w:styleId="16">
    <w:name w:val="caption"/>
    <w:basedOn w:val="1"/>
    <w:next w:val="1"/>
    <w:qFormat/>
    <w:uiPriority w:val="0"/>
    <w:rPr>
      <w:rFonts w:ascii="Cambria" w:hAnsi="Cambria" w:eastAsia="黑体"/>
      <w:sz w:val="20"/>
      <w:szCs w:val="20"/>
    </w:rPr>
  </w:style>
  <w:style w:type="paragraph" w:styleId="17">
    <w:name w:val="index 5"/>
    <w:basedOn w:val="1"/>
    <w:next w:val="1"/>
    <w:qFormat/>
    <w:uiPriority w:val="0"/>
    <w:pPr>
      <w:ind w:left="800" w:leftChars="800"/>
    </w:pPr>
    <w:rPr>
      <w:rFonts w:ascii="Calibri" w:hAnsi="Calibri"/>
    </w:rPr>
  </w:style>
  <w:style w:type="paragraph" w:styleId="18">
    <w:name w:val="Document Map"/>
    <w:basedOn w:val="1"/>
    <w:link w:val="92"/>
    <w:qFormat/>
    <w:uiPriority w:val="0"/>
    <w:pPr>
      <w:shd w:val="clear" w:color="auto" w:fill="000080"/>
    </w:pPr>
    <w:rPr>
      <w:shd w:val="clear" w:color="auto" w:fill="000080"/>
    </w:rPr>
  </w:style>
  <w:style w:type="paragraph" w:styleId="19">
    <w:name w:val="toa heading"/>
    <w:basedOn w:val="1"/>
    <w:next w:val="1"/>
    <w:qFormat/>
    <w:uiPriority w:val="0"/>
    <w:pPr>
      <w:adjustRightInd w:val="0"/>
      <w:spacing w:line="360" w:lineRule="atLeast"/>
      <w:jc w:val="center"/>
      <w:textAlignment w:val="baseline"/>
    </w:pPr>
    <w:rPr>
      <w:rFonts w:ascii="Arial" w:hAnsi="Arial" w:eastAsia="黑体"/>
      <w:kern w:val="0"/>
      <w:sz w:val="36"/>
      <w:szCs w:val="20"/>
    </w:rPr>
  </w:style>
  <w:style w:type="paragraph" w:styleId="20">
    <w:name w:val="annotation text"/>
    <w:basedOn w:val="1"/>
    <w:link w:val="93"/>
    <w:qFormat/>
    <w:uiPriority w:val="0"/>
    <w:pPr>
      <w:jc w:val="left"/>
    </w:pPr>
  </w:style>
  <w:style w:type="paragraph" w:styleId="21">
    <w:name w:val="Salutation"/>
    <w:basedOn w:val="1"/>
    <w:next w:val="1"/>
    <w:link w:val="94"/>
    <w:qFormat/>
    <w:uiPriority w:val="0"/>
    <w:pPr>
      <w:widowControl/>
    </w:pPr>
    <w:rPr>
      <w:rFonts w:hAnsi="宋体"/>
      <w:kern w:val="0"/>
      <w:sz w:val="30"/>
      <w:szCs w:val="20"/>
    </w:rPr>
  </w:style>
  <w:style w:type="paragraph" w:styleId="22">
    <w:name w:val="Body Text 3"/>
    <w:basedOn w:val="1"/>
    <w:next w:val="1"/>
    <w:link w:val="95"/>
    <w:qFormat/>
    <w:uiPriority w:val="0"/>
    <w:pPr>
      <w:spacing w:line="500" w:lineRule="exact"/>
    </w:pPr>
    <w:rPr>
      <w:rFonts w:hAnsi="宋体"/>
      <w:color w:val="000000"/>
      <w:kern w:val="0"/>
      <w:sz w:val="24"/>
      <w:szCs w:val="20"/>
    </w:rPr>
  </w:style>
  <w:style w:type="paragraph" w:styleId="23">
    <w:name w:val="Body Text Indent"/>
    <w:basedOn w:val="1"/>
    <w:link w:val="97"/>
    <w:qFormat/>
    <w:uiPriority w:val="0"/>
    <w:pPr>
      <w:spacing w:before="240" w:line="360" w:lineRule="auto"/>
      <w:ind w:firstLine="552" w:firstLineChars="263"/>
    </w:pPr>
    <w:rPr>
      <w:rFonts w:ascii="宋体" w:hAnsi="宋体"/>
      <w:szCs w:val="20"/>
    </w:rPr>
  </w:style>
  <w:style w:type="paragraph" w:styleId="24">
    <w:name w:val="Block Text"/>
    <w:basedOn w:val="1"/>
    <w:next w:val="1"/>
    <w:qFormat/>
    <w:uiPriority w:val="0"/>
    <w:pPr>
      <w:spacing w:line="360" w:lineRule="auto"/>
      <w:ind w:right="210" w:firstLine="560"/>
    </w:pPr>
    <w:rPr>
      <w:rFonts w:ascii="宋体" w:hAnsi="宋体" w:cs="宋体"/>
      <w:color w:val="000000"/>
      <w:kern w:val="0"/>
      <w:sz w:val="24"/>
      <w:szCs w:val="20"/>
    </w:rPr>
  </w:style>
  <w:style w:type="paragraph" w:styleId="25">
    <w:name w:val="index 4"/>
    <w:basedOn w:val="1"/>
    <w:next w:val="1"/>
    <w:qFormat/>
    <w:uiPriority w:val="0"/>
    <w:pPr>
      <w:ind w:left="600" w:leftChars="600"/>
    </w:pPr>
  </w:style>
  <w:style w:type="paragraph" w:styleId="26">
    <w:name w:val="toc 5"/>
    <w:basedOn w:val="1"/>
    <w:next w:val="1"/>
    <w:qFormat/>
    <w:uiPriority w:val="39"/>
    <w:pPr>
      <w:ind w:left="1680" w:leftChars="800"/>
    </w:pPr>
    <w:rPr>
      <w:rFonts w:ascii="Calibri" w:hAnsi="Calibri"/>
      <w:szCs w:val="22"/>
    </w:rPr>
  </w:style>
  <w:style w:type="paragraph" w:styleId="27">
    <w:name w:val="toc 3"/>
    <w:basedOn w:val="28"/>
    <w:next w:val="28"/>
    <w:qFormat/>
    <w:uiPriority w:val="39"/>
    <w:pPr>
      <w:ind w:left="840" w:leftChars="400"/>
    </w:pPr>
  </w:style>
  <w:style w:type="paragraph" w:customStyle="1" w:styleId="28">
    <w:name w:val="正文_0"/>
    <w:qFormat/>
    <w:uiPriority w:val="0"/>
    <w:pPr>
      <w:widowControl w:val="0"/>
      <w:jc w:val="both"/>
    </w:pPr>
    <w:rPr>
      <w:rFonts w:ascii="Calibri" w:hAnsi="Calibri" w:eastAsia="宋体" w:cs="Times New Roman"/>
      <w:kern w:val="2"/>
      <w:sz w:val="21"/>
      <w:szCs w:val="22"/>
      <w:lang w:val="en-US" w:eastAsia="zh-CN" w:bidi="ar-SA"/>
    </w:rPr>
  </w:style>
  <w:style w:type="paragraph" w:styleId="29">
    <w:name w:val="Plain Text"/>
    <w:basedOn w:val="1"/>
    <w:link w:val="98"/>
    <w:qFormat/>
    <w:uiPriority w:val="0"/>
    <w:rPr>
      <w:rFonts w:ascii="宋体" w:hAnsi="Courier New"/>
    </w:rPr>
  </w:style>
  <w:style w:type="paragraph" w:styleId="30">
    <w:name w:val="toc 8"/>
    <w:basedOn w:val="1"/>
    <w:next w:val="1"/>
    <w:qFormat/>
    <w:uiPriority w:val="39"/>
    <w:pPr>
      <w:ind w:left="2940" w:leftChars="1400"/>
    </w:pPr>
    <w:rPr>
      <w:rFonts w:ascii="Calibri" w:hAnsi="Calibri"/>
      <w:szCs w:val="22"/>
    </w:rPr>
  </w:style>
  <w:style w:type="paragraph" w:styleId="31">
    <w:name w:val="Date"/>
    <w:basedOn w:val="1"/>
    <w:next w:val="1"/>
    <w:link w:val="99"/>
    <w:qFormat/>
    <w:uiPriority w:val="0"/>
    <w:pPr>
      <w:ind w:left="100" w:leftChars="2500"/>
    </w:pPr>
    <w:rPr>
      <w:rFonts w:asciiTheme="minorHAnsi" w:hAnsiTheme="minorHAnsi" w:eastAsiaTheme="minorEastAsia" w:cstheme="minorBidi"/>
    </w:rPr>
  </w:style>
  <w:style w:type="paragraph" w:styleId="32">
    <w:name w:val="Body Text Indent 2"/>
    <w:basedOn w:val="1"/>
    <w:link w:val="100"/>
    <w:qFormat/>
    <w:uiPriority w:val="0"/>
    <w:pPr>
      <w:spacing w:after="120" w:line="480" w:lineRule="auto"/>
      <w:ind w:left="420" w:leftChars="200"/>
    </w:pPr>
  </w:style>
  <w:style w:type="paragraph" w:styleId="33">
    <w:name w:val="endnote text"/>
    <w:basedOn w:val="1"/>
    <w:link w:val="101"/>
    <w:qFormat/>
    <w:uiPriority w:val="0"/>
    <w:pPr>
      <w:snapToGrid w:val="0"/>
      <w:jc w:val="left"/>
    </w:pPr>
  </w:style>
  <w:style w:type="paragraph" w:styleId="34">
    <w:name w:val="Balloon Text"/>
    <w:basedOn w:val="1"/>
    <w:link w:val="102"/>
    <w:qFormat/>
    <w:uiPriority w:val="0"/>
    <w:rPr>
      <w:sz w:val="18"/>
      <w:szCs w:val="18"/>
    </w:rPr>
  </w:style>
  <w:style w:type="paragraph" w:styleId="35">
    <w:name w:val="footer"/>
    <w:basedOn w:val="1"/>
    <w:link w:val="104"/>
    <w:unhideWhenUsed/>
    <w:qFormat/>
    <w:uiPriority w:val="99"/>
    <w:pPr>
      <w:tabs>
        <w:tab w:val="center" w:pos="4153"/>
        <w:tab w:val="right" w:pos="8306"/>
      </w:tabs>
      <w:snapToGrid w:val="0"/>
      <w:jc w:val="left"/>
    </w:pPr>
    <w:rPr>
      <w:sz w:val="18"/>
      <w:szCs w:val="18"/>
    </w:rPr>
  </w:style>
  <w:style w:type="paragraph" w:styleId="36">
    <w:name w:val="header"/>
    <w:basedOn w:val="1"/>
    <w:link w:val="80"/>
    <w:qFormat/>
    <w:uiPriority w:val="0"/>
    <w:pPr>
      <w:pBdr>
        <w:bottom w:val="single" w:color="auto" w:sz="6" w:space="1"/>
      </w:pBdr>
      <w:tabs>
        <w:tab w:val="center" w:pos="4153"/>
        <w:tab w:val="right" w:pos="8306"/>
      </w:tabs>
      <w:snapToGrid w:val="0"/>
      <w:jc w:val="center"/>
    </w:pPr>
    <w:rPr>
      <w:sz w:val="18"/>
      <w:szCs w:val="18"/>
    </w:rPr>
  </w:style>
  <w:style w:type="paragraph" w:styleId="37">
    <w:name w:val="toc 1"/>
    <w:basedOn w:val="1"/>
    <w:next w:val="1"/>
    <w:qFormat/>
    <w:uiPriority w:val="39"/>
    <w:pPr>
      <w:spacing w:before="60" w:line="400" w:lineRule="exact"/>
    </w:pPr>
    <w:rPr>
      <w:rFonts w:eastAsia="黑体"/>
    </w:rPr>
  </w:style>
  <w:style w:type="paragraph" w:styleId="38">
    <w:name w:val="toc 4"/>
    <w:basedOn w:val="1"/>
    <w:next w:val="1"/>
    <w:qFormat/>
    <w:uiPriority w:val="39"/>
    <w:pPr>
      <w:ind w:left="1260" w:leftChars="600"/>
    </w:pPr>
    <w:rPr>
      <w:rFonts w:ascii="Calibri" w:hAnsi="Calibri"/>
      <w:szCs w:val="22"/>
    </w:rPr>
  </w:style>
  <w:style w:type="paragraph" w:styleId="39">
    <w:name w:val="Subtitle"/>
    <w:basedOn w:val="1"/>
    <w:next w:val="1"/>
    <w:link w:val="106"/>
    <w:qFormat/>
    <w:uiPriority w:val="0"/>
    <w:pPr>
      <w:spacing w:before="240" w:after="60" w:line="312" w:lineRule="auto"/>
      <w:jc w:val="center"/>
      <w:outlineLvl w:val="1"/>
    </w:pPr>
    <w:rPr>
      <w:rFonts w:ascii="Cambria" w:hAnsi="Cambria"/>
      <w:b/>
      <w:bCs/>
      <w:kern w:val="28"/>
      <w:sz w:val="32"/>
      <w:szCs w:val="32"/>
    </w:rPr>
  </w:style>
  <w:style w:type="paragraph" w:styleId="40">
    <w:name w:val="List"/>
    <w:basedOn w:val="1"/>
    <w:next w:val="1"/>
    <w:qFormat/>
    <w:uiPriority w:val="0"/>
    <w:pPr>
      <w:ind w:left="200" w:hanging="200"/>
    </w:pPr>
    <w:rPr>
      <w:rFonts w:hAnsi="宋体" w:cs="宋体"/>
      <w:kern w:val="0"/>
      <w:szCs w:val="20"/>
    </w:rPr>
  </w:style>
  <w:style w:type="paragraph" w:styleId="41">
    <w:name w:val="footnote text"/>
    <w:basedOn w:val="1"/>
    <w:next w:val="17"/>
    <w:link w:val="107"/>
    <w:qFormat/>
    <w:uiPriority w:val="0"/>
    <w:pPr>
      <w:adjustRightInd w:val="0"/>
      <w:spacing w:line="312" w:lineRule="atLeast"/>
      <w:jc w:val="left"/>
      <w:textAlignment w:val="baseline"/>
    </w:pPr>
    <w:rPr>
      <w:kern w:val="0"/>
      <w:sz w:val="18"/>
      <w:szCs w:val="20"/>
    </w:rPr>
  </w:style>
  <w:style w:type="paragraph" w:styleId="42">
    <w:name w:val="toc 6"/>
    <w:basedOn w:val="1"/>
    <w:next w:val="1"/>
    <w:qFormat/>
    <w:uiPriority w:val="39"/>
    <w:pPr>
      <w:ind w:left="2100" w:leftChars="1000"/>
    </w:pPr>
    <w:rPr>
      <w:rFonts w:ascii="Calibri" w:hAnsi="Calibri"/>
      <w:szCs w:val="22"/>
    </w:rPr>
  </w:style>
  <w:style w:type="paragraph" w:styleId="43">
    <w:name w:val="Body Text Indent 3"/>
    <w:basedOn w:val="1"/>
    <w:next w:val="19"/>
    <w:link w:val="108"/>
    <w:qFormat/>
    <w:uiPriority w:val="0"/>
    <w:pPr>
      <w:spacing w:after="120"/>
      <w:ind w:left="420"/>
    </w:pPr>
    <w:rPr>
      <w:rFonts w:hAnsi="宋体"/>
      <w:kern w:val="0"/>
      <w:sz w:val="16"/>
      <w:szCs w:val="20"/>
    </w:rPr>
  </w:style>
  <w:style w:type="paragraph" w:styleId="44">
    <w:name w:val="table of figures"/>
    <w:basedOn w:val="1"/>
    <w:next w:val="1"/>
    <w:qFormat/>
    <w:uiPriority w:val="99"/>
    <w:pPr>
      <w:ind w:left="200" w:leftChars="200" w:hanging="200" w:hangingChars="200"/>
    </w:pPr>
  </w:style>
  <w:style w:type="paragraph" w:styleId="45">
    <w:name w:val="toc 2"/>
    <w:basedOn w:val="1"/>
    <w:next w:val="1"/>
    <w:qFormat/>
    <w:uiPriority w:val="39"/>
    <w:pPr>
      <w:ind w:left="420" w:leftChars="200"/>
    </w:pPr>
    <w:rPr>
      <w:rFonts w:ascii="Calibri" w:hAnsi="Calibri"/>
      <w:szCs w:val="22"/>
    </w:rPr>
  </w:style>
  <w:style w:type="paragraph" w:styleId="46">
    <w:name w:val="toc 9"/>
    <w:basedOn w:val="1"/>
    <w:next w:val="1"/>
    <w:qFormat/>
    <w:uiPriority w:val="39"/>
    <w:pPr>
      <w:ind w:left="3360" w:leftChars="1600"/>
    </w:pPr>
    <w:rPr>
      <w:rFonts w:ascii="Calibri" w:hAnsi="Calibri"/>
      <w:szCs w:val="22"/>
    </w:rPr>
  </w:style>
  <w:style w:type="paragraph" w:styleId="47">
    <w:name w:val="Body Text 2"/>
    <w:basedOn w:val="1"/>
    <w:next w:val="48"/>
    <w:link w:val="109"/>
    <w:qFormat/>
    <w:uiPriority w:val="0"/>
    <w:pPr>
      <w:spacing w:line="320" w:lineRule="exact"/>
      <w:ind w:right="-108"/>
      <w:jc w:val="center"/>
    </w:pPr>
    <w:rPr>
      <w:rFonts w:hAnsi="宋体"/>
      <w:kern w:val="0"/>
      <w:sz w:val="24"/>
      <w:szCs w:val="20"/>
    </w:rPr>
  </w:style>
  <w:style w:type="paragraph" w:customStyle="1" w:styleId="48">
    <w:name w:val="目录 61"/>
    <w:basedOn w:val="1"/>
    <w:next w:val="1"/>
    <w:qFormat/>
    <w:uiPriority w:val="0"/>
    <w:pPr>
      <w:ind w:left="2100"/>
    </w:pPr>
    <w:rPr>
      <w:rFonts w:ascii="Calibri" w:hAnsi="宋体" w:cs="宋体"/>
      <w:kern w:val="0"/>
      <w:szCs w:val="20"/>
    </w:rPr>
  </w:style>
  <w:style w:type="paragraph" w:styleId="49">
    <w:name w:val="List Continue 2"/>
    <w:basedOn w:val="1"/>
    <w:qFormat/>
    <w:uiPriority w:val="99"/>
    <w:pPr>
      <w:spacing w:after="120"/>
      <w:ind w:left="840"/>
    </w:pPr>
  </w:style>
  <w:style w:type="paragraph" w:styleId="50">
    <w:name w:val="HTML Preformatted"/>
    <w:basedOn w:val="1"/>
    <w:next w:val="51"/>
    <w:link w:val="110"/>
    <w:qFormat/>
    <w:uiPriority w:val="0"/>
    <w:pPr>
      <w:widowControl/>
    </w:pPr>
    <w:rPr>
      <w:rFonts w:ascii="Arial" w:hAnsi="宋体"/>
      <w:kern w:val="0"/>
      <w:sz w:val="24"/>
      <w:szCs w:val="20"/>
    </w:rPr>
  </w:style>
  <w:style w:type="paragraph" w:customStyle="1" w:styleId="51">
    <w:name w:val="目录 91"/>
    <w:basedOn w:val="1"/>
    <w:next w:val="1"/>
    <w:qFormat/>
    <w:uiPriority w:val="0"/>
    <w:pPr>
      <w:ind w:left="3360"/>
    </w:pPr>
    <w:rPr>
      <w:rFonts w:ascii="Calibri" w:hAnsi="宋体" w:cs="宋体"/>
      <w:kern w:val="0"/>
      <w:szCs w:val="20"/>
    </w:rPr>
  </w:style>
  <w:style w:type="paragraph" w:styleId="52">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53">
    <w:name w:val="Title"/>
    <w:basedOn w:val="1"/>
    <w:next w:val="1"/>
    <w:link w:val="111"/>
    <w:qFormat/>
    <w:uiPriority w:val="0"/>
    <w:pPr>
      <w:spacing w:before="240" w:after="60"/>
      <w:jc w:val="center"/>
      <w:outlineLvl w:val="0"/>
    </w:pPr>
    <w:rPr>
      <w:rFonts w:ascii="Cambria" w:hAnsi="Cambria"/>
      <w:b/>
      <w:bCs/>
      <w:sz w:val="32"/>
      <w:szCs w:val="32"/>
    </w:rPr>
  </w:style>
  <w:style w:type="paragraph" w:styleId="54">
    <w:name w:val="annotation subject"/>
    <w:basedOn w:val="20"/>
    <w:next w:val="20"/>
    <w:link w:val="112"/>
    <w:qFormat/>
    <w:uiPriority w:val="0"/>
    <w:rPr>
      <w:b/>
      <w:bCs/>
    </w:rPr>
  </w:style>
  <w:style w:type="paragraph" w:styleId="55">
    <w:name w:val="Body Text First Indent"/>
    <w:next w:val="1"/>
    <w:link w:val="114"/>
    <w:qFormat/>
    <w:uiPriority w:val="0"/>
    <w:pPr>
      <w:widowControl w:val="0"/>
      <w:spacing w:after="120"/>
      <w:ind w:firstLine="420"/>
      <w:jc w:val="both"/>
    </w:pPr>
    <w:rPr>
      <w:rFonts w:ascii="Times New Roman" w:hAnsi="宋体" w:eastAsia="宋体" w:cs="宋体"/>
      <w:sz w:val="21"/>
      <w:lang w:val="en-US" w:eastAsia="zh-CN" w:bidi="ar-SA"/>
    </w:rPr>
  </w:style>
  <w:style w:type="paragraph" w:styleId="56">
    <w:name w:val="Body Text First Indent 2"/>
    <w:basedOn w:val="23"/>
    <w:link w:val="481"/>
    <w:unhideWhenUsed/>
    <w:qFormat/>
    <w:uiPriority w:val="99"/>
    <w:pPr>
      <w:spacing w:before="0" w:after="120" w:line="240" w:lineRule="auto"/>
      <w:ind w:left="420" w:leftChars="200" w:firstLine="420" w:firstLineChars="200"/>
    </w:pPr>
    <w:rPr>
      <w:rFonts w:eastAsia="仿宋_GB2312"/>
      <w:szCs w:val="24"/>
    </w:rPr>
  </w:style>
  <w:style w:type="table" w:styleId="58">
    <w:name w:val="Table Grid"/>
    <w:basedOn w:val="5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0">
    <w:name w:val="Strong"/>
    <w:qFormat/>
    <w:uiPriority w:val="0"/>
    <w:rPr>
      <w:b/>
      <w:bCs/>
    </w:rPr>
  </w:style>
  <w:style w:type="character" w:styleId="61">
    <w:name w:val="endnote reference"/>
    <w:qFormat/>
    <w:uiPriority w:val="0"/>
    <w:rPr>
      <w:vertAlign w:val="superscript"/>
    </w:rPr>
  </w:style>
  <w:style w:type="character" w:styleId="62">
    <w:name w:val="page number"/>
    <w:basedOn w:val="59"/>
    <w:qFormat/>
    <w:uiPriority w:val="0"/>
  </w:style>
  <w:style w:type="character" w:styleId="63">
    <w:name w:val="FollowedHyperlink"/>
    <w:qFormat/>
    <w:uiPriority w:val="99"/>
    <w:rPr>
      <w:color w:val="DD8905"/>
      <w:u w:val="none"/>
    </w:rPr>
  </w:style>
  <w:style w:type="character" w:styleId="64">
    <w:name w:val="Emphasis"/>
    <w:qFormat/>
    <w:uiPriority w:val="0"/>
    <w:rPr>
      <w:i/>
      <w:iCs/>
    </w:rPr>
  </w:style>
  <w:style w:type="character" w:styleId="65">
    <w:name w:val="HTML Definition"/>
    <w:qFormat/>
    <w:uiPriority w:val="0"/>
  </w:style>
  <w:style w:type="character" w:styleId="66">
    <w:name w:val="HTML Typewriter"/>
    <w:qFormat/>
    <w:uiPriority w:val="0"/>
    <w:rPr>
      <w:rFonts w:ascii="monospace" w:hAnsi="monospace" w:eastAsia="monospace" w:cs="monospace"/>
      <w:sz w:val="20"/>
    </w:rPr>
  </w:style>
  <w:style w:type="character" w:styleId="67">
    <w:name w:val="HTML Acronym"/>
    <w:basedOn w:val="59"/>
    <w:qFormat/>
    <w:uiPriority w:val="0"/>
  </w:style>
  <w:style w:type="character" w:styleId="68">
    <w:name w:val="HTML Variable"/>
    <w:qFormat/>
    <w:uiPriority w:val="0"/>
  </w:style>
  <w:style w:type="character" w:styleId="69">
    <w:name w:val="Hyperlink"/>
    <w:unhideWhenUsed/>
    <w:qFormat/>
    <w:uiPriority w:val="99"/>
    <w:rPr>
      <w:color w:val="0000FF"/>
      <w:u w:val="single"/>
    </w:rPr>
  </w:style>
  <w:style w:type="character" w:styleId="70">
    <w:name w:val="HTML Code"/>
    <w:qFormat/>
    <w:uiPriority w:val="0"/>
    <w:rPr>
      <w:rFonts w:hint="default" w:ascii="monospace" w:hAnsi="monospace" w:eastAsia="monospace" w:cs="monospace"/>
      <w:sz w:val="20"/>
    </w:rPr>
  </w:style>
  <w:style w:type="character" w:styleId="71">
    <w:name w:val="annotation reference"/>
    <w:qFormat/>
    <w:uiPriority w:val="0"/>
    <w:rPr>
      <w:sz w:val="21"/>
      <w:szCs w:val="21"/>
    </w:rPr>
  </w:style>
  <w:style w:type="character" w:styleId="72">
    <w:name w:val="HTML Cite"/>
    <w:qFormat/>
    <w:uiPriority w:val="0"/>
  </w:style>
  <w:style w:type="character" w:styleId="73">
    <w:name w:val="footnote reference"/>
    <w:qFormat/>
    <w:uiPriority w:val="99"/>
    <w:rPr>
      <w:rFonts w:cs="Times New Roman"/>
      <w:vertAlign w:val="superscript"/>
    </w:rPr>
  </w:style>
  <w:style w:type="character" w:styleId="74">
    <w:name w:val="HTML Keyboard"/>
    <w:qFormat/>
    <w:uiPriority w:val="0"/>
    <w:rPr>
      <w:rFonts w:hint="default" w:ascii="monospace" w:hAnsi="monospace" w:eastAsia="monospace" w:cs="monospace"/>
      <w:sz w:val="20"/>
    </w:rPr>
  </w:style>
  <w:style w:type="character" w:styleId="75">
    <w:name w:val="HTML Sample"/>
    <w:qFormat/>
    <w:uiPriority w:val="0"/>
    <w:rPr>
      <w:rFonts w:hint="default" w:ascii="monospace" w:hAnsi="monospace" w:eastAsia="monospace" w:cs="monospace"/>
    </w:rPr>
  </w:style>
  <w:style w:type="paragraph" w:customStyle="1" w:styleId="76">
    <w:name w:val="flType"/>
    <w:basedOn w:val="1"/>
    <w:qFormat/>
    <w:uiPriority w:val="0"/>
    <w:pPr>
      <w:adjustRightInd w:val="0"/>
      <w:spacing w:after="284" w:line="113" w:lineRule="atLeast"/>
      <w:jc w:val="center"/>
    </w:pPr>
    <w:rPr>
      <w:kern w:val="0"/>
      <w:sz w:val="24"/>
      <w:szCs w:val="20"/>
    </w:rPr>
  </w:style>
  <w:style w:type="paragraph" w:customStyle="1" w:styleId="77">
    <w:name w:val="Heading 71"/>
    <w:basedOn w:val="1"/>
    <w:qFormat/>
    <w:uiPriority w:val="0"/>
    <w:pPr>
      <w:jc w:val="left"/>
      <w:outlineLvl w:val="7"/>
    </w:pPr>
    <w:rPr>
      <w:rFonts w:ascii="宋体" w:hAnsi="宋体" w:cs="宋体"/>
      <w:kern w:val="0"/>
      <w:sz w:val="28"/>
      <w:szCs w:val="28"/>
      <w:lang w:eastAsia="en-US"/>
    </w:rPr>
  </w:style>
  <w:style w:type="paragraph" w:customStyle="1" w:styleId="78">
    <w:name w:val="Table Paragraph"/>
    <w:basedOn w:val="1"/>
    <w:qFormat/>
    <w:uiPriority w:val="0"/>
    <w:pPr>
      <w:jc w:val="left"/>
    </w:pPr>
    <w:rPr>
      <w:rFonts w:ascii="Calibri" w:hAnsi="Calibri" w:cs="Calibri"/>
      <w:kern w:val="0"/>
      <w:sz w:val="22"/>
      <w:szCs w:val="22"/>
      <w:lang w:eastAsia="en-US"/>
    </w:rPr>
  </w:style>
  <w:style w:type="paragraph" w:customStyle="1" w:styleId="79">
    <w:name w:val="Heading 41"/>
    <w:basedOn w:val="1"/>
    <w:qFormat/>
    <w:uiPriority w:val="0"/>
    <w:pPr>
      <w:jc w:val="left"/>
      <w:outlineLvl w:val="4"/>
    </w:pPr>
    <w:rPr>
      <w:rFonts w:ascii="宋体" w:hAnsi="宋体" w:cs="宋体"/>
      <w:kern w:val="0"/>
      <w:sz w:val="32"/>
      <w:szCs w:val="32"/>
      <w:lang w:eastAsia="en-US"/>
    </w:rPr>
  </w:style>
  <w:style w:type="character" w:customStyle="1" w:styleId="80">
    <w:name w:val="页眉 字符"/>
    <w:basedOn w:val="59"/>
    <w:link w:val="36"/>
    <w:qFormat/>
    <w:uiPriority w:val="0"/>
    <w:rPr>
      <w:kern w:val="2"/>
      <w:sz w:val="18"/>
      <w:szCs w:val="18"/>
    </w:rPr>
  </w:style>
  <w:style w:type="character" w:customStyle="1" w:styleId="81">
    <w:name w:val="未处理的提及1"/>
    <w:basedOn w:val="59"/>
    <w:unhideWhenUsed/>
    <w:qFormat/>
    <w:uiPriority w:val="99"/>
    <w:rPr>
      <w:color w:val="605E5C"/>
      <w:shd w:val="clear" w:color="auto" w:fill="E1DFDD"/>
    </w:rPr>
  </w:style>
  <w:style w:type="character" w:customStyle="1" w:styleId="82">
    <w:name w:val="标题 5 字符"/>
    <w:basedOn w:val="59"/>
    <w:link w:val="8"/>
    <w:qFormat/>
    <w:uiPriority w:val="0"/>
    <w:rPr>
      <w:b/>
      <w:bCs/>
      <w:kern w:val="2"/>
      <w:sz w:val="28"/>
      <w:szCs w:val="28"/>
    </w:rPr>
  </w:style>
  <w:style w:type="character" w:customStyle="1" w:styleId="83">
    <w:name w:val="标题 6 字符"/>
    <w:basedOn w:val="59"/>
    <w:link w:val="9"/>
    <w:qFormat/>
    <w:uiPriority w:val="0"/>
    <w:rPr>
      <w:rFonts w:ascii="Cambria" w:hAnsi="Cambria"/>
      <w:b/>
      <w:bCs/>
      <w:kern w:val="2"/>
      <w:sz w:val="24"/>
      <w:szCs w:val="24"/>
    </w:rPr>
  </w:style>
  <w:style w:type="character" w:customStyle="1" w:styleId="84">
    <w:name w:val="标题 7 字符"/>
    <w:basedOn w:val="59"/>
    <w:link w:val="10"/>
    <w:qFormat/>
    <w:uiPriority w:val="0"/>
    <w:rPr>
      <w:rFonts w:ascii="Calibri" w:hAnsi="Calibri"/>
      <w:b/>
      <w:bCs/>
      <w:kern w:val="2"/>
      <w:sz w:val="24"/>
      <w:szCs w:val="24"/>
    </w:rPr>
  </w:style>
  <w:style w:type="character" w:customStyle="1" w:styleId="85">
    <w:name w:val="标题 8 字符"/>
    <w:basedOn w:val="59"/>
    <w:link w:val="11"/>
    <w:qFormat/>
    <w:uiPriority w:val="0"/>
    <w:rPr>
      <w:rFonts w:ascii="Cambria" w:hAnsi="Cambria"/>
      <w:kern w:val="2"/>
      <w:sz w:val="24"/>
      <w:szCs w:val="24"/>
    </w:rPr>
  </w:style>
  <w:style w:type="character" w:customStyle="1" w:styleId="86">
    <w:name w:val="标题 9 字符"/>
    <w:basedOn w:val="59"/>
    <w:link w:val="12"/>
    <w:qFormat/>
    <w:uiPriority w:val="0"/>
    <w:rPr>
      <w:rFonts w:ascii="Cambria" w:hAnsi="Cambria"/>
      <w:kern w:val="2"/>
      <w:sz w:val="21"/>
      <w:szCs w:val="21"/>
    </w:rPr>
  </w:style>
  <w:style w:type="character" w:customStyle="1" w:styleId="87">
    <w:name w:val="标题 1 字符"/>
    <w:basedOn w:val="59"/>
    <w:link w:val="4"/>
    <w:qFormat/>
    <w:uiPriority w:val="0"/>
    <w:rPr>
      <w:b/>
      <w:bCs/>
      <w:kern w:val="44"/>
      <w:sz w:val="44"/>
      <w:szCs w:val="44"/>
    </w:rPr>
  </w:style>
  <w:style w:type="character" w:customStyle="1" w:styleId="88">
    <w:name w:val="标题 2 字符"/>
    <w:basedOn w:val="59"/>
    <w:link w:val="5"/>
    <w:qFormat/>
    <w:uiPriority w:val="9"/>
    <w:rPr>
      <w:rFonts w:ascii="Arial" w:hAnsi="Arial" w:eastAsia="黑体"/>
      <w:b/>
      <w:bCs/>
      <w:kern w:val="2"/>
      <w:sz w:val="32"/>
      <w:szCs w:val="32"/>
    </w:rPr>
  </w:style>
  <w:style w:type="character" w:customStyle="1" w:styleId="89">
    <w:name w:val="标题 3 字符"/>
    <w:basedOn w:val="59"/>
    <w:link w:val="6"/>
    <w:qFormat/>
    <w:uiPriority w:val="0"/>
    <w:rPr>
      <w:b/>
      <w:bCs/>
      <w:kern w:val="2"/>
      <w:sz w:val="32"/>
      <w:szCs w:val="32"/>
    </w:rPr>
  </w:style>
  <w:style w:type="character" w:customStyle="1" w:styleId="90">
    <w:name w:val="标题 4 字符"/>
    <w:basedOn w:val="59"/>
    <w:link w:val="7"/>
    <w:qFormat/>
    <w:uiPriority w:val="0"/>
    <w:rPr>
      <w:rFonts w:ascii="Arial" w:hAnsi="Arial" w:eastAsia="黑体"/>
      <w:b/>
      <w:bCs/>
      <w:kern w:val="2"/>
      <w:sz w:val="28"/>
      <w:szCs w:val="28"/>
    </w:rPr>
  </w:style>
  <w:style w:type="character" w:customStyle="1" w:styleId="91">
    <w:name w:val="正文缩进 字符"/>
    <w:link w:val="15"/>
    <w:qFormat/>
    <w:uiPriority w:val="0"/>
    <w:rPr>
      <w:rFonts w:asciiTheme="minorHAnsi" w:hAnsiTheme="minorHAnsi" w:cstheme="minorBidi"/>
      <w:kern w:val="2"/>
      <w:sz w:val="24"/>
      <w:szCs w:val="24"/>
    </w:rPr>
  </w:style>
  <w:style w:type="character" w:customStyle="1" w:styleId="92">
    <w:name w:val="文档结构图 字符"/>
    <w:basedOn w:val="59"/>
    <w:link w:val="18"/>
    <w:qFormat/>
    <w:uiPriority w:val="0"/>
    <w:rPr>
      <w:kern w:val="2"/>
      <w:sz w:val="21"/>
      <w:szCs w:val="24"/>
      <w:shd w:val="clear" w:color="auto" w:fill="000080"/>
    </w:rPr>
  </w:style>
  <w:style w:type="character" w:customStyle="1" w:styleId="93">
    <w:name w:val="批注文字 字符"/>
    <w:basedOn w:val="59"/>
    <w:link w:val="20"/>
    <w:qFormat/>
    <w:uiPriority w:val="0"/>
    <w:rPr>
      <w:kern w:val="2"/>
      <w:sz w:val="21"/>
      <w:szCs w:val="24"/>
    </w:rPr>
  </w:style>
  <w:style w:type="character" w:customStyle="1" w:styleId="94">
    <w:name w:val="称呼 字符"/>
    <w:basedOn w:val="59"/>
    <w:link w:val="21"/>
    <w:qFormat/>
    <w:uiPriority w:val="0"/>
    <w:rPr>
      <w:rFonts w:hAnsi="宋体"/>
      <w:sz w:val="30"/>
    </w:rPr>
  </w:style>
  <w:style w:type="character" w:customStyle="1" w:styleId="95">
    <w:name w:val="正文文本 3 字符"/>
    <w:basedOn w:val="59"/>
    <w:link w:val="22"/>
    <w:qFormat/>
    <w:uiPriority w:val="0"/>
    <w:rPr>
      <w:rFonts w:hAnsi="宋体"/>
      <w:color w:val="000000"/>
      <w:sz w:val="24"/>
    </w:rPr>
  </w:style>
  <w:style w:type="character" w:customStyle="1" w:styleId="96">
    <w:name w:val="正文文本 字符"/>
    <w:basedOn w:val="59"/>
    <w:qFormat/>
    <w:uiPriority w:val="0"/>
    <w:rPr>
      <w:kern w:val="2"/>
      <w:sz w:val="21"/>
      <w:szCs w:val="22"/>
    </w:rPr>
  </w:style>
  <w:style w:type="character" w:customStyle="1" w:styleId="97">
    <w:name w:val="正文文本缩进 字符"/>
    <w:basedOn w:val="59"/>
    <w:link w:val="23"/>
    <w:qFormat/>
    <w:uiPriority w:val="0"/>
    <w:rPr>
      <w:rFonts w:ascii="宋体" w:hAnsi="宋体"/>
      <w:kern w:val="2"/>
      <w:sz w:val="21"/>
    </w:rPr>
  </w:style>
  <w:style w:type="character" w:customStyle="1" w:styleId="98">
    <w:name w:val="纯文本 字符"/>
    <w:basedOn w:val="59"/>
    <w:link w:val="29"/>
    <w:qFormat/>
    <w:uiPriority w:val="0"/>
    <w:rPr>
      <w:rFonts w:ascii="宋体" w:hAnsi="Courier New"/>
      <w:kern w:val="2"/>
      <w:sz w:val="21"/>
      <w:szCs w:val="24"/>
    </w:rPr>
  </w:style>
  <w:style w:type="character" w:customStyle="1" w:styleId="99">
    <w:name w:val="日期 字符"/>
    <w:basedOn w:val="59"/>
    <w:link w:val="31"/>
    <w:qFormat/>
    <w:uiPriority w:val="0"/>
    <w:rPr>
      <w:rFonts w:asciiTheme="minorHAnsi" w:hAnsiTheme="minorHAnsi" w:eastAsiaTheme="minorEastAsia" w:cstheme="minorBidi"/>
      <w:kern w:val="2"/>
      <w:sz w:val="21"/>
      <w:szCs w:val="24"/>
    </w:rPr>
  </w:style>
  <w:style w:type="character" w:customStyle="1" w:styleId="100">
    <w:name w:val="正文文本缩进 2 字符"/>
    <w:basedOn w:val="59"/>
    <w:link w:val="32"/>
    <w:qFormat/>
    <w:uiPriority w:val="0"/>
    <w:rPr>
      <w:kern w:val="2"/>
      <w:sz w:val="21"/>
      <w:szCs w:val="24"/>
    </w:rPr>
  </w:style>
  <w:style w:type="character" w:customStyle="1" w:styleId="101">
    <w:name w:val="尾注文本 字符"/>
    <w:basedOn w:val="59"/>
    <w:link w:val="33"/>
    <w:qFormat/>
    <w:uiPriority w:val="0"/>
    <w:rPr>
      <w:kern w:val="2"/>
      <w:sz w:val="21"/>
      <w:szCs w:val="24"/>
    </w:rPr>
  </w:style>
  <w:style w:type="character" w:customStyle="1" w:styleId="102">
    <w:name w:val="批注框文本 字符"/>
    <w:basedOn w:val="59"/>
    <w:link w:val="34"/>
    <w:qFormat/>
    <w:uiPriority w:val="0"/>
    <w:rPr>
      <w:kern w:val="2"/>
      <w:sz w:val="18"/>
      <w:szCs w:val="18"/>
    </w:rPr>
  </w:style>
  <w:style w:type="character" w:customStyle="1" w:styleId="103">
    <w:name w:val="页脚 字符"/>
    <w:basedOn w:val="59"/>
    <w:qFormat/>
    <w:uiPriority w:val="99"/>
    <w:rPr>
      <w:kern w:val="2"/>
      <w:sz w:val="18"/>
      <w:szCs w:val="18"/>
    </w:rPr>
  </w:style>
  <w:style w:type="character" w:customStyle="1" w:styleId="104">
    <w:name w:val="页脚 字符1"/>
    <w:link w:val="35"/>
    <w:qFormat/>
    <w:uiPriority w:val="0"/>
    <w:rPr>
      <w:kern w:val="2"/>
      <w:sz w:val="18"/>
      <w:szCs w:val="18"/>
    </w:rPr>
  </w:style>
  <w:style w:type="character" w:customStyle="1" w:styleId="105">
    <w:name w:val="页眉 字符1"/>
    <w:qFormat/>
    <w:uiPriority w:val="0"/>
    <w:rPr>
      <w:kern w:val="2"/>
      <w:sz w:val="18"/>
      <w:szCs w:val="18"/>
    </w:rPr>
  </w:style>
  <w:style w:type="character" w:customStyle="1" w:styleId="106">
    <w:name w:val="副标题 字符"/>
    <w:basedOn w:val="59"/>
    <w:link w:val="39"/>
    <w:qFormat/>
    <w:uiPriority w:val="0"/>
    <w:rPr>
      <w:rFonts w:ascii="Cambria" w:hAnsi="Cambria"/>
      <w:b/>
      <w:bCs/>
      <w:kern w:val="28"/>
      <w:sz w:val="32"/>
      <w:szCs w:val="32"/>
    </w:rPr>
  </w:style>
  <w:style w:type="character" w:customStyle="1" w:styleId="107">
    <w:name w:val="脚注文本 字符"/>
    <w:basedOn w:val="59"/>
    <w:link w:val="41"/>
    <w:qFormat/>
    <w:uiPriority w:val="0"/>
    <w:rPr>
      <w:sz w:val="18"/>
    </w:rPr>
  </w:style>
  <w:style w:type="character" w:customStyle="1" w:styleId="108">
    <w:name w:val="正文文本缩进 3 字符"/>
    <w:basedOn w:val="59"/>
    <w:link w:val="43"/>
    <w:qFormat/>
    <w:uiPriority w:val="0"/>
    <w:rPr>
      <w:rFonts w:hAnsi="宋体"/>
      <w:sz w:val="16"/>
    </w:rPr>
  </w:style>
  <w:style w:type="character" w:customStyle="1" w:styleId="109">
    <w:name w:val="正文文本 2 字符"/>
    <w:basedOn w:val="59"/>
    <w:link w:val="47"/>
    <w:qFormat/>
    <w:uiPriority w:val="0"/>
    <w:rPr>
      <w:rFonts w:hAnsi="宋体"/>
      <w:sz w:val="24"/>
    </w:rPr>
  </w:style>
  <w:style w:type="character" w:customStyle="1" w:styleId="110">
    <w:name w:val="HTML 预设格式 字符"/>
    <w:basedOn w:val="59"/>
    <w:link w:val="50"/>
    <w:qFormat/>
    <w:uiPriority w:val="0"/>
    <w:rPr>
      <w:rFonts w:ascii="Arial" w:hAnsi="宋体"/>
      <w:sz w:val="24"/>
    </w:rPr>
  </w:style>
  <w:style w:type="character" w:customStyle="1" w:styleId="111">
    <w:name w:val="标题 字符"/>
    <w:basedOn w:val="59"/>
    <w:link w:val="53"/>
    <w:qFormat/>
    <w:uiPriority w:val="0"/>
    <w:rPr>
      <w:rFonts w:ascii="Cambria" w:hAnsi="Cambria"/>
      <w:b/>
      <w:bCs/>
      <w:kern w:val="2"/>
      <w:sz w:val="32"/>
      <w:szCs w:val="32"/>
    </w:rPr>
  </w:style>
  <w:style w:type="character" w:customStyle="1" w:styleId="112">
    <w:name w:val="批注主题 字符"/>
    <w:basedOn w:val="93"/>
    <w:link w:val="54"/>
    <w:qFormat/>
    <w:uiPriority w:val="0"/>
    <w:rPr>
      <w:b/>
      <w:bCs/>
      <w:kern w:val="2"/>
      <w:sz w:val="21"/>
      <w:szCs w:val="24"/>
    </w:rPr>
  </w:style>
  <w:style w:type="character" w:customStyle="1" w:styleId="113">
    <w:name w:val="正文文本 字符1"/>
    <w:basedOn w:val="59"/>
    <w:link w:val="2"/>
    <w:qFormat/>
    <w:uiPriority w:val="0"/>
    <w:rPr>
      <w:rFonts w:eastAsia="仿宋_GB2312" w:asciiTheme="minorHAnsi" w:hAnsiTheme="minorHAnsi" w:cstheme="minorBidi"/>
      <w:kern w:val="2"/>
      <w:sz w:val="23"/>
      <w:szCs w:val="24"/>
    </w:rPr>
  </w:style>
  <w:style w:type="character" w:customStyle="1" w:styleId="114">
    <w:name w:val="正文首行缩进 字符"/>
    <w:basedOn w:val="113"/>
    <w:link w:val="55"/>
    <w:qFormat/>
    <w:uiPriority w:val="0"/>
    <w:rPr>
      <w:rFonts w:hAnsi="宋体" w:eastAsia="仿宋_GB2312" w:cs="宋体" w:asciiTheme="minorHAnsi"/>
      <w:kern w:val="2"/>
      <w:sz w:val="21"/>
      <w:szCs w:val="24"/>
    </w:rPr>
  </w:style>
  <w:style w:type="character" w:customStyle="1" w:styleId="115">
    <w:name w:val="HTML 预设格式 Char"/>
    <w:qFormat/>
    <w:uiPriority w:val="0"/>
    <w:rPr>
      <w:sz w:val="20"/>
    </w:rPr>
  </w:style>
  <w:style w:type="character" w:customStyle="1" w:styleId="116">
    <w:name w:val="Heading 1 Char"/>
    <w:qFormat/>
    <w:uiPriority w:val="0"/>
    <w:rPr>
      <w:rFonts w:eastAsia="宋体"/>
      <w:b/>
      <w:bCs/>
      <w:kern w:val="44"/>
      <w:sz w:val="32"/>
      <w:szCs w:val="44"/>
      <w:lang w:val="en-US" w:eastAsia="zh-CN" w:bidi="ar-SA"/>
    </w:rPr>
  </w:style>
  <w:style w:type="character" w:customStyle="1" w:styleId="117">
    <w:name w:val="Char Char1"/>
    <w:qFormat/>
    <w:uiPriority w:val="0"/>
    <w:rPr>
      <w:sz w:val="20"/>
    </w:rPr>
  </w:style>
  <w:style w:type="character" w:customStyle="1" w:styleId="118">
    <w:name w:val="样式10 Char"/>
    <w:qFormat/>
    <w:uiPriority w:val="0"/>
    <w:rPr>
      <w:sz w:val="20"/>
    </w:rPr>
  </w:style>
  <w:style w:type="character" w:customStyle="1" w:styleId="119">
    <w:name w:val="正文文本 3 Char2"/>
    <w:qFormat/>
    <w:uiPriority w:val="0"/>
    <w:rPr>
      <w:kern w:val="2"/>
      <w:sz w:val="16"/>
      <w:szCs w:val="16"/>
    </w:rPr>
  </w:style>
  <w:style w:type="character" w:customStyle="1" w:styleId="120">
    <w:name w:val="Footer Char"/>
    <w:qFormat/>
    <w:uiPriority w:val="0"/>
    <w:rPr>
      <w:rFonts w:eastAsia="宋体"/>
      <w:kern w:val="2"/>
      <w:sz w:val="18"/>
      <w:szCs w:val="18"/>
      <w:lang w:val="en-US" w:eastAsia="zh-CN" w:bidi="ar-SA"/>
    </w:rPr>
  </w:style>
  <w:style w:type="character" w:customStyle="1" w:styleId="121">
    <w:name w:val="引用 字符"/>
    <w:link w:val="122"/>
    <w:qFormat/>
    <w:uiPriority w:val="0"/>
    <w:rPr>
      <w:i/>
      <w:iCs/>
      <w:color w:val="000000"/>
    </w:rPr>
  </w:style>
  <w:style w:type="paragraph" w:styleId="122">
    <w:name w:val="Quote"/>
    <w:basedOn w:val="1"/>
    <w:next w:val="1"/>
    <w:link w:val="121"/>
    <w:qFormat/>
    <w:uiPriority w:val="0"/>
    <w:rPr>
      <w:i/>
      <w:iCs/>
      <w:color w:val="000000"/>
      <w:kern w:val="0"/>
      <w:sz w:val="20"/>
      <w:szCs w:val="20"/>
    </w:rPr>
  </w:style>
  <w:style w:type="character" w:customStyle="1" w:styleId="123">
    <w:name w:val="引用 字符1"/>
    <w:basedOn w:val="59"/>
    <w:qFormat/>
    <w:uiPriority w:val="29"/>
    <w:rPr>
      <w:i/>
      <w:iCs/>
      <w:color w:val="404040" w:themeColor="text1" w:themeTint="BF"/>
      <w:kern w:val="2"/>
      <w:sz w:val="21"/>
      <w:szCs w:val="24"/>
      <w14:textFill>
        <w14:solidFill>
          <w14:schemeClr w14:val="tx1">
            <w14:lumMod w14:val="75000"/>
            <w14:lumOff w14:val="25000"/>
          </w14:schemeClr>
        </w14:solidFill>
      </w14:textFill>
    </w:rPr>
  </w:style>
  <w:style w:type="character" w:customStyle="1" w:styleId="124">
    <w:name w:val="标题 Char2"/>
    <w:qFormat/>
    <w:uiPriority w:val="0"/>
    <w:rPr>
      <w:rFonts w:ascii="Cambria" w:hAnsi="Cambria" w:eastAsia="宋体" w:cs="Times New Roman"/>
      <w:b/>
      <w:bCs/>
      <w:sz w:val="32"/>
      <w:szCs w:val="32"/>
    </w:rPr>
  </w:style>
  <w:style w:type="character" w:customStyle="1" w:styleId="125">
    <w:name w:val="Char Char10"/>
    <w:qFormat/>
    <w:uiPriority w:val="0"/>
    <w:rPr>
      <w:sz w:val="20"/>
    </w:rPr>
  </w:style>
  <w:style w:type="character" w:customStyle="1" w:styleId="126">
    <w:name w:val="样式3 Char Char"/>
    <w:qFormat/>
    <w:uiPriority w:val="0"/>
    <w:rPr>
      <w:b/>
      <w:sz w:val="20"/>
    </w:rPr>
  </w:style>
  <w:style w:type="character" w:customStyle="1" w:styleId="127">
    <w:name w:val="明显强调1"/>
    <w:qFormat/>
    <w:uiPriority w:val="0"/>
    <w:rPr>
      <w:b/>
      <w:bCs/>
      <w:i/>
      <w:iCs/>
      <w:color w:val="4F81BD"/>
    </w:rPr>
  </w:style>
  <w:style w:type="character" w:customStyle="1" w:styleId="128">
    <w:name w:val="批注文字 Char Char"/>
    <w:qFormat/>
    <w:uiPriority w:val="0"/>
    <w:rPr>
      <w:rFonts w:ascii="宋体" w:hAnsi="Times New Roman" w:eastAsia="宋体" w:cs="Times New Roman"/>
      <w:sz w:val="28"/>
      <w:szCs w:val="20"/>
    </w:rPr>
  </w:style>
  <w:style w:type="character" w:customStyle="1" w:styleId="129">
    <w:name w:val="副标题 Char1"/>
    <w:qFormat/>
    <w:uiPriority w:val="11"/>
    <w:rPr>
      <w:rFonts w:hint="default" w:ascii="Cambria" w:hAnsi="Cambria" w:cs="Times New Roman"/>
      <w:b/>
      <w:bCs/>
      <w:kern w:val="28"/>
      <w:sz w:val="32"/>
      <w:szCs w:val="32"/>
    </w:rPr>
  </w:style>
  <w:style w:type="character" w:customStyle="1" w:styleId="130">
    <w:name w:val="样式14 Char"/>
    <w:qFormat/>
    <w:uiPriority w:val="0"/>
    <w:rPr>
      <w:sz w:val="20"/>
    </w:rPr>
  </w:style>
  <w:style w:type="character" w:customStyle="1" w:styleId="131">
    <w:name w:val="Comment Subject Char"/>
    <w:qFormat/>
    <w:uiPriority w:val="0"/>
    <w:rPr>
      <w:b/>
      <w:sz w:val="24"/>
      <w:lang w:bidi="ar-SA"/>
    </w:rPr>
  </w:style>
  <w:style w:type="character" w:customStyle="1" w:styleId="132">
    <w:name w:val="Comment Text Char"/>
    <w:qFormat/>
    <w:uiPriority w:val="0"/>
    <w:rPr>
      <w:rFonts w:cs="Times New Roman"/>
      <w:sz w:val="24"/>
      <w:szCs w:val="24"/>
    </w:rPr>
  </w:style>
  <w:style w:type="character" w:customStyle="1" w:styleId="133">
    <w:name w:val="title2"/>
    <w:qFormat/>
    <w:uiPriority w:val="0"/>
    <w:rPr>
      <w:b/>
      <w:color w:val="111111"/>
      <w:sz w:val="20"/>
      <w:u w:val="none"/>
    </w:rPr>
  </w:style>
  <w:style w:type="character" w:customStyle="1" w:styleId="134">
    <w:name w:val="日期 Char1"/>
    <w:qFormat/>
    <w:uiPriority w:val="0"/>
    <w:rPr>
      <w:rFonts w:ascii="Times New Roman" w:hAnsi="Times New Roman" w:eastAsia="宋体" w:cs="Times New Roman"/>
      <w:szCs w:val="24"/>
    </w:rPr>
  </w:style>
  <w:style w:type="character" w:customStyle="1" w:styleId="135">
    <w:name w:val="超链接_0"/>
    <w:qFormat/>
    <w:uiPriority w:val="99"/>
    <w:rPr>
      <w:rFonts w:ascii="Calibri" w:hAnsi="Calibri" w:cs="Times New Roman"/>
      <w:color w:val="0000FF"/>
      <w:u w:val="single"/>
    </w:rPr>
  </w:style>
  <w:style w:type="character" w:customStyle="1" w:styleId="136">
    <w:name w:val="样式3 Char Char Char Char"/>
    <w:qFormat/>
    <w:uiPriority w:val="0"/>
    <w:rPr>
      <w:b/>
      <w:sz w:val="20"/>
    </w:rPr>
  </w:style>
  <w:style w:type="character" w:customStyle="1" w:styleId="137">
    <w:name w:val="newsbg1"/>
    <w:qFormat/>
    <w:uiPriority w:val="0"/>
    <w:rPr>
      <w:sz w:val="20"/>
    </w:rPr>
  </w:style>
  <w:style w:type="character" w:customStyle="1" w:styleId="138">
    <w:name w:val="Char Char8"/>
    <w:qFormat/>
    <w:uiPriority w:val="0"/>
    <w:rPr>
      <w:sz w:val="20"/>
    </w:rPr>
  </w:style>
  <w:style w:type="character" w:customStyle="1" w:styleId="139">
    <w:name w:val="Char Char Char Char Char Char"/>
    <w:qFormat/>
    <w:uiPriority w:val="0"/>
    <w:rPr>
      <w:sz w:val="20"/>
    </w:rPr>
  </w:style>
  <w:style w:type="character" w:customStyle="1" w:styleId="140">
    <w:name w:val="正文文本 Char2"/>
    <w:qFormat/>
    <w:uiPriority w:val="99"/>
    <w:rPr>
      <w:sz w:val="20"/>
    </w:rPr>
  </w:style>
  <w:style w:type="character" w:customStyle="1" w:styleId="141">
    <w:name w:val="明显引用 Char2"/>
    <w:link w:val="142"/>
    <w:qFormat/>
    <w:uiPriority w:val="30"/>
    <w:rPr>
      <w:b/>
      <w:i/>
      <w:color w:val="4F81BD"/>
      <w:kern w:val="2"/>
      <w:sz w:val="22"/>
    </w:rPr>
  </w:style>
  <w:style w:type="paragraph" w:customStyle="1" w:styleId="142">
    <w:name w:val="明显引用2"/>
    <w:basedOn w:val="1"/>
    <w:next w:val="1"/>
    <w:link w:val="141"/>
    <w:qFormat/>
    <w:uiPriority w:val="0"/>
    <w:pPr>
      <w:pBdr>
        <w:bottom w:val="single" w:color="4F81BD" w:sz="4" w:space="4"/>
      </w:pBdr>
      <w:spacing w:before="200" w:after="280"/>
      <w:ind w:left="936" w:right="936"/>
    </w:pPr>
    <w:rPr>
      <w:b/>
      <w:i/>
      <w:color w:val="4F81BD"/>
      <w:sz w:val="22"/>
      <w:szCs w:val="20"/>
    </w:rPr>
  </w:style>
  <w:style w:type="character" w:customStyle="1" w:styleId="143">
    <w:name w:val="Balloon Text Char"/>
    <w:qFormat/>
    <w:uiPriority w:val="0"/>
    <w:rPr>
      <w:sz w:val="18"/>
      <w:lang w:bidi="ar-SA"/>
    </w:rPr>
  </w:style>
  <w:style w:type="character" w:customStyle="1" w:styleId="144">
    <w:name w:val="普通文字 Char"/>
    <w:qFormat/>
    <w:uiPriority w:val="0"/>
    <w:rPr>
      <w:sz w:val="20"/>
    </w:rPr>
  </w:style>
  <w:style w:type="character" w:customStyle="1" w:styleId="145">
    <w:name w:val="仿宋，小四"/>
    <w:qFormat/>
    <w:uiPriority w:val="0"/>
    <w:rPr>
      <w:sz w:val="20"/>
    </w:rPr>
  </w:style>
  <w:style w:type="character" w:customStyle="1" w:styleId="146">
    <w:name w:val="样式 Char"/>
    <w:link w:val="147"/>
    <w:qFormat/>
    <w:locked/>
    <w:uiPriority w:val="0"/>
    <w:rPr>
      <w:rFonts w:ascii="宋体" w:hAnsi="宋体" w:cs="宋体"/>
      <w:sz w:val="24"/>
      <w:szCs w:val="24"/>
    </w:rPr>
  </w:style>
  <w:style w:type="paragraph" w:customStyle="1" w:styleId="147">
    <w:name w:val="样式"/>
    <w:link w:val="146"/>
    <w:qFormat/>
    <w:uiPriority w:val="0"/>
    <w:pPr>
      <w:widowControl w:val="0"/>
      <w:autoSpaceDE w:val="0"/>
      <w:autoSpaceDN w:val="0"/>
      <w:adjustRightInd w:val="0"/>
    </w:pPr>
    <w:rPr>
      <w:rFonts w:ascii="宋体" w:hAnsi="宋体" w:eastAsia="宋体" w:cs="宋体"/>
      <w:sz w:val="24"/>
      <w:szCs w:val="24"/>
      <w:lang w:val="en-US" w:eastAsia="zh-CN" w:bidi="ar-SA"/>
    </w:rPr>
  </w:style>
  <w:style w:type="character" w:customStyle="1" w:styleId="148">
    <w:name w:val="style41"/>
    <w:qFormat/>
    <w:uiPriority w:val="0"/>
    <w:rPr>
      <w:rFonts w:ascii="Verdana" w:hAnsi="Verdana"/>
      <w:color w:val="AA1515"/>
      <w:kern w:val="0"/>
      <w:sz w:val="20"/>
      <w:lang w:eastAsia="en-US"/>
    </w:rPr>
  </w:style>
  <w:style w:type="character" w:customStyle="1" w:styleId="149">
    <w:name w:val="明显引用 Char1"/>
    <w:qFormat/>
    <w:uiPriority w:val="30"/>
    <w:rPr>
      <w:rFonts w:ascii="Times New Roman" w:hAnsi="Times New Roman" w:eastAsia="宋体" w:cs="Times New Roman"/>
      <w:b/>
      <w:bCs/>
      <w:i/>
      <w:iCs/>
      <w:color w:val="4F81BD"/>
      <w:szCs w:val="24"/>
    </w:rPr>
  </w:style>
  <w:style w:type="character" w:customStyle="1" w:styleId="150">
    <w:name w:val="样式12 Char"/>
    <w:qFormat/>
    <w:uiPriority w:val="0"/>
    <w:rPr>
      <w:sz w:val="20"/>
    </w:rPr>
  </w:style>
  <w:style w:type="character" w:customStyle="1" w:styleId="151">
    <w:name w:val="引用 Char2"/>
    <w:link w:val="152"/>
    <w:qFormat/>
    <w:uiPriority w:val="29"/>
    <w:rPr>
      <w:i/>
      <w:color w:val="000000"/>
      <w:kern w:val="2"/>
      <w:sz w:val="22"/>
    </w:rPr>
  </w:style>
  <w:style w:type="paragraph" w:customStyle="1" w:styleId="152">
    <w:name w:val="引用2"/>
    <w:basedOn w:val="1"/>
    <w:next w:val="1"/>
    <w:link w:val="151"/>
    <w:qFormat/>
    <w:uiPriority w:val="0"/>
    <w:rPr>
      <w:i/>
      <w:color w:val="000000"/>
      <w:sz w:val="22"/>
      <w:szCs w:val="20"/>
    </w:rPr>
  </w:style>
  <w:style w:type="character" w:customStyle="1" w:styleId="153">
    <w:name w:val="样式 标题 3h3section:3Level 3 HeadH3level_3PIM 33rd level3H... Char Char"/>
    <w:qFormat/>
    <w:uiPriority w:val="0"/>
    <w:rPr>
      <w:b/>
      <w:sz w:val="20"/>
    </w:rPr>
  </w:style>
  <w:style w:type="character" w:customStyle="1" w:styleId="154">
    <w:name w:val="Heading 3 Char"/>
    <w:qFormat/>
    <w:uiPriority w:val="0"/>
    <w:rPr>
      <w:rFonts w:cs="Times New Roman"/>
      <w:b/>
      <w:bCs/>
      <w:kern w:val="2"/>
      <w:sz w:val="32"/>
      <w:szCs w:val="32"/>
    </w:rPr>
  </w:style>
  <w:style w:type="character" w:customStyle="1" w:styleId="155">
    <w:name w:val="Char Char24"/>
    <w:qFormat/>
    <w:uiPriority w:val="0"/>
    <w:rPr>
      <w:rFonts w:eastAsia="宋体"/>
      <w:b/>
      <w:bCs/>
      <w:kern w:val="44"/>
      <w:sz w:val="32"/>
      <w:szCs w:val="44"/>
      <w:lang w:val="en-US" w:eastAsia="zh-CN" w:bidi="ar-SA"/>
    </w:rPr>
  </w:style>
  <w:style w:type="character" w:customStyle="1" w:styleId="156">
    <w:name w:val="Title Char"/>
    <w:qFormat/>
    <w:uiPriority w:val="0"/>
    <w:rPr>
      <w:rFonts w:ascii="Cambria" w:hAnsi="Cambria"/>
      <w:b/>
      <w:sz w:val="32"/>
      <w:lang w:bidi="ar-SA"/>
    </w:rPr>
  </w:style>
  <w:style w:type="character" w:customStyle="1" w:styleId="157">
    <w:name w:val="textcontents"/>
    <w:qFormat/>
    <w:uiPriority w:val="0"/>
    <w:rPr>
      <w:rFonts w:cs="Times New Roman"/>
    </w:rPr>
  </w:style>
  <w:style w:type="character" w:customStyle="1" w:styleId="158">
    <w:name w:val="正文文本 2 Char1"/>
    <w:qFormat/>
    <w:uiPriority w:val="0"/>
    <w:rPr>
      <w:kern w:val="2"/>
      <w:sz w:val="21"/>
      <w:szCs w:val="24"/>
    </w:rPr>
  </w:style>
  <w:style w:type="character" w:customStyle="1" w:styleId="159">
    <w:name w:val="不明显参考1"/>
    <w:qFormat/>
    <w:uiPriority w:val="0"/>
    <w:rPr>
      <w:smallCaps/>
      <w:color w:val="C0504D"/>
      <w:u w:val="single"/>
    </w:rPr>
  </w:style>
  <w:style w:type="character" w:customStyle="1" w:styleId="160">
    <w:name w:val="Char Char18"/>
    <w:qFormat/>
    <w:uiPriority w:val="0"/>
    <w:rPr>
      <w:rFonts w:ascii="Times New Roman" w:hAnsi="Times New Roman" w:eastAsia="宋体" w:cs="Times New Roman"/>
      <w:b/>
      <w:bCs/>
      <w:sz w:val="28"/>
      <w:szCs w:val="28"/>
    </w:rPr>
  </w:style>
  <w:style w:type="character" w:customStyle="1" w:styleId="161">
    <w:name w:val="正文文本 3 Char1"/>
    <w:qFormat/>
    <w:uiPriority w:val="0"/>
    <w:rPr>
      <w:kern w:val="2"/>
      <w:sz w:val="16"/>
      <w:szCs w:val="16"/>
    </w:rPr>
  </w:style>
  <w:style w:type="character" w:customStyle="1" w:styleId="162">
    <w:name w:val="标题 Char1"/>
    <w:qFormat/>
    <w:uiPriority w:val="10"/>
    <w:rPr>
      <w:rFonts w:ascii="Cambria" w:hAnsi="Cambria" w:eastAsia="宋体" w:cs="Times New Roman"/>
      <w:b/>
      <w:bCs/>
      <w:sz w:val="32"/>
      <w:szCs w:val="32"/>
    </w:rPr>
  </w:style>
  <w:style w:type="character" w:customStyle="1" w:styleId="163">
    <w:name w:val="Header Char"/>
    <w:qFormat/>
    <w:uiPriority w:val="0"/>
    <w:rPr>
      <w:rFonts w:eastAsia="宋体"/>
      <w:kern w:val="2"/>
      <w:sz w:val="18"/>
      <w:szCs w:val="18"/>
      <w:lang w:val="en-US" w:eastAsia="zh-CN" w:bidi="ar-SA"/>
    </w:rPr>
  </w:style>
  <w:style w:type="character" w:customStyle="1" w:styleId="164">
    <w:name w:val="样式13 Char"/>
    <w:qFormat/>
    <w:uiPriority w:val="0"/>
    <w:rPr>
      <w:sz w:val="20"/>
    </w:rPr>
  </w:style>
  <w:style w:type="character" w:customStyle="1" w:styleId="165">
    <w:name w:val="样式9 Char"/>
    <w:qFormat/>
    <w:uiPriority w:val="0"/>
    <w:rPr>
      <w:sz w:val="20"/>
    </w:rPr>
  </w:style>
  <w:style w:type="character" w:customStyle="1" w:styleId="166">
    <w:name w:val="Char Char6"/>
    <w:qFormat/>
    <w:uiPriority w:val="0"/>
    <w:rPr>
      <w:rFonts w:eastAsia="宋体"/>
      <w:b/>
      <w:bCs/>
      <w:kern w:val="44"/>
      <w:sz w:val="32"/>
      <w:szCs w:val="44"/>
      <w:lang w:val="en-US" w:eastAsia="zh-CN" w:bidi="ar-SA"/>
    </w:rPr>
  </w:style>
  <w:style w:type="character" w:customStyle="1" w:styleId="167">
    <w:name w:val="批注文字 Char1"/>
    <w:qFormat/>
    <w:uiPriority w:val="0"/>
    <w:rPr>
      <w:rFonts w:ascii="Times New Roman" w:hAnsi="Times New Roman" w:eastAsia="宋体" w:cs="Times New Roman"/>
      <w:szCs w:val="24"/>
    </w:rPr>
  </w:style>
  <w:style w:type="character" w:customStyle="1" w:styleId="168">
    <w:name w:val="标题 3 Char1"/>
    <w:qFormat/>
    <w:uiPriority w:val="0"/>
    <w:rPr>
      <w:rFonts w:ascii="Calibri" w:hAnsi="Calibri" w:eastAsia="宋体" w:cs="Arial"/>
      <w:b/>
      <w:kern w:val="0"/>
      <w:sz w:val="32"/>
      <w:szCs w:val="20"/>
    </w:rPr>
  </w:style>
  <w:style w:type="character" w:customStyle="1" w:styleId="169">
    <w:name w:val="tt21"/>
    <w:qFormat/>
    <w:uiPriority w:val="0"/>
    <w:rPr>
      <w:b/>
      <w:sz w:val="20"/>
    </w:rPr>
  </w:style>
  <w:style w:type="character" w:customStyle="1" w:styleId="170">
    <w:name w:val="Heading 4 Char"/>
    <w:qFormat/>
    <w:uiPriority w:val="0"/>
    <w:rPr>
      <w:rFonts w:ascii="Arial" w:hAnsi="Arial" w:eastAsia="宋体"/>
      <w:b/>
      <w:bCs/>
      <w:kern w:val="2"/>
      <w:sz w:val="21"/>
      <w:szCs w:val="28"/>
      <w:lang w:val="en-US" w:eastAsia="zh-CN" w:bidi="ar-SA"/>
    </w:rPr>
  </w:style>
  <w:style w:type="character" w:customStyle="1" w:styleId="171">
    <w:name w:val="Char Char91"/>
    <w:qFormat/>
    <w:uiPriority w:val="0"/>
    <w:rPr>
      <w:rFonts w:eastAsia="宋体"/>
      <w:b/>
      <w:bCs/>
      <w:kern w:val="44"/>
      <w:sz w:val="32"/>
      <w:szCs w:val="44"/>
      <w:lang w:val="en-US" w:eastAsia="zh-CN" w:bidi="ar-SA"/>
    </w:rPr>
  </w:style>
  <w:style w:type="character" w:customStyle="1" w:styleId="172">
    <w:name w:val="批注框文本 Char1"/>
    <w:qFormat/>
    <w:uiPriority w:val="0"/>
    <w:rPr>
      <w:rFonts w:ascii="Times New Roman" w:hAnsi="Times New Roman" w:eastAsia="宋体" w:cs="Times New Roman"/>
      <w:sz w:val="18"/>
      <w:szCs w:val="18"/>
    </w:rPr>
  </w:style>
  <w:style w:type="character" w:customStyle="1" w:styleId="173">
    <w:name w:val="引用 Char1"/>
    <w:qFormat/>
    <w:uiPriority w:val="29"/>
    <w:rPr>
      <w:rFonts w:ascii="Times New Roman" w:hAnsi="Times New Roman" w:eastAsia="宋体" w:cs="Times New Roman"/>
      <w:i/>
      <w:iCs/>
      <w:color w:val="000000"/>
      <w:szCs w:val="24"/>
    </w:rPr>
  </w:style>
  <w:style w:type="character" w:customStyle="1" w:styleId="174">
    <w:name w:val="正文（首行缩进两字） Char Char Char Char Char Char Char Char Char Char Char Char Char Char Char Char Char Char Char Char Char Char Char Char Char Char Char Char Char Char Char Char Char Char Char Char Char Char Char Char Char Char Char Char Char Char"/>
    <w:qFormat/>
    <w:uiPriority w:val="0"/>
    <w:rPr>
      <w:sz w:val="20"/>
    </w:rPr>
  </w:style>
  <w:style w:type="character" w:customStyle="1" w:styleId="175">
    <w:name w:val="Date Char"/>
    <w:qFormat/>
    <w:uiPriority w:val="0"/>
    <w:rPr>
      <w:rFonts w:eastAsia="宋体"/>
      <w:kern w:val="2"/>
      <w:sz w:val="21"/>
      <w:szCs w:val="24"/>
      <w:lang w:val="en-US" w:eastAsia="zh-CN" w:bidi="ar-SA"/>
    </w:rPr>
  </w:style>
  <w:style w:type="character" w:customStyle="1" w:styleId="176">
    <w:name w:val="明显参考1"/>
    <w:qFormat/>
    <w:uiPriority w:val="0"/>
    <w:rPr>
      <w:b/>
      <w:bCs/>
      <w:smallCaps/>
      <w:color w:val="C0504D"/>
      <w:spacing w:val="5"/>
      <w:u w:val="single"/>
    </w:rPr>
  </w:style>
  <w:style w:type="character" w:customStyle="1" w:styleId="177">
    <w:name w:val="Plain Text Char"/>
    <w:qFormat/>
    <w:uiPriority w:val="0"/>
    <w:rPr>
      <w:rFonts w:ascii="宋体" w:hAnsi="Courier New" w:eastAsia="宋体"/>
      <w:sz w:val="24"/>
      <w:lang w:bidi="ar-SA"/>
    </w:rPr>
  </w:style>
  <w:style w:type="character" w:customStyle="1" w:styleId="178">
    <w:name w:val="Comment Text Char1"/>
    <w:qFormat/>
    <w:uiPriority w:val="0"/>
    <w:rPr>
      <w:sz w:val="24"/>
      <w:lang w:bidi="ar-SA"/>
    </w:rPr>
  </w:style>
  <w:style w:type="character" w:customStyle="1" w:styleId="179">
    <w:name w:val="Char Char19"/>
    <w:qFormat/>
    <w:uiPriority w:val="0"/>
    <w:rPr>
      <w:rFonts w:ascii="Arial" w:hAnsi="Arial" w:eastAsia="宋体" w:cs="Times New Roman"/>
      <w:b/>
      <w:bCs/>
      <w:szCs w:val="28"/>
    </w:rPr>
  </w:style>
  <w:style w:type="character" w:customStyle="1" w:styleId="180">
    <w:name w:val="Document Map Char"/>
    <w:qFormat/>
    <w:uiPriority w:val="0"/>
    <w:rPr>
      <w:rFonts w:eastAsia="宋体"/>
      <w:kern w:val="2"/>
      <w:sz w:val="21"/>
      <w:szCs w:val="24"/>
      <w:lang w:val="en-US" w:eastAsia="zh-CN" w:bidi="ar-SA"/>
    </w:rPr>
  </w:style>
  <w:style w:type="character" w:customStyle="1" w:styleId="181">
    <w:name w:val="apple-converted-space"/>
    <w:qFormat/>
    <w:uiPriority w:val="0"/>
    <w:rPr>
      <w:sz w:val="20"/>
    </w:rPr>
  </w:style>
  <w:style w:type="character" w:customStyle="1" w:styleId="182">
    <w:name w:val="正文文本 Char1"/>
    <w:qFormat/>
    <w:uiPriority w:val="0"/>
    <w:rPr>
      <w:kern w:val="2"/>
      <w:sz w:val="21"/>
      <w:szCs w:val="22"/>
    </w:rPr>
  </w:style>
  <w:style w:type="character" w:customStyle="1" w:styleId="183">
    <w:name w:val="标题4 Char Char"/>
    <w:link w:val="184"/>
    <w:qFormat/>
    <w:uiPriority w:val="0"/>
    <w:rPr>
      <w:rFonts w:ascii="Arial" w:hAnsi="Arial"/>
      <w:b/>
      <w:bCs/>
      <w:sz w:val="24"/>
      <w:szCs w:val="32"/>
    </w:rPr>
  </w:style>
  <w:style w:type="paragraph" w:customStyle="1" w:styleId="184">
    <w:name w:val="标题4"/>
    <w:basedOn w:val="5"/>
    <w:next w:val="25"/>
    <w:link w:val="183"/>
    <w:qFormat/>
    <w:uiPriority w:val="0"/>
    <w:pPr>
      <w:spacing w:before="60" w:after="60" w:line="413" w:lineRule="auto"/>
    </w:pPr>
    <w:rPr>
      <w:rFonts w:eastAsia="宋体"/>
      <w:kern w:val="0"/>
      <w:sz w:val="24"/>
    </w:rPr>
  </w:style>
  <w:style w:type="character" w:customStyle="1" w:styleId="185">
    <w:name w:val="Variable"/>
    <w:qFormat/>
    <w:uiPriority w:val="0"/>
    <w:rPr>
      <w:i/>
    </w:rPr>
  </w:style>
  <w:style w:type="character" w:customStyle="1" w:styleId="186">
    <w:name w:val="level1"/>
    <w:qFormat/>
    <w:uiPriority w:val="0"/>
    <w:rPr>
      <w:sz w:val="20"/>
    </w:rPr>
  </w:style>
  <w:style w:type="character" w:customStyle="1" w:styleId="187">
    <w:name w:val="Char Char4"/>
    <w:qFormat/>
    <w:uiPriority w:val="0"/>
    <w:rPr>
      <w:b/>
      <w:sz w:val="20"/>
    </w:rPr>
  </w:style>
  <w:style w:type="character" w:customStyle="1" w:styleId="188">
    <w:name w:val="Char Char5"/>
    <w:qFormat/>
    <w:uiPriority w:val="0"/>
    <w:rPr>
      <w:sz w:val="20"/>
    </w:rPr>
  </w:style>
  <w:style w:type="character" w:customStyle="1" w:styleId="189">
    <w:name w:val="书籍标题1"/>
    <w:qFormat/>
    <w:uiPriority w:val="0"/>
    <w:rPr>
      <w:b/>
      <w:bCs/>
      <w:smallCaps/>
      <w:spacing w:val="5"/>
    </w:rPr>
  </w:style>
  <w:style w:type="character" w:customStyle="1" w:styleId="190">
    <w:name w:val="标题4 Char1"/>
    <w:qFormat/>
    <w:uiPriority w:val="0"/>
    <w:rPr>
      <w:rFonts w:eastAsia="宋体"/>
      <w:sz w:val="24"/>
      <w:szCs w:val="24"/>
      <w:lang w:val="en-US" w:eastAsia="zh-CN" w:bidi="ar-SA"/>
    </w:rPr>
  </w:style>
  <w:style w:type="character" w:customStyle="1" w:styleId="191">
    <w:name w:val="批注文字 Char"/>
    <w:qFormat/>
    <w:uiPriority w:val="0"/>
    <w:rPr>
      <w:kern w:val="2"/>
      <w:sz w:val="21"/>
      <w:szCs w:val="24"/>
    </w:rPr>
  </w:style>
  <w:style w:type="character" w:customStyle="1" w:styleId="192">
    <w:name w:val="样式15 Char"/>
    <w:qFormat/>
    <w:uiPriority w:val="0"/>
    <w:rPr>
      <w:sz w:val="20"/>
    </w:rPr>
  </w:style>
  <w:style w:type="character" w:customStyle="1" w:styleId="193">
    <w:name w:val="Char Char2"/>
    <w:qFormat/>
    <w:uiPriority w:val="0"/>
    <w:rPr>
      <w:sz w:val="20"/>
    </w:rPr>
  </w:style>
  <w:style w:type="character" w:customStyle="1" w:styleId="194">
    <w:name w:val="H2 Char"/>
    <w:qFormat/>
    <w:uiPriority w:val="0"/>
    <w:rPr>
      <w:b/>
      <w:sz w:val="20"/>
    </w:rPr>
  </w:style>
  <w:style w:type="character" w:customStyle="1" w:styleId="195">
    <w:name w:val="HTML 预设格式 Char2"/>
    <w:qFormat/>
    <w:uiPriority w:val="0"/>
    <w:rPr>
      <w:rFonts w:ascii="Courier New" w:hAnsi="Courier New" w:cs="Courier New"/>
      <w:kern w:val="2"/>
    </w:rPr>
  </w:style>
  <w:style w:type="character" w:customStyle="1" w:styleId="196">
    <w:name w:val="Heading 2 Char"/>
    <w:qFormat/>
    <w:uiPriority w:val="0"/>
    <w:rPr>
      <w:rFonts w:ascii="Arial" w:hAnsi="Arial" w:eastAsia="黑体"/>
      <w:b/>
      <w:bCs/>
      <w:kern w:val="2"/>
      <w:sz w:val="32"/>
      <w:szCs w:val="32"/>
      <w:lang w:val="en-US" w:eastAsia="zh-CN" w:bidi="ar-SA"/>
    </w:rPr>
  </w:style>
  <w:style w:type="character" w:customStyle="1" w:styleId="197">
    <w:name w:val="Char Char13"/>
    <w:qFormat/>
    <w:uiPriority w:val="0"/>
    <w:rPr>
      <w:b/>
      <w:sz w:val="20"/>
    </w:rPr>
  </w:style>
  <w:style w:type="character" w:customStyle="1" w:styleId="198">
    <w:name w:val="Char Char7"/>
    <w:qFormat/>
    <w:uiPriority w:val="0"/>
    <w:rPr>
      <w:sz w:val="20"/>
    </w:rPr>
  </w:style>
  <w:style w:type="character" w:customStyle="1" w:styleId="199">
    <w:name w:val="称呼 Char2"/>
    <w:qFormat/>
    <w:uiPriority w:val="0"/>
    <w:rPr>
      <w:kern w:val="2"/>
      <w:sz w:val="21"/>
      <w:szCs w:val="24"/>
    </w:rPr>
  </w:style>
  <w:style w:type="character" w:customStyle="1" w:styleId="200">
    <w:name w:val="正文文本缩进 3 Char2"/>
    <w:qFormat/>
    <w:uiPriority w:val="0"/>
    <w:rPr>
      <w:kern w:val="2"/>
      <w:sz w:val="16"/>
      <w:szCs w:val="16"/>
    </w:rPr>
  </w:style>
  <w:style w:type="character" w:customStyle="1" w:styleId="201">
    <w:name w:val="Char Char9"/>
    <w:qFormat/>
    <w:uiPriority w:val="0"/>
    <w:rPr>
      <w:rFonts w:eastAsia="宋体"/>
      <w:b/>
      <w:bCs/>
      <w:kern w:val="44"/>
      <w:sz w:val="32"/>
      <w:szCs w:val="44"/>
      <w:lang w:val="en-US" w:eastAsia="zh-CN" w:bidi="ar-SA"/>
    </w:rPr>
  </w:style>
  <w:style w:type="character" w:customStyle="1" w:styleId="202">
    <w:name w:val="样式11 Char"/>
    <w:qFormat/>
    <w:uiPriority w:val="0"/>
    <w:rPr>
      <w:sz w:val="20"/>
    </w:rPr>
  </w:style>
  <w:style w:type="character" w:customStyle="1" w:styleId="203">
    <w:name w:val="称呼 Char1"/>
    <w:qFormat/>
    <w:uiPriority w:val="0"/>
    <w:rPr>
      <w:kern w:val="2"/>
      <w:sz w:val="21"/>
      <w:szCs w:val="24"/>
    </w:rPr>
  </w:style>
  <w:style w:type="character" w:customStyle="1" w:styleId="204">
    <w:name w:val="正文缩进 Char1"/>
    <w:qFormat/>
    <w:uiPriority w:val="0"/>
    <w:rPr>
      <w:rFonts w:eastAsia="宋体"/>
      <w:sz w:val="24"/>
      <w:szCs w:val="24"/>
      <w:lang w:val="en-US" w:eastAsia="zh-CN" w:bidi="ar-SA"/>
    </w:rPr>
  </w:style>
  <w:style w:type="character" w:customStyle="1" w:styleId="205">
    <w:name w:val="Body Text Indent Char"/>
    <w:qFormat/>
    <w:uiPriority w:val="0"/>
    <w:rPr>
      <w:rFonts w:ascii="宋体" w:hAnsi="宋体" w:eastAsia="宋体"/>
      <w:kern w:val="2"/>
      <w:sz w:val="21"/>
      <w:lang w:val="en-US" w:eastAsia="zh-CN" w:bidi="ar-SA"/>
    </w:rPr>
  </w:style>
  <w:style w:type="character" w:customStyle="1" w:styleId="206">
    <w:name w:val="标题5 Char Char"/>
    <w:link w:val="207"/>
    <w:qFormat/>
    <w:uiPriority w:val="0"/>
    <w:rPr>
      <w:rFonts w:ascii="Arial" w:hAnsi="Arial"/>
      <w:b/>
      <w:bCs/>
      <w:sz w:val="24"/>
      <w:szCs w:val="32"/>
    </w:rPr>
  </w:style>
  <w:style w:type="paragraph" w:customStyle="1" w:styleId="207">
    <w:name w:val="标题5"/>
    <w:basedOn w:val="6"/>
    <w:link w:val="206"/>
    <w:qFormat/>
    <w:uiPriority w:val="0"/>
    <w:pPr>
      <w:spacing w:line="413" w:lineRule="auto"/>
    </w:pPr>
    <w:rPr>
      <w:rFonts w:ascii="Arial" w:hAnsi="Arial"/>
      <w:kern w:val="0"/>
      <w:sz w:val="24"/>
    </w:rPr>
  </w:style>
  <w:style w:type="character" w:customStyle="1" w:styleId="208">
    <w:name w:val="H1 Char"/>
    <w:qFormat/>
    <w:uiPriority w:val="0"/>
    <w:rPr>
      <w:b/>
      <w:sz w:val="20"/>
    </w:rPr>
  </w:style>
  <w:style w:type="character" w:customStyle="1" w:styleId="209">
    <w:name w:val="纯文本 Char1"/>
    <w:qFormat/>
    <w:uiPriority w:val="0"/>
    <w:rPr>
      <w:rFonts w:ascii="宋体" w:hAnsi="Courier New" w:eastAsia="宋体" w:cs="Courier New"/>
      <w:szCs w:val="21"/>
    </w:rPr>
  </w:style>
  <w:style w:type="character" w:customStyle="1" w:styleId="210">
    <w:name w:val="正文首行缩进 Char"/>
    <w:qFormat/>
    <w:uiPriority w:val="0"/>
    <w:rPr>
      <w:sz w:val="20"/>
    </w:rPr>
  </w:style>
  <w:style w:type="character" w:customStyle="1" w:styleId="211">
    <w:name w:val="正文文本 2 Char2"/>
    <w:qFormat/>
    <w:uiPriority w:val="0"/>
    <w:rPr>
      <w:kern w:val="2"/>
      <w:sz w:val="21"/>
      <w:szCs w:val="24"/>
    </w:rPr>
  </w:style>
  <w:style w:type="character" w:customStyle="1" w:styleId="212">
    <w:name w:val="Footnote Text Char"/>
    <w:qFormat/>
    <w:uiPriority w:val="0"/>
    <w:rPr>
      <w:rFonts w:eastAsia="宋体"/>
      <w:sz w:val="18"/>
      <w:lang w:val="en-US" w:eastAsia="zh-CN" w:bidi="ar-SA"/>
    </w:rPr>
  </w:style>
  <w:style w:type="character" w:customStyle="1" w:styleId="213">
    <w:name w:val="正文首行缩进 Char2"/>
    <w:qFormat/>
    <w:uiPriority w:val="0"/>
    <w:rPr>
      <w:rFonts w:eastAsia="宋体"/>
      <w:kern w:val="2"/>
      <w:sz w:val="21"/>
      <w:szCs w:val="24"/>
      <w:lang w:val="en-US" w:eastAsia="zh-CN" w:bidi="ar-SA"/>
    </w:rPr>
  </w:style>
  <w:style w:type="character" w:customStyle="1" w:styleId="214">
    <w:name w:val="bigfont"/>
    <w:qFormat/>
    <w:uiPriority w:val="0"/>
    <w:rPr>
      <w:sz w:val="20"/>
    </w:rPr>
  </w:style>
  <w:style w:type="character" w:customStyle="1" w:styleId="215">
    <w:name w:val="文档结构图 Char1"/>
    <w:qFormat/>
    <w:uiPriority w:val="0"/>
    <w:rPr>
      <w:rFonts w:ascii="宋体" w:hAnsi="Times New Roman" w:eastAsia="宋体" w:cs="Times New Roman"/>
      <w:sz w:val="18"/>
      <w:szCs w:val="18"/>
    </w:rPr>
  </w:style>
  <w:style w:type="character" w:customStyle="1" w:styleId="216">
    <w:name w:val="Heading 3 Char1"/>
    <w:qFormat/>
    <w:uiPriority w:val="0"/>
    <w:rPr>
      <w:rFonts w:eastAsia="宋体"/>
      <w:b/>
      <w:bCs/>
      <w:kern w:val="2"/>
      <w:sz w:val="24"/>
      <w:szCs w:val="32"/>
      <w:lang w:val="en-US" w:eastAsia="zh-CN" w:bidi="ar-SA"/>
    </w:rPr>
  </w:style>
  <w:style w:type="character" w:customStyle="1" w:styleId="217">
    <w:name w:val="Char Char21"/>
    <w:qFormat/>
    <w:uiPriority w:val="0"/>
    <w:rPr>
      <w:rFonts w:ascii="Arial" w:hAnsi="Arial" w:eastAsia="黑体" w:cs="Times New Roman"/>
      <w:b/>
      <w:bCs/>
      <w:sz w:val="32"/>
      <w:szCs w:val="32"/>
    </w:rPr>
  </w:style>
  <w:style w:type="character" w:customStyle="1" w:styleId="218">
    <w:name w:val="Char Char14"/>
    <w:qFormat/>
    <w:uiPriority w:val="0"/>
    <w:rPr>
      <w:sz w:val="20"/>
    </w:rPr>
  </w:style>
  <w:style w:type="character" w:customStyle="1" w:styleId="219">
    <w:name w:val="Char Char20"/>
    <w:uiPriority w:val="0"/>
    <w:rPr>
      <w:rFonts w:ascii="Times New Roman" w:hAnsi="Times New Roman" w:eastAsia="宋体" w:cs="Times New Roman"/>
      <w:b/>
      <w:bCs/>
      <w:sz w:val="24"/>
      <w:szCs w:val="32"/>
    </w:rPr>
  </w:style>
  <w:style w:type="character" w:customStyle="1" w:styleId="220">
    <w:name w:val="不明显强调1"/>
    <w:qFormat/>
    <w:uiPriority w:val="0"/>
    <w:rPr>
      <w:i/>
      <w:iCs/>
      <w:color w:val="808080"/>
    </w:rPr>
  </w:style>
  <w:style w:type="character" w:customStyle="1" w:styleId="221">
    <w:name w:val="Char Char23"/>
    <w:uiPriority w:val="0"/>
    <w:rPr>
      <w:rFonts w:eastAsia="宋体"/>
      <w:b/>
      <w:bCs/>
      <w:kern w:val="44"/>
      <w:sz w:val="32"/>
      <w:szCs w:val="44"/>
      <w:lang w:val="en-US" w:eastAsia="zh-CN" w:bidi="ar-SA"/>
    </w:rPr>
  </w:style>
  <w:style w:type="character" w:customStyle="1" w:styleId="222">
    <w:name w:val="明显引用 字符"/>
    <w:link w:val="223"/>
    <w:qFormat/>
    <w:uiPriority w:val="0"/>
    <w:rPr>
      <w:b/>
      <w:bCs/>
      <w:i/>
      <w:iCs/>
      <w:color w:val="4F81BD"/>
    </w:rPr>
  </w:style>
  <w:style w:type="paragraph" w:styleId="223">
    <w:name w:val="Intense Quote"/>
    <w:basedOn w:val="1"/>
    <w:next w:val="1"/>
    <w:link w:val="222"/>
    <w:qFormat/>
    <w:uiPriority w:val="0"/>
    <w:pPr>
      <w:pBdr>
        <w:bottom w:val="single" w:color="4F81BD" w:sz="4" w:space="4"/>
      </w:pBdr>
      <w:spacing w:before="200" w:after="280"/>
      <w:ind w:left="936" w:right="936"/>
    </w:pPr>
    <w:rPr>
      <w:b/>
      <w:bCs/>
      <w:i/>
      <w:iCs/>
      <w:color w:val="4F81BD"/>
      <w:kern w:val="0"/>
      <w:sz w:val="20"/>
      <w:szCs w:val="20"/>
    </w:rPr>
  </w:style>
  <w:style w:type="character" w:customStyle="1" w:styleId="224">
    <w:name w:val="明显引用 字符1"/>
    <w:basedOn w:val="59"/>
    <w:qFormat/>
    <w:uiPriority w:val="30"/>
    <w:rPr>
      <w:i/>
      <w:iCs/>
      <w:color w:val="5B9BD5" w:themeColor="accent1"/>
      <w:kern w:val="2"/>
      <w:sz w:val="21"/>
      <w:szCs w:val="24"/>
      <w14:textFill>
        <w14:solidFill>
          <w14:schemeClr w14:val="accent1"/>
        </w14:solidFill>
      </w14:textFill>
    </w:rPr>
  </w:style>
  <w:style w:type="character" w:customStyle="1" w:styleId="225">
    <w:name w:val="正文首行缩进 Char3"/>
    <w:qFormat/>
    <w:uiPriority w:val="0"/>
    <w:rPr>
      <w:rFonts w:eastAsia="宋体"/>
      <w:kern w:val="2"/>
      <w:sz w:val="21"/>
      <w:szCs w:val="24"/>
      <w:lang w:val="en-US" w:eastAsia="zh-CN" w:bidi="ar-SA"/>
    </w:rPr>
  </w:style>
  <w:style w:type="character" w:customStyle="1" w:styleId="226">
    <w:name w:val="Char Char22"/>
    <w:qFormat/>
    <w:uiPriority w:val="0"/>
    <w:rPr>
      <w:rFonts w:ascii="Times New Roman" w:hAnsi="Times New Roman" w:eastAsia="宋体" w:cs="Times New Roman"/>
      <w:b/>
      <w:bCs/>
      <w:kern w:val="44"/>
      <w:sz w:val="32"/>
      <w:szCs w:val="44"/>
    </w:rPr>
  </w:style>
  <w:style w:type="character" w:customStyle="1" w:styleId="227">
    <w:name w:val="普通文字 Char2"/>
    <w:semiHidden/>
    <w:qFormat/>
    <w:uiPriority w:val="0"/>
    <w:rPr>
      <w:sz w:val="20"/>
    </w:rPr>
  </w:style>
  <w:style w:type="character" w:customStyle="1" w:styleId="228">
    <w:name w:val="Char Char Char Char Char Char1"/>
    <w:qFormat/>
    <w:uiPriority w:val="0"/>
    <w:rPr>
      <w:rFonts w:eastAsia="宋体"/>
      <w:kern w:val="2"/>
      <w:sz w:val="21"/>
      <w:szCs w:val="24"/>
      <w:lang w:val="en-US" w:eastAsia="zh-CN" w:bidi="ar-SA"/>
    </w:rPr>
  </w:style>
  <w:style w:type="character" w:customStyle="1" w:styleId="229">
    <w:name w:val="正文文本缩进 3 Char1"/>
    <w:qFormat/>
    <w:uiPriority w:val="0"/>
    <w:rPr>
      <w:kern w:val="2"/>
      <w:sz w:val="16"/>
      <w:szCs w:val="16"/>
    </w:rPr>
  </w:style>
  <w:style w:type="character" w:customStyle="1" w:styleId="230">
    <w:name w:val="HTML 预设格式 Char3"/>
    <w:qFormat/>
    <w:uiPriority w:val="0"/>
    <w:rPr>
      <w:rFonts w:ascii="Courier New" w:hAnsi="Courier New" w:cs="Courier New"/>
      <w:kern w:val="2"/>
    </w:rPr>
  </w:style>
  <w:style w:type="character" w:customStyle="1" w:styleId="231">
    <w:name w:val="批注主题 Char1"/>
    <w:qFormat/>
    <w:uiPriority w:val="0"/>
    <w:rPr>
      <w:rFonts w:ascii="Times New Roman" w:hAnsi="Times New Roman" w:eastAsia="宋体" w:cs="Times New Roman"/>
      <w:b/>
      <w:bCs/>
      <w:szCs w:val="24"/>
    </w:rPr>
  </w:style>
  <w:style w:type="character" w:customStyle="1" w:styleId="232">
    <w:name w:val="Heading 5 Char"/>
    <w:qFormat/>
    <w:uiPriority w:val="0"/>
    <w:rPr>
      <w:rFonts w:eastAsia="宋体"/>
      <w:b/>
      <w:bCs/>
      <w:kern w:val="2"/>
      <w:sz w:val="28"/>
      <w:szCs w:val="28"/>
      <w:lang w:val="en-US" w:eastAsia="zh-CN" w:bidi="ar-SA"/>
    </w:rPr>
  </w:style>
  <w:style w:type="character" w:customStyle="1" w:styleId="233">
    <w:name w:val="Char Char181"/>
    <w:qFormat/>
    <w:uiPriority w:val="0"/>
    <w:rPr>
      <w:b/>
      <w:bCs/>
      <w:kern w:val="44"/>
      <w:sz w:val="44"/>
      <w:szCs w:val="44"/>
    </w:rPr>
  </w:style>
  <w:style w:type="character" w:customStyle="1" w:styleId="234">
    <w:name w:val="标题 1 Char1"/>
    <w:qFormat/>
    <w:uiPriority w:val="0"/>
    <w:rPr>
      <w:rFonts w:ascii="Calibri" w:hAnsi="Calibri" w:eastAsia="宋体" w:cs="Arial"/>
      <w:b/>
      <w:kern w:val="44"/>
      <w:sz w:val="44"/>
      <w:szCs w:val="20"/>
    </w:rPr>
  </w:style>
  <w:style w:type="character" w:customStyle="1" w:styleId="235">
    <w:name w:val="样式 标题 3h3section:3Level 3 HeadH3level_3PIM 33rd level3H... Char"/>
    <w:qFormat/>
    <w:uiPriority w:val="0"/>
    <w:rPr>
      <w:b/>
      <w:sz w:val="20"/>
    </w:rPr>
  </w:style>
  <w:style w:type="character" w:customStyle="1" w:styleId="236">
    <w:name w:val="Body Text Indent 2 Char"/>
    <w:qFormat/>
    <w:uiPriority w:val="0"/>
    <w:rPr>
      <w:rFonts w:eastAsia="宋体"/>
      <w:kern w:val="2"/>
      <w:sz w:val="21"/>
      <w:szCs w:val="24"/>
      <w:lang w:val="en-US" w:eastAsia="zh-CN" w:bidi="ar-SA"/>
    </w:rPr>
  </w:style>
  <w:style w:type="character" w:customStyle="1" w:styleId="237">
    <w:name w:val="标题 2 Char1"/>
    <w:qFormat/>
    <w:uiPriority w:val="0"/>
    <w:rPr>
      <w:rFonts w:ascii="Arial" w:hAnsi="Arial" w:eastAsia="黑体" w:cs="Calibri"/>
      <w:b/>
      <w:kern w:val="0"/>
      <w:sz w:val="32"/>
      <w:szCs w:val="20"/>
    </w:rPr>
  </w:style>
  <w:style w:type="character" w:customStyle="1" w:styleId="238">
    <w:name w:val="Char Char3"/>
    <w:qFormat/>
    <w:uiPriority w:val="0"/>
    <w:rPr>
      <w:sz w:val="20"/>
    </w:rPr>
  </w:style>
  <w:style w:type="character" w:customStyle="1" w:styleId="239">
    <w:name w:val="样式 标题 1 + (中文) 黑体 小二 非加粗 Char"/>
    <w:link w:val="240"/>
    <w:qFormat/>
    <w:uiPriority w:val="0"/>
    <w:rPr>
      <w:rFonts w:eastAsia="黑体"/>
      <w:kern w:val="44"/>
      <w:sz w:val="36"/>
      <w:szCs w:val="44"/>
    </w:rPr>
  </w:style>
  <w:style w:type="paragraph" w:customStyle="1" w:styleId="240">
    <w:name w:val="样式 标题 1 + (中文) 黑体 小二 非加粗"/>
    <w:basedOn w:val="4"/>
    <w:link w:val="239"/>
    <w:qFormat/>
    <w:uiPriority w:val="0"/>
    <w:pPr>
      <w:spacing w:line="576" w:lineRule="auto"/>
      <w:jc w:val="center"/>
    </w:pPr>
    <w:rPr>
      <w:rFonts w:eastAsia="黑体"/>
      <w:b w:val="0"/>
      <w:bCs w:val="0"/>
      <w:sz w:val="36"/>
    </w:rPr>
  </w:style>
  <w:style w:type="paragraph" w:customStyle="1" w:styleId="241">
    <w:name w:val="正文1"/>
    <w:next w:val="242"/>
    <w:qFormat/>
    <w:uiPriority w:val="0"/>
    <w:pPr>
      <w:widowControl w:val="0"/>
      <w:spacing w:line="315" w:lineRule="atLeast"/>
      <w:jc w:val="both"/>
    </w:pPr>
    <w:rPr>
      <w:rFonts w:ascii="宋体" w:hAnsi="宋体" w:eastAsia="宋体" w:cs="宋体"/>
      <w:sz w:val="24"/>
      <w:lang w:val="en-US" w:eastAsia="zh-CN" w:bidi="ar-SA"/>
    </w:rPr>
  </w:style>
  <w:style w:type="paragraph" w:customStyle="1" w:styleId="242">
    <w:name w:val="Char"/>
    <w:basedOn w:val="1"/>
    <w:qFormat/>
    <w:uiPriority w:val="0"/>
    <w:pPr>
      <w:widowControl/>
      <w:spacing w:after="160" w:line="240" w:lineRule="exact"/>
      <w:jc w:val="left"/>
    </w:pPr>
  </w:style>
  <w:style w:type="paragraph" w:customStyle="1" w:styleId="243">
    <w:name w:val="样式 (中文) 黑体 小二 加粗 居中 行距: 1.5 倍行距"/>
    <w:basedOn w:val="4"/>
    <w:next w:val="244"/>
    <w:qFormat/>
    <w:uiPriority w:val="0"/>
    <w:pPr>
      <w:keepNext w:val="0"/>
      <w:keepLines w:val="0"/>
      <w:spacing w:line="240" w:lineRule="auto"/>
      <w:jc w:val="center"/>
    </w:pPr>
    <w:rPr>
      <w:rFonts w:hAnsi="宋体" w:eastAsia="黑体" w:cs="宋体"/>
      <w:b w:val="0"/>
      <w:bCs w:val="0"/>
      <w:kern w:val="0"/>
      <w:sz w:val="36"/>
      <w:szCs w:val="20"/>
    </w:rPr>
  </w:style>
  <w:style w:type="paragraph" w:customStyle="1" w:styleId="244">
    <w:name w:val="样式6"/>
    <w:next w:val="1"/>
    <w:qFormat/>
    <w:uiPriority w:val="0"/>
    <w:pPr>
      <w:widowControl w:val="0"/>
      <w:jc w:val="both"/>
    </w:pPr>
    <w:rPr>
      <w:rFonts w:ascii="Times New Roman" w:hAnsi="宋体" w:eastAsia="仿宋_GB2312" w:cs="宋体"/>
      <w:sz w:val="28"/>
      <w:lang w:val="en-US" w:eastAsia="zh-CN" w:bidi="ar-SA"/>
    </w:rPr>
  </w:style>
  <w:style w:type="paragraph" w:customStyle="1" w:styleId="245">
    <w:name w:val="修订1"/>
    <w:qFormat/>
    <w:uiPriority w:val="0"/>
    <w:rPr>
      <w:rFonts w:ascii="Times New Roman" w:hAnsi="Times New Roman" w:eastAsia="宋体" w:cs="Times New Roman"/>
      <w:kern w:val="2"/>
      <w:sz w:val="21"/>
      <w:szCs w:val="24"/>
      <w:lang w:val="en-US" w:eastAsia="zh-CN" w:bidi="ar-SA"/>
    </w:rPr>
  </w:style>
  <w:style w:type="paragraph" w:customStyle="1" w:styleId="246">
    <w:name w:val="xl162"/>
    <w:basedOn w:val="1"/>
    <w:next w:val="1"/>
    <w:qFormat/>
    <w:uiPriority w:val="0"/>
    <w:pPr>
      <w:widowControl/>
      <w:spacing w:before="280" w:after="280"/>
    </w:pPr>
    <w:rPr>
      <w:rFonts w:ascii="宋体" w:hAnsi="宋体" w:cs="宋体"/>
      <w:color w:val="000000"/>
      <w:kern w:val="0"/>
      <w:sz w:val="18"/>
      <w:szCs w:val="20"/>
    </w:rPr>
  </w:style>
  <w:style w:type="paragraph" w:customStyle="1" w:styleId="247">
    <w:name w:val="xl139"/>
    <w:basedOn w:val="1"/>
    <w:next w:val="248"/>
    <w:qFormat/>
    <w:uiPriority w:val="0"/>
    <w:pPr>
      <w:widowControl/>
      <w:spacing w:before="280" w:after="280"/>
    </w:pPr>
    <w:rPr>
      <w:rFonts w:ascii="宋体" w:hAnsi="宋体" w:cs="宋体"/>
      <w:kern w:val="0"/>
      <w:sz w:val="20"/>
      <w:szCs w:val="20"/>
    </w:rPr>
  </w:style>
  <w:style w:type="paragraph" w:customStyle="1" w:styleId="248">
    <w:name w:val="xl134"/>
    <w:basedOn w:val="1"/>
    <w:next w:val="249"/>
    <w:qFormat/>
    <w:uiPriority w:val="0"/>
    <w:pPr>
      <w:widowControl/>
      <w:spacing w:before="280" w:after="280"/>
      <w:jc w:val="center"/>
    </w:pPr>
    <w:rPr>
      <w:rFonts w:ascii="宋体" w:hAnsi="宋体" w:cs="宋体"/>
      <w:kern w:val="0"/>
      <w:sz w:val="20"/>
      <w:szCs w:val="20"/>
    </w:rPr>
  </w:style>
  <w:style w:type="paragraph" w:customStyle="1" w:styleId="249">
    <w:name w:val="xl164"/>
    <w:basedOn w:val="1"/>
    <w:next w:val="250"/>
    <w:qFormat/>
    <w:uiPriority w:val="0"/>
    <w:pPr>
      <w:widowControl/>
      <w:spacing w:before="280" w:after="280"/>
      <w:jc w:val="center"/>
    </w:pPr>
    <w:rPr>
      <w:rFonts w:ascii="宋体" w:hAnsi="宋体" w:cs="宋体"/>
      <w:color w:val="000000"/>
      <w:kern w:val="0"/>
      <w:sz w:val="20"/>
      <w:szCs w:val="20"/>
    </w:rPr>
  </w:style>
  <w:style w:type="paragraph" w:customStyle="1" w:styleId="250">
    <w:name w:val="_Style 16"/>
    <w:basedOn w:val="1"/>
    <w:next w:val="251"/>
    <w:qFormat/>
    <w:uiPriority w:val="0"/>
    <w:pPr>
      <w:widowControl/>
      <w:spacing w:line="400" w:lineRule="exact"/>
      <w:jc w:val="center"/>
    </w:pPr>
    <w:rPr>
      <w:rFonts w:hAnsi="宋体" w:cs="宋体"/>
      <w:kern w:val="0"/>
      <w:szCs w:val="20"/>
    </w:rPr>
  </w:style>
  <w:style w:type="paragraph" w:customStyle="1" w:styleId="251">
    <w:name w:val="xl142"/>
    <w:basedOn w:val="1"/>
    <w:next w:val="1"/>
    <w:qFormat/>
    <w:uiPriority w:val="0"/>
    <w:pPr>
      <w:widowControl/>
      <w:spacing w:before="280" w:after="280"/>
      <w:jc w:val="center"/>
    </w:pPr>
    <w:rPr>
      <w:rFonts w:ascii="宋体" w:hAnsi="宋体" w:cs="宋体"/>
      <w:color w:val="000000"/>
      <w:kern w:val="0"/>
      <w:sz w:val="20"/>
      <w:szCs w:val="20"/>
    </w:rPr>
  </w:style>
  <w:style w:type="paragraph" w:customStyle="1" w:styleId="252">
    <w:name w:val="正文段"/>
    <w:basedOn w:val="1"/>
    <w:next w:val="253"/>
    <w:qFormat/>
    <w:uiPriority w:val="0"/>
    <w:pPr>
      <w:spacing w:after="240" w:line="312" w:lineRule="atLeast"/>
      <w:ind w:firstLine="425"/>
    </w:pPr>
    <w:rPr>
      <w:rFonts w:hAnsi="宋体" w:cs="宋体"/>
      <w:kern w:val="0"/>
      <w:sz w:val="24"/>
      <w:szCs w:val="20"/>
    </w:rPr>
  </w:style>
  <w:style w:type="paragraph" w:customStyle="1" w:styleId="253">
    <w:name w:val="列出段落1"/>
    <w:basedOn w:val="1"/>
    <w:qFormat/>
    <w:uiPriority w:val="0"/>
    <w:pPr>
      <w:ind w:firstLine="420" w:firstLineChars="200"/>
    </w:pPr>
    <w:rPr>
      <w:rFonts w:ascii="Calibri" w:hAnsi="Calibri"/>
      <w:szCs w:val="22"/>
    </w:rPr>
  </w:style>
  <w:style w:type="paragraph" w:customStyle="1" w:styleId="254">
    <w:name w:val="空半行"/>
    <w:basedOn w:val="1"/>
    <w:qFormat/>
    <w:uiPriority w:val="0"/>
    <w:pPr>
      <w:adjustRightInd w:val="0"/>
      <w:spacing w:line="120" w:lineRule="exact"/>
      <w:textAlignment w:val="baseline"/>
    </w:pPr>
    <w:rPr>
      <w:rFonts w:eastAsia="仿宋_GB2312"/>
      <w:color w:val="FFFFFF"/>
      <w:kern w:val="0"/>
      <w:sz w:val="30"/>
      <w:szCs w:val="20"/>
    </w:rPr>
  </w:style>
  <w:style w:type="paragraph" w:customStyle="1" w:styleId="255">
    <w:name w:val="正文_1"/>
    <w:qFormat/>
    <w:uiPriority w:val="0"/>
    <w:rPr>
      <w:rFonts w:ascii="Times New Roman" w:hAnsi="Times New Roman" w:eastAsia="宋体" w:cs="Times New Roman"/>
      <w:sz w:val="21"/>
      <w:szCs w:val="22"/>
      <w:lang w:val="en-US" w:eastAsia="zh-CN" w:bidi="ar-SA"/>
    </w:rPr>
  </w:style>
  <w:style w:type="paragraph" w:customStyle="1" w:styleId="256">
    <w:name w:val="xl154"/>
    <w:basedOn w:val="1"/>
    <w:next w:val="257"/>
    <w:qFormat/>
    <w:uiPriority w:val="0"/>
    <w:pPr>
      <w:widowControl/>
      <w:shd w:val="clear" w:color="000000" w:fill="C0C0C0"/>
      <w:spacing w:before="280" w:after="280"/>
    </w:pPr>
    <w:rPr>
      <w:rFonts w:ascii="宋体" w:hAnsi="宋体" w:cs="宋体"/>
      <w:kern w:val="0"/>
      <w:sz w:val="20"/>
      <w:szCs w:val="20"/>
    </w:rPr>
  </w:style>
  <w:style w:type="paragraph" w:customStyle="1" w:styleId="257">
    <w:name w:val="样式3"/>
    <w:basedOn w:val="6"/>
    <w:next w:val="1"/>
    <w:qFormat/>
    <w:uiPriority w:val="0"/>
    <w:pPr>
      <w:keepNext w:val="0"/>
      <w:keepLines w:val="0"/>
      <w:spacing w:line="240" w:lineRule="auto"/>
      <w:jc w:val="center"/>
    </w:pPr>
    <w:rPr>
      <w:rFonts w:hAnsi="宋体" w:eastAsia="黑体" w:cs="宋体"/>
      <w:bCs w:val="0"/>
      <w:kern w:val="0"/>
      <w:szCs w:val="20"/>
    </w:rPr>
  </w:style>
  <w:style w:type="paragraph" w:customStyle="1" w:styleId="258">
    <w:name w:val="样式10"/>
    <w:next w:val="259"/>
    <w:qFormat/>
    <w:uiPriority w:val="0"/>
    <w:pPr>
      <w:widowControl w:val="0"/>
      <w:jc w:val="center"/>
    </w:pPr>
    <w:rPr>
      <w:rFonts w:ascii="Times New Roman" w:hAnsi="宋体" w:eastAsia="宋体" w:cs="宋体"/>
      <w:sz w:val="18"/>
      <w:lang w:val="en-US" w:eastAsia="zh-CN" w:bidi="ar-SA"/>
    </w:rPr>
  </w:style>
  <w:style w:type="paragraph" w:customStyle="1" w:styleId="259">
    <w:name w:val="Char Char Char Char Char Char Char Char Char Char"/>
    <w:basedOn w:val="1"/>
    <w:next w:val="25"/>
    <w:qFormat/>
    <w:uiPriority w:val="0"/>
    <w:pPr>
      <w:widowControl/>
      <w:spacing w:line="400" w:lineRule="exact"/>
      <w:jc w:val="center"/>
    </w:pPr>
    <w:rPr>
      <w:rFonts w:ascii="Verdana" w:hAnsi="宋体" w:cs="宋体"/>
      <w:kern w:val="0"/>
      <w:szCs w:val="20"/>
    </w:rPr>
  </w:style>
  <w:style w:type="paragraph" w:customStyle="1" w:styleId="260">
    <w:name w:val="标题 4_0"/>
    <w:basedOn w:val="28"/>
    <w:next w:val="28"/>
    <w:qFormat/>
    <w:uiPriority w:val="0"/>
    <w:pPr>
      <w:keepNext/>
      <w:keepLines/>
      <w:spacing w:before="280" w:after="290" w:line="372" w:lineRule="auto"/>
      <w:outlineLvl w:val="3"/>
    </w:pPr>
    <w:rPr>
      <w:rFonts w:ascii="Cambria" w:hAnsi="Cambria"/>
      <w:b/>
      <w:bCs/>
      <w:sz w:val="28"/>
      <w:szCs w:val="28"/>
    </w:rPr>
  </w:style>
  <w:style w:type="paragraph" w:customStyle="1" w:styleId="261">
    <w:name w:val="Char11"/>
    <w:basedOn w:val="1"/>
    <w:next w:val="262"/>
    <w:qFormat/>
    <w:uiPriority w:val="0"/>
    <w:pPr>
      <w:widowControl/>
      <w:spacing w:line="400" w:lineRule="exact"/>
      <w:jc w:val="center"/>
    </w:pPr>
    <w:rPr>
      <w:rFonts w:hAnsi="宋体" w:cs="宋体"/>
      <w:kern w:val="0"/>
      <w:szCs w:val="20"/>
    </w:rPr>
  </w:style>
  <w:style w:type="paragraph" w:customStyle="1" w:styleId="262">
    <w:name w:val="TOC 51"/>
    <w:next w:val="1"/>
    <w:qFormat/>
    <w:uiPriority w:val="0"/>
    <w:pPr>
      <w:wordWrap w:val="0"/>
      <w:ind w:left="1700"/>
      <w:jc w:val="both"/>
    </w:pPr>
    <w:rPr>
      <w:rFonts w:ascii="宋体" w:hAnsi="宋体" w:eastAsia="宋体" w:cs="宋体"/>
      <w:sz w:val="21"/>
      <w:lang w:val="en-US" w:eastAsia="zh-CN" w:bidi="ar-SA"/>
    </w:rPr>
  </w:style>
  <w:style w:type="paragraph" w:customStyle="1" w:styleId="263">
    <w:name w:val="Char Char11"/>
    <w:basedOn w:val="1"/>
    <w:qFormat/>
    <w:uiPriority w:val="0"/>
  </w:style>
  <w:style w:type="paragraph" w:customStyle="1" w:styleId="264">
    <w:name w:val="xl165"/>
    <w:basedOn w:val="1"/>
    <w:next w:val="265"/>
    <w:qFormat/>
    <w:uiPriority w:val="0"/>
    <w:pPr>
      <w:widowControl/>
      <w:spacing w:before="280" w:after="280"/>
    </w:pPr>
    <w:rPr>
      <w:rFonts w:ascii="宋体" w:hAnsi="宋体" w:cs="宋体"/>
      <w:kern w:val="0"/>
      <w:sz w:val="18"/>
      <w:szCs w:val="20"/>
    </w:rPr>
  </w:style>
  <w:style w:type="paragraph" w:customStyle="1" w:styleId="265">
    <w:name w:val="样式 标题 3 + (中文) 黑体 小四 非加粗 段前: 7.8 磅 段后: 0 磅 行距: 固定值 20 磅"/>
    <w:basedOn w:val="6"/>
    <w:qFormat/>
    <w:uiPriority w:val="0"/>
    <w:pPr>
      <w:spacing w:before="0" w:after="0" w:line="400" w:lineRule="exact"/>
    </w:pPr>
    <w:rPr>
      <w:rFonts w:eastAsia="黑体" w:cs="宋体"/>
      <w:b w:val="0"/>
      <w:bCs w:val="0"/>
      <w:sz w:val="21"/>
      <w:szCs w:val="20"/>
    </w:rPr>
  </w:style>
  <w:style w:type="paragraph" w:customStyle="1" w:styleId="266">
    <w:name w:val="Char Char Char"/>
    <w:basedOn w:val="1"/>
    <w:next w:val="267"/>
    <w:qFormat/>
    <w:uiPriority w:val="0"/>
    <w:pPr>
      <w:ind w:left="420" w:hanging="420"/>
    </w:pPr>
    <w:rPr>
      <w:rFonts w:ascii="Tahoma" w:hAnsi="宋体" w:cs="宋体"/>
      <w:kern w:val="0"/>
      <w:sz w:val="24"/>
      <w:szCs w:val="20"/>
    </w:rPr>
  </w:style>
  <w:style w:type="paragraph" w:customStyle="1" w:styleId="267">
    <w:name w:val="xl144"/>
    <w:basedOn w:val="1"/>
    <w:next w:val="268"/>
    <w:qFormat/>
    <w:uiPriority w:val="0"/>
    <w:pPr>
      <w:widowControl/>
      <w:spacing w:before="280" w:after="280"/>
      <w:jc w:val="center"/>
    </w:pPr>
    <w:rPr>
      <w:rFonts w:ascii="宋体" w:hAnsi="宋体" w:cs="宋体"/>
      <w:kern w:val="0"/>
      <w:sz w:val="20"/>
      <w:szCs w:val="20"/>
    </w:rPr>
  </w:style>
  <w:style w:type="paragraph" w:customStyle="1" w:styleId="268">
    <w:name w:val="font11"/>
    <w:basedOn w:val="1"/>
    <w:next w:val="269"/>
    <w:qFormat/>
    <w:uiPriority w:val="0"/>
    <w:pPr>
      <w:widowControl/>
      <w:spacing w:before="280" w:after="280"/>
    </w:pPr>
    <w:rPr>
      <w:rFonts w:ascii="宋体" w:hAnsi="宋体" w:cs="宋体"/>
      <w:kern w:val="0"/>
      <w:sz w:val="18"/>
      <w:szCs w:val="20"/>
    </w:rPr>
  </w:style>
  <w:style w:type="paragraph" w:customStyle="1" w:styleId="269">
    <w:name w:val="msoquote"/>
    <w:basedOn w:val="1"/>
    <w:next w:val="1"/>
    <w:qFormat/>
    <w:uiPriority w:val="0"/>
    <w:rPr>
      <w:rFonts w:hAnsi="宋体" w:cs="宋体"/>
      <w:i/>
      <w:color w:val="000000"/>
      <w:kern w:val="0"/>
      <w:szCs w:val="20"/>
    </w:rPr>
  </w:style>
  <w:style w:type="paragraph" w:customStyle="1" w:styleId="270">
    <w:name w:val="xl132"/>
    <w:basedOn w:val="1"/>
    <w:next w:val="1"/>
    <w:qFormat/>
    <w:uiPriority w:val="0"/>
    <w:pPr>
      <w:widowControl/>
      <w:shd w:val="clear" w:color="000000" w:fill="0066CC"/>
      <w:spacing w:before="280" w:after="280"/>
      <w:jc w:val="center"/>
    </w:pPr>
    <w:rPr>
      <w:rFonts w:ascii="宋体" w:hAnsi="宋体" w:cs="宋体"/>
      <w:kern w:val="0"/>
      <w:sz w:val="20"/>
      <w:szCs w:val="20"/>
    </w:rPr>
  </w:style>
  <w:style w:type="paragraph" w:customStyle="1" w:styleId="271">
    <w:name w:val="列出段落2"/>
    <w:basedOn w:val="1"/>
    <w:qFormat/>
    <w:uiPriority w:val="0"/>
    <w:pPr>
      <w:ind w:firstLine="420" w:firstLineChars="200"/>
    </w:pPr>
    <w:rPr>
      <w:rFonts w:ascii="Calibri" w:hAnsi="Calibri"/>
      <w:szCs w:val="20"/>
    </w:rPr>
  </w:style>
  <w:style w:type="paragraph" w:customStyle="1" w:styleId="272">
    <w:name w:val="Char Char Char1 Char2"/>
    <w:basedOn w:val="1"/>
    <w:qFormat/>
    <w:uiPriority w:val="0"/>
    <w:rPr>
      <w:szCs w:val="20"/>
    </w:rPr>
  </w:style>
  <w:style w:type="paragraph" w:customStyle="1" w:styleId="273">
    <w:name w:val="样式 标题 1 + 居中"/>
    <w:basedOn w:val="4"/>
    <w:next w:val="31"/>
    <w:qFormat/>
    <w:uiPriority w:val="0"/>
    <w:pPr>
      <w:keepNext w:val="0"/>
      <w:keepLines w:val="0"/>
      <w:spacing w:line="576" w:lineRule="auto"/>
      <w:jc w:val="center"/>
    </w:pPr>
    <w:rPr>
      <w:rFonts w:hAnsi="宋体" w:cs="宋体"/>
      <w:bCs w:val="0"/>
      <w:kern w:val="0"/>
      <w:sz w:val="32"/>
      <w:szCs w:val="20"/>
    </w:rPr>
  </w:style>
  <w:style w:type="paragraph" w:customStyle="1" w:styleId="274">
    <w:name w:val="Char Char Char Char Char Char Char Char Char Char Char Char Char Char Char"/>
    <w:basedOn w:val="1"/>
    <w:next w:val="275"/>
    <w:qFormat/>
    <w:uiPriority w:val="0"/>
    <w:pPr>
      <w:widowControl/>
      <w:spacing w:line="400" w:lineRule="exact"/>
      <w:jc w:val="center"/>
    </w:pPr>
    <w:rPr>
      <w:rFonts w:ascii="Verdana" w:hAnsi="宋体" w:cs="宋体"/>
      <w:kern w:val="0"/>
      <w:szCs w:val="20"/>
    </w:rPr>
  </w:style>
  <w:style w:type="paragraph" w:customStyle="1" w:styleId="275">
    <w:name w:val="Char1"/>
    <w:basedOn w:val="1"/>
    <w:qFormat/>
    <w:uiPriority w:val="0"/>
    <w:pPr>
      <w:widowControl/>
      <w:spacing w:after="160" w:line="240" w:lineRule="exact"/>
      <w:jc w:val="left"/>
    </w:pPr>
  </w:style>
  <w:style w:type="paragraph" w:customStyle="1" w:styleId="276">
    <w:name w:val="正文2"/>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277">
    <w:name w:val="font6"/>
    <w:basedOn w:val="1"/>
    <w:next w:val="278"/>
    <w:qFormat/>
    <w:uiPriority w:val="0"/>
    <w:pPr>
      <w:widowControl/>
      <w:spacing w:before="280" w:after="280"/>
    </w:pPr>
    <w:rPr>
      <w:rFonts w:ascii="宋体" w:hAnsi="宋体" w:cs="宋体"/>
      <w:kern w:val="0"/>
      <w:sz w:val="20"/>
      <w:szCs w:val="20"/>
    </w:rPr>
  </w:style>
  <w:style w:type="paragraph" w:customStyle="1" w:styleId="278">
    <w:name w:val="reader-word-layer reader-word-s1-5"/>
    <w:basedOn w:val="1"/>
    <w:next w:val="20"/>
    <w:qFormat/>
    <w:uiPriority w:val="0"/>
    <w:pPr>
      <w:widowControl/>
      <w:spacing w:before="280" w:after="280"/>
    </w:pPr>
    <w:rPr>
      <w:rFonts w:ascii="宋体" w:hAnsi="宋体" w:cs="宋体"/>
      <w:kern w:val="0"/>
      <w:sz w:val="24"/>
      <w:szCs w:val="20"/>
    </w:rPr>
  </w:style>
  <w:style w:type="paragraph" w:customStyle="1" w:styleId="279">
    <w:name w:val="xl138"/>
    <w:basedOn w:val="1"/>
    <w:next w:val="280"/>
    <w:qFormat/>
    <w:uiPriority w:val="0"/>
    <w:pPr>
      <w:widowControl/>
      <w:spacing w:before="280" w:after="280"/>
      <w:jc w:val="center"/>
    </w:pPr>
    <w:rPr>
      <w:rFonts w:ascii="宋体" w:hAnsi="宋体" w:cs="宋体"/>
      <w:kern w:val="0"/>
      <w:sz w:val="24"/>
      <w:szCs w:val="20"/>
    </w:rPr>
  </w:style>
  <w:style w:type="paragraph" w:customStyle="1" w:styleId="280">
    <w:name w:val="Paragraph P1&amp;2"/>
    <w:basedOn w:val="1"/>
    <w:next w:val="281"/>
    <w:qFormat/>
    <w:uiPriority w:val="0"/>
    <w:pPr>
      <w:widowControl/>
      <w:spacing w:before="40" w:after="60" w:line="360" w:lineRule="auto"/>
      <w:ind w:left="720" w:hanging="360"/>
    </w:pPr>
    <w:rPr>
      <w:rFonts w:ascii="宋体" w:hAnsi="宋体" w:cs="宋体"/>
      <w:color w:val="FF0000"/>
      <w:kern w:val="0"/>
      <w:sz w:val="24"/>
      <w:szCs w:val="20"/>
    </w:rPr>
  </w:style>
  <w:style w:type="paragraph" w:customStyle="1" w:styleId="281">
    <w:name w:val="xl169"/>
    <w:basedOn w:val="1"/>
    <w:next w:val="282"/>
    <w:qFormat/>
    <w:uiPriority w:val="0"/>
    <w:pPr>
      <w:widowControl/>
      <w:shd w:val="clear" w:color="000000" w:fill="C0C0C0"/>
      <w:spacing w:before="280" w:after="280"/>
      <w:jc w:val="center"/>
    </w:pPr>
    <w:rPr>
      <w:rFonts w:ascii="宋体" w:hAnsi="宋体" w:cs="宋体"/>
      <w:kern w:val="0"/>
      <w:sz w:val="20"/>
      <w:szCs w:val="20"/>
    </w:rPr>
  </w:style>
  <w:style w:type="paragraph" w:customStyle="1" w:styleId="282">
    <w:name w:val="Char Char1 Char Char Char Char Char Char Char Char Char Char Char Char Char Char"/>
    <w:basedOn w:val="1"/>
    <w:next w:val="283"/>
    <w:qFormat/>
    <w:uiPriority w:val="0"/>
    <w:pPr>
      <w:spacing w:after="160" w:line="240" w:lineRule="exact"/>
    </w:pPr>
    <w:rPr>
      <w:rFonts w:hAnsi="宋体" w:cs="宋体"/>
      <w:kern w:val="0"/>
      <w:szCs w:val="20"/>
    </w:rPr>
  </w:style>
  <w:style w:type="paragraph" w:customStyle="1" w:styleId="283">
    <w:name w:val="xl170"/>
    <w:basedOn w:val="1"/>
    <w:next w:val="284"/>
    <w:qFormat/>
    <w:uiPriority w:val="0"/>
    <w:pPr>
      <w:widowControl/>
      <w:shd w:val="clear" w:color="000000" w:fill="0066CC"/>
      <w:spacing w:before="280" w:after="280"/>
      <w:jc w:val="center"/>
    </w:pPr>
    <w:rPr>
      <w:rFonts w:ascii="宋体" w:hAnsi="宋体" w:cs="宋体"/>
      <w:kern w:val="0"/>
      <w:sz w:val="20"/>
      <w:szCs w:val="20"/>
    </w:rPr>
  </w:style>
  <w:style w:type="paragraph" w:customStyle="1" w:styleId="284">
    <w:name w:val="reader-word-layer reader-word-s1-9"/>
    <w:basedOn w:val="1"/>
    <w:next w:val="43"/>
    <w:qFormat/>
    <w:uiPriority w:val="0"/>
    <w:pPr>
      <w:widowControl/>
      <w:spacing w:before="280" w:after="280"/>
    </w:pPr>
    <w:rPr>
      <w:rFonts w:ascii="宋体" w:hAnsi="宋体" w:cs="宋体"/>
      <w:kern w:val="0"/>
      <w:sz w:val="24"/>
      <w:szCs w:val="20"/>
    </w:rPr>
  </w:style>
  <w:style w:type="paragraph" w:customStyle="1" w:styleId="285">
    <w:name w:val="xl145"/>
    <w:basedOn w:val="1"/>
    <w:next w:val="286"/>
    <w:qFormat/>
    <w:uiPriority w:val="0"/>
    <w:pPr>
      <w:widowControl/>
      <w:spacing w:before="280" w:after="280"/>
      <w:jc w:val="center"/>
    </w:pPr>
    <w:rPr>
      <w:rFonts w:ascii="宋体" w:hAnsi="宋体" w:cs="宋体"/>
      <w:color w:val="000000"/>
      <w:kern w:val="0"/>
      <w:sz w:val="20"/>
      <w:szCs w:val="20"/>
    </w:rPr>
  </w:style>
  <w:style w:type="paragraph" w:customStyle="1" w:styleId="286">
    <w:name w:val="Char Char Char Char Char Char Char Char Char Char Char Char Char Char Char Char Char Char Char"/>
    <w:basedOn w:val="1"/>
    <w:next w:val="1"/>
    <w:qFormat/>
    <w:uiPriority w:val="0"/>
    <w:pPr>
      <w:widowControl/>
      <w:spacing w:line="400" w:lineRule="exact"/>
      <w:jc w:val="center"/>
    </w:pPr>
    <w:rPr>
      <w:rFonts w:ascii="Verdana" w:hAnsi="宋体" w:cs="宋体"/>
      <w:kern w:val="0"/>
      <w:szCs w:val="20"/>
    </w:rPr>
  </w:style>
  <w:style w:type="paragraph" w:customStyle="1" w:styleId="287">
    <w:name w:val="Address"/>
    <w:basedOn w:val="1"/>
    <w:next w:val="1"/>
    <w:qFormat/>
    <w:uiPriority w:val="0"/>
    <w:pPr>
      <w:autoSpaceDE w:val="0"/>
      <w:autoSpaceDN w:val="0"/>
      <w:adjustRightInd w:val="0"/>
      <w:jc w:val="left"/>
    </w:pPr>
    <w:rPr>
      <w:rFonts w:ascii="@时尚中黑简体"/>
      <w:i/>
      <w:kern w:val="0"/>
      <w:sz w:val="24"/>
      <w:szCs w:val="20"/>
    </w:rPr>
  </w:style>
  <w:style w:type="paragraph" w:customStyle="1" w:styleId="288">
    <w:name w:val="列表1）"/>
    <w:next w:val="289"/>
    <w:qFormat/>
    <w:uiPriority w:val="0"/>
    <w:pPr>
      <w:widowControl w:val="0"/>
      <w:spacing w:before="10"/>
      <w:jc w:val="both"/>
    </w:pPr>
    <w:rPr>
      <w:rFonts w:ascii="Verdana" w:hAnsi="宋体" w:eastAsia="宋体" w:cs="宋体"/>
      <w:sz w:val="21"/>
      <w:lang w:val="en-US" w:eastAsia="zh-CN" w:bidi="ar-SA"/>
    </w:rPr>
  </w:style>
  <w:style w:type="paragraph" w:customStyle="1" w:styleId="289">
    <w:name w:val="样式1"/>
    <w:basedOn w:val="1"/>
    <w:next w:val="7"/>
    <w:qFormat/>
    <w:uiPriority w:val="0"/>
    <w:pPr>
      <w:spacing w:line="360" w:lineRule="auto"/>
      <w:ind w:firstLine="420" w:firstLineChars="200"/>
    </w:pPr>
    <w:rPr>
      <w:rFonts w:ascii="宋体" w:hAnsi="宋体"/>
      <w:szCs w:val="21"/>
    </w:rPr>
  </w:style>
  <w:style w:type="paragraph" w:customStyle="1" w:styleId="290">
    <w:name w:val="xl171"/>
    <w:basedOn w:val="1"/>
    <w:next w:val="291"/>
    <w:qFormat/>
    <w:uiPriority w:val="0"/>
    <w:pPr>
      <w:widowControl/>
      <w:spacing w:before="280" w:after="280"/>
      <w:jc w:val="center"/>
    </w:pPr>
    <w:rPr>
      <w:rFonts w:ascii="华文中宋" w:hAnsi="宋体" w:eastAsia="华文中宋" w:cs="宋体"/>
      <w:kern w:val="0"/>
      <w:sz w:val="24"/>
      <w:szCs w:val="20"/>
    </w:rPr>
  </w:style>
  <w:style w:type="paragraph" w:customStyle="1" w:styleId="291">
    <w:name w:val="style1"/>
    <w:basedOn w:val="1"/>
    <w:next w:val="292"/>
    <w:qFormat/>
    <w:uiPriority w:val="0"/>
    <w:pPr>
      <w:widowControl/>
      <w:spacing w:before="280" w:after="280"/>
    </w:pPr>
    <w:rPr>
      <w:rFonts w:ascii="宋体" w:hAnsi="宋体" w:cs="宋体"/>
      <w:kern w:val="0"/>
      <w:sz w:val="24"/>
      <w:szCs w:val="20"/>
    </w:rPr>
  </w:style>
  <w:style w:type="paragraph" w:customStyle="1" w:styleId="292">
    <w:name w:val="百姓X"/>
    <w:basedOn w:val="1"/>
    <w:next w:val="293"/>
    <w:qFormat/>
    <w:uiPriority w:val="0"/>
    <w:pPr>
      <w:spacing w:before="120" w:after="120" w:line="360" w:lineRule="auto"/>
      <w:ind w:firstLine="540"/>
    </w:pPr>
    <w:rPr>
      <w:rFonts w:ascii="Arial Narrow" w:hAnsi="宋体" w:cs="宋体"/>
      <w:kern w:val="0"/>
      <w:sz w:val="24"/>
      <w:szCs w:val="20"/>
    </w:rPr>
  </w:style>
  <w:style w:type="paragraph" w:customStyle="1" w:styleId="293">
    <w:name w:val="TOC 91"/>
    <w:next w:val="1"/>
    <w:qFormat/>
    <w:uiPriority w:val="0"/>
    <w:pPr>
      <w:wordWrap w:val="0"/>
      <w:ind w:left="3400"/>
      <w:jc w:val="both"/>
    </w:pPr>
    <w:rPr>
      <w:rFonts w:ascii="宋体" w:hAnsi="宋体" w:eastAsia="宋体" w:cs="宋体"/>
      <w:sz w:val="21"/>
      <w:lang w:val="en-US" w:eastAsia="zh-CN" w:bidi="ar-SA"/>
    </w:rPr>
  </w:style>
  <w:style w:type="paragraph" w:customStyle="1" w:styleId="294">
    <w:name w:val="Char Char2 Char Char Char Char1"/>
    <w:basedOn w:val="1"/>
    <w:qFormat/>
    <w:uiPriority w:val="0"/>
    <w:rPr>
      <w:rFonts w:ascii="Tahoma" w:hAnsi="Tahoma"/>
      <w:sz w:val="24"/>
      <w:szCs w:val="20"/>
    </w:rPr>
  </w:style>
  <w:style w:type="paragraph" w:customStyle="1" w:styleId="295">
    <w:name w:val="标题 3_0"/>
    <w:basedOn w:val="28"/>
    <w:next w:val="28"/>
    <w:qFormat/>
    <w:uiPriority w:val="0"/>
    <w:pPr>
      <w:keepNext/>
      <w:keepLines/>
      <w:spacing w:before="260" w:after="260" w:line="413" w:lineRule="auto"/>
      <w:outlineLvl w:val="2"/>
    </w:pPr>
    <w:rPr>
      <w:rFonts w:ascii="Times New Roman" w:hAnsi="Times New Roman"/>
      <w:b/>
      <w:bCs/>
      <w:sz w:val="32"/>
      <w:szCs w:val="32"/>
    </w:rPr>
  </w:style>
  <w:style w:type="paragraph" w:customStyle="1" w:styleId="296">
    <w:name w:val="font10"/>
    <w:basedOn w:val="1"/>
    <w:next w:val="76"/>
    <w:qFormat/>
    <w:uiPriority w:val="0"/>
    <w:pPr>
      <w:widowControl/>
      <w:spacing w:before="280" w:after="280"/>
    </w:pPr>
    <w:rPr>
      <w:rFonts w:ascii="宋体" w:hAnsi="宋体" w:cs="宋体"/>
      <w:kern w:val="0"/>
      <w:sz w:val="16"/>
      <w:szCs w:val="20"/>
    </w:rPr>
  </w:style>
  <w:style w:type="paragraph" w:customStyle="1" w:styleId="297">
    <w:name w:val="Char Char Char1 Char"/>
    <w:basedOn w:val="1"/>
    <w:next w:val="36"/>
    <w:qFormat/>
    <w:uiPriority w:val="0"/>
    <w:rPr>
      <w:rFonts w:hAnsi="宋体" w:cs="宋体"/>
      <w:kern w:val="0"/>
      <w:szCs w:val="20"/>
    </w:rPr>
  </w:style>
  <w:style w:type="paragraph" w:customStyle="1" w:styleId="298">
    <w:name w:val="普通(网站)1"/>
    <w:basedOn w:val="1"/>
    <w:next w:val="1"/>
    <w:qFormat/>
    <w:uiPriority w:val="0"/>
    <w:pPr>
      <w:widowControl/>
      <w:wordWrap w:val="0"/>
    </w:pPr>
    <w:rPr>
      <w:rFonts w:hAnsi="宋体" w:eastAsia="Times New Roman" w:cs="宋体"/>
      <w:kern w:val="0"/>
      <w:sz w:val="24"/>
      <w:szCs w:val="20"/>
    </w:rPr>
  </w:style>
  <w:style w:type="paragraph" w:customStyle="1" w:styleId="299">
    <w:name w:val="样式 首行缩进:  2 字符"/>
    <w:basedOn w:val="1"/>
    <w:next w:val="300"/>
    <w:qFormat/>
    <w:uiPriority w:val="0"/>
    <w:pPr>
      <w:spacing w:line="360" w:lineRule="auto"/>
      <w:ind w:firstLine="480"/>
    </w:pPr>
    <w:rPr>
      <w:rFonts w:ascii="Arial" w:hAnsi="宋体" w:cs="宋体"/>
      <w:kern w:val="0"/>
      <w:sz w:val="24"/>
      <w:szCs w:val="20"/>
    </w:rPr>
  </w:style>
  <w:style w:type="paragraph" w:customStyle="1" w:styleId="300">
    <w:name w:val="paragraphindent"/>
    <w:basedOn w:val="1"/>
    <w:next w:val="301"/>
    <w:qFormat/>
    <w:uiPriority w:val="0"/>
    <w:pPr>
      <w:widowControl/>
      <w:spacing w:before="280" w:after="280"/>
    </w:pPr>
    <w:rPr>
      <w:rFonts w:ascii="宋体" w:hAnsi="宋体" w:cs="宋体"/>
      <w:kern w:val="0"/>
      <w:sz w:val="24"/>
      <w:szCs w:val="20"/>
    </w:rPr>
  </w:style>
  <w:style w:type="paragraph" w:customStyle="1" w:styleId="301">
    <w:name w:val="列出段落11"/>
    <w:basedOn w:val="1"/>
    <w:next w:val="18"/>
    <w:qFormat/>
    <w:uiPriority w:val="0"/>
    <w:pPr>
      <w:ind w:firstLine="420"/>
    </w:pPr>
    <w:rPr>
      <w:rFonts w:ascii="Calibri" w:hAnsi="宋体" w:cs="宋体"/>
      <w:kern w:val="0"/>
      <w:szCs w:val="20"/>
    </w:rPr>
  </w:style>
  <w:style w:type="paragraph" w:customStyle="1" w:styleId="302">
    <w:name w:val="Char Char1 Char Char Char1"/>
    <w:basedOn w:val="18"/>
    <w:qFormat/>
    <w:uiPriority w:val="0"/>
    <w:rPr>
      <w:shd w:val="clear" w:color="auto" w:fill="auto"/>
    </w:rPr>
  </w:style>
  <w:style w:type="paragraph" w:customStyle="1" w:styleId="303">
    <w:name w:val="2-2ji"/>
    <w:basedOn w:val="5"/>
    <w:uiPriority w:val="0"/>
    <w:pPr>
      <w:spacing w:before="0" w:after="0" w:line="360" w:lineRule="auto"/>
      <w:jc w:val="center"/>
    </w:pPr>
    <w:rPr>
      <w:rFonts w:ascii="宋体" w:hAnsi="宋体" w:eastAsia="宋体"/>
      <w:sz w:val="36"/>
      <w:szCs w:val="24"/>
    </w:rPr>
  </w:style>
  <w:style w:type="paragraph" w:customStyle="1" w:styleId="304">
    <w:name w:val="xl159"/>
    <w:basedOn w:val="1"/>
    <w:next w:val="290"/>
    <w:qFormat/>
    <w:uiPriority w:val="0"/>
    <w:pPr>
      <w:widowControl/>
      <w:spacing w:before="280" w:after="280"/>
    </w:pPr>
    <w:rPr>
      <w:rFonts w:ascii="宋体" w:hAnsi="宋体" w:cs="宋体"/>
      <w:b/>
      <w:kern w:val="0"/>
      <w:sz w:val="18"/>
      <w:szCs w:val="20"/>
    </w:rPr>
  </w:style>
  <w:style w:type="paragraph" w:customStyle="1" w:styleId="305">
    <w:name w:val="xl166"/>
    <w:basedOn w:val="1"/>
    <w:next w:val="1"/>
    <w:qFormat/>
    <w:uiPriority w:val="0"/>
    <w:pPr>
      <w:widowControl/>
      <w:spacing w:before="280" w:after="280"/>
    </w:pPr>
    <w:rPr>
      <w:rFonts w:ascii="宋体" w:hAnsi="宋体" w:cs="宋体"/>
      <w:kern w:val="0"/>
      <w:sz w:val="24"/>
      <w:szCs w:val="20"/>
    </w:rPr>
  </w:style>
  <w:style w:type="paragraph" w:customStyle="1" w:styleId="306">
    <w:name w:val="xl153"/>
    <w:basedOn w:val="1"/>
    <w:next w:val="1"/>
    <w:qFormat/>
    <w:uiPriority w:val="0"/>
    <w:pPr>
      <w:widowControl/>
      <w:shd w:val="clear" w:color="000000" w:fill="C0C0C0"/>
      <w:spacing w:before="280" w:after="280"/>
    </w:pPr>
    <w:rPr>
      <w:rFonts w:ascii="宋体" w:hAnsi="宋体" w:cs="宋体"/>
      <w:kern w:val="0"/>
      <w:sz w:val="20"/>
      <w:szCs w:val="20"/>
    </w:rPr>
  </w:style>
  <w:style w:type="paragraph" w:customStyle="1" w:styleId="307">
    <w:name w:val="Char2"/>
    <w:basedOn w:val="1"/>
    <w:qFormat/>
    <w:uiPriority w:val="0"/>
    <w:pPr>
      <w:widowControl/>
      <w:spacing w:line="400" w:lineRule="exact"/>
      <w:jc w:val="center"/>
    </w:pPr>
  </w:style>
  <w:style w:type="paragraph" w:customStyle="1" w:styleId="308">
    <w:name w:val="_Style 10"/>
    <w:basedOn w:val="1"/>
    <w:next w:val="309"/>
    <w:qFormat/>
    <w:uiPriority w:val="0"/>
    <w:pPr>
      <w:widowControl/>
      <w:spacing w:line="400" w:lineRule="exact"/>
      <w:jc w:val="center"/>
    </w:pPr>
    <w:rPr>
      <w:rFonts w:hAnsi="宋体" w:cs="宋体"/>
      <w:kern w:val="0"/>
      <w:szCs w:val="20"/>
    </w:rPr>
  </w:style>
  <w:style w:type="paragraph" w:customStyle="1" w:styleId="309">
    <w:name w:val="xl151"/>
    <w:basedOn w:val="1"/>
    <w:next w:val="310"/>
    <w:qFormat/>
    <w:uiPriority w:val="0"/>
    <w:pPr>
      <w:widowControl/>
      <w:spacing w:before="280" w:after="280"/>
    </w:pPr>
    <w:rPr>
      <w:rFonts w:ascii="宋体" w:hAnsi="宋体" w:cs="宋体"/>
      <w:kern w:val="0"/>
      <w:sz w:val="24"/>
      <w:szCs w:val="20"/>
    </w:rPr>
  </w:style>
  <w:style w:type="paragraph" w:customStyle="1" w:styleId="310">
    <w:name w:val="p15"/>
    <w:basedOn w:val="1"/>
    <w:next w:val="311"/>
    <w:qFormat/>
    <w:uiPriority w:val="0"/>
    <w:pPr>
      <w:widowControl/>
      <w:ind w:firstLine="420"/>
    </w:pPr>
    <w:rPr>
      <w:rFonts w:hAnsi="宋体" w:cs="宋体"/>
      <w:kern w:val="0"/>
      <w:szCs w:val="20"/>
    </w:rPr>
  </w:style>
  <w:style w:type="paragraph" w:customStyle="1" w:styleId="311">
    <w:name w:val="TOC Heading1"/>
    <w:next w:val="1"/>
    <w:uiPriority w:val="0"/>
    <w:pPr>
      <w:wordWrap w:val="0"/>
    </w:pPr>
    <w:rPr>
      <w:rFonts w:ascii="宋体" w:hAnsi="宋体" w:eastAsia="宋体" w:cs="宋体"/>
      <w:sz w:val="32"/>
      <w:lang w:val="en-US" w:eastAsia="zh-CN" w:bidi="ar-SA"/>
    </w:rPr>
  </w:style>
  <w:style w:type="paragraph" w:customStyle="1" w:styleId="312">
    <w:name w:val="xl130"/>
    <w:basedOn w:val="1"/>
    <w:next w:val="313"/>
    <w:qFormat/>
    <w:uiPriority w:val="0"/>
    <w:pPr>
      <w:widowControl/>
      <w:spacing w:before="280" w:after="280"/>
    </w:pPr>
    <w:rPr>
      <w:rFonts w:ascii="宋体" w:hAnsi="宋体" w:cs="宋体"/>
      <w:kern w:val="0"/>
      <w:sz w:val="24"/>
      <w:szCs w:val="20"/>
    </w:rPr>
  </w:style>
  <w:style w:type="paragraph" w:customStyle="1" w:styleId="313">
    <w:name w:val="Char Char Char1 Char11"/>
    <w:basedOn w:val="1"/>
    <w:next w:val="314"/>
    <w:qFormat/>
    <w:uiPriority w:val="0"/>
    <w:rPr>
      <w:rFonts w:hAnsi="宋体" w:cs="宋体"/>
      <w:kern w:val="0"/>
      <w:szCs w:val="20"/>
    </w:rPr>
  </w:style>
  <w:style w:type="paragraph" w:customStyle="1" w:styleId="314">
    <w:name w:val="prodsubtitle"/>
    <w:basedOn w:val="1"/>
    <w:next w:val="21"/>
    <w:qFormat/>
    <w:uiPriority w:val="0"/>
    <w:pPr>
      <w:widowControl/>
    </w:pPr>
    <w:rPr>
      <w:rFonts w:ascii="宋体" w:hAnsi="宋体" w:cs="宋体"/>
      <w:kern w:val="0"/>
      <w:sz w:val="24"/>
      <w:szCs w:val="20"/>
    </w:rPr>
  </w:style>
  <w:style w:type="paragraph" w:customStyle="1" w:styleId="315">
    <w:name w:val="reader-word-layer"/>
    <w:basedOn w:val="1"/>
    <w:uiPriority w:val="0"/>
    <w:pPr>
      <w:widowControl/>
      <w:spacing w:before="100" w:beforeAutospacing="1" w:after="100" w:afterAutospacing="1"/>
      <w:jc w:val="left"/>
    </w:pPr>
    <w:rPr>
      <w:rFonts w:ascii="宋体" w:hAnsi="宋体" w:cs="宋体"/>
      <w:kern w:val="0"/>
      <w:sz w:val="24"/>
    </w:rPr>
  </w:style>
  <w:style w:type="paragraph" w:customStyle="1" w:styleId="316">
    <w:name w:val="_Style 17"/>
    <w:basedOn w:val="1"/>
    <w:next w:val="270"/>
    <w:qFormat/>
    <w:uiPriority w:val="0"/>
    <w:pPr>
      <w:widowControl/>
      <w:spacing w:line="400" w:lineRule="exact"/>
      <w:jc w:val="center"/>
    </w:pPr>
    <w:rPr>
      <w:rFonts w:hAnsi="宋体" w:cs="宋体"/>
      <w:kern w:val="0"/>
      <w:szCs w:val="20"/>
    </w:rPr>
  </w:style>
  <w:style w:type="paragraph" w:customStyle="1" w:styleId="317">
    <w:name w:val="Char Char Char Char Char Char Char11"/>
    <w:basedOn w:val="1"/>
    <w:qFormat/>
    <w:uiPriority w:val="0"/>
    <w:pPr>
      <w:widowControl/>
      <w:spacing w:line="400" w:lineRule="exact"/>
      <w:jc w:val="center"/>
    </w:pPr>
    <w:rPr>
      <w:rFonts w:ascii="Verdana" w:hAnsi="Verdana"/>
      <w:kern w:val="0"/>
      <w:szCs w:val="20"/>
      <w:lang w:eastAsia="en-US"/>
    </w:rPr>
  </w:style>
  <w:style w:type="paragraph" w:customStyle="1" w:styleId="318">
    <w:name w:val="pa-0"/>
    <w:basedOn w:val="1"/>
    <w:next w:val="319"/>
    <w:qFormat/>
    <w:uiPriority w:val="0"/>
    <w:pPr>
      <w:widowControl/>
      <w:spacing w:line="240" w:lineRule="atLeast"/>
    </w:pPr>
    <w:rPr>
      <w:rFonts w:ascii="宋体" w:hAnsi="宋体" w:cs="宋体"/>
      <w:kern w:val="0"/>
      <w:sz w:val="24"/>
      <w:szCs w:val="20"/>
    </w:rPr>
  </w:style>
  <w:style w:type="paragraph" w:customStyle="1" w:styleId="319">
    <w:name w:val="标准正文"/>
    <w:basedOn w:val="1"/>
    <w:next w:val="320"/>
    <w:qFormat/>
    <w:uiPriority w:val="0"/>
    <w:pPr>
      <w:spacing w:line="312" w:lineRule="auto"/>
      <w:ind w:firstLine="482"/>
    </w:pPr>
    <w:rPr>
      <w:rFonts w:hAnsi="宋体" w:cs="宋体"/>
      <w:kern w:val="0"/>
      <w:sz w:val="24"/>
      <w:szCs w:val="20"/>
    </w:rPr>
  </w:style>
  <w:style w:type="paragraph" w:customStyle="1" w:styleId="320">
    <w:name w:val="font5"/>
    <w:basedOn w:val="1"/>
    <w:next w:val="321"/>
    <w:qFormat/>
    <w:uiPriority w:val="0"/>
    <w:pPr>
      <w:widowControl/>
      <w:spacing w:before="280" w:after="280"/>
    </w:pPr>
    <w:rPr>
      <w:rFonts w:ascii="宋体" w:hAnsi="宋体" w:cs="宋体"/>
      <w:kern w:val="0"/>
      <w:sz w:val="18"/>
      <w:szCs w:val="20"/>
    </w:rPr>
  </w:style>
  <w:style w:type="paragraph" w:customStyle="1" w:styleId="321">
    <w:name w:val="Char Char12"/>
    <w:basedOn w:val="1"/>
    <w:next w:val="322"/>
    <w:qFormat/>
    <w:uiPriority w:val="99"/>
    <w:rPr>
      <w:rFonts w:hAnsi="宋体" w:cs="宋体"/>
      <w:kern w:val="0"/>
      <w:szCs w:val="20"/>
    </w:rPr>
  </w:style>
  <w:style w:type="paragraph" w:customStyle="1" w:styleId="322">
    <w:name w:val="xl149"/>
    <w:basedOn w:val="1"/>
    <w:next w:val="323"/>
    <w:qFormat/>
    <w:uiPriority w:val="0"/>
    <w:pPr>
      <w:widowControl/>
      <w:spacing w:before="280" w:after="280"/>
    </w:pPr>
    <w:rPr>
      <w:rFonts w:ascii="宋体" w:hAnsi="宋体" w:cs="宋体"/>
      <w:kern w:val="0"/>
      <w:sz w:val="18"/>
      <w:szCs w:val="20"/>
    </w:rPr>
  </w:style>
  <w:style w:type="paragraph" w:customStyle="1" w:styleId="323">
    <w:name w:val="xl133"/>
    <w:basedOn w:val="1"/>
    <w:next w:val="324"/>
    <w:qFormat/>
    <w:uiPriority w:val="0"/>
    <w:pPr>
      <w:widowControl/>
      <w:shd w:val="clear" w:color="000000" w:fill="C0C0C0"/>
      <w:spacing w:before="280" w:after="280"/>
    </w:pPr>
    <w:rPr>
      <w:rFonts w:ascii="宋体" w:hAnsi="宋体" w:cs="宋体"/>
      <w:kern w:val="0"/>
      <w:sz w:val="20"/>
      <w:szCs w:val="20"/>
    </w:rPr>
  </w:style>
  <w:style w:type="paragraph" w:customStyle="1" w:styleId="324">
    <w:name w:val="msointensequote"/>
    <w:basedOn w:val="1"/>
    <w:next w:val="1"/>
    <w:qFormat/>
    <w:uiPriority w:val="0"/>
    <w:pPr>
      <w:spacing w:before="200" w:after="280"/>
      <w:ind w:left="936" w:right="936"/>
    </w:pPr>
    <w:rPr>
      <w:rFonts w:hAnsi="宋体" w:cs="宋体"/>
      <w:b/>
      <w:i/>
      <w:color w:val="4F81BD"/>
      <w:kern w:val="0"/>
      <w:szCs w:val="20"/>
    </w:rPr>
  </w:style>
  <w:style w:type="paragraph" w:customStyle="1" w:styleId="325">
    <w:name w:val="font13"/>
    <w:basedOn w:val="1"/>
    <w:next w:val="326"/>
    <w:qFormat/>
    <w:uiPriority w:val="0"/>
    <w:pPr>
      <w:widowControl/>
      <w:spacing w:before="280" w:after="280"/>
    </w:pPr>
    <w:rPr>
      <w:rFonts w:ascii="宋体" w:hAnsi="宋体" w:cs="宋体"/>
      <w:kern w:val="0"/>
      <w:sz w:val="20"/>
      <w:szCs w:val="20"/>
    </w:rPr>
  </w:style>
  <w:style w:type="paragraph" w:customStyle="1" w:styleId="326">
    <w:name w:val="表格文字"/>
    <w:basedOn w:val="1"/>
    <w:next w:val="1"/>
    <w:qFormat/>
    <w:uiPriority w:val="0"/>
    <w:pPr>
      <w:autoSpaceDE w:val="0"/>
      <w:autoSpaceDN w:val="0"/>
      <w:spacing w:before="6" w:after="6"/>
    </w:pPr>
    <w:rPr>
      <w:rFonts w:ascii="宋体" w:hAnsi="宋体" w:cs="宋体"/>
      <w:kern w:val="0"/>
      <w:sz w:val="20"/>
      <w:szCs w:val="20"/>
    </w:rPr>
  </w:style>
  <w:style w:type="paragraph" w:customStyle="1" w:styleId="327">
    <w:name w:val="Char Char2 Char Char Char Char2"/>
    <w:basedOn w:val="1"/>
    <w:qFormat/>
    <w:uiPriority w:val="0"/>
    <w:rPr>
      <w:rFonts w:ascii="Tahoma" w:hAnsi="Tahoma"/>
      <w:sz w:val="24"/>
      <w:szCs w:val="20"/>
    </w:rPr>
  </w:style>
  <w:style w:type="paragraph" w:customStyle="1" w:styleId="328">
    <w:name w:val="目录 21"/>
    <w:basedOn w:val="1"/>
    <w:next w:val="1"/>
    <w:qFormat/>
    <w:uiPriority w:val="0"/>
    <w:pPr>
      <w:ind w:left="420"/>
    </w:pPr>
    <w:rPr>
      <w:rFonts w:hAnsi="宋体" w:cs="宋体"/>
      <w:kern w:val="0"/>
      <w:szCs w:val="20"/>
    </w:rPr>
  </w:style>
  <w:style w:type="paragraph" w:customStyle="1" w:styleId="329">
    <w:name w:val="31a（正文）章标题"/>
    <w:next w:val="330"/>
    <w:qFormat/>
    <w:uiPriority w:val="0"/>
    <w:pPr>
      <w:ind w:firstLine="315"/>
      <w:jc w:val="both"/>
      <w:outlineLvl w:val="0"/>
    </w:pPr>
    <w:rPr>
      <w:rFonts w:ascii="楷体_GB2312" w:hAnsi="宋体" w:eastAsia="宋体" w:cs="宋体"/>
      <w:sz w:val="21"/>
      <w:lang w:val="en-US" w:eastAsia="zh-CN" w:bidi="ar-SA"/>
    </w:rPr>
  </w:style>
  <w:style w:type="paragraph" w:customStyle="1" w:styleId="330">
    <w:name w:val="xl167"/>
    <w:basedOn w:val="1"/>
    <w:next w:val="331"/>
    <w:qFormat/>
    <w:uiPriority w:val="0"/>
    <w:pPr>
      <w:widowControl/>
      <w:spacing w:before="280" w:after="280"/>
    </w:pPr>
    <w:rPr>
      <w:rFonts w:ascii="宋体" w:hAnsi="宋体" w:cs="宋体"/>
      <w:kern w:val="0"/>
      <w:sz w:val="20"/>
      <w:szCs w:val="20"/>
    </w:rPr>
  </w:style>
  <w:style w:type="paragraph" w:customStyle="1" w:styleId="331">
    <w:name w:val="标书正文格式"/>
    <w:next w:val="332"/>
    <w:qFormat/>
    <w:uiPriority w:val="0"/>
    <w:pPr>
      <w:spacing w:line="360" w:lineRule="auto"/>
      <w:ind w:firstLine="200"/>
    </w:pPr>
    <w:rPr>
      <w:rFonts w:ascii="宋体" w:hAnsi="宋体" w:eastAsia="楷体_GB2312" w:cs="宋体"/>
      <w:sz w:val="24"/>
      <w:lang w:val="en-US" w:eastAsia="zh-CN" w:bidi="ar-SA"/>
    </w:rPr>
  </w:style>
  <w:style w:type="paragraph" w:customStyle="1" w:styleId="332">
    <w:name w:val="xl160"/>
    <w:basedOn w:val="1"/>
    <w:next w:val="333"/>
    <w:qFormat/>
    <w:uiPriority w:val="0"/>
    <w:pPr>
      <w:widowControl/>
      <w:shd w:val="clear" w:color="000000" w:fill="C0C0C0"/>
      <w:spacing w:before="280" w:after="280"/>
    </w:pPr>
    <w:rPr>
      <w:rFonts w:ascii="宋体" w:hAnsi="宋体" w:cs="宋体"/>
      <w:kern w:val="0"/>
      <w:sz w:val="20"/>
      <w:szCs w:val="20"/>
    </w:rPr>
  </w:style>
  <w:style w:type="paragraph" w:customStyle="1" w:styleId="333">
    <w:name w:val="Char Char Char Char Char Char Char Char Char Char11"/>
    <w:basedOn w:val="1"/>
    <w:next w:val="334"/>
    <w:qFormat/>
    <w:uiPriority w:val="0"/>
    <w:pPr>
      <w:widowControl/>
      <w:spacing w:line="400" w:lineRule="exact"/>
      <w:jc w:val="center"/>
    </w:pPr>
    <w:rPr>
      <w:rFonts w:ascii="Verdana" w:hAnsi="宋体" w:cs="宋体"/>
      <w:kern w:val="0"/>
      <w:szCs w:val="20"/>
    </w:rPr>
  </w:style>
  <w:style w:type="paragraph" w:customStyle="1" w:styleId="334">
    <w:name w:val="样式 (中文) 黑体 四号 居中 行距: 1.5 倍行距"/>
    <w:basedOn w:val="6"/>
    <w:next w:val="335"/>
    <w:qFormat/>
    <w:uiPriority w:val="0"/>
    <w:pPr>
      <w:keepNext w:val="0"/>
      <w:keepLines w:val="0"/>
      <w:spacing w:line="240" w:lineRule="auto"/>
      <w:jc w:val="center"/>
    </w:pPr>
    <w:rPr>
      <w:rFonts w:hAnsi="宋体" w:eastAsia="黑体" w:cs="宋体"/>
      <w:bCs w:val="0"/>
      <w:kern w:val="0"/>
      <w:sz w:val="28"/>
      <w:szCs w:val="20"/>
    </w:rPr>
  </w:style>
  <w:style w:type="paragraph" w:customStyle="1" w:styleId="335">
    <w:name w:val="TOC 31"/>
    <w:next w:val="1"/>
    <w:qFormat/>
    <w:uiPriority w:val="0"/>
    <w:pPr>
      <w:wordWrap w:val="0"/>
      <w:ind w:left="850"/>
      <w:jc w:val="both"/>
    </w:pPr>
    <w:rPr>
      <w:rFonts w:ascii="宋体" w:hAnsi="宋体" w:eastAsia="宋体" w:cs="宋体"/>
      <w:sz w:val="21"/>
      <w:lang w:val="en-US" w:eastAsia="zh-CN" w:bidi="ar-SA"/>
    </w:rPr>
  </w:style>
  <w:style w:type="paragraph" w:styleId="336">
    <w:name w:val="No Spacing"/>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37">
    <w:name w:val="Char Char Char1 Char Char Char Char Char Char Char"/>
    <w:basedOn w:val="1"/>
    <w:next w:val="37"/>
    <w:qFormat/>
    <w:uiPriority w:val="0"/>
    <w:rPr>
      <w:rFonts w:ascii="Tahoma" w:hAnsi="宋体" w:cs="宋体"/>
      <w:kern w:val="0"/>
      <w:sz w:val="24"/>
      <w:szCs w:val="20"/>
    </w:rPr>
  </w:style>
  <w:style w:type="paragraph" w:customStyle="1" w:styleId="338">
    <w:name w:val="样式 宋体 首行缩进:  2 字符 段前: 7.8 磅 段后: 7.8 磅"/>
    <w:basedOn w:val="1"/>
    <w:next w:val="339"/>
    <w:qFormat/>
    <w:uiPriority w:val="0"/>
    <w:pPr>
      <w:spacing w:before="156" w:after="156" w:line="360" w:lineRule="auto"/>
      <w:ind w:firstLine="200"/>
    </w:pPr>
    <w:rPr>
      <w:rFonts w:ascii="宋体" w:hAnsi="宋体" w:cs="宋体"/>
      <w:kern w:val="0"/>
      <w:szCs w:val="20"/>
    </w:rPr>
  </w:style>
  <w:style w:type="paragraph" w:customStyle="1" w:styleId="339">
    <w:name w:val="样式 标题 2 + Times New Roman 四号 非加粗 段前: 5 磅 段后: 0 磅 行距: 固定值 20..."/>
    <w:basedOn w:val="5"/>
    <w:qFormat/>
    <w:uiPriority w:val="0"/>
    <w:pPr>
      <w:spacing w:before="100" w:after="0" w:line="400" w:lineRule="exact"/>
    </w:pPr>
    <w:rPr>
      <w:rFonts w:ascii="Times New Roman" w:hAnsi="Times New Roman" w:cs="宋体"/>
      <w:b w:val="0"/>
      <w:bCs w:val="0"/>
      <w:kern w:val="0"/>
      <w:sz w:val="28"/>
      <w:szCs w:val="20"/>
    </w:rPr>
  </w:style>
  <w:style w:type="paragraph" w:customStyle="1" w:styleId="340">
    <w:name w:val="副标题1"/>
    <w:basedOn w:val="1"/>
    <w:next w:val="1"/>
    <w:qFormat/>
    <w:uiPriority w:val="0"/>
    <w:pPr>
      <w:spacing w:before="120" w:after="120"/>
    </w:pPr>
    <w:rPr>
      <w:rFonts w:ascii="Arial" w:hAnsi="宋体" w:cs="宋体"/>
      <w:b/>
      <w:color w:val="000000"/>
      <w:kern w:val="0"/>
      <w:sz w:val="20"/>
      <w:szCs w:val="20"/>
    </w:rPr>
  </w:style>
  <w:style w:type="paragraph" w:customStyle="1" w:styleId="341">
    <w:name w:val="reader-word-layer reader-word-s1-10"/>
    <w:basedOn w:val="1"/>
    <w:next w:val="342"/>
    <w:qFormat/>
    <w:uiPriority w:val="0"/>
    <w:pPr>
      <w:widowControl/>
      <w:spacing w:before="280" w:after="280"/>
    </w:pPr>
    <w:rPr>
      <w:rFonts w:ascii="宋体" w:hAnsi="宋体" w:cs="宋体"/>
      <w:kern w:val="0"/>
      <w:sz w:val="24"/>
      <w:szCs w:val="20"/>
    </w:rPr>
  </w:style>
  <w:style w:type="paragraph" w:customStyle="1" w:styleId="342">
    <w:name w:val="目录 41"/>
    <w:basedOn w:val="1"/>
    <w:next w:val="1"/>
    <w:qFormat/>
    <w:uiPriority w:val="0"/>
    <w:pPr>
      <w:ind w:left="630"/>
    </w:pPr>
    <w:rPr>
      <w:rFonts w:ascii="Calibri" w:hAnsi="宋体" w:cs="宋体"/>
      <w:kern w:val="0"/>
      <w:szCs w:val="20"/>
    </w:rPr>
  </w:style>
  <w:style w:type="paragraph" w:customStyle="1" w:styleId="343">
    <w:name w:val="Char Char2 Char Char Char Char"/>
    <w:basedOn w:val="1"/>
    <w:next w:val="344"/>
    <w:qFormat/>
    <w:uiPriority w:val="0"/>
    <w:rPr>
      <w:rFonts w:ascii="Tahoma" w:hAnsi="宋体" w:cs="宋体"/>
      <w:kern w:val="0"/>
      <w:sz w:val="24"/>
      <w:szCs w:val="20"/>
    </w:rPr>
  </w:style>
  <w:style w:type="paragraph" w:customStyle="1" w:styleId="344">
    <w:name w:val="样式 (中文) 黑体 小二 行距: 1.5 倍行距"/>
    <w:basedOn w:val="1"/>
    <w:next w:val="328"/>
    <w:qFormat/>
    <w:uiPriority w:val="0"/>
    <w:pPr>
      <w:spacing w:line="360" w:lineRule="auto"/>
    </w:pPr>
    <w:rPr>
      <w:rFonts w:hAnsi="宋体" w:eastAsia="黑体" w:cs="宋体"/>
      <w:kern w:val="0"/>
      <w:sz w:val="36"/>
      <w:szCs w:val="20"/>
    </w:rPr>
  </w:style>
  <w:style w:type="paragraph" w:customStyle="1" w:styleId="345">
    <w:name w:val="正文缩进_0"/>
    <w:basedOn w:val="255"/>
    <w:qFormat/>
    <w:uiPriority w:val="0"/>
    <w:pPr>
      <w:widowControl w:val="0"/>
      <w:ind w:firstLine="420"/>
      <w:jc w:val="both"/>
    </w:pPr>
    <w:rPr>
      <w:kern w:val="2"/>
      <w:u w:val="single"/>
    </w:rPr>
  </w:style>
  <w:style w:type="paragraph" w:customStyle="1" w:styleId="346">
    <w:name w:val="文字"/>
    <w:basedOn w:val="1"/>
    <w:next w:val="347"/>
    <w:qFormat/>
    <w:uiPriority w:val="0"/>
    <w:pPr>
      <w:spacing w:line="312" w:lineRule="auto"/>
      <w:ind w:right="-210" w:firstLine="556"/>
    </w:pPr>
    <w:rPr>
      <w:rFonts w:ascii="楷体_GB2312" w:hAnsi="宋体" w:eastAsia="楷体_GB2312" w:cs="宋体"/>
      <w:kern w:val="0"/>
      <w:sz w:val="28"/>
      <w:szCs w:val="20"/>
    </w:rPr>
  </w:style>
  <w:style w:type="paragraph" w:customStyle="1" w:styleId="347">
    <w:name w:val="xl150"/>
    <w:basedOn w:val="1"/>
    <w:next w:val="252"/>
    <w:qFormat/>
    <w:uiPriority w:val="0"/>
    <w:pPr>
      <w:widowControl/>
      <w:spacing w:before="280" w:after="280"/>
    </w:pPr>
    <w:rPr>
      <w:rFonts w:ascii="宋体" w:hAnsi="宋体" w:cs="宋体"/>
      <w:kern w:val="0"/>
      <w:sz w:val="18"/>
      <w:szCs w:val="20"/>
    </w:rPr>
  </w:style>
  <w:style w:type="paragraph" w:customStyle="1" w:styleId="348">
    <w:name w:val="Char Char1 Char Char Char"/>
    <w:next w:val="2"/>
    <w:qFormat/>
    <w:uiPriority w:val="0"/>
    <w:pPr>
      <w:widowControl w:val="0"/>
      <w:shd w:val="clear" w:color="000000" w:fill="000080"/>
      <w:jc w:val="both"/>
    </w:pPr>
    <w:rPr>
      <w:rFonts w:ascii="Times New Roman" w:hAnsi="宋体" w:eastAsia="Times New Roman" w:cs="宋体"/>
      <w:sz w:val="21"/>
      <w:lang w:val="en-US" w:eastAsia="zh-CN" w:bidi="ar-SA"/>
    </w:rPr>
  </w:style>
  <w:style w:type="paragraph" w:customStyle="1" w:styleId="349">
    <w:name w:val="font8"/>
    <w:basedOn w:val="1"/>
    <w:next w:val="350"/>
    <w:qFormat/>
    <w:uiPriority w:val="0"/>
    <w:pPr>
      <w:widowControl/>
      <w:spacing w:before="280" w:after="280"/>
    </w:pPr>
    <w:rPr>
      <w:rFonts w:ascii="Arial" w:hAnsi="宋体" w:cs="宋体"/>
      <w:kern w:val="0"/>
      <w:sz w:val="16"/>
      <w:szCs w:val="20"/>
    </w:rPr>
  </w:style>
  <w:style w:type="paragraph" w:customStyle="1" w:styleId="350">
    <w:name w:val="目录 71"/>
    <w:basedOn w:val="1"/>
    <w:next w:val="1"/>
    <w:qFormat/>
    <w:uiPriority w:val="0"/>
    <w:pPr>
      <w:ind w:left="2520"/>
    </w:pPr>
    <w:rPr>
      <w:rFonts w:ascii="Calibri" w:hAnsi="宋体" w:cs="宋体"/>
      <w:kern w:val="0"/>
      <w:szCs w:val="20"/>
    </w:rPr>
  </w:style>
  <w:style w:type="paragraph" w:customStyle="1" w:styleId="351">
    <w:name w:val="reader-word-layer reader-word-s1-11"/>
    <w:basedOn w:val="1"/>
    <w:next w:val="352"/>
    <w:qFormat/>
    <w:uiPriority w:val="0"/>
    <w:pPr>
      <w:widowControl/>
      <w:spacing w:before="280" w:after="280"/>
    </w:pPr>
    <w:rPr>
      <w:rFonts w:ascii="宋体" w:hAnsi="宋体" w:cs="宋体"/>
      <w:kern w:val="0"/>
      <w:sz w:val="24"/>
      <w:szCs w:val="20"/>
    </w:rPr>
  </w:style>
  <w:style w:type="paragraph" w:customStyle="1" w:styleId="352">
    <w:name w:val="TOC 21"/>
    <w:next w:val="1"/>
    <w:qFormat/>
    <w:uiPriority w:val="0"/>
    <w:pPr>
      <w:wordWrap w:val="0"/>
      <w:ind w:left="425"/>
      <w:jc w:val="both"/>
    </w:pPr>
    <w:rPr>
      <w:rFonts w:ascii="宋体" w:hAnsi="宋体" w:eastAsia="宋体" w:cs="宋体"/>
      <w:sz w:val="21"/>
      <w:lang w:val="en-US" w:eastAsia="zh-CN" w:bidi="ar-SA"/>
    </w:rPr>
  </w:style>
  <w:style w:type="paragraph" w:customStyle="1" w:styleId="353">
    <w:name w:val="Char Char Char Char Char Char Char Char Char Char Char Char Char Char Char1"/>
    <w:basedOn w:val="1"/>
    <w:qFormat/>
    <w:uiPriority w:val="0"/>
    <w:pPr>
      <w:widowControl/>
      <w:spacing w:line="400" w:lineRule="exact"/>
      <w:jc w:val="center"/>
    </w:pPr>
    <w:rPr>
      <w:rFonts w:ascii="Verdana" w:hAnsi="Verdana"/>
      <w:kern w:val="0"/>
      <w:szCs w:val="20"/>
      <w:lang w:eastAsia="en-US"/>
    </w:rPr>
  </w:style>
  <w:style w:type="paragraph" w:customStyle="1" w:styleId="354">
    <w:name w:val="xl157"/>
    <w:basedOn w:val="1"/>
    <w:next w:val="1"/>
    <w:qFormat/>
    <w:uiPriority w:val="0"/>
    <w:pPr>
      <w:widowControl/>
      <w:spacing w:before="280" w:after="280"/>
    </w:pPr>
    <w:rPr>
      <w:rFonts w:ascii="宋体" w:hAnsi="宋体" w:cs="宋体"/>
      <w:b/>
      <w:kern w:val="0"/>
      <w:sz w:val="18"/>
      <w:szCs w:val="20"/>
    </w:rPr>
  </w:style>
  <w:style w:type="paragraph" w:customStyle="1" w:styleId="355">
    <w:name w:val="样式14"/>
    <w:next w:val="356"/>
    <w:qFormat/>
    <w:uiPriority w:val="0"/>
    <w:pPr>
      <w:widowControl w:val="0"/>
      <w:jc w:val="center"/>
    </w:pPr>
    <w:rPr>
      <w:rFonts w:ascii="Times New Roman" w:hAnsi="宋体" w:eastAsia="宋体" w:cs="宋体"/>
      <w:sz w:val="18"/>
      <w:lang w:val="en-US" w:eastAsia="zh-CN" w:bidi="ar-SA"/>
    </w:rPr>
  </w:style>
  <w:style w:type="paragraph" w:customStyle="1" w:styleId="356">
    <w:name w:val="Char Char2 Char Char Char Char3"/>
    <w:basedOn w:val="1"/>
    <w:next w:val="264"/>
    <w:qFormat/>
    <w:uiPriority w:val="0"/>
    <w:rPr>
      <w:rFonts w:ascii="Tahoma" w:hAnsi="宋体" w:cs="宋体"/>
      <w:kern w:val="0"/>
      <w:sz w:val="24"/>
      <w:szCs w:val="20"/>
    </w:rPr>
  </w:style>
  <w:style w:type="paragraph" w:customStyle="1" w:styleId="357">
    <w:name w:val="Char Char Char Char Char Char Char1"/>
    <w:basedOn w:val="1"/>
    <w:next w:val="358"/>
    <w:qFormat/>
    <w:uiPriority w:val="0"/>
    <w:pPr>
      <w:widowControl/>
      <w:spacing w:line="400" w:lineRule="exact"/>
      <w:jc w:val="center"/>
    </w:pPr>
    <w:rPr>
      <w:rFonts w:ascii="Verdana" w:hAnsi="宋体" w:cs="宋体"/>
      <w:kern w:val="0"/>
      <w:szCs w:val="20"/>
    </w:rPr>
  </w:style>
  <w:style w:type="paragraph" w:customStyle="1" w:styleId="358">
    <w:name w:val="xl147"/>
    <w:basedOn w:val="1"/>
    <w:next w:val="359"/>
    <w:qFormat/>
    <w:uiPriority w:val="0"/>
    <w:pPr>
      <w:widowControl/>
      <w:spacing w:before="280" w:after="280"/>
    </w:pPr>
    <w:rPr>
      <w:rFonts w:ascii="宋体" w:hAnsi="宋体" w:cs="宋体"/>
      <w:kern w:val="0"/>
      <w:sz w:val="20"/>
      <w:szCs w:val="20"/>
    </w:rPr>
  </w:style>
  <w:style w:type="paragraph" w:customStyle="1" w:styleId="359">
    <w:name w:val="xl163"/>
    <w:basedOn w:val="1"/>
    <w:next w:val="287"/>
    <w:qFormat/>
    <w:uiPriority w:val="0"/>
    <w:pPr>
      <w:widowControl/>
      <w:spacing w:before="280" w:after="280"/>
    </w:pPr>
    <w:rPr>
      <w:rFonts w:ascii="宋体" w:hAnsi="宋体" w:cs="宋体"/>
      <w:color w:val="000000"/>
      <w:kern w:val="0"/>
      <w:sz w:val="18"/>
      <w:szCs w:val="20"/>
    </w:rPr>
  </w:style>
  <w:style w:type="paragraph" w:customStyle="1" w:styleId="360">
    <w:name w:val="_Style 7"/>
    <w:basedOn w:val="1"/>
    <w:next w:val="1"/>
    <w:qFormat/>
    <w:uiPriority w:val="0"/>
    <w:pPr>
      <w:widowControl/>
      <w:spacing w:after="160" w:line="240" w:lineRule="exact"/>
    </w:pPr>
    <w:rPr>
      <w:rFonts w:hAnsi="宋体" w:cs="宋体"/>
      <w:kern w:val="0"/>
      <w:szCs w:val="20"/>
    </w:rPr>
  </w:style>
  <w:style w:type="paragraph" w:customStyle="1" w:styleId="361">
    <w:name w:val="样式13"/>
    <w:next w:val="362"/>
    <w:qFormat/>
    <w:uiPriority w:val="0"/>
    <w:pPr>
      <w:widowControl w:val="0"/>
      <w:jc w:val="center"/>
    </w:pPr>
    <w:rPr>
      <w:rFonts w:ascii="Times New Roman" w:hAnsi="宋体" w:eastAsia="宋体" w:cs="宋体"/>
      <w:sz w:val="18"/>
      <w:lang w:val="en-US" w:eastAsia="zh-CN" w:bidi="ar-SA"/>
    </w:rPr>
  </w:style>
  <w:style w:type="paragraph" w:customStyle="1" w:styleId="362">
    <w:name w:val="样式 (中文) 黑体 小二 居中 行距: 1.5 倍行距"/>
    <w:basedOn w:val="1"/>
    <w:next w:val="1"/>
    <w:qFormat/>
    <w:uiPriority w:val="0"/>
    <w:pPr>
      <w:jc w:val="center"/>
    </w:pPr>
    <w:rPr>
      <w:rFonts w:hAnsi="宋体" w:eastAsia="黑体" w:cs="宋体"/>
      <w:kern w:val="0"/>
      <w:sz w:val="36"/>
      <w:szCs w:val="20"/>
    </w:rPr>
  </w:style>
  <w:style w:type="paragraph" w:customStyle="1" w:styleId="363">
    <w:name w:val="xl152"/>
    <w:basedOn w:val="1"/>
    <w:next w:val="351"/>
    <w:qFormat/>
    <w:uiPriority w:val="0"/>
    <w:pPr>
      <w:widowControl/>
      <w:spacing w:before="280" w:after="280"/>
    </w:pPr>
    <w:rPr>
      <w:rFonts w:ascii="宋体" w:hAnsi="宋体" w:cs="宋体"/>
      <w:b/>
      <w:kern w:val="0"/>
      <w:sz w:val="18"/>
      <w:szCs w:val="20"/>
    </w:rPr>
  </w:style>
  <w:style w:type="paragraph" w:customStyle="1" w:styleId="364">
    <w:name w:val="无间隔1"/>
    <w:link w:val="505"/>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65">
    <w:name w:val="Char Char Char Char Char Char Char Char Char Char Char Char Char2"/>
    <w:basedOn w:val="1"/>
    <w:qFormat/>
    <w:uiPriority w:val="0"/>
    <w:pPr>
      <w:tabs>
        <w:tab w:val="left" w:pos="420"/>
      </w:tabs>
      <w:ind w:left="420" w:hanging="420"/>
    </w:pPr>
    <w:rPr>
      <w:rFonts w:ascii="Tahoma" w:hAnsi="Tahoma"/>
      <w:sz w:val="24"/>
      <w:szCs w:val="20"/>
    </w:rPr>
  </w:style>
  <w:style w:type="paragraph" w:customStyle="1" w:styleId="366">
    <w:name w:val="Char Char Char Char Char Char Char121"/>
    <w:basedOn w:val="1"/>
    <w:next w:val="343"/>
    <w:qFormat/>
    <w:uiPriority w:val="0"/>
    <w:pPr>
      <w:widowControl/>
      <w:spacing w:line="400" w:lineRule="exact"/>
      <w:jc w:val="center"/>
    </w:pPr>
    <w:rPr>
      <w:rFonts w:ascii="Verdana" w:hAnsi="宋体" w:cs="宋体"/>
      <w:kern w:val="0"/>
      <w:szCs w:val="20"/>
    </w:rPr>
  </w:style>
  <w:style w:type="paragraph" w:customStyle="1" w:styleId="367">
    <w:name w:val="Char Char Char Char Char Char Char Char Char Char Char Char Char1"/>
    <w:basedOn w:val="1"/>
    <w:qFormat/>
    <w:uiPriority w:val="0"/>
    <w:pPr>
      <w:tabs>
        <w:tab w:val="left" w:pos="420"/>
      </w:tabs>
      <w:ind w:left="420" w:hanging="420"/>
    </w:pPr>
    <w:rPr>
      <w:rFonts w:ascii="Tahoma" w:hAnsi="Tahoma"/>
      <w:sz w:val="24"/>
      <w:szCs w:val="20"/>
    </w:rPr>
  </w:style>
  <w:style w:type="paragraph" w:customStyle="1" w:styleId="368">
    <w:name w:val="font9"/>
    <w:basedOn w:val="1"/>
    <w:next w:val="274"/>
    <w:qFormat/>
    <w:uiPriority w:val="0"/>
    <w:pPr>
      <w:widowControl/>
      <w:spacing w:before="280" w:after="280"/>
    </w:pPr>
    <w:rPr>
      <w:rFonts w:ascii="宋体" w:hAnsi="宋体" w:cs="宋体"/>
      <w:kern w:val="0"/>
      <w:sz w:val="18"/>
      <w:szCs w:val="20"/>
    </w:rPr>
  </w:style>
  <w:style w:type="paragraph" w:customStyle="1" w:styleId="369">
    <w:name w:val="样式 (中文) 黑体 小三 黑色"/>
    <w:basedOn w:val="5"/>
    <w:next w:val="366"/>
    <w:qFormat/>
    <w:uiPriority w:val="0"/>
    <w:pPr>
      <w:keepNext w:val="0"/>
      <w:keepLines w:val="0"/>
      <w:spacing w:line="240" w:lineRule="auto"/>
      <w:jc w:val="center"/>
    </w:pPr>
    <w:rPr>
      <w:rFonts w:hAnsi="宋体" w:cs="宋体"/>
      <w:bCs w:val="0"/>
      <w:color w:val="000000"/>
      <w:kern w:val="0"/>
      <w:sz w:val="30"/>
      <w:szCs w:val="20"/>
    </w:rPr>
  </w:style>
  <w:style w:type="paragraph" w:customStyle="1" w:styleId="370">
    <w:name w:val="样式12"/>
    <w:next w:val="371"/>
    <w:qFormat/>
    <w:uiPriority w:val="0"/>
    <w:pPr>
      <w:widowControl w:val="0"/>
      <w:jc w:val="center"/>
    </w:pPr>
    <w:rPr>
      <w:rFonts w:ascii="Times New Roman" w:hAnsi="宋体" w:eastAsia="宋体" w:cs="宋体"/>
      <w:sz w:val="18"/>
      <w:lang w:val="en-US" w:eastAsia="zh-CN" w:bidi="ar-SA"/>
    </w:rPr>
  </w:style>
  <w:style w:type="paragraph" w:customStyle="1" w:styleId="371">
    <w:name w:val="Char Char1 Char Char Char21"/>
    <w:next w:val="79"/>
    <w:qFormat/>
    <w:uiPriority w:val="0"/>
    <w:pPr>
      <w:widowControl w:val="0"/>
      <w:shd w:val="clear" w:color="000000" w:fill="000080"/>
      <w:jc w:val="both"/>
    </w:pPr>
    <w:rPr>
      <w:rFonts w:ascii="Times New Roman" w:hAnsi="宋体" w:eastAsia="Times New Roman" w:cs="宋体"/>
      <w:sz w:val="21"/>
      <w:lang w:val="en-US" w:eastAsia="zh-CN" w:bidi="ar-SA"/>
    </w:rPr>
  </w:style>
  <w:style w:type="paragraph" w:customStyle="1" w:styleId="372">
    <w:name w:val="标题 1_0"/>
    <w:basedOn w:val="28"/>
    <w:next w:val="28"/>
    <w:qFormat/>
    <w:uiPriority w:val="0"/>
    <w:pPr>
      <w:keepNext/>
      <w:keepLines/>
      <w:spacing w:before="340" w:after="330" w:line="576" w:lineRule="auto"/>
      <w:outlineLvl w:val="0"/>
    </w:pPr>
    <w:rPr>
      <w:rFonts w:ascii="Times New Roman" w:hAnsi="Times New Roman"/>
      <w:b/>
      <w:bCs/>
      <w:kern w:val="44"/>
      <w:sz w:val="44"/>
      <w:szCs w:val="44"/>
    </w:rPr>
  </w:style>
  <w:style w:type="paragraph" w:customStyle="1" w:styleId="373">
    <w:name w:val="目录 81"/>
    <w:basedOn w:val="1"/>
    <w:next w:val="1"/>
    <w:qFormat/>
    <w:uiPriority w:val="0"/>
    <w:pPr>
      <w:ind w:left="2940"/>
    </w:pPr>
    <w:rPr>
      <w:rFonts w:ascii="Calibri" w:hAnsi="宋体" w:cs="宋体"/>
      <w:kern w:val="0"/>
      <w:szCs w:val="20"/>
    </w:rPr>
  </w:style>
  <w:style w:type="paragraph" w:customStyle="1" w:styleId="374">
    <w:name w:val="样式 标题 2 + (西文) 宋体 居中"/>
    <w:basedOn w:val="5"/>
    <w:next w:val="375"/>
    <w:qFormat/>
    <w:uiPriority w:val="0"/>
    <w:pPr>
      <w:keepNext w:val="0"/>
      <w:keepLines w:val="0"/>
      <w:spacing w:line="416" w:lineRule="auto"/>
      <w:jc w:val="center"/>
    </w:pPr>
    <w:rPr>
      <w:rFonts w:ascii="宋体" w:hAnsi="宋体" w:cs="宋体"/>
      <w:bCs w:val="0"/>
      <w:kern w:val="0"/>
      <w:szCs w:val="20"/>
    </w:rPr>
  </w:style>
  <w:style w:type="paragraph" w:customStyle="1" w:styleId="375">
    <w:name w:val="xl135"/>
    <w:basedOn w:val="1"/>
    <w:next w:val="247"/>
    <w:qFormat/>
    <w:uiPriority w:val="0"/>
    <w:pPr>
      <w:widowControl/>
      <w:spacing w:before="280" w:after="280"/>
    </w:pPr>
    <w:rPr>
      <w:rFonts w:ascii="宋体" w:hAnsi="宋体" w:cs="宋体"/>
      <w:kern w:val="0"/>
      <w:sz w:val="18"/>
      <w:szCs w:val="20"/>
    </w:rPr>
  </w:style>
  <w:style w:type="paragraph" w:customStyle="1" w:styleId="376">
    <w:name w:val="xl131"/>
    <w:basedOn w:val="1"/>
    <w:next w:val="377"/>
    <w:qFormat/>
    <w:uiPriority w:val="0"/>
    <w:pPr>
      <w:widowControl/>
      <w:spacing w:before="280" w:after="280"/>
    </w:pPr>
    <w:rPr>
      <w:rFonts w:ascii="宋体" w:hAnsi="宋体" w:cs="宋体"/>
      <w:kern w:val="0"/>
      <w:sz w:val="24"/>
      <w:szCs w:val="20"/>
    </w:rPr>
  </w:style>
  <w:style w:type="paragraph" w:customStyle="1" w:styleId="377">
    <w:name w:val="样式7"/>
    <w:next w:val="1"/>
    <w:qFormat/>
    <w:uiPriority w:val="0"/>
    <w:pPr>
      <w:widowControl w:val="0"/>
      <w:jc w:val="both"/>
    </w:pPr>
    <w:rPr>
      <w:rFonts w:ascii="Times New Roman" w:hAnsi="宋体" w:eastAsia="仿宋_GB2312" w:cs="宋体"/>
      <w:sz w:val="28"/>
      <w:lang w:val="en-US" w:eastAsia="zh-CN" w:bidi="ar-SA"/>
    </w:rPr>
  </w:style>
  <w:style w:type="paragraph" w:customStyle="1" w:styleId="378">
    <w:name w:val="五号正文（标准）"/>
    <w:basedOn w:val="1"/>
    <w:next w:val="348"/>
    <w:qFormat/>
    <w:uiPriority w:val="0"/>
    <w:pPr>
      <w:spacing w:line="360" w:lineRule="auto"/>
      <w:ind w:firstLine="600"/>
    </w:pPr>
    <w:rPr>
      <w:rFonts w:ascii="仿宋_GB2312" w:hAnsi="宋体" w:eastAsia="仿宋_GB2312" w:cs="宋体"/>
      <w:b/>
      <w:kern w:val="0"/>
      <w:sz w:val="30"/>
      <w:szCs w:val="20"/>
    </w:rPr>
  </w:style>
  <w:style w:type="paragraph" w:customStyle="1" w:styleId="379">
    <w:name w:val="xl136"/>
    <w:basedOn w:val="1"/>
    <w:next w:val="380"/>
    <w:qFormat/>
    <w:uiPriority w:val="0"/>
    <w:pPr>
      <w:widowControl/>
      <w:spacing w:before="280" w:after="280"/>
      <w:jc w:val="center"/>
    </w:pPr>
    <w:rPr>
      <w:rFonts w:ascii="宋体" w:hAnsi="宋体" w:cs="宋体"/>
      <w:kern w:val="0"/>
      <w:sz w:val="20"/>
      <w:szCs w:val="20"/>
    </w:rPr>
  </w:style>
  <w:style w:type="paragraph" w:customStyle="1" w:styleId="380">
    <w:name w:val="xl156"/>
    <w:basedOn w:val="1"/>
    <w:next w:val="381"/>
    <w:qFormat/>
    <w:uiPriority w:val="0"/>
    <w:pPr>
      <w:widowControl/>
      <w:shd w:val="clear" w:color="000000" w:fill="C0C0C0"/>
      <w:spacing w:before="280" w:after="280"/>
    </w:pPr>
    <w:rPr>
      <w:rFonts w:ascii="宋体" w:hAnsi="宋体" w:cs="宋体"/>
      <w:kern w:val="0"/>
      <w:sz w:val="20"/>
      <w:szCs w:val="20"/>
    </w:rPr>
  </w:style>
  <w:style w:type="paragraph" w:customStyle="1" w:styleId="381">
    <w:name w:val="Char Char Char Char Char Char Char Char Char Char Char Char Char Char Char Char Char Char Char1"/>
    <w:basedOn w:val="1"/>
    <w:next w:val="338"/>
    <w:qFormat/>
    <w:uiPriority w:val="0"/>
    <w:pPr>
      <w:widowControl/>
      <w:spacing w:line="400" w:lineRule="exact"/>
      <w:jc w:val="center"/>
    </w:pPr>
    <w:rPr>
      <w:rFonts w:ascii="Verdana" w:hAnsi="宋体" w:cs="宋体"/>
      <w:kern w:val="0"/>
      <w:szCs w:val="20"/>
    </w:rPr>
  </w:style>
  <w:style w:type="paragraph" w:customStyle="1" w:styleId="382">
    <w:name w:val="样式 标题 3h3section:3Level 3 HeadH3level_3PIM 33rd level3H..."/>
    <w:basedOn w:val="6"/>
    <w:next w:val="357"/>
    <w:qFormat/>
    <w:uiPriority w:val="0"/>
    <w:pPr>
      <w:keepNext w:val="0"/>
      <w:keepLines w:val="0"/>
      <w:spacing w:line="416" w:lineRule="atLeast"/>
      <w:ind w:left="1680" w:hanging="420"/>
    </w:pPr>
    <w:rPr>
      <w:rFonts w:ascii="Arial" w:hAnsi="宋体" w:cs="宋体"/>
      <w:bCs w:val="0"/>
      <w:kern w:val="0"/>
      <w:sz w:val="24"/>
      <w:szCs w:val="20"/>
    </w:rPr>
  </w:style>
  <w:style w:type="paragraph" w:customStyle="1" w:styleId="383">
    <w:name w:val="xl140"/>
    <w:basedOn w:val="1"/>
    <w:next w:val="384"/>
    <w:qFormat/>
    <w:uiPriority w:val="0"/>
    <w:pPr>
      <w:widowControl/>
      <w:spacing w:before="280" w:after="280"/>
    </w:pPr>
    <w:rPr>
      <w:rFonts w:ascii="宋体" w:hAnsi="宋体" w:cs="宋体"/>
      <w:kern w:val="0"/>
      <w:sz w:val="18"/>
      <w:szCs w:val="20"/>
    </w:rPr>
  </w:style>
  <w:style w:type="paragraph" w:customStyle="1" w:styleId="384">
    <w:name w:val="xl143"/>
    <w:basedOn w:val="1"/>
    <w:next w:val="1"/>
    <w:qFormat/>
    <w:uiPriority w:val="0"/>
    <w:pPr>
      <w:widowControl/>
      <w:spacing w:before="280" w:after="280"/>
      <w:jc w:val="center"/>
    </w:pPr>
    <w:rPr>
      <w:rFonts w:ascii="宋体" w:hAnsi="宋体" w:cs="宋体"/>
      <w:color w:val="000000"/>
      <w:kern w:val="0"/>
      <w:sz w:val="20"/>
      <w:szCs w:val="20"/>
    </w:rPr>
  </w:style>
  <w:style w:type="paragraph" w:customStyle="1" w:styleId="385">
    <w:name w:val="TOC 标题_0"/>
    <w:basedOn w:val="372"/>
    <w:next w:val="28"/>
    <w:qFormat/>
    <w:uiPriority w:val="0"/>
    <w:pPr>
      <w:outlineLvl w:val="9"/>
    </w:pPr>
    <w:rPr>
      <w:rFonts w:ascii="Calibri" w:hAnsi="Calibri"/>
    </w:rPr>
  </w:style>
  <w:style w:type="paragraph" w:customStyle="1" w:styleId="386">
    <w:name w:val="Char Char Char Char Char Char Char Char Char Char Char Char Char Char Char21"/>
    <w:basedOn w:val="1"/>
    <w:next w:val="325"/>
    <w:qFormat/>
    <w:uiPriority w:val="0"/>
    <w:pPr>
      <w:widowControl/>
      <w:spacing w:line="400" w:lineRule="exact"/>
      <w:jc w:val="center"/>
    </w:pPr>
    <w:rPr>
      <w:rFonts w:ascii="Verdana" w:hAnsi="宋体" w:cs="宋体"/>
      <w:kern w:val="0"/>
      <w:szCs w:val="20"/>
    </w:rPr>
  </w:style>
  <w:style w:type="paragraph" w:customStyle="1" w:styleId="387">
    <w:name w:val="德吉标题二"/>
    <w:basedOn w:val="5"/>
    <w:next w:val="22"/>
    <w:qFormat/>
    <w:uiPriority w:val="0"/>
    <w:pPr>
      <w:keepNext w:val="0"/>
      <w:keepLines w:val="0"/>
      <w:spacing w:line="416" w:lineRule="auto"/>
    </w:pPr>
    <w:rPr>
      <w:rFonts w:ascii="仿宋_GB2312" w:hAnsi="宋体" w:eastAsia="仿宋_GB2312" w:cs="宋体"/>
      <w:bCs w:val="0"/>
      <w:kern w:val="0"/>
      <w:szCs w:val="20"/>
    </w:rPr>
  </w:style>
  <w:style w:type="paragraph" w:customStyle="1" w:styleId="388">
    <w:name w:val="Default"/>
    <w:qFormat/>
    <w:uiPriority w:val="0"/>
    <w:pPr>
      <w:widowControl w:val="0"/>
      <w:autoSpaceDE w:val="0"/>
      <w:autoSpaceDN w:val="0"/>
      <w:adjustRightInd w:val="0"/>
    </w:pPr>
    <w:rPr>
      <w:rFonts w:ascii="Times New Roman" w:hAnsi="Times New Roman" w:eastAsia="宋体" w:cs="Calibri"/>
      <w:color w:val="000000"/>
      <w:sz w:val="24"/>
      <w:szCs w:val="24"/>
      <w:lang w:val="en-US" w:eastAsia="zh-CN" w:bidi="ar-SA"/>
    </w:rPr>
  </w:style>
  <w:style w:type="paragraph" w:customStyle="1" w:styleId="389">
    <w:name w:val="xl155"/>
    <w:basedOn w:val="1"/>
    <w:next w:val="382"/>
    <w:qFormat/>
    <w:uiPriority w:val="0"/>
    <w:pPr>
      <w:widowControl/>
      <w:shd w:val="clear" w:color="000000" w:fill="C0C0C0"/>
      <w:spacing w:before="280" w:after="280"/>
    </w:pPr>
    <w:rPr>
      <w:rFonts w:ascii="宋体" w:hAnsi="宋体" w:cs="宋体"/>
      <w:kern w:val="0"/>
      <w:sz w:val="20"/>
      <w:szCs w:val="20"/>
    </w:rPr>
  </w:style>
  <w:style w:type="paragraph" w:customStyle="1" w:styleId="390">
    <w:name w:val="样式3 Char"/>
    <w:basedOn w:val="6"/>
    <w:next w:val="1"/>
    <w:qFormat/>
    <w:uiPriority w:val="0"/>
    <w:pPr>
      <w:keepNext w:val="0"/>
      <w:keepLines w:val="0"/>
      <w:spacing w:line="240" w:lineRule="auto"/>
      <w:jc w:val="center"/>
    </w:pPr>
    <w:rPr>
      <w:rFonts w:hAnsi="宋体" w:eastAsia="黑体" w:cs="宋体"/>
      <w:bCs w:val="0"/>
      <w:kern w:val="0"/>
      <w:szCs w:val="20"/>
    </w:rPr>
  </w:style>
  <w:style w:type="paragraph" w:customStyle="1" w:styleId="391">
    <w:name w:val="样式9"/>
    <w:next w:val="392"/>
    <w:qFormat/>
    <w:uiPriority w:val="0"/>
    <w:pPr>
      <w:widowControl w:val="0"/>
      <w:jc w:val="center"/>
    </w:pPr>
    <w:rPr>
      <w:rFonts w:ascii="Times New Roman" w:hAnsi="宋体" w:eastAsia="宋体" w:cs="宋体"/>
      <w:sz w:val="18"/>
      <w:lang w:val="en-US" w:eastAsia="zh-CN" w:bidi="ar-SA"/>
    </w:rPr>
  </w:style>
  <w:style w:type="paragraph" w:customStyle="1" w:styleId="392">
    <w:name w:val="xl148"/>
    <w:basedOn w:val="1"/>
    <w:next w:val="337"/>
    <w:qFormat/>
    <w:uiPriority w:val="0"/>
    <w:pPr>
      <w:widowControl/>
      <w:spacing w:before="280" w:after="280"/>
    </w:pPr>
    <w:rPr>
      <w:rFonts w:ascii="宋体" w:hAnsi="宋体" w:cs="宋体"/>
      <w:kern w:val="0"/>
      <w:sz w:val="20"/>
      <w:szCs w:val="20"/>
    </w:rPr>
  </w:style>
  <w:style w:type="paragraph" w:customStyle="1" w:styleId="393">
    <w:name w:val="Char Char Char Char Char Char Char"/>
    <w:basedOn w:val="1"/>
    <w:qFormat/>
    <w:uiPriority w:val="0"/>
    <w:pPr>
      <w:widowControl/>
      <w:spacing w:after="160" w:line="240" w:lineRule="exact"/>
      <w:jc w:val="left"/>
    </w:pPr>
  </w:style>
  <w:style w:type="paragraph" w:customStyle="1" w:styleId="394">
    <w:name w:val="Char Char Char1 Char Char Char Char Char Char Char1"/>
    <w:basedOn w:val="1"/>
    <w:next w:val="395"/>
    <w:qFormat/>
    <w:uiPriority w:val="0"/>
    <w:rPr>
      <w:rFonts w:ascii="Tahoma" w:hAnsi="宋体" w:cs="宋体"/>
      <w:kern w:val="0"/>
      <w:sz w:val="24"/>
      <w:szCs w:val="20"/>
    </w:rPr>
  </w:style>
  <w:style w:type="paragraph" w:customStyle="1" w:styleId="395">
    <w:name w:val="目录 31"/>
    <w:basedOn w:val="1"/>
    <w:next w:val="1"/>
    <w:qFormat/>
    <w:uiPriority w:val="0"/>
    <w:pPr>
      <w:ind w:left="840"/>
    </w:pPr>
    <w:rPr>
      <w:rFonts w:hAnsi="宋体" w:eastAsia="仿宋_GB2312" w:cs="宋体"/>
      <w:kern w:val="0"/>
      <w:sz w:val="28"/>
      <w:szCs w:val="20"/>
    </w:rPr>
  </w:style>
  <w:style w:type="paragraph" w:customStyle="1" w:styleId="396">
    <w:name w:val="副标题11"/>
    <w:basedOn w:val="1"/>
    <w:next w:val="1"/>
    <w:qFormat/>
    <w:uiPriority w:val="0"/>
    <w:pPr>
      <w:spacing w:before="120" w:after="120"/>
    </w:pPr>
    <w:rPr>
      <w:rFonts w:ascii="Arial" w:hAnsi="宋体" w:cs="宋体"/>
      <w:b/>
      <w:color w:val="000000"/>
      <w:kern w:val="0"/>
      <w:sz w:val="20"/>
      <w:szCs w:val="20"/>
    </w:rPr>
  </w:style>
  <w:style w:type="paragraph" w:customStyle="1" w:styleId="397">
    <w:name w:val="xl146"/>
    <w:basedOn w:val="1"/>
    <w:next w:val="398"/>
    <w:qFormat/>
    <w:uiPriority w:val="0"/>
    <w:pPr>
      <w:widowControl/>
      <w:spacing w:before="280" w:after="280"/>
    </w:pPr>
    <w:rPr>
      <w:rFonts w:ascii="宋体" w:hAnsi="宋体" w:cs="宋体"/>
      <w:kern w:val="0"/>
      <w:sz w:val="24"/>
      <w:szCs w:val="20"/>
    </w:rPr>
  </w:style>
  <w:style w:type="paragraph" w:customStyle="1" w:styleId="398">
    <w:name w:val="样式2"/>
    <w:basedOn w:val="5"/>
    <w:next w:val="1"/>
    <w:qFormat/>
    <w:uiPriority w:val="0"/>
    <w:pPr>
      <w:keepNext w:val="0"/>
      <w:keepLines w:val="0"/>
      <w:spacing w:line="240" w:lineRule="auto"/>
      <w:jc w:val="center"/>
    </w:pPr>
    <w:rPr>
      <w:rFonts w:hAnsi="宋体" w:cs="宋体"/>
      <w:bCs w:val="0"/>
      <w:kern w:val="0"/>
      <w:sz w:val="36"/>
      <w:szCs w:val="20"/>
    </w:rPr>
  </w:style>
  <w:style w:type="paragraph" w:customStyle="1" w:styleId="399">
    <w:name w:val="xl161"/>
    <w:basedOn w:val="1"/>
    <w:next w:val="299"/>
    <w:qFormat/>
    <w:uiPriority w:val="0"/>
    <w:pPr>
      <w:widowControl/>
      <w:spacing w:before="280" w:after="280"/>
      <w:jc w:val="center"/>
    </w:pPr>
    <w:rPr>
      <w:rFonts w:ascii="宋体" w:hAnsi="宋体" w:cs="宋体"/>
      <w:color w:val="000000"/>
      <w:kern w:val="0"/>
      <w:sz w:val="20"/>
      <w:szCs w:val="20"/>
    </w:rPr>
  </w:style>
  <w:style w:type="paragraph" w:customStyle="1" w:styleId="400">
    <w:name w:val="Char Char"/>
    <w:basedOn w:val="1"/>
    <w:next w:val="1"/>
    <w:qFormat/>
    <w:uiPriority w:val="0"/>
    <w:pPr>
      <w:widowControl/>
      <w:spacing w:after="160" w:line="240" w:lineRule="exact"/>
    </w:pPr>
    <w:rPr>
      <w:rFonts w:hAnsi="宋体" w:cs="宋体"/>
      <w:kern w:val="0"/>
      <w:szCs w:val="20"/>
    </w:rPr>
  </w:style>
  <w:style w:type="paragraph" w:customStyle="1" w:styleId="401">
    <w:name w:val="xl141"/>
    <w:basedOn w:val="1"/>
    <w:next w:val="389"/>
    <w:qFormat/>
    <w:uiPriority w:val="0"/>
    <w:pPr>
      <w:widowControl/>
      <w:spacing w:before="280" w:after="280"/>
    </w:pPr>
    <w:rPr>
      <w:rFonts w:ascii="宋体" w:hAnsi="宋体" w:cs="宋体"/>
      <w:b/>
      <w:kern w:val="0"/>
      <w:sz w:val="18"/>
      <w:szCs w:val="20"/>
    </w:rPr>
  </w:style>
  <w:style w:type="paragraph" w:customStyle="1" w:styleId="402">
    <w:name w:val="华文细黑1"/>
    <w:basedOn w:val="1"/>
    <w:next w:val="403"/>
    <w:qFormat/>
    <w:uiPriority w:val="0"/>
    <w:pPr>
      <w:widowControl/>
      <w:spacing w:line="300" w:lineRule="auto"/>
      <w:ind w:firstLine="200"/>
    </w:pPr>
    <w:rPr>
      <w:rFonts w:hAnsi="宋体" w:eastAsia="华文细黑" w:cs="宋体"/>
      <w:kern w:val="0"/>
      <w:sz w:val="24"/>
      <w:szCs w:val="20"/>
    </w:rPr>
  </w:style>
  <w:style w:type="paragraph" w:customStyle="1" w:styleId="403">
    <w:name w:val="TOC 81"/>
    <w:next w:val="1"/>
    <w:qFormat/>
    <w:uiPriority w:val="0"/>
    <w:pPr>
      <w:wordWrap w:val="0"/>
      <w:ind w:left="2975"/>
      <w:jc w:val="both"/>
    </w:pPr>
    <w:rPr>
      <w:rFonts w:ascii="宋体" w:hAnsi="宋体" w:eastAsia="宋体" w:cs="宋体"/>
      <w:sz w:val="21"/>
      <w:lang w:val="en-US" w:eastAsia="zh-CN" w:bidi="ar-SA"/>
    </w:rPr>
  </w:style>
  <w:style w:type="paragraph" w:customStyle="1" w:styleId="404">
    <w:name w:val="样式11"/>
    <w:basedOn w:val="36"/>
    <w:qFormat/>
    <w:uiPriority w:val="0"/>
    <w:pPr>
      <w:widowControl/>
      <w:pBdr>
        <w:bottom w:val="none" w:color="auto" w:sz="0" w:space="0"/>
      </w:pBdr>
    </w:pPr>
  </w:style>
  <w:style w:type="paragraph" w:customStyle="1" w:styleId="405">
    <w:name w:val="TOC 11"/>
    <w:next w:val="1"/>
    <w:qFormat/>
    <w:uiPriority w:val="0"/>
    <w:pPr>
      <w:wordWrap w:val="0"/>
      <w:jc w:val="both"/>
    </w:pPr>
    <w:rPr>
      <w:rFonts w:ascii="宋体" w:hAnsi="宋体" w:eastAsia="宋体" w:cs="宋体"/>
      <w:sz w:val="21"/>
      <w:lang w:val="en-US" w:eastAsia="zh-CN" w:bidi="ar-SA"/>
    </w:rPr>
  </w:style>
  <w:style w:type="paragraph" w:customStyle="1" w:styleId="406">
    <w:name w:val="Char Char Char Char2"/>
    <w:basedOn w:val="1"/>
    <w:next w:val="1"/>
    <w:qFormat/>
    <w:uiPriority w:val="0"/>
    <w:pPr>
      <w:widowControl/>
      <w:spacing w:after="160" w:line="240" w:lineRule="exact"/>
      <w:jc w:val="left"/>
    </w:pPr>
  </w:style>
  <w:style w:type="paragraph" w:customStyle="1" w:styleId="407">
    <w:name w:val="重点说明"/>
    <w:basedOn w:val="1"/>
    <w:next w:val="396"/>
    <w:qFormat/>
    <w:uiPriority w:val="0"/>
    <w:pPr>
      <w:widowControl/>
      <w:spacing w:before="40" w:after="40" w:line="400" w:lineRule="exact"/>
      <w:ind w:left="360" w:hanging="360"/>
    </w:pPr>
    <w:rPr>
      <w:rFonts w:ascii="宋体" w:hAnsi="宋体" w:cs="宋体"/>
      <w:b/>
      <w:kern w:val="0"/>
      <w:sz w:val="28"/>
      <w:szCs w:val="20"/>
    </w:rPr>
  </w:style>
  <w:style w:type="paragraph" w:customStyle="1" w:styleId="408">
    <w:name w:val="明显引用1"/>
    <w:basedOn w:val="1"/>
    <w:next w:val="1"/>
    <w:qFormat/>
    <w:uiPriority w:val="0"/>
    <w:pPr>
      <w:pBdr>
        <w:bottom w:val="single" w:color="4F81BD" w:sz="4" w:space="4"/>
      </w:pBdr>
      <w:spacing w:before="200" w:after="280"/>
      <w:ind w:left="936" w:right="936"/>
    </w:pPr>
    <w:rPr>
      <w:b/>
      <w:i/>
      <w:color w:val="4F81BD"/>
      <w:sz w:val="22"/>
      <w:szCs w:val="20"/>
    </w:rPr>
  </w:style>
  <w:style w:type="paragraph" w:customStyle="1" w:styleId="409">
    <w:name w:val="正文3"/>
    <w:qFormat/>
    <w:uiPriority w:val="0"/>
    <w:pPr>
      <w:widowControl w:val="0"/>
      <w:spacing w:line="315" w:lineRule="atLeast"/>
      <w:jc w:val="both"/>
    </w:pPr>
    <w:rPr>
      <w:rFonts w:ascii="宋体" w:hAnsi="宋体" w:eastAsia="宋体" w:cs="宋体"/>
      <w:sz w:val="24"/>
      <w:lang w:val="en-US" w:eastAsia="zh-CN" w:bidi="ar-SA"/>
    </w:rPr>
  </w:style>
  <w:style w:type="paragraph" w:customStyle="1" w:styleId="410">
    <w:name w:val="样式4"/>
    <w:basedOn w:val="1"/>
    <w:next w:val="16"/>
    <w:qFormat/>
    <w:uiPriority w:val="0"/>
    <w:pPr>
      <w:ind w:right="13"/>
      <w:jc w:val="right"/>
    </w:pPr>
    <w:rPr>
      <w:rFonts w:hAnsi="宋体" w:eastAsia="仿宋_GB2312" w:cs="宋体"/>
      <w:kern w:val="0"/>
      <w:sz w:val="28"/>
      <w:szCs w:val="20"/>
    </w:rPr>
  </w:style>
  <w:style w:type="paragraph" w:customStyle="1" w:styleId="411">
    <w:name w:val="样式5"/>
    <w:basedOn w:val="412"/>
    <w:next w:val="297"/>
    <w:qFormat/>
    <w:uiPriority w:val="0"/>
    <w:pPr>
      <w:spacing w:before="340" w:after="330" w:line="360" w:lineRule="auto"/>
      <w:ind w:firstLine="0" w:firstLineChars="0"/>
      <w:jc w:val="center"/>
      <w:outlineLvl w:val="0"/>
    </w:pPr>
    <w:rPr>
      <w:rFonts w:ascii="Times New Roman" w:hAnsi="宋体" w:eastAsia="黑体" w:cs="宋体"/>
      <w:b/>
      <w:kern w:val="0"/>
      <w:sz w:val="36"/>
      <w:szCs w:val="20"/>
    </w:rPr>
  </w:style>
  <w:style w:type="paragraph" w:styleId="412">
    <w:name w:val="List Paragraph"/>
    <w:basedOn w:val="1"/>
    <w:qFormat/>
    <w:uiPriority w:val="0"/>
    <w:pPr>
      <w:ind w:firstLine="420" w:firstLineChars="200"/>
    </w:pPr>
    <w:rPr>
      <w:rFonts w:ascii="Calibri" w:hAnsi="Calibri"/>
      <w:szCs w:val="22"/>
    </w:rPr>
  </w:style>
  <w:style w:type="paragraph" w:customStyle="1" w:styleId="413">
    <w:name w:val="fontsize"/>
    <w:basedOn w:val="1"/>
    <w:next w:val="414"/>
    <w:qFormat/>
    <w:uiPriority w:val="0"/>
    <w:pPr>
      <w:widowControl/>
      <w:spacing w:before="280" w:after="280"/>
      <w:ind w:firstLine="180"/>
    </w:pPr>
    <w:rPr>
      <w:rFonts w:ascii="Arial Unicode MS" w:hAnsi="宋体" w:eastAsia="Arial Unicode MS" w:cs="宋体"/>
      <w:color w:val="000000"/>
      <w:kern w:val="0"/>
      <w:sz w:val="24"/>
      <w:szCs w:val="20"/>
      <w:vertAlign w:val="subscript"/>
    </w:rPr>
  </w:style>
  <w:style w:type="paragraph" w:customStyle="1" w:styleId="414">
    <w:name w:val="文档正文"/>
    <w:basedOn w:val="1"/>
    <w:next w:val="243"/>
    <w:qFormat/>
    <w:uiPriority w:val="0"/>
    <w:pPr>
      <w:spacing w:line="480" w:lineRule="atLeast"/>
      <w:ind w:firstLine="567"/>
    </w:pPr>
    <w:rPr>
      <w:rFonts w:ascii="长城仿宋" w:hAnsi="宋体" w:cs="宋体"/>
      <w:kern w:val="0"/>
      <w:sz w:val="24"/>
      <w:szCs w:val="20"/>
    </w:rPr>
  </w:style>
  <w:style w:type="paragraph" w:customStyle="1" w:styleId="415">
    <w:name w:val="List Paragraph1"/>
    <w:basedOn w:val="1"/>
    <w:next w:val="416"/>
    <w:qFormat/>
    <w:uiPriority w:val="99"/>
    <w:pPr>
      <w:ind w:firstLine="420"/>
    </w:pPr>
    <w:rPr>
      <w:rFonts w:hAnsi="宋体" w:cs="宋体"/>
      <w:kern w:val="0"/>
      <w:szCs w:val="20"/>
    </w:rPr>
  </w:style>
  <w:style w:type="paragraph" w:customStyle="1" w:styleId="416">
    <w:name w:val="Char Char Char Char"/>
    <w:basedOn w:val="1"/>
    <w:qFormat/>
    <w:uiPriority w:val="0"/>
    <w:pPr>
      <w:widowControl/>
      <w:spacing w:line="500" w:lineRule="exact"/>
      <w:outlineLvl w:val="2"/>
    </w:pPr>
    <w:rPr>
      <w:rFonts w:ascii="黑体" w:hAnsi="Verdana" w:eastAsia="黑体" w:cs="黑体"/>
      <w:kern w:val="0"/>
      <w:sz w:val="28"/>
      <w:szCs w:val="28"/>
      <w:lang w:eastAsia="en-US"/>
    </w:rPr>
  </w:style>
  <w:style w:type="paragraph" w:customStyle="1" w:styleId="417">
    <w:name w:val="xl24"/>
    <w:basedOn w:val="1"/>
    <w:next w:val="304"/>
    <w:qFormat/>
    <w:uiPriority w:val="0"/>
    <w:pPr>
      <w:widowControl/>
      <w:spacing w:before="280" w:after="280"/>
    </w:pPr>
    <w:rPr>
      <w:rFonts w:ascii="宋体" w:hAnsi="宋体" w:cs="宋体"/>
      <w:kern w:val="0"/>
      <w:sz w:val="20"/>
      <w:szCs w:val="20"/>
    </w:rPr>
  </w:style>
  <w:style w:type="paragraph" w:customStyle="1" w:styleId="418">
    <w:name w:val="正文缩进1"/>
    <w:basedOn w:val="1"/>
    <w:next w:val="415"/>
    <w:qFormat/>
    <w:uiPriority w:val="0"/>
    <w:pPr>
      <w:spacing w:line="312" w:lineRule="atLeast"/>
      <w:ind w:firstLine="420"/>
    </w:pPr>
    <w:rPr>
      <w:rFonts w:ascii="Plotter" w:hAnsi="宋体" w:cs="宋体"/>
      <w:kern w:val="0"/>
      <w:szCs w:val="20"/>
    </w:rPr>
  </w:style>
  <w:style w:type="paragraph" w:customStyle="1" w:styleId="419">
    <w:name w:val="Char Char Char Char Char Char Char12"/>
    <w:basedOn w:val="1"/>
    <w:qFormat/>
    <w:uiPriority w:val="0"/>
    <w:pPr>
      <w:widowControl/>
      <w:spacing w:line="400" w:lineRule="exact"/>
      <w:jc w:val="center"/>
    </w:pPr>
    <w:rPr>
      <w:rFonts w:ascii="Verdana" w:hAnsi="Verdana"/>
      <w:kern w:val="0"/>
      <w:szCs w:val="20"/>
      <w:lang w:eastAsia="en-US"/>
    </w:rPr>
  </w:style>
  <w:style w:type="paragraph" w:customStyle="1" w:styleId="420">
    <w:name w:val="正文缩进11"/>
    <w:basedOn w:val="1"/>
    <w:next w:val="1"/>
    <w:qFormat/>
    <w:uiPriority w:val="0"/>
    <w:pPr>
      <w:spacing w:line="360" w:lineRule="atLeast"/>
      <w:ind w:firstLine="482"/>
    </w:pPr>
    <w:rPr>
      <w:rFonts w:hAnsi="宋体" w:cs="宋体"/>
      <w:kern w:val="0"/>
      <w:sz w:val="24"/>
      <w:szCs w:val="20"/>
    </w:rPr>
  </w:style>
  <w:style w:type="paragraph" w:customStyle="1" w:styleId="421">
    <w:name w:val="font14"/>
    <w:basedOn w:val="1"/>
    <w:next w:val="378"/>
    <w:qFormat/>
    <w:uiPriority w:val="0"/>
    <w:pPr>
      <w:widowControl/>
      <w:spacing w:before="280" w:after="280"/>
    </w:pPr>
    <w:rPr>
      <w:rFonts w:ascii="宋体" w:hAnsi="宋体" w:cs="宋体"/>
      <w:kern w:val="0"/>
      <w:sz w:val="18"/>
      <w:szCs w:val="20"/>
    </w:rPr>
  </w:style>
  <w:style w:type="paragraph" w:customStyle="1" w:styleId="422">
    <w:name w:val="TOC 61"/>
    <w:next w:val="1"/>
    <w:qFormat/>
    <w:uiPriority w:val="0"/>
    <w:pPr>
      <w:wordWrap w:val="0"/>
      <w:ind w:left="2125"/>
      <w:jc w:val="both"/>
    </w:pPr>
    <w:rPr>
      <w:rFonts w:ascii="宋体" w:hAnsi="宋体" w:eastAsia="宋体" w:cs="宋体"/>
      <w:sz w:val="21"/>
      <w:lang w:val="en-US" w:eastAsia="zh-CN" w:bidi="ar-SA"/>
    </w:rPr>
  </w:style>
  <w:style w:type="paragraph" w:customStyle="1" w:styleId="423">
    <w:name w:val="默认段落字体 Para Char Char Char Char"/>
    <w:basedOn w:val="1"/>
    <w:next w:val="34"/>
    <w:qFormat/>
    <w:uiPriority w:val="0"/>
    <w:rPr>
      <w:rFonts w:hAnsi="宋体" w:cs="宋体"/>
      <w:kern w:val="0"/>
      <w:szCs w:val="20"/>
    </w:rPr>
  </w:style>
  <w:style w:type="paragraph" w:customStyle="1" w:styleId="424">
    <w:name w:val="p0"/>
    <w:basedOn w:val="1"/>
    <w:qFormat/>
    <w:uiPriority w:val="0"/>
    <w:pPr>
      <w:widowControl/>
    </w:pPr>
    <w:rPr>
      <w:rFonts w:ascii="Calibri" w:hAnsi="Calibri" w:cs="宋体"/>
      <w:kern w:val="0"/>
      <w:szCs w:val="21"/>
    </w:rPr>
  </w:style>
  <w:style w:type="paragraph" w:customStyle="1" w:styleId="425">
    <w:name w:val="Char Char Char Char Char Char Char Char Char Char Char Char Char Char Char2"/>
    <w:basedOn w:val="1"/>
    <w:qFormat/>
    <w:uiPriority w:val="0"/>
    <w:pPr>
      <w:widowControl/>
      <w:spacing w:line="400" w:lineRule="exact"/>
      <w:jc w:val="center"/>
    </w:pPr>
    <w:rPr>
      <w:rFonts w:ascii="Verdana" w:hAnsi="Verdana"/>
      <w:kern w:val="0"/>
      <w:szCs w:val="20"/>
      <w:lang w:eastAsia="en-US"/>
    </w:rPr>
  </w:style>
  <w:style w:type="paragraph" w:customStyle="1" w:styleId="426">
    <w:name w:val="flNote"/>
    <w:basedOn w:val="1"/>
    <w:qFormat/>
    <w:uiPriority w:val="0"/>
    <w:pPr>
      <w:adjustRightInd w:val="0"/>
      <w:spacing w:before="320" w:after="160" w:line="360" w:lineRule="atLeast"/>
      <w:jc w:val="center"/>
      <w:textAlignment w:val="baseline"/>
    </w:pPr>
    <w:rPr>
      <w:rFonts w:ascii="Arial" w:eastAsia="黑体"/>
      <w:kern w:val="0"/>
      <w:sz w:val="30"/>
      <w:szCs w:val="20"/>
    </w:rPr>
  </w:style>
  <w:style w:type="paragraph" w:customStyle="1" w:styleId="427">
    <w:name w:val="TOC 标题2"/>
    <w:basedOn w:val="4"/>
    <w:next w:val="1"/>
    <w:qFormat/>
    <w:uiPriority w:val="0"/>
    <w:pPr>
      <w:widowControl/>
      <w:spacing w:before="480" w:after="0" w:line="276" w:lineRule="auto"/>
      <w:jc w:val="left"/>
      <w:outlineLvl w:val="9"/>
    </w:pPr>
    <w:rPr>
      <w:rFonts w:ascii="Cambria" w:hAnsi="Cambria"/>
      <w:color w:val="365F91"/>
      <w:kern w:val="0"/>
      <w:sz w:val="28"/>
      <w:szCs w:val="28"/>
    </w:rPr>
  </w:style>
  <w:style w:type="paragraph" w:customStyle="1" w:styleId="428">
    <w:name w:val="TOC 标题1"/>
    <w:basedOn w:val="4"/>
    <w:next w:val="1"/>
    <w:qFormat/>
    <w:uiPriority w:val="99"/>
    <w:pPr>
      <w:keepNext w:val="0"/>
      <w:keepLines w:val="0"/>
      <w:widowControl/>
      <w:spacing w:before="480" w:after="0" w:line="276" w:lineRule="auto"/>
    </w:pPr>
    <w:rPr>
      <w:rFonts w:ascii="Cambria" w:hAnsi="宋体" w:cs="宋体"/>
      <w:bCs w:val="0"/>
      <w:color w:val="365F91"/>
      <w:kern w:val="0"/>
      <w:sz w:val="28"/>
      <w:szCs w:val="20"/>
    </w:rPr>
  </w:style>
  <w:style w:type="paragraph" w:customStyle="1" w:styleId="429">
    <w:name w:val="xl168"/>
    <w:basedOn w:val="1"/>
    <w:next w:val="1"/>
    <w:qFormat/>
    <w:uiPriority w:val="0"/>
    <w:pPr>
      <w:widowControl/>
      <w:spacing w:before="280" w:after="280"/>
      <w:jc w:val="center"/>
    </w:pPr>
    <w:rPr>
      <w:rFonts w:ascii="宋体" w:hAnsi="宋体" w:cs="宋体"/>
      <w:kern w:val="0"/>
      <w:sz w:val="24"/>
      <w:szCs w:val="20"/>
    </w:rPr>
  </w:style>
  <w:style w:type="paragraph" w:customStyle="1" w:styleId="430">
    <w:name w:val="正文文本_0"/>
    <w:basedOn w:val="28"/>
    <w:qFormat/>
    <w:uiPriority w:val="0"/>
    <w:pPr>
      <w:adjustRightInd w:val="0"/>
      <w:spacing w:after="60" w:line="360" w:lineRule="atLeast"/>
      <w:ind w:left="72" w:leftChars="30" w:right="30" w:rightChars="30"/>
      <w:jc w:val="center"/>
      <w:textAlignment w:val="baseline"/>
    </w:pPr>
    <w:rPr>
      <w:rFonts w:ascii="Times New Roman" w:hAnsi="Times New Roman"/>
      <w:kern w:val="0"/>
      <w:sz w:val="20"/>
      <w:szCs w:val="20"/>
    </w:rPr>
  </w:style>
  <w:style w:type="paragraph" w:customStyle="1" w:styleId="431">
    <w:name w:val="1"/>
    <w:basedOn w:val="1"/>
    <w:next w:val="1"/>
    <w:qFormat/>
    <w:uiPriority w:val="0"/>
  </w:style>
  <w:style w:type="paragraph" w:customStyle="1" w:styleId="432">
    <w:name w:val="默认段落字体 Para Char Char Char Char Char Char Char Char Char Char"/>
    <w:basedOn w:val="1"/>
    <w:next w:val="433"/>
    <w:qFormat/>
    <w:uiPriority w:val="0"/>
    <w:rPr>
      <w:rFonts w:ascii="Tahoma" w:hAnsi="宋体" w:cs="宋体"/>
      <w:kern w:val="0"/>
      <w:sz w:val="24"/>
      <w:szCs w:val="20"/>
    </w:rPr>
  </w:style>
  <w:style w:type="paragraph" w:customStyle="1" w:styleId="433">
    <w:name w:val="reader-word-layer reader-word-s1-2"/>
    <w:basedOn w:val="1"/>
    <w:next w:val="47"/>
    <w:qFormat/>
    <w:uiPriority w:val="0"/>
    <w:pPr>
      <w:widowControl/>
      <w:spacing w:before="280" w:after="280"/>
    </w:pPr>
    <w:rPr>
      <w:rFonts w:ascii="宋体" w:hAnsi="宋体" w:cs="宋体"/>
      <w:kern w:val="0"/>
      <w:sz w:val="24"/>
      <w:szCs w:val="20"/>
    </w:rPr>
  </w:style>
  <w:style w:type="paragraph" w:customStyle="1" w:styleId="434">
    <w:name w:val="TOC 41"/>
    <w:next w:val="1"/>
    <w:qFormat/>
    <w:uiPriority w:val="0"/>
    <w:pPr>
      <w:wordWrap w:val="0"/>
      <w:ind w:left="1275"/>
      <w:jc w:val="both"/>
    </w:pPr>
    <w:rPr>
      <w:rFonts w:ascii="宋体" w:hAnsi="宋体" w:eastAsia="宋体" w:cs="宋体"/>
      <w:sz w:val="21"/>
      <w:lang w:val="en-US" w:eastAsia="zh-CN" w:bidi="ar-SA"/>
    </w:rPr>
  </w:style>
  <w:style w:type="paragraph" w:customStyle="1" w:styleId="435">
    <w:name w:val="xl137"/>
    <w:basedOn w:val="1"/>
    <w:next w:val="383"/>
    <w:qFormat/>
    <w:uiPriority w:val="0"/>
    <w:pPr>
      <w:widowControl/>
      <w:spacing w:before="280" w:after="280"/>
      <w:jc w:val="center"/>
    </w:pPr>
    <w:rPr>
      <w:rFonts w:ascii="宋体" w:hAnsi="宋体" w:cs="宋体"/>
      <w:kern w:val="0"/>
      <w:sz w:val="20"/>
      <w:szCs w:val="20"/>
    </w:rPr>
  </w:style>
  <w:style w:type="paragraph" w:customStyle="1" w:styleId="436">
    <w:name w:val="_Style 37"/>
    <w:basedOn w:val="1"/>
    <w:next w:val="1"/>
    <w:qFormat/>
    <w:uiPriority w:val="0"/>
  </w:style>
  <w:style w:type="paragraph" w:customStyle="1" w:styleId="437">
    <w:name w:val="Char Char Char Char Char Char Char Char Char Char1"/>
    <w:basedOn w:val="1"/>
    <w:qFormat/>
    <w:uiPriority w:val="0"/>
    <w:pPr>
      <w:widowControl/>
      <w:spacing w:line="400" w:lineRule="exact"/>
      <w:jc w:val="center"/>
    </w:pPr>
    <w:rPr>
      <w:rFonts w:ascii="Verdana" w:hAnsi="Verdana"/>
      <w:kern w:val="0"/>
      <w:szCs w:val="20"/>
      <w:lang w:eastAsia="en-US"/>
    </w:rPr>
  </w:style>
  <w:style w:type="paragraph" w:customStyle="1" w:styleId="438">
    <w:name w:val="列出段落3"/>
    <w:basedOn w:val="1"/>
    <w:qFormat/>
    <w:uiPriority w:val="0"/>
    <w:pPr>
      <w:ind w:firstLine="420" w:firstLineChars="200"/>
    </w:pPr>
  </w:style>
  <w:style w:type="paragraph" w:customStyle="1" w:styleId="439">
    <w:name w:val="Char Char Char Char Char Char Char Char Char Char Char Char Char"/>
    <w:basedOn w:val="1"/>
    <w:next w:val="440"/>
    <w:qFormat/>
    <w:uiPriority w:val="0"/>
    <w:pPr>
      <w:ind w:left="420" w:hanging="420"/>
    </w:pPr>
    <w:rPr>
      <w:rFonts w:ascii="Tahoma" w:hAnsi="宋体" w:cs="宋体"/>
      <w:kern w:val="0"/>
      <w:sz w:val="24"/>
      <w:szCs w:val="20"/>
    </w:rPr>
  </w:style>
  <w:style w:type="paragraph" w:customStyle="1" w:styleId="440">
    <w:name w:val="Char Char Char Char1"/>
    <w:basedOn w:val="1"/>
    <w:next w:val="1"/>
    <w:qFormat/>
    <w:uiPriority w:val="0"/>
    <w:pPr>
      <w:widowControl/>
      <w:spacing w:after="160" w:line="240" w:lineRule="exact"/>
    </w:pPr>
    <w:rPr>
      <w:rFonts w:hAnsi="宋体" w:cs="宋体"/>
      <w:kern w:val="0"/>
      <w:szCs w:val="20"/>
    </w:rPr>
  </w:style>
  <w:style w:type="paragraph" w:customStyle="1" w:styleId="441">
    <w:name w:val="默认段落字体 Para Char"/>
    <w:basedOn w:val="1"/>
    <w:next w:val="411"/>
    <w:qFormat/>
    <w:uiPriority w:val="0"/>
    <w:rPr>
      <w:rFonts w:hAnsi="宋体" w:cs="宋体"/>
      <w:kern w:val="0"/>
      <w:szCs w:val="20"/>
    </w:rPr>
  </w:style>
  <w:style w:type="paragraph" w:customStyle="1" w:styleId="442">
    <w:name w:val="font12"/>
    <w:basedOn w:val="1"/>
    <w:next w:val="316"/>
    <w:qFormat/>
    <w:uiPriority w:val="0"/>
    <w:pPr>
      <w:widowControl/>
      <w:spacing w:before="280" w:after="280"/>
    </w:pPr>
    <w:rPr>
      <w:rFonts w:ascii="宋体" w:hAnsi="宋体" w:cs="宋体"/>
      <w:color w:val="000000"/>
      <w:kern w:val="0"/>
      <w:sz w:val="18"/>
      <w:szCs w:val="20"/>
    </w:rPr>
  </w:style>
  <w:style w:type="paragraph" w:customStyle="1" w:styleId="443">
    <w:name w:val="样式 (中文) 黑体 小三 加粗 居中 行距: 1.5 倍行距"/>
    <w:basedOn w:val="1"/>
    <w:next w:val="1"/>
    <w:qFormat/>
    <w:uiPriority w:val="0"/>
    <w:pPr>
      <w:spacing w:line="360" w:lineRule="auto"/>
      <w:jc w:val="center"/>
    </w:pPr>
    <w:rPr>
      <w:rFonts w:hAnsi="宋体" w:eastAsia="黑体" w:cs="宋体"/>
      <w:b/>
      <w:kern w:val="0"/>
      <w:sz w:val="30"/>
      <w:szCs w:val="20"/>
    </w:rPr>
  </w:style>
  <w:style w:type="paragraph" w:customStyle="1" w:styleId="444">
    <w:name w:val="目录 51"/>
    <w:basedOn w:val="1"/>
    <w:next w:val="1"/>
    <w:qFormat/>
    <w:uiPriority w:val="0"/>
    <w:pPr>
      <w:ind w:left="1050"/>
    </w:pPr>
    <w:rPr>
      <w:rFonts w:ascii="Calibri" w:hAnsi="宋体" w:cs="宋体"/>
      <w:kern w:val="0"/>
      <w:szCs w:val="20"/>
    </w:rPr>
  </w:style>
  <w:style w:type="paragraph" w:customStyle="1" w:styleId="445">
    <w:name w:val="标题_0"/>
    <w:basedOn w:val="255"/>
    <w:qFormat/>
    <w:uiPriority w:val="0"/>
    <w:pPr>
      <w:spacing w:before="120" w:after="120" w:line="360" w:lineRule="auto"/>
      <w:jc w:val="center"/>
      <w:outlineLvl w:val="0"/>
    </w:pPr>
    <w:rPr>
      <w:rFonts w:ascii="黑体" w:hAnsi="Arial" w:eastAsia="黑体"/>
      <w:b/>
      <w:bCs/>
      <w:kern w:val="2"/>
      <w:sz w:val="32"/>
      <w:szCs w:val="32"/>
    </w:rPr>
  </w:style>
  <w:style w:type="paragraph" w:customStyle="1" w:styleId="446">
    <w:name w:val="Char Char Char1 Char1"/>
    <w:basedOn w:val="5"/>
    <w:next w:val="1"/>
    <w:qFormat/>
    <w:uiPriority w:val="0"/>
    <w:pPr>
      <w:keepNext w:val="0"/>
      <w:keepLines w:val="0"/>
      <w:spacing w:before="120" w:after="120" w:line="240" w:lineRule="auto"/>
    </w:pPr>
    <w:rPr>
      <w:rFonts w:hAnsi="宋体" w:cs="宋体"/>
      <w:bCs w:val="0"/>
      <w:kern w:val="0"/>
      <w:szCs w:val="20"/>
    </w:rPr>
  </w:style>
  <w:style w:type="paragraph" w:customStyle="1" w:styleId="447">
    <w:name w:val="font7"/>
    <w:basedOn w:val="1"/>
    <w:next w:val="24"/>
    <w:qFormat/>
    <w:uiPriority w:val="0"/>
    <w:pPr>
      <w:widowControl/>
      <w:spacing w:before="280" w:after="280"/>
    </w:pPr>
    <w:rPr>
      <w:rFonts w:ascii="宋体" w:hAnsi="宋体" w:cs="宋体"/>
      <w:kern w:val="0"/>
      <w:sz w:val="18"/>
      <w:szCs w:val="20"/>
    </w:rPr>
  </w:style>
  <w:style w:type="paragraph" w:customStyle="1" w:styleId="448">
    <w:name w:val="列出段落4"/>
    <w:basedOn w:val="1"/>
    <w:qFormat/>
    <w:uiPriority w:val="99"/>
    <w:pPr>
      <w:ind w:firstLine="420" w:firstLineChars="200"/>
    </w:pPr>
    <w:rPr>
      <w:sz w:val="28"/>
    </w:rPr>
  </w:style>
  <w:style w:type="paragraph" w:customStyle="1" w:styleId="449">
    <w:name w:val="样式15"/>
    <w:next w:val="450"/>
    <w:qFormat/>
    <w:uiPriority w:val="0"/>
    <w:pPr>
      <w:widowControl w:val="0"/>
      <w:jc w:val="center"/>
    </w:pPr>
    <w:rPr>
      <w:rFonts w:ascii="Times New Roman" w:hAnsi="宋体" w:eastAsia="宋体" w:cs="宋体"/>
      <w:sz w:val="18"/>
      <w:lang w:val="en-US" w:eastAsia="zh-CN" w:bidi="ar-SA"/>
    </w:rPr>
  </w:style>
  <w:style w:type="paragraph" w:customStyle="1" w:styleId="450">
    <w:name w:val="Char Char Char Char Char Char Char Char Char Char Char Char Char3"/>
    <w:basedOn w:val="1"/>
    <w:next w:val="451"/>
    <w:qFormat/>
    <w:uiPriority w:val="0"/>
    <w:pPr>
      <w:ind w:left="420" w:hanging="420"/>
    </w:pPr>
    <w:rPr>
      <w:rFonts w:ascii="Tahoma" w:hAnsi="宋体" w:cs="宋体"/>
      <w:kern w:val="0"/>
      <w:sz w:val="24"/>
      <w:szCs w:val="20"/>
    </w:rPr>
  </w:style>
  <w:style w:type="paragraph" w:customStyle="1" w:styleId="451">
    <w:name w:val="xl158"/>
    <w:basedOn w:val="1"/>
    <w:next w:val="428"/>
    <w:qFormat/>
    <w:uiPriority w:val="0"/>
    <w:pPr>
      <w:widowControl/>
      <w:spacing w:before="280" w:after="280"/>
    </w:pPr>
    <w:rPr>
      <w:rFonts w:ascii="宋体" w:hAnsi="宋体" w:cs="宋体"/>
      <w:b/>
      <w:kern w:val="0"/>
      <w:sz w:val="18"/>
      <w:szCs w:val="20"/>
    </w:rPr>
  </w:style>
  <w:style w:type="paragraph" w:customStyle="1" w:styleId="452">
    <w:name w:val="正文31"/>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453">
    <w:name w:val="Char Char1 Char Char Char2"/>
    <w:basedOn w:val="18"/>
    <w:qFormat/>
    <w:uiPriority w:val="0"/>
    <w:rPr>
      <w:rFonts w:eastAsia="Times New Roman"/>
    </w:rPr>
  </w:style>
  <w:style w:type="paragraph" w:customStyle="1" w:styleId="454">
    <w:name w:val="引用1"/>
    <w:basedOn w:val="1"/>
    <w:next w:val="1"/>
    <w:qFormat/>
    <w:uiPriority w:val="0"/>
    <w:rPr>
      <w:i/>
      <w:color w:val="000000"/>
      <w:sz w:val="22"/>
      <w:szCs w:val="20"/>
    </w:rPr>
  </w:style>
  <w:style w:type="paragraph" w:customStyle="1" w:styleId="455">
    <w:name w:val="TOC 71"/>
    <w:next w:val="1"/>
    <w:qFormat/>
    <w:uiPriority w:val="0"/>
    <w:pPr>
      <w:wordWrap w:val="0"/>
      <w:ind w:left="2550"/>
      <w:jc w:val="both"/>
    </w:pPr>
    <w:rPr>
      <w:rFonts w:ascii="宋体" w:hAnsi="宋体" w:eastAsia="宋体" w:cs="宋体"/>
      <w:sz w:val="21"/>
      <w:lang w:val="en-US" w:eastAsia="zh-CN" w:bidi="ar-SA"/>
    </w:rPr>
  </w:style>
  <w:style w:type="paragraph" w:customStyle="1" w:styleId="456">
    <w:name w:val="修订11"/>
    <w:semiHidden/>
    <w:qFormat/>
    <w:uiPriority w:val="99"/>
    <w:rPr>
      <w:rFonts w:ascii="Times New Roman" w:hAnsi="Times New Roman" w:eastAsia="宋体" w:cs="Times New Roman"/>
      <w:kern w:val="2"/>
      <w:sz w:val="21"/>
      <w:szCs w:val="24"/>
      <w:lang w:val="en-US" w:eastAsia="zh-CN" w:bidi="ar-SA"/>
    </w:rPr>
  </w:style>
  <w:style w:type="paragraph" w:customStyle="1" w:styleId="457">
    <w:name w:val="Char Char Char Char3"/>
    <w:basedOn w:val="1"/>
    <w:next w:val="1"/>
    <w:qFormat/>
    <w:uiPriority w:val="0"/>
    <w:pPr>
      <w:widowControl/>
      <w:spacing w:after="160" w:line="240" w:lineRule="exact"/>
    </w:pPr>
    <w:rPr>
      <w:rFonts w:hAnsi="宋体" w:cs="宋体"/>
      <w:kern w:val="0"/>
      <w:szCs w:val="20"/>
    </w:rPr>
  </w:style>
  <w:style w:type="paragraph" w:customStyle="1" w:styleId="458">
    <w:name w:val="样式8"/>
    <w:basedOn w:val="1"/>
    <w:next w:val="285"/>
    <w:qFormat/>
    <w:uiPriority w:val="0"/>
    <w:pPr>
      <w:spacing w:before="260" w:after="260"/>
      <w:jc w:val="center"/>
      <w:outlineLvl w:val="1"/>
    </w:pPr>
    <w:rPr>
      <w:rFonts w:ascii="Arial" w:hAnsi="宋体" w:eastAsia="黑体" w:cs="宋体"/>
      <w:b/>
      <w:kern w:val="0"/>
      <w:sz w:val="72"/>
      <w:szCs w:val="20"/>
    </w:rPr>
  </w:style>
  <w:style w:type="paragraph" w:customStyle="1" w:styleId="459">
    <w:name w:val="样式 标题 2 + (中文) 宋体 (西文)五号 非(西文)粗体 段前: 6 磅 段后: 3 磅 行距: 1.5 倍行距"/>
    <w:basedOn w:val="5"/>
    <w:next w:val="402"/>
    <w:qFormat/>
    <w:uiPriority w:val="0"/>
    <w:pPr>
      <w:keepNext w:val="0"/>
      <w:keepLines w:val="0"/>
      <w:spacing w:before="120" w:after="60" w:line="360" w:lineRule="auto"/>
      <w:jc w:val="center"/>
    </w:pPr>
    <w:rPr>
      <w:rFonts w:hAnsi="宋体" w:eastAsia="宋体" w:cs="宋体"/>
      <w:bCs w:val="0"/>
      <w:kern w:val="0"/>
      <w:sz w:val="24"/>
      <w:szCs w:val="20"/>
    </w:rPr>
  </w:style>
  <w:style w:type="paragraph" w:customStyle="1" w:styleId="460">
    <w:name w:val="Char Char Char Char Char Char Char Char Char Char2"/>
    <w:basedOn w:val="1"/>
    <w:qFormat/>
    <w:uiPriority w:val="0"/>
    <w:pPr>
      <w:widowControl/>
      <w:spacing w:line="400" w:lineRule="exact"/>
      <w:jc w:val="center"/>
    </w:pPr>
    <w:rPr>
      <w:rFonts w:ascii="Verdana" w:hAnsi="Verdana"/>
      <w:kern w:val="0"/>
      <w:szCs w:val="20"/>
      <w:lang w:eastAsia="en-US"/>
    </w:rPr>
  </w:style>
  <w:style w:type="paragraph" w:customStyle="1" w:styleId="461">
    <w:name w:val="TOC 标题3"/>
    <w:basedOn w:val="4"/>
    <w:next w:val="1"/>
    <w:qFormat/>
    <w:uiPriority w:val="0"/>
    <w:pPr>
      <w:spacing w:line="576" w:lineRule="auto"/>
      <w:outlineLvl w:val="9"/>
    </w:pPr>
    <w:rPr>
      <w:rFonts w:ascii="Calibri" w:hAnsi="Calibri" w:eastAsia="黑体"/>
    </w:rPr>
  </w:style>
  <w:style w:type="paragraph" w:customStyle="1" w:styleId="462">
    <w:name w:val="Blockquote"/>
    <w:basedOn w:val="1"/>
    <w:next w:val="266"/>
    <w:qFormat/>
    <w:uiPriority w:val="0"/>
    <w:pPr>
      <w:autoSpaceDE w:val="0"/>
      <w:autoSpaceDN w:val="0"/>
      <w:spacing w:before="100" w:after="100"/>
      <w:ind w:left="360" w:right="360"/>
    </w:pPr>
    <w:rPr>
      <w:rFonts w:hAnsi="宋体" w:cs="宋体"/>
      <w:kern w:val="0"/>
      <w:sz w:val="24"/>
      <w:szCs w:val="20"/>
    </w:rPr>
  </w:style>
  <w:style w:type="character" w:customStyle="1" w:styleId="463">
    <w:name w:val="15"/>
    <w:basedOn w:val="59"/>
    <w:qFormat/>
    <w:uiPriority w:val="0"/>
  </w:style>
  <w:style w:type="character" w:customStyle="1" w:styleId="464">
    <w:name w:val="标题 3 Char"/>
    <w:qFormat/>
    <w:uiPriority w:val="0"/>
    <w:rPr>
      <w:rFonts w:eastAsia="黑体"/>
      <w:b/>
      <w:bCs/>
      <w:kern w:val="2"/>
      <w:sz w:val="21"/>
      <w:szCs w:val="32"/>
      <w:lang w:val="zh-CN" w:eastAsia="zh-CN"/>
    </w:rPr>
  </w:style>
  <w:style w:type="character" w:customStyle="1" w:styleId="465">
    <w:name w:val="Unresolved Mention"/>
    <w:basedOn w:val="59"/>
    <w:semiHidden/>
    <w:unhideWhenUsed/>
    <w:qFormat/>
    <w:uiPriority w:val="99"/>
    <w:rPr>
      <w:color w:val="605E5C"/>
      <w:shd w:val="clear" w:color="auto" w:fill="E1DFDD"/>
    </w:rPr>
  </w:style>
  <w:style w:type="character" w:customStyle="1" w:styleId="466">
    <w:name w:val="页脚 Char1"/>
    <w:semiHidden/>
    <w:qFormat/>
    <w:uiPriority w:val="99"/>
    <w:rPr>
      <w:rFonts w:ascii="Times New Roman" w:hAnsi="Times New Roman" w:eastAsia="宋体" w:cs="Times New Roman"/>
      <w:sz w:val="18"/>
      <w:szCs w:val="18"/>
    </w:rPr>
  </w:style>
  <w:style w:type="character" w:customStyle="1" w:styleId="467">
    <w:name w:val="正文文本缩进 2 Char1"/>
    <w:semiHidden/>
    <w:qFormat/>
    <w:uiPriority w:val="99"/>
    <w:rPr>
      <w:rFonts w:ascii="Times New Roman" w:hAnsi="Times New Roman" w:eastAsia="宋体" w:cs="Times New Roman"/>
      <w:szCs w:val="24"/>
    </w:rPr>
  </w:style>
  <w:style w:type="character" w:customStyle="1" w:styleId="468">
    <w:name w:val="日期 Char2"/>
    <w:semiHidden/>
    <w:qFormat/>
    <w:uiPriority w:val="99"/>
    <w:rPr>
      <w:rFonts w:ascii="Times New Roman" w:hAnsi="Times New Roman" w:eastAsia="宋体" w:cs="Times New Roman"/>
      <w:szCs w:val="24"/>
    </w:rPr>
  </w:style>
  <w:style w:type="character" w:customStyle="1" w:styleId="469">
    <w:name w:val="纯文本 Char2"/>
    <w:semiHidden/>
    <w:qFormat/>
    <w:uiPriority w:val="99"/>
    <w:rPr>
      <w:rFonts w:ascii="宋体" w:hAnsi="Courier New" w:eastAsia="宋体" w:cs="Courier New"/>
      <w:szCs w:val="21"/>
    </w:rPr>
  </w:style>
  <w:style w:type="character" w:customStyle="1" w:styleId="470">
    <w:name w:val="批注框文本 Char2"/>
    <w:semiHidden/>
    <w:qFormat/>
    <w:uiPriority w:val="99"/>
    <w:rPr>
      <w:rFonts w:ascii="Times New Roman" w:hAnsi="Times New Roman" w:eastAsia="宋体" w:cs="Times New Roman"/>
      <w:sz w:val="18"/>
      <w:szCs w:val="18"/>
    </w:rPr>
  </w:style>
  <w:style w:type="character" w:customStyle="1" w:styleId="471">
    <w:name w:val="批注主题 Char2"/>
    <w:semiHidden/>
    <w:qFormat/>
    <w:uiPriority w:val="99"/>
    <w:rPr>
      <w:rFonts w:ascii="Times New Roman" w:hAnsi="Times New Roman" w:eastAsia="宋体" w:cs="Times New Roman"/>
      <w:b/>
      <w:bCs/>
      <w:szCs w:val="24"/>
    </w:rPr>
  </w:style>
  <w:style w:type="character" w:customStyle="1" w:styleId="472">
    <w:name w:val="webpageurl"/>
    <w:basedOn w:val="59"/>
    <w:qFormat/>
    <w:uiPriority w:val="0"/>
  </w:style>
  <w:style w:type="character" w:customStyle="1" w:styleId="473">
    <w:name w:val="文档结构图 Char2"/>
    <w:semiHidden/>
    <w:qFormat/>
    <w:uiPriority w:val="99"/>
    <w:rPr>
      <w:rFonts w:ascii="Microsoft YaHei UI" w:hAnsi="Times New Roman" w:eastAsia="Microsoft YaHei UI" w:cs="Times New Roman"/>
      <w:sz w:val="18"/>
      <w:szCs w:val="18"/>
    </w:rPr>
  </w:style>
  <w:style w:type="character" w:customStyle="1" w:styleId="474">
    <w:name w:val="副标题 Char2"/>
    <w:qFormat/>
    <w:uiPriority w:val="11"/>
    <w:rPr>
      <w:rFonts w:ascii="Calibri Light" w:hAnsi="Calibri Light" w:eastAsia="宋体" w:cs="Times New Roman"/>
      <w:b/>
      <w:bCs/>
      <w:kern w:val="28"/>
      <w:sz w:val="32"/>
      <w:szCs w:val="32"/>
    </w:rPr>
  </w:style>
  <w:style w:type="character" w:customStyle="1" w:styleId="475">
    <w:name w:val="正文文本缩进 Char1"/>
    <w:semiHidden/>
    <w:qFormat/>
    <w:uiPriority w:val="99"/>
    <w:rPr>
      <w:rFonts w:ascii="Times New Roman" w:hAnsi="Times New Roman" w:eastAsia="宋体" w:cs="Times New Roman"/>
      <w:szCs w:val="24"/>
    </w:rPr>
  </w:style>
  <w:style w:type="character" w:customStyle="1" w:styleId="476">
    <w:name w:val="标题 Char3"/>
    <w:qFormat/>
    <w:uiPriority w:val="10"/>
    <w:rPr>
      <w:rFonts w:ascii="Calibri Light" w:hAnsi="Calibri Light" w:eastAsia="宋体" w:cs="Times New Roman"/>
      <w:b/>
      <w:bCs/>
      <w:sz w:val="32"/>
      <w:szCs w:val="32"/>
    </w:rPr>
  </w:style>
  <w:style w:type="character" w:customStyle="1" w:styleId="477">
    <w:name w:val="批注文字 Char3"/>
    <w:semiHidden/>
    <w:qFormat/>
    <w:uiPriority w:val="99"/>
    <w:rPr>
      <w:rFonts w:ascii="Times New Roman" w:hAnsi="Times New Roman" w:eastAsia="宋体" w:cs="Times New Roman"/>
      <w:szCs w:val="24"/>
    </w:rPr>
  </w:style>
  <w:style w:type="character" w:customStyle="1" w:styleId="478">
    <w:name w:val="脚注文本 Char1"/>
    <w:semiHidden/>
    <w:qFormat/>
    <w:uiPriority w:val="99"/>
    <w:rPr>
      <w:rFonts w:ascii="Times New Roman" w:hAnsi="Times New Roman" w:eastAsia="宋体" w:cs="Times New Roman"/>
      <w:sz w:val="18"/>
      <w:szCs w:val="18"/>
    </w:rPr>
  </w:style>
  <w:style w:type="character" w:customStyle="1" w:styleId="479">
    <w:name w:val="页眉 Char1"/>
    <w:semiHidden/>
    <w:qFormat/>
    <w:uiPriority w:val="99"/>
    <w:rPr>
      <w:rFonts w:ascii="Times New Roman" w:hAnsi="Times New Roman" w:eastAsia="宋体" w:cs="Times New Roman"/>
      <w:sz w:val="18"/>
      <w:szCs w:val="18"/>
    </w:rPr>
  </w:style>
  <w:style w:type="table" w:customStyle="1" w:styleId="480">
    <w:name w:val="网格型1"/>
    <w:basedOn w:val="57"/>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481">
    <w:name w:val="正文首行缩进 2 字符"/>
    <w:basedOn w:val="97"/>
    <w:link w:val="56"/>
    <w:qFormat/>
    <w:uiPriority w:val="99"/>
    <w:rPr>
      <w:rFonts w:ascii="宋体" w:hAnsi="宋体" w:eastAsia="仿宋_GB2312"/>
      <w:kern w:val="2"/>
      <w:sz w:val="21"/>
      <w:szCs w:val="24"/>
    </w:rPr>
  </w:style>
  <w:style w:type="table" w:customStyle="1" w:styleId="482">
    <w:name w:val="网格型2"/>
    <w:basedOn w:val="57"/>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483">
    <w:name w:val="正文首行缩进 Char1"/>
    <w:qFormat/>
    <w:uiPriority w:val="0"/>
    <w:rPr>
      <w:rFonts w:eastAsia="宋体"/>
      <w:kern w:val="2"/>
      <w:sz w:val="21"/>
      <w:szCs w:val="24"/>
      <w:lang w:val="en-US" w:eastAsia="zh-CN" w:bidi="ar-SA"/>
    </w:rPr>
  </w:style>
  <w:style w:type="character" w:customStyle="1" w:styleId="484">
    <w:name w:val="Intense Quote Char"/>
    <w:qFormat/>
    <w:locked/>
    <w:uiPriority w:val="99"/>
    <w:rPr>
      <w:b/>
      <w:i/>
      <w:color w:val="4F81BD"/>
      <w:kern w:val="2"/>
      <w:sz w:val="24"/>
    </w:rPr>
  </w:style>
  <w:style w:type="character" w:customStyle="1" w:styleId="485">
    <w:name w:val="Body Text Indent 3 Char"/>
    <w:qFormat/>
    <w:locked/>
    <w:uiPriority w:val="99"/>
    <w:rPr>
      <w:kern w:val="2"/>
      <w:sz w:val="16"/>
    </w:rPr>
  </w:style>
  <w:style w:type="character" w:customStyle="1" w:styleId="486">
    <w:name w:val="Char Char25"/>
    <w:qFormat/>
    <w:uiPriority w:val="0"/>
    <w:rPr>
      <w:rFonts w:eastAsia="宋体"/>
      <w:sz w:val="24"/>
      <w:szCs w:val="24"/>
      <w:lang w:val="en-US" w:eastAsia="zh-CN" w:bidi="ar-SA"/>
    </w:rPr>
  </w:style>
  <w:style w:type="character" w:customStyle="1" w:styleId="487">
    <w:name w:val="Char Char81"/>
    <w:qFormat/>
    <w:locked/>
    <w:uiPriority w:val="0"/>
    <w:rPr>
      <w:rFonts w:eastAsia="宋体"/>
      <w:kern w:val="2"/>
      <w:sz w:val="21"/>
      <w:lang w:val="en-US" w:eastAsia="zh-CN" w:bidi="ar-SA"/>
    </w:rPr>
  </w:style>
  <w:style w:type="character" w:customStyle="1" w:styleId="488">
    <w:name w:val="emailstyle17"/>
    <w:semiHidden/>
    <w:qFormat/>
    <w:uiPriority w:val="0"/>
    <w:rPr>
      <w:rFonts w:hint="default" w:ascii="Arial" w:hAnsi="Arial" w:eastAsia="宋体" w:cs="Arial"/>
      <w:color w:val="auto"/>
      <w:sz w:val="18"/>
      <w:szCs w:val="20"/>
    </w:rPr>
  </w:style>
  <w:style w:type="character" w:customStyle="1" w:styleId="489">
    <w:name w:val="批注文字 Char Char Char"/>
    <w:qFormat/>
    <w:uiPriority w:val="0"/>
    <w:rPr>
      <w:kern w:val="2"/>
      <w:sz w:val="21"/>
      <w:szCs w:val="24"/>
    </w:rPr>
  </w:style>
  <w:style w:type="character" w:customStyle="1" w:styleId="490">
    <w:name w:val="标题 4 Char1"/>
    <w:qFormat/>
    <w:locked/>
    <w:uiPriority w:val="99"/>
    <w:rPr>
      <w:rFonts w:ascii="Cambria" w:hAnsi="Cambria" w:eastAsia="宋体"/>
      <w:b/>
      <w:kern w:val="2"/>
      <w:sz w:val="28"/>
    </w:rPr>
  </w:style>
  <w:style w:type="character" w:customStyle="1" w:styleId="491">
    <w:name w:val="Subtitle Char"/>
    <w:qFormat/>
    <w:locked/>
    <w:uiPriority w:val="99"/>
    <w:rPr>
      <w:rFonts w:ascii="Cambria" w:hAnsi="Cambria"/>
      <w:b/>
      <w:kern w:val="28"/>
      <w:sz w:val="32"/>
    </w:rPr>
  </w:style>
  <w:style w:type="character" w:customStyle="1" w:styleId="492">
    <w:name w:val="明显参考11"/>
    <w:qFormat/>
    <w:uiPriority w:val="99"/>
    <w:rPr>
      <w:b/>
      <w:smallCaps/>
      <w:color w:val="C0504D"/>
      <w:spacing w:val="5"/>
      <w:u w:val="single"/>
    </w:rPr>
  </w:style>
  <w:style w:type="character" w:customStyle="1" w:styleId="493">
    <w:name w:val="Char Char141"/>
    <w:qFormat/>
    <w:uiPriority w:val="0"/>
    <w:rPr>
      <w:rFonts w:eastAsia="宋体"/>
      <w:kern w:val="2"/>
      <w:sz w:val="21"/>
      <w:szCs w:val="24"/>
      <w:lang w:val="en-US" w:eastAsia="zh-CN" w:bidi="ar-SA"/>
    </w:rPr>
  </w:style>
  <w:style w:type="character" w:customStyle="1" w:styleId="494">
    <w:name w:val="不明显参考11"/>
    <w:qFormat/>
    <w:uiPriority w:val="99"/>
    <w:rPr>
      <w:smallCaps/>
      <w:color w:val="C0504D"/>
      <w:u w:val="single"/>
    </w:rPr>
  </w:style>
  <w:style w:type="character" w:customStyle="1" w:styleId="495">
    <w:name w:val="Body Text Char"/>
    <w:qFormat/>
    <w:locked/>
    <w:uiPriority w:val="0"/>
    <w:rPr>
      <w:kern w:val="2"/>
      <w:sz w:val="24"/>
    </w:rPr>
  </w:style>
  <w:style w:type="character" w:customStyle="1" w:styleId="496">
    <w:name w:val="Char Char211"/>
    <w:qFormat/>
    <w:uiPriority w:val="0"/>
    <w:rPr>
      <w:rFonts w:eastAsia="宋体"/>
      <w:b/>
      <w:bCs/>
      <w:kern w:val="2"/>
      <w:sz w:val="32"/>
      <w:szCs w:val="32"/>
      <w:lang w:val="en-US" w:eastAsia="zh-CN" w:bidi="ar-SA"/>
    </w:rPr>
  </w:style>
  <w:style w:type="character" w:customStyle="1" w:styleId="497">
    <w:name w:val="Char Char201"/>
    <w:qFormat/>
    <w:locked/>
    <w:uiPriority w:val="0"/>
    <w:rPr>
      <w:rFonts w:eastAsia="宋体"/>
      <w:sz w:val="24"/>
      <w:lang w:val="en-US" w:eastAsia="zh-CN" w:bidi="ar-SA"/>
    </w:rPr>
  </w:style>
  <w:style w:type="character" w:customStyle="1" w:styleId="498">
    <w:name w:val="明显强调11"/>
    <w:qFormat/>
    <w:uiPriority w:val="99"/>
    <w:rPr>
      <w:b/>
      <w:i/>
      <w:color w:val="4F81BD"/>
    </w:rPr>
  </w:style>
  <w:style w:type="character" w:customStyle="1" w:styleId="499">
    <w:name w:val="Char Char Char Char Char Char2"/>
    <w:qFormat/>
    <w:uiPriority w:val="0"/>
    <w:rPr>
      <w:rFonts w:eastAsia="宋体"/>
      <w:kern w:val="2"/>
      <w:sz w:val="21"/>
      <w:szCs w:val="24"/>
      <w:lang w:val="en-US" w:eastAsia="zh-CN" w:bidi="ar-SA"/>
    </w:rPr>
  </w:style>
  <w:style w:type="character" w:customStyle="1" w:styleId="500">
    <w:name w:val="10"/>
    <w:qFormat/>
    <w:uiPriority w:val="0"/>
    <w:rPr>
      <w:rFonts w:hint="default" w:ascii="Times New Roman" w:hAnsi="Times New Roman" w:cs="Times New Roman"/>
    </w:rPr>
  </w:style>
  <w:style w:type="character" w:customStyle="1" w:styleId="501">
    <w:name w:val="Quote Char"/>
    <w:qFormat/>
    <w:locked/>
    <w:uiPriority w:val="99"/>
    <w:rPr>
      <w:i/>
      <w:color w:val="000000"/>
      <w:kern w:val="2"/>
      <w:sz w:val="24"/>
    </w:rPr>
  </w:style>
  <w:style w:type="character" w:customStyle="1" w:styleId="502">
    <w:name w:val="Char Char31"/>
    <w:qFormat/>
    <w:uiPriority w:val="0"/>
    <w:rPr>
      <w:rFonts w:eastAsia="宋体"/>
      <w:b/>
      <w:bCs/>
      <w:kern w:val="2"/>
      <w:sz w:val="32"/>
      <w:szCs w:val="32"/>
      <w:lang w:val="en-US" w:eastAsia="zh-CN" w:bidi="ar-SA"/>
    </w:rPr>
  </w:style>
  <w:style w:type="character" w:customStyle="1" w:styleId="503">
    <w:name w:val="HTML 预设格式 Char1"/>
    <w:qFormat/>
    <w:uiPriority w:val="0"/>
    <w:rPr>
      <w:rFonts w:ascii="Courier New" w:hAnsi="Courier New" w:cs="Courier New"/>
      <w:kern w:val="2"/>
    </w:rPr>
  </w:style>
  <w:style w:type="character" w:customStyle="1" w:styleId="504">
    <w:name w:val="Char Char101"/>
    <w:qFormat/>
    <w:uiPriority w:val="0"/>
    <w:rPr>
      <w:rFonts w:eastAsia="宋体"/>
      <w:kern w:val="2"/>
      <w:sz w:val="18"/>
      <w:szCs w:val="18"/>
      <w:lang w:val="en-US" w:eastAsia="zh-CN" w:bidi="ar-SA"/>
    </w:rPr>
  </w:style>
  <w:style w:type="character" w:customStyle="1" w:styleId="505">
    <w:name w:val="无间隔 Char"/>
    <w:link w:val="364"/>
    <w:qFormat/>
    <w:locked/>
    <w:uiPriority w:val="0"/>
    <w:rPr>
      <w:kern w:val="2"/>
      <w:sz w:val="21"/>
      <w:szCs w:val="24"/>
    </w:rPr>
  </w:style>
  <w:style w:type="character" w:customStyle="1" w:styleId="506">
    <w:name w:val="Char Char71"/>
    <w:qFormat/>
    <w:uiPriority w:val="0"/>
    <w:rPr>
      <w:b/>
      <w:bCs/>
      <w:kern w:val="2"/>
      <w:sz w:val="21"/>
      <w:szCs w:val="24"/>
      <w:lang w:bidi="ar-SA"/>
    </w:rPr>
  </w:style>
  <w:style w:type="character" w:customStyle="1" w:styleId="507">
    <w:name w:val="Char Char92"/>
    <w:qFormat/>
    <w:locked/>
    <w:uiPriority w:val="0"/>
    <w:rPr>
      <w:rFonts w:eastAsia="宋体"/>
      <w:b/>
      <w:kern w:val="2"/>
      <w:sz w:val="21"/>
      <w:lang w:val="en-US" w:eastAsia="zh-CN" w:bidi="ar-SA"/>
    </w:rPr>
  </w:style>
  <w:style w:type="character" w:customStyle="1" w:styleId="508">
    <w:name w:val="正文缩进2格 Char"/>
    <w:link w:val="509"/>
    <w:qFormat/>
    <w:uiPriority w:val="0"/>
    <w:rPr>
      <w:rFonts w:ascii="仿宋_GB2312" w:hAnsi="宋体" w:eastAsia="仿宋_GB2312"/>
      <w:sz w:val="31"/>
      <w:szCs w:val="28"/>
    </w:rPr>
  </w:style>
  <w:style w:type="paragraph" w:customStyle="1" w:styleId="509">
    <w:name w:val="正文缩进2格"/>
    <w:basedOn w:val="1"/>
    <w:link w:val="508"/>
    <w:qFormat/>
    <w:uiPriority w:val="0"/>
    <w:pPr>
      <w:spacing w:line="600" w:lineRule="exact"/>
      <w:ind w:firstLine="639" w:firstLineChars="206"/>
    </w:pPr>
    <w:rPr>
      <w:rFonts w:ascii="仿宋_GB2312" w:hAnsi="宋体" w:eastAsia="仿宋_GB2312"/>
      <w:kern w:val="0"/>
      <w:sz w:val="31"/>
      <w:szCs w:val="28"/>
    </w:rPr>
  </w:style>
  <w:style w:type="character" w:customStyle="1" w:styleId="510">
    <w:name w:val="Char Char61"/>
    <w:qFormat/>
    <w:uiPriority w:val="0"/>
    <w:rPr>
      <w:kern w:val="2"/>
      <w:sz w:val="18"/>
      <w:szCs w:val="18"/>
    </w:rPr>
  </w:style>
  <w:style w:type="character" w:customStyle="1" w:styleId="511">
    <w:name w:val="方案文档 Char"/>
    <w:link w:val="512"/>
    <w:qFormat/>
    <w:uiPriority w:val="0"/>
    <w:rPr>
      <w:rFonts w:ascii="宋体" w:hAnsi="宋体"/>
      <w:sz w:val="24"/>
      <w:szCs w:val="24"/>
      <w:lang w:val="zh-CN"/>
    </w:rPr>
  </w:style>
  <w:style w:type="paragraph" w:customStyle="1" w:styleId="512">
    <w:name w:val="方案文档"/>
    <w:basedOn w:val="1"/>
    <w:link w:val="511"/>
    <w:qFormat/>
    <w:uiPriority w:val="0"/>
    <w:pPr>
      <w:spacing w:before="120" w:after="120" w:line="360" w:lineRule="auto"/>
      <w:ind w:right="32" w:firstLine="480"/>
    </w:pPr>
    <w:rPr>
      <w:rFonts w:ascii="宋体" w:hAnsi="宋体"/>
      <w:kern w:val="0"/>
      <w:sz w:val="24"/>
      <w:lang w:val="zh-CN"/>
    </w:rPr>
  </w:style>
  <w:style w:type="character" w:customStyle="1" w:styleId="513">
    <w:name w:val="书籍标题11"/>
    <w:qFormat/>
    <w:uiPriority w:val="99"/>
    <w:rPr>
      <w:b/>
      <w:smallCaps/>
      <w:spacing w:val="5"/>
    </w:rPr>
  </w:style>
  <w:style w:type="character" w:customStyle="1" w:styleId="514">
    <w:name w:val="font161"/>
    <w:qFormat/>
    <w:uiPriority w:val="99"/>
    <w:rPr>
      <w:b/>
      <w:sz w:val="32"/>
    </w:rPr>
  </w:style>
  <w:style w:type="character" w:customStyle="1" w:styleId="515">
    <w:name w:val="Char Char191"/>
    <w:qFormat/>
    <w:locked/>
    <w:uiPriority w:val="0"/>
    <w:rPr>
      <w:rFonts w:eastAsia="宋体"/>
      <w:sz w:val="24"/>
      <w:lang w:val="en-US" w:eastAsia="zh-CN" w:bidi="ar-SA"/>
    </w:rPr>
  </w:style>
  <w:style w:type="character" w:customStyle="1" w:styleId="516">
    <w:name w:val="Body Text 3 Char"/>
    <w:qFormat/>
    <w:locked/>
    <w:uiPriority w:val="99"/>
    <w:rPr>
      <w:rFonts w:ascii="宋体"/>
      <w:kern w:val="2"/>
      <w:sz w:val="24"/>
    </w:rPr>
  </w:style>
  <w:style w:type="character" w:customStyle="1" w:styleId="517">
    <w:name w:val="不明显强调11"/>
    <w:qFormat/>
    <w:uiPriority w:val="99"/>
    <w:rPr>
      <w:i/>
      <w:color w:val="808080"/>
    </w:rPr>
  </w:style>
  <w:style w:type="paragraph" w:customStyle="1" w:styleId="518">
    <w:name w:val="xl75"/>
    <w:basedOn w:val="1"/>
    <w:qFormat/>
    <w:uiPriority w:val="99"/>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0"/>
      <w:szCs w:val="20"/>
    </w:rPr>
  </w:style>
  <w:style w:type="paragraph" w:customStyle="1" w:styleId="519">
    <w:name w:val="xl81"/>
    <w:basedOn w:val="1"/>
    <w:qFormat/>
    <w:uiPriority w:val="99"/>
    <w:pPr>
      <w:widowControl/>
      <w:pBdr>
        <w:top w:val="single" w:color="auto" w:sz="4" w:space="0"/>
        <w:left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0"/>
      <w:szCs w:val="20"/>
    </w:rPr>
  </w:style>
  <w:style w:type="paragraph" w:customStyle="1" w:styleId="520">
    <w:name w:val="Char Char Char Char Char Char Char Char Char Char Char Char Char Char Char3"/>
    <w:basedOn w:val="1"/>
    <w:qFormat/>
    <w:uiPriority w:val="0"/>
    <w:pPr>
      <w:widowControl/>
      <w:spacing w:line="400" w:lineRule="exact"/>
      <w:jc w:val="center"/>
    </w:pPr>
    <w:rPr>
      <w:rFonts w:ascii="Verdana" w:hAnsi="Verdana"/>
      <w:kern w:val="0"/>
      <w:szCs w:val="20"/>
      <w:lang w:eastAsia="en-US"/>
    </w:rPr>
  </w:style>
  <w:style w:type="paragraph" w:customStyle="1" w:styleId="521">
    <w:name w:val="(1)"/>
    <w:basedOn w:val="1"/>
    <w:qFormat/>
    <w:uiPriority w:val="99"/>
    <w:pPr>
      <w:tabs>
        <w:tab w:val="left" w:pos="780"/>
        <w:tab w:val="left" w:pos="1134"/>
        <w:tab w:val="left" w:pos="1647"/>
      </w:tabs>
      <w:ind w:left="780" w:hanging="360"/>
    </w:pPr>
    <w:rPr>
      <w:rFonts w:ascii="宋体" w:hAnsi="宋体"/>
      <w:sz w:val="24"/>
    </w:rPr>
  </w:style>
  <w:style w:type="paragraph" w:customStyle="1" w:styleId="522">
    <w:name w:val="Char Char Char Char Char Char Char13"/>
    <w:basedOn w:val="1"/>
    <w:qFormat/>
    <w:uiPriority w:val="0"/>
    <w:pPr>
      <w:widowControl/>
      <w:spacing w:line="400" w:lineRule="exact"/>
      <w:jc w:val="center"/>
    </w:pPr>
    <w:rPr>
      <w:rFonts w:ascii="Verdana" w:hAnsi="Verdana"/>
      <w:kern w:val="0"/>
      <w:szCs w:val="20"/>
      <w:lang w:eastAsia="en-US"/>
    </w:rPr>
  </w:style>
  <w:style w:type="paragraph" w:customStyle="1" w:styleId="523">
    <w:name w:val="WW-正文缩进"/>
    <w:basedOn w:val="524"/>
    <w:qFormat/>
    <w:uiPriority w:val="0"/>
    <w:pPr>
      <w:tabs>
        <w:tab w:val="left" w:pos="1654"/>
      </w:tabs>
    </w:pPr>
  </w:style>
  <w:style w:type="paragraph" w:customStyle="1" w:styleId="524">
    <w:name w:val="默认"/>
    <w:qFormat/>
    <w:uiPriority w:val="0"/>
    <w:pPr>
      <w:widowControl w:val="0"/>
      <w:tabs>
        <w:tab w:val="left" w:pos="1654"/>
      </w:tabs>
      <w:suppressAutoHyphens/>
      <w:spacing w:line="360" w:lineRule="atLeast"/>
      <w:ind w:firstLine="420"/>
    </w:pPr>
    <w:rPr>
      <w:rFonts w:ascii="Times New Roman" w:hAnsi="Times New Roman" w:eastAsia="Times New Roman" w:cs="Times New Roman"/>
      <w:color w:val="000000"/>
      <w:sz w:val="21"/>
      <w:szCs w:val="22"/>
      <w:lang w:val="en-US" w:eastAsia="zh-CN" w:bidi="ar-SA"/>
    </w:rPr>
  </w:style>
  <w:style w:type="paragraph" w:customStyle="1" w:styleId="525">
    <w:name w:val="Char Char Char Char4"/>
    <w:basedOn w:val="1"/>
    <w:next w:val="1"/>
    <w:qFormat/>
    <w:uiPriority w:val="0"/>
    <w:pPr>
      <w:widowControl/>
      <w:spacing w:after="160" w:line="240" w:lineRule="exact"/>
      <w:jc w:val="left"/>
    </w:pPr>
  </w:style>
  <w:style w:type="paragraph" w:customStyle="1" w:styleId="526">
    <w:name w:val="Char Char15"/>
    <w:basedOn w:val="1"/>
    <w:qFormat/>
    <w:uiPriority w:val="0"/>
  </w:style>
  <w:style w:type="paragraph" w:customStyle="1" w:styleId="527">
    <w:name w:val="2"/>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528">
    <w:name w:val="Char Char Char Char Char Char Char Char Char Char Char Char Char4"/>
    <w:basedOn w:val="1"/>
    <w:qFormat/>
    <w:uiPriority w:val="0"/>
    <w:pPr>
      <w:tabs>
        <w:tab w:val="left" w:pos="420"/>
      </w:tabs>
      <w:ind w:left="420" w:hanging="420"/>
    </w:pPr>
    <w:rPr>
      <w:rFonts w:ascii="Tahoma" w:hAnsi="Tahoma"/>
      <w:sz w:val="24"/>
      <w:szCs w:val="20"/>
    </w:rPr>
  </w:style>
  <w:style w:type="paragraph" w:customStyle="1" w:styleId="529">
    <w:name w:val="_Style 26"/>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30">
    <w:name w:val="Char Char2 Char Char"/>
    <w:basedOn w:val="18"/>
    <w:qFormat/>
    <w:uiPriority w:val="99"/>
    <w:rPr>
      <w:rFonts w:ascii="Tahoma" w:hAnsi="Tahoma"/>
      <w:kern w:val="0"/>
      <w:sz w:val="2"/>
      <w:szCs w:val="20"/>
      <w:shd w:val="clear" w:color="auto" w:fill="auto"/>
    </w:rPr>
  </w:style>
  <w:style w:type="paragraph" w:customStyle="1" w:styleId="531">
    <w:name w:val="Char Char Char Char Char Char Char Char Char Char Char Char Char Char Char Char Char Char Char2"/>
    <w:basedOn w:val="1"/>
    <w:qFormat/>
    <w:uiPriority w:val="0"/>
    <w:pPr>
      <w:widowControl/>
      <w:spacing w:line="400" w:lineRule="exact"/>
      <w:jc w:val="center"/>
    </w:pPr>
    <w:rPr>
      <w:rFonts w:ascii="Verdana" w:hAnsi="Verdana"/>
      <w:kern w:val="0"/>
      <w:szCs w:val="20"/>
      <w:lang w:eastAsia="en-US"/>
    </w:rPr>
  </w:style>
  <w:style w:type="paragraph" w:customStyle="1" w:styleId="532">
    <w:name w:val="xl82"/>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4"/>
    </w:rPr>
  </w:style>
  <w:style w:type="paragraph" w:customStyle="1" w:styleId="533">
    <w:name w:val="Char Char Char Char Char Char Char Char Char Char3"/>
    <w:basedOn w:val="1"/>
    <w:qFormat/>
    <w:uiPriority w:val="0"/>
    <w:pPr>
      <w:widowControl/>
      <w:spacing w:line="400" w:lineRule="exact"/>
      <w:jc w:val="center"/>
    </w:pPr>
    <w:rPr>
      <w:rFonts w:ascii="Verdana" w:hAnsi="Verdana"/>
      <w:kern w:val="0"/>
      <w:szCs w:val="20"/>
      <w:lang w:eastAsia="en-US"/>
    </w:rPr>
  </w:style>
  <w:style w:type="paragraph" w:customStyle="1" w:styleId="534">
    <w:name w:val="xl70"/>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4"/>
    </w:rPr>
  </w:style>
  <w:style w:type="paragraph" w:customStyle="1" w:styleId="535">
    <w:name w:val="Char Char1 Char Char Char3"/>
    <w:basedOn w:val="18"/>
    <w:qFormat/>
    <w:uiPriority w:val="0"/>
    <w:rPr>
      <w:shd w:val="clear" w:color="auto" w:fill="auto"/>
    </w:rPr>
  </w:style>
  <w:style w:type="paragraph" w:customStyle="1" w:styleId="536">
    <w:name w:val="纯文本1"/>
    <w:basedOn w:val="1"/>
    <w:qFormat/>
    <w:uiPriority w:val="0"/>
    <w:pPr>
      <w:adjustRightInd w:val="0"/>
      <w:textAlignment w:val="baseline"/>
    </w:pPr>
    <w:rPr>
      <w:rFonts w:ascii="宋体" w:hAnsi="Courier New" w:eastAsia="楷体_GB2312"/>
      <w:sz w:val="26"/>
    </w:rPr>
  </w:style>
  <w:style w:type="paragraph" w:customStyle="1" w:styleId="537">
    <w:name w:val="纯文本2"/>
    <w:basedOn w:val="1"/>
    <w:qFormat/>
    <w:uiPriority w:val="99"/>
    <w:rPr>
      <w:rFonts w:ascii="宋体" w:hAnsi="Courier New"/>
      <w:sz w:val="28"/>
    </w:rPr>
  </w:style>
  <w:style w:type="paragraph" w:customStyle="1" w:styleId="538">
    <w:name w:val="xl71"/>
    <w:basedOn w:val="1"/>
    <w:qFormat/>
    <w:uiPriority w:val="99"/>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0"/>
      <w:szCs w:val="20"/>
    </w:rPr>
  </w:style>
  <w:style w:type="paragraph" w:customStyle="1" w:styleId="539">
    <w:name w:val="6'"/>
    <w:basedOn w:val="1"/>
    <w:qFormat/>
    <w:uiPriority w:val="99"/>
    <w:pPr>
      <w:autoSpaceDE w:val="0"/>
      <w:autoSpaceDN w:val="0"/>
      <w:adjustRightInd w:val="0"/>
      <w:snapToGrid w:val="0"/>
      <w:spacing w:line="320" w:lineRule="exact"/>
      <w:jc w:val="center"/>
      <w:textAlignment w:val="baseline"/>
    </w:pPr>
    <w:rPr>
      <w:spacing w:val="20"/>
      <w:kern w:val="28"/>
    </w:rPr>
  </w:style>
  <w:style w:type="paragraph" w:customStyle="1" w:styleId="540">
    <w:name w:val="xl68"/>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0"/>
      <w:szCs w:val="20"/>
    </w:rPr>
  </w:style>
  <w:style w:type="paragraph" w:customStyle="1" w:styleId="541">
    <w:name w:val="Char Char Char1 Char3"/>
    <w:basedOn w:val="1"/>
    <w:qFormat/>
    <w:uiPriority w:val="0"/>
    <w:rPr>
      <w:szCs w:val="20"/>
    </w:rPr>
  </w:style>
  <w:style w:type="paragraph" w:customStyle="1" w:styleId="542">
    <w:name w:val="Char Char Char1"/>
    <w:basedOn w:val="1"/>
    <w:qFormat/>
    <w:uiPriority w:val="0"/>
    <w:pPr>
      <w:tabs>
        <w:tab w:val="left" w:pos="420"/>
      </w:tabs>
      <w:ind w:left="420" w:hanging="420"/>
    </w:pPr>
    <w:rPr>
      <w:rFonts w:ascii="Tahoma" w:hAnsi="Tahoma"/>
      <w:sz w:val="24"/>
      <w:szCs w:val="20"/>
    </w:rPr>
  </w:style>
  <w:style w:type="paragraph" w:customStyle="1" w:styleId="543">
    <w:name w:val="正文4"/>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544">
    <w:name w:val="È±Ê¡ÎÄ±¾"/>
    <w:basedOn w:val="1"/>
    <w:qFormat/>
    <w:uiPriority w:val="0"/>
    <w:pPr>
      <w:widowControl/>
      <w:overflowPunct w:val="0"/>
      <w:autoSpaceDE w:val="0"/>
      <w:autoSpaceDN w:val="0"/>
      <w:adjustRightInd w:val="0"/>
      <w:jc w:val="left"/>
      <w:textAlignment w:val="baseline"/>
    </w:pPr>
    <w:rPr>
      <w:kern w:val="0"/>
      <w:sz w:val="24"/>
      <w:lang w:val="zh-CN"/>
    </w:rPr>
  </w:style>
  <w:style w:type="paragraph" w:customStyle="1" w:styleId="545">
    <w:name w:val="注"/>
    <w:basedOn w:val="1"/>
    <w:qFormat/>
    <w:uiPriority w:val="99"/>
    <w:pPr>
      <w:adjustRightInd w:val="0"/>
      <w:spacing w:line="360" w:lineRule="atLeast"/>
      <w:ind w:left="840" w:hanging="420"/>
      <w:textAlignment w:val="baseline"/>
    </w:pPr>
    <w:rPr>
      <w:kern w:val="0"/>
    </w:rPr>
  </w:style>
  <w:style w:type="paragraph" w:customStyle="1" w:styleId="546">
    <w:name w:val="xl76"/>
    <w:basedOn w:val="1"/>
    <w:qFormat/>
    <w:uiPriority w:val="99"/>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4"/>
    </w:rPr>
  </w:style>
  <w:style w:type="paragraph" w:customStyle="1" w:styleId="547">
    <w:name w:val="正文文本缩进1"/>
    <w:basedOn w:val="1"/>
    <w:qFormat/>
    <w:uiPriority w:val="99"/>
    <w:pPr>
      <w:spacing w:line="360" w:lineRule="auto"/>
      <w:ind w:firstLine="420"/>
    </w:pPr>
    <w:rPr>
      <w:rFonts w:ascii="宋体"/>
      <w:sz w:val="24"/>
    </w:rPr>
  </w:style>
  <w:style w:type="paragraph" w:customStyle="1" w:styleId="548">
    <w:name w:val="表格"/>
    <w:basedOn w:val="1"/>
    <w:qFormat/>
    <w:uiPriority w:val="99"/>
    <w:pPr>
      <w:jc w:val="center"/>
      <w:textAlignment w:val="center"/>
    </w:pPr>
    <w:rPr>
      <w:rFonts w:ascii="华文细黑" w:hAnsi="华文细黑"/>
      <w:kern w:val="0"/>
    </w:rPr>
  </w:style>
  <w:style w:type="paragraph" w:customStyle="1" w:styleId="549">
    <w:name w:val="样式 标题 2 + 黑色 行距: 1.5 倍行距"/>
    <w:basedOn w:val="5"/>
    <w:qFormat/>
    <w:uiPriority w:val="99"/>
    <w:pPr>
      <w:spacing w:line="360" w:lineRule="auto"/>
    </w:pPr>
    <w:rPr>
      <w:rFonts w:eastAsia="宋体" w:cs="宋体"/>
      <w:bCs w:val="0"/>
      <w:color w:val="000000"/>
      <w:szCs w:val="20"/>
    </w:rPr>
  </w:style>
  <w:style w:type="paragraph" w:customStyle="1" w:styleId="550">
    <w:name w:val="Plain Text1"/>
    <w:basedOn w:val="1"/>
    <w:qFormat/>
    <w:uiPriority w:val="99"/>
    <w:rPr>
      <w:rFonts w:ascii="宋体" w:hAnsi="Courier New"/>
      <w:sz w:val="28"/>
    </w:rPr>
  </w:style>
  <w:style w:type="paragraph" w:customStyle="1" w:styleId="551">
    <w:name w:val="xl38"/>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hint="eastAsia" w:ascii="楷体_GB2312" w:hAnsi="宋体" w:eastAsia="楷体_GB2312"/>
      <w:kern w:val="0"/>
      <w:sz w:val="24"/>
    </w:rPr>
  </w:style>
  <w:style w:type="paragraph" w:customStyle="1" w:styleId="552">
    <w:name w:val="xl65"/>
    <w:basedOn w:val="1"/>
    <w:qFormat/>
    <w:uiPriority w:val="99"/>
    <w:pPr>
      <w:widowControl/>
      <w:shd w:val="clear" w:color="000000" w:fill="FFFFFF"/>
      <w:spacing w:before="100" w:beforeAutospacing="1" w:after="100" w:afterAutospacing="1"/>
      <w:jc w:val="center"/>
    </w:pPr>
    <w:rPr>
      <w:rFonts w:ascii="宋体" w:hAnsi="宋体" w:cs="宋体"/>
      <w:kern w:val="0"/>
      <w:sz w:val="20"/>
      <w:szCs w:val="20"/>
    </w:rPr>
  </w:style>
  <w:style w:type="paragraph" w:customStyle="1" w:styleId="553">
    <w:name w:val="xl74"/>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0"/>
      <w:szCs w:val="20"/>
    </w:rPr>
  </w:style>
  <w:style w:type="paragraph" w:customStyle="1" w:styleId="554">
    <w:name w:val="副标题2"/>
    <w:basedOn w:val="1"/>
    <w:next w:val="1"/>
    <w:qFormat/>
    <w:uiPriority w:val="0"/>
    <w:pPr>
      <w:spacing w:before="120" w:after="120"/>
      <w:jc w:val="left"/>
    </w:pPr>
    <w:rPr>
      <w:rFonts w:ascii="Arial" w:hAnsi="Arial"/>
      <w:b/>
      <w:bCs/>
      <w:color w:val="000000"/>
      <w:kern w:val="44"/>
      <w:sz w:val="20"/>
      <w:szCs w:val="20"/>
    </w:rPr>
  </w:style>
  <w:style w:type="paragraph" w:customStyle="1" w:styleId="555">
    <w:name w:val="Char3"/>
    <w:basedOn w:val="1"/>
    <w:qFormat/>
    <w:uiPriority w:val="0"/>
    <w:rPr>
      <w:rFonts w:ascii="Tahoma" w:hAnsi="Tahoma"/>
      <w:sz w:val="24"/>
      <w:szCs w:val="20"/>
    </w:rPr>
  </w:style>
  <w:style w:type="paragraph" w:customStyle="1" w:styleId="556">
    <w:name w:val="Body Text Indent1"/>
    <w:basedOn w:val="1"/>
    <w:qFormat/>
    <w:uiPriority w:val="99"/>
    <w:pPr>
      <w:spacing w:line="360" w:lineRule="auto"/>
      <w:ind w:firstLine="420"/>
    </w:pPr>
    <w:rPr>
      <w:rFonts w:ascii="宋体"/>
      <w:sz w:val="24"/>
    </w:rPr>
  </w:style>
  <w:style w:type="paragraph" w:customStyle="1" w:styleId="557">
    <w:name w:val="标题 2 + 黑色 行距: 1.5 倍行距"/>
    <w:basedOn w:val="5"/>
    <w:qFormat/>
    <w:uiPriority w:val="99"/>
    <w:pPr>
      <w:spacing w:line="360" w:lineRule="auto"/>
    </w:pPr>
    <w:rPr>
      <w:rFonts w:eastAsia="宋体" w:cs="宋体"/>
      <w:bCs w:val="0"/>
      <w:color w:val="000000"/>
      <w:szCs w:val="20"/>
    </w:rPr>
  </w:style>
  <w:style w:type="paragraph" w:customStyle="1" w:styleId="558">
    <w:name w:val="xl79"/>
    <w:basedOn w:val="1"/>
    <w:qFormat/>
    <w:uiPriority w:val="99"/>
    <w:pPr>
      <w:widowControl/>
      <w:pBdr>
        <w:top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color w:val="FF9900"/>
      <w:kern w:val="0"/>
      <w:sz w:val="20"/>
      <w:szCs w:val="20"/>
    </w:rPr>
  </w:style>
  <w:style w:type="paragraph" w:customStyle="1" w:styleId="559">
    <w:name w:val="样式 标题 1 + 黑体 三号 非加粗 居中 段前: 6 磅 段后: 6 磅 行距: 固定值 20 磅"/>
    <w:basedOn w:val="4"/>
    <w:qFormat/>
    <w:uiPriority w:val="99"/>
    <w:pPr>
      <w:spacing w:before="120" w:after="120" w:line="400" w:lineRule="exact"/>
      <w:jc w:val="center"/>
    </w:pPr>
    <w:rPr>
      <w:rFonts w:ascii="黑体" w:hAnsi="黑体" w:eastAsia="黑体" w:cs="宋体"/>
      <w:b w:val="0"/>
      <w:bCs w:val="0"/>
      <w:sz w:val="32"/>
      <w:szCs w:val="20"/>
    </w:rPr>
  </w:style>
  <w:style w:type="paragraph" w:customStyle="1" w:styleId="560">
    <w:name w:val="Char Char Char1 Char Char Char Char Char Char Char2"/>
    <w:basedOn w:val="1"/>
    <w:qFormat/>
    <w:uiPriority w:val="0"/>
    <w:rPr>
      <w:rFonts w:ascii="Tahoma" w:hAnsi="Tahoma"/>
      <w:kern w:val="0"/>
      <w:sz w:val="24"/>
      <w:szCs w:val="20"/>
    </w:rPr>
  </w:style>
  <w:style w:type="paragraph" w:customStyle="1" w:styleId="561">
    <w:name w:val="xl63"/>
    <w:basedOn w:val="1"/>
    <w:qFormat/>
    <w:uiPriority w:val="99"/>
    <w:pPr>
      <w:widowControl/>
      <w:shd w:val="clear" w:color="000000" w:fill="FFFFFF"/>
      <w:spacing w:before="100" w:beforeAutospacing="1" w:after="100" w:afterAutospacing="1"/>
      <w:jc w:val="center"/>
    </w:pPr>
    <w:rPr>
      <w:rFonts w:ascii="宋体" w:hAnsi="宋体" w:cs="宋体"/>
      <w:kern w:val="0"/>
      <w:sz w:val="20"/>
      <w:szCs w:val="20"/>
    </w:rPr>
  </w:style>
  <w:style w:type="paragraph" w:customStyle="1" w:styleId="562">
    <w:name w:val="_Style 38"/>
    <w:basedOn w:val="1"/>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0"/>
    </w:rPr>
  </w:style>
  <w:style w:type="paragraph" w:customStyle="1" w:styleId="563">
    <w:name w:val="xl66"/>
    <w:basedOn w:val="1"/>
    <w:qFormat/>
    <w:uiPriority w:val="99"/>
    <w:pPr>
      <w:widowControl/>
      <w:shd w:val="clear" w:color="000000" w:fill="FFFFFF"/>
      <w:spacing w:before="100" w:beforeAutospacing="1" w:after="100" w:afterAutospacing="1"/>
      <w:jc w:val="center"/>
    </w:pPr>
    <w:rPr>
      <w:rFonts w:ascii="宋体" w:hAnsi="宋体" w:cs="宋体"/>
      <w:kern w:val="0"/>
      <w:sz w:val="24"/>
    </w:rPr>
  </w:style>
  <w:style w:type="paragraph" w:customStyle="1" w:styleId="564">
    <w:name w:val="样式 样式1 + 首行缩进:  2 字符"/>
    <w:basedOn w:val="1"/>
    <w:qFormat/>
    <w:uiPriority w:val="0"/>
    <w:pPr>
      <w:spacing w:line="360" w:lineRule="exact"/>
      <w:ind w:firstLine="420" w:firstLineChars="200"/>
    </w:pPr>
    <w:rPr>
      <w:rFonts w:ascii="Arial" w:hAnsi="Arial" w:cs="宋体"/>
      <w:kern w:val="0"/>
      <w:sz w:val="24"/>
      <w:szCs w:val="20"/>
    </w:rPr>
  </w:style>
  <w:style w:type="paragraph" w:customStyle="1" w:styleId="565">
    <w:name w:val="列表段落1"/>
    <w:basedOn w:val="1"/>
    <w:qFormat/>
    <w:uiPriority w:val="0"/>
    <w:pPr>
      <w:ind w:firstLine="420" w:firstLineChars="200"/>
    </w:pPr>
    <w:rPr>
      <w:rFonts w:ascii="Calibri" w:hAnsi="Calibri"/>
      <w:szCs w:val="20"/>
    </w:rPr>
  </w:style>
  <w:style w:type="paragraph" w:customStyle="1" w:styleId="566">
    <w:name w:val="Char Char2 Char Char Char Char4"/>
    <w:basedOn w:val="1"/>
    <w:qFormat/>
    <w:uiPriority w:val="0"/>
    <w:rPr>
      <w:rFonts w:ascii="Tahoma" w:hAnsi="Tahoma"/>
      <w:sz w:val="24"/>
      <w:szCs w:val="20"/>
    </w:rPr>
  </w:style>
  <w:style w:type="paragraph" w:customStyle="1" w:styleId="567">
    <w:name w:val="xl78"/>
    <w:basedOn w:val="1"/>
    <w:qFormat/>
    <w:uiPriority w:val="99"/>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color w:val="FF9900"/>
      <w:kern w:val="0"/>
      <w:sz w:val="24"/>
    </w:rPr>
  </w:style>
  <w:style w:type="paragraph" w:customStyle="1" w:styleId="568">
    <w:name w:val="xl67"/>
    <w:basedOn w:val="1"/>
    <w:qFormat/>
    <w:uiPriority w:val="99"/>
    <w:pPr>
      <w:widowControl/>
      <w:pBdr>
        <w:top w:val="single" w:color="auto" w:sz="4" w:space="0"/>
        <w:left w:val="single" w:color="auto" w:sz="4" w:space="0"/>
        <w:bottom w:val="single" w:color="auto" w:sz="4" w:space="0"/>
      </w:pBdr>
      <w:shd w:val="clear" w:color="000000" w:fill="FFFFFF"/>
      <w:spacing w:before="100" w:beforeAutospacing="1" w:after="100" w:afterAutospacing="1"/>
      <w:jc w:val="center"/>
    </w:pPr>
    <w:rPr>
      <w:rFonts w:ascii="宋体" w:hAnsi="宋体" w:cs="宋体"/>
      <w:kern w:val="0"/>
      <w:sz w:val="20"/>
      <w:szCs w:val="20"/>
    </w:rPr>
  </w:style>
  <w:style w:type="paragraph" w:customStyle="1" w:styleId="569">
    <w:name w:val="xl72"/>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color w:val="FF9900"/>
      <w:kern w:val="0"/>
      <w:sz w:val="20"/>
      <w:szCs w:val="20"/>
    </w:rPr>
  </w:style>
  <w:style w:type="paragraph" w:customStyle="1" w:styleId="570">
    <w:name w:val="Personal Name"/>
    <w:basedOn w:val="53"/>
    <w:qFormat/>
    <w:uiPriority w:val="99"/>
    <w:pPr>
      <w:adjustRightInd w:val="0"/>
      <w:spacing w:line="420" w:lineRule="atLeast"/>
      <w:textAlignment w:val="baseline"/>
    </w:pPr>
    <w:rPr>
      <w:rFonts w:ascii="Impact" w:hAnsi="Impact"/>
      <w:b w:val="0"/>
      <w:bCs w:val="0"/>
      <w:caps/>
      <w:color w:val="000000"/>
      <w:kern w:val="0"/>
      <w:sz w:val="28"/>
      <w:szCs w:val="28"/>
    </w:rPr>
  </w:style>
  <w:style w:type="paragraph" w:customStyle="1" w:styleId="571">
    <w:name w:val="xl64"/>
    <w:basedOn w:val="1"/>
    <w:qFormat/>
    <w:uiPriority w:val="99"/>
    <w:pPr>
      <w:widowControl/>
      <w:shd w:val="clear" w:color="000000" w:fill="FFFFFF"/>
      <w:spacing w:before="100" w:beforeAutospacing="1" w:after="100" w:afterAutospacing="1"/>
      <w:jc w:val="center"/>
    </w:pPr>
    <w:rPr>
      <w:rFonts w:ascii="宋体" w:hAnsi="宋体" w:cs="宋体"/>
      <w:kern w:val="0"/>
      <w:sz w:val="24"/>
    </w:rPr>
  </w:style>
  <w:style w:type="paragraph" w:customStyle="1" w:styleId="572">
    <w:name w:val="xl77"/>
    <w:basedOn w:val="1"/>
    <w:qFormat/>
    <w:uiPriority w:val="99"/>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color w:val="FF9900"/>
      <w:kern w:val="0"/>
      <w:sz w:val="20"/>
      <w:szCs w:val="20"/>
    </w:rPr>
  </w:style>
  <w:style w:type="paragraph" w:customStyle="1" w:styleId="573">
    <w:name w:val="xl69"/>
    <w:basedOn w:val="1"/>
    <w:qFormat/>
    <w:uiPriority w:val="99"/>
    <w:pPr>
      <w:widowControl/>
      <w:pBdr>
        <w:top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0"/>
      <w:szCs w:val="20"/>
    </w:rPr>
  </w:style>
  <w:style w:type="paragraph" w:customStyle="1" w:styleId="574">
    <w:name w:val="xl80"/>
    <w:basedOn w:val="1"/>
    <w:qFormat/>
    <w:uiPriority w:val="99"/>
    <w:pPr>
      <w:widowControl/>
      <w:pBdr>
        <w:top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0"/>
      <w:szCs w:val="20"/>
    </w:rPr>
  </w:style>
  <w:style w:type="paragraph" w:customStyle="1" w:styleId="575">
    <w:name w:val="xl73"/>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color w:val="FF9900"/>
      <w:kern w:val="0"/>
      <w:sz w:val="24"/>
    </w:rPr>
  </w:style>
  <w:style w:type="paragraph" w:customStyle="1" w:styleId="576">
    <w:name w:val="sh4"/>
    <w:basedOn w:val="1"/>
    <w:qFormat/>
    <w:uiPriority w:val="0"/>
    <w:pPr>
      <w:spacing w:line="460" w:lineRule="exact"/>
      <w:ind w:firstLine="420" w:firstLineChars="200"/>
    </w:pPr>
    <w:rPr>
      <w:rFonts w:ascii="宋体" w:hAnsi="宋体"/>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7E4B3B6-2CE0-4120-A5E4-DF4DA73A65A7}">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118</Pages>
  <Words>59502</Words>
  <Characters>62786</Characters>
  <Lines>523</Lines>
  <Paragraphs>147</Paragraphs>
  <TotalTime>16</TotalTime>
  <ScaleCrop>false</ScaleCrop>
  <LinksUpToDate>false</LinksUpToDate>
  <CharactersWithSpaces>68002</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2021-02-25T06:33:00Z</dcterms:created>
  <dc:creator>~一只~小螃蟹~</dc:creator>
  <cp:lastModifiedBy>wo</cp:lastModifiedBy>
  <cp:lastPrinted>2021-02-25T06:50:00Z</cp:lastPrinted>
  <dcterms:modified xsi:type="dcterms:W3CDTF">2023-06-15T04:02:38Z</dcterms:modified>
  <cp:revision>81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06FAA58F8CBC46AFB6F7E3AC01CEE4C8_13</vt:lpwstr>
  </property>
</Properties>
</file>