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A4636E">
      <w:pPr>
        <w:spacing w:line="360" w:lineRule="auto"/>
        <w:jc w:val="center"/>
        <w:rPr>
          <w:rFonts w:hint="eastAsia" w:ascii="宋体" w:hAnsi="宋体" w:eastAsia="宋体" w:cs="宋体"/>
          <w:sz w:val="36"/>
          <w:szCs w:val="36"/>
        </w:rPr>
      </w:pPr>
      <w:r>
        <w:rPr>
          <w:rFonts w:hint="eastAsia" w:ascii="宋体" w:hAnsi="宋体" w:eastAsia="宋体" w:cs="宋体"/>
          <w:sz w:val="36"/>
          <w:szCs w:val="36"/>
        </w:rPr>
        <w:t>编  制  说  明</w:t>
      </w:r>
    </w:p>
    <w:p w14:paraId="2A30A577">
      <w:pPr>
        <w:spacing w:line="360" w:lineRule="auto"/>
        <w:rPr>
          <w:rFonts w:hint="eastAsia" w:ascii="宋体" w:hAnsi="宋体" w:eastAsia="宋体" w:cs="宋体"/>
          <w:b/>
          <w:sz w:val="24"/>
        </w:rPr>
      </w:pPr>
      <w:r>
        <w:rPr>
          <w:rFonts w:hint="eastAsia" w:ascii="宋体" w:hAnsi="宋体" w:eastAsia="宋体" w:cs="宋体"/>
          <w:b/>
          <w:sz w:val="24"/>
        </w:rPr>
        <w:t>一、工程概况：</w:t>
      </w:r>
    </w:p>
    <w:p w14:paraId="7D1CE306">
      <w:pPr>
        <w:widowControl/>
        <w:spacing w:line="360" w:lineRule="auto"/>
        <w:ind w:firstLine="480" w:firstLineChars="200"/>
        <w:jc w:val="left"/>
        <w:rPr>
          <w:rFonts w:hint="eastAsia" w:ascii="宋体" w:hAnsi="宋体" w:eastAsia="宋体" w:cs="宋体"/>
          <w:b/>
          <w:sz w:val="24"/>
        </w:rPr>
      </w:pPr>
      <w:r>
        <w:rPr>
          <w:rFonts w:hint="eastAsia" w:ascii="宋体" w:hAnsi="宋体" w:eastAsia="宋体" w:cs="宋体"/>
          <w:sz w:val="24"/>
        </w:rPr>
        <w:t>本工程为南通市崇川区南川园社区完整社区试点二期工程</w:t>
      </w:r>
      <w:r>
        <w:rPr>
          <w:rFonts w:hint="eastAsia" w:ascii="宋体" w:hAnsi="宋体"/>
          <w:sz w:val="24"/>
        </w:rPr>
        <w:t>，</w:t>
      </w:r>
      <w:r>
        <w:rPr>
          <w:rFonts w:hint="eastAsia" w:asciiTheme="minorEastAsia" w:hAnsiTheme="minorEastAsia" w:cstheme="minorEastAsia"/>
          <w:sz w:val="24"/>
        </w:rPr>
        <w:t>主要施工内容装饰、安装等。</w:t>
      </w:r>
      <w:r>
        <w:rPr>
          <w:rFonts w:hint="eastAsia" w:ascii="宋体" w:hAnsi="宋体" w:eastAsia="宋体" w:cs="宋体"/>
          <w:sz w:val="24"/>
        </w:rPr>
        <w:t xml:space="preserve"> </w:t>
      </w:r>
    </w:p>
    <w:p w14:paraId="7A2033A2">
      <w:pPr>
        <w:widowControl/>
        <w:spacing w:line="360" w:lineRule="auto"/>
        <w:jc w:val="left"/>
        <w:rPr>
          <w:rFonts w:hint="eastAsia" w:ascii="宋体" w:hAnsi="宋体" w:eastAsia="宋体" w:cs="宋体"/>
          <w:b/>
          <w:sz w:val="24"/>
        </w:rPr>
      </w:pPr>
      <w:r>
        <w:rPr>
          <w:rFonts w:hint="eastAsia" w:ascii="宋体" w:hAnsi="宋体" w:eastAsia="宋体" w:cs="宋体"/>
          <w:b/>
          <w:sz w:val="24"/>
        </w:rPr>
        <w:t>二、招标控制价编制依据：</w:t>
      </w:r>
      <w:r>
        <w:rPr>
          <w:rFonts w:hint="eastAsia" w:ascii="宋体" w:hAnsi="宋体" w:eastAsia="宋体" w:cs="宋体"/>
          <w:sz w:val="24"/>
        </w:rPr>
        <w:t xml:space="preserve">               </w:t>
      </w:r>
    </w:p>
    <w:p w14:paraId="6E010F42">
      <w:pPr>
        <w:spacing w:line="360" w:lineRule="auto"/>
        <w:ind w:firstLine="480" w:firstLineChars="200"/>
        <w:rPr>
          <w:rFonts w:hint="eastAsia" w:ascii="宋体" w:hAnsi="宋体" w:eastAsia="宋体" w:cs="宋体"/>
          <w:sz w:val="24"/>
        </w:rPr>
      </w:pPr>
      <w:r>
        <w:rPr>
          <w:rFonts w:hint="eastAsia" w:ascii="宋体" w:hAnsi="宋体" w:eastAsia="宋体" w:cs="宋体"/>
          <w:sz w:val="24"/>
        </w:rPr>
        <w:t>1、《建设工程工程量清单计价规范》（GB50500-2013）；</w:t>
      </w:r>
    </w:p>
    <w:p w14:paraId="1F70AE89">
      <w:pPr>
        <w:spacing w:line="360" w:lineRule="auto"/>
        <w:ind w:firstLine="480" w:firstLineChars="200"/>
        <w:rPr>
          <w:rFonts w:hint="eastAsia" w:ascii="宋体" w:hAnsi="宋体" w:eastAsia="宋体" w:cs="宋体"/>
          <w:sz w:val="24"/>
        </w:rPr>
      </w:pPr>
      <w:r>
        <w:rPr>
          <w:rFonts w:hint="eastAsia" w:ascii="宋体" w:hAnsi="宋体" w:eastAsia="宋体" w:cs="宋体"/>
          <w:sz w:val="24"/>
        </w:rPr>
        <w:t>2、与工程量清单计价规范配套的工程量计算规范；</w:t>
      </w:r>
    </w:p>
    <w:p w14:paraId="7635F8AA">
      <w:pPr>
        <w:spacing w:line="360" w:lineRule="auto"/>
        <w:ind w:firstLine="480" w:firstLineChars="200"/>
        <w:rPr>
          <w:rFonts w:hint="eastAsia" w:asciiTheme="minorEastAsia" w:hAnsiTheme="minorEastAsia" w:cstheme="minorEastAsia"/>
          <w:sz w:val="24"/>
        </w:rPr>
      </w:pPr>
      <w:r>
        <w:rPr>
          <w:rFonts w:hint="eastAsia" w:ascii="宋体" w:hAnsi="宋体" w:eastAsia="宋体" w:cs="宋体"/>
          <w:sz w:val="24"/>
        </w:rPr>
        <w:t>3、《江苏省市政工程计价定额》 2014年版</w:t>
      </w:r>
      <w:r>
        <w:rPr>
          <w:rFonts w:hint="eastAsia" w:asciiTheme="minorEastAsia" w:hAnsiTheme="minorEastAsia" w:cstheme="minorEastAsia"/>
          <w:sz w:val="24"/>
        </w:rPr>
        <w:t>；</w:t>
      </w:r>
    </w:p>
    <w:p w14:paraId="2D234952">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4、《江苏省安装工程计价定额》2014年版</w:t>
      </w:r>
    </w:p>
    <w:p w14:paraId="1EB7703E">
      <w:pPr>
        <w:spacing w:line="360" w:lineRule="auto"/>
        <w:ind w:firstLine="480" w:firstLineChars="200"/>
        <w:rPr>
          <w:rFonts w:hint="eastAsia" w:ascii="宋体" w:hAnsi="宋体" w:eastAsia="宋体" w:cs="宋体"/>
          <w:sz w:val="24"/>
        </w:rPr>
      </w:pPr>
      <w:r>
        <w:rPr>
          <w:rFonts w:hint="eastAsia" w:ascii="宋体" w:hAnsi="宋体" w:eastAsia="宋体" w:cs="宋体"/>
          <w:sz w:val="24"/>
        </w:rPr>
        <w:t>5、《江苏省土建与装饰工程计价定额》2014年版;</w:t>
      </w:r>
    </w:p>
    <w:p w14:paraId="43DF2144">
      <w:pPr>
        <w:spacing w:line="360" w:lineRule="auto"/>
        <w:ind w:firstLine="480" w:firstLineChars="200"/>
        <w:rPr>
          <w:rFonts w:hint="eastAsia" w:ascii="宋体" w:hAnsi="宋体" w:eastAsia="宋体" w:cs="宋体"/>
          <w:sz w:val="24"/>
        </w:rPr>
      </w:pPr>
      <w:r>
        <w:rPr>
          <w:rFonts w:hint="eastAsia" w:ascii="宋体" w:hAnsi="宋体" w:eastAsia="宋体" w:cs="宋体"/>
          <w:sz w:val="24"/>
        </w:rPr>
        <w:t>6、《省住房城乡建设厅关于建筑业实施营改增后江苏省建设工程计价依据调整的通知》（苏建价[2016]154号文）；</w:t>
      </w:r>
    </w:p>
    <w:p w14:paraId="45EB56F5">
      <w:pPr>
        <w:spacing w:line="360" w:lineRule="auto"/>
        <w:ind w:firstLine="480" w:firstLineChars="200"/>
        <w:rPr>
          <w:rFonts w:hint="eastAsia" w:ascii="宋体" w:hAnsi="宋体" w:eastAsia="宋体" w:cs="宋体"/>
          <w:sz w:val="24"/>
        </w:rPr>
      </w:pPr>
      <w:r>
        <w:rPr>
          <w:rFonts w:hint="eastAsia" w:ascii="宋体" w:hAnsi="宋体" w:eastAsia="宋体" w:cs="宋体"/>
          <w:sz w:val="24"/>
        </w:rPr>
        <w:t>7、《省住房城乡建设厅关于建筑业营改增计价政策调整的通知》（苏建函价[2019]178号文）；</w:t>
      </w:r>
    </w:p>
    <w:p w14:paraId="58C803CF">
      <w:pPr>
        <w:spacing w:line="360" w:lineRule="auto"/>
        <w:ind w:firstLine="480" w:firstLineChars="200"/>
        <w:rPr>
          <w:rFonts w:hint="eastAsia" w:ascii="宋体" w:hAnsi="宋体" w:eastAsia="宋体" w:cs="宋体"/>
          <w:sz w:val="24"/>
        </w:rPr>
      </w:pPr>
      <w:r>
        <w:rPr>
          <w:rFonts w:hint="eastAsia" w:ascii="宋体" w:hAnsi="宋体" w:eastAsia="宋体" w:cs="宋体"/>
          <w:sz w:val="24"/>
        </w:rPr>
        <w:t>8、《省住房城乡建设厅关于调整建设工程按质论价等费用计取方法的公告》（江苏省住房和城乡建设厅公告[2018]第24号文）；</w:t>
      </w:r>
    </w:p>
    <w:p w14:paraId="0D23D792">
      <w:pPr>
        <w:spacing w:line="360" w:lineRule="auto"/>
        <w:ind w:firstLine="480" w:firstLineChars="200"/>
        <w:rPr>
          <w:rFonts w:hint="eastAsia" w:ascii="宋体" w:hAnsi="宋体" w:eastAsia="宋体" w:cs="宋体"/>
          <w:sz w:val="24"/>
        </w:rPr>
      </w:pPr>
      <w:r>
        <w:rPr>
          <w:rFonts w:hint="eastAsia" w:ascii="宋体" w:hAnsi="宋体" w:eastAsia="宋体" w:cs="宋体"/>
          <w:sz w:val="24"/>
        </w:rPr>
        <w:t>9、《省住房城乡建设厅关于建筑人工实名制费用计取方法的公告》（江苏省住房和城乡建设厅公告[2019]第19号文）；</w:t>
      </w:r>
    </w:p>
    <w:p w14:paraId="751FDFF4">
      <w:pPr>
        <w:widowControl/>
        <w:spacing w:line="360" w:lineRule="auto"/>
        <w:ind w:firstLine="480" w:firstLineChars="200"/>
        <w:jc w:val="left"/>
        <w:rPr>
          <w:rFonts w:hint="eastAsia" w:ascii="宋体" w:hAnsi="宋体" w:eastAsia="宋体" w:cs="宋体"/>
          <w:sz w:val="24"/>
        </w:rPr>
      </w:pPr>
      <w:r>
        <w:rPr>
          <w:rFonts w:hint="eastAsia" w:asciiTheme="minorEastAsia" w:hAnsiTheme="minorEastAsia" w:cstheme="minorEastAsia"/>
          <w:sz w:val="24"/>
        </w:rPr>
        <w:t>10、《省住房和城乡建设厅关于发布2024年上半年建设工程人工工资指导价的通知》（苏建函价[2024]384号文）；</w:t>
      </w:r>
    </w:p>
    <w:p w14:paraId="38F088BA">
      <w:pPr>
        <w:spacing w:line="360" w:lineRule="auto"/>
        <w:ind w:firstLine="480" w:firstLineChars="200"/>
        <w:rPr>
          <w:rFonts w:hint="eastAsia" w:ascii="宋体" w:hAnsi="宋体" w:eastAsia="宋体" w:cs="宋体"/>
          <w:sz w:val="24"/>
        </w:rPr>
      </w:pPr>
      <w:r>
        <w:rPr>
          <w:rFonts w:hint="eastAsia" w:ascii="宋体" w:hAnsi="宋体" w:eastAsia="宋体" w:cs="宋体"/>
          <w:sz w:val="24"/>
        </w:rPr>
        <w:t>11、</w:t>
      </w:r>
      <w:r>
        <w:rPr>
          <w:rFonts w:hint="eastAsia" w:asciiTheme="minorEastAsia" w:hAnsiTheme="minorEastAsia" w:cstheme="minorEastAsia"/>
          <w:sz w:val="24"/>
        </w:rPr>
        <w:t>材料价格参照《南通建设工程造价信息》2024年第11期指导价及同期市场价；</w:t>
      </w:r>
    </w:p>
    <w:p w14:paraId="0659F068">
      <w:pPr>
        <w:spacing w:line="360" w:lineRule="auto"/>
        <w:ind w:firstLine="480" w:firstLineChars="200"/>
        <w:rPr>
          <w:rFonts w:hint="eastAsia" w:ascii="宋体" w:hAnsi="宋体" w:eastAsia="宋体" w:cs="宋体"/>
          <w:sz w:val="24"/>
        </w:rPr>
      </w:pPr>
      <w:r>
        <w:rPr>
          <w:rFonts w:hint="eastAsia" w:ascii="宋体" w:hAnsi="宋体" w:eastAsia="宋体" w:cs="宋体"/>
          <w:sz w:val="24"/>
        </w:rPr>
        <w:t>12、建设单位提供的图纸等相关资料；</w:t>
      </w:r>
    </w:p>
    <w:p w14:paraId="424EF1A2">
      <w:pPr>
        <w:spacing w:line="360" w:lineRule="auto"/>
        <w:ind w:firstLine="480" w:firstLineChars="200"/>
        <w:rPr>
          <w:rFonts w:hint="eastAsia" w:ascii="宋体" w:hAnsi="宋体" w:eastAsia="宋体" w:cs="宋体"/>
          <w:sz w:val="24"/>
        </w:rPr>
      </w:pPr>
      <w:r>
        <w:rPr>
          <w:rFonts w:hint="eastAsia" w:ascii="宋体" w:hAnsi="宋体" w:eastAsia="宋体" w:cs="宋体"/>
          <w:sz w:val="24"/>
        </w:rPr>
        <w:t>13、现场踏勘情况、招标文件等；</w:t>
      </w:r>
    </w:p>
    <w:p w14:paraId="3B752455">
      <w:pPr>
        <w:spacing w:line="360" w:lineRule="auto"/>
        <w:ind w:firstLine="480" w:firstLineChars="200"/>
        <w:rPr>
          <w:rFonts w:hint="eastAsia" w:ascii="宋体" w:hAnsi="宋体" w:eastAsia="宋体" w:cs="宋体"/>
          <w:sz w:val="24"/>
        </w:rPr>
      </w:pPr>
      <w:r>
        <w:rPr>
          <w:rFonts w:hint="eastAsia" w:ascii="宋体" w:hAnsi="宋体" w:eastAsia="宋体" w:cs="宋体"/>
          <w:sz w:val="24"/>
        </w:rPr>
        <w:t>14、省、市建设行政主管部门有关建设工程取费标准及费用调整文件。</w:t>
      </w:r>
    </w:p>
    <w:p w14:paraId="13DC0BBA">
      <w:pPr>
        <w:spacing w:line="360" w:lineRule="auto"/>
        <w:rPr>
          <w:rFonts w:hint="eastAsia" w:ascii="宋体" w:hAnsi="宋体" w:eastAsia="宋体" w:cs="宋体"/>
          <w:b/>
          <w:sz w:val="24"/>
        </w:rPr>
      </w:pPr>
      <w:r>
        <w:rPr>
          <w:rFonts w:hint="eastAsia" w:ascii="宋体" w:hAnsi="宋体" w:eastAsia="宋体" w:cs="宋体"/>
          <w:b/>
          <w:sz w:val="24"/>
        </w:rPr>
        <w:t>三、计税方法：</w:t>
      </w:r>
    </w:p>
    <w:p w14:paraId="036B366E">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w:t>
      </w:r>
      <w:r>
        <w:rPr>
          <w:rFonts w:hint="eastAsia" w:ascii="宋体" w:hAnsi="宋体"/>
          <w:sz w:val="24"/>
        </w:rPr>
        <w:t>本工程计税方式采用一般计税</w:t>
      </w:r>
      <w:r>
        <w:rPr>
          <w:rFonts w:hint="eastAsia" w:ascii="宋体" w:hAnsi="宋体" w:eastAsia="宋体" w:cs="宋体"/>
          <w:sz w:val="24"/>
        </w:rPr>
        <w:t>。</w:t>
      </w:r>
    </w:p>
    <w:p w14:paraId="3C23A1BB">
      <w:pPr>
        <w:spacing w:line="360" w:lineRule="auto"/>
        <w:jc w:val="left"/>
        <w:rPr>
          <w:rFonts w:hint="eastAsia" w:ascii="宋体" w:hAnsi="宋体" w:eastAsia="宋体" w:cs="宋体"/>
          <w:b/>
          <w:bCs/>
          <w:sz w:val="24"/>
        </w:rPr>
      </w:pPr>
      <w:r>
        <w:rPr>
          <w:rFonts w:hint="eastAsia" w:ascii="宋体" w:hAnsi="宋体" w:eastAsia="宋体" w:cs="宋体"/>
          <w:b/>
          <w:bCs/>
          <w:sz w:val="24"/>
        </w:rPr>
        <w:t>四、做法说明</w:t>
      </w:r>
    </w:p>
    <w:p w14:paraId="03086758">
      <w:pPr>
        <w:spacing w:line="360" w:lineRule="auto"/>
        <w:jc w:val="left"/>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rPr>
        <w:tab/>
      </w:r>
      <w:r>
        <w:rPr>
          <w:rFonts w:hint="eastAsia" w:ascii="宋体" w:hAnsi="宋体" w:eastAsia="宋体" w:cs="宋体"/>
          <w:sz w:val="24"/>
        </w:rPr>
        <w:t>电梯图纸中满堂基础、矩形柱、直行墙的混凝土等级是C35。</w:t>
      </w:r>
    </w:p>
    <w:p w14:paraId="1C91A2BD">
      <w:pPr>
        <w:spacing w:line="360" w:lineRule="auto"/>
        <w:jc w:val="left"/>
        <w:rPr>
          <w:rFonts w:hint="eastAsia" w:ascii="宋体" w:hAnsi="宋体" w:eastAsia="宋体" w:cs="宋体"/>
          <w:b/>
          <w:sz w:val="24"/>
        </w:rPr>
      </w:pPr>
      <w:r>
        <w:rPr>
          <w:rFonts w:hint="eastAsia" w:ascii="宋体" w:hAnsi="宋体" w:eastAsia="宋体" w:cs="宋体"/>
          <w:b/>
          <w:sz w:val="24"/>
        </w:rPr>
        <w:t>五、其他需要说明事项：</w:t>
      </w:r>
    </w:p>
    <w:p w14:paraId="47D421FC">
      <w:pPr>
        <w:spacing w:line="360" w:lineRule="auto"/>
        <w:ind w:firstLine="480" w:firstLineChars="200"/>
        <w:rPr>
          <w:rFonts w:hint="eastAsia" w:ascii="宋体" w:hAnsi="宋体" w:eastAsia="宋体" w:cs="宋体"/>
          <w:sz w:val="24"/>
        </w:rPr>
      </w:pPr>
      <w:r>
        <w:rPr>
          <w:rFonts w:hint="eastAsia" w:ascii="宋体" w:hAnsi="宋体" w:eastAsia="宋体" w:cs="宋体"/>
          <w:sz w:val="24"/>
        </w:rPr>
        <w:t>1、投标人需认真勘察现场，充分了解其施工环境，工地位置，周边环境及任何其他足以影响承包价及工期的因素，招标人对于现有的施工环境及条件将不增加任何投入，请投标人自行考虑并计入投标报价内；</w:t>
      </w:r>
    </w:p>
    <w:p w14:paraId="5849E285">
      <w:pPr>
        <w:spacing w:line="360" w:lineRule="auto"/>
        <w:ind w:firstLine="480" w:firstLineChars="200"/>
        <w:rPr>
          <w:rFonts w:hint="eastAsia" w:ascii="宋体" w:hAnsi="宋体" w:eastAsia="宋体" w:cs="宋体"/>
          <w:sz w:val="24"/>
        </w:rPr>
      </w:pPr>
      <w:r>
        <w:rPr>
          <w:rFonts w:hint="eastAsia" w:ascii="宋体" w:hAnsi="宋体" w:eastAsia="宋体" w:cs="宋体"/>
          <w:sz w:val="24"/>
        </w:rPr>
        <w:t>2、本工程工程量仅作为投标人投标报价的基础，不能作为最终结算的唯一依据，工程量的变化调整以发包人与承包人签订的合同约定为准；</w:t>
      </w:r>
    </w:p>
    <w:p w14:paraId="3D16F427">
      <w:pPr>
        <w:pStyle w:val="9"/>
        <w:spacing w:line="360" w:lineRule="auto"/>
        <w:ind w:firstLine="480"/>
        <w:rPr>
          <w:rFonts w:hint="eastAsia" w:ascii="宋体" w:hAnsi="宋体" w:eastAsia="宋体" w:cs="宋体"/>
          <w:sz w:val="24"/>
        </w:rPr>
      </w:pPr>
      <w:r>
        <w:rPr>
          <w:rFonts w:hint="eastAsia" w:ascii="宋体" w:hAnsi="宋体" w:eastAsia="宋体" w:cs="宋体"/>
          <w:sz w:val="24"/>
        </w:rPr>
        <w:t>3、工程量清单项目特征及具体做法只作重点描述，清单特征中未详细描述的，投标人需查阅设计图纸、招标文件、设计答疑及其他相关资料进行报价。投标人报价应结合工程量清单、招标文件、现场情况及相关资料查阅与理解，做出自身合理报价。施工过程中不得以清单未描述和描述不详细，要求增加任何费用；</w:t>
      </w:r>
    </w:p>
    <w:p w14:paraId="5C71FCBF">
      <w:pPr>
        <w:pStyle w:val="9"/>
        <w:spacing w:line="360" w:lineRule="auto"/>
        <w:ind w:firstLine="480"/>
        <w:rPr>
          <w:rFonts w:hint="eastAsia" w:ascii="宋体" w:hAnsi="宋体" w:eastAsia="宋体" w:cs="宋体"/>
          <w:sz w:val="24"/>
        </w:rPr>
      </w:pPr>
      <w:r>
        <w:rPr>
          <w:rFonts w:hint="eastAsia" w:ascii="宋体" w:hAnsi="宋体" w:eastAsia="宋体" w:cs="宋体"/>
          <w:sz w:val="24"/>
        </w:rPr>
        <w:t>4、清单中所列的措施项目，投标人可根据工程实际与施工组织设计进行增补并报价，不得更改招标人已列措施项目。结算时，除工程变更引起施工方案改变外，投标人不得以招标工程措施项目清单缺项为由要求新增措施项目；</w:t>
      </w:r>
    </w:p>
    <w:p w14:paraId="6B8B9BF0">
      <w:pPr>
        <w:pStyle w:val="9"/>
        <w:spacing w:line="360" w:lineRule="auto"/>
        <w:ind w:firstLine="480"/>
        <w:rPr>
          <w:rFonts w:hint="eastAsia" w:ascii="宋体" w:hAnsi="宋体" w:eastAsia="宋体" w:cs="宋体"/>
          <w:sz w:val="24"/>
        </w:rPr>
      </w:pPr>
      <w:r>
        <w:rPr>
          <w:rFonts w:hint="eastAsia" w:ascii="宋体" w:hAnsi="宋体" w:eastAsia="宋体" w:cs="宋体"/>
          <w:sz w:val="24"/>
        </w:rPr>
        <w:t>5、建筑垃圾清运、处理按相关环保规定进行处理，相关费用投标人在投标报价中自行考虑；</w:t>
      </w:r>
    </w:p>
    <w:p w14:paraId="3E4049DF">
      <w:pPr>
        <w:widowControl/>
        <w:spacing w:line="360" w:lineRule="auto"/>
        <w:ind w:firstLine="480" w:firstLineChars="200"/>
        <w:jc w:val="left"/>
        <w:rPr>
          <w:rFonts w:ascii="宋体" w:hAnsi="宋体" w:eastAsia="宋体" w:cs="宋体"/>
          <w:sz w:val="24"/>
        </w:rPr>
      </w:pPr>
      <w:r>
        <w:rPr>
          <w:rFonts w:hint="eastAsia" w:ascii="宋体" w:hAnsi="宋体" w:eastAsia="宋体" w:cs="宋体"/>
          <w:sz w:val="24"/>
        </w:rPr>
        <w:t>6、其他未尽事宜参照现场实际情况、招标文件、工程量清单以及建设单位要求。</w:t>
      </w:r>
    </w:p>
    <w:p w14:paraId="71A26F6E">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7、本工程按“项”为单位的项目，投标人综合考虑报价。</w:t>
      </w:r>
    </w:p>
    <w:p w14:paraId="747B32C7">
      <w:pPr>
        <w:widowControl/>
        <w:spacing w:line="360" w:lineRule="auto"/>
        <w:ind w:firstLine="480" w:firstLineChars="200"/>
        <w:jc w:val="left"/>
        <w:rPr>
          <w:rFonts w:hint="eastAsia" w:ascii="宋体" w:hAnsi="宋体" w:eastAsia="宋体" w:cs="宋体"/>
          <w:sz w:val="24"/>
          <w:lang w:val="en-US" w:eastAsia="zh-CN"/>
        </w:rPr>
      </w:pPr>
      <w:r>
        <w:rPr>
          <w:rFonts w:hint="eastAsia" w:ascii="宋体" w:hAnsi="宋体" w:eastAsia="宋体" w:cs="宋体"/>
          <w:sz w:val="24"/>
          <w:lang w:val="en-US" w:eastAsia="zh-CN"/>
        </w:rPr>
        <w:t>8、所有电气及给排水的设备的参数及型号颜色均需业主认可后，采购安装。</w:t>
      </w:r>
    </w:p>
    <w:p w14:paraId="1396D376">
      <w:pPr>
        <w:widowControl/>
        <w:spacing w:line="360" w:lineRule="auto"/>
        <w:ind w:firstLine="480" w:firstLineChars="200"/>
        <w:jc w:val="left"/>
        <w:rPr>
          <w:rFonts w:hint="default" w:ascii="宋体" w:hAnsi="宋体" w:eastAsia="宋体" w:cs="宋体"/>
          <w:sz w:val="24"/>
          <w:lang w:val="en-US" w:eastAsia="zh-CN"/>
        </w:rPr>
      </w:pPr>
      <w:r>
        <w:rPr>
          <w:rFonts w:hint="eastAsia" w:ascii="宋体" w:hAnsi="宋体" w:eastAsia="宋体" w:cs="宋体"/>
          <w:sz w:val="24"/>
          <w:lang w:val="en-US" w:eastAsia="zh-CN"/>
        </w:rPr>
        <w:t>9、图纸未体现的音箱系统，依据清单及业主要求负责采购安装，音箱电源就近引至附近插座。</w:t>
      </w:r>
      <w:bookmarkStart w:id="0" w:name="_GoBack"/>
      <w:bookmarkEnd w:id="0"/>
    </w:p>
    <w:p w14:paraId="4B848836">
      <w:pPr>
        <w:widowControl/>
        <w:spacing w:line="360" w:lineRule="auto"/>
        <w:ind w:firstLine="480" w:firstLineChars="200"/>
        <w:jc w:val="left"/>
        <w:rPr>
          <w:rFonts w:hint="eastAsia" w:ascii="宋体" w:hAnsi="宋体" w:eastAsia="宋体" w:cs="宋体"/>
          <w:sz w:val="24"/>
        </w:rPr>
      </w:pPr>
    </w:p>
    <w:p w14:paraId="005F3B9E">
      <w:pPr>
        <w:spacing w:line="360" w:lineRule="auto"/>
        <w:ind w:left="420"/>
        <w:jc w:val="right"/>
        <w:rPr>
          <w:rFonts w:hint="eastAsia" w:ascii="宋体" w:hAnsi="宋体" w:eastAsia="宋体" w:cs="宋体"/>
          <w:sz w:val="24"/>
        </w:rPr>
      </w:pPr>
    </w:p>
    <w:sectPr>
      <w:pgSz w:w="11906" w:h="16838"/>
      <w:pgMar w:top="1134" w:right="1077" w:bottom="1134"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1NDY0NDI3YTMyYTc1Zjg2ZTQ0ZWYyMDJkMzU2OGMifQ=="/>
  </w:docVars>
  <w:rsids>
    <w:rsidRoot w:val="1FF65C16"/>
    <w:rsid w:val="0005174C"/>
    <w:rsid w:val="00051B54"/>
    <w:rsid w:val="00075895"/>
    <w:rsid w:val="00096E97"/>
    <w:rsid w:val="00102D0C"/>
    <w:rsid w:val="001131B7"/>
    <w:rsid w:val="001202D7"/>
    <w:rsid w:val="0012568C"/>
    <w:rsid w:val="00167DDF"/>
    <w:rsid w:val="001D4207"/>
    <w:rsid w:val="002019F7"/>
    <w:rsid w:val="00203BF3"/>
    <w:rsid w:val="0023399C"/>
    <w:rsid w:val="002501F8"/>
    <w:rsid w:val="0025619C"/>
    <w:rsid w:val="002A2241"/>
    <w:rsid w:val="00345CAC"/>
    <w:rsid w:val="00374AC5"/>
    <w:rsid w:val="003A583F"/>
    <w:rsid w:val="003B205F"/>
    <w:rsid w:val="003F07D0"/>
    <w:rsid w:val="0040146D"/>
    <w:rsid w:val="004078FE"/>
    <w:rsid w:val="004542DC"/>
    <w:rsid w:val="00470E4D"/>
    <w:rsid w:val="004C0C2B"/>
    <w:rsid w:val="00505E46"/>
    <w:rsid w:val="0051662D"/>
    <w:rsid w:val="005264C9"/>
    <w:rsid w:val="005E0D69"/>
    <w:rsid w:val="005E691E"/>
    <w:rsid w:val="006C361F"/>
    <w:rsid w:val="00705AE7"/>
    <w:rsid w:val="00721F11"/>
    <w:rsid w:val="00736B98"/>
    <w:rsid w:val="00756770"/>
    <w:rsid w:val="00766235"/>
    <w:rsid w:val="00767C02"/>
    <w:rsid w:val="007718E5"/>
    <w:rsid w:val="00774B7D"/>
    <w:rsid w:val="00774C6B"/>
    <w:rsid w:val="007F5FC8"/>
    <w:rsid w:val="008162A6"/>
    <w:rsid w:val="008450F6"/>
    <w:rsid w:val="008648CD"/>
    <w:rsid w:val="0089434B"/>
    <w:rsid w:val="009447B1"/>
    <w:rsid w:val="00965E6C"/>
    <w:rsid w:val="00A0100E"/>
    <w:rsid w:val="00A11E23"/>
    <w:rsid w:val="00A13961"/>
    <w:rsid w:val="00A70F3F"/>
    <w:rsid w:val="00AE74F5"/>
    <w:rsid w:val="00B352B5"/>
    <w:rsid w:val="00B66F91"/>
    <w:rsid w:val="00B8507C"/>
    <w:rsid w:val="00BC5AA3"/>
    <w:rsid w:val="00C2268F"/>
    <w:rsid w:val="00C70CE8"/>
    <w:rsid w:val="00C73B6E"/>
    <w:rsid w:val="00CC4406"/>
    <w:rsid w:val="00D37C59"/>
    <w:rsid w:val="00D7298F"/>
    <w:rsid w:val="00E277ED"/>
    <w:rsid w:val="00E315EA"/>
    <w:rsid w:val="00E4493A"/>
    <w:rsid w:val="00E72B65"/>
    <w:rsid w:val="00EA4969"/>
    <w:rsid w:val="00EE06A9"/>
    <w:rsid w:val="00F047CD"/>
    <w:rsid w:val="00F42D60"/>
    <w:rsid w:val="00F45258"/>
    <w:rsid w:val="00F66F0E"/>
    <w:rsid w:val="00F9460B"/>
    <w:rsid w:val="01916501"/>
    <w:rsid w:val="01B441E4"/>
    <w:rsid w:val="01F9096B"/>
    <w:rsid w:val="036100A7"/>
    <w:rsid w:val="03B90842"/>
    <w:rsid w:val="03BA2DAC"/>
    <w:rsid w:val="03CC72ED"/>
    <w:rsid w:val="03EE39D8"/>
    <w:rsid w:val="04663327"/>
    <w:rsid w:val="04833967"/>
    <w:rsid w:val="048A4750"/>
    <w:rsid w:val="05411B31"/>
    <w:rsid w:val="05512959"/>
    <w:rsid w:val="056E303C"/>
    <w:rsid w:val="05CD354B"/>
    <w:rsid w:val="05D71775"/>
    <w:rsid w:val="05FD4B41"/>
    <w:rsid w:val="06705702"/>
    <w:rsid w:val="06A03CB7"/>
    <w:rsid w:val="06AC1E40"/>
    <w:rsid w:val="06C5250B"/>
    <w:rsid w:val="06D67F02"/>
    <w:rsid w:val="080369E8"/>
    <w:rsid w:val="087A408D"/>
    <w:rsid w:val="08BF1DB8"/>
    <w:rsid w:val="09465BEC"/>
    <w:rsid w:val="096908E9"/>
    <w:rsid w:val="09750C0F"/>
    <w:rsid w:val="09CE4A8A"/>
    <w:rsid w:val="0A0217E5"/>
    <w:rsid w:val="0A35562E"/>
    <w:rsid w:val="0ADC21F6"/>
    <w:rsid w:val="0B1D1CF6"/>
    <w:rsid w:val="0B65665C"/>
    <w:rsid w:val="0B9C06D5"/>
    <w:rsid w:val="0C16179B"/>
    <w:rsid w:val="0CBA2B3D"/>
    <w:rsid w:val="0D4409F6"/>
    <w:rsid w:val="0DFE28A8"/>
    <w:rsid w:val="0E444359"/>
    <w:rsid w:val="0E97148D"/>
    <w:rsid w:val="0EAF5D60"/>
    <w:rsid w:val="0F117C86"/>
    <w:rsid w:val="0F22392E"/>
    <w:rsid w:val="0F3F526A"/>
    <w:rsid w:val="0F8D6365"/>
    <w:rsid w:val="0F8E0D2D"/>
    <w:rsid w:val="0FB627BA"/>
    <w:rsid w:val="0FDF745A"/>
    <w:rsid w:val="10165C97"/>
    <w:rsid w:val="109D1540"/>
    <w:rsid w:val="11A234ED"/>
    <w:rsid w:val="12C664F3"/>
    <w:rsid w:val="12E770EE"/>
    <w:rsid w:val="12FA5253"/>
    <w:rsid w:val="136B1253"/>
    <w:rsid w:val="14D5649A"/>
    <w:rsid w:val="14D57A75"/>
    <w:rsid w:val="14D94857"/>
    <w:rsid w:val="14F8625B"/>
    <w:rsid w:val="152001C1"/>
    <w:rsid w:val="15887539"/>
    <w:rsid w:val="16106469"/>
    <w:rsid w:val="162942C8"/>
    <w:rsid w:val="168C386F"/>
    <w:rsid w:val="16DA1616"/>
    <w:rsid w:val="16EF5897"/>
    <w:rsid w:val="1759674F"/>
    <w:rsid w:val="176C2338"/>
    <w:rsid w:val="1777007D"/>
    <w:rsid w:val="177B4F09"/>
    <w:rsid w:val="17884FC2"/>
    <w:rsid w:val="17D71404"/>
    <w:rsid w:val="17DD60DE"/>
    <w:rsid w:val="181F54CD"/>
    <w:rsid w:val="18562261"/>
    <w:rsid w:val="18CB4696"/>
    <w:rsid w:val="193D4D76"/>
    <w:rsid w:val="199D3F96"/>
    <w:rsid w:val="19EC64BE"/>
    <w:rsid w:val="1A227237"/>
    <w:rsid w:val="1A4875AB"/>
    <w:rsid w:val="1BA87191"/>
    <w:rsid w:val="1BC06997"/>
    <w:rsid w:val="1BC772A6"/>
    <w:rsid w:val="1C1D02F8"/>
    <w:rsid w:val="1C41139F"/>
    <w:rsid w:val="1C7B1F43"/>
    <w:rsid w:val="1CBC602E"/>
    <w:rsid w:val="1CDB74D5"/>
    <w:rsid w:val="1D0869AC"/>
    <w:rsid w:val="1D6158E1"/>
    <w:rsid w:val="1E0758F3"/>
    <w:rsid w:val="1E510A46"/>
    <w:rsid w:val="1E847BDD"/>
    <w:rsid w:val="1EBF6164"/>
    <w:rsid w:val="1EF75A6E"/>
    <w:rsid w:val="1EFE70B6"/>
    <w:rsid w:val="1F582580"/>
    <w:rsid w:val="1F820347"/>
    <w:rsid w:val="1F901346"/>
    <w:rsid w:val="1F9632F0"/>
    <w:rsid w:val="1FEE1786"/>
    <w:rsid w:val="1FF65C16"/>
    <w:rsid w:val="20135A1C"/>
    <w:rsid w:val="2032346F"/>
    <w:rsid w:val="207F75A3"/>
    <w:rsid w:val="208F6E2D"/>
    <w:rsid w:val="20AD5C39"/>
    <w:rsid w:val="21AD2CD6"/>
    <w:rsid w:val="21BB5C0D"/>
    <w:rsid w:val="21E17E94"/>
    <w:rsid w:val="227E137C"/>
    <w:rsid w:val="231D6147"/>
    <w:rsid w:val="241A760C"/>
    <w:rsid w:val="25423C43"/>
    <w:rsid w:val="25D87DD4"/>
    <w:rsid w:val="26102BF7"/>
    <w:rsid w:val="2678016D"/>
    <w:rsid w:val="267D43C7"/>
    <w:rsid w:val="26A12C84"/>
    <w:rsid w:val="27903F9A"/>
    <w:rsid w:val="27C01252"/>
    <w:rsid w:val="28AC5C87"/>
    <w:rsid w:val="29DF6BBB"/>
    <w:rsid w:val="29F17EE3"/>
    <w:rsid w:val="2A2730D7"/>
    <w:rsid w:val="2A6649FE"/>
    <w:rsid w:val="2AA37211"/>
    <w:rsid w:val="2BB1133F"/>
    <w:rsid w:val="2BCD6C0C"/>
    <w:rsid w:val="2C2778C1"/>
    <w:rsid w:val="2C2C1EA5"/>
    <w:rsid w:val="2C541D25"/>
    <w:rsid w:val="2C7B28D1"/>
    <w:rsid w:val="2CDD042A"/>
    <w:rsid w:val="2D0543FA"/>
    <w:rsid w:val="2D1B7587"/>
    <w:rsid w:val="2DE5125B"/>
    <w:rsid w:val="2E301B93"/>
    <w:rsid w:val="2F967065"/>
    <w:rsid w:val="2FCD6649"/>
    <w:rsid w:val="2FF916B0"/>
    <w:rsid w:val="30096C82"/>
    <w:rsid w:val="302A1B6B"/>
    <w:rsid w:val="30405785"/>
    <w:rsid w:val="30701AE3"/>
    <w:rsid w:val="30FE5742"/>
    <w:rsid w:val="314C6578"/>
    <w:rsid w:val="3165676B"/>
    <w:rsid w:val="317C7511"/>
    <w:rsid w:val="31EF3CC3"/>
    <w:rsid w:val="32490EBA"/>
    <w:rsid w:val="324F7E11"/>
    <w:rsid w:val="327064E7"/>
    <w:rsid w:val="32734ACD"/>
    <w:rsid w:val="32736C1A"/>
    <w:rsid w:val="32B002BD"/>
    <w:rsid w:val="32D9318E"/>
    <w:rsid w:val="33091931"/>
    <w:rsid w:val="33DC3D56"/>
    <w:rsid w:val="34147E88"/>
    <w:rsid w:val="342F1178"/>
    <w:rsid w:val="344B39A4"/>
    <w:rsid w:val="346A1E5A"/>
    <w:rsid w:val="350903E1"/>
    <w:rsid w:val="353976EC"/>
    <w:rsid w:val="35472BB0"/>
    <w:rsid w:val="3569321A"/>
    <w:rsid w:val="35E16280"/>
    <w:rsid w:val="371A7F91"/>
    <w:rsid w:val="374D58FE"/>
    <w:rsid w:val="38FD31D8"/>
    <w:rsid w:val="38FE6BC8"/>
    <w:rsid w:val="39534C92"/>
    <w:rsid w:val="39B20F40"/>
    <w:rsid w:val="39CA13B4"/>
    <w:rsid w:val="3A4C0A55"/>
    <w:rsid w:val="3AC17F00"/>
    <w:rsid w:val="3B691A69"/>
    <w:rsid w:val="3C4D262A"/>
    <w:rsid w:val="3C563B2F"/>
    <w:rsid w:val="3D0502E6"/>
    <w:rsid w:val="3D5C602C"/>
    <w:rsid w:val="3DE87152"/>
    <w:rsid w:val="3F3B6938"/>
    <w:rsid w:val="3FB30236"/>
    <w:rsid w:val="3FDE447A"/>
    <w:rsid w:val="40742EC1"/>
    <w:rsid w:val="40B767F0"/>
    <w:rsid w:val="40CE0C67"/>
    <w:rsid w:val="40D22248"/>
    <w:rsid w:val="40F55351"/>
    <w:rsid w:val="41AD1273"/>
    <w:rsid w:val="426C5BDB"/>
    <w:rsid w:val="42775BAF"/>
    <w:rsid w:val="42895174"/>
    <w:rsid w:val="42CC36E7"/>
    <w:rsid w:val="42D12B63"/>
    <w:rsid w:val="431D4E22"/>
    <w:rsid w:val="43884AB7"/>
    <w:rsid w:val="43C17928"/>
    <w:rsid w:val="43DA67E1"/>
    <w:rsid w:val="442D1D15"/>
    <w:rsid w:val="44763B07"/>
    <w:rsid w:val="45004098"/>
    <w:rsid w:val="453002F8"/>
    <w:rsid w:val="46BA3F77"/>
    <w:rsid w:val="46E0742F"/>
    <w:rsid w:val="474E479F"/>
    <w:rsid w:val="479C4D4B"/>
    <w:rsid w:val="482B58B6"/>
    <w:rsid w:val="48AD0084"/>
    <w:rsid w:val="48BC03E3"/>
    <w:rsid w:val="492005A1"/>
    <w:rsid w:val="49741503"/>
    <w:rsid w:val="49D17BD2"/>
    <w:rsid w:val="49D26E33"/>
    <w:rsid w:val="4A2B030E"/>
    <w:rsid w:val="4A341F6A"/>
    <w:rsid w:val="4A543DBC"/>
    <w:rsid w:val="4AE72B87"/>
    <w:rsid w:val="4AE957BB"/>
    <w:rsid w:val="4B0D516C"/>
    <w:rsid w:val="4B7342A7"/>
    <w:rsid w:val="4BC77814"/>
    <w:rsid w:val="4BD23D79"/>
    <w:rsid w:val="4C2E162C"/>
    <w:rsid w:val="4C730597"/>
    <w:rsid w:val="4C8B7CD9"/>
    <w:rsid w:val="4D08290E"/>
    <w:rsid w:val="4D9124B5"/>
    <w:rsid w:val="4E110C17"/>
    <w:rsid w:val="4E3C4EC8"/>
    <w:rsid w:val="4E657C10"/>
    <w:rsid w:val="4E9E6F65"/>
    <w:rsid w:val="4EBF0F99"/>
    <w:rsid w:val="4EC030CD"/>
    <w:rsid w:val="4FA96E18"/>
    <w:rsid w:val="50184DD9"/>
    <w:rsid w:val="50441E2B"/>
    <w:rsid w:val="50553990"/>
    <w:rsid w:val="50AA14AA"/>
    <w:rsid w:val="50DF4E0D"/>
    <w:rsid w:val="51370E92"/>
    <w:rsid w:val="51F81039"/>
    <w:rsid w:val="52110651"/>
    <w:rsid w:val="52E71802"/>
    <w:rsid w:val="5305439B"/>
    <w:rsid w:val="5318093B"/>
    <w:rsid w:val="53455305"/>
    <w:rsid w:val="538E55B5"/>
    <w:rsid w:val="53B73BCE"/>
    <w:rsid w:val="53F41BD1"/>
    <w:rsid w:val="54560676"/>
    <w:rsid w:val="555A79A6"/>
    <w:rsid w:val="5564320C"/>
    <w:rsid w:val="55737EE7"/>
    <w:rsid w:val="55CA5BD2"/>
    <w:rsid w:val="560B59C4"/>
    <w:rsid w:val="563E7A6A"/>
    <w:rsid w:val="564B4B3B"/>
    <w:rsid w:val="5652033F"/>
    <w:rsid w:val="567A2671"/>
    <w:rsid w:val="569B0A27"/>
    <w:rsid w:val="56B32780"/>
    <w:rsid w:val="57A46DC8"/>
    <w:rsid w:val="58365838"/>
    <w:rsid w:val="58E258BC"/>
    <w:rsid w:val="58F06AC1"/>
    <w:rsid w:val="59573B16"/>
    <w:rsid w:val="59876CD0"/>
    <w:rsid w:val="598D29D8"/>
    <w:rsid w:val="59CD15A2"/>
    <w:rsid w:val="5B1A3F4C"/>
    <w:rsid w:val="5B927D3B"/>
    <w:rsid w:val="5C4C0A0F"/>
    <w:rsid w:val="5C5646E2"/>
    <w:rsid w:val="5CA83245"/>
    <w:rsid w:val="5CB864D2"/>
    <w:rsid w:val="5CBE670E"/>
    <w:rsid w:val="5CCA1029"/>
    <w:rsid w:val="5E0E52AD"/>
    <w:rsid w:val="5E392460"/>
    <w:rsid w:val="5E5434E3"/>
    <w:rsid w:val="5EEC75BE"/>
    <w:rsid w:val="5FFA3AF5"/>
    <w:rsid w:val="6029617D"/>
    <w:rsid w:val="608A3F86"/>
    <w:rsid w:val="60985E1F"/>
    <w:rsid w:val="613876CD"/>
    <w:rsid w:val="618B4770"/>
    <w:rsid w:val="618D48A2"/>
    <w:rsid w:val="619863BE"/>
    <w:rsid w:val="61D218D0"/>
    <w:rsid w:val="620A19CE"/>
    <w:rsid w:val="621D20F2"/>
    <w:rsid w:val="62342C21"/>
    <w:rsid w:val="62626D19"/>
    <w:rsid w:val="630405C9"/>
    <w:rsid w:val="630A16CE"/>
    <w:rsid w:val="631F16BA"/>
    <w:rsid w:val="63662FF0"/>
    <w:rsid w:val="63B90DCB"/>
    <w:rsid w:val="63C024BF"/>
    <w:rsid w:val="63D75796"/>
    <w:rsid w:val="64076163"/>
    <w:rsid w:val="648733A5"/>
    <w:rsid w:val="64AC28AC"/>
    <w:rsid w:val="65022321"/>
    <w:rsid w:val="651D6E6C"/>
    <w:rsid w:val="65385694"/>
    <w:rsid w:val="6541554C"/>
    <w:rsid w:val="654900FB"/>
    <w:rsid w:val="6558563B"/>
    <w:rsid w:val="665F6846"/>
    <w:rsid w:val="66A650D9"/>
    <w:rsid w:val="67054DB2"/>
    <w:rsid w:val="67437811"/>
    <w:rsid w:val="67940AB9"/>
    <w:rsid w:val="67A301BE"/>
    <w:rsid w:val="67AC03D7"/>
    <w:rsid w:val="67BE1BD2"/>
    <w:rsid w:val="68382FD7"/>
    <w:rsid w:val="68C201E6"/>
    <w:rsid w:val="68EA44BF"/>
    <w:rsid w:val="69206A54"/>
    <w:rsid w:val="693B7295"/>
    <w:rsid w:val="69731522"/>
    <w:rsid w:val="6A0A4ED5"/>
    <w:rsid w:val="6AA05F49"/>
    <w:rsid w:val="6AC869B2"/>
    <w:rsid w:val="6AD17000"/>
    <w:rsid w:val="6B03724C"/>
    <w:rsid w:val="6B3E3B32"/>
    <w:rsid w:val="6B691767"/>
    <w:rsid w:val="6BE8435B"/>
    <w:rsid w:val="6C5D4CA8"/>
    <w:rsid w:val="6C7D7173"/>
    <w:rsid w:val="6CBB067B"/>
    <w:rsid w:val="6D6B1716"/>
    <w:rsid w:val="6D7C65CE"/>
    <w:rsid w:val="6DBC1175"/>
    <w:rsid w:val="6DDC09AE"/>
    <w:rsid w:val="6DF36787"/>
    <w:rsid w:val="6E242520"/>
    <w:rsid w:val="6EDE1941"/>
    <w:rsid w:val="6F7619A4"/>
    <w:rsid w:val="6F80296B"/>
    <w:rsid w:val="6FCF1A94"/>
    <w:rsid w:val="70BE0D20"/>
    <w:rsid w:val="714A7431"/>
    <w:rsid w:val="721D1F45"/>
    <w:rsid w:val="73941CE9"/>
    <w:rsid w:val="73E17FDC"/>
    <w:rsid w:val="74B20AA1"/>
    <w:rsid w:val="75233A4F"/>
    <w:rsid w:val="752B72BC"/>
    <w:rsid w:val="75851B01"/>
    <w:rsid w:val="75E209B1"/>
    <w:rsid w:val="76C84A10"/>
    <w:rsid w:val="76F24AC6"/>
    <w:rsid w:val="774E7C2A"/>
    <w:rsid w:val="77A75DDE"/>
    <w:rsid w:val="77C82A4B"/>
    <w:rsid w:val="782C1268"/>
    <w:rsid w:val="7843369F"/>
    <w:rsid w:val="787E7834"/>
    <w:rsid w:val="78EA1603"/>
    <w:rsid w:val="79261FD8"/>
    <w:rsid w:val="79471EAE"/>
    <w:rsid w:val="79A165EE"/>
    <w:rsid w:val="79C25C6D"/>
    <w:rsid w:val="79C956A9"/>
    <w:rsid w:val="79FF52D9"/>
    <w:rsid w:val="7A97500D"/>
    <w:rsid w:val="7B190259"/>
    <w:rsid w:val="7B4C2A35"/>
    <w:rsid w:val="7BA75F9F"/>
    <w:rsid w:val="7C3E7758"/>
    <w:rsid w:val="7CBE37C9"/>
    <w:rsid w:val="7CE50C55"/>
    <w:rsid w:val="7D5B11B4"/>
    <w:rsid w:val="7D6212B6"/>
    <w:rsid w:val="7DCA5EE2"/>
    <w:rsid w:val="7E575447"/>
    <w:rsid w:val="7E5D60FC"/>
    <w:rsid w:val="7E6B6727"/>
    <w:rsid w:val="7EC53360"/>
    <w:rsid w:val="7EDF1125"/>
    <w:rsid w:val="7F623D65"/>
    <w:rsid w:val="7F7C3F3B"/>
    <w:rsid w:val="7FDE1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p0"/>
    <w:basedOn w:val="1"/>
    <w:qFormat/>
    <w:uiPriority w:val="0"/>
    <w:pPr>
      <w:widowControl/>
    </w:pPr>
    <w:rPr>
      <w:kern w:val="0"/>
      <w:szCs w:val="21"/>
    </w:rPr>
  </w:style>
  <w:style w:type="paragraph" w:styleId="9">
    <w:name w:val="List Paragraph"/>
    <w:basedOn w:val="1"/>
    <w:qFormat/>
    <w:uiPriority w:val="34"/>
    <w:pPr>
      <w:ind w:firstLine="420" w:firstLineChars="200"/>
    </w:pPr>
  </w:style>
  <w:style w:type="character" w:customStyle="1" w:styleId="10">
    <w:name w:val="页眉 字符"/>
    <w:basedOn w:val="7"/>
    <w:link w:val="4"/>
    <w:qFormat/>
    <w:uiPriority w:val="0"/>
    <w:rPr>
      <w:rFonts w:asciiTheme="minorHAnsi" w:hAnsiTheme="minorHAnsi" w:eastAsiaTheme="minorEastAsia" w:cstheme="minorBidi"/>
      <w:kern w:val="2"/>
      <w:sz w:val="18"/>
      <w:szCs w:val="18"/>
    </w:rPr>
  </w:style>
  <w:style w:type="character" w:customStyle="1" w:styleId="11">
    <w:name w:val="页脚 字符"/>
    <w:basedOn w:val="7"/>
    <w:link w:val="3"/>
    <w:qFormat/>
    <w:uiPriority w:val="0"/>
    <w:rPr>
      <w:rFonts w:asciiTheme="minorHAnsi" w:hAnsiTheme="minorHAnsi" w:eastAsiaTheme="minorEastAsia" w:cstheme="minorBidi"/>
      <w:kern w:val="2"/>
      <w:sz w:val="18"/>
      <w:szCs w:val="18"/>
    </w:rPr>
  </w:style>
  <w:style w:type="paragraph" w:customStyle="1" w:styleId="12">
    <w:name w:val="列出段落1"/>
    <w:basedOn w:val="1"/>
    <w:qFormat/>
    <w:uiPriority w:val="34"/>
    <w:pPr>
      <w:ind w:firstLine="420" w:firstLineChars="200"/>
    </w:pPr>
    <w:rPr>
      <w:rFonts w:ascii="Calibri" w:hAnsi="Calibri"/>
      <w:szCs w:val="22"/>
    </w:rPr>
  </w:style>
  <w:style w:type="character" w:customStyle="1" w:styleId="13">
    <w:name w:val="font21"/>
    <w:basedOn w:val="7"/>
    <w:qFormat/>
    <w:uiPriority w:val="0"/>
    <w:rPr>
      <w:rFonts w:hint="eastAsia" w:ascii="宋体" w:hAnsi="宋体" w:eastAsia="宋体" w:cs="宋体"/>
      <w:b/>
      <w:bCs/>
      <w:color w:val="000000"/>
      <w:sz w:val="21"/>
      <w:szCs w:val="21"/>
      <w:u w:val="none"/>
    </w:rPr>
  </w:style>
  <w:style w:type="character" w:customStyle="1" w:styleId="14">
    <w:name w:val="font41"/>
    <w:basedOn w:val="7"/>
    <w:qFormat/>
    <w:uiPriority w:val="0"/>
    <w:rPr>
      <w:rFonts w:hint="eastAsia" w:ascii="宋体" w:hAnsi="宋体" w:eastAsia="宋体" w:cs="宋体"/>
      <w:color w:val="000000"/>
      <w:sz w:val="21"/>
      <w:szCs w:val="21"/>
      <w:u w:val="none"/>
    </w:rPr>
  </w:style>
  <w:style w:type="character" w:customStyle="1" w:styleId="15">
    <w:name w:val="font51"/>
    <w:basedOn w:val="7"/>
    <w:qFormat/>
    <w:uiPriority w:val="0"/>
    <w:rPr>
      <w:rFonts w:hint="default" w:ascii="Times New Roman" w:hAnsi="Times New Roman" w:cs="Times New Roman"/>
      <w:color w:val="000000"/>
      <w:sz w:val="21"/>
      <w:szCs w:val="21"/>
      <w:u w:val="none"/>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1140</Words>
  <Characters>1210</Characters>
  <Lines>8</Lines>
  <Paragraphs>2</Paragraphs>
  <TotalTime>57</TotalTime>
  <ScaleCrop>false</ScaleCrop>
  <LinksUpToDate>false</LinksUpToDate>
  <CharactersWithSpaces>1234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2020-03-27T08:49:00Z</dcterms:created>
  <dc:creator>深森笙声</dc:creator>
  <cp:lastModifiedBy>童</cp:lastModifiedBy>
  <dcterms:modified xsi:type="dcterms:W3CDTF">2024-11-18T02:20:54Z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2EB3794C65A3432B8670FBBD5D2561DD_13</vt:lpwstr>
  </property>
</Properties>
</file>