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B4BD">
      <w:pPr>
        <w:shd w:val="clear"/>
        <w:spacing w:line="360" w:lineRule="auto"/>
        <w:jc w:val="center"/>
        <w:rPr>
          <w:rFonts w:hint="eastAsia" w:ascii="宋体" w:hAnsi="宋体" w:cs="宋体"/>
          <w:b/>
          <w:bCs/>
          <w:color w:val="auto"/>
          <w:kern w:val="0"/>
          <w:sz w:val="44"/>
          <w:szCs w:val="44"/>
          <w:highlight w:val="none"/>
        </w:rPr>
      </w:pPr>
    </w:p>
    <w:p w14:paraId="74C49897">
      <w:pPr>
        <w:shd w:val="clear"/>
        <w:spacing w:line="360" w:lineRule="auto"/>
        <w:jc w:val="center"/>
        <w:rPr>
          <w:rFonts w:hint="eastAsia" w:ascii="宋体" w:hAnsi="宋体" w:cs="宋体"/>
          <w:b/>
          <w:bCs/>
          <w:color w:val="auto"/>
          <w:kern w:val="0"/>
          <w:sz w:val="44"/>
          <w:szCs w:val="44"/>
          <w:highlight w:val="none"/>
        </w:rPr>
      </w:pPr>
    </w:p>
    <w:p w14:paraId="351EC235">
      <w:pPr>
        <w:shd w:val="clear"/>
        <w:spacing w:line="360" w:lineRule="auto"/>
        <w:jc w:val="center"/>
        <w:rPr>
          <w:rFonts w:hint="eastAsia" w:ascii="宋体" w:hAnsi="宋体" w:cs="宋体"/>
          <w:b/>
          <w:bCs/>
          <w:color w:val="auto"/>
          <w:kern w:val="0"/>
          <w:sz w:val="44"/>
          <w:szCs w:val="44"/>
          <w:highlight w:val="none"/>
        </w:rPr>
      </w:pPr>
    </w:p>
    <w:p w14:paraId="780D2DB6">
      <w:pPr>
        <w:shd w:val="clear"/>
        <w:spacing w:line="360" w:lineRule="auto"/>
        <w:jc w:val="center"/>
        <w:rPr>
          <w:rFonts w:hint="eastAsia" w:ascii="宋体" w:hAnsi="宋体" w:eastAsia="宋体" w:cs="宋体"/>
          <w:b/>
          <w:color w:val="auto"/>
          <w:kern w:val="0"/>
          <w:sz w:val="48"/>
          <w:szCs w:val="48"/>
          <w:highlight w:val="none"/>
          <w:lang w:eastAsia="zh-CN"/>
        </w:rPr>
      </w:pPr>
      <w:r>
        <w:rPr>
          <w:rFonts w:hint="eastAsia" w:ascii="宋体" w:hAnsi="宋体" w:cs="宋体"/>
          <w:b/>
          <w:color w:val="auto"/>
          <w:kern w:val="0"/>
          <w:sz w:val="48"/>
          <w:szCs w:val="48"/>
          <w:highlight w:val="none"/>
          <w:lang w:eastAsia="zh-CN"/>
        </w:rPr>
        <w:t>生命医药经一路（通扬运河-规划纬一路）工程监理项目</w:t>
      </w:r>
    </w:p>
    <w:p w14:paraId="2C9FA3BE">
      <w:pPr>
        <w:shd w:val="clear"/>
        <w:rPr>
          <w:rFonts w:hint="eastAsia" w:ascii="宋体" w:hAnsi="宋体" w:cs="宋体"/>
          <w:color w:val="auto"/>
          <w:kern w:val="0"/>
          <w:sz w:val="32"/>
          <w:szCs w:val="32"/>
          <w:highlight w:val="none"/>
        </w:rPr>
      </w:pPr>
    </w:p>
    <w:p w14:paraId="035976FC">
      <w:pPr>
        <w:pStyle w:val="27"/>
        <w:shd w:val="clear"/>
        <w:ind w:firstLine="280"/>
        <w:rPr>
          <w:rFonts w:hint="eastAsia" w:ascii="宋体" w:hAnsi="宋体" w:eastAsia="宋体" w:cs="宋体"/>
          <w:color w:val="auto"/>
          <w:kern w:val="0"/>
          <w:highlight w:val="none"/>
        </w:rPr>
      </w:pPr>
    </w:p>
    <w:p w14:paraId="1A36558D">
      <w:pPr>
        <w:shd w:val="clear"/>
        <w:rPr>
          <w:rFonts w:hint="eastAsia" w:ascii="宋体" w:hAnsi="宋体" w:cs="宋体"/>
          <w:color w:val="auto"/>
          <w:kern w:val="0"/>
          <w:sz w:val="32"/>
          <w:szCs w:val="32"/>
          <w:highlight w:val="none"/>
        </w:rPr>
      </w:pPr>
    </w:p>
    <w:p w14:paraId="317CB7F3">
      <w:pPr>
        <w:pStyle w:val="27"/>
        <w:shd w:val="clear"/>
        <w:ind w:firstLine="320"/>
        <w:rPr>
          <w:rFonts w:hint="eastAsia" w:ascii="宋体" w:hAnsi="宋体" w:eastAsia="宋体" w:cs="宋体"/>
          <w:color w:val="auto"/>
          <w:kern w:val="0"/>
          <w:sz w:val="32"/>
          <w:szCs w:val="32"/>
          <w:highlight w:val="none"/>
        </w:rPr>
      </w:pPr>
    </w:p>
    <w:p w14:paraId="18A9A1D2">
      <w:pPr>
        <w:shd w:val="clear"/>
        <w:rPr>
          <w:rFonts w:hint="eastAsia" w:ascii="宋体" w:hAnsi="宋体" w:cs="宋体"/>
          <w:color w:val="auto"/>
          <w:kern w:val="0"/>
          <w:highlight w:val="none"/>
        </w:rPr>
      </w:pPr>
    </w:p>
    <w:p w14:paraId="3EB1C623">
      <w:pPr>
        <w:shd w:val="clear"/>
        <w:spacing w:line="360" w:lineRule="auto"/>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招标文件</w:t>
      </w:r>
    </w:p>
    <w:p w14:paraId="450B062E">
      <w:pPr>
        <w:shd w:val="clear"/>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（资格后审）</w:t>
      </w:r>
    </w:p>
    <w:p w14:paraId="52F8E7E7">
      <w:pPr>
        <w:shd w:val="clear"/>
        <w:spacing w:line="360" w:lineRule="auto"/>
        <w:rPr>
          <w:rFonts w:hint="eastAsia" w:ascii="宋体" w:hAnsi="宋体" w:cs="宋体"/>
          <w:color w:val="auto"/>
          <w:kern w:val="0"/>
          <w:sz w:val="24"/>
          <w:highlight w:val="none"/>
        </w:rPr>
      </w:pPr>
    </w:p>
    <w:p w14:paraId="31E576EA">
      <w:pPr>
        <w:pStyle w:val="27"/>
        <w:shd w:val="clear"/>
        <w:ind w:firstLine="280"/>
        <w:rPr>
          <w:rFonts w:hint="eastAsia" w:ascii="宋体" w:hAnsi="宋体" w:eastAsia="宋体" w:cs="宋体"/>
          <w:color w:val="auto"/>
          <w:kern w:val="0"/>
          <w:highlight w:val="none"/>
        </w:rPr>
      </w:pPr>
    </w:p>
    <w:p w14:paraId="4B0FBB5C">
      <w:pPr>
        <w:shd w:val="clear"/>
        <w:spacing w:line="360" w:lineRule="auto"/>
        <w:jc w:val="center"/>
        <w:rPr>
          <w:rFonts w:hint="eastAsia" w:ascii="宋体" w:hAnsi="宋体" w:cs="宋体"/>
          <w:b/>
          <w:color w:val="auto"/>
          <w:kern w:val="0"/>
          <w:sz w:val="48"/>
          <w:szCs w:val="48"/>
          <w:highlight w:val="none"/>
        </w:rPr>
      </w:pPr>
    </w:p>
    <w:p w14:paraId="359395C9">
      <w:pPr>
        <w:shd w:val="clear"/>
        <w:rPr>
          <w:rFonts w:hint="eastAsia" w:ascii="宋体" w:hAnsi="宋体" w:cs="宋体"/>
          <w:color w:val="auto"/>
          <w:kern w:val="0"/>
          <w:highlight w:val="none"/>
        </w:rPr>
      </w:pPr>
    </w:p>
    <w:p w14:paraId="79E5FFEE">
      <w:pPr>
        <w:pStyle w:val="10"/>
        <w:shd w:val="clear"/>
        <w:ind w:firstLine="480"/>
        <w:rPr>
          <w:rFonts w:hint="eastAsia" w:ascii="宋体" w:hAnsi="宋体" w:eastAsia="宋体" w:cs="宋体"/>
          <w:color w:val="auto"/>
          <w:kern w:val="0"/>
          <w:highlight w:val="none"/>
        </w:rPr>
      </w:pPr>
    </w:p>
    <w:p w14:paraId="07984B58">
      <w:pPr>
        <w:pStyle w:val="11"/>
        <w:shd w:val="clear"/>
        <w:rPr>
          <w:rFonts w:hint="eastAsia" w:ascii="宋体" w:hAnsi="宋体" w:cs="宋体"/>
          <w:color w:val="auto"/>
          <w:kern w:val="0"/>
          <w:highlight w:val="none"/>
        </w:rPr>
      </w:pPr>
    </w:p>
    <w:p w14:paraId="788F2870">
      <w:pPr>
        <w:pStyle w:val="11"/>
        <w:shd w:val="clear"/>
        <w:rPr>
          <w:rFonts w:hint="eastAsia" w:ascii="宋体" w:hAnsi="宋体" w:cs="宋体"/>
          <w:color w:val="auto"/>
          <w:kern w:val="0"/>
          <w:highlight w:val="none"/>
        </w:rPr>
      </w:pPr>
    </w:p>
    <w:p w14:paraId="270F36BE">
      <w:pPr>
        <w:pStyle w:val="11"/>
        <w:shd w:val="clear"/>
        <w:rPr>
          <w:rFonts w:hint="eastAsia" w:ascii="宋体" w:hAnsi="宋体" w:cs="宋体"/>
          <w:color w:val="auto"/>
          <w:kern w:val="0"/>
          <w:highlight w:val="none"/>
        </w:rPr>
      </w:pPr>
    </w:p>
    <w:p w14:paraId="0DB3D9CA">
      <w:pPr>
        <w:pStyle w:val="11"/>
        <w:shd w:val="clear"/>
        <w:rPr>
          <w:rFonts w:hint="eastAsia" w:ascii="宋体" w:hAnsi="宋体" w:cs="宋体"/>
          <w:color w:val="auto"/>
          <w:kern w:val="0"/>
          <w:highlight w:val="none"/>
        </w:rPr>
      </w:pPr>
    </w:p>
    <w:p w14:paraId="47B6C7CA">
      <w:pPr>
        <w:pStyle w:val="11"/>
        <w:shd w:val="clear"/>
        <w:rPr>
          <w:rFonts w:hint="eastAsia" w:ascii="宋体" w:hAnsi="宋体" w:cs="宋体"/>
          <w:color w:val="auto"/>
          <w:kern w:val="0"/>
          <w:highlight w:val="none"/>
        </w:rPr>
      </w:pPr>
    </w:p>
    <w:p w14:paraId="19341978">
      <w:pPr>
        <w:pStyle w:val="11"/>
        <w:shd w:val="clear"/>
        <w:rPr>
          <w:rFonts w:hint="eastAsia" w:ascii="宋体" w:hAnsi="宋体" w:cs="宋体"/>
          <w:color w:val="auto"/>
          <w:kern w:val="0"/>
          <w:highlight w:val="none"/>
        </w:rPr>
      </w:pPr>
    </w:p>
    <w:p w14:paraId="7EC1C078">
      <w:pPr>
        <w:shd w:val="clear"/>
        <w:spacing w:line="360" w:lineRule="auto"/>
        <w:ind w:firstLine="964" w:firstLineChars="30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招　标　人：南通市崇川区城市工程建设管理中心</w:t>
      </w:r>
    </w:p>
    <w:p w14:paraId="6A01BE6B">
      <w:pPr>
        <w:shd w:val="clear"/>
        <w:spacing w:line="360" w:lineRule="auto"/>
        <w:ind w:firstLine="964" w:firstLineChars="300"/>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招标代理人：宏信天德工程顾问有限公司</w:t>
      </w:r>
    </w:p>
    <w:p w14:paraId="5FF2EE67">
      <w:pPr>
        <w:shd w:val="clear"/>
        <w:spacing w:line="360" w:lineRule="auto"/>
        <w:ind w:firstLine="964" w:firstLineChars="300"/>
        <w:rPr>
          <w:rFonts w:hint="eastAsia" w:ascii="宋体" w:hAnsi="宋体" w:cs="宋体"/>
          <w:color w:val="auto"/>
          <w:kern w:val="0"/>
          <w:highlight w:val="none"/>
        </w:rPr>
      </w:pPr>
      <w:r>
        <w:rPr>
          <w:rFonts w:hint="eastAsia" w:ascii="宋体" w:hAnsi="宋体" w:cs="宋体"/>
          <w:b/>
          <w:color w:val="auto"/>
          <w:kern w:val="0"/>
          <w:sz w:val="32"/>
          <w:szCs w:val="32"/>
          <w:highlight w:val="none"/>
        </w:rPr>
        <w:t>日      期：二〇二六年三月</w:t>
      </w:r>
      <w:bookmarkStart w:id="0" w:name="_Toc380680177"/>
      <w:bookmarkStart w:id="1" w:name="_Toc380681229"/>
      <w:bookmarkStart w:id="2" w:name="_Toc465181333"/>
      <w:bookmarkStart w:id="3" w:name="_Toc9194538"/>
      <w:bookmarkStart w:id="4" w:name="_Toc380681010"/>
      <w:bookmarkStart w:id="5" w:name="_Toc380680817"/>
    </w:p>
    <w:p w14:paraId="05B0D5F7">
      <w:pPr>
        <w:shd w:val="clear"/>
        <w:spacing w:line="360" w:lineRule="auto"/>
        <w:jc w:val="center"/>
        <w:rPr>
          <w:rFonts w:hint="eastAsia" w:ascii="宋体" w:hAnsi="宋体" w:cs="宋体"/>
          <w:color w:val="auto"/>
          <w:kern w:val="0"/>
          <w:sz w:val="36"/>
          <w:szCs w:val="36"/>
          <w:highlight w:val="none"/>
        </w:rPr>
      </w:pPr>
      <w:bookmarkStart w:id="6" w:name="_Toc112768306"/>
    </w:p>
    <w:bookmarkEnd w:id="0"/>
    <w:bookmarkEnd w:id="1"/>
    <w:bookmarkEnd w:id="2"/>
    <w:bookmarkEnd w:id="3"/>
    <w:bookmarkEnd w:id="4"/>
    <w:bookmarkEnd w:id="5"/>
    <w:bookmarkEnd w:id="6"/>
    <w:p w14:paraId="6C0D1176">
      <w:pPr>
        <w:shd w:val="clear"/>
        <w:spacing w:line="360" w:lineRule="auto"/>
        <w:jc w:val="center"/>
        <w:rPr>
          <w:rFonts w:hint="eastAsia"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目    录</w:t>
      </w:r>
    </w:p>
    <w:p w14:paraId="4C63C691">
      <w:pPr>
        <w:pStyle w:val="20"/>
        <w:shd w:val="clear"/>
        <w:tabs>
          <w:tab w:val="right" w:pos="8504"/>
        </w:tabs>
        <w:rPr>
          <w:color w:val="auto"/>
          <w:sz w:val="28"/>
          <w:szCs w:val="36"/>
          <w:highlight w:val="none"/>
        </w:rPr>
      </w:pPr>
      <w:bookmarkStart w:id="7" w:name="_Toc380680818"/>
      <w:bookmarkStart w:id="8" w:name="_Toc380681011"/>
      <w:bookmarkStart w:id="9" w:name="_Toc465181334"/>
      <w:bookmarkStart w:id="10" w:name="_Toc380680178"/>
      <w:bookmarkStart w:id="11" w:name="_Toc380681230"/>
      <w:bookmarkStart w:id="12" w:name="_Toc398107836"/>
      <w:r>
        <w:rPr>
          <w:color w:val="auto"/>
          <w:sz w:val="28"/>
          <w:szCs w:val="36"/>
          <w:highlight w:val="none"/>
        </w:rPr>
        <w:fldChar w:fldCharType="begin"/>
      </w:r>
      <w:r>
        <w:rPr>
          <w:color w:val="auto"/>
          <w:sz w:val="28"/>
          <w:szCs w:val="36"/>
          <w:highlight w:val="none"/>
        </w:rPr>
        <w:instrText xml:space="preserve">TOC \o "1-1" \n  \h \u </w:instrText>
      </w:r>
      <w:r>
        <w:rPr>
          <w:color w:val="auto"/>
          <w:sz w:val="28"/>
          <w:szCs w:val="36"/>
          <w:highlight w:val="none"/>
        </w:rPr>
        <w:fldChar w:fldCharType="separate"/>
      </w:r>
      <w:r>
        <w:rPr>
          <w:color w:val="auto"/>
          <w:highlight w:val="none"/>
        </w:rPr>
        <w:fldChar w:fldCharType="begin"/>
      </w:r>
      <w:r>
        <w:rPr>
          <w:color w:val="auto"/>
          <w:highlight w:val="none"/>
        </w:rPr>
        <w:instrText xml:space="preserve"> HYPERLINK \l "_Toc25093" </w:instrText>
      </w:r>
      <w:r>
        <w:rPr>
          <w:color w:val="auto"/>
          <w:highlight w:val="none"/>
        </w:rPr>
        <w:fldChar w:fldCharType="separate"/>
      </w:r>
      <w:r>
        <w:rPr>
          <w:rFonts w:hint="eastAsia" w:ascii="宋体" w:hAnsi="宋体" w:cs="宋体"/>
          <w:color w:val="auto"/>
          <w:kern w:val="0"/>
          <w:sz w:val="28"/>
          <w:szCs w:val="52"/>
          <w:highlight w:val="none"/>
        </w:rPr>
        <w:t>招标公告（资格后审）</w:t>
      </w:r>
      <w:r>
        <w:rPr>
          <w:rFonts w:hint="eastAsia" w:ascii="宋体" w:hAnsi="宋体" w:cs="宋体"/>
          <w:color w:val="auto"/>
          <w:kern w:val="0"/>
          <w:sz w:val="28"/>
          <w:szCs w:val="52"/>
          <w:highlight w:val="none"/>
        </w:rPr>
        <w:fldChar w:fldCharType="end"/>
      </w:r>
    </w:p>
    <w:p w14:paraId="2AC57554">
      <w:pPr>
        <w:pStyle w:val="20"/>
        <w:shd w:val="clear"/>
        <w:tabs>
          <w:tab w:val="right" w:pos="8504"/>
        </w:tabs>
        <w:rPr>
          <w:color w:val="auto"/>
          <w:sz w:val="28"/>
          <w:szCs w:val="36"/>
          <w:highlight w:val="none"/>
        </w:rPr>
      </w:pPr>
      <w:r>
        <w:rPr>
          <w:color w:val="auto"/>
          <w:highlight w:val="none"/>
        </w:rPr>
        <w:fldChar w:fldCharType="begin"/>
      </w:r>
      <w:r>
        <w:rPr>
          <w:color w:val="auto"/>
          <w:highlight w:val="none"/>
        </w:rPr>
        <w:instrText xml:space="preserve"> HYPERLINK \l "_Toc6184" </w:instrText>
      </w:r>
      <w:r>
        <w:rPr>
          <w:color w:val="auto"/>
          <w:highlight w:val="none"/>
        </w:rPr>
        <w:fldChar w:fldCharType="separate"/>
      </w:r>
      <w:r>
        <w:rPr>
          <w:rFonts w:hint="eastAsia" w:ascii="宋体" w:hAnsi="宋体" w:cs="宋体"/>
          <w:color w:val="auto"/>
          <w:kern w:val="0"/>
          <w:sz w:val="28"/>
          <w:szCs w:val="52"/>
          <w:highlight w:val="none"/>
        </w:rPr>
        <w:t>第一章投标人须知及投标人须知前附表</w:t>
      </w:r>
      <w:r>
        <w:rPr>
          <w:rFonts w:hint="eastAsia" w:ascii="宋体" w:hAnsi="宋体" w:cs="宋体"/>
          <w:color w:val="auto"/>
          <w:kern w:val="0"/>
          <w:sz w:val="28"/>
          <w:szCs w:val="52"/>
          <w:highlight w:val="none"/>
        </w:rPr>
        <w:fldChar w:fldCharType="end"/>
      </w:r>
    </w:p>
    <w:p w14:paraId="7432EA62">
      <w:pPr>
        <w:pStyle w:val="20"/>
        <w:shd w:val="clear"/>
        <w:tabs>
          <w:tab w:val="right" w:pos="8504"/>
        </w:tabs>
        <w:rPr>
          <w:color w:val="auto"/>
          <w:sz w:val="28"/>
          <w:szCs w:val="36"/>
          <w:highlight w:val="none"/>
        </w:rPr>
      </w:pPr>
      <w:r>
        <w:rPr>
          <w:color w:val="auto"/>
          <w:highlight w:val="none"/>
        </w:rPr>
        <w:fldChar w:fldCharType="begin"/>
      </w:r>
      <w:r>
        <w:rPr>
          <w:color w:val="auto"/>
          <w:highlight w:val="none"/>
        </w:rPr>
        <w:instrText xml:space="preserve"> HYPERLINK \l "_Toc28937" </w:instrText>
      </w:r>
      <w:r>
        <w:rPr>
          <w:color w:val="auto"/>
          <w:highlight w:val="none"/>
        </w:rPr>
        <w:fldChar w:fldCharType="separate"/>
      </w:r>
      <w:r>
        <w:rPr>
          <w:rFonts w:hint="eastAsia" w:ascii="宋体" w:hAnsi="宋体" w:cs="宋体"/>
          <w:color w:val="auto"/>
          <w:kern w:val="0"/>
          <w:sz w:val="28"/>
          <w:szCs w:val="52"/>
          <w:highlight w:val="none"/>
        </w:rPr>
        <w:t>第二章评标办法</w:t>
      </w:r>
      <w:r>
        <w:rPr>
          <w:rFonts w:hint="eastAsia" w:ascii="宋体" w:hAnsi="宋体" w:cs="宋体"/>
          <w:color w:val="auto"/>
          <w:kern w:val="0"/>
          <w:sz w:val="28"/>
          <w:szCs w:val="52"/>
          <w:highlight w:val="none"/>
        </w:rPr>
        <w:fldChar w:fldCharType="end"/>
      </w:r>
    </w:p>
    <w:p w14:paraId="6056ADC2">
      <w:pPr>
        <w:pStyle w:val="20"/>
        <w:shd w:val="clear"/>
        <w:tabs>
          <w:tab w:val="right" w:pos="8504"/>
        </w:tabs>
        <w:rPr>
          <w:color w:val="auto"/>
          <w:sz w:val="28"/>
          <w:szCs w:val="36"/>
          <w:highlight w:val="none"/>
        </w:rPr>
      </w:pPr>
      <w:r>
        <w:rPr>
          <w:color w:val="auto"/>
          <w:highlight w:val="none"/>
        </w:rPr>
        <w:fldChar w:fldCharType="begin"/>
      </w:r>
      <w:r>
        <w:rPr>
          <w:color w:val="auto"/>
          <w:highlight w:val="none"/>
        </w:rPr>
        <w:instrText xml:space="preserve"> HYPERLINK \l "_Toc2618" </w:instrText>
      </w:r>
      <w:r>
        <w:rPr>
          <w:color w:val="auto"/>
          <w:highlight w:val="none"/>
        </w:rPr>
        <w:fldChar w:fldCharType="separate"/>
      </w:r>
      <w:r>
        <w:rPr>
          <w:rFonts w:hint="eastAsia" w:ascii="宋体" w:hAnsi="宋体" w:cs="宋体"/>
          <w:color w:val="auto"/>
          <w:kern w:val="0"/>
          <w:sz w:val="28"/>
          <w:szCs w:val="52"/>
          <w:highlight w:val="none"/>
        </w:rPr>
        <w:t>第三章合同条款及格式</w:t>
      </w:r>
      <w:r>
        <w:rPr>
          <w:rFonts w:hint="eastAsia" w:ascii="宋体" w:hAnsi="宋体" w:cs="宋体"/>
          <w:color w:val="auto"/>
          <w:kern w:val="0"/>
          <w:sz w:val="28"/>
          <w:szCs w:val="52"/>
          <w:highlight w:val="none"/>
        </w:rPr>
        <w:fldChar w:fldCharType="end"/>
      </w:r>
    </w:p>
    <w:p w14:paraId="7854C490">
      <w:pPr>
        <w:pStyle w:val="20"/>
        <w:shd w:val="clear"/>
        <w:tabs>
          <w:tab w:val="right" w:pos="8504"/>
        </w:tabs>
        <w:rPr>
          <w:color w:val="auto"/>
          <w:sz w:val="28"/>
          <w:szCs w:val="36"/>
          <w:highlight w:val="none"/>
        </w:rPr>
      </w:pPr>
      <w:r>
        <w:rPr>
          <w:color w:val="auto"/>
          <w:highlight w:val="none"/>
        </w:rPr>
        <w:fldChar w:fldCharType="begin"/>
      </w:r>
      <w:r>
        <w:rPr>
          <w:color w:val="auto"/>
          <w:highlight w:val="none"/>
        </w:rPr>
        <w:instrText xml:space="preserve"> HYPERLINK \l "_Toc21021" </w:instrText>
      </w:r>
      <w:r>
        <w:rPr>
          <w:color w:val="auto"/>
          <w:highlight w:val="none"/>
        </w:rPr>
        <w:fldChar w:fldCharType="separate"/>
      </w:r>
      <w:r>
        <w:rPr>
          <w:rFonts w:hint="eastAsia" w:ascii="宋体" w:hAnsi="宋体" w:cs="宋体"/>
          <w:color w:val="auto"/>
          <w:kern w:val="0"/>
          <w:sz w:val="28"/>
          <w:szCs w:val="52"/>
          <w:highlight w:val="none"/>
        </w:rPr>
        <w:t>第四章技术资料和设计文件</w:t>
      </w:r>
      <w:r>
        <w:rPr>
          <w:rFonts w:hint="eastAsia" w:ascii="宋体" w:hAnsi="宋体" w:cs="宋体"/>
          <w:color w:val="auto"/>
          <w:kern w:val="0"/>
          <w:sz w:val="28"/>
          <w:szCs w:val="52"/>
          <w:highlight w:val="none"/>
        </w:rPr>
        <w:fldChar w:fldCharType="end"/>
      </w:r>
    </w:p>
    <w:p w14:paraId="6705C764">
      <w:pPr>
        <w:pStyle w:val="20"/>
        <w:shd w:val="clear"/>
        <w:tabs>
          <w:tab w:val="right" w:pos="8504"/>
        </w:tabs>
        <w:rPr>
          <w:color w:val="auto"/>
          <w:sz w:val="28"/>
          <w:szCs w:val="36"/>
          <w:highlight w:val="none"/>
        </w:rPr>
      </w:pPr>
      <w:r>
        <w:rPr>
          <w:color w:val="auto"/>
          <w:highlight w:val="none"/>
        </w:rPr>
        <w:fldChar w:fldCharType="begin"/>
      </w:r>
      <w:r>
        <w:rPr>
          <w:color w:val="auto"/>
          <w:highlight w:val="none"/>
        </w:rPr>
        <w:instrText xml:space="preserve"> HYPERLINK \l "_Toc832" </w:instrText>
      </w:r>
      <w:r>
        <w:rPr>
          <w:color w:val="auto"/>
          <w:highlight w:val="none"/>
        </w:rPr>
        <w:fldChar w:fldCharType="separate"/>
      </w:r>
      <w:r>
        <w:rPr>
          <w:rFonts w:hint="eastAsia" w:ascii="宋体" w:hAnsi="宋体" w:cs="宋体"/>
          <w:color w:val="auto"/>
          <w:kern w:val="0"/>
          <w:sz w:val="28"/>
          <w:szCs w:val="52"/>
          <w:highlight w:val="none"/>
        </w:rPr>
        <w:t>第五章投标文件格式</w:t>
      </w:r>
      <w:r>
        <w:rPr>
          <w:rFonts w:hint="eastAsia" w:ascii="宋体" w:hAnsi="宋体" w:cs="宋体"/>
          <w:color w:val="auto"/>
          <w:kern w:val="0"/>
          <w:sz w:val="28"/>
          <w:szCs w:val="52"/>
          <w:highlight w:val="none"/>
        </w:rPr>
        <w:fldChar w:fldCharType="end"/>
      </w:r>
    </w:p>
    <w:p w14:paraId="63BF2390">
      <w:pPr>
        <w:shd w:val="clear"/>
        <w:rPr>
          <w:color w:val="auto"/>
          <w:highlight w:val="none"/>
        </w:rPr>
      </w:pPr>
      <w:r>
        <w:rPr>
          <w:color w:val="auto"/>
          <w:sz w:val="24"/>
          <w:highlight w:val="none"/>
        </w:rPr>
        <w:fldChar w:fldCharType="end"/>
      </w:r>
    </w:p>
    <w:p w14:paraId="36C43C28">
      <w:pPr>
        <w:pStyle w:val="20"/>
        <w:shd w:val="clear"/>
        <w:tabs>
          <w:tab w:val="right" w:leader="dot" w:pos="9436"/>
        </w:tabs>
        <w:spacing w:line="600" w:lineRule="auto"/>
        <w:rPr>
          <w:rFonts w:hint="eastAsia" w:ascii="宋体" w:hAnsi="宋体" w:cs="宋体"/>
          <w:color w:val="auto"/>
          <w:kern w:val="0"/>
          <w:sz w:val="36"/>
          <w:highlight w:val="none"/>
        </w:rPr>
      </w:pPr>
      <w:r>
        <w:rPr>
          <w:rFonts w:hint="eastAsia" w:ascii="宋体" w:hAnsi="宋体" w:cs="宋体"/>
          <w:color w:val="auto"/>
          <w:kern w:val="0"/>
          <w:sz w:val="36"/>
          <w:highlight w:val="none"/>
        </w:rPr>
        <w:br w:type="page"/>
      </w:r>
    </w:p>
    <w:p w14:paraId="21449324">
      <w:pPr>
        <w:shd w:val="clear"/>
        <w:adjustRightInd w:val="0"/>
        <w:snapToGrid w:val="0"/>
        <w:spacing w:line="360" w:lineRule="auto"/>
        <w:jc w:val="center"/>
        <w:rPr>
          <w:rFonts w:hint="eastAsia" w:ascii="宋体" w:hAnsi="宋体" w:eastAsia="宋体" w:cs="宋体"/>
          <w:b/>
          <w:bCs/>
          <w:color w:val="auto"/>
          <w:kern w:val="0"/>
          <w:sz w:val="32"/>
          <w:szCs w:val="40"/>
          <w:highlight w:val="none"/>
          <w:lang w:eastAsia="zh-CN"/>
        </w:rPr>
      </w:pPr>
      <w:r>
        <w:rPr>
          <w:rFonts w:hint="eastAsia" w:ascii="宋体" w:hAnsi="宋体" w:cs="宋体"/>
          <w:b/>
          <w:bCs/>
          <w:color w:val="auto"/>
          <w:kern w:val="0"/>
          <w:sz w:val="32"/>
          <w:szCs w:val="40"/>
          <w:highlight w:val="none"/>
          <w:lang w:eastAsia="zh-CN"/>
        </w:rPr>
        <w:t>生命医药经一路（通扬运河-规划纬一路）工程监理项目</w:t>
      </w:r>
    </w:p>
    <w:p w14:paraId="5ECD7FED">
      <w:pPr>
        <w:pStyle w:val="2"/>
        <w:keepNext w:val="0"/>
        <w:keepLines w:val="0"/>
        <w:shd w:val="clear"/>
        <w:adjustRightInd w:val="0"/>
        <w:snapToGrid w:val="0"/>
        <w:spacing w:before="0" w:after="0" w:line="360" w:lineRule="auto"/>
        <w:jc w:val="center"/>
        <w:rPr>
          <w:rFonts w:hint="eastAsia" w:ascii="宋体" w:hAnsi="宋体" w:cs="宋体"/>
          <w:color w:val="auto"/>
          <w:kern w:val="0"/>
          <w:sz w:val="32"/>
          <w:szCs w:val="40"/>
          <w:highlight w:val="none"/>
        </w:rPr>
      </w:pPr>
      <w:bookmarkStart w:id="13" w:name="_Toc1878"/>
      <w:bookmarkStart w:id="14" w:name="_Toc30770"/>
      <w:bookmarkStart w:id="15" w:name="_Toc25093"/>
      <w:r>
        <w:rPr>
          <w:rFonts w:hint="eastAsia" w:ascii="宋体" w:hAnsi="宋体" w:cs="宋体"/>
          <w:color w:val="auto"/>
          <w:kern w:val="0"/>
          <w:sz w:val="32"/>
          <w:szCs w:val="40"/>
          <w:highlight w:val="none"/>
        </w:rPr>
        <w:t>招标公告（资格后审）</w:t>
      </w:r>
      <w:bookmarkEnd w:id="13"/>
      <w:bookmarkEnd w:id="14"/>
      <w:bookmarkEnd w:id="15"/>
    </w:p>
    <w:p w14:paraId="0CB19B9D">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一、</w:t>
      </w:r>
      <w:r>
        <w:rPr>
          <w:rFonts w:hint="eastAsia" w:ascii="宋体" w:hAnsi="宋体" w:cs="宋体"/>
          <w:b/>
          <w:bCs/>
          <w:color w:val="auto"/>
          <w:sz w:val="21"/>
          <w:szCs w:val="21"/>
          <w:highlight w:val="none"/>
          <w:u w:val="single"/>
          <w:shd w:val="clear" w:color="auto" w:fill="FFFFFF"/>
        </w:rPr>
        <w:t>南通市崇川区城市工程建设管理中心</w:t>
      </w:r>
      <w:r>
        <w:rPr>
          <w:rFonts w:hint="eastAsia" w:ascii="宋体" w:hAnsi="宋体" w:cs="宋体"/>
          <w:color w:val="auto"/>
          <w:sz w:val="21"/>
          <w:szCs w:val="21"/>
          <w:highlight w:val="none"/>
          <w:shd w:val="clear" w:color="auto" w:fill="FFFFFF"/>
        </w:rPr>
        <w:t>的</w:t>
      </w:r>
      <w:r>
        <w:rPr>
          <w:rFonts w:hint="eastAsia" w:ascii="宋体" w:hAnsi="宋体" w:cs="宋体"/>
          <w:b/>
          <w:bCs/>
          <w:color w:val="auto"/>
          <w:sz w:val="21"/>
          <w:szCs w:val="21"/>
          <w:highlight w:val="none"/>
          <w:u w:val="single"/>
          <w:shd w:val="clear" w:color="auto" w:fill="FFFFFF"/>
          <w:lang w:eastAsia="zh-CN"/>
        </w:rPr>
        <w:t>生命医药经一路（通扬运河-规划纬一路）工程</w:t>
      </w:r>
      <w:r>
        <w:rPr>
          <w:rFonts w:hint="eastAsia" w:ascii="宋体" w:hAnsi="宋体" w:cs="宋体"/>
          <w:color w:val="auto"/>
          <w:sz w:val="21"/>
          <w:szCs w:val="21"/>
          <w:highlight w:val="none"/>
          <w:shd w:val="clear" w:color="auto" w:fill="FFFFFF"/>
        </w:rPr>
        <w:t>已经批准建设，工程所需资金来自</w:t>
      </w:r>
      <w:r>
        <w:rPr>
          <w:rFonts w:hint="eastAsia" w:ascii="宋体" w:hAnsi="宋体" w:cs="宋体"/>
          <w:b/>
          <w:bCs/>
          <w:color w:val="auto"/>
          <w:sz w:val="21"/>
          <w:szCs w:val="21"/>
          <w:highlight w:val="none"/>
          <w:u w:val="single"/>
          <w:shd w:val="clear" w:color="auto" w:fill="FFFFFF"/>
        </w:rPr>
        <w:t>财政（资金来源）</w:t>
      </w:r>
      <w:r>
        <w:rPr>
          <w:rFonts w:hint="eastAsia" w:ascii="宋体" w:hAnsi="宋体" w:cs="宋体"/>
          <w:color w:val="auto"/>
          <w:sz w:val="21"/>
          <w:szCs w:val="21"/>
          <w:highlight w:val="none"/>
          <w:shd w:val="clear" w:color="auto" w:fill="FFFFFF"/>
        </w:rPr>
        <w:t>。现对该工程的</w:t>
      </w:r>
      <w:r>
        <w:rPr>
          <w:rFonts w:hint="eastAsia" w:ascii="宋体" w:hAnsi="宋体" w:cs="宋体"/>
          <w:b/>
          <w:bCs/>
          <w:color w:val="auto"/>
          <w:sz w:val="21"/>
          <w:szCs w:val="21"/>
          <w:highlight w:val="none"/>
          <w:u w:val="single"/>
          <w:shd w:val="clear" w:color="auto" w:fill="FFFFFF"/>
        </w:rPr>
        <w:t>监理</w:t>
      </w:r>
      <w:r>
        <w:rPr>
          <w:rFonts w:hint="eastAsia" w:ascii="宋体" w:hAnsi="宋体" w:cs="宋体"/>
          <w:color w:val="auto"/>
          <w:sz w:val="21"/>
          <w:szCs w:val="21"/>
          <w:highlight w:val="none"/>
          <w:shd w:val="clear" w:color="auto" w:fill="FFFFFF"/>
        </w:rPr>
        <w:t>进行公开招标，邀请合格的潜在投标人参加本工程的资格后审。</w:t>
      </w:r>
    </w:p>
    <w:p w14:paraId="14AB9AD3">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二、</w:t>
      </w:r>
      <w:r>
        <w:rPr>
          <w:rFonts w:hint="eastAsia" w:ascii="宋体" w:hAnsi="宋体" w:cs="宋体"/>
          <w:b/>
          <w:bCs/>
          <w:color w:val="auto"/>
          <w:sz w:val="21"/>
          <w:szCs w:val="21"/>
          <w:highlight w:val="none"/>
          <w:u w:val="single"/>
          <w:shd w:val="clear" w:color="auto" w:fill="FFFFFF"/>
        </w:rPr>
        <w:t>宏信天德工程顾问有限公司</w:t>
      </w:r>
      <w:r>
        <w:rPr>
          <w:rFonts w:hint="eastAsia" w:ascii="宋体" w:hAnsi="宋体" w:cs="宋体"/>
          <w:color w:val="auto"/>
          <w:sz w:val="21"/>
          <w:szCs w:val="21"/>
          <w:highlight w:val="none"/>
          <w:shd w:val="clear" w:color="auto" w:fill="FFFFFF"/>
        </w:rPr>
        <w:t>受招标人委托具体负责工程的招标事宜。</w:t>
      </w:r>
    </w:p>
    <w:p w14:paraId="165F3A64">
      <w:pPr>
        <w:pStyle w:val="26"/>
        <w:widowControl/>
        <w:shd w:val="clear" w:color="auto"/>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三、工程概况：</w:t>
      </w:r>
    </w:p>
    <w:p w14:paraId="5E4FC879">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1、工程地点：西起现状河东路(接钢厂桥引桥)，东至规划纬一路</w:t>
      </w:r>
    </w:p>
    <w:p w14:paraId="35CAA200">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2、工程规模：</w:t>
      </w:r>
      <w:r>
        <w:rPr>
          <w:rFonts w:hint="eastAsia" w:ascii="宋体" w:hAnsi="宋体" w:eastAsia="宋体" w:cs="宋体"/>
          <w:b w:val="0"/>
          <w:bCs w:val="0"/>
          <w:color w:val="auto"/>
          <w:spacing w:val="0"/>
          <w:kern w:val="0"/>
          <w:position w:val="0"/>
          <w:sz w:val="21"/>
          <w:szCs w:val="21"/>
          <w:highlight w:val="none"/>
        </w:rPr>
        <w:t>主要实施道路、排水、交通设施、绿化等，全长约700米，规划宽度18米，设计等级为城市支路，设计时速30km/h。</w:t>
      </w:r>
      <w:r>
        <w:rPr>
          <w:rFonts w:hint="eastAsia" w:ascii="宋体" w:hAnsi="宋体" w:eastAsia="宋体" w:cs="宋体"/>
          <w:b w:val="0"/>
          <w:bCs w:val="0"/>
          <w:color w:val="auto"/>
          <w:spacing w:val="0"/>
          <w:kern w:val="0"/>
          <w:position w:val="0"/>
          <w:sz w:val="21"/>
          <w:szCs w:val="21"/>
          <w:highlight w:val="none"/>
          <w:lang w:val="en-US" w:eastAsia="zh-CN"/>
        </w:rPr>
        <w:t>工程建设规模约为740万元</w:t>
      </w:r>
      <w:r>
        <w:rPr>
          <w:rFonts w:hint="eastAsia" w:ascii="宋体" w:hAnsi="宋体" w:cs="宋体"/>
          <w:color w:val="auto"/>
          <w:sz w:val="21"/>
          <w:szCs w:val="21"/>
          <w:highlight w:val="none"/>
          <w:shd w:val="clear" w:color="auto" w:fill="FFFFFF"/>
        </w:rPr>
        <w:t>。</w:t>
      </w:r>
    </w:p>
    <w:p w14:paraId="39B59DE3">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3、监理服务期限：</w:t>
      </w:r>
      <w:r>
        <w:rPr>
          <w:rFonts w:hint="eastAsia" w:ascii="宋体" w:hAnsi="宋体" w:eastAsia="宋体" w:cs="宋体"/>
          <w:b w:val="0"/>
          <w:bCs w:val="0"/>
          <w:color w:val="auto"/>
          <w:spacing w:val="0"/>
          <w:kern w:val="0"/>
          <w:position w:val="0"/>
          <w:sz w:val="21"/>
          <w:szCs w:val="21"/>
          <w:highlight w:val="none"/>
        </w:rPr>
        <w:t>施工工期+保修期，施工工期</w:t>
      </w:r>
      <w:r>
        <w:rPr>
          <w:rFonts w:hint="eastAsia" w:ascii="宋体" w:hAnsi="宋体" w:eastAsia="宋体" w:cs="宋体"/>
          <w:b w:val="0"/>
          <w:bCs w:val="0"/>
          <w:color w:val="auto"/>
          <w:spacing w:val="0"/>
          <w:kern w:val="0"/>
          <w:position w:val="0"/>
          <w:sz w:val="21"/>
          <w:szCs w:val="21"/>
          <w:highlight w:val="none"/>
          <w:u w:val="none"/>
          <w:lang w:val="en-US" w:eastAsia="zh-CN"/>
        </w:rPr>
        <w:t>230日历天</w:t>
      </w:r>
      <w:r>
        <w:rPr>
          <w:rFonts w:hint="eastAsia" w:ascii="宋体" w:hAnsi="宋体" w:cs="宋体"/>
          <w:color w:val="auto"/>
          <w:sz w:val="21"/>
          <w:szCs w:val="21"/>
          <w:highlight w:val="none"/>
          <w:shd w:val="clear" w:color="auto" w:fill="FFFFFF"/>
        </w:rPr>
        <w:t>。</w:t>
      </w:r>
    </w:p>
    <w:p w14:paraId="0776D6AC">
      <w:pPr>
        <w:pStyle w:val="26"/>
        <w:widowControl/>
        <w:shd w:val="clear" w:color="auto"/>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四、招标范围：</w:t>
      </w:r>
    </w:p>
    <w:p w14:paraId="751649B7">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施工准备阶段、施工阶段、竣工验收和保修阶段（含质量缺陷责任期及绿化养护期）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7316EB63">
      <w:pPr>
        <w:pStyle w:val="26"/>
        <w:widowControl/>
        <w:shd w:val="clear" w:color="auto"/>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五、申请人应当具备的主要资格条件：</w:t>
      </w:r>
    </w:p>
    <w:p w14:paraId="5151232F">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1、申请人资质类别和等级：必须具有行政管理部门核发的有效企业法人营业执照并满足下列条件之一：</w:t>
      </w:r>
      <w:r>
        <w:rPr>
          <w:rFonts w:hint="eastAsia" w:ascii="宋体" w:hAnsi="宋体" w:cs="宋体"/>
          <w:b/>
          <w:bCs/>
          <w:color w:val="auto"/>
          <w:sz w:val="21"/>
          <w:szCs w:val="21"/>
          <w:highlight w:val="none"/>
          <w:u w:val="single"/>
          <w:shd w:val="clear" w:color="auto" w:fill="FFFFFF"/>
        </w:rPr>
        <w:t>①建设部核发的工程监理综合资质；②具备市政公用工程监理丙级及以上资质；</w:t>
      </w:r>
      <w:bookmarkStart w:id="311" w:name="_GoBack"/>
      <w:bookmarkEnd w:id="311"/>
    </w:p>
    <w:p w14:paraId="30BFA368">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2、拟派总监理工程师资格条件：</w:t>
      </w:r>
      <w:r>
        <w:rPr>
          <w:rFonts w:hint="eastAsia" w:ascii="宋体" w:hAnsi="宋体" w:cs="宋体"/>
          <w:b/>
          <w:bCs/>
          <w:color w:val="auto"/>
          <w:sz w:val="21"/>
          <w:szCs w:val="21"/>
          <w:highlight w:val="none"/>
          <w:u w:val="single"/>
          <w:shd w:val="clear" w:color="auto" w:fill="FFFFFF"/>
        </w:rPr>
        <w:t>国家注册监理工程师，注册专业为市政公用工程专业。拟派总监不得为企业法定代表人或董事长。</w:t>
      </w:r>
    </w:p>
    <w:p w14:paraId="42ECA4BF">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3、其他监理机构人员配备要求详见招标文件。</w:t>
      </w:r>
    </w:p>
    <w:p w14:paraId="0B7916AC">
      <w:pPr>
        <w:pStyle w:val="26"/>
        <w:widowControl/>
        <w:shd w:val="clear" w:color="auto"/>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shd w:val="clear" w:color="auto" w:fill="FFFFFF"/>
        </w:rPr>
        <w:t>六、以下条件属于资格后审的必要合格条件：</w:t>
      </w:r>
    </w:p>
    <w:p w14:paraId="3F676B73">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1、具有独立订立合同的能力；</w:t>
      </w:r>
    </w:p>
    <w:p w14:paraId="7D91DFA2">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2、未处于被责令停业、投标资格被取消或者财产被接管、冻结和破产状态；</w:t>
      </w:r>
    </w:p>
    <w:p w14:paraId="603D4748">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3、企业没有因骗取中标或者严重违约以及发生重大工程质量、安全生产事故等问题，被有关部门暂停投标资格并在暂停期内的，且企业无违纪行为和不良记录的；</w:t>
      </w:r>
    </w:p>
    <w:p w14:paraId="29E471B2">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4、企业的资质类别、等级和监理人员应具备的资格条件满足招标公告要求；</w:t>
      </w:r>
    </w:p>
    <w:p w14:paraId="3BEA79A7">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5、资格审查文件中的重要内容没有失实或者弄虚作假；</w:t>
      </w:r>
    </w:p>
    <w:p w14:paraId="2D49DA27">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6、拟派的总监理工程师在监理过程中不得随意变更，且总监理工程师不得为企业的法定代表人或董事长；</w:t>
      </w:r>
    </w:p>
    <w:p w14:paraId="0542E5E2">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7、拟派总监理工程师必须满足下列条件：</w:t>
      </w:r>
    </w:p>
    <w:p w14:paraId="7279CF2A">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①拟派总监理工程师不得同时在两个或者两个以上单位受聘或者执业；</w:t>
      </w:r>
    </w:p>
    <w:p w14:paraId="460D63B6">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②拟派总监理工程师在监工程数量符合招标文件要求。</w:t>
      </w:r>
    </w:p>
    <w:p w14:paraId="0AB714DD">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8、投标单位拟派本项目所有监理人员必须为投标单位正式人员（提供有效劳动合同或社保机构出具并盖章的本投标企业为监理人员缴纳的2025年11月份以来任意1个月的养老保险缴费证明）；</w:t>
      </w:r>
    </w:p>
    <w:p w14:paraId="2CA80A4C">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9、本工程不接受联合体投标。</w:t>
      </w:r>
    </w:p>
    <w:p w14:paraId="459FDF4C">
      <w:pPr>
        <w:pStyle w:val="26"/>
        <w:widowControl/>
        <w:shd w:val="clear" w:color="auto"/>
        <w:adjustRightInd w:val="0"/>
        <w:snapToGrid w:val="0"/>
        <w:spacing w:beforeAutospacing="0" w:afterAutospacing="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shd w:val="clear" w:color="auto" w:fill="FFFFFF"/>
        </w:rPr>
        <w:t>具体要求详见本招标文件第二章中附件《资格审查标准汇总表》。提供的资格审查材料及审查标准，前后矛盾的以《资格审查标准汇总表》为准。</w:t>
      </w:r>
    </w:p>
    <w:p w14:paraId="214650B6">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七、如发现投标人递交的资格后审材料有弄虚作假行为，该投标人将记入不良记录，并上报有关部门。如已中标，招标人有权取消其中标资格，并由该投标人承担一切责任和损失。</w:t>
      </w:r>
    </w:p>
    <w:p w14:paraId="21931163">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八、本工程投标申请人的资格审查采用资格后审的方式，无需另行进行网上报名，各投标人须于</w:t>
      </w:r>
      <w:r>
        <w:rPr>
          <w:rFonts w:hint="eastAsia" w:ascii="宋体" w:hAnsi="宋体" w:cs="宋体"/>
          <w:b/>
          <w:bCs/>
          <w:color w:val="auto"/>
          <w:sz w:val="21"/>
          <w:szCs w:val="21"/>
          <w:highlight w:val="none"/>
          <w:u w:val="single"/>
          <w:shd w:val="clear" w:color="auto" w:fill="FFFFFF"/>
        </w:rPr>
        <w:t>2026年</w:t>
      </w:r>
      <w:r>
        <w:rPr>
          <w:rFonts w:hint="eastAsia" w:ascii="宋体" w:hAnsi="宋体" w:cs="宋体"/>
          <w:b/>
          <w:bCs/>
          <w:color w:val="auto"/>
          <w:sz w:val="21"/>
          <w:szCs w:val="21"/>
          <w:highlight w:val="none"/>
          <w:u w:val="single"/>
          <w:shd w:val="clear" w:color="auto" w:fill="FFFFFF"/>
          <w:lang w:val="en-US" w:eastAsia="zh-CN"/>
        </w:rPr>
        <w:t>04</w:t>
      </w:r>
      <w:r>
        <w:rPr>
          <w:rFonts w:hint="eastAsia" w:ascii="宋体" w:hAnsi="宋体" w:cs="宋体"/>
          <w:b/>
          <w:bCs/>
          <w:color w:val="auto"/>
          <w:sz w:val="21"/>
          <w:szCs w:val="21"/>
          <w:highlight w:val="none"/>
          <w:u w:val="single"/>
          <w:shd w:val="clear" w:color="auto" w:fill="FFFFFF"/>
        </w:rPr>
        <w:t>月</w:t>
      </w:r>
      <w:r>
        <w:rPr>
          <w:rFonts w:hint="eastAsia" w:ascii="宋体" w:hAnsi="宋体" w:cs="宋体"/>
          <w:b/>
          <w:bCs/>
          <w:color w:val="auto"/>
          <w:sz w:val="21"/>
          <w:szCs w:val="21"/>
          <w:highlight w:val="none"/>
          <w:u w:val="single"/>
          <w:shd w:val="clear" w:color="auto" w:fill="FFFFFF"/>
          <w:lang w:val="en-US" w:eastAsia="zh-CN"/>
        </w:rPr>
        <w:t>09</w:t>
      </w:r>
      <w:r>
        <w:rPr>
          <w:rFonts w:hint="eastAsia" w:ascii="宋体" w:hAnsi="宋体" w:cs="宋体"/>
          <w:b/>
          <w:bCs/>
          <w:color w:val="auto"/>
          <w:sz w:val="21"/>
          <w:szCs w:val="21"/>
          <w:highlight w:val="none"/>
          <w:u w:val="single"/>
          <w:shd w:val="clear" w:color="auto" w:fill="FFFFFF"/>
        </w:rPr>
        <w:t>日</w:t>
      </w:r>
      <w:r>
        <w:rPr>
          <w:rFonts w:hint="eastAsia" w:ascii="宋体" w:hAnsi="宋体" w:cs="宋体"/>
          <w:b/>
          <w:bCs/>
          <w:color w:val="auto"/>
          <w:sz w:val="21"/>
          <w:szCs w:val="21"/>
          <w:highlight w:val="none"/>
          <w:u w:val="single"/>
          <w:shd w:val="clear" w:color="auto" w:fill="FFFFFF"/>
          <w:lang w:val="en-US" w:eastAsia="zh-CN"/>
        </w:rPr>
        <w:t>09</w:t>
      </w:r>
      <w:r>
        <w:rPr>
          <w:rFonts w:hint="eastAsia" w:ascii="宋体" w:hAnsi="宋体" w:cs="宋体"/>
          <w:b/>
          <w:bCs/>
          <w:color w:val="auto"/>
          <w:sz w:val="21"/>
          <w:szCs w:val="21"/>
          <w:highlight w:val="none"/>
          <w:u w:val="single"/>
          <w:shd w:val="clear" w:color="auto" w:fill="FFFFFF"/>
        </w:rPr>
        <w:t>时</w:t>
      </w:r>
      <w:r>
        <w:rPr>
          <w:rFonts w:hint="eastAsia" w:ascii="宋体" w:hAnsi="宋体" w:cs="宋体"/>
          <w:b/>
          <w:bCs/>
          <w:color w:val="auto"/>
          <w:sz w:val="21"/>
          <w:szCs w:val="21"/>
          <w:highlight w:val="none"/>
          <w:u w:val="single"/>
          <w:shd w:val="clear" w:color="auto" w:fill="FFFFFF"/>
          <w:lang w:val="en-US" w:eastAsia="zh-CN"/>
        </w:rPr>
        <w:t>15</w:t>
      </w:r>
      <w:r>
        <w:rPr>
          <w:rFonts w:hint="eastAsia" w:ascii="宋体" w:hAnsi="宋体" w:cs="宋体"/>
          <w:b/>
          <w:bCs/>
          <w:color w:val="auto"/>
          <w:sz w:val="21"/>
          <w:szCs w:val="21"/>
          <w:highlight w:val="none"/>
          <w:u w:val="single"/>
          <w:shd w:val="clear" w:color="auto" w:fill="FFFFFF"/>
        </w:rPr>
        <w:t>分</w:t>
      </w:r>
      <w:r>
        <w:rPr>
          <w:rFonts w:hint="eastAsia" w:ascii="宋体" w:hAnsi="宋体" w:cs="宋体"/>
          <w:color w:val="auto"/>
          <w:sz w:val="21"/>
          <w:szCs w:val="21"/>
          <w:highlight w:val="none"/>
          <w:shd w:val="clear" w:color="auto" w:fill="FFFFFF"/>
        </w:rPr>
        <w:t>以前将投标文件提交至</w:t>
      </w:r>
      <w:r>
        <w:rPr>
          <w:rFonts w:hint="eastAsia" w:ascii="宋体" w:hAnsi="宋体" w:cs="宋体"/>
          <w:b/>
          <w:bCs/>
          <w:color w:val="auto"/>
          <w:sz w:val="21"/>
          <w:szCs w:val="21"/>
          <w:highlight w:val="none"/>
          <w:u w:val="single"/>
          <w:shd w:val="clear" w:color="auto" w:fill="FFFFFF"/>
        </w:rPr>
        <w:t>南通市崇川区城市工程建设管理中心404会议室（城港路56号3号楼，警务站楼上）</w:t>
      </w:r>
      <w:r>
        <w:rPr>
          <w:rFonts w:hint="eastAsia" w:ascii="宋体" w:hAnsi="宋体" w:cs="宋体"/>
          <w:color w:val="auto"/>
          <w:sz w:val="21"/>
          <w:szCs w:val="21"/>
          <w:highlight w:val="none"/>
          <w:shd w:val="clear" w:color="auto" w:fill="FFFFFF"/>
        </w:rPr>
        <w:t>，并在</w:t>
      </w:r>
      <w:r>
        <w:rPr>
          <w:rFonts w:hint="eastAsia" w:ascii="宋体" w:hAnsi="宋体" w:cs="宋体"/>
          <w:b/>
          <w:bCs/>
          <w:color w:val="auto"/>
          <w:sz w:val="21"/>
          <w:szCs w:val="21"/>
          <w:highlight w:val="none"/>
          <w:u w:val="single"/>
          <w:shd w:val="clear" w:color="auto" w:fill="FFFFFF"/>
        </w:rPr>
        <w:t>2026年</w:t>
      </w:r>
      <w:r>
        <w:rPr>
          <w:rFonts w:hint="eastAsia" w:ascii="宋体" w:hAnsi="宋体" w:cs="宋体"/>
          <w:b/>
          <w:bCs/>
          <w:color w:val="auto"/>
          <w:sz w:val="21"/>
          <w:szCs w:val="21"/>
          <w:highlight w:val="none"/>
          <w:u w:val="single"/>
          <w:shd w:val="clear" w:color="auto" w:fill="FFFFFF"/>
          <w:lang w:val="en-US" w:eastAsia="zh-CN"/>
        </w:rPr>
        <w:t>04</w:t>
      </w:r>
      <w:r>
        <w:rPr>
          <w:rFonts w:hint="eastAsia" w:ascii="宋体" w:hAnsi="宋体" w:cs="宋体"/>
          <w:b/>
          <w:bCs/>
          <w:color w:val="auto"/>
          <w:sz w:val="21"/>
          <w:szCs w:val="21"/>
          <w:highlight w:val="none"/>
          <w:u w:val="single"/>
          <w:shd w:val="clear" w:color="auto" w:fill="FFFFFF"/>
        </w:rPr>
        <w:t>月</w:t>
      </w:r>
      <w:r>
        <w:rPr>
          <w:rFonts w:hint="eastAsia" w:ascii="宋体" w:hAnsi="宋体" w:cs="宋体"/>
          <w:b/>
          <w:bCs/>
          <w:color w:val="auto"/>
          <w:sz w:val="21"/>
          <w:szCs w:val="21"/>
          <w:highlight w:val="none"/>
          <w:u w:val="single"/>
          <w:shd w:val="clear" w:color="auto" w:fill="FFFFFF"/>
          <w:lang w:val="en-US" w:eastAsia="zh-CN"/>
        </w:rPr>
        <w:t>09</w:t>
      </w:r>
      <w:r>
        <w:rPr>
          <w:rFonts w:hint="eastAsia" w:ascii="宋体" w:hAnsi="宋体" w:cs="宋体"/>
          <w:b/>
          <w:bCs/>
          <w:color w:val="auto"/>
          <w:sz w:val="21"/>
          <w:szCs w:val="21"/>
          <w:highlight w:val="none"/>
          <w:u w:val="single"/>
          <w:shd w:val="clear" w:color="auto" w:fill="FFFFFF"/>
        </w:rPr>
        <w:t>日</w:t>
      </w:r>
      <w:r>
        <w:rPr>
          <w:rFonts w:hint="eastAsia" w:ascii="宋体" w:hAnsi="宋体" w:cs="宋体"/>
          <w:b/>
          <w:bCs/>
          <w:color w:val="auto"/>
          <w:sz w:val="21"/>
          <w:szCs w:val="21"/>
          <w:highlight w:val="none"/>
          <w:u w:val="single"/>
          <w:shd w:val="clear" w:color="auto" w:fill="FFFFFF"/>
          <w:lang w:val="en-US" w:eastAsia="zh-CN"/>
        </w:rPr>
        <w:t>09</w:t>
      </w:r>
      <w:r>
        <w:rPr>
          <w:rFonts w:hint="eastAsia" w:ascii="宋体" w:hAnsi="宋体" w:cs="宋体"/>
          <w:b/>
          <w:bCs/>
          <w:color w:val="auto"/>
          <w:sz w:val="21"/>
          <w:szCs w:val="21"/>
          <w:highlight w:val="none"/>
          <w:u w:val="single"/>
          <w:shd w:val="clear" w:color="auto" w:fill="FFFFFF"/>
        </w:rPr>
        <w:t>时</w:t>
      </w:r>
      <w:r>
        <w:rPr>
          <w:rFonts w:hint="eastAsia" w:ascii="宋体" w:hAnsi="宋体" w:cs="宋体"/>
          <w:b/>
          <w:bCs/>
          <w:color w:val="auto"/>
          <w:sz w:val="21"/>
          <w:szCs w:val="21"/>
          <w:highlight w:val="none"/>
          <w:u w:val="single"/>
          <w:shd w:val="clear" w:color="auto" w:fill="FFFFFF"/>
          <w:lang w:val="en-US" w:eastAsia="zh-CN"/>
        </w:rPr>
        <w:t>15</w:t>
      </w:r>
      <w:r>
        <w:rPr>
          <w:rFonts w:hint="eastAsia" w:ascii="宋体" w:hAnsi="宋体" w:cs="宋体"/>
          <w:b/>
          <w:bCs/>
          <w:color w:val="auto"/>
          <w:sz w:val="21"/>
          <w:szCs w:val="21"/>
          <w:highlight w:val="none"/>
          <w:u w:val="single"/>
          <w:shd w:val="clear" w:color="auto" w:fill="FFFFFF"/>
        </w:rPr>
        <w:t>分</w:t>
      </w:r>
      <w:r>
        <w:rPr>
          <w:rFonts w:hint="eastAsia" w:ascii="宋体" w:hAnsi="宋体" w:cs="宋体"/>
          <w:color w:val="auto"/>
          <w:sz w:val="21"/>
          <w:szCs w:val="21"/>
          <w:highlight w:val="none"/>
          <w:shd w:val="clear" w:color="auto" w:fill="FFFFFF"/>
        </w:rPr>
        <w:t>开标。逾期送达的投标文件将被拒绝。</w:t>
      </w:r>
    </w:p>
    <w:p w14:paraId="220ED071">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九、招标文件等材料从本公告附件下载；招标文件、修改、补充公布的网址及栏目：</w:t>
      </w:r>
      <w:r>
        <w:rPr>
          <w:rFonts w:hint="eastAsia" w:ascii="宋体" w:hAnsi="宋体" w:cs="宋体"/>
          <w:b/>
          <w:bCs/>
          <w:color w:val="auto"/>
          <w:sz w:val="21"/>
          <w:szCs w:val="21"/>
          <w:highlight w:val="none"/>
          <w:u w:val="single"/>
          <w:shd w:val="clear" w:color="auto" w:fill="FFFFFF"/>
        </w:rPr>
        <w:t>“南通市崇川区人民政府网-公告公示”</w:t>
      </w:r>
      <w:r>
        <w:rPr>
          <w:rFonts w:hint="eastAsia" w:ascii="宋体" w:hAnsi="宋体" w:cs="宋体"/>
          <w:color w:val="auto"/>
          <w:sz w:val="21"/>
          <w:szCs w:val="21"/>
          <w:highlight w:val="none"/>
          <w:shd w:val="clear" w:color="auto" w:fill="FFFFFF"/>
        </w:rPr>
        <w:t>。请各投标人自行关注，否则，引起的所有损失由投标人自行承担。</w:t>
      </w:r>
    </w:p>
    <w:p w14:paraId="2D5F51D9">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十、主要资格审查标准和内容详见招标文件中的资格审查文件。</w:t>
      </w:r>
    </w:p>
    <w:p w14:paraId="3CD3C0A8">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招标人：南通市崇川区城市工程建设管理中心</w:t>
      </w:r>
    </w:p>
    <w:p w14:paraId="2292CA2B">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地址：南通市城港路56号</w:t>
      </w:r>
    </w:p>
    <w:p w14:paraId="7462A4FE">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联系人：赵先生</w:t>
      </w:r>
    </w:p>
    <w:p w14:paraId="07608828">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联系电话：0513-89106020</w:t>
      </w:r>
    </w:p>
    <w:p w14:paraId="1D541EF4">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招标代理机构：宏信天德工程顾问有限公司</w:t>
      </w:r>
    </w:p>
    <w:p w14:paraId="3F3447DD">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地址：南通市崇川区北大街108号万科壹中心8楼北区</w:t>
      </w:r>
    </w:p>
    <w:p w14:paraId="53B5BF3A">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联系人：陈婷婷、董安国</w:t>
      </w:r>
    </w:p>
    <w:p w14:paraId="7E75FB05">
      <w:pPr>
        <w:pStyle w:val="26"/>
        <w:widowControl/>
        <w:shd w:val="clear" w:color="auto"/>
        <w:adjustRightInd w:val="0"/>
        <w:snapToGrid w:val="0"/>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电话：18856267670、18912299056</w:t>
      </w:r>
    </w:p>
    <w:p w14:paraId="0F2BDEB0">
      <w:pPr>
        <w:shd w:val="clear"/>
        <w:rPr>
          <w:rFonts w:hint="eastAsia" w:ascii="宋体" w:hAnsi="宋体" w:cs="宋体"/>
          <w:color w:val="auto"/>
          <w:kern w:val="0"/>
          <w:sz w:val="36"/>
          <w:highlight w:val="none"/>
        </w:rPr>
      </w:pPr>
    </w:p>
    <w:p w14:paraId="210AC0C2">
      <w:pPr>
        <w:shd w:val="clear"/>
        <w:rPr>
          <w:rFonts w:hint="eastAsia" w:ascii="宋体" w:hAnsi="宋体" w:cs="宋体"/>
          <w:color w:val="auto"/>
          <w:kern w:val="0"/>
          <w:sz w:val="36"/>
          <w:highlight w:val="none"/>
        </w:rPr>
      </w:pPr>
      <w:r>
        <w:rPr>
          <w:rFonts w:hint="eastAsia" w:ascii="宋体" w:hAnsi="宋体" w:cs="宋体"/>
          <w:color w:val="auto"/>
          <w:kern w:val="0"/>
          <w:sz w:val="36"/>
          <w:highlight w:val="none"/>
        </w:rPr>
        <w:br w:type="page"/>
      </w:r>
    </w:p>
    <w:p w14:paraId="34919C82">
      <w:pPr>
        <w:pStyle w:val="2"/>
        <w:keepNext w:val="0"/>
        <w:keepLines w:val="0"/>
        <w:shd w:val="clear"/>
        <w:adjustRightInd w:val="0"/>
        <w:snapToGrid w:val="0"/>
        <w:spacing w:before="0" w:after="0" w:line="360" w:lineRule="auto"/>
        <w:jc w:val="center"/>
        <w:rPr>
          <w:rFonts w:hint="eastAsia" w:ascii="宋体" w:hAnsi="宋体" w:cs="宋体"/>
          <w:color w:val="auto"/>
          <w:kern w:val="0"/>
          <w:sz w:val="32"/>
          <w:szCs w:val="40"/>
          <w:highlight w:val="none"/>
        </w:rPr>
      </w:pPr>
      <w:bookmarkStart w:id="16" w:name="_Toc16132"/>
      <w:bookmarkStart w:id="17" w:name="_Toc6184"/>
      <w:bookmarkStart w:id="18" w:name="_Toc13510"/>
      <w:r>
        <w:rPr>
          <w:rFonts w:hint="eastAsia" w:ascii="宋体" w:hAnsi="宋体" w:cs="宋体"/>
          <w:color w:val="auto"/>
          <w:kern w:val="0"/>
          <w:sz w:val="32"/>
          <w:szCs w:val="40"/>
          <w:highlight w:val="none"/>
        </w:rPr>
        <w:t>第一章投标人须知及投标人须知前附表</w:t>
      </w:r>
      <w:bookmarkEnd w:id="7"/>
      <w:bookmarkEnd w:id="8"/>
      <w:bookmarkEnd w:id="9"/>
      <w:bookmarkEnd w:id="10"/>
      <w:bookmarkEnd w:id="11"/>
      <w:bookmarkEnd w:id="16"/>
      <w:bookmarkEnd w:id="17"/>
      <w:bookmarkEnd w:id="18"/>
    </w:p>
    <w:p w14:paraId="512DEC62">
      <w:pPr>
        <w:pStyle w:val="3"/>
        <w:keepNext w:val="0"/>
        <w:keepLines w:val="0"/>
        <w:shd w:val="clear"/>
        <w:spacing w:line="360" w:lineRule="auto"/>
        <w:jc w:val="center"/>
        <w:rPr>
          <w:rFonts w:hint="eastAsia" w:ascii="宋体" w:hAnsi="宋体" w:eastAsia="宋体" w:cs="宋体"/>
          <w:b/>
          <w:color w:val="auto"/>
          <w:sz w:val="24"/>
          <w:szCs w:val="24"/>
          <w:highlight w:val="none"/>
        </w:rPr>
      </w:pPr>
      <w:bookmarkStart w:id="19" w:name="_Toc112768308"/>
      <w:bookmarkStart w:id="20" w:name="_Toc9194540"/>
      <w:bookmarkStart w:id="21" w:name="_Toc27870"/>
      <w:r>
        <w:rPr>
          <w:rFonts w:hint="eastAsia" w:ascii="宋体" w:hAnsi="宋体" w:eastAsia="宋体" w:cs="宋体"/>
          <w:b/>
          <w:color w:val="auto"/>
          <w:sz w:val="24"/>
          <w:szCs w:val="24"/>
          <w:highlight w:val="none"/>
        </w:rPr>
        <w:t>投标人须知前附表</w:t>
      </w:r>
      <w:bookmarkEnd w:id="12"/>
      <w:bookmarkEnd w:id="19"/>
      <w:bookmarkEnd w:id="20"/>
      <w:bookmarkEnd w:id="21"/>
    </w:p>
    <w:tbl>
      <w:tblPr>
        <w:tblStyle w:val="29"/>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98"/>
        <w:gridCol w:w="7054"/>
      </w:tblGrid>
      <w:tr w14:paraId="0688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shd w:val="clear" w:color="auto" w:fill="DCE6F2" w:themeFill="accent1" w:themeFillTint="32"/>
            <w:vAlign w:val="center"/>
          </w:tcPr>
          <w:p w14:paraId="69D25E8A">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b/>
                <w:color w:val="auto"/>
                <w:kern w:val="0"/>
                <w:highlight w:val="none"/>
              </w:rPr>
              <w:t>序号</w:t>
            </w:r>
          </w:p>
        </w:tc>
        <w:tc>
          <w:tcPr>
            <w:tcW w:w="1598" w:type="dxa"/>
            <w:shd w:val="clear" w:color="auto" w:fill="DCE6F2" w:themeFill="accent1" w:themeFillTint="32"/>
            <w:vAlign w:val="center"/>
          </w:tcPr>
          <w:p w14:paraId="4681C666">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b/>
                <w:color w:val="auto"/>
                <w:kern w:val="0"/>
                <w:highlight w:val="none"/>
              </w:rPr>
              <w:t>条款名称</w:t>
            </w:r>
          </w:p>
        </w:tc>
        <w:tc>
          <w:tcPr>
            <w:tcW w:w="7054" w:type="dxa"/>
            <w:shd w:val="clear" w:color="auto" w:fill="DCE6F2" w:themeFill="accent1" w:themeFillTint="32"/>
            <w:vAlign w:val="center"/>
          </w:tcPr>
          <w:p w14:paraId="7BA510F7">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b/>
                <w:color w:val="auto"/>
                <w:kern w:val="0"/>
                <w:highlight w:val="none"/>
              </w:rPr>
              <w:t>编列内容</w:t>
            </w:r>
          </w:p>
        </w:tc>
      </w:tr>
      <w:tr w14:paraId="252D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A094BA4">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1598" w:type="dxa"/>
            <w:vAlign w:val="center"/>
          </w:tcPr>
          <w:p w14:paraId="61A7A825">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招标单位</w:t>
            </w:r>
          </w:p>
        </w:tc>
        <w:tc>
          <w:tcPr>
            <w:tcW w:w="7054" w:type="dxa"/>
            <w:vAlign w:val="center"/>
          </w:tcPr>
          <w:p w14:paraId="77EA7DE9">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招标人：南通市崇川区城市工程建设管理中心</w:t>
            </w:r>
          </w:p>
          <w:p w14:paraId="79ED581D">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地址：南通市城港路56号</w:t>
            </w:r>
          </w:p>
          <w:p w14:paraId="215A5622">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联系人：赵先生</w:t>
            </w:r>
          </w:p>
          <w:p w14:paraId="21A72B19">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联系电话：0513-89106020</w:t>
            </w:r>
          </w:p>
        </w:tc>
      </w:tr>
      <w:tr w14:paraId="603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F886FC8">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1598" w:type="dxa"/>
            <w:vAlign w:val="center"/>
          </w:tcPr>
          <w:p w14:paraId="403526C5">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招标代理机构</w:t>
            </w:r>
          </w:p>
        </w:tc>
        <w:tc>
          <w:tcPr>
            <w:tcW w:w="7054" w:type="dxa"/>
            <w:vAlign w:val="center"/>
          </w:tcPr>
          <w:p w14:paraId="521D289C">
            <w:pPr>
              <w:shd w:val="clea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招标代理机构：宏信天德工程顾问有限公司</w:t>
            </w:r>
          </w:p>
          <w:p w14:paraId="43ABC8BB">
            <w:pPr>
              <w:shd w:val="clea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地址：南通市崇川区北大街108号万科壹中心8楼北区</w:t>
            </w:r>
          </w:p>
          <w:p w14:paraId="30408287">
            <w:pPr>
              <w:shd w:val="clea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联系人：陈婷婷、董安国</w:t>
            </w:r>
          </w:p>
          <w:p w14:paraId="35DC51A8">
            <w:pPr>
              <w:shd w:val="clear"/>
              <w:adjustRightInd w:val="0"/>
              <w:snapToGrid w:val="0"/>
              <w:spacing w:line="360" w:lineRule="auto"/>
              <w:jc w:val="left"/>
              <w:rPr>
                <w:rFonts w:hint="eastAsia" w:ascii="宋体" w:hAnsi="宋体" w:cs="宋体"/>
                <w:color w:val="auto"/>
                <w:kern w:val="0"/>
                <w:highlight w:val="none"/>
              </w:rPr>
            </w:pPr>
            <w:r>
              <w:rPr>
                <w:rFonts w:hint="eastAsia" w:ascii="宋体" w:hAnsi="宋体" w:cs="宋体"/>
                <w:color w:val="auto"/>
                <w:kern w:val="0"/>
                <w:szCs w:val="21"/>
                <w:highlight w:val="none"/>
              </w:rPr>
              <w:t>电话：18856267670、18912299056</w:t>
            </w:r>
          </w:p>
        </w:tc>
      </w:tr>
      <w:tr w14:paraId="7AA5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AD6A445">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3</w:t>
            </w:r>
          </w:p>
        </w:tc>
        <w:tc>
          <w:tcPr>
            <w:tcW w:w="1598" w:type="dxa"/>
            <w:vAlign w:val="center"/>
          </w:tcPr>
          <w:p w14:paraId="1768ED85">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项目名称</w:t>
            </w:r>
          </w:p>
        </w:tc>
        <w:tc>
          <w:tcPr>
            <w:tcW w:w="7054" w:type="dxa"/>
            <w:vAlign w:val="center"/>
          </w:tcPr>
          <w:p w14:paraId="2F6CC3EF">
            <w:pPr>
              <w:shd w:val="clear"/>
              <w:adjustRightInd w:val="0"/>
              <w:snapToGrid w:val="0"/>
              <w:spacing w:line="360" w:lineRule="auto"/>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生命医药经一路（通扬运河-规划纬一路）工程监理项目</w:t>
            </w:r>
          </w:p>
        </w:tc>
      </w:tr>
      <w:tr w14:paraId="0E2E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A1E8BEC">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1598" w:type="dxa"/>
            <w:vAlign w:val="center"/>
          </w:tcPr>
          <w:p w14:paraId="40EAB261">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建设地点</w:t>
            </w:r>
          </w:p>
        </w:tc>
        <w:tc>
          <w:tcPr>
            <w:tcW w:w="7054" w:type="dxa"/>
            <w:vAlign w:val="center"/>
          </w:tcPr>
          <w:p w14:paraId="06C9FE52">
            <w:pPr>
              <w:shd w:val="clear"/>
              <w:adjustRightInd w:val="0"/>
              <w:snapToGrid w:val="0"/>
              <w:spacing w:line="360" w:lineRule="auto"/>
              <w:jc w:val="left"/>
              <w:rPr>
                <w:rFonts w:hint="eastAsia" w:ascii="宋体" w:hAnsi="宋体" w:cs="宋体"/>
                <w:color w:val="auto"/>
                <w:kern w:val="0"/>
                <w:highlight w:val="none"/>
              </w:rPr>
            </w:pPr>
            <w:r>
              <w:rPr>
                <w:rFonts w:hint="eastAsia" w:ascii="宋体" w:hAnsi="宋体" w:cs="宋体"/>
                <w:color w:val="auto"/>
                <w:sz w:val="21"/>
                <w:szCs w:val="21"/>
                <w:highlight w:val="none"/>
                <w:shd w:val="clear" w:color="auto" w:fill="FFFFFF"/>
              </w:rPr>
              <w:t>西起现状河东路(接钢厂桥引桥)，东至规划纬一路</w:t>
            </w:r>
          </w:p>
        </w:tc>
      </w:tr>
      <w:tr w14:paraId="48EB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FDD191E">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5</w:t>
            </w:r>
          </w:p>
        </w:tc>
        <w:tc>
          <w:tcPr>
            <w:tcW w:w="1598" w:type="dxa"/>
            <w:vAlign w:val="center"/>
          </w:tcPr>
          <w:p w14:paraId="0019650D">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工程规模</w:t>
            </w:r>
          </w:p>
        </w:tc>
        <w:tc>
          <w:tcPr>
            <w:tcW w:w="7054" w:type="dxa"/>
            <w:vAlign w:val="center"/>
          </w:tcPr>
          <w:p w14:paraId="69464C55">
            <w:pPr>
              <w:pStyle w:val="37"/>
              <w:shd w:val="clear"/>
              <w:adjustRightInd w:val="0"/>
              <w:snapToGrid w:val="0"/>
              <w:spacing w:line="360" w:lineRule="auto"/>
              <w:ind w:firstLine="0" w:firstLineChars="0"/>
              <w:rPr>
                <w:rFonts w:hint="eastAsia" w:ascii="宋体" w:hAnsi="宋体" w:cs="宋体"/>
                <w:color w:val="auto"/>
                <w:kern w:val="0"/>
                <w:highlight w:val="none"/>
              </w:rPr>
            </w:pPr>
            <w:r>
              <w:rPr>
                <w:rFonts w:hint="eastAsia" w:ascii="宋体" w:hAnsi="宋体" w:eastAsia="宋体" w:cs="宋体"/>
                <w:b w:val="0"/>
                <w:bCs w:val="0"/>
                <w:color w:val="auto"/>
                <w:spacing w:val="0"/>
                <w:kern w:val="0"/>
                <w:position w:val="0"/>
                <w:sz w:val="21"/>
                <w:szCs w:val="21"/>
                <w:highlight w:val="none"/>
              </w:rPr>
              <w:t>主要实施道路、排水、交通设施、绿化等，全长约700米，规划宽度18米，设计等级为城市支路，设计时速30km/h。</w:t>
            </w:r>
            <w:r>
              <w:rPr>
                <w:rFonts w:hint="eastAsia" w:ascii="宋体" w:hAnsi="宋体" w:eastAsia="宋体" w:cs="宋体"/>
                <w:b w:val="0"/>
                <w:bCs w:val="0"/>
                <w:color w:val="auto"/>
                <w:spacing w:val="0"/>
                <w:kern w:val="0"/>
                <w:position w:val="0"/>
                <w:sz w:val="21"/>
                <w:szCs w:val="21"/>
                <w:highlight w:val="none"/>
                <w:lang w:val="en-US" w:eastAsia="zh-CN"/>
              </w:rPr>
              <w:t>工程建设规模约为740万元</w:t>
            </w:r>
            <w:r>
              <w:rPr>
                <w:rFonts w:hint="eastAsia" w:ascii="宋体" w:hAnsi="宋体" w:cs="宋体"/>
                <w:color w:val="auto"/>
                <w:kern w:val="0"/>
                <w:highlight w:val="none"/>
              </w:rPr>
              <w:t>。</w:t>
            </w:r>
          </w:p>
        </w:tc>
      </w:tr>
      <w:tr w14:paraId="0BA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49ABE69">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6</w:t>
            </w:r>
          </w:p>
        </w:tc>
        <w:tc>
          <w:tcPr>
            <w:tcW w:w="1598" w:type="dxa"/>
            <w:vAlign w:val="center"/>
          </w:tcPr>
          <w:p w14:paraId="3F8782A8">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建设资金</w:t>
            </w:r>
          </w:p>
        </w:tc>
        <w:tc>
          <w:tcPr>
            <w:tcW w:w="7054" w:type="dxa"/>
            <w:vAlign w:val="center"/>
          </w:tcPr>
          <w:p w14:paraId="4CAC4FEE">
            <w:pPr>
              <w:shd w:val="clear"/>
              <w:adjustRightInd w:val="0"/>
              <w:snapToGrid w:val="0"/>
              <w:spacing w:line="360" w:lineRule="auto"/>
              <w:jc w:val="left"/>
              <w:rPr>
                <w:rFonts w:hint="eastAsia" w:ascii="宋体" w:hAnsi="宋体" w:cs="宋体"/>
                <w:color w:val="auto"/>
                <w:kern w:val="0"/>
                <w:highlight w:val="none"/>
              </w:rPr>
            </w:pPr>
            <w:r>
              <w:rPr>
                <w:rFonts w:hint="eastAsia" w:ascii="宋体" w:hAnsi="宋体" w:cs="宋体"/>
                <w:color w:val="auto"/>
                <w:kern w:val="0"/>
                <w:highlight w:val="none"/>
              </w:rPr>
              <w:t>资金来源：</w:t>
            </w:r>
            <w:r>
              <w:rPr>
                <w:rFonts w:hint="eastAsia" w:ascii="宋体" w:hAnsi="宋体" w:cs="宋体"/>
                <w:color w:val="auto"/>
                <w:kern w:val="0"/>
                <w:szCs w:val="21"/>
                <w:highlight w:val="none"/>
              </w:rPr>
              <w:t>财政</w:t>
            </w:r>
          </w:p>
          <w:p w14:paraId="098342B1">
            <w:pPr>
              <w:shd w:val="clear"/>
              <w:adjustRightInd w:val="0"/>
              <w:snapToGrid w:val="0"/>
              <w:spacing w:line="360" w:lineRule="auto"/>
              <w:jc w:val="left"/>
              <w:rPr>
                <w:rFonts w:hint="eastAsia" w:ascii="宋体" w:hAnsi="宋体" w:cs="宋体"/>
                <w:color w:val="auto"/>
                <w:kern w:val="0"/>
                <w:highlight w:val="none"/>
              </w:rPr>
            </w:pPr>
            <w:r>
              <w:rPr>
                <w:rFonts w:hint="eastAsia" w:ascii="宋体" w:hAnsi="宋体" w:cs="宋体"/>
                <w:color w:val="auto"/>
                <w:kern w:val="0"/>
                <w:highlight w:val="none"/>
              </w:rPr>
              <w:t>资金落实情况：已落实</w:t>
            </w:r>
          </w:p>
        </w:tc>
      </w:tr>
      <w:tr w14:paraId="288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AF0B0B6">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7</w:t>
            </w:r>
          </w:p>
        </w:tc>
        <w:tc>
          <w:tcPr>
            <w:tcW w:w="1598" w:type="dxa"/>
            <w:vAlign w:val="center"/>
          </w:tcPr>
          <w:p w14:paraId="2EB816ED">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招标范围</w:t>
            </w:r>
          </w:p>
        </w:tc>
        <w:tc>
          <w:tcPr>
            <w:tcW w:w="7054" w:type="dxa"/>
            <w:vAlign w:val="center"/>
          </w:tcPr>
          <w:p w14:paraId="67544FA5">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施工准备阶段、施工阶段、竣工验收和保修阶段（含质量缺陷责任期及绿化养护期）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tc>
      </w:tr>
      <w:tr w14:paraId="0596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1E5163E">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8</w:t>
            </w:r>
          </w:p>
        </w:tc>
        <w:tc>
          <w:tcPr>
            <w:tcW w:w="1598" w:type="dxa"/>
            <w:vAlign w:val="center"/>
          </w:tcPr>
          <w:p w14:paraId="2C932609">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监理服务期限</w:t>
            </w:r>
          </w:p>
        </w:tc>
        <w:tc>
          <w:tcPr>
            <w:tcW w:w="7054" w:type="dxa"/>
            <w:vAlign w:val="center"/>
          </w:tcPr>
          <w:p w14:paraId="2426F51F">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施工工期+保修期，施工工期</w:t>
            </w:r>
            <w:r>
              <w:rPr>
                <w:rFonts w:hint="eastAsia" w:ascii="宋体" w:hAnsi="宋体" w:eastAsia="宋体" w:cs="宋体"/>
                <w:b w:val="0"/>
                <w:bCs w:val="0"/>
                <w:color w:val="auto"/>
                <w:spacing w:val="0"/>
                <w:kern w:val="0"/>
                <w:position w:val="0"/>
                <w:sz w:val="21"/>
                <w:szCs w:val="21"/>
                <w:highlight w:val="none"/>
                <w:u w:val="none"/>
                <w:lang w:val="en-US" w:eastAsia="zh-CN"/>
              </w:rPr>
              <w:t>230</w:t>
            </w:r>
            <w:r>
              <w:rPr>
                <w:rFonts w:hint="eastAsia" w:ascii="宋体" w:hAnsi="宋体" w:cs="宋体"/>
                <w:color w:val="auto"/>
                <w:kern w:val="0"/>
                <w:highlight w:val="none"/>
              </w:rPr>
              <w:t>历天。</w:t>
            </w:r>
          </w:p>
        </w:tc>
      </w:tr>
      <w:tr w14:paraId="1766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827E959">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9</w:t>
            </w:r>
          </w:p>
        </w:tc>
        <w:tc>
          <w:tcPr>
            <w:tcW w:w="1598" w:type="dxa"/>
            <w:vAlign w:val="center"/>
          </w:tcPr>
          <w:p w14:paraId="2E3000B5">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质量要求</w:t>
            </w:r>
          </w:p>
        </w:tc>
        <w:tc>
          <w:tcPr>
            <w:tcW w:w="7054" w:type="dxa"/>
            <w:vAlign w:val="center"/>
          </w:tcPr>
          <w:p w14:paraId="0297DF86">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合格</w:t>
            </w:r>
          </w:p>
        </w:tc>
      </w:tr>
      <w:tr w14:paraId="7017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B1CCB45">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10</w:t>
            </w:r>
          </w:p>
        </w:tc>
        <w:tc>
          <w:tcPr>
            <w:tcW w:w="1598" w:type="dxa"/>
            <w:vAlign w:val="center"/>
          </w:tcPr>
          <w:p w14:paraId="7AAEEC02">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投标人资格要求</w:t>
            </w:r>
          </w:p>
        </w:tc>
        <w:tc>
          <w:tcPr>
            <w:tcW w:w="7054" w:type="dxa"/>
            <w:vAlign w:val="center"/>
          </w:tcPr>
          <w:p w14:paraId="23A0EFAE">
            <w:pPr>
              <w:shd w:val="clear"/>
              <w:adjustRightInd w:val="0"/>
              <w:snapToGrid w:val="0"/>
              <w:spacing w:line="360" w:lineRule="auto"/>
              <w:rPr>
                <w:rFonts w:hint="eastAsia" w:ascii="宋体" w:hAnsi="宋体" w:cs="宋体"/>
                <w:b/>
                <w:color w:val="auto"/>
                <w:kern w:val="0"/>
                <w:highlight w:val="none"/>
              </w:rPr>
            </w:pPr>
            <w:r>
              <w:rPr>
                <w:rFonts w:hint="eastAsia" w:ascii="宋体" w:hAnsi="宋体" w:cs="宋体"/>
                <w:color w:val="auto"/>
                <w:kern w:val="0"/>
                <w:highlight w:val="none"/>
              </w:rPr>
              <w:t>详见招标公告</w:t>
            </w:r>
          </w:p>
        </w:tc>
      </w:tr>
      <w:tr w14:paraId="36F4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7C2A054">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11</w:t>
            </w:r>
          </w:p>
        </w:tc>
        <w:tc>
          <w:tcPr>
            <w:tcW w:w="1598" w:type="dxa"/>
            <w:vAlign w:val="center"/>
          </w:tcPr>
          <w:p w14:paraId="608D97D9">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是否接受联合体</w:t>
            </w:r>
          </w:p>
        </w:tc>
        <w:tc>
          <w:tcPr>
            <w:tcW w:w="7054" w:type="dxa"/>
            <w:vAlign w:val="center"/>
          </w:tcPr>
          <w:p w14:paraId="330737CD">
            <w:pPr>
              <w:shd w:val="clear"/>
              <w:adjustRightInd w:val="0"/>
              <w:snapToGrid w:val="0"/>
              <w:spacing w:line="360" w:lineRule="auto"/>
              <w:rPr>
                <w:rFonts w:hint="eastAsia" w:ascii="宋体" w:hAnsi="宋体" w:cs="宋体"/>
                <w:b/>
                <w:color w:val="auto"/>
                <w:kern w:val="0"/>
                <w:highlight w:val="none"/>
                <w:u w:val="single"/>
              </w:rPr>
            </w:pPr>
            <w:r>
              <w:rPr>
                <w:rFonts w:hint="eastAsia" w:ascii="宋体" w:hAnsi="宋体" w:cs="宋体"/>
                <w:b/>
                <w:color w:val="auto"/>
                <w:kern w:val="0"/>
                <w:highlight w:val="none"/>
              </w:rPr>
              <w:t>不接受联合体投标</w:t>
            </w:r>
          </w:p>
        </w:tc>
      </w:tr>
      <w:tr w14:paraId="3652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A8879A7">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color w:val="auto"/>
                <w:kern w:val="0"/>
                <w:highlight w:val="none"/>
              </w:rPr>
              <w:t>12</w:t>
            </w:r>
          </w:p>
        </w:tc>
        <w:tc>
          <w:tcPr>
            <w:tcW w:w="1598" w:type="dxa"/>
            <w:vAlign w:val="center"/>
          </w:tcPr>
          <w:p w14:paraId="40AFE6E4">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color w:val="auto"/>
                <w:kern w:val="0"/>
                <w:highlight w:val="none"/>
              </w:rPr>
              <w:t>踏勘现场</w:t>
            </w:r>
          </w:p>
        </w:tc>
        <w:tc>
          <w:tcPr>
            <w:tcW w:w="7054" w:type="dxa"/>
            <w:vAlign w:val="center"/>
          </w:tcPr>
          <w:p w14:paraId="37398FE5">
            <w:pPr>
              <w:shd w:val="clear"/>
              <w:adjustRightInd w:val="0"/>
              <w:snapToGrid w:val="0"/>
              <w:spacing w:line="360" w:lineRule="auto"/>
              <w:rPr>
                <w:rFonts w:hint="eastAsia" w:ascii="宋体" w:hAnsi="宋体" w:cs="宋体"/>
                <w:b/>
                <w:color w:val="auto"/>
                <w:kern w:val="0"/>
                <w:highlight w:val="none"/>
                <w:u w:val="single"/>
              </w:rPr>
            </w:pPr>
            <w:r>
              <w:rPr>
                <w:rFonts w:hint="eastAsia" w:ascii="宋体" w:hAnsi="宋体" w:cs="宋体"/>
                <w:color w:val="auto"/>
                <w:kern w:val="0"/>
                <w:highlight w:val="none"/>
              </w:rPr>
              <w:t>招标人不组织投标人踏勘现场，投标人可以自行对工程施工现场和周围环境进行勘察，以获取编制投标文件和签署合同所需的所有资料。</w:t>
            </w:r>
          </w:p>
        </w:tc>
      </w:tr>
      <w:tr w14:paraId="69D0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7B8A62F">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13</w:t>
            </w:r>
          </w:p>
        </w:tc>
        <w:tc>
          <w:tcPr>
            <w:tcW w:w="1598" w:type="dxa"/>
            <w:vAlign w:val="center"/>
          </w:tcPr>
          <w:p w14:paraId="51CC1970">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color w:val="auto"/>
                <w:kern w:val="0"/>
                <w:highlight w:val="none"/>
              </w:rPr>
              <w:t>投标预备会</w:t>
            </w:r>
          </w:p>
        </w:tc>
        <w:tc>
          <w:tcPr>
            <w:tcW w:w="7054" w:type="dxa"/>
            <w:vAlign w:val="center"/>
          </w:tcPr>
          <w:p w14:paraId="1DF8B8A7">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不召开</w:t>
            </w:r>
          </w:p>
        </w:tc>
      </w:tr>
      <w:tr w14:paraId="0624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474853C">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14</w:t>
            </w:r>
          </w:p>
        </w:tc>
        <w:tc>
          <w:tcPr>
            <w:tcW w:w="1598" w:type="dxa"/>
            <w:vAlign w:val="center"/>
          </w:tcPr>
          <w:p w14:paraId="0527FC48">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构成招标文件的其它材料</w:t>
            </w:r>
          </w:p>
        </w:tc>
        <w:tc>
          <w:tcPr>
            <w:tcW w:w="7054" w:type="dxa"/>
            <w:vAlign w:val="center"/>
          </w:tcPr>
          <w:p w14:paraId="6A061372">
            <w:pPr>
              <w:shd w:val="clear"/>
              <w:autoSpaceDE w:val="0"/>
              <w:autoSpaceDN w:val="0"/>
              <w:adjustRightInd w:val="0"/>
              <w:snapToGrid w:val="0"/>
              <w:spacing w:line="360" w:lineRule="auto"/>
              <w:jc w:val="left"/>
              <w:rPr>
                <w:rFonts w:hint="eastAsia" w:ascii="宋体" w:hAnsi="宋体" w:cs="宋体"/>
                <w:color w:val="auto"/>
                <w:kern w:val="0"/>
                <w:highlight w:val="none"/>
              </w:rPr>
            </w:pPr>
            <w:r>
              <w:rPr>
                <w:rFonts w:hint="eastAsia" w:ascii="宋体" w:hAnsi="宋体" w:cs="宋体"/>
                <w:color w:val="auto"/>
                <w:kern w:val="0"/>
                <w:highlight w:val="none"/>
              </w:rPr>
              <w:t>（1）招标公告；（2）投标人须知及投标人须知前附表；（3）评标办法；（4）合同条款及格式；（5）技术资料和设计文件；（6）投标文件格式；（7）投标人须知前附表规定的其他材料。</w:t>
            </w:r>
          </w:p>
        </w:tc>
      </w:tr>
      <w:tr w14:paraId="0305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194E6BF">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15</w:t>
            </w:r>
          </w:p>
        </w:tc>
        <w:tc>
          <w:tcPr>
            <w:tcW w:w="1598" w:type="dxa"/>
            <w:vAlign w:val="center"/>
          </w:tcPr>
          <w:p w14:paraId="58650653">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提交疑问材料</w:t>
            </w:r>
          </w:p>
          <w:p w14:paraId="36B08F4C">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color w:val="auto"/>
                <w:kern w:val="0"/>
                <w:highlight w:val="none"/>
              </w:rPr>
              <w:t>时间及方式</w:t>
            </w:r>
          </w:p>
        </w:tc>
        <w:tc>
          <w:tcPr>
            <w:tcW w:w="7054" w:type="dxa"/>
            <w:vAlign w:val="center"/>
          </w:tcPr>
          <w:p w14:paraId="2E7614BA">
            <w:pPr>
              <w:shd w:val="clear"/>
              <w:adjustRightInd w:val="0"/>
              <w:snapToGrid w:val="0"/>
              <w:spacing w:line="360" w:lineRule="auto"/>
              <w:rPr>
                <w:rFonts w:hint="eastAsia" w:ascii="宋体" w:hAnsi="宋体" w:cs="宋体"/>
                <w:b/>
                <w:color w:val="auto"/>
                <w:kern w:val="0"/>
                <w:highlight w:val="none"/>
              </w:rPr>
            </w:pPr>
            <w:r>
              <w:rPr>
                <w:rFonts w:hint="eastAsia" w:ascii="宋体" w:hAnsi="宋体" w:cs="宋体"/>
                <w:color w:val="auto"/>
                <w:kern w:val="0"/>
                <w:highlight w:val="none"/>
              </w:rPr>
              <w:t>如有疑问需要招标人澄清应在2026年03月</w:t>
            </w:r>
            <w:r>
              <w:rPr>
                <w:rFonts w:hint="eastAsia" w:ascii="宋体" w:hAnsi="宋体" w:cs="宋体"/>
                <w:color w:val="auto"/>
                <w:kern w:val="0"/>
                <w:highlight w:val="none"/>
                <w:lang w:val="en-US" w:eastAsia="zh-CN"/>
              </w:rPr>
              <w:t>30</w:t>
            </w:r>
            <w:r>
              <w:rPr>
                <w:rFonts w:hint="eastAsia" w:ascii="宋体" w:hAnsi="宋体" w:cs="宋体"/>
                <w:color w:val="auto"/>
                <w:kern w:val="0"/>
                <w:highlight w:val="none"/>
              </w:rPr>
              <w:t>日17时前以电子文件形式（不具单位名称、不加盖单位公章）发送至指定邮箱</w:t>
            </w:r>
            <w:r>
              <w:rPr>
                <w:rFonts w:hint="eastAsia" w:ascii="宋体" w:hAnsi="宋体" w:cs="宋体"/>
                <w:color w:val="auto"/>
                <w:kern w:val="0"/>
                <w:highlight w:val="none"/>
                <w:u w:val="single"/>
              </w:rPr>
              <w:t>（</w:t>
            </w:r>
            <w:r>
              <w:rPr>
                <w:rFonts w:hint="eastAsia" w:ascii="宋体" w:hAnsi="宋体" w:cs="宋体"/>
                <w:color w:val="auto"/>
                <w:kern w:val="0"/>
                <w:highlight w:val="none"/>
                <w:u w:val="single"/>
                <w:lang w:eastAsia="zh-CN"/>
              </w:rPr>
              <w:t>1329444261</w:t>
            </w:r>
            <w:r>
              <w:rPr>
                <w:rFonts w:hint="eastAsia" w:ascii="宋体" w:hAnsi="宋体" w:cs="宋体"/>
                <w:color w:val="auto"/>
                <w:kern w:val="0"/>
                <w:highlight w:val="none"/>
                <w:u w:val="single"/>
              </w:rPr>
              <w:t>@qq.com）</w:t>
            </w:r>
            <w:r>
              <w:rPr>
                <w:rFonts w:hint="eastAsia" w:ascii="宋体" w:hAnsi="宋体" w:cs="宋体"/>
                <w:color w:val="auto"/>
                <w:kern w:val="0"/>
                <w:highlight w:val="none"/>
              </w:rPr>
              <w:t>向招标人提出，招标人予以解答，解答的内容在“南通市崇川区人民政府网-公告公示”公布。</w:t>
            </w:r>
          </w:p>
        </w:tc>
      </w:tr>
      <w:tr w14:paraId="43A5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56D72A0">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16</w:t>
            </w:r>
          </w:p>
        </w:tc>
        <w:tc>
          <w:tcPr>
            <w:tcW w:w="1598" w:type="dxa"/>
            <w:vAlign w:val="center"/>
          </w:tcPr>
          <w:p w14:paraId="22D31AD4">
            <w:pPr>
              <w:shd w:val="clear"/>
              <w:adjustRightInd w:val="0"/>
              <w:snapToGrid w:val="0"/>
              <w:spacing w:line="360" w:lineRule="auto"/>
              <w:jc w:val="center"/>
              <w:rPr>
                <w:rFonts w:hint="eastAsia" w:ascii="宋体" w:hAnsi="宋体" w:cs="宋体"/>
                <w:b/>
                <w:color w:val="auto"/>
                <w:kern w:val="0"/>
                <w:highlight w:val="none"/>
              </w:rPr>
            </w:pPr>
            <w:r>
              <w:rPr>
                <w:rFonts w:hint="eastAsia" w:ascii="宋体" w:hAnsi="宋体" w:cs="宋体"/>
                <w:color w:val="auto"/>
                <w:kern w:val="0"/>
                <w:highlight w:val="none"/>
              </w:rPr>
              <w:t>投标文件的组成</w:t>
            </w:r>
          </w:p>
        </w:tc>
        <w:tc>
          <w:tcPr>
            <w:tcW w:w="7054" w:type="dxa"/>
            <w:vAlign w:val="center"/>
          </w:tcPr>
          <w:p w14:paraId="17B8F210">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投标函；</w:t>
            </w:r>
          </w:p>
          <w:p w14:paraId="2D2B0863">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法定代表人身份证明或授权委托书；</w:t>
            </w:r>
          </w:p>
          <w:p w14:paraId="66ED76C2">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投标人基本情况一览表；</w:t>
            </w:r>
          </w:p>
          <w:p w14:paraId="3EF1E48A">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拟派项目监理机构人员一览表；</w:t>
            </w:r>
          </w:p>
          <w:p w14:paraId="60D969D5">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拟投入现场的设备、检测仪器一览表；</w:t>
            </w:r>
          </w:p>
          <w:p w14:paraId="0FBDF935">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承诺书；</w:t>
            </w:r>
          </w:p>
          <w:p w14:paraId="060E1E27">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诚信承诺书；</w:t>
            </w:r>
          </w:p>
          <w:p w14:paraId="66A784F9">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sym w:font="Wingdings" w:char="00FE"/>
            </w:r>
            <w:r>
              <w:rPr>
                <w:rFonts w:hint="eastAsia" w:ascii="宋体" w:hAnsi="宋体" w:cs="宋体"/>
                <w:color w:val="auto"/>
                <w:kern w:val="0"/>
                <w:highlight w:val="none"/>
              </w:rPr>
              <w:t>其他（包括招标文件要求的其他内容及第五章投标文件格式中相关内容）</w:t>
            </w:r>
          </w:p>
        </w:tc>
      </w:tr>
      <w:tr w14:paraId="5025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4455037">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17</w:t>
            </w:r>
          </w:p>
        </w:tc>
        <w:tc>
          <w:tcPr>
            <w:tcW w:w="1598" w:type="dxa"/>
            <w:vAlign w:val="center"/>
          </w:tcPr>
          <w:p w14:paraId="62233023">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投标人须提交</w:t>
            </w:r>
          </w:p>
          <w:p w14:paraId="7AFA869A">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核验的原件材料</w:t>
            </w:r>
          </w:p>
        </w:tc>
        <w:tc>
          <w:tcPr>
            <w:tcW w:w="7054" w:type="dxa"/>
            <w:vAlign w:val="center"/>
          </w:tcPr>
          <w:p w14:paraId="780AC49E">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w:t>
            </w:r>
          </w:p>
        </w:tc>
      </w:tr>
      <w:tr w14:paraId="5A34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570AB12D">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18</w:t>
            </w:r>
          </w:p>
        </w:tc>
        <w:tc>
          <w:tcPr>
            <w:tcW w:w="1598" w:type="dxa"/>
            <w:vAlign w:val="center"/>
          </w:tcPr>
          <w:p w14:paraId="503BECE7">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投标有效期</w:t>
            </w:r>
          </w:p>
        </w:tc>
        <w:tc>
          <w:tcPr>
            <w:tcW w:w="7054" w:type="dxa"/>
            <w:vAlign w:val="center"/>
          </w:tcPr>
          <w:p w14:paraId="25FC46CA">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投标截止日后</w:t>
            </w:r>
            <w:r>
              <w:rPr>
                <w:rFonts w:hint="eastAsia" w:ascii="宋体" w:hAnsi="宋体" w:cs="宋体"/>
                <w:b/>
                <w:color w:val="auto"/>
                <w:kern w:val="0"/>
                <w:highlight w:val="none"/>
                <w:u w:val="single"/>
              </w:rPr>
              <w:t>45</w:t>
            </w:r>
            <w:r>
              <w:rPr>
                <w:rFonts w:hint="eastAsia" w:ascii="宋体" w:hAnsi="宋体" w:cs="宋体"/>
                <w:color w:val="auto"/>
                <w:kern w:val="0"/>
                <w:highlight w:val="none"/>
              </w:rPr>
              <w:t>日历天内有效</w:t>
            </w:r>
          </w:p>
        </w:tc>
      </w:tr>
      <w:tr w14:paraId="032C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CAA7A6D">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19</w:t>
            </w:r>
          </w:p>
        </w:tc>
        <w:tc>
          <w:tcPr>
            <w:tcW w:w="1598" w:type="dxa"/>
            <w:vAlign w:val="center"/>
          </w:tcPr>
          <w:p w14:paraId="232761E5">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最高限价</w:t>
            </w:r>
          </w:p>
        </w:tc>
        <w:tc>
          <w:tcPr>
            <w:tcW w:w="7054" w:type="dxa"/>
            <w:vAlign w:val="center"/>
          </w:tcPr>
          <w:p w14:paraId="38E34DCE">
            <w:pPr>
              <w:shd w:val="clear"/>
              <w:adjustRightInd w:val="0"/>
              <w:snapToGrid w:val="0"/>
              <w:spacing w:line="360" w:lineRule="auto"/>
              <w:rPr>
                <w:rFonts w:hint="eastAsia" w:ascii="宋体" w:hAnsi="宋体" w:cs="宋体"/>
                <w:color w:val="auto"/>
                <w:kern w:val="0"/>
                <w:szCs w:val="21"/>
                <w:highlight w:val="none"/>
              </w:rPr>
            </w:pPr>
            <w:r>
              <w:rPr>
                <w:rFonts w:hAnsi="宋体"/>
                <w:b/>
                <w:bCs/>
                <w:color w:val="auto"/>
                <w:szCs w:val="21"/>
                <w:highlight w:val="none"/>
              </w:rPr>
              <w:t>本工程最高投标固定费率</w:t>
            </w:r>
            <w:r>
              <w:rPr>
                <w:rFonts w:hint="eastAsia" w:hAnsi="宋体"/>
                <w:b/>
                <w:bCs/>
                <w:color w:val="auto"/>
                <w:szCs w:val="21"/>
                <w:highlight w:val="none"/>
                <w:lang w:val="en-US" w:eastAsia="zh-CN"/>
              </w:rPr>
              <w:t>为3.00</w:t>
            </w:r>
            <w:r>
              <w:rPr>
                <w:rFonts w:hint="eastAsia" w:hAnsi="宋体"/>
                <w:b/>
                <w:bCs/>
                <w:color w:val="auto"/>
                <w:szCs w:val="21"/>
                <w:highlight w:val="none"/>
              </w:rPr>
              <w:t>%</w:t>
            </w:r>
            <w:r>
              <w:rPr>
                <w:rFonts w:hAnsi="宋体"/>
                <w:b/>
                <w:bCs/>
                <w:color w:val="auto"/>
                <w:szCs w:val="21"/>
                <w:highlight w:val="none"/>
              </w:rPr>
              <w:t xml:space="preserve"> ；</w:t>
            </w:r>
            <w:r>
              <w:rPr>
                <w:rFonts w:hint="eastAsia" w:ascii="宋体" w:hAnsi="宋体" w:cs="宋体"/>
                <w:b/>
                <w:bCs/>
                <w:color w:val="auto"/>
                <w:kern w:val="0"/>
                <w:szCs w:val="21"/>
                <w:highlight w:val="none"/>
              </w:rPr>
              <w:t>投标费率小于</w:t>
            </w:r>
            <w:r>
              <w:rPr>
                <w:rFonts w:hint="eastAsia" w:ascii="宋体" w:hAnsi="宋体" w:cs="宋体"/>
                <w:b/>
                <w:bCs/>
                <w:color w:val="auto"/>
                <w:kern w:val="0"/>
                <w:szCs w:val="21"/>
                <w:highlight w:val="none"/>
                <w:lang w:val="en-US" w:eastAsia="zh-CN"/>
              </w:rPr>
              <w:t>3.00</w:t>
            </w:r>
            <w:r>
              <w:rPr>
                <w:rFonts w:hint="eastAsia" w:ascii="宋体" w:hAnsi="宋体" w:cs="宋体"/>
                <w:b/>
                <w:bCs/>
                <w:color w:val="auto"/>
                <w:kern w:val="0"/>
                <w:szCs w:val="21"/>
                <w:highlight w:val="none"/>
              </w:rPr>
              <w:t>%为有效报价；大于等于</w:t>
            </w:r>
            <w:r>
              <w:rPr>
                <w:rFonts w:hint="eastAsia" w:ascii="宋体" w:hAnsi="宋体" w:cs="宋体"/>
                <w:b/>
                <w:bCs/>
                <w:color w:val="auto"/>
                <w:kern w:val="0"/>
                <w:szCs w:val="21"/>
                <w:highlight w:val="none"/>
                <w:lang w:val="en-US" w:eastAsia="zh-CN"/>
              </w:rPr>
              <w:t>3.00</w:t>
            </w:r>
            <w:r>
              <w:rPr>
                <w:rFonts w:hint="eastAsia" w:ascii="宋体" w:hAnsi="宋体" w:cs="宋体"/>
                <w:b/>
                <w:bCs/>
                <w:color w:val="auto"/>
                <w:kern w:val="0"/>
                <w:szCs w:val="21"/>
                <w:highlight w:val="none"/>
              </w:rPr>
              <w:t>%的作废标处理。</w:t>
            </w:r>
          </w:p>
        </w:tc>
      </w:tr>
      <w:tr w14:paraId="0C17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5E25D6C">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20</w:t>
            </w:r>
          </w:p>
        </w:tc>
        <w:tc>
          <w:tcPr>
            <w:tcW w:w="1598" w:type="dxa"/>
            <w:vAlign w:val="center"/>
          </w:tcPr>
          <w:p w14:paraId="3826DCCB">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投标保证金</w:t>
            </w:r>
          </w:p>
        </w:tc>
        <w:tc>
          <w:tcPr>
            <w:tcW w:w="7054" w:type="dxa"/>
            <w:vAlign w:val="center"/>
          </w:tcPr>
          <w:p w14:paraId="45F11915">
            <w:pPr>
              <w:shd w:val="clear"/>
              <w:adjustRightInd w:val="0"/>
              <w:snapToGrid w:val="0"/>
              <w:spacing w:line="360" w:lineRule="auto"/>
              <w:rPr>
                <w:rFonts w:hint="eastAsia" w:ascii="宋体" w:hAnsi="宋体" w:eastAsia="宋体" w:cs="宋体"/>
                <w:b/>
                <w:bCs/>
                <w:color w:val="auto"/>
                <w:kern w:val="0"/>
                <w:szCs w:val="21"/>
                <w:highlight w:val="none"/>
                <w:lang w:eastAsia="zh-CN"/>
              </w:rPr>
            </w:pPr>
            <w:r>
              <w:rPr>
                <w:rFonts w:hint="eastAsia" w:ascii="宋体" w:hAnsi="宋体" w:cs="宋体"/>
                <w:color w:val="auto"/>
                <w:kern w:val="0"/>
                <w:szCs w:val="21"/>
                <w:highlight w:val="none"/>
              </w:rPr>
              <w:t>投标保证金的形式：</w:t>
            </w:r>
            <w:r>
              <w:rPr>
                <w:rFonts w:hint="eastAsia" w:ascii="宋体" w:hAnsi="宋体" w:cs="宋体"/>
                <w:b/>
                <w:bCs/>
                <w:color w:val="auto"/>
                <w:kern w:val="0"/>
                <w:szCs w:val="21"/>
                <w:highlight w:val="none"/>
              </w:rPr>
              <w:t>现金密封或银行汇票</w:t>
            </w:r>
            <w:r>
              <w:rPr>
                <w:rFonts w:hint="eastAsia" w:ascii="宋体" w:hAnsi="宋体" w:cs="宋体"/>
                <w:b/>
                <w:bCs/>
                <w:color w:val="auto"/>
                <w:kern w:val="0"/>
                <w:szCs w:val="21"/>
                <w:highlight w:val="none"/>
                <w:lang w:val="en-US" w:eastAsia="zh-CN"/>
              </w:rPr>
              <w:t xml:space="preserve"> </w:t>
            </w:r>
          </w:p>
          <w:p w14:paraId="4D5C2374">
            <w:pPr>
              <w:shd w:val="clear"/>
              <w:adjustRightInd w:val="0"/>
              <w:snapToGrid w:val="0"/>
              <w:spacing w:line="360" w:lineRule="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投标保证金的金额：</w:t>
            </w:r>
            <w:r>
              <w:rPr>
                <w:rFonts w:hint="eastAsia" w:ascii="宋体" w:hAnsi="宋体" w:cs="宋体"/>
                <w:b/>
                <w:bCs/>
                <w:color w:val="auto"/>
                <w:kern w:val="0"/>
                <w:szCs w:val="21"/>
                <w:highlight w:val="none"/>
              </w:rPr>
              <w:t>人民币</w:t>
            </w:r>
            <w:r>
              <w:rPr>
                <w:rFonts w:hint="eastAsia" w:ascii="宋体" w:hAnsi="宋体" w:cs="宋体"/>
                <w:b/>
                <w:bCs/>
                <w:color w:val="auto"/>
                <w:kern w:val="0"/>
                <w:szCs w:val="21"/>
                <w:highlight w:val="none"/>
                <w:lang w:val="en-US" w:eastAsia="zh-CN"/>
              </w:rPr>
              <w:t>肆</w:t>
            </w:r>
            <w:r>
              <w:rPr>
                <w:rFonts w:hint="eastAsia" w:ascii="宋体" w:hAnsi="宋体" w:cs="宋体"/>
                <w:b/>
                <w:bCs/>
                <w:color w:val="auto"/>
                <w:kern w:val="0"/>
                <w:szCs w:val="21"/>
                <w:highlight w:val="none"/>
              </w:rPr>
              <w:t>仟元整 (¥</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000元)</w:t>
            </w:r>
          </w:p>
          <w:p w14:paraId="62C8F766">
            <w:pPr>
              <w:pStyle w:val="9"/>
              <w:shd w:val="clear"/>
              <w:adjustRightInd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银行汇票形式上必须注明收款人：</w:t>
            </w:r>
            <w:r>
              <w:rPr>
                <w:rFonts w:hint="eastAsia" w:ascii="宋体" w:hAnsi="宋体" w:eastAsia="宋体" w:cs="宋体"/>
                <w:b/>
                <w:color w:val="auto"/>
                <w:kern w:val="0"/>
                <w:sz w:val="21"/>
                <w:szCs w:val="21"/>
                <w:highlight w:val="none"/>
                <w:u w:val="single"/>
              </w:rPr>
              <w:t>南通市崇川区城市工程建设管理中心</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u w:val="single"/>
              </w:rPr>
              <w:t>用途:投标保证金</w:t>
            </w:r>
            <w:r>
              <w:rPr>
                <w:rFonts w:hint="eastAsia" w:ascii="宋体" w:hAnsi="宋体" w:eastAsia="宋体" w:cs="宋体"/>
                <w:b/>
                <w:color w:val="auto"/>
                <w:kern w:val="0"/>
                <w:sz w:val="21"/>
                <w:szCs w:val="21"/>
                <w:highlight w:val="none"/>
              </w:rPr>
              <w:t>；汇款人：投标单位名称。</w:t>
            </w:r>
          </w:p>
          <w:p w14:paraId="52C7F139">
            <w:pPr>
              <w:pStyle w:val="9"/>
              <w:shd w:val="clear"/>
              <w:adjustRightInd w:val="0"/>
              <w:snapToGrid w:val="0"/>
              <w:spacing w:line="360" w:lineRule="auto"/>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账号：107070010402888820730020000</w:t>
            </w:r>
          </w:p>
          <w:p w14:paraId="5B7E0A7F">
            <w:pPr>
              <w:pStyle w:val="9"/>
              <w:shd w:val="clear"/>
              <w:adjustRightInd w:val="0"/>
              <w:snapToGrid w:val="0"/>
              <w:spacing w:line="360" w:lineRule="auto"/>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户名：南通市崇川区城市工程建设管理中心</w:t>
            </w:r>
          </w:p>
          <w:p w14:paraId="0D658E78">
            <w:pPr>
              <w:pStyle w:val="9"/>
              <w:shd w:val="clear"/>
              <w:adjustRightInd w:val="0"/>
              <w:snapToGrid w:val="0"/>
              <w:spacing w:line="360" w:lineRule="auto"/>
              <w:rPr>
                <w:rFonts w:hint="eastAsia" w:ascii="宋体" w:hAnsi="宋体" w:eastAsia="宋体" w:cs="宋体"/>
                <w:color w:val="auto"/>
                <w:kern w:val="0"/>
                <w:highlight w:val="none"/>
              </w:rPr>
            </w:pPr>
            <w:r>
              <w:rPr>
                <w:rFonts w:hint="eastAsia" w:ascii="宋体" w:hAnsi="宋体" w:eastAsia="宋体" w:cs="宋体"/>
                <w:b/>
                <w:color w:val="auto"/>
                <w:kern w:val="0"/>
                <w:sz w:val="21"/>
                <w:szCs w:val="21"/>
                <w:highlight w:val="none"/>
                <w:u w:val="single"/>
              </w:rPr>
              <w:t>开户行：中国农业银行南通分行营业部</w:t>
            </w:r>
          </w:p>
        </w:tc>
      </w:tr>
      <w:tr w14:paraId="171B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500A6DA">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21</w:t>
            </w:r>
          </w:p>
        </w:tc>
        <w:tc>
          <w:tcPr>
            <w:tcW w:w="1598" w:type="dxa"/>
            <w:vAlign w:val="center"/>
          </w:tcPr>
          <w:p w14:paraId="350DFBDF">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备选投标方案</w:t>
            </w:r>
          </w:p>
        </w:tc>
        <w:tc>
          <w:tcPr>
            <w:tcW w:w="7054" w:type="dxa"/>
            <w:vAlign w:val="center"/>
          </w:tcPr>
          <w:p w14:paraId="74846B75">
            <w:pPr>
              <w:shd w:val="clear"/>
              <w:autoSpaceDE w:val="0"/>
              <w:autoSpaceDN w:val="0"/>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不允许递交     □允许递交</w:t>
            </w:r>
          </w:p>
        </w:tc>
      </w:tr>
      <w:tr w14:paraId="7316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E332170">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22</w:t>
            </w:r>
          </w:p>
        </w:tc>
        <w:tc>
          <w:tcPr>
            <w:tcW w:w="1598" w:type="dxa"/>
            <w:vAlign w:val="center"/>
          </w:tcPr>
          <w:p w14:paraId="5A9677E3">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投标文件的份数</w:t>
            </w:r>
          </w:p>
        </w:tc>
        <w:tc>
          <w:tcPr>
            <w:tcW w:w="7054" w:type="dxa"/>
            <w:vAlign w:val="center"/>
          </w:tcPr>
          <w:p w14:paraId="59823421">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正本</w:t>
            </w:r>
            <w:r>
              <w:rPr>
                <w:rFonts w:hint="eastAsia" w:ascii="宋体" w:hAnsi="宋体" w:cs="宋体"/>
                <w:b/>
                <w:color w:val="auto"/>
                <w:kern w:val="0"/>
                <w:szCs w:val="21"/>
                <w:highlight w:val="none"/>
                <w:u w:val="single"/>
              </w:rPr>
              <w:t>1</w:t>
            </w:r>
            <w:r>
              <w:rPr>
                <w:rFonts w:hint="eastAsia" w:ascii="宋体" w:hAnsi="宋体" w:cs="宋体"/>
                <w:color w:val="auto"/>
                <w:kern w:val="0"/>
                <w:szCs w:val="21"/>
                <w:highlight w:val="none"/>
              </w:rPr>
              <w:t>份，副本</w:t>
            </w:r>
            <w:r>
              <w:rPr>
                <w:rFonts w:hint="eastAsia" w:ascii="宋体" w:hAnsi="宋体" w:cs="宋体"/>
                <w:b/>
                <w:color w:val="auto"/>
                <w:kern w:val="0"/>
                <w:szCs w:val="21"/>
                <w:highlight w:val="none"/>
                <w:u w:val="single"/>
              </w:rPr>
              <w:t>2</w:t>
            </w:r>
            <w:r>
              <w:rPr>
                <w:rFonts w:hint="eastAsia" w:ascii="宋体" w:hAnsi="宋体" w:cs="宋体"/>
                <w:color w:val="auto"/>
                <w:kern w:val="0"/>
                <w:szCs w:val="21"/>
                <w:highlight w:val="none"/>
              </w:rPr>
              <w:t>份</w:t>
            </w:r>
          </w:p>
        </w:tc>
      </w:tr>
      <w:tr w14:paraId="73AE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75315F9">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23</w:t>
            </w:r>
          </w:p>
        </w:tc>
        <w:tc>
          <w:tcPr>
            <w:tcW w:w="1598" w:type="dxa"/>
            <w:vAlign w:val="center"/>
          </w:tcPr>
          <w:p w14:paraId="597ED2CA">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投标截止时间</w:t>
            </w:r>
          </w:p>
        </w:tc>
        <w:tc>
          <w:tcPr>
            <w:tcW w:w="7054" w:type="dxa"/>
            <w:vAlign w:val="center"/>
          </w:tcPr>
          <w:p w14:paraId="71696759">
            <w:pPr>
              <w:shd w:val="clear"/>
              <w:adjustRightInd w:val="0"/>
              <w:snapToGrid w:val="0"/>
              <w:spacing w:line="360" w:lineRule="auto"/>
              <w:rPr>
                <w:rFonts w:hint="eastAsia" w:ascii="宋体" w:hAnsi="宋体" w:cs="宋体"/>
                <w:b/>
                <w:bCs/>
                <w:color w:val="auto"/>
                <w:kern w:val="0"/>
                <w:highlight w:val="none"/>
                <w:u w:val="none"/>
              </w:rPr>
            </w:pPr>
            <w:r>
              <w:rPr>
                <w:rFonts w:hint="eastAsia" w:ascii="宋体" w:hAnsi="宋体" w:cs="宋体"/>
                <w:b/>
                <w:bCs/>
                <w:color w:val="auto"/>
                <w:kern w:val="0"/>
                <w:highlight w:val="none"/>
                <w:u w:val="none"/>
              </w:rPr>
              <w:t>2026年04月09日09时15分</w:t>
            </w:r>
          </w:p>
        </w:tc>
      </w:tr>
      <w:tr w14:paraId="0020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DEDE871">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24</w:t>
            </w:r>
          </w:p>
        </w:tc>
        <w:tc>
          <w:tcPr>
            <w:tcW w:w="1598" w:type="dxa"/>
            <w:vAlign w:val="center"/>
          </w:tcPr>
          <w:p w14:paraId="7AFADC96">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递交投标文件地点</w:t>
            </w:r>
          </w:p>
        </w:tc>
        <w:tc>
          <w:tcPr>
            <w:tcW w:w="7054" w:type="dxa"/>
            <w:vAlign w:val="center"/>
          </w:tcPr>
          <w:p w14:paraId="04ED66C6">
            <w:pPr>
              <w:shd w:val="clear"/>
              <w:adjustRightInd w:val="0"/>
              <w:snapToGrid w:val="0"/>
              <w:spacing w:line="360" w:lineRule="auto"/>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提交地点：南通市崇川区城市工程建设管理中心404会议室（城港路56号3号楼，警务站楼上）</w:t>
            </w:r>
          </w:p>
          <w:p w14:paraId="228C6C35">
            <w:pPr>
              <w:shd w:val="clear"/>
              <w:adjustRightInd w:val="0"/>
              <w:snapToGrid w:val="0"/>
              <w:spacing w:line="360" w:lineRule="auto"/>
              <w:jc w:val="left"/>
              <w:rPr>
                <w:rFonts w:hint="eastAsia" w:ascii="宋体" w:hAnsi="宋体" w:cs="宋体"/>
                <w:b/>
                <w:color w:val="auto"/>
                <w:kern w:val="0"/>
                <w:highlight w:val="none"/>
              </w:rPr>
            </w:pPr>
            <w:r>
              <w:rPr>
                <w:rFonts w:hint="eastAsia" w:ascii="宋体" w:hAnsi="宋体" w:cs="宋体"/>
                <w:b/>
                <w:color w:val="auto"/>
                <w:kern w:val="0"/>
                <w:szCs w:val="21"/>
                <w:highlight w:val="none"/>
                <w:u w:val="single"/>
              </w:rPr>
              <w:t>特别提醒：投标人应充分考虑到道路施工对交通的不利影响，合理选择交通工具，提前到达投标地点。</w:t>
            </w:r>
          </w:p>
        </w:tc>
      </w:tr>
      <w:tr w14:paraId="5EF9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70D9D47">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25</w:t>
            </w:r>
          </w:p>
        </w:tc>
        <w:tc>
          <w:tcPr>
            <w:tcW w:w="1598" w:type="dxa"/>
            <w:vAlign w:val="center"/>
          </w:tcPr>
          <w:p w14:paraId="10579B64">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开标时间、地点</w:t>
            </w:r>
          </w:p>
        </w:tc>
        <w:tc>
          <w:tcPr>
            <w:tcW w:w="7054" w:type="dxa"/>
            <w:vAlign w:val="center"/>
          </w:tcPr>
          <w:p w14:paraId="0BF11117">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开标时间：同投标截止时间</w:t>
            </w:r>
          </w:p>
          <w:p w14:paraId="3A2956F4">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szCs w:val="21"/>
                <w:highlight w:val="none"/>
              </w:rPr>
              <w:t>开标地点：同递交投标文件地点</w:t>
            </w:r>
          </w:p>
        </w:tc>
      </w:tr>
      <w:tr w14:paraId="2347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979971A">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26</w:t>
            </w:r>
          </w:p>
        </w:tc>
        <w:tc>
          <w:tcPr>
            <w:tcW w:w="1598" w:type="dxa"/>
            <w:vAlign w:val="center"/>
          </w:tcPr>
          <w:p w14:paraId="38A67CEA">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是否授权评标委员会确定中标人</w:t>
            </w:r>
          </w:p>
        </w:tc>
        <w:tc>
          <w:tcPr>
            <w:tcW w:w="7054" w:type="dxa"/>
            <w:vAlign w:val="center"/>
          </w:tcPr>
          <w:p w14:paraId="6612E6E3">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□是</w:t>
            </w:r>
          </w:p>
          <w:p w14:paraId="7E30700C">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szCs w:val="21"/>
                <w:highlight w:val="none"/>
              </w:rPr>
              <w:t>否 ，推荐的中标候选人数：</w:t>
            </w:r>
            <w:r>
              <w:rPr>
                <w:rFonts w:hint="eastAsia" w:ascii="宋体" w:hAnsi="宋体" w:cs="宋体"/>
                <w:color w:val="auto"/>
                <w:kern w:val="0"/>
                <w:szCs w:val="21"/>
                <w:highlight w:val="none"/>
                <w:u w:val="single"/>
              </w:rPr>
              <w:t xml:space="preserve"> 3</w:t>
            </w:r>
          </w:p>
        </w:tc>
      </w:tr>
      <w:tr w14:paraId="4DA8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07C1DAA7">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27</w:t>
            </w:r>
          </w:p>
        </w:tc>
        <w:tc>
          <w:tcPr>
            <w:tcW w:w="1598" w:type="dxa"/>
            <w:vAlign w:val="center"/>
          </w:tcPr>
          <w:p w14:paraId="32EDF343">
            <w:pPr>
              <w:shd w:val="clear"/>
              <w:adjustRightInd w:val="0"/>
              <w:snapToGrid w:val="0"/>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履约保证金</w:t>
            </w:r>
          </w:p>
        </w:tc>
        <w:tc>
          <w:tcPr>
            <w:tcW w:w="7054" w:type="dxa"/>
            <w:vAlign w:val="center"/>
          </w:tcPr>
          <w:p w14:paraId="6D9A2CD3">
            <w:pPr>
              <w:shd w:val="clear"/>
              <w:adjustRightInd w:val="0"/>
              <w:snapToGrid w:val="0"/>
              <w:spacing w:line="360" w:lineRule="auto"/>
              <w:rPr>
                <w:rFonts w:hint="default" w:ascii="宋体" w:hAnsi="宋体" w:eastAsia="宋体" w:cs="宋体"/>
                <w:b/>
                <w:bCs/>
                <w:color w:val="auto"/>
                <w:kern w:val="0"/>
                <w:szCs w:val="21"/>
                <w:highlight w:val="none"/>
                <w:u w:val="single"/>
                <w:lang w:val="en-US" w:eastAsia="zh-CN"/>
              </w:rPr>
            </w:pPr>
            <w:r>
              <w:rPr>
                <w:rFonts w:hint="eastAsia" w:ascii="宋体" w:hAnsi="宋体" w:cs="宋体"/>
                <w:color w:val="auto"/>
                <w:kern w:val="0"/>
                <w:szCs w:val="21"/>
                <w:highlight w:val="none"/>
              </w:rPr>
              <w:t>履约保证金数额：</w:t>
            </w:r>
            <w:r>
              <w:rPr>
                <w:rFonts w:hint="eastAsia" w:ascii="宋体" w:hAnsi="宋体" w:cs="宋体"/>
                <w:b/>
                <w:bCs/>
                <w:color w:val="auto"/>
                <w:kern w:val="0"/>
                <w:szCs w:val="21"/>
                <w:highlight w:val="none"/>
                <w:u w:val="single"/>
                <w:lang w:val="en-US" w:eastAsia="zh-CN"/>
              </w:rPr>
              <w:t>1.5万元</w:t>
            </w:r>
          </w:p>
          <w:p w14:paraId="4EB69289">
            <w:pPr>
              <w:shd w:val="clear"/>
              <w:adjustRightInd w:val="0"/>
              <w:snapToGrid w:val="0"/>
              <w:spacing w:line="360" w:lineRule="auto"/>
              <w:rPr>
                <w:rFonts w:hint="eastAsia" w:ascii="宋体" w:hAnsi="宋体" w:eastAsia="宋体" w:cs="宋体"/>
                <w:b/>
                <w:color w:val="auto"/>
                <w:kern w:val="0"/>
                <w:szCs w:val="21"/>
                <w:highlight w:val="none"/>
                <w:lang w:eastAsia="zh-CN"/>
              </w:rPr>
            </w:pPr>
            <w:r>
              <w:rPr>
                <w:rFonts w:hint="eastAsia" w:ascii="宋体" w:hAnsi="宋体" w:cs="宋体"/>
                <w:color w:val="auto"/>
                <w:kern w:val="0"/>
                <w:szCs w:val="21"/>
                <w:highlight w:val="none"/>
              </w:rPr>
              <w:t>履约保证金形式：</w:t>
            </w:r>
            <w:r>
              <w:rPr>
                <w:rFonts w:hint="eastAsia" w:ascii="宋体" w:hAnsi="宋体" w:cs="宋体"/>
                <w:b/>
                <w:color w:val="auto"/>
                <w:kern w:val="0"/>
                <w:szCs w:val="21"/>
                <w:highlight w:val="none"/>
              </w:rPr>
              <w:t>银行转账或</w:t>
            </w:r>
            <w:r>
              <w:rPr>
                <w:rFonts w:hint="eastAsia" w:ascii="宋体" w:hAnsi="宋体" w:cs="宋体"/>
                <w:b/>
                <w:color w:val="auto"/>
                <w:kern w:val="0"/>
                <w:szCs w:val="21"/>
                <w:highlight w:val="none"/>
                <w:lang w:val="en-US" w:eastAsia="zh-CN"/>
              </w:rPr>
              <w:t>银行</w:t>
            </w:r>
            <w:r>
              <w:rPr>
                <w:rFonts w:hint="eastAsia" w:ascii="宋体" w:hAnsi="宋体" w:cs="宋体"/>
                <w:b/>
                <w:color w:val="auto"/>
                <w:kern w:val="0"/>
                <w:szCs w:val="21"/>
                <w:highlight w:val="none"/>
              </w:rPr>
              <w:t>保函</w:t>
            </w:r>
            <w:r>
              <w:rPr>
                <w:rFonts w:hint="eastAsia" w:ascii="宋体" w:hAnsi="宋体" w:cs="宋体"/>
                <w:b/>
                <w:color w:val="auto"/>
                <w:kern w:val="0"/>
                <w:szCs w:val="21"/>
                <w:highlight w:val="none"/>
                <w:lang w:val="en-US" w:eastAsia="zh-CN"/>
              </w:rPr>
              <w:t xml:space="preserve"> </w:t>
            </w:r>
          </w:p>
          <w:p w14:paraId="4D208396">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账号：107070010402888820730020000</w:t>
            </w:r>
          </w:p>
          <w:p w14:paraId="7364E7F5">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户名：南通市崇川区城市工程建设管理中心</w:t>
            </w:r>
          </w:p>
          <w:p w14:paraId="01239360">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开户行：中国农业银行南通分行营业部</w:t>
            </w:r>
          </w:p>
          <w:p w14:paraId="4CD9769B">
            <w:pPr>
              <w:shd w:val="clear"/>
              <w:adjustRightInd w:val="0"/>
              <w:snapToGrid w:val="0"/>
              <w:spacing w:line="360" w:lineRule="auto"/>
              <w:rPr>
                <w:rFonts w:hint="eastAsia" w:ascii="宋体" w:hAnsi="宋体" w:cs="宋体"/>
                <w:color w:val="auto"/>
                <w:kern w:val="0"/>
                <w:highlight w:val="none"/>
              </w:rPr>
            </w:pPr>
            <w:r>
              <w:rPr>
                <w:rFonts w:hint="eastAsia" w:ascii="宋体" w:hAnsi="宋体" w:cs="宋体"/>
                <w:color w:val="auto"/>
                <w:kern w:val="0"/>
                <w:szCs w:val="21"/>
                <w:highlight w:val="none"/>
              </w:rPr>
              <w:t>中标人需在中标通知书发出后 30 日内，合同签订前向招标人足额提交履约保证金，逾期视作放弃中标。</w:t>
            </w:r>
          </w:p>
        </w:tc>
      </w:tr>
    </w:tbl>
    <w:p w14:paraId="41883BD8">
      <w:pPr>
        <w:pStyle w:val="3"/>
        <w:keepNext w:val="0"/>
        <w:keepLines w:val="0"/>
        <w:shd w:val="clear"/>
        <w:spacing w:line="360" w:lineRule="auto"/>
        <w:rPr>
          <w:rFonts w:hint="eastAsia" w:ascii="宋体" w:hAnsi="宋体" w:eastAsia="宋体" w:cs="宋体"/>
          <w:b/>
          <w:color w:val="auto"/>
          <w:sz w:val="30"/>
          <w:highlight w:val="none"/>
        </w:rPr>
        <w:sectPr>
          <w:headerReference r:id="rId3" w:type="default"/>
          <w:footerReference r:id="rId4" w:type="default"/>
          <w:pgSz w:w="11906" w:h="16838"/>
          <w:pgMar w:top="1417" w:right="1701" w:bottom="1417" w:left="1701" w:header="851" w:footer="992" w:gutter="0"/>
          <w:pgNumType w:start="1"/>
          <w:cols w:space="0" w:num="1"/>
          <w:docGrid w:type="lines" w:linePitch="312" w:charSpace="0"/>
        </w:sectPr>
      </w:pPr>
      <w:bookmarkStart w:id="22" w:name="_Toc4486232"/>
    </w:p>
    <w:p w14:paraId="226C9853">
      <w:pPr>
        <w:pStyle w:val="3"/>
        <w:keepNext w:val="0"/>
        <w:keepLines w:val="0"/>
        <w:shd w:val="clear"/>
        <w:spacing w:line="360" w:lineRule="auto"/>
        <w:jc w:val="center"/>
        <w:rPr>
          <w:rFonts w:hint="eastAsia" w:ascii="宋体" w:hAnsi="宋体" w:eastAsia="宋体" w:cs="宋体"/>
          <w:b/>
          <w:color w:val="auto"/>
          <w:sz w:val="30"/>
          <w:highlight w:val="none"/>
        </w:rPr>
      </w:pPr>
      <w:bookmarkStart w:id="23" w:name="_Toc112768309"/>
      <w:bookmarkStart w:id="24" w:name="_Toc32715"/>
      <w:r>
        <w:rPr>
          <w:rFonts w:hint="eastAsia" w:ascii="宋体" w:hAnsi="宋体" w:eastAsia="宋体" w:cs="宋体"/>
          <w:b/>
          <w:color w:val="auto"/>
          <w:sz w:val="30"/>
          <w:highlight w:val="none"/>
        </w:rPr>
        <w:t>投标须知</w:t>
      </w:r>
      <w:bookmarkEnd w:id="22"/>
      <w:bookmarkEnd w:id="23"/>
      <w:bookmarkEnd w:id="24"/>
    </w:p>
    <w:p w14:paraId="3B1C6D3D">
      <w:pPr>
        <w:pStyle w:val="3"/>
        <w:keepNext w:val="0"/>
        <w:keepLines w:val="0"/>
        <w:shd w:val="clear"/>
        <w:spacing w:before="0" w:after="0" w:line="360" w:lineRule="auto"/>
        <w:rPr>
          <w:rFonts w:hint="eastAsia" w:ascii="宋体" w:hAnsi="宋体" w:eastAsia="宋体" w:cs="宋体"/>
          <w:b/>
          <w:color w:val="auto"/>
          <w:sz w:val="21"/>
          <w:szCs w:val="21"/>
          <w:highlight w:val="none"/>
        </w:rPr>
      </w:pPr>
      <w:bookmarkStart w:id="25" w:name="_Toc9194541"/>
      <w:bookmarkStart w:id="26" w:name="_Toc398107837"/>
      <w:bookmarkStart w:id="27" w:name="_Toc112768310"/>
      <w:bookmarkStart w:id="28" w:name="_Toc18247"/>
      <w:r>
        <w:rPr>
          <w:rFonts w:hint="eastAsia" w:ascii="宋体" w:hAnsi="宋体" w:eastAsia="宋体" w:cs="宋体"/>
          <w:b/>
          <w:color w:val="auto"/>
          <w:sz w:val="21"/>
          <w:szCs w:val="21"/>
          <w:highlight w:val="none"/>
        </w:rPr>
        <w:t>1 总则</w:t>
      </w:r>
      <w:bookmarkEnd w:id="25"/>
      <w:bookmarkEnd w:id="26"/>
      <w:bookmarkEnd w:id="27"/>
      <w:bookmarkEnd w:id="28"/>
      <w:r>
        <w:rPr>
          <w:rFonts w:hint="eastAsia" w:ascii="宋体" w:hAnsi="宋体" w:eastAsia="宋体" w:cs="宋体"/>
          <w:b/>
          <w:color w:val="auto"/>
          <w:sz w:val="21"/>
          <w:szCs w:val="21"/>
          <w:highlight w:val="none"/>
        </w:rPr>
        <w:tab/>
      </w:r>
    </w:p>
    <w:p w14:paraId="4C9782C5">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29" w:name="_Toc398107838"/>
      <w:bookmarkStart w:id="30" w:name="_Toc9194542"/>
      <w:bookmarkStart w:id="31" w:name="_Toc12025"/>
      <w:bookmarkStart w:id="32" w:name="_Toc112768311"/>
      <w:r>
        <w:rPr>
          <w:rFonts w:hint="eastAsia" w:ascii="宋体" w:hAnsi="宋体" w:eastAsia="宋体" w:cs="宋体"/>
          <w:color w:val="auto"/>
          <w:sz w:val="21"/>
          <w:szCs w:val="21"/>
          <w:highlight w:val="none"/>
        </w:rPr>
        <w:t>1.1 项目概况</w:t>
      </w:r>
      <w:bookmarkEnd w:id="29"/>
      <w:bookmarkEnd w:id="30"/>
      <w:bookmarkEnd w:id="31"/>
      <w:bookmarkEnd w:id="32"/>
    </w:p>
    <w:p w14:paraId="6B808F96">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 根据《中华人民共和国招标投标法》、《中华人民共和国招标投标法实施条例》等有关法律、法规和规章的规定，本招标项目已具备招标条件，现对本标段监理及相关服务进行招标。</w:t>
      </w:r>
    </w:p>
    <w:p w14:paraId="3E116D65">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1.1.2 本招标项目招标人：见投标人须知前附表。</w:t>
      </w:r>
    </w:p>
    <w:p w14:paraId="3D9E97EE">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 本招标代理机构：见投标人须知前附表。</w:t>
      </w:r>
    </w:p>
    <w:p w14:paraId="08374FF2">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1.1.4 本招标项目名称：见投标人须知前附表。</w:t>
      </w:r>
    </w:p>
    <w:p w14:paraId="4D029928">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1.1.5 本标段建设地点：见投标人须知前附表。</w:t>
      </w:r>
    </w:p>
    <w:p w14:paraId="77BA6DBE">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33" w:name="_Toc112768312"/>
      <w:bookmarkStart w:id="34" w:name="_Toc398107839"/>
      <w:bookmarkStart w:id="35" w:name="_Toc9194543"/>
      <w:bookmarkStart w:id="36" w:name="_Toc16542"/>
      <w:r>
        <w:rPr>
          <w:rFonts w:hint="eastAsia" w:ascii="宋体" w:hAnsi="宋体" w:eastAsia="宋体" w:cs="宋体"/>
          <w:color w:val="auto"/>
          <w:sz w:val="21"/>
          <w:szCs w:val="21"/>
          <w:highlight w:val="none"/>
        </w:rPr>
        <w:t>1.2 资金来源和落实情况</w:t>
      </w:r>
      <w:bookmarkEnd w:id="33"/>
      <w:bookmarkEnd w:id="34"/>
      <w:bookmarkEnd w:id="35"/>
      <w:bookmarkEnd w:id="36"/>
    </w:p>
    <w:p w14:paraId="46110689">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1.2.1 本招标项目的资金来源：见投标人须知前附表。</w:t>
      </w:r>
    </w:p>
    <w:p w14:paraId="1634A0FF">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1.2.2 本招标项目的出资比例：见投标人须知前附表。</w:t>
      </w:r>
    </w:p>
    <w:p w14:paraId="7C110756">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1.2.3 本招标项目的资金落实情况：见投标人须知前附表。</w:t>
      </w:r>
    </w:p>
    <w:p w14:paraId="345370FE">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37" w:name="_Toc9194544"/>
      <w:bookmarkStart w:id="38" w:name="_Toc26606"/>
      <w:bookmarkStart w:id="39" w:name="_Toc398107840"/>
      <w:bookmarkStart w:id="40" w:name="_Toc112768313"/>
      <w:r>
        <w:rPr>
          <w:rFonts w:hint="eastAsia" w:ascii="宋体" w:hAnsi="宋体" w:eastAsia="宋体" w:cs="宋体"/>
          <w:color w:val="auto"/>
          <w:sz w:val="21"/>
          <w:szCs w:val="21"/>
          <w:highlight w:val="none"/>
        </w:rPr>
        <w:t>1.3 招标范围、监理服务期限及质量要求</w:t>
      </w:r>
      <w:bookmarkEnd w:id="37"/>
      <w:bookmarkEnd w:id="38"/>
      <w:bookmarkEnd w:id="39"/>
      <w:bookmarkEnd w:id="40"/>
    </w:p>
    <w:p w14:paraId="002298C5">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1.3.1 本次招标范围：见投标人须知前附表。</w:t>
      </w:r>
    </w:p>
    <w:p w14:paraId="4A4B5E89">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1.3.2 本标段的监理服务期限：见投标人须知前附表。</w:t>
      </w:r>
    </w:p>
    <w:p w14:paraId="4876849D">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1.3.3 本标段的质量要求：见投标人须知前附表。</w:t>
      </w:r>
    </w:p>
    <w:p w14:paraId="05CA50E8">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41" w:name="_Toc112768314"/>
      <w:bookmarkStart w:id="42" w:name="_Toc398107841"/>
      <w:bookmarkStart w:id="43" w:name="_Toc31217"/>
      <w:bookmarkStart w:id="44" w:name="_Toc9194545"/>
      <w:r>
        <w:rPr>
          <w:rFonts w:hint="eastAsia" w:ascii="宋体" w:hAnsi="宋体" w:eastAsia="宋体" w:cs="宋体"/>
          <w:color w:val="auto"/>
          <w:sz w:val="21"/>
          <w:szCs w:val="21"/>
          <w:highlight w:val="none"/>
        </w:rPr>
        <w:t>1.4 投标人资格要求</w:t>
      </w:r>
      <w:bookmarkEnd w:id="41"/>
      <w:bookmarkEnd w:id="42"/>
      <w:bookmarkEnd w:id="43"/>
      <w:bookmarkEnd w:id="44"/>
    </w:p>
    <w:p w14:paraId="3D8E8DE7">
      <w:pPr>
        <w:shd w:val="clear"/>
        <w:autoSpaceDE w:val="0"/>
        <w:autoSpaceDN w:val="0"/>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rPr>
        <w:t>1.4.1</w:t>
      </w:r>
      <w:r>
        <w:rPr>
          <w:rFonts w:hint="eastAsia" w:ascii="宋体" w:hAnsi="宋体" w:cs="宋体"/>
          <w:b/>
          <w:bCs/>
          <w:color w:val="auto"/>
          <w:kern w:val="0"/>
          <w:szCs w:val="21"/>
          <w:highlight w:val="none"/>
        </w:rPr>
        <w:t>申请人资质类别和等级：必须具有行政管理部门核发的有效企业法人营业执照并满足下列条件之一：①建设部核发的工程监理综合资质；②具备市政公用工程监理丙级及以上资质；</w:t>
      </w:r>
    </w:p>
    <w:p w14:paraId="20E6A48C">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1.4.2</w:t>
      </w:r>
      <w:r>
        <w:rPr>
          <w:rFonts w:hint="eastAsia" w:ascii="宋体" w:hAnsi="宋体" w:cs="宋体"/>
          <w:b/>
          <w:bCs/>
          <w:color w:val="auto"/>
          <w:kern w:val="0"/>
          <w:szCs w:val="21"/>
          <w:highlight w:val="none"/>
        </w:rPr>
        <w:t>监理机构人员配备要求</w:t>
      </w:r>
      <w:r>
        <w:rPr>
          <w:rFonts w:hint="eastAsia" w:ascii="宋体" w:hAnsi="宋体" w:cs="宋体"/>
          <w:color w:val="auto"/>
          <w:kern w:val="0"/>
          <w:szCs w:val="21"/>
          <w:highlight w:val="none"/>
        </w:rPr>
        <w:t>：</w:t>
      </w:r>
    </w:p>
    <w:p w14:paraId="4B43493A">
      <w:pPr>
        <w:shd w:val="clear"/>
        <w:spacing w:line="360" w:lineRule="auto"/>
        <w:ind w:firstLine="382" w:firstLineChars="182"/>
        <w:rPr>
          <w:rFonts w:hint="eastAsia" w:ascii="宋体" w:hAnsi="宋体" w:cs="宋体"/>
          <w:color w:val="auto"/>
          <w:kern w:val="0"/>
          <w:szCs w:val="21"/>
          <w:highlight w:val="none"/>
        </w:rPr>
      </w:pPr>
      <w:r>
        <w:rPr>
          <w:rFonts w:hint="eastAsia" w:ascii="宋体" w:hAnsi="宋体" w:cs="宋体"/>
          <w:color w:val="auto"/>
          <w:kern w:val="0"/>
          <w:szCs w:val="21"/>
          <w:highlight w:val="none"/>
        </w:rPr>
        <w:t>拟选派本项目总监理工程师及专业监理人员最低配备要求（拟派所有监理人员必须身体健康，男性年龄不得超过60周岁，女性年龄不得超过55周岁）：</w:t>
      </w:r>
    </w:p>
    <w:tbl>
      <w:tblPr>
        <w:tblStyle w:val="29"/>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6"/>
        <w:gridCol w:w="1712"/>
        <w:gridCol w:w="4760"/>
      </w:tblGrid>
      <w:tr w14:paraId="097E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106" w:type="dxa"/>
            <w:shd w:val="clear" w:color="auto" w:fill="DCE6F2" w:themeFill="accent1" w:themeFillTint="32"/>
            <w:vAlign w:val="center"/>
          </w:tcPr>
          <w:p w14:paraId="6F5D230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岗位</w:t>
            </w:r>
          </w:p>
        </w:tc>
        <w:tc>
          <w:tcPr>
            <w:tcW w:w="1712" w:type="dxa"/>
            <w:shd w:val="clear" w:color="auto" w:fill="DCE6F2" w:themeFill="accent1" w:themeFillTint="32"/>
            <w:vAlign w:val="center"/>
          </w:tcPr>
          <w:p w14:paraId="63152E5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人员要求</w:t>
            </w:r>
          </w:p>
        </w:tc>
        <w:tc>
          <w:tcPr>
            <w:tcW w:w="4760" w:type="dxa"/>
            <w:shd w:val="clear" w:color="auto" w:fill="DCE6F2" w:themeFill="accent1" w:themeFillTint="32"/>
            <w:vAlign w:val="center"/>
          </w:tcPr>
          <w:p w14:paraId="3E9F8A0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持证上岗要求</w:t>
            </w:r>
          </w:p>
        </w:tc>
      </w:tr>
      <w:tr w14:paraId="06FE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2106" w:type="dxa"/>
            <w:vAlign w:val="center"/>
          </w:tcPr>
          <w:p w14:paraId="4ED1FBE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w:t>
            </w:r>
          </w:p>
        </w:tc>
        <w:tc>
          <w:tcPr>
            <w:tcW w:w="1712" w:type="dxa"/>
            <w:vAlign w:val="center"/>
          </w:tcPr>
          <w:p w14:paraId="68B9C10E">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1名</w:t>
            </w:r>
          </w:p>
        </w:tc>
        <w:tc>
          <w:tcPr>
            <w:tcW w:w="4760" w:type="dxa"/>
            <w:vAlign w:val="center"/>
          </w:tcPr>
          <w:p w14:paraId="393024C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国家注册监理工程师，注册专业为</w:t>
            </w:r>
            <w:r>
              <w:rPr>
                <w:rFonts w:hint="eastAsia" w:ascii="宋体" w:hAnsi="宋体" w:cs="宋体"/>
                <w:b/>
                <w:bCs/>
                <w:color w:val="auto"/>
                <w:kern w:val="0"/>
                <w:szCs w:val="21"/>
                <w:highlight w:val="none"/>
                <w:u w:val="single"/>
                <w:shd w:val="clear" w:color="auto" w:fill="FFFFFF"/>
              </w:rPr>
              <w:t>市政公用工程专业</w:t>
            </w:r>
            <w:r>
              <w:rPr>
                <w:rFonts w:hint="eastAsia" w:ascii="宋体" w:hAnsi="宋体" w:cs="宋体"/>
                <w:color w:val="auto"/>
                <w:kern w:val="0"/>
                <w:szCs w:val="21"/>
                <w:highlight w:val="none"/>
              </w:rPr>
              <w:t>。拟派总监不得为企业法定代表人或董事长。</w:t>
            </w:r>
          </w:p>
        </w:tc>
      </w:tr>
      <w:tr w14:paraId="39B5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2106" w:type="dxa"/>
            <w:vAlign w:val="center"/>
          </w:tcPr>
          <w:p w14:paraId="7B9D048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专业监理工程师</w:t>
            </w:r>
          </w:p>
        </w:tc>
        <w:tc>
          <w:tcPr>
            <w:tcW w:w="1712" w:type="dxa"/>
            <w:vAlign w:val="center"/>
          </w:tcPr>
          <w:p w14:paraId="51C4CB99">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1名</w:t>
            </w:r>
          </w:p>
        </w:tc>
        <w:tc>
          <w:tcPr>
            <w:tcW w:w="4760" w:type="dxa"/>
            <w:vAlign w:val="center"/>
          </w:tcPr>
          <w:p w14:paraId="05C38AE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国家注册或江苏省监理工程师或具有专业监理工程师业务培训合格证，专业类别：市政公用工程专业。</w:t>
            </w:r>
          </w:p>
        </w:tc>
      </w:tr>
      <w:tr w14:paraId="0B76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2106" w:type="dxa"/>
            <w:vAlign w:val="center"/>
          </w:tcPr>
          <w:p w14:paraId="75ABA51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监理员</w:t>
            </w:r>
          </w:p>
        </w:tc>
        <w:tc>
          <w:tcPr>
            <w:tcW w:w="1712" w:type="dxa"/>
            <w:vAlign w:val="center"/>
          </w:tcPr>
          <w:p w14:paraId="54EA07E0">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1</w:t>
            </w:r>
            <w:r>
              <w:rPr>
                <w:rFonts w:hint="eastAsia" w:ascii="宋体" w:hAnsi="宋体" w:cs="宋体"/>
                <w:b/>
                <w:color w:val="auto"/>
                <w:kern w:val="0"/>
                <w:szCs w:val="21"/>
                <w:highlight w:val="none"/>
              </w:rPr>
              <w:t>名</w:t>
            </w:r>
          </w:p>
        </w:tc>
        <w:tc>
          <w:tcPr>
            <w:tcW w:w="4760" w:type="dxa"/>
            <w:vAlign w:val="center"/>
          </w:tcPr>
          <w:p w14:paraId="313CFB03">
            <w:pPr>
              <w:shd w:val="clear"/>
              <w:autoSpaceDN w:val="0"/>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江苏省监理员及以上资格或监理员业务培训合格证，专业类别：市政公用工程专业。</w:t>
            </w:r>
          </w:p>
        </w:tc>
      </w:tr>
      <w:tr w14:paraId="218F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2106" w:type="dxa"/>
            <w:vAlign w:val="center"/>
          </w:tcPr>
          <w:p w14:paraId="581BF20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1712" w:type="dxa"/>
            <w:vAlign w:val="center"/>
          </w:tcPr>
          <w:p w14:paraId="43220FA7">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名</w:t>
            </w:r>
          </w:p>
        </w:tc>
        <w:tc>
          <w:tcPr>
            <w:tcW w:w="4760" w:type="dxa"/>
            <w:vAlign w:val="center"/>
          </w:tcPr>
          <w:p w14:paraId="0CBF4A3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以上人员需至少一人有《工程质量检测见证取样人员岗位证书》，如没有，则需另增加1名见证取样人员）。</w:t>
            </w:r>
          </w:p>
        </w:tc>
      </w:tr>
    </w:tbl>
    <w:p w14:paraId="625693FF">
      <w:pPr>
        <w:shd w:val="clear"/>
        <w:autoSpaceDE w:val="0"/>
        <w:autoSpaceDN w:val="0"/>
        <w:adjustRightInd w:val="0"/>
        <w:spacing w:line="360" w:lineRule="auto"/>
        <w:ind w:firstLine="465"/>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以上人员配备为最低限度要求，监理单位必须按招标人要求适时配备相应监理人员，并确保人员到位，否则将按照合同相关处罚条例予以处罚。</w:t>
      </w:r>
      <w:r>
        <w:rPr>
          <w:rFonts w:hint="eastAsia" w:ascii="宋体" w:hAnsi="宋体" w:cs="宋体"/>
          <w:b/>
          <w:color w:val="auto"/>
          <w:kern w:val="0"/>
          <w:szCs w:val="21"/>
          <w:highlight w:val="none"/>
        </w:rPr>
        <w:t>中标后，上述所有人员配置不得随意更换，确需更换须经建设单位或相关主管部门认可后，方可变更。</w:t>
      </w:r>
    </w:p>
    <w:p w14:paraId="2E787814">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w:t>
      </w:r>
      <w:r>
        <w:rPr>
          <w:rFonts w:hint="eastAsia" w:ascii="宋体" w:hAnsi="宋体" w:cs="宋体"/>
          <w:b/>
          <w:bCs/>
          <w:color w:val="auto"/>
          <w:kern w:val="0"/>
          <w:szCs w:val="21"/>
          <w:highlight w:val="none"/>
        </w:rPr>
        <w:t>证书上未注明专业的，以毕业证书所学专业或职称证专业为准。</w:t>
      </w:r>
    </w:p>
    <w:p w14:paraId="5EA353F5">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p>
    <w:p w14:paraId="3AD8BCCA">
      <w:pPr>
        <w:shd w:val="clear"/>
        <w:autoSpaceDE w:val="0"/>
        <w:autoSpaceDN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1.4.3本工程不接受联合体投标。</w:t>
      </w:r>
    </w:p>
    <w:p w14:paraId="27CF629B">
      <w:pPr>
        <w:shd w:val="clear"/>
        <w:autoSpaceDE w:val="0"/>
        <w:autoSpaceDN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1.4.4其他详见招标公告。</w:t>
      </w:r>
    </w:p>
    <w:p w14:paraId="5A06AA40">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45" w:name="_Toc398107842"/>
      <w:bookmarkStart w:id="46" w:name="_Toc9194546"/>
      <w:bookmarkStart w:id="47" w:name="_Toc112768315"/>
      <w:bookmarkStart w:id="48" w:name="_Toc5634"/>
      <w:r>
        <w:rPr>
          <w:rFonts w:hint="eastAsia" w:ascii="宋体" w:hAnsi="宋体" w:eastAsia="宋体" w:cs="宋体"/>
          <w:color w:val="auto"/>
          <w:sz w:val="21"/>
          <w:szCs w:val="21"/>
          <w:highlight w:val="none"/>
        </w:rPr>
        <w:t>1.5 费用承担</w:t>
      </w:r>
      <w:bookmarkEnd w:id="45"/>
      <w:bookmarkEnd w:id="46"/>
      <w:bookmarkEnd w:id="47"/>
      <w:bookmarkEnd w:id="48"/>
    </w:p>
    <w:p w14:paraId="4CBE4033">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投标人在提交投标文件的同时提交</w:t>
      </w:r>
      <w:r>
        <w:rPr>
          <w:rFonts w:hint="eastAsia" w:ascii="宋体" w:hAnsi="宋体" w:cs="宋体"/>
          <w:b/>
          <w:color w:val="auto"/>
          <w:kern w:val="0"/>
          <w:szCs w:val="21"/>
          <w:highlight w:val="none"/>
        </w:rPr>
        <w:t>300元</w:t>
      </w:r>
      <w:r>
        <w:rPr>
          <w:rFonts w:hint="eastAsia" w:ascii="宋体" w:hAnsi="宋体" w:cs="宋体"/>
          <w:color w:val="auto"/>
          <w:kern w:val="0"/>
          <w:szCs w:val="21"/>
          <w:highlight w:val="none"/>
        </w:rPr>
        <w:t>招标文件相关费用，无论是否中标，该费用不予退还。</w:t>
      </w:r>
    </w:p>
    <w:p w14:paraId="39B1D465">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投标人应承担其编制投标文件以及递交投标文件所涉及的一切费用。无论投标结果如何，招标人对上述费用不负任何责任。</w:t>
      </w:r>
    </w:p>
    <w:p w14:paraId="762E07CC">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49" w:name="_Toc398107843"/>
      <w:bookmarkStart w:id="50" w:name="_Toc112768316"/>
      <w:bookmarkStart w:id="51" w:name="_Toc9194547"/>
      <w:bookmarkStart w:id="52" w:name="_Toc19887"/>
      <w:r>
        <w:rPr>
          <w:rFonts w:hint="eastAsia" w:ascii="宋体" w:hAnsi="宋体" w:eastAsia="宋体" w:cs="宋体"/>
          <w:color w:val="auto"/>
          <w:sz w:val="21"/>
          <w:szCs w:val="21"/>
          <w:highlight w:val="none"/>
        </w:rPr>
        <w:t>1.6 保密</w:t>
      </w:r>
      <w:bookmarkEnd w:id="49"/>
      <w:bookmarkEnd w:id="50"/>
      <w:bookmarkEnd w:id="51"/>
      <w:bookmarkEnd w:id="52"/>
    </w:p>
    <w:p w14:paraId="5EEE0688">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参与招标投标活动的各方应对招标文件和投标文件中的商业和技术等秘密保密，违者应对由此造成的后果承担法律责任。</w:t>
      </w:r>
    </w:p>
    <w:p w14:paraId="6C7D7F1F">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53" w:name="_Toc112768317"/>
      <w:bookmarkStart w:id="54" w:name="_Toc15481"/>
      <w:bookmarkStart w:id="55" w:name="_Toc9194548"/>
      <w:bookmarkStart w:id="56" w:name="_Toc398107844"/>
      <w:r>
        <w:rPr>
          <w:rFonts w:hint="eastAsia" w:ascii="宋体" w:hAnsi="宋体" w:eastAsia="宋体" w:cs="宋体"/>
          <w:color w:val="auto"/>
          <w:sz w:val="21"/>
          <w:szCs w:val="21"/>
          <w:highlight w:val="none"/>
        </w:rPr>
        <w:t>1.7 语言文字</w:t>
      </w:r>
      <w:bookmarkEnd w:id="53"/>
      <w:bookmarkEnd w:id="54"/>
      <w:bookmarkEnd w:id="55"/>
      <w:bookmarkEnd w:id="56"/>
    </w:p>
    <w:p w14:paraId="2582C1CC">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除专用术语外，与招标投标有关的语言均使用简体中文。必要时专用术语应附有中文注释。</w:t>
      </w:r>
    </w:p>
    <w:p w14:paraId="24517A90">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57" w:name="_Toc398107845"/>
      <w:bookmarkStart w:id="58" w:name="_Toc16984"/>
      <w:bookmarkStart w:id="59" w:name="_Toc9194549"/>
      <w:bookmarkStart w:id="60" w:name="_Toc112768318"/>
      <w:r>
        <w:rPr>
          <w:rFonts w:hint="eastAsia" w:ascii="宋体" w:hAnsi="宋体" w:eastAsia="宋体" w:cs="宋体"/>
          <w:color w:val="auto"/>
          <w:sz w:val="21"/>
          <w:szCs w:val="21"/>
          <w:highlight w:val="none"/>
        </w:rPr>
        <w:t>1.8 计量单位</w:t>
      </w:r>
      <w:bookmarkEnd w:id="57"/>
      <w:bookmarkEnd w:id="58"/>
      <w:bookmarkEnd w:id="59"/>
      <w:bookmarkEnd w:id="60"/>
    </w:p>
    <w:p w14:paraId="64D7BCC7">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所有计量均采用中华人民共和国法定计量单位。</w:t>
      </w:r>
    </w:p>
    <w:p w14:paraId="43720FA9">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61" w:name="_Toc112768319"/>
      <w:bookmarkStart w:id="62" w:name="_Toc9194550"/>
      <w:bookmarkStart w:id="63" w:name="_Toc16119"/>
      <w:bookmarkStart w:id="64" w:name="_Toc398107846"/>
      <w:r>
        <w:rPr>
          <w:rFonts w:hint="eastAsia" w:ascii="宋体" w:hAnsi="宋体" w:eastAsia="宋体" w:cs="宋体"/>
          <w:color w:val="auto"/>
          <w:sz w:val="21"/>
          <w:szCs w:val="21"/>
          <w:highlight w:val="none"/>
        </w:rPr>
        <w:t>1.6 踏勘现场</w:t>
      </w:r>
      <w:bookmarkEnd w:id="61"/>
      <w:bookmarkEnd w:id="62"/>
      <w:bookmarkEnd w:id="63"/>
      <w:bookmarkEnd w:id="64"/>
    </w:p>
    <w:p w14:paraId="09CF996B">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1.6.1招标人不组织投标人踏勘现场，投标人可以自行对工程施工现场和周围环境进行勘察，以获取编制投标文件和签署合同所需的所有资料。施工现场的联系方式见须知前附表。</w:t>
      </w:r>
    </w:p>
    <w:p w14:paraId="7C3D5B3C">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 投标人踏勘现场发生的费用自理。</w:t>
      </w:r>
    </w:p>
    <w:p w14:paraId="58E203EF">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1.6.3 除招标人的原因外，投标人自行负责在踏勘现场中所发生的人员伤亡和财产损失。</w:t>
      </w:r>
    </w:p>
    <w:p w14:paraId="71BDBA78">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1.6.4 招标人向投标人提供的有关施工现场的资料和数据是招标人现有的能使投标人利用的资料。招标人对投标人由此而做出的推论、理解和结论概不负责。</w:t>
      </w:r>
    </w:p>
    <w:p w14:paraId="16A774D9">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65" w:name="_Toc20377"/>
      <w:bookmarkStart w:id="66" w:name="_Toc398107847"/>
      <w:bookmarkStart w:id="67" w:name="_Toc112768320"/>
      <w:bookmarkStart w:id="68" w:name="_Toc9194551"/>
      <w:r>
        <w:rPr>
          <w:rFonts w:hint="eastAsia" w:ascii="宋体" w:hAnsi="宋体" w:eastAsia="宋体" w:cs="宋体"/>
          <w:color w:val="auto"/>
          <w:sz w:val="21"/>
          <w:szCs w:val="21"/>
          <w:highlight w:val="none"/>
        </w:rPr>
        <w:t>1.10 投标预备会</w:t>
      </w:r>
      <w:bookmarkEnd w:id="65"/>
      <w:bookmarkEnd w:id="66"/>
      <w:bookmarkEnd w:id="67"/>
      <w:bookmarkEnd w:id="68"/>
    </w:p>
    <w:p w14:paraId="313A67FF">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1.10.1 投标人须知前附表规定召开投标预备会的，招标人按投标人须知前附表规定的时间和地点召开投标预备会，澄清投标人提出的问题。</w:t>
      </w:r>
    </w:p>
    <w:p w14:paraId="28B48033">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1.10.2 投标人应在投标人须知前附表规定的时间前，以书面形式将提出的问题送达招标人，以便招标人在会议期间澄清。</w:t>
      </w:r>
    </w:p>
    <w:p w14:paraId="2FA6E0D9">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1.10.3 投标预备会后，招标人在投标人须知前附表规定的时间内，将对投标人所提问题的澄清，以书面方式通知所有购买招标文件的投标人。该澄清内容为招标文件的组成部分。</w:t>
      </w:r>
    </w:p>
    <w:p w14:paraId="300CA0C7">
      <w:pPr>
        <w:pStyle w:val="3"/>
        <w:keepNext w:val="0"/>
        <w:keepLines w:val="0"/>
        <w:shd w:val="clear"/>
        <w:spacing w:before="0" w:after="0" w:line="360" w:lineRule="auto"/>
        <w:rPr>
          <w:rFonts w:hint="eastAsia" w:ascii="宋体" w:hAnsi="宋体" w:eastAsia="宋体" w:cs="宋体"/>
          <w:color w:val="auto"/>
          <w:sz w:val="21"/>
          <w:szCs w:val="21"/>
          <w:highlight w:val="none"/>
        </w:rPr>
      </w:pPr>
      <w:bookmarkStart w:id="69" w:name="_Toc13987"/>
      <w:bookmarkStart w:id="70" w:name="_Toc112768321"/>
      <w:bookmarkStart w:id="71" w:name="_Toc398107848"/>
      <w:bookmarkStart w:id="72" w:name="_Toc9194552"/>
      <w:r>
        <w:rPr>
          <w:rFonts w:hint="eastAsia" w:ascii="宋体" w:hAnsi="宋体" w:eastAsia="宋体" w:cs="宋体"/>
          <w:color w:val="auto"/>
          <w:sz w:val="21"/>
          <w:szCs w:val="21"/>
          <w:highlight w:val="none"/>
        </w:rPr>
        <w:t>2  招标文件</w:t>
      </w:r>
      <w:bookmarkEnd w:id="69"/>
      <w:bookmarkEnd w:id="70"/>
      <w:bookmarkEnd w:id="71"/>
      <w:bookmarkEnd w:id="72"/>
    </w:p>
    <w:p w14:paraId="6F80B1C1">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73" w:name="_Toc112768322"/>
      <w:bookmarkStart w:id="74" w:name="_Toc398107849"/>
      <w:bookmarkStart w:id="75" w:name="_Toc29032"/>
      <w:bookmarkStart w:id="76" w:name="_Toc9194553"/>
      <w:r>
        <w:rPr>
          <w:rFonts w:hint="eastAsia" w:ascii="宋体" w:hAnsi="宋体" w:eastAsia="宋体" w:cs="宋体"/>
          <w:color w:val="auto"/>
          <w:sz w:val="21"/>
          <w:szCs w:val="21"/>
          <w:highlight w:val="none"/>
        </w:rPr>
        <w:t>2.1 招标文件的组成</w:t>
      </w:r>
      <w:bookmarkEnd w:id="73"/>
      <w:bookmarkEnd w:id="74"/>
      <w:bookmarkEnd w:id="75"/>
      <w:bookmarkEnd w:id="76"/>
    </w:p>
    <w:p w14:paraId="3730338C">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2.1.1 本招标文件包括：</w:t>
      </w:r>
    </w:p>
    <w:p w14:paraId="4F365434">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（1）招标公告；</w:t>
      </w:r>
    </w:p>
    <w:p w14:paraId="724940A1">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（2）投标人须知及投标人须知前附表；</w:t>
      </w:r>
    </w:p>
    <w:p w14:paraId="7F415659">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（3）评标办法；</w:t>
      </w:r>
    </w:p>
    <w:p w14:paraId="089A89E6">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（4）合同条款及格式；</w:t>
      </w:r>
    </w:p>
    <w:p w14:paraId="2BA8EFE2">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（5）技术资料和设计文件；</w:t>
      </w:r>
    </w:p>
    <w:p w14:paraId="0B0774D7">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（6）投标文件格式；</w:t>
      </w:r>
    </w:p>
    <w:p w14:paraId="381A1760">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（7）投标人须知前附表规定的其他材料。</w:t>
      </w:r>
    </w:p>
    <w:p w14:paraId="5BFF8B59">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2.1.2 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rPr>
          <w:color w:val="auto"/>
          <w:highlight w:val="none"/>
        </w:rPr>
        <w:fldChar w:fldCharType="begin"/>
      </w:r>
      <w:r>
        <w:rPr>
          <w:color w:val="auto"/>
          <w:highlight w:val="none"/>
        </w:rPr>
        <w:instrText xml:space="preserve"> HYPERLINK "mailto:发送至ntcjzb@126.com" </w:instrText>
      </w:r>
      <w:r>
        <w:rPr>
          <w:color w:val="auto"/>
          <w:highlight w:val="none"/>
        </w:rPr>
        <w:fldChar w:fldCharType="separate"/>
      </w:r>
      <w:r>
        <w:rPr>
          <w:rStyle w:val="34"/>
          <w:rFonts w:hint="eastAsia" w:ascii="宋体" w:hAnsi="宋体" w:cs="宋体"/>
          <w:color w:val="auto"/>
          <w:kern w:val="0"/>
          <w:szCs w:val="21"/>
          <w:highlight w:val="none"/>
          <w:u w:val="none"/>
        </w:rPr>
        <w:t>发送至</w:t>
      </w:r>
      <w:r>
        <w:rPr>
          <w:rStyle w:val="34"/>
          <w:rFonts w:hint="eastAsia" w:ascii="宋体" w:hAnsi="宋体" w:cs="宋体"/>
          <w:color w:val="auto"/>
          <w:kern w:val="0"/>
          <w:szCs w:val="21"/>
          <w:highlight w:val="none"/>
          <w:u w:val="none"/>
        </w:rPr>
        <w:fldChar w:fldCharType="end"/>
      </w:r>
      <w:r>
        <w:rPr>
          <w:rFonts w:hint="eastAsia" w:ascii="宋体" w:hAnsi="宋体" w:cs="宋体"/>
          <w:color w:val="auto"/>
          <w:kern w:val="0"/>
          <w:szCs w:val="21"/>
          <w:highlight w:val="none"/>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7591CE7D">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77" w:name="_Toc398107850"/>
      <w:bookmarkStart w:id="78" w:name="_Toc9194554"/>
      <w:bookmarkStart w:id="79" w:name="_Toc112768323"/>
      <w:bookmarkStart w:id="80" w:name="_Toc349"/>
      <w:bookmarkStart w:id="81" w:name="_Toc9194556"/>
      <w:bookmarkStart w:id="82" w:name="_Toc398107852"/>
      <w:bookmarkStart w:id="83" w:name="_Toc112768325"/>
      <w:r>
        <w:rPr>
          <w:rFonts w:hint="eastAsia" w:ascii="宋体" w:hAnsi="宋体" w:eastAsia="宋体" w:cs="宋体"/>
          <w:color w:val="auto"/>
          <w:sz w:val="21"/>
          <w:szCs w:val="21"/>
          <w:highlight w:val="none"/>
        </w:rPr>
        <w:t>2.2 招标文件的澄清</w:t>
      </w:r>
      <w:bookmarkEnd w:id="77"/>
      <w:bookmarkEnd w:id="78"/>
      <w:bookmarkEnd w:id="79"/>
      <w:bookmarkEnd w:id="80"/>
    </w:p>
    <w:p w14:paraId="75AB8698">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2.2.1 投标人从“南通市崇川区人民政府网-公告公示”下载招标文件后应仔细阅读和检查招标文件的全部内容。如发现缺页或附件不全，应及时向招标人提出，以便补齐。如有疑问，应在投标人须知前附表规定的时间前要求招标人对招标文件予以澄清。</w:t>
      </w:r>
    </w:p>
    <w:p w14:paraId="505778B8">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2.2.2招标人不组织集中答疑，投标人如对招标公告、招标文件等文件存在前后矛盾，部分条款说明不清、存在歧义、违反相关法律法规，存在限制性条款等有疑问的应在投标人须知前附表规定的时间前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ascii="宋体" w:hAnsi="宋体" w:cs="宋体"/>
          <w:color w:val="auto"/>
          <w:kern w:val="0"/>
          <w:szCs w:val="21"/>
          <w:highlight w:val="none"/>
        </w:rPr>
        <w:t>以电子文件形式发送至</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指定邮箱</w:t>
      </w:r>
      <w:r>
        <w:rPr>
          <w:rFonts w:hint="eastAsia" w:ascii="宋体" w:hAnsi="宋体" w:cs="宋体"/>
          <w:color w:val="auto"/>
          <w:kern w:val="0"/>
          <w:szCs w:val="21"/>
          <w:highlight w:val="none"/>
          <w:lang w:eastAsia="zh-CN"/>
        </w:rPr>
        <w:t>1329444261</w:t>
      </w:r>
      <w:r>
        <w:rPr>
          <w:rFonts w:hint="eastAsia" w:ascii="宋体" w:hAnsi="宋体" w:cs="宋体"/>
          <w:color w:val="auto"/>
          <w:kern w:val="0"/>
          <w:szCs w:val="21"/>
          <w:highlight w:val="none"/>
        </w:rPr>
        <w:t>@qq.com(不具单位名称，不加盖单位公章）。招标人在收到疑问材料后予以解答，并将解答内容（若有）以电子文档上传至“南通市崇川区人民政府网-公告公示”，请各潜在投标人自行下载。</w:t>
      </w:r>
    </w:p>
    <w:p w14:paraId="46BEFC4A">
      <w:pPr>
        <w:shd w:val="clear"/>
        <w:autoSpaceDE w:val="0"/>
        <w:autoSpaceDN w:val="0"/>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27E18DBB">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2.2.3招标文件的澄清答疑将在招标文件规定的时间前，在南通市崇川区人民政府网-公告公示向所有投标人公示，但招标人不指明澄清问题的来源。</w:t>
      </w:r>
    </w:p>
    <w:p w14:paraId="13071986">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投标人对招标人提供的招标文件所做出的推论、解释和结论，招标人概不负责。投标人由于对招标文件的任何推论和误解均由投标人自负。</w:t>
      </w:r>
    </w:p>
    <w:p w14:paraId="126AF450">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在投标截止时间3天前，招标人可以修改招标文件，并以电子文档形式在南通市崇川区人民政府网-公告公示发布。如果修改招标文件的时间距投标截止时间不足3天，相应延长投标截止时间。</w:t>
      </w:r>
    </w:p>
    <w:p w14:paraId="2C2B513E">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84" w:name="_Toc8412"/>
      <w:r>
        <w:rPr>
          <w:rFonts w:hint="eastAsia" w:ascii="宋体" w:hAnsi="宋体" w:eastAsia="宋体" w:cs="宋体"/>
          <w:color w:val="auto"/>
          <w:sz w:val="21"/>
          <w:szCs w:val="21"/>
          <w:highlight w:val="none"/>
        </w:rPr>
        <w:t>2.3 招标文件的修改和补充</w:t>
      </w:r>
      <w:bookmarkEnd w:id="84"/>
    </w:p>
    <w:p w14:paraId="14D8897F">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2.3.1招标文件发布后，在投标截止期前，确需对招标文件进行修改的，招标人以招标文件澄清、答疑方式，经南通市崇川区人民政府网-公告公示向所有投标人公示。</w:t>
      </w:r>
    </w:p>
    <w:p w14:paraId="521F9C09">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14:paraId="21B1E960">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2.3.3本工程采用电子答疑，招标人对招标文件的所作澄清、答疑、修改均以南通市崇川区人民政府网-公告公示板块上公布的内容为准。招标文件的答疑内容前后期相互矛盾时，以公示时间在后的文件为准。投标人应在投标截止时间前随时查看南通市崇川区人民政府网-公告公示中有关该工程招标文件的答疑内容。投标人因自身原因未能及时掌握上述网上公示信息，由此造成投标损失自负。</w:t>
      </w:r>
    </w:p>
    <w:p w14:paraId="4152D520">
      <w:pPr>
        <w:pStyle w:val="3"/>
        <w:keepNext w:val="0"/>
        <w:keepLines w:val="0"/>
        <w:shd w:val="clear"/>
        <w:spacing w:before="0" w:after="0" w:line="360" w:lineRule="auto"/>
        <w:rPr>
          <w:rFonts w:hint="eastAsia" w:ascii="宋体" w:hAnsi="宋体" w:eastAsia="宋体" w:cs="宋体"/>
          <w:color w:val="auto"/>
          <w:sz w:val="21"/>
          <w:szCs w:val="21"/>
          <w:highlight w:val="none"/>
        </w:rPr>
      </w:pPr>
      <w:bookmarkStart w:id="85" w:name="_Toc25527"/>
      <w:r>
        <w:rPr>
          <w:rFonts w:hint="eastAsia" w:ascii="宋体" w:hAnsi="宋体" w:eastAsia="宋体" w:cs="宋体"/>
          <w:color w:val="auto"/>
          <w:sz w:val="21"/>
          <w:szCs w:val="21"/>
          <w:highlight w:val="none"/>
        </w:rPr>
        <w:t>3  投标文件</w:t>
      </w:r>
      <w:bookmarkEnd w:id="81"/>
      <w:bookmarkEnd w:id="82"/>
      <w:bookmarkEnd w:id="83"/>
      <w:bookmarkEnd w:id="85"/>
    </w:p>
    <w:p w14:paraId="21C710E2">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86" w:name="_Toc398107853"/>
      <w:bookmarkStart w:id="87" w:name="_Toc18637"/>
      <w:bookmarkStart w:id="88" w:name="_Toc9194557"/>
      <w:bookmarkStart w:id="89" w:name="_Toc112768326"/>
      <w:r>
        <w:rPr>
          <w:rFonts w:hint="eastAsia" w:ascii="宋体" w:hAnsi="宋体" w:eastAsia="宋体" w:cs="宋体"/>
          <w:color w:val="auto"/>
          <w:sz w:val="21"/>
          <w:szCs w:val="21"/>
          <w:highlight w:val="none"/>
        </w:rPr>
        <w:t>3.1 投标文件的组成</w:t>
      </w:r>
      <w:bookmarkEnd w:id="86"/>
      <w:bookmarkEnd w:id="87"/>
      <w:bookmarkEnd w:id="88"/>
      <w:bookmarkEnd w:id="89"/>
    </w:p>
    <w:p w14:paraId="6CDF62EC">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本工程投标文件由</w:t>
      </w:r>
      <w:r>
        <w:rPr>
          <w:rFonts w:hint="eastAsia" w:ascii="宋体" w:hAnsi="宋体" w:cs="宋体"/>
          <w:b/>
          <w:color w:val="auto"/>
          <w:kern w:val="0"/>
          <w:szCs w:val="21"/>
          <w:highlight w:val="none"/>
          <w:u w:val="single"/>
        </w:rPr>
        <w:t>资格审查资料包、商务标</w:t>
      </w:r>
      <w:r>
        <w:rPr>
          <w:rFonts w:hint="eastAsia" w:ascii="宋体" w:hAnsi="宋体" w:cs="宋体"/>
          <w:bCs/>
          <w:color w:val="auto"/>
          <w:kern w:val="0"/>
          <w:szCs w:val="21"/>
          <w:highlight w:val="none"/>
        </w:rPr>
        <w:t>两</w:t>
      </w:r>
      <w:r>
        <w:rPr>
          <w:rFonts w:hint="eastAsia" w:ascii="宋体" w:hAnsi="宋体" w:cs="宋体"/>
          <w:color w:val="auto"/>
          <w:kern w:val="0"/>
          <w:szCs w:val="21"/>
          <w:highlight w:val="none"/>
        </w:rPr>
        <w:t>部分组成，具体应包括以下内容：</w:t>
      </w:r>
    </w:p>
    <w:p w14:paraId="50E2FA1C">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3.1.1.资格审查资料包包括内容：</w:t>
      </w:r>
    </w:p>
    <w:p w14:paraId="2EA1E01C">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（1）法定代表人证明书或法人授权委托书；</w:t>
      </w:r>
    </w:p>
    <w:p w14:paraId="131F6725">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（2）有效的企业法人营业执照；</w:t>
      </w:r>
    </w:p>
    <w:p w14:paraId="36C4A92B">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（3）有效的企业资质证书；</w:t>
      </w:r>
    </w:p>
    <w:p w14:paraId="319AAF56">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（4）拟派项目总监理工程师的注册证书及人员身份证复印件；</w:t>
      </w:r>
    </w:p>
    <w:p w14:paraId="1645527B">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（5）拟派项目组成员及相应证书及人员身份证复印件；</w:t>
      </w:r>
    </w:p>
    <w:p w14:paraId="7C7A0329">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（6）拟派本项目所有监理人员必须为投标单位正式人员</w:t>
      </w:r>
      <w:r>
        <w:rPr>
          <w:rFonts w:hint="eastAsia" w:ascii="宋体" w:hAnsi="宋体" w:cs="宋体"/>
          <w:color w:val="auto"/>
          <w:kern w:val="0"/>
          <w:szCs w:val="21"/>
          <w:highlight w:val="none"/>
          <w:shd w:val="clear" w:color="auto" w:fill="FFFFFF"/>
        </w:rPr>
        <w:t>（提供有效劳动合同或社保机构出具并盖章的本投标企业为监理人员缴纳的2025年11月份以来任意1个月的养老保险缴费证明）</w:t>
      </w:r>
      <w:r>
        <w:rPr>
          <w:rFonts w:hint="eastAsia" w:ascii="宋体" w:hAnsi="宋体" w:cs="宋体"/>
          <w:color w:val="auto"/>
          <w:kern w:val="0"/>
          <w:szCs w:val="21"/>
          <w:highlight w:val="none"/>
        </w:rPr>
        <w:t>；</w:t>
      </w:r>
    </w:p>
    <w:p w14:paraId="6FD82ADC">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（7）拟派项目监理机构人员一览表（格式见第五章）；</w:t>
      </w:r>
    </w:p>
    <w:p w14:paraId="52F13A93">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（8）承诺拟派项目总监理工程师在监工程不超过2个（格式见第五章）；</w:t>
      </w:r>
    </w:p>
    <w:p w14:paraId="0B60EE99">
      <w:pPr>
        <w:pStyle w:val="10"/>
        <w:shd w:val="clear"/>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（9）诚信承诺书（格式见第五章）。</w:t>
      </w:r>
    </w:p>
    <w:p w14:paraId="20AE2B37">
      <w:pPr>
        <w:pStyle w:val="10"/>
        <w:shd w:val="clear"/>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（10）其他材料。</w:t>
      </w:r>
    </w:p>
    <w:p w14:paraId="54BCA955">
      <w:pPr>
        <w:shd w:val="clear"/>
        <w:spacing w:line="360" w:lineRule="auto"/>
        <w:ind w:firstLine="527" w:firstLineChars="250"/>
        <w:rPr>
          <w:rFonts w:hint="eastAsia" w:ascii="宋体" w:hAnsi="宋体" w:cs="宋体"/>
          <w:color w:val="auto"/>
          <w:kern w:val="0"/>
          <w:szCs w:val="21"/>
          <w:highlight w:val="none"/>
        </w:rPr>
      </w:pPr>
      <w:r>
        <w:rPr>
          <w:rFonts w:hint="eastAsia" w:ascii="宋体" w:hAnsi="宋体" w:cs="宋体"/>
          <w:b/>
          <w:color w:val="auto"/>
          <w:kern w:val="0"/>
          <w:szCs w:val="21"/>
          <w:highlight w:val="none"/>
          <w:u w:val="single"/>
        </w:rPr>
        <w:t>具体要求详见本招标文件第二章中附件《资格审查标准汇总表》。提供的资格审查材料及审查标准，前后矛盾的以《资格审查标准汇总表》为准。</w:t>
      </w:r>
    </w:p>
    <w:p w14:paraId="64B8FF3D">
      <w:pPr>
        <w:shd w:val="clear"/>
        <w:spacing w:line="360" w:lineRule="auto"/>
        <w:ind w:firstLine="422" w:firstLineChars="200"/>
        <w:rPr>
          <w:rFonts w:hint="eastAsia" w:ascii="宋体" w:hAnsi="宋体" w:cs="宋体"/>
          <w:b/>
          <w:color w:val="auto"/>
          <w:kern w:val="0"/>
          <w:szCs w:val="21"/>
          <w:highlight w:val="none"/>
          <w:u w:val="single"/>
        </w:rPr>
      </w:pPr>
      <w:r>
        <w:rPr>
          <w:rFonts w:hint="eastAsia" w:ascii="宋体" w:hAnsi="宋体" w:cs="宋体"/>
          <w:b/>
          <w:color w:val="auto"/>
          <w:kern w:val="0"/>
          <w:szCs w:val="21"/>
          <w:highlight w:val="none"/>
          <w:u w:val="single"/>
        </w:rPr>
        <w:t>以上复印件须加盖投标单位公章，所有材料须统一密封在一个封袋中并编写材料目录，以便在开标时核查，并在封袋上加盖投标人单位公章和法定代表人印章。</w:t>
      </w:r>
    </w:p>
    <w:p w14:paraId="2824AD70">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3.1.2商务标</w:t>
      </w:r>
    </w:p>
    <w:p w14:paraId="221E7935">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（1）投标函（格式详见第五章）；</w:t>
      </w:r>
    </w:p>
    <w:p w14:paraId="061C9FBA">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（2）投标人基本情况一览表（格式详见第五章）；</w:t>
      </w:r>
    </w:p>
    <w:p w14:paraId="13286243">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（3）拟投入现场的设备、检测仪器一览表（格式详见第五章）或委托有关单位进行检测的协议等；</w:t>
      </w:r>
    </w:p>
    <w:p w14:paraId="7FE8113F">
      <w:pPr>
        <w:shd w:val="clear"/>
        <w:spacing w:line="360" w:lineRule="auto"/>
        <w:ind w:firstLine="420" w:firstLineChars="200"/>
        <w:rPr>
          <w:rFonts w:hint="eastAsia" w:ascii="宋体" w:hAnsi="宋体" w:eastAsia="宋体" w:cs="宋体"/>
          <w:color w:val="auto"/>
          <w:spacing w:val="0"/>
          <w:kern w:val="0"/>
          <w:position w:val="0"/>
          <w:szCs w:val="21"/>
          <w:highlight w:val="none"/>
        </w:rPr>
      </w:pPr>
      <w:r>
        <w:rPr>
          <w:rFonts w:hint="eastAsia" w:ascii="宋体" w:hAnsi="宋体" w:cs="宋体"/>
          <w:color w:val="auto"/>
          <w:kern w:val="0"/>
          <w:szCs w:val="21"/>
          <w:highlight w:val="none"/>
        </w:rPr>
        <w:t>（4）</w:t>
      </w:r>
      <w:r>
        <w:rPr>
          <w:rFonts w:hint="eastAsia" w:ascii="宋体" w:hAnsi="宋体" w:eastAsia="宋体" w:cs="宋体"/>
          <w:color w:val="auto"/>
          <w:spacing w:val="0"/>
          <w:kern w:val="0"/>
          <w:position w:val="0"/>
          <w:szCs w:val="21"/>
          <w:highlight w:val="none"/>
        </w:rPr>
        <w:t>拟派总监理工程师业绩（请对照加分要求提供相应证明材料）；</w:t>
      </w:r>
      <w:r>
        <w:rPr>
          <w:rFonts w:hint="eastAsia" w:ascii="宋体" w:hAnsi="宋体" w:eastAsia="宋体" w:cs="宋体"/>
          <w:color w:val="auto"/>
          <w:spacing w:val="0"/>
          <w:kern w:val="0"/>
          <w:position w:val="0"/>
          <w:szCs w:val="21"/>
          <w:highlight w:val="none"/>
          <w:lang w:eastAsia="zh-CN"/>
        </w:rPr>
        <w:t>（如有）</w:t>
      </w:r>
    </w:p>
    <w:p w14:paraId="0F4E66F4">
      <w:pPr>
        <w:shd w:val="clear"/>
        <w:spacing w:line="360" w:lineRule="auto"/>
        <w:ind w:firstLine="420" w:firstLineChars="200"/>
        <w:rPr>
          <w:rFonts w:hint="eastAsia" w:ascii="宋体" w:hAnsi="宋体" w:cs="宋体"/>
          <w:b/>
          <w:bCs/>
          <w:color w:val="auto"/>
          <w:kern w:val="0"/>
          <w:szCs w:val="21"/>
          <w:highlight w:val="none"/>
        </w:rPr>
      </w:pPr>
      <w:r>
        <w:rPr>
          <w:rFonts w:hint="eastAsia" w:ascii="宋体" w:hAnsi="宋体" w:eastAsia="宋体" w:cs="宋体"/>
          <w:color w:val="auto"/>
          <w:spacing w:val="0"/>
          <w:kern w:val="0"/>
          <w:position w:val="0"/>
          <w:szCs w:val="21"/>
          <w:highlight w:val="none"/>
        </w:rPr>
        <w:t>（5）</w:t>
      </w:r>
      <w:r>
        <w:rPr>
          <w:rFonts w:hint="eastAsia" w:ascii="宋体" w:hAnsi="宋体" w:eastAsia="宋体" w:cs="宋体"/>
          <w:b/>
          <w:bCs/>
          <w:color w:val="auto"/>
          <w:spacing w:val="0"/>
          <w:kern w:val="0"/>
          <w:position w:val="0"/>
          <w:szCs w:val="21"/>
          <w:highlight w:val="none"/>
        </w:rPr>
        <w:t>2025年第4季度监理企业信用评价结果文件。</w:t>
      </w:r>
      <w:r>
        <w:rPr>
          <w:rFonts w:hint="eastAsia" w:ascii="宋体" w:hAnsi="宋体" w:eastAsia="宋体" w:cs="宋体"/>
          <w:b/>
          <w:bCs/>
          <w:color w:val="auto"/>
          <w:spacing w:val="0"/>
          <w:kern w:val="0"/>
          <w:position w:val="0"/>
          <w:szCs w:val="21"/>
          <w:highlight w:val="none"/>
          <w:lang w:eastAsia="zh-CN"/>
        </w:rPr>
        <w:t>（如有）</w:t>
      </w:r>
    </w:p>
    <w:p w14:paraId="4DD06479">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3.1.3 招标文件提供的文件格式（第五章）投标人必须使用。但表式可以按同样格式进行扩展。</w:t>
      </w:r>
    </w:p>
    <w:p w14:paraId="4EAB5AE3">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3.1.4 纸质投标文件正本须用不能擦去的墨水书写或打印，投标文件副本可以复印，其正、副本都应装订成册，并在封面上正确标明“正本”、“副本”字样。</w:t>
      </w:r>
      <w:r>
        <w:rPr>
          <w:rFonts w:hint="eastAsia" w:ascii="宋体" w:hAnsi="宋体" w:cs="宋体"/>
          <w:b/>
          <w:bCs/>
          <w:color w:val="auto"/>
          <w:kern w:val="0"/>
          <w:szCs w:val="21"/>
          <w:highlight w:val="none"/>
        </w:rPr>
        <w:t>资格审查资料包、商务标分开装袋密封。</w:t>
      </w:r>
    </w:p>
    <w:p w14:paraId="1ECA83A5">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全套投标文件应无修改和行间插字。如有修改，须在修改处加盖投标人法定代表人或其代理人的印鉴。</w:t>
      </w:r>
    </w:p>
    <w:p w14:paraId="5A2907DD">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90" w:name="_Toc112768327"/>
      <w:bookmarkStart w:id="91" w:name="_Toc398107854"/>
      <w:bookmarkStart w:id="92" w:name="_Toc13714"/>
      <w:bookmarkStart w:id="93" w:name="_Toc7050"/>
      <w:bookmarkStart w:id="94" w:name="_Toc9194558"/>
      <w:bookmarkStart w:id="95" w:name="_Toc24988"/>
      <w:r>
        <w:rPr>
          <w:rFonts w:hint="eastAsia" w:ascii="宋体" w:hAnsi="宋体" w:eastAsia="宋体" w:cs="宋体"/>
          <w:color w:val="auto"/>
          <w:sz w:val="21"/>
          <w:szCs w:val="21"/>
          <w:highlight w:val="none"/>
        </w:rPr>
        <w:t>3.2 投标报价</w:t>
      </w:r>
      <w:bookmarkEnd w:id="90"/>
      <w:bookmarkEnd w:id="91"/>
      <w:bookmarkEnd w:id="92"/>
      <w:bookmarkEnd w:id="93"/>
      <w:bookmarkEnd w:id="94"/>
      <w:bookmarkEnd w:id="95"/>
    </w:p>
    <w:p w14:paraId="731F8897">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3.2.1投标报价应包括完成招标文件所确定的委托监理的范围和监理业务的整个招标范围进行投标报价，包括全部的工期内为完成全部监理工作任务所需要的全部监理服务费。</w:t>
      </w:r>
    </w:p>
    <w:p w14:paraId="1BC80ADC">
      <w:pPr>
        <w:shd w:val="clea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3.2.2施工监理服务收费=施工监理服务收费基准价×中标监理费率</w:t>
      </w:r>
    </w:p>
    <w:p w14:paraId="64555317">
      <w:pPr>
        <w:shd w:val="clea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注：监理服务收费基准价计费额为该工程的最终审计价。</w:t>
      </w:r>
    </w:p>
    <w:p w14:paraId="386189E6">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96" w:name="_Toc398107855"/>
      <w:bookmarkStart w:id="97" w:name="_Toc15495"/>
      <w:bookmarkStart w:id="98" w:name="_Toc112768328"/>
      <w:bookmarkStart w:id="99" w:name="_Toc9194559"/>
      <w:r>
        <w:rPr>
          <w:rFonts w:hint="eastAsia" w:ascii="宋体" w:hAnsi="宋体" w:eastAsia="宋体" w:cs="宋体"/>
          <w:color w:val="auto"/>
          <w:sz w:val="21"/>
          <w:szCs w:val="21"/>
          <w:highlight w:val="none"/>
        </w:rPr>
        <w:t>3.3 投标有效期</w:t>
      </w:r>
      <w:bookmarkEnd w:id="96"/>
      <w:bookmarkEnd w:id="97"/>
      <w:bookmarkEnd w:id="98"/>
      <w:bookmarkEnd w:id="99"/>
    </w:p>
    <w:p w14:paraId="10F40FA7">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3.3.1 投标有效期从投标人提交投标文件截止之日起计算。在投标人须知前附表规定的投标有效期内，投标人不得要求撤销或修改其投标文件。</w:t>
      </w:r>
    </w:p>
    <w:p w14:paraId="7E093E00">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439C7904">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100" w:name="_Toc9194560"/>
      <w:bookmarkStart w:id="101" w:name="_Toc28767"/>
      <w:bookmarkStart w:id="102" w:name="_Toc112768329"/>
      <w:bookmarkStart w:id="103" w:name="_Toc398107857"/>
      <w:r>
        <w:rPr>
          <w:rFonts w:hint="eastAsia" w:ascii="宋体" w:hAnsi="宋体" w:eastAsia="宋体" w:cs="宋体"/>
          <w:color w:val="auto"/>
          <w:sz w:val="21"/>
          <w:szCs w:val="21"/>
          <w:highlight w:val="none"/>
        </w:rPr>
        <w:t>3.4.投标保证金</w:t>
      </w:r>
      <w:bookmarkEnd w:id="100"/>
      <w:bookmarkEnd w:id="101"/>
      <w:bookmarkEnd w:id="102"/>
    </w:p>
    <w:p w14:paraId="64DB6166">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3.4.1投标人必须按照前附表的规定于投标文件提交截止时间前递交投标保证金。</w:t>
      </w:r>
    </w:p>
    <w:p w14:paraId="4F3462D1">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3.4.2投标保证金退还</w:t>
      </w:r>
    </w:p>
    <w:p w14:paraId="27BFC0D2">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3.4.2.1未中标单位的投标保证金在其定标后予以退还。</w:t>
      </w:r>
    </w:p>
    <w:p w14:paraId="02550A6A">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3.4.2.2 中标单位的投标保证金在合同生效后一周内予以退还。</w:t>
      </w:r>
    </w:p>
    <w:p w14:paraId="137D3AFC">
      <w:pPr>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3.4.3 投标人出现下列情况，其投标保证金一律不予退还。</w:t>
      </w:r>
    </w:p>
    <w:p w14:paraId="464C8B0C">
      <w:pPr>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3.4.3.1投标人在投标有效期内撤回其投标文件；</w:t>
      </w:r>
    </w:p>
    <w:p w14:paraId="017F305E">
      <w:pPr>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3.4.3.2投标人存在《江苏省房屋建筑和市政基础设施工程招标投标中串通投标和弄虚作假行为认定处理办法（试行）》（苏建规字〔2014〕2号）第四条、第五条、第六条、第七条规定的串通投标、弄虚作假等行为的；</w:t>
      </w:r>
    </w:p>
    <w:p w14:paraId="076F33EF">
      <w:pPr>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3.4.3.3不同投标人的投标文件，出现了评标委员会认为不应当雷同的情况（相同错误）的，且被评委认定为串标的。</w:t>
      </w:r>
    </w:p>
    <w:p w14:paraId="50280AA0">
      <w:pPr>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3.4.4中标通知书发出后，除不可抗力情况外，中标人出现下列情形之一的，招标人必须取消其中标资格，并不予退还其投标保证金：</w:t>
      </w:r>
    </w:p>
    <w:p w14:paraId="2B2C8750">
      <w:pPr>
        <w:widowControl/>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3.4.4.1放弃中标项目的；</w:t>
      </w:r>
    </w:p>
    <w:p w14:paraId="664FC880">
      <w:pPr>
        <w:widowControl/>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3.4.4.2拒不按照招标文件的要求提交履约保证金的；</w:t>
      </w:r>
    </w:p>
    <w:p w14:paraId="1DCBB86F">
      <w:pPr>
        <w:widowControl/>
        <w:shd w:val="clear"/>
        <w:adjustRightInd w:val="0"/>
        <w:snapToGrid w:val="0"/>
        <w:spacing w:line="360" w:lineRule="auto"/>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3.4.4.3不与招标人签订合同的，或者在签订合同时向招标人提出附加条件或者更改合同实质性内容的。</w:t>
      </w:r>
    </w:p>
    <w:p w14:paraId="2B6F3D50">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存在上述3.4.3、3.4.4行为的，招标人不退还投标保证金并上交国库，并自认定之日起一年内不得参与招标人任何招投标活动，参与投标的企业将视为遵守以上处理条款。</w:t>
      </w:r>
    </w:p>
    <w:p w14:paraId="658FE85F">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104" w:name="_Toc112768330"/>
      <w:bookmarkStart w:id="105" w:name="_Toc9194561"/>
      <w:bookmarkStart w:id="106" w:name="_Toc10523"/>
      <w:r>
        <w:rPr>
          <w:rFonts w:hint="eastAsia" w:ascii="宋体" w:hAnsi="宋体" w:eastAsia="宋体" w:cs="宋体"/>
          <w:color w:val="auto"/>
          <w:sz w:val="21"/>
          <w:szCs w:val="21"/>
          <w:highlight w:val="none"/>
        </w:rPr>
        <w:t>3.5 备选投标方案</w:t>
      </w:r>
      <w:bookmarkEnd w:id="103"/>
      <w:bookmarkEnd w:id="104"/>
      <w:bookmarkEnd w:id="105"/>
      <w:bookmarkEnd w:id="106"/>
    </w:p>
    <w:p w14:paraId="5CD27B32">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1CD2294">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107" w:name="_Toc9194562"/>
      <w:bookmarkStart w:id="108" w:name="_Toc398107858"/>
      <w:bookmarkStart w:id="109" w:name="_Toc30730"/>
      <w:bookmarkStart w:id="110" w:name="_Toc112768331"/>
      <w:r>
        <w:rPr>
          <w:rFonts w:hint="eastAsia" w:ascii="宋体" w:hAnsi="宋体" w:eastAsia="宋体" w:cs="宋体"/>
          <w:color w:val="auto"/>
          <w:sz w:val="21"/>
          <w:szCs w:val="21"/>
          <w:highlight w:val="none"/>
        </w:rPr>
        <w:t>3.6 投标文件的编制</w:t>
      </w:r>
      <w:bookmarkEnd w:id="107"/>
      <w:bookmarkEnd w:id="108"/>
      <w:bookmarkEnd w:id="109"/>
      <w:bookmarkEnd w:id="110"/>
    </w:p>
    <w:p w14:paraId="05B45372">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3.6.1 投标文件应按第五章“投标文件格式”的要求进行编写，如有必要，可以增加附页，作为投标文件的组成部分。</w:t>
      </w:r>
    </w:p>
    <w:p w14:paraId="71F2016C">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3.6.2 投标文件应用不褪色的材料书写或打印，投标文件应当对招标文件有关监理服务期限、投标有效期、质量要求、技术标准和要求、招标范围等实质性内容作出响应。</w:t>
      </w:r>
    </w:p>
    <w:p w14:paraId="6C2D713C">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3.6.3 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265E054E">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111" w:name="_Toc398107859"/>
      <w:bookmarkStart w:id="112" w:name="_Toc32262"/>
      <w:bookmarkStart w:id="113" w:name="_Toc112768332"/>
      <w:bookmarkStart w:id="114" w:name="_Toc9194563"/>
      <w:r>
        <w:rPr>
          <w:rFonts w:hint="eastAsia" w:ascii="宋体" w:hAnsi="宋体" w:eastAsia="宋体" w:cs="宋体"/>
          <w:color w:val="auto"/>
          <w:sz w:val="21"/>
          <w:szCs w:val="21"/>
          <w:highlight w:val="none"/>
        </w:rPr>
        <w:t>3.7 投标文件的份数和装订</w:t>
      </w:r>
      <w:bookmarkEnd w:id="111"/>
      <w:bookmarkEnd w:id="112"/>
      <w:bookmarkEnd w:id="113"/>
      <w:bookmarkEnd w:id="114"/>
    </w:p>
    <w:p w14:paraId="7FFE5A92">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3.7.1 投标文件正本一份, 副本份数见投标人须知前附表。正本和副本的封面上应清楚地标记“正本”或“副本”的字样。当副本和正本不一致时，以正本为准。</w:t>
      </w:r>
    </w:p>
    <w:p w14:paraId="5BE5A00E">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3.7.2 投标文件应当按本招标文件规定的正本与副本数量分别装订成册，并编制目录。</w:t>
      </w:r>
    </w:p>
    <w:p w14:paraId="133A0D3C">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115" w:name="_Toc14627"/>
      <w:bookmarkStart w:id="116" w:name="_Toc398107860"/>
      <w:bookmarkStart w:id="117" w:name="_Toc9194564"/>
      <w:bookmarkStart w:id="118" w:name="_Toc112768333"/>
      <w:r>
        <w:rPr>
          <w:rFonts w:hint="eastAsia" w:ascii="宋体" w:hAnsi="宋体" w:eastAsia="宋体" w:cs="宋体"/>
          <w:color w:val="auto"/>
          <w:sz w:val="21"/>
          <w:szCs w:val="21"/>
          <w:highlight w:val="none"/>
        </w:rPr>
        <w:t>3.8 资格审查资料</w:t>
      </w:r>
      <w:bookmarkEnd w:id="115"/>
      <w:bookmarkEnd w:id="116"/>
      <w:bookmarkEnd w:id="117"/>
      <w:bookmarkEnd w:id="118"/>
    </w:p>
    <w:p w14:paraId="351A6999">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投标人在编制投标文件时，应按本章第3.1项的要求在投标文件中提供与资格审查相关的资料，且符合本章第3.6.1项的要求。</w:t>
      </w:r>
    </w:p>
    <w:p w14:paraId="5151F244">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119" w:name="_Toc398107861"/>
      <w:bookmarkStart w:id="120" w:name="_Toc28748"/>
      <w:bookmarkStart w:id="121" w:name="_Toc9194565"/>
      <w:bookmarkStart w:id="122" w:name="_Toc112768334"/>
      <w:r>
        <w:rPr>
          <w:rFonts w:hint="eastAsia" w:ascii="宋体" w:hAnsi="宋体" w:eastAsia="宋体" w:cs="宋体"/>
          <w:color w:val="auto"/>
          <w:sz w:val="21"/>
          <w:szCs w:val="21"/>
          <w:highlight w:val="none"/>
        </w:rPr>
        <w:t>3.9暗标</w:t>
      </w:r>
      <w:bookmarkEnd w:id="119"/>
      <w:r>
        <w:rPr>
          <w:rFonts w:hint="eastAsia" w:ascii="宋体" w:hAnsi="宋体" w:eastAsia="宋体" w:cs="宋体"/>
          <w:color w:val="auto"/>
          <w:sz w:val="21"/>
          <w:szCs w:val="21"/>
          <w:highlight w:val="none"/>
        </w:rPr>
        <w:t>（本项目不采用）</w:t>
      </w:r>
      <w:bookmarkEnd w:id="120"/>
      <w:bookmarkEnd w:id="121"/>
      <w:bookmarkEnd w:id="122"/>
    </w:p>
    <w:p w14:paraId="4FC7F2D1">
      <w:pPr>
        <w:shd w:val="clear"/>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投标人须知前附表规定监理方案采用暗标评审的，投标人应严格按照“投标人须知前附表”规定的编制及装订要求编制和装订监理方案。</w:t>
      </w:r>
    </w:p>
    <w:p w14:paraId="44BB2D24">
      <w:pPr>
        <w:pStyle w:val="3"/>
        <w:keepNext w:val="0"/>
        <w:keepLines w:val="0"/>
        <w:shd w:val="clear"/>
        <w:spacing w:before="0" w:after="0" w:line="360" w:lineRule="auto"/>
        <w:rPr>
          <w:rFonts w:hint="eastAsia" w:ascii="宋体" w:hAnsi="宋体" w:eastAsia="宋体" w:cs="宋体"/>
          <w:color w:val="auto"/>
          <w:sz w:val="21"/>
          <w:szCs w:val="21"/>
          <w:highlight w:val="none"/>
        </w:rPr>
      </w:pPr>
      <w:bookmarkStart w:id="123" w:name="_Toc9194566"/>
      <w:bookmarkStart w:id="124" w:name="_Toc398107862"/>
      <w:bookmarkStart w:id="125" w:name="_Toc112768335"/>
      <w:bookmarkStart w:id="126" w:name="_Toc25154"/>
      <w:r>
        <w:rPr>
          <w:rFonts w:hint="eastAsia" w:ascii="宋体" w:hAnsi="宋体" w:eastAsia="宋体" w:cs="宋体"/>
          <w:color w:val="auto"/>
          <w:sz w:val="21"/>
          <w:szCs w:val="21"/>
          <w:highlight w:val="none"/>
        </w:rPr>
        <w:t>4  投标</w:t>
      </w:r>
      <w:bookmarkEnd w:id="123"/>
      <w:bookmarkEnd w:id="124"/>
      <w:bookmarkEnd w:id="125"/>
      <w:bookmarkEnd w:id="126"/>
    </w:p>
    <w:p w14:paraId="5BBFA986">
      <w:pPr>
        <w:pStyle w:val="4"/>
        <w:keepNext w:val="0"/>
        <w:keepLines w:val="0"/>
        <w:shd w:val="clear"/>
        <w:spacing w:before="0" w:after="0" w:line="360" w:lineRule="auto"/>
        <w:rPr>
          <w:rFonts w:hint="eastAsia" w:ascii="宋体" w:hAnsi="宋体" w:eastAsia="宋体" w:cs="宋体"/>
          <w:color w:val="auto"/>
          <w:sz w:val="21"/>
          <w:szCs w:val="21"/>
          <w:highlight w:val="none"/>
        </w:rPr>
      </w:pPr>
      <w:bookmarkStart w:id="127" w:name="_Toc398107863"/>
      <w:bookmarkStart w:id="128" w:name="_Toc4924"/>
      <w:bookmarkStart w:id="129" w:name="_Toc9194567"/>
      <w:bookmarkStart w:id="130" w:name="_Toc112768336"/>
      <w:r>
        <w:rPr>
          <w:rFonts w:hint="eastAsia" w:ascii="宋体" w:hAnsi="宋体" w:eastAsia="宋体" w:cs="宋体"/>
          <w:color w:val="auto"/>
          <w:sz w:val="21"/>
          <w:szCs w:val="21"/>
          <w:highlight w:val="none"/>
        </w:rPr>
        <w:t>4.1 投标文件的密封和标记</w:t>
      </w:r>
      <w:bookmarkEnd w:id="127"/>
      <w:bookmarkEnd w:id="128"/>
      <w:bookmarkEnd w:id="129"/>
      <w:bookmarkEnd w:id="130"/>
    </w:p>
    <w:p w14:paraId="62D765A6">
      <w:pPr>
        <w:shd w:val="clear"/>
        <w:spacing w:line="360" w:lineRule="auto"/>
        <w:ind w:firstLine="411" w:firstLineChars="196"/>
        <w:rPr>
          <w:rFonts w:hint="eastAsia" w:ascii="宋体" w:hAnsi="宋体" w:cs="宋体"/>
          <w:snapToGrid w:val="0"/>
          <w:color w:val="auto"/>
          <w:kern w:val="0"/>
          <w:szCs w:val="21"/>
          <w:highlight w:val="none"/>
        </w:rPr>
      </w:pPr>
      <w:r>
        <w:rPr>
          <w:rFonts w:hint="eastAsia" w:ascii="宋体" w:hAnsi="宋体" w:cs="宋体"/>
          <w:color w:val="auto"/>
          <w:kern w:val="0"/>
          <w:szCs w:val="21"/>
          <w:highlight w:val="none"/>
        </w:rPr>
        <w:t>4.1.1本项目</w:t>
      </w:r>
      <w:r>
        <w:rPr>
          <w:rFonts w:hint="eastAsia" w:ascii="宋体" w:hAnsi="宋体" w:cs="宋体"/>
          <w:b/>
          <w:snapToGrid w:val="0"/>
          <w:color w:val="auto"/>
          <w:kern w:val="0"/>
          <w:szCs w:val="21"/>
          <w:highlight w:val="none"/>
        </w:rPr>
        <w:t>纸质投标文件由</w:t>
      </w:r>
      <w:r>
        <w:rPr>
          <w:rFonts w:hint="eastAsia" w:ascii="宋体" w:hAnsi="宋体" w:cs="宋体"/>
          <w:b/>
          <w:snapToGrid w:val="0"/>
          <w:color w:val="auto"/>
          <w:kern w:val="0"/>
          <w:szCs w:val="21"/>
          <w:highlight w:val="none"/>
          <w:u w:val="single"/>
        </w:rPr>
        <w:t>资格审查资料包、商务标</w:t>
      </w:r>
      <w:r>
        <w:rPr>
          <w:rFonts w:hint="eastAsia" w:ascii="宋体" w:hAnsi="宋体" w:cs="宋体"/>
          <w:b/>
          <w:snapToGrid w:val="0"/>
          <w:color w:val="auto"/>
          <w:kern w:val="0"/>
          <w:szCs w:val="21"/>
          <w:highlight w:val="none"/>
        </w:rPr>
        <w:t>两部分组成。</w:t>
      </w:r>
      <w:r>
        <w:rPr>
          <w:rFonts w:hint="eastAsia" w:ascii="宋体" w:hAnsi="宋体" w:cs="宋体"/>
          <w:b/>
          <w:bCs/>
          <w:color w:val="auto"/>
          <w:kern w:val="0"/>
          <w:szCs w:val="21"/>
          <w:highlight w:val="none"/>
          <w:u w:val="single"/>
        </w:rPr>
        <w:t>资格审查</w:t>
      </w:r>
      <w:r>
        <w:rPr>
          <w:rFonts w:hint="eastAsia" w:ascii="宋体" w:hAnsi="宋体" w:cs="宋体"/>
          <w:b/>
          <w:snapToGrid w:val="0"/>
          <w:color w:val="auto"/>
          <w:kern w:val="0"/>
          <w:szCs w:val="21"/>
          <w:highlight w:val="none"/>
          <w:u w:val="single"/>
        </w:rPr>
        <w:t>资料包</w:t>
      </w:r>
      <w:r>
        <w:rPr>
          <w:rFonts w:hint="eastAsia" w:ascii="宋体" w:hAnsi="宋体" w:cs="宋体"/>
          <w:b/>
          <w:bCs/>
          <w:color w:val="auto"/>
          <w:kern w:val="0"/>
          <w:szCs w:val="21"/>
          <w:highlight w:val="none"/>
        </w:rPr>
        <w:t>（壹式</w:t>
      </w:r>
      <w:r>
        <w:rPr>
          <w:rFonts w:hint="eastAsia" w:ascii="宋体" w:hAnsi="宋体" w:cs="宋体"/>
          <w:b/>
          <w:bCs/>
          <w:color w:val="auto"/>
          <w:kern w:val="0"/>
          <w:szCs w:val="21"/>
          <w:highlight w:val="none"/>
          <w:u w:val="single"/>
        </w:rPr>
        <w:t>叁</w:t>
      </w:r>
      <w:r>
        <w:rPr>
          <w:rFonts w:hint="eastAsia" w:ascii="宋体" w:hAnsi="宋体" w:cs="宋体"/>
          <w:b/>
          <w:bCs/>
          <w:color w:val="auto"/>
          <w:kern w:val="0"/>
          <w:szCs w:val="21"/>
          <w:highlight w:val="none"/>
        </w:rPr>
        <w:t>份，其中正本</w:t>
      </w:r>
      <w:r>
        <w:rPr>
          <w:rFonts w:hint="eastAsia" w:ascii="宋体" w:hAnsi="宋体" w:cs="宋体"/>
          <w:b/>
          <w:bCs/>
          <w:color w:val="auto"/>
          <w:kern w:val="0"/>
          <w:szCs w:val="21"/>
          <w:highlight w:val="none"/>
          <w:u w:val="single"/>
        </w:rPr>
        <w:t>壹</w:t>
      </w:r>
      <w:r>
        <w:rPr>
          <w:rFonts w:hint="eastAsia" w:ascii="宋体" w:hAnsi="宋体" w:cs="宋体"/>
          <w:b/>
          <w:bCs/>
          <w:color w:val="auto"/>
          <w:kern w:val="0"/>
          <w:szCs w:val="21"/>
          <w:highlight w:val="none"/>
        </w:rPr>
        <w:t>份，副本</w:t>
      </w:r>
      <w:r>
        <w:rPr>
          <w:rFonts w:hint="eastAsia" w:ascii="宋体" w:hAnsi="宋体" w:cs="宋体"/>
          <w:b/>
          <w:bCs/>
          <w:color w:val="auto"/>
          <w:kern w:val="0"/>
          <w:szCs w:val="21"/>
          <w:highlight w:val="none"/>
          <w:u w:val="single"/>
        </w:rPr>
        <w:t>贰</w:t>
      </w:r>
      <w:r>
        <w:rPr>
          <w:rFonts w:hint="eastAsia" w:ascii="宋体" w:hAnsi="宋体" w:cs="宋体"/>
          <w:b/>
          <w:bCs/>
          <w:color w:val="auto"/>
          <w:kern w:val="0"/>
          <w:szCs w:val="21"/>
          <w:highlight w:val="none"/>
        </w:rPr>
        <w:t>份，并分别标注）；</w:t>
      </w:r>
      <w:r>
        <w:rPr>
          <w:rFonts w:hint="eastAsia" w:ascii="宋体" w:hAnsi="宋体" w:cs="宋体"/>
          <w:b/>
          <w:bCs/>
          <w:color w:val="auto"/>
          <w:kern w:val="0"/>
          <w:szCs w:val="21"/>
          <w:highlight w:val="none"/>
          <w:u w:val="single"/>
        </w:rPr>
        <w:t>商务标</w:t>
      </w:r>
      <w:r>
        <w:rPr>
          <w:rFonts w:hint="eastAsia" w:ascii="宋体" w:hAnsi="宋体" w:cs="宋体"/>
          <w:b/>
          <w:bCs/>
          <w:color w:val="auto"/>
          <w:kern w:val="0"/>
          <w:szCs w:val="21"/>
          <w:highlight w:val="none"/>
        </w:rPr>
        <w:t>（壹式</w:t>
      </w:r>
      <w:r>
        <w:rPr>
          <w:rFonts w:hint="eastAsia" w:ascii="宋体" w:hAnsi="宋体" w:cs="宋体"/>
          <w:b/>
          <w:bCs/>
          <w:color w:val="auto"/>
          <w:kern w:val="0"/>
          <w:szCs w:val="21"/>
          <w:highlight w:val="none"/>
          <w:u w:val="single"/>
        </w:rPr>
        <w:t>叁</w:t>
      </w:r>
      <w:r>
        <w:rPr>
          <w:rFonts w:hint="eastAsia" w:ascii="宋体" w:hAnsi="宋体" w:cs="宋体"/>
          <w:b/>
          <w:bCs/>
          <w:color w:val="auto"/>
          <w:kern w:val="0"/>
          <w:szCs w:val="21"/>
          <w:highlight w:val="none"/>
        </w:rPr>
        <w:t>份，其中正本</w:t>
      </w:r>
      <w:r>
        <w:rPr>
          <w:rFonts w:hint="eastAsia" w:ascii="宋体" w:hAnsi="宋体" w:cs="宋体"/>
          <w:b/>
          <w:bCs/>
          <w:color w:val="auto"/>
          <w:kern w:val="0"/>
          <w:szCs w:val="21"/>
          <w:highlight w:val="none"/>
          <w:u w:val="single"/>
        </w:rPr>
        <w:t>壹</w:t>
      </w:r>
      <w:r>
        <w:rPr>
          <w:rFonts w:hint="eastAsia" w:ascii="宋体" w:hAnsi="宋体" w:cs="宋体"/>
          <w:b/>
          <w:bCs/>
          <w:color w:val="auto"/>
          <w:kern w:val="0"/>
          <w:szCs w:val="21"/>
          <w:highlight w:val="none"/>
        </w:rPr>
        <w:t>份，副本</w:t>
      </w:r>
      <w:r>
        <w:rPr>
          <w:rFonts w:hint="eastAsia" w:ascii="宋体" w:hAnsi="宋体" w:cs="宋体"/>
          <w:b/>
          <w:bCs/>
          <w:color w:val="auto"/>
          <w:kern w:val="0"/>
          <w:szCs w:val="21"/>
          <w:highlight w:val="none"/>
          <w:u w:val="single"/>
        </w:rPr>
        <w:t>贰</w:t>
      </w:r>
      <w:r>
        <w:rPr>
          <w:rFonts w:hint="eastAsia" w:ascii="宋体" w:hAnsi="宋体" w:cs="宋体"/>
          <w:b/>
          <w:bCs/>
          <w:color w:val="auto"/>
          <w:kern w:val="0"/>
          <w:szCs w:val="21"/>
          <w:highlight w:val="none"/>
        </w:rPr>
        <w:t>份，并分别标注）。</w:t>
      </w:r>
    </w:p>
    <w:p w14:paraId="7C6387B0">
      <w:pPr>
        <w:shd w:val="clear"/>
        <w:spacing w:line="440" w:lineRule="exact"/>
        <w:ind w:firstLine="411" w:firstLineChars="196"/>
        <w:rPr>
          <w:rFonts w:hint="eastAsia" w:ascii="宋体" w:hAnsi="宋体" w:cs="宋体"/>
          <w:b/>
          <w:snapToGrid w:val="0"/>
          <w:color w:val="auto"/>
          <w:kern w:val="0"/>
          <w:szCs w:val="21"/>
          <w:highlight w:val="none"/>
        </w:rPr>
      </w:pPr>
      <w:bookmarkStart w:id="131" w:name="_Toc2861273"/>
      <w:r>
        <w:rPr>
          <w:rFonts w:hint="eastAsia" w:ascii="宋体" w:hAnsi="宋体" w:cs="宋体"/>
          <w:color w:val="auto"/>
          <w:kern w:val="0"/>
          <w:szCs w:val="21"/>
          <w:highlight w:val="none"/>
        </w:rPr>
        <w:t>4.1.</w:t>
      </w:r>
      <w:r>
        <w:rPr>
          <w:rFonts w:hint="eastAsia" w:ascii="宋体" w:hAnsi="宋体" w:cs="宋体"/>
          <w:bCs/>
          <w:color w:val="auto"/>
          <w:kern w:val="0"/>
          <w:szCs w:val="21"/>
          <w:highlight w:val="none"/>
        </w:rPr>
        <w:t>2</w:t>
      </w:r>
      <w:bookmarkEnd w:id="131"/>
      <w:r>
        <w:rPr>
          <w:rFonts w:hint="eastAsia" w:ascii="宋体" w:hAnsi="宋体" w:cs="宋体"/>
          <w:b/>
          <w:snapToGrid w:val="0"/>
          <w:color w:val="auto"/>
          <w:kern w:val="0"/>
          <w:szCs w:val="21"/>
          <w:highlight w:val="none"/>
        </w:rPr>
        <w:t>资格审查资料包、商务标两部分，必须分袋密封，</w:t>
      </w:r>
      <w:r>
        <w:rPr>
          <w:rFonts w:hint="eastAsia" w:ascii="宋体" w:hAnsi="宋体" w:cs="宋体"/>
          <w:b/>
          <w:bCs/>
          <w:color w:val="auto"/>
          <w:kern w:val="0"/>
          <w:szCs w:val="21"/>
          <w:highlight w:val="none"/>
        </w:rPr>
        <w:t>正本与副本可合并密封于同一档案袋或分开包装密封</w:t>
      </w:r>
      <w:r>
        <w:rPr>
          <w:rFonts w:hint="eastAsia" w:ascii="宋体" w:hAnsi="宋体" w:cs="宋体"/>
          <w:b/>
          <w:bCs/>
          <w:color w:val="auto"/>
          <w:kern w:val="0"/>
          <w:szCs w:val="21"/>
          <w:highlight w:val="none"/>
          <w:lang w:eastAsia="zh-CN"/>
        </w:rPr>
        <w:t>，</w:t>
      </w:r>
      <w:r>
        <w:rPr>
          <w:rFonts w:hint="eastAsia" w:ascii="宋体" w:hAnsi="宋体" w:cs="宋体"/>
          <w:b/>
          <w:snapToGrid w:val="0"/>
          <w:color w:val="auto"/>
          <w:kern w:val="0"/>
          <w:szCs w:val="21"/>
          <w:highlight w:val="none"/>
        </w:rPr>
        <w:t>并在封袋上加盖投标人单位公章和单位法定代表人章，另须在封袋上标明“资格审查资料包”或“商务标”，同时还要写明项目名称</w:t>
      </w:r>
      <w:r>
        <w:rPr>
          <w:rFonts w:hint="eastAsia" w:ascii="宋体" w:hAnsi="宋体" w:cs="宋体"/>
          <w:b/>
          <w:snapToGrid w:val="0"/>
          <w:color w:val="auto"/>
          <w:kern w:val="0"/>
          <w:szCs w:val="21"/>
          <w:highlight w:val="none"/>
          <w:lang w:eastAsia="zh-CN"/>
        </w:rPr>
        <w:t>。</w:t>
      </w:r>
      <w:r>
        <w:rPr>
          <w:rFonts w:hint="eastAsia" w:ascii="宋体" w:hAnsi="宋体" w:cs="宋体"/>
          <w:b/>
          <w:snapToGrid w:val="0"/>
          <w:color w:val="auto"/>
          <w:kern w:val="0"/>
          <w:szCs w:val="21"/>
          <w:highlight w:val="none"/>
        </w:rPr>
        <w:t>正本与副本分开密封的还须清楚的在封袋上标明正本、副本字样。</w:t>
      </w:r>
    </w:p>
    <w:p w14:paraId="11596AD8">
      <w:pPr>
        <w:shd w:val="clear"/>
        <w:spacing w:line="440" w:lineRule="exact"/>
        <w:ind w:firstLine="420" w:firstLineChars="200"/>
        <w:rPr>
          <w:rFonts w:hint="eastAsia" w:ascii="宋体" w:hAnsi="宋体" w:cs="宋体"/>
          <w:snapToGrid w:val="0"/>
          <w:color w:val="auto"/>
          <w:kern w:val="0"/>
          <w:szCs w:val="21"/>
          <w:highlight w:val="none"/>
        </w:rPr>
      </w:pPr>
      <w:r>
        <w:rPr>
          <w:rFonts w:hint="eastAsia" w:ascii="宋体" w:hAnsi="宋体" w:cs="宋体"/>
          <w:color w:val="auto"/>
          <w:kern w:val="0"/>
          <w:szCs w:val="21"/>
          <w:highlight w:val="none"/>
        </w:rPr>
        <w:t>4.1.3</w:t>
      </w:r>
      <w:r>
        <w:rPr>
          <w:rFonts w:hint="eastAsia" w:ascii="宋体" w:hAnsi="宋体" w:cs="宋体"/>
          <w:snapToGrid w:val="0"/>
          <w:color w:val="auto"/>
          <w:kern w:val="0"/>
          <w:szCs w:val="21"/>
          <w:highlight w:val="none"/>
        </w:rPr>
        <w:t>投标人未按上述规定提交投标文件，其投标文件将被拒绝，并退还给投标人。</w:t>
      </w:r>
    </w:p>
    <w:p w14:paraId="2E649658">
      <w:pPr>
        <w:shd w:val="clear"/>
        <w:autoSpaceDE w:val="0"/>
        <w:autoSpaceDN w:val="0"/>
        <w:spacing w:line="440" w:lineRule="exact"/>
        <w:rPr>
          <w:rFonts w:hint="eastAsia" w:ascii="宋体" w:hAnsi="宋体" w:cs="宋体"/>
          <w:color w:val="auto"/>
          <w:kern w:val="0"/>
          <w:szCs w:val="21"/>
          <w:highlight w:val="none"/>
        </w:rPr>
      </w:pPr>
      <w:bookmarkStart w:id="132" w:name="_Toc398107864"/>
      <w:r>
        <w:rPr>
          <w:rFonts w:hint="eastAsia" w:ascii="宋体" w:hAnsi="宋体" w:cs="宋体"/>
          <w:color w:val="auto"/>
          <w:kern w:val="0"/>
          <w:szCs w:val="21"/>
          <w:highlight w:val="none"/>
        </w:rPr>
        <w:t>4.2 投标文件的递交</w:t>
      </w:r>
      <w:bookmarkEnd w:id="132"/>
    </w:p>
    <w:p w14:paraId="63E87872">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4.2.1 投标人应在投标人须知前附表规定的投标截止时间前递交投标文件，以及第五章“投标文件格式”要求投标人提交的有关证明。</w:t>
      </w:r>
    </w:p>
    <w:p w14:paraId="68619C61">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4.2.2 投标人递交投标文件的地点：见投标人须知前附表。</w:t>
      </w:r>
    </w:p>
    <w:p w14:paraId="03B935D2">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4.2.3 投标人所递交的投标文件不予退还。</w:t>
      </w:r>
    </w:p>
    <w:p w14:paraId="73526113">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33" w:name="_Toc17453"/>
      <w:bookmarkStart w:id="134" w:name="_Toc9194568"/>
      <w:bookmarkStart w:id="135" w:name="_Toc398107865"/>
      <w:bookmarkStart w:id="136" w:name="_Toc112768337"/>
      <w:r>
        <w:rPr>
          <w:rFonts w:hint="eastAsia" w:ascii="宋体" w:hAnsi="宋体" w:eastAsia="宋体" w:cs="宋体"/>
          <w:color w:val="auto"/>
          <w:sz w:val="21"/>
          <w:szCs w:val="21"/>
          <w:highlight w:val="none"/>
        </w:rPr>
        <w:t>4.3 投标文件的修改与撤回</w:t>
      </w:r>
      <w:bookmarkEnd w:id="133"/>
      <w:bookmarkEnd w:id="134"/>
      <w:bookmarkEnd w:id="135"/>
      <w:bookmarkEnd w:id="136"/>
    </w:p>
    <w:p w14:paraId="3A63010D">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4.3.1投标截止期以后，在投标有效期内，投标人不得撤回其投标文件，否则其投标保证金将不予退还。</w:t>
      </w:r>
    </w:p>
    <w:p w14:paraId="032C1FFA">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37" w:name="_Toc7280"/>
      <w:bookmarkStart w:id="138" w:name="_Toc9194569"/>
      <w:bookmarkStart w:id="139" w:name="_Toc398107866"/>
      <w:bookmarkStart w:id="140" w:name="_Toc112768338"/>
      <w:r>
        <w:rPr>
          <w:rFonts w:hint="eastAsia" w:ascii="宋体" w:hAnsi="宋体" w:eastAsia="宋体" w:cs="宋体"/>
          <w:color w:val="auto"/>
          <w:sz w:val="21"/>
          <w:szCs w:val="21"/>
          <w:highlight w:val="none"/>
        </w:rPr>
        <w:t>4.4 不予接收的投标文件</w:t>
      </w:r>
      <w:bookmarkEnd w:id="137"/>
      <w:bookmarkEnd w:id="138"/>
      <w:bookmarkEnd w:id="139"/>
      <w:bookmarkEnd w:id="140"/>
    </w:p>
    <w:p w14:paraId="4ED35B8A">
      <w:pPr>
        <w:shd w:val="clear"/>
        <w:autoSpaceDE w:val="0"/>
        <w:autoSpaceDN w:val="0"/>
        <w:spacing w:line="44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4.4.1 未按规定密封的投标文件，招标人不予接收。</w:t>
      </w:r>
    </w:p>
    <w:p w14:paraId="1D6B8CF0">
      <w:pPr>
        <w:shd w:val="clear"/>
        <w:tabs>
          <w:tab w:val="left" w:pos="72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4.4.2 逾期送达或者未送达指定地点的投标文件，招标人不予接收。</w:t>
      </w:r>
      <w:r>
        <w:rPr>
          <w:rFonts w:hint="eastAsia" w:ascii="宋体" w:hAnsi="宋体" w:cs="宋体"/>
          <w:color w:val="auto"/>
          <w:kern w:val="0"/>
          <w:szCs w:val="21"/>
          <w:highlight w:val="none"/>
        </w:rPr>
        <w:tab/>
      </w:r>
    </w:p>
    <w:p w14:paraId="420A8876">
      <w:pPr>
        <w:pStyle w:val="3"/>
        <w:keepNext w:val="0"/>
        <w:keepLines w:val="0"/>
        <w:shd w:val="clear"/>
        <w:spacing w:before="0" w:after="0" w:line="440" w:lineRule="exact"/>
        <w:rPr>
          <w:rFonts w:hint="eastAsia" w:ascii="宋体" w:hAnsi="宋体" w:eastAsia="宋体" w:cs="宋体"/>
          <w:color w:val="auto"/>
          <w:sz w:val="21"/>
          <w:szCs w:val="21"/>
          <w:highlight w:val="none"/>
        </w:rPr>
      </w:pPr>
      <w:bookmarkStart w:id="141" w:name="_Toc112768339"/>
      <w:bookmarkStart w:id="142" w:name="_Toc398107867"/>
      <w:bookmarkStart w:id="143" w:name="_Toc28243"/>
      <w:bookmarkStart w:id="144" w:name="_Toc9194570"/>
      <w:r>
        <w:rPr>
          <w:rFonts w:hint="eastAsia" w:ascii="宋体" w:hAnsi="宋体" w:eastAsia="宋体" w:cs="宋体"/>
          <w:color w:val="auto"/>
          <w:sz w:val="21"/>
          <w:szCs w:val="21"/>
          <w:highlight w:val="none"/>
        </w:rPr>
        <w:t>5 开标</w:t>
      </w:r>
      <w:bookmarkEnd w:id="141"/>
      <w:bookmarkEnd w:id="142"/>
      <w:bookmarkEnd w:id="143"/>
      <w:bookmarkEnd w:id="144"/>
    </w:p>
    <w:p w14:paraId="2921F654">
      <w:pPr>
        <w:pStyle w:val="4"/>
        <w:keepNext w:val="0"/>
        <w:keepLines w:val="0"/>
        <w:shd w:val="clear"/>
        <w:spacing w:before="0" w:after="0" w:line="440" w:lineRule="exact"/>
        <w:ind w:firstLine="420" w:firstLineChars="200"/>
        <w:rPr>
          <w:rFonts w:hint="eastAsia" w:ascii="宋体" w:hAnsi="宋体" w:eastAsia="宋体" w:cs="宋体"/>
          <w:bCs w:val="0"/>
          <w:color w:val="auto"/>
          <w:sz w:val="21"/>
          <w:szCs w:val="21"/>
          <w:highlight w:val="none"/>
        </w:rPr>
      </w:pPr>
      <w:bookmarkStart w:id="145" w:name="_Toc398107868"/>
      <w:bookmarkStart w:id="146" w:name="_Toc112768340"/>
      <w:bookmarkStart w:id="147" w:name="_Toc21714"/>
      <w:bookmarkStart w:id="148" w:name="_Toc9194571"/>
      <w:r>
        <w:rPr>
          <w:rFonts w:hint="eastAsia" w:ascii="宋体" w:hAnsi="宋体" w:eastAsia="宋体" w:cs="宋体"/>
          <w:bCs w:val="0"/>
          <w:color w:val="auto"/>
          <w:sz w:val="21"/>
          <w:szCs w:val="21"/>
          <w:highlight w:val="none"/>
        </w:rPr>
        <w:t xml:space="preserve">5.1 </w:t>
      </w:r>
      <w:bookmarkEnd w:id="145"/>
      <w:r>
        <w:rPr>
          <w:rFonts w:hint="eastAsia" w:ascii="宋体" w:hAnsi="宋体" w:eastAsia="宋体" w:cs="宋体"/>
          <w:bCs w:val="0"/>
          <w:color w:val="auto"/>
          <w:sz w:val="21"/>
          <w:szCs w:val="21"/>
          <w:highlight w:val="none"/>
        </w:rPr>
        <w:t>招标人在投标人须知前附表规定的开标时间和地点公开开标，并邀请所有投标人参加开标会议，参加开标会议的具体人员及要求见投标须知前附表。</w:t>
      </w:r>
      <w:bookmarkEnd w:id="146"/>
      <w:bookmarkEnd w:id="147"/>
      <w:bookmarkEnd w:id="148"/>
    </w:p>
    <w:p w14:paraId="16F3B7BB">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开标时，由招标人代表或代理机构或投标人代表检查投标文件的密封情况，经确认无误后，由主持人当众宣读招标人认为有必要的内容。投标文件未按照招标文件的要求予以密封的，将作为无效投标文件，退回投标人。</w:t>
      </w:r>
    </w:p>
    <w:p w14:paraId="1EDC31CA">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5.3招标人在招标文件要求提交投标文件的截止时间前收到的所有投标文件，开标时都将当众予以宣读、记录。</w:t>
      </w:r>
    </w:p>
    <w:p w14:paraId="006ED659">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5.4在开标时，投标文件出现下列情况之一的，将作为无效投标文件，不得进入评标：</w:t>
      </w:r>
    </w:p>
    <w:p w14:paraId="3721BE25">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（1）投标文件未按照招标文件的要求予以密封和标志的；</w:t>
      </w:r>
    </w:p>
    <w:p w14:paraId="2488528F">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（2）投标文件中的投标函未加盖投标人的企业或企业法定代表人印章的，或者企业法定代表人委托代理人没有合法、有效的委托书（原件）；</w:t>
      </w:r>
    </w:p>
    <w:p w14:paraId="1CD3F0F9">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（3）投标文件的关键内容字迹模糊、无法辨认的；</w:t>
      </w:r>
    </w:p>
    <w:p w14:paraId="09D03CB4">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（4）投标人未按照招标文件的要求提交投标保证金的；</w:t>
      </w:r>
    </w:p>
    <w:p w14:paraId="14B57A5E">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（5）在一份投标文件中，对同一招标项目报有两个或多个报价，且未书面声明以哪个报价为准；</w:t>
      </w:r>
    </w:p>
    <w:p w14:paraId="11242BBD">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（6）投标文件附有招标人不能接受的条件。</w:t>
      </w:r>
    </w:p>
    <w:p w14:paraId="33AE9EFE">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（7）投标人报价高于等于本项目最高限价的。</w:t>
      </w:r>
    </w:p>
    <w:p w14:paraId="4D164BFE">
      <w:pPr>
        <w:pStyle w:val="3"/>
        <w:keepNext w:val="0"/>
        <w:keepLines w:val="0"/>
        <w:shd w:val="clear"/>
        <w:spacing w:before="0" w:after="0" w:line="440" w:lineRule="exact"/>
        <w:rPr>
          <w:rFonts w:hint="eastAsia" w:ascii="宋体" w:hAnsi="宋体" w:eastAsia="宋体" w:cs="宋体"/>
          <w:color w:val="auto"/>
          <w:sz w:val="21"/>
          <w:szCs w:val="21"/>
          <w:highlight w:val="none"/>
        </w:rPr>
      </w:pPr>
      <w:bookmarkStart w:id="149" w:name="_Toc398107870"/>
      <w:bookmarkStart w:id="150" w:name="_Toc112768341"/>
      <w:bookmarkStart w:id="151" w:name="_Toc9194572"/>
      <w:bookmarkStart w:id="152" w:name="_Toc2127"/>
      <w:r>
        <w:rPr>
          <w:rFonts w:hint="eastAsia" w:ascii="宋体" w:hAnsi="宋体" w:eastAsia="宋体" w:cs="宋体"/>
          <w:color w:val="auto"/>
          <w:sz w:val="21"/>
          <w:szCs w:val="21"/>
          <w:highlight w:val="none"/>
        </w:rPr>
        <w:t>6  评标</w:t>
      </w:r>
      <w:bookmarkEnd w:id="149"/>
      <w:bookmarkEnd w:id="150"/>
      <w:bookmarkEnd w:id="151"/>
      <w:bookmarkEnd w:id="152"/>
    </w:p>
    <w:p w14:paraId="6B6E2151">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53" w:name="_Toc112768342"/>
      <w:bookmarkStart w:id="154" w:name="_Toc1696"/>
      <w:r>
        <w:rPr>
          <w:rFonts w:hint="eastAsia" w:ascii="宋体" w:hAnsi="宋体" w:eastAsia="宋体" w:cs="宋体"/>
          <w:color w:val="auto"/>
          <w:sz w:val="21"/>
          <w:szCs w:val="21"/>
          <w:highlight w:val="none"/>
        </w:rPr>
        <w:t>6.1 评标工作</w:t>
      </w:r>
      <w:bookmarkEnd w:id="153"/>
      <w:bookmarkEnd w:id="154"/>
    </w:p>
    <w:p w14:paraId="7B011CA7">
      <w:pPr>
        <w:shd w:val="clear"/>
        <w:autoSpaceDE w:val="0"/>
        <w:autoSpaceDN w:val="0"/>
        <w:spacing w:line="440" w:lineRule="exact"/>
        <w:ind w:firstLine="420" w:firstLineChars="200"/>
        <w:rPr>
          <w:rFonts w:hint="eastAsia" w:ascii="宋体" w:hAnsi="宋体" w:cs="宋体"/>
          <w:color w:val="auto"/>
          <w:kern w:val="0"/>
          <w:szCs w:val="21"/>
          <w:highlight w:val="none"/>
        </w:rPr>
      </w:pPr>
      <w:bookmarkStart w:id="155" w:name="_Toc112768343"/>
      <w:r>
        <w:rPr>
          <w:rFonts w:hint="eastAsia" w:ascii="宋体" w:hAnsi="宋体" w:cs="宋体"/>
          <w:color w:val="auto"/>
          <w:kern w:val="0"/>
          <w:szCs w:val="21"/>
          <w:highlight w:val="none"/>
        </w:rPr>
        <w:t>由招标人依法组建的评标委员会在招标人评标室进行评标。</w:t>
      </w:r>
    </w:p>
    <w:p w14:paraId="74B53929">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56" w:name="_Toc6210"/>
      <w:r>
        <w:rPr>
          <w:rFonts w:hint="eastAsia" w:ascii="宋体" w:hAnsi="宋体" w:eastAsia="宋体" w:cs="宋体"/>
          <w:color w:val="auto"/>
          <w:sz w:val="21"/>
          <w:szCs w:val="21"/>
          <w:highlight w:val="none"/>
        </w:rPr>
        <w:t>6.2评标标准与方法</w:t>
      </w:r>
      <w:bookmarkEnd w:id="155"/>
      <w:bookmarkEnd w:id="156"/>
    </w:p>
    <w:p w14:paraId="675EDBE5">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详见第二章评标办法。</w:t>
      </w:r>
    </w:p>
    <w:p w14:paraId="3D26BFBA">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57" w:name="_Toc112768344"/>
      <w:bookmarkStart w:id="158" w:name="_Toc30926"/>
      <w:r>
        <w:rPr>
          <w:rFonts w:hint="eastAsia" w:ascii="宋体" w:hAnsi="宋体" w:eastAsia="宋体" w:cs="宋体"/>
          <w:color w:val="auto"/>
          <w:sz w:val="21"/>
          <w:szCs w:val="21"/>
          <w:highlight w:val="none"/>
        </w:rPr>
        <w:t>6.3投标文件的澄清</w:t>
      </w:r>
      <w:bookmarkEnd w:id="157"/>
      <w:bookmarkEnd w:id="158"/>
    </w:p>
    <w:p w14:paraId="12960CC1">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6.3.1 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173F4D9">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6.3.2 投标文件中的大写金额和小写金额不一致，以大写金额为准；总价金额与单价金额不一致，以单价金额为准，但单价金额小数点有明显错误的除外；对不同文字文本投标文件的解释发生异议的，以中文文本为准。</w:t>
      </w:r>
    </w:p>
    <w:p w14:paraId="7884ED2A">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6.4 在评标过程中，评标委员会若发现投标人以他人的名义投标、串通投标、以行贿手段谋取中标或者以其他弄虚作假方式投标的，该投标人的投标书将作废标处理。</w:t>
      </w:r>
    </w:p>
    <w:p w14:paraId="1E8B5746">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6.5 投标人资格条件不符合国家有关规定和招标文件要求的，或者不按照要求对投标文件进行澄清、说明或者补正的，评标委员会可以否决其投标。</w:t>
      </w:r>
    </w:p>
    <w:p w14:paraId="629FEB60">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6.6 评标委员会将审查每一投标文件是否对招标文件提出的所有实质性要求和条件做出响应。未能在实质上响应的投标，将作废标处理。</w:t>
      </w:r>
    </w:p>
    <w:p w14:paraId="2C159EA3">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6.7 投标文件有下述情形之一的，属于重大偏差、视为未能对招标文件做出实质性响应，并按前条规定作废标处理：</w:t>
      </w:r>
    </w:p>
    <w:p w14:paraId="5473A81C">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(1)投标文件中的投标函未加盖投标人的公章；</w:t>
      </w:r>
    </w:p>
    <w:p w14:paraId="74050C4A">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(2)投标文件中的投标函未加盖企业法定代表人（或委托代理人）印章（或签字）的；</w:t>
      </w:r>
    </w:p>
    <w:p w14:paraId="00B57616">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(3)投标函加盖企业委托代理人印章（或签字），委托代理人没有合法、有效的委托书（原件）的；</w:t>
      </w:r>
    </w:p>
    <w:p w14:paraId="4C7FDF91">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(4)投标人资质条件不符合国家有关规定，或者不满足招标文件规定的资格条件的；</w:t>
      </w:r>
    </w:p>
    <w:p w14:paraId="60B092A5">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(5)投标人名称或组织结构与资格预审时不一致的；</w:t>
      </w:r>
    </w:p>
    <w:p w14:paraId="70F6A87E">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(6)除在投标截止时间前经招标人书面同意外，项目负责人与资格预审时不一致的；</w:t>
      </w:r>
    </w:p>
    <w:p w14:paraId="41AAE0D6">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(7)组成联合体投标未提供联合体各方共同投标协议的（本工程不接受联合体）；</w:t>
      </w:r>
    </w:p>
    <w:p w14:paraId="53803D58">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(8)在同一招标项目中，联合体成员以自己名义单独投标或者参加其他联合体投标的；</w:t>
      </w:r>
    </w:p>
    <w:p w14:paraId="79BE3D5F">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(9)联合体成员与资格预审确定的结果不一致的；</w:t>
      </w:r>
    </w:p>
    <w:p w14:paraId="12454EA4">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(10)投标报价低于工程成本或者高于等于招标文件设定的招标控制价或者招标人设置的投标限价的；</w:t>
      </w:r>
    </w:p>
    <w:p w14:paraId="07E69710">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(11)同一投标人提交两个及以上不同的投标文件或者投标报价，但招标文件要求提交备选投标的除外；</w:t>
      </w:r>
    </w:p>
    <w:p w14:paraId="343DFE1B">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(12)未按招标文件要求提供投标保证金的；</w:t>
      </w:r>
    </w:p>
    <w:p w14:paraId="494A1B9D">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(13)投标文件载明的招标项目完成期限超过招标文件规定的期限的；</w:t>
      </w:r>
    </w:p>
    <w:p w14:paraId="3B122CA7">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(14)明显不符合技术规范、技术标准的要求的；</w:t>
      </w:r>
    </w:p>
    <w:p w14:paraId="4347DB9C">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(15)投标文件载明的货物包装方式、检验标准和方法等不符合招标文件的要求的；</w:t>
      </w:r>
    </w:p>
    <w:p w14:paraId="36C0BA74">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(16)投标文件提出了不能满足招标文件要求或招标人不能接受的工程验收、计量、价款结算和支付办法的；</w:t>
      </w:r>
    </w:p>
    <w:p w14:paraId="1ABDB242">
      <w:pPr>
        <w:shd w:val="clea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(17)不同投标人的投标文件以及投标文件制作过程出现了评标委员会认为不应当雷同的情况的；</w:t>
      </w:r>
    </w:p>
    <w:p w14:paraId="7A6C57B4">
      <w:pPr>
        <w:shd w:val="clear"/>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(18)以他人的名义投标、串通投标、以行贿手段谋取中标或者以其他弄虚作假方式投标的；</w:t>
      </w:r>
    </w:p>
    <w:p w14:paraId="296D8A68">
      <w:pPr>
        <w:shd w:val="clear"/>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(19)投标文件关键内容模糊、无法辨认的；</w:t>
      </w:r>
    </w:p>
    <w:p w14:paraId="6A636E8D">
      <w:pPr>
        <w:pStyle w:val="28"/>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(20)投标报价未按要求填写的。</w:t>
      </w:r>
    </w:p>
    <w:p w14:paraId="03950EF6">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6.8 评标委员会根据规定否决不合格投标或者界定为废标后，因有效投标不足三个使得投标明显缺乏竞争的，评标委员会可以否决全部投标。所有投标被否决的，招标人重新招标。</w:t>
      </w:r>
    </w:p>
    <w:p w14:paraId="086BB0E3">
      <w:pPr>
        <w:pStyle w:val="3"/>
        <w:keepNext w:val="0"/>
        <w:keepLines w:val="0"/>
        <w:shd w:val="clear"/>
        <w:spacing w:before="0" w:after="0" w:line="440" w:lineRule="exact"/>
        <w:rPr>
          <w:rFonts w:hint="eastAsia" w:ascii="宋体" w:hAnsi="宋体" w:eastAsia="宋体" w:cs="宋体"/>
          <w:color w:val="auto"/>
          <w:sz w:val="21"/>
          <w:szCs w:val="21"/>
          <w:highlight w:val="none"/>
          <w:lang w:eastAsia="zh-CN"/>
        </w:rPr>
      </w:pPr>
      <w:bookmarkStart w:id="159" w:name="_Toc112768345"/>
      <w:bookmarkStart w:id="160" w:name="_Toc9194573"/>
      <w:bookmarkStart w:id="161" w:name="_Toc398107874"/>
      <w:bookmarkStart w:id="162" w:name="_Toc9543"/>
      <w:r>
        <w:rPr>
          <w:rFonts w:hint="eastAsia" w:ascii="宋体" w:hAnsi="宋体" w:eastAsia="宋体" w:cs="宋体"/>
          <w:color w:val="auto"/>
          <w:sz w:val="21"/>
          <w:szCs w:val="21"/>
          <w:highlight w:val="none"/>
        </w:rPr>
        <w:t xml:space="preserve">7 </w:t>
      </w:r>
      <w:bookmarkEnd w:id="159"/>
      <w:bookmarkEnd w:id="160"/>
      <w:bookmarkEnd w:id="161"/>
      <w:bookmarkEnd w:id="162"/>
      <w:r>
        <w:rPr>
          <w:rFonts w:hint="eastAsia" w:ascii="宋体" w:hAnsi="宋体" w:eastAsia="宋体" w:cs="宋体"/>
          <w:color w:val="auto"/>
          <w:sz w:val="21"/>
          <w:szCs w:val="21"/>
          <w:highlight w:val="none"/>
        </w:rPr>
        <w:t>中标人公告</w:t>
      </w:r>
    </w:p>
    <w:p w14:paraId="266DACD0">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7.1 招标人在收到评标报告后在与招标公告相同的发布媒介上对评标结果进行公示，公示期不少于3日。</w:t>
      </w:r>
    </w:p>
    <w:p w14:paraId="588B71D1">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 投标人或者其他利害关系人对评标结果有异议的，应当在评标结果公示期间向招标人提出异议。招标人自收到异议之日起3日内作出答复，并在作出答复前暂停招标投标活动。</w:t>
      </w:r>
    </w:p>
    <w:p w14:paraId="789A38FD">
      <w:pPr>
        <w:pStyle w:val="3"/>
        <w:keepNext w:val="0"/>
        <w:keepLines w:val="0"/>
        <w:shd w:val="clear"/>
        <w:spacing w:before="0" w:after="0" w:line="440" w:lineRule="exact"/>
        <w:rPr>
          <w:rFonts w:hint="eastAsia" w:ascii="宋体" w:hAnsi="宋体" w:eastAsia="宋体" w:cs="宋体"/>
          <w:color w:val="auto"/>
          <w:sz w:val="21"/>
          <w:szCs w:val="21"/>
          <w:highlight w:val="none"/>
        </w:rPr>
      </w:pPr>
      <w:bookmarkStart w:id="163" w:name="_Toc9194574"/>
      <w:bookmarkStart w:id="164" w:name="_Toc398107875"/>
      <w:bookmarkStart w:id="165" w:name="_Toc18996"/>
      <w:bookmarkStart w:id="166" w:name="_Toc112768346"/>
      <w:r>
        <w:rPr>
          <w:rFonts w:hint="eastAsia" w:ascii="宋体" w:hAnsi="宋体" w:eastAsia="宋体" w:cs="宋体"/>
          <w:color w:val="auto"/>
          <w:sz w:val="21"/>
          <w:szCs w:val="21"/>
          <w:highlight w:val="none"/>
        </w:rPr>
        <w:t>8  合同授予</w:t>
      </w:r>
      <w:bookmarkEnd w:id="163"/>
      <w:bookmarkEnd w:id="164"/>
      <w:bookmarkEnd w:id="165"/>
      <w:bookmarkEnd w:id="166"/>
    </w:p>
    <w:p w14:paraId="4F89287D">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67" w:name="_Toc9194575"/>
      <w:bookmarkStart w:id="168" w:name="_Toc398107876"/>
      <w:bookmarkStart w:id="169" w:name="_Toc112768347"/>
      <w:bookmarkStart w:id="170" w:name="_Toc24149"/>
      <w:r>
        <w:rPr>
          <w:rFonts w:hint="eastAsia" w:ascii="宋体" w:hAnsi="宋体" w:eastAsia="宋体" w:cs="宋体"/>
          <w:color w:val="auto"/>
          <w:sz w:val="21"/>
          <w:szCs w:val="21"/>
          <w:highlight w:val="none"/>
        </w:rPr>
        <w:t>8.1 定标方式</w:t>
      </w:r>
      <w:bookmarkEnd w:id="167"/>
      <w:bookmarkEnd w:id="168"/>
      <w:bookmarkEnd w:id="169"/>
      <w:bookmarkEnd w:id="170"/>
    </w:p>
    <w:p w14:paraId="5BE31083">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除投标人须知前附表规定评标委员会直接确定中标人外，招标人依据评标委员会推荐的中标候选人确定中标人，评标委员会推荐3名中标候选人。</w:t>
      </w:r>
    </w:p>
    <w:p w14:paraId="30FD47E9">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71" w:name="_Toc9194576"/>
      <w:bookmarkStart w:id="172" w:name="_Toc398107877"/>
      <w:bookmarkStart w:id="173" w:name="_Toc21351"/>
      <w:bookmarkStart w:id="174" w:name="_Toc112768348"/>
      <w:r>
        <w:rPr>
          <w:rFonts w:hint="eastAsia" w:ascii="宋体" w:hAnsi="宋体" w:eastAsia="宋体" w:cs="宋体"/>
          <w:color w:val="auto"/>
          <w:sz w:val="21"/>
          <w:szCs w:val="21"/>
          <w:highlight w:val="none"/>
        </w:rPr>
        <w:t>8.2 中标通知</w:t>
      </w:r>
      <w:bookmarkEnd w:id="171"/>
      <w:bookmarkEnd w:id="172"/>
      <w:bookmarkEnd w:id="173"/>
      <w:bookmarkEnd w:id="174"/>
    </w:p>
    <w:p w14:paraId="7FBC72B5">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评标结果公示期间无异议的，招标人</w:t>
      </w:r>
      <w:r>
        <w:rPr>
          <w:rFonts w:hint="eastAsia" w:ascii="宋体" w:hAnsi="宋体" w:cs="宋体"/>
          <w:color w:val="auto"/>
          <w:kern w:val="0"/>
          <w:szCs w:val="21"/>
          <w:highlight w:val="none"/>
          <w:lang w:val="en-US" w:eastAsia="zh-CN"/>
        </w:rPr>
        <w:t>或招标代理</w:t>
      </w:r>
      <w:r>
        <w:rPr>
          <w:rFonts w:hint="eastAsia" w:ascii="宋体" w:hAnsi="宋体" w:cs="宋体"/>
          <w:color w:val="auto"/>
          <w:kern w:val="0"/>
          <w:szCs w:val="21"/>
          <w:highlight w:val="none"/>
        </w:rPr>
        <w:t>以书面形式向中标人发出中标通知书。</w:t>
      </w:r>
    </w:p>
    <w:p w14:paraId="7B898B60">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75" w:name="_Toc28993"/>
      <w:bookmarkStart w:id="176" w:name="_Toc9194577"/>
      <w:bookmarkStart w:id="177" w:name="_Toc112768349"/>
      <w:bookmarkStart w:id="178" w:name="_Toc398107878"/>
      <w:r>
        <w:rPr>
          <w:rFonts w:hint="eastAsia" w:ascii="宋体" w:hAnsi="宋体" w:eastAsia="宋体" w:cs="宋体"/>
          <w:color w:val="auto"/>
          <w:sz w:val="21"/>
          <w:szCs w:val="21"/>
          <w:highlight w:val="none"/>
        </w:rPr>
        <w:t>8.3 签订合同</w:t>
      </w:r>
      <w:bookmarkEnd w:id="175"/>
      <w:bookmarkEnd w:id="176"/>
      <w:bookmarkEnd w:id="177"/>
      <w:bookmarkEnd w:id="178"/>
    </w:p>
    <w:p w14:paraId="66B4EB5E">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8.3.1 招标人和中标人应当自中标通知书发出之日起30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45B65AFA">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8.3.2 发出中标通知书后，招标人无正当理由拒签合同的，招标人向中标人退还投标保证金；给中标人造成损失的，还应当赔偿损失。</w:t>
      </w:r>
    </w:p>
    <w:p w14:paraId="7FCCFCE3">
      <w:pPr>
        <w:pStyle w:val="3"/>
        <w:keepNext w:val="0"/>
        <w:keepLines w:val="0"/>
        <w:shd w:val="clear"/>
        <w:spacing w:before="0" w:after="0" w:line="440" w:lineRule="exact"/>
        <w:rPr>
          <w:rFonts w:hint="eastAsia" w:ascii="宋体" w:hAnsi="宋体" w:eastAsia="宋体" w:cs="宋体"/>
          <w:color w:val="auto"/>
          <w:sz w:val="21"/>
          <w:szCs w:val="21"/>
          <w:highlight w:val="none"/>
        </w:rPr>
      </w:pPr>
      <w:bookmarkStart w:id="179" w:name="_Toc11318"/>
      <w:bookmarkStart w:id="180" w:name="_Toc398107879"/>
      <w:bookmarkStart w:id="181" w:name="_Toc9194578"/>
      <w:bookmarkStart w:id="182" w:name="_Toc112768350"/>
      <w:r>
        <w:rPr>
          <w:rFonts w:hint="eastAsia" w:ascii="宋体" w:hAnsi="宋体" w:eastAsia="宋体" w:cs="宋体"/>
          <w:color w:val="auto"/>
          <w:sz w:val="21"/>
          <w:szCs w:val="21"/>
          <w:highlight w:val="none"/>
        </w:rPr>
        <w:t>9  纪律和监督</w:t>
      </w:r>
      <w:bookmarkEnd w:id="179"/>
      <w:bookmarkEnd w:id="180"/>
      <w:bookmarkEnd w:id="181"/>
      <w:bookmarkEnd w:id="182"/>
    </w:p>
    <w:p w14:paraId="760E8906">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83" w:name="_Toc9194579"/>
      <w:bookmarkStart w:id="184" w:name="_Toc112768351"/>
      <w:bookmarkStart w:id="185" w:name="_Toc398107880"/>
      <w:bookmarkStart w:id="186" w:name="_Toc23232"/>
      <w:r>
        <w:rPr>
          <w:rFonts w:hint="eastAsia" w:ascii="宋体" w:hAnsi="宋体" w:eastAsia="宋体" w:cs="宋体"/>
          <w:color w:val="auto"/>
          <w:sz w:val="21"/>
          <w:szCs w:val="21"/>
          <w:highlight w:val="none"/>
        </w:rPr>
        <w:t>9.1 对招标人的纪律要求</w:t>
      </w:r>
      <w:bookmarkEnd w:id="183"/>
      <w:bookmarkEnd w:id="184"/>
      <w:bookmarkEnd w:id="185"/>
      <w:bookmarkEnd w:id="186"/>
    </w:p>
    <w:p w14:paraId="26AB8F10">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招标人不得泄漏招标投标活动中应当保密的情况和资料，不得与投标人串通损害国家利益、社会公共利益或者他人合法权益。</w:t>
      </w:r>
    </w:p>
    <w:p w14:paraId="1E9C113C">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87" w:name="_Toc398107881"/>
      <w:bookmarkStart w:id="188" w:name="_Toc112768352"/>
      <w:bookmarkStart w:id="189" w:name="_Toc9194580"/>
      <w:bookmarkStart w:id="190" w:name="_Toc6679"/>
      <w:r>
        <w:rPr>
          <w:rFonts w:hint="eastAsia" w:ascii="宋体" w:hAnsi="宋体" w:eastAsia="宋体" w:cs="宋体"/>
          <w:color w:val="auto"/>
          <w:sz w:val="21"/>
          <w:szCs w:val="21"/>
          <w:highlight w:val="none"/>
        </w:rPr>
        <w:t>9.2 对投标人的纪律要求</w:t>
      </w:r>
      <w:bookmarkEnd w:id="187"/>
      <w:bookmarkEnd w:id="188"/>
      <w:bookmarkEnd w:id="189"/>
      <w:bookmarkEnd w:id="190"/>
    </w:p>
    <w:p w14:paraId="644DFC04">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CA21C3">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91" w:name="_Toc112768353"/>
      <w:bookmarkStart w:id="192" w:name="_Toc9194581"/>
      <w:bookmarkStart w:id="193" w:name="_Toc398107882"/>
      <w:bookmarkStart w:id="194" w:name="_Toc32669"/>
      <w:r>
        <w:rPr>
          <w:rFonts w:hint="eastAsia" w:ascii="宋体" w:hAnsi="宋体" w:eastAsia="宋体" w:cs="宋体"/>
          <w:color w:val="auto"/>
          <w:sz w:val="21"/>
          <w:szCs w:val="21"/>
          <w:highlight w:val="none"/>
        </w:rPr>
        <w:t>9.3 对评标委员会成员的纪律要求</w:t>
      </w:r>
      <w:bookmarkEnd w:id="191"/>
      <w:bookmarkEnd w:id="192"/>
      <w:bookmarkEnd w:id="193"/>
      <w:bookmarkEnd w:id="194"/>
    </w:p>
    <w:p w14:paraId="4B7DF66D">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3A63A377">
      <w:pPr>
        <w:pStyle w:val="4"/>
        <w:keepNext w:val="0"/>
        <w:keepLines w:val="0"/>
        <w:shd w:val="clear"/>
        <w:spacing w:before="0" w:after="0" w:line="440" w:lineRule="exact"/>
        <w:rPr>
          <w:rFonts w:hint="eastAsia" w:ascii="宋体" w:hAnsi="宋体" w:eastAsia="宋体" w:cs="宋体"/>
          <w:color w:val="auto"/>
          <w:sz w:val="21"/>
          <w:szCs w:val="21"/>
          <w:highlight w:val="none"/>
        </w:rPr>
      </w:pPr>
      <w:bookmarkStart w:id="195" w:name="_Toc112768354"/>
      <w:bookmarkStart w:id="196" w:name="_Toc398107883"/>
      <w:bookmarkStart w:id="197" w:name="_Toc5910"/>
      <w:bookmarkStart w:id="198" w:name="_Toc9194582"/>
      <w:r>
        <w:rPr>
          <w:rFonts w:hint="eastAsia" w:ascii="宋体" w:hAnsi="宋体" w:eastAsia="宋体" w:cs="宋体"/>
          <w:color w:val="auto"/>
          <w:sz w:val="21"/>
          <w:szCs w:val="21"/>
          <w:highlight w:val="none"/>
        </w:rPr>
        <w:t>9.4 对与评标活动有关的工作人员的纪律要求</w:t>
      </w:r>
      <w:bookmarkEnd w:id="195"/>
      <w:bookmarkEnd w:id="196"/>
      <w:bookmarkEnd w:id="197"/>
      <w:bookmarkEnd w:id="198"/>
    </w:p>
    <w:p w14:paraId="1B82ED57">
      <w:pPr>
        <w:shd w:val="clear"/>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8D7E5AC">
      <w:pPr>
        <w:pStyle w:val="3"/>
        <w:keepNext w:val="0"/>
        <w:keepLines w:val="0"/>
        <w:shd w:val="clear"/>
        <w:spacing w:before="0" w:after="0" w:line="440" w:lineRule="exact"/>
        <w:rPr>
          <w:rFonts w:hint="eastAsia" w:ascii="宋体" w:hAnsi="宋体" w:eastAsia="宋体" w:cs="宋体"/>
          <w:color w:val="auto"/>
          <w:sz w:val="21"/>
          <w:szCs w:val="21"/>
          <w:highlight w:val="none"/>
        </w:rPr>
      </w:pPr>
      <w:bookmarkStart w:id="199" w:name="_Toc9194584"/>
      <w:bookmarkStart w:id="200" w:name="_Toc398107885"/>
      <w:bookmarkStart w:id="201" w:name="_Toc8320"/>
      <w:bookmarkStart w:id="202" w:name="_Toc112768356"/>
      <w:r>
        <w:rPr>
          <w:rFonts w:hint="eastAsia" w:ascii="宋体" w:hAnsi="宋体" w:eastAsia="宋体" w:cs="宋体"/>
          <w:color w:val="auto"/>
          <w:sz w:val="21"/>
          <w:szCs w:val="21"/>
          <w:highlight w:val="none"/>
        </w:rPr>
        <w:t>10 需要补充的其他内容</w:t>
      </w:r>
      <w:bookmarkEnd w:id="199"/>
      <w:bookmarkEnd w:id="200"/>
      <w:bookmarkEnd w:id="201"/>
      <w:bookmarkEnd w:id="202"/>
    </w:p>
    <w:p w14:paraId="5D929A66">
      <w:pPr>
        <w:shd w:val="clea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需要补充的其他内容：见投标人须知前附表。</w:t>
      </w:r>
      <w:bookmarkStart w:id="203" w:name="_Toc152045600"/>
      <w:bookmarkStart w:id="204" w:name="_Toc179632618"/>
      <w:bookmarkStart w:id="205" w:name="_Toc152042377"/>
      <w:bookmarkStart w:id="206" w:name="_Toc144974567"/>
    </w:p>
    <w:p w14:paraId="5C3A2D9E">
      <w:pPr>
        <w:pStyle w:val="2"/>
        <w:keepNext w:val="0"/>
        <w:keepLines w:val="0"/>
        <w:shd w:val="clear"/>
        <w:spacing w:before="0" w:after="0" w:line="360" w:lineRule="auto"/>
        <w:rPr>
          <w:rFonts w:hint="eastAsia" w:ascii="宋体" w:hAnsi="宋体" w:cs="宋体"/>
          <w:color w:val="auto"/>
          <w:kern w:val="0"/>
          <w:sz w:val="21"/>
          <w:szCs w:val="21"/>
          <w:highlight w:val="none"/>
        </w:rPr>
        <w:sectPr>
          <w:pgSz w:w="11906" w:h="16838"/>
          <w:pgMar w:top="1417" w:right="1701" w:bottom="1417" w:left="1701" w:header="851" w:footer="992" w:gutter="0"/>
          <w:cols w:space="0" w:num="1"/>
          <w:docGrid w:type="lines" w:linePitch="312" w:charSpace="0"/>
        </w:sectPr>
      </w:pPr>
    </w:p>
    <w:p w14:paraId="3EF4FC30">
      <w:pPr>
        <w:pStyle w:val="2"/>
        <w:keepNext w:val="0"/>
        <w:keepLines w:val="0"/>
        <w:shd w:val="clear"/>
        <w:adjustRightInd w:val="0"/>
        <w:snapToGrid w:val="0"/>
        <w:spacing w:before="0" w:after="0" w:line="360" w:lineRule="auto"/>
        <w:jc w:val="center"/>
        <w:rPr>
          <w:rFonts w:hint="eastAsia" w:ascii="宋体" w:hAnsi="宋体" w:cs="宋体"/>
          <w:color w:val="auto"/>
          <w:kern w:val="0"/>
          <w:sz w:val="32"/>
          <w:szCs w:val="40"/>
          <w:highlight w:val="none"/>
        </w:rPr>
      </w:pPr>
      <w:bookmarkStart w:id="207" w:name="_Toc28937"/>
      <w:bookmarkStart w:id="208" w:name="_Toc3665"/>
      <w:bookmarkStart w:id="209" w:name="_Toc23795"/>
      <w:r>
        <w:rPr>
          <w:rFonts w:hint="eastAsia" w:ascii="宋体" w:hAnsi="宋体" w:cs="宋体"/>
          <w:color w:val="auto"/>
          <w:kern w:val="0"/>
          <w:sz w:val="32"/>
          <w:szCs w:val="40"/>
          <w:highlight w:val="none"/>
        </w:rPr>
        <w:t>第二章评标办法</w:t>
      </w:r>
      <w:bookmarkEnd w:id="207"/>
      <w:bookmarkEnd w:id="208"/>
      <w:bookmarkEnd w:id="209"/>
      <w:bookmarkStart w:id="210" w:name="_Toc152045599"/>
      <w:bookmarkStart w:id="211" w:name="_Toc152042376"/>
      <w:bookmarkStart w:id="212" w:name="_Toc144974566"/>
      <w:bookmarkStart w:id="213" w:name="_Toc179632617"/>
    </w:p>
    <w:bookmarkEnd w:id="203"/>
    <w:bookmarkEnd w:id="204"/>
    <w:bookmarkEnd w:id="205"/>
    <w:bookmarkEnd w:id="206"/>
    <w:bookmarkEnd w:id="210"/>
    <w:bookmarkEnd w:id="211"/>
    <w:bookmarkEnd w:id="212"/>
    <w:bookmarkEnd w:id="213"/>
    <w:p w14:paraId="577B8598">
      <w:pPr>
        <w:shd w:val="clear"/>
        <w:spacing w:line="360" w:lineRule="auto"/>
        <w:ind w:firstLine="482"/>
        <w:rPr>
          <w:rFonts w:hint="eastAsia" w:ascii="宋体" w:hAnsi="宋体" w:cs="宋体"/>
          <w:b/>
          <w:bCs/>
          <w:color w:val="auto"/>
          <w:kern w:val="0"/>
          <w:highlight w:val="none"/>
        </w:rPr>
      </w:pPr>
      <w:r>
        <w:rPr>
          <w:rFonts w:hint="eastAsia" w:ascii="宋体" w:hAnsi="宋体" w:cs="宋体"/>
          <w:b/>
          <w:bCs/>
          <w:color w:val="auto"/>
          <w:kern w:val="0"/>
          <w:highlight w:val="none"/>
        </w:rPr>
        <w:t>一、本工程采用资格后审，具体资格审查及评标细则如下：</w:t>
      </w:r>
    </w:p>
    <w:p w14:paraId="38C0EEFD">
      <w:pPr>
        <w:shd w:val="clear"/>
        <w:spacing w:line="360" w:lineRule="auto"/>
        <w:ind w:firstLine="482"/>
        <w:rPr>
          <w:rFonts w:hint="eastAsia" w:ascii="宋体" w:hAnsi="宋体" w:cs="宋体"/>
          <w:color w:val="auto"/>
          <w:kern w:val="0"/>
          <w:highlight w:val="none"/>
        </w:rPr>
      </w:pPr>
      <w:r>
        <w:rPr>
          <w:rFonts w:hint="eastAsia" w:ascii="宋体" w:hAnsi="宋体" w:cs="宋体"/>
          <w:color w:val="auto"/>
          <w:kern w:val="0"/>
          <w:highlight w:val="none"/>
        </w:rPr>
        <w:t>（一）评标程序</w:t>
      </w:r>
    </w:p>
    <w:p w14:paraId="5C9D206C">
      <w:pPr>
        <w:shd w:val="clear"/>
        <w:adjustRightInd w:val="0"/>
        <w:snapToGrid w:val="0"/>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kern w:val="0"/>
          <w:highlight w:val="none"/>
        </w:rPr>
        <w:t>资格审查→商务标开标→商务标评审→确定中标候选人</w:t>
      </w:r>
    </w:p>
    <w:p w14:paraId="12F1B823">
      <w:pPr>
        <w:shd w:val="clear"/>
        <w:adjustRightInd w:val="0"/>
        <w:snapToGrid w:val="0"/>
        <w:spacing w:line="360" w:lineRule="auto"/>
        <w:ind w:firstLine="482"/>
        <w:rPr>
          <w:rFonts w:hint="eastAsia" w:ascii="宋体" w:hAnsi="宋体" w:cs="宋体"/>
          <w:b/>
          <w:bCs/>
          <w:color w:val="auto"/>
          <w:kern w:val="0"/>
          <w:highlight w:val="none"/>
        </w:rPr>
      </w:pPr>
      <w:r>
        <w:rPr>
          <w:rFonts w:hint="eastAsia" w:ascii="宋体" w:hAnsi="宋体" w:cs="宋体"/>
          <w:color w:val="auto"/>
          <w:kern w:val="0"/>
          <w:highlight w:val="none"/>
        </w:rPr>
        <w:t>（二）评审标准</w:t>
      </w:r>
    </w:p>
    <w:p w14:paraId="5E31D594">
      <w:pPr>
        <w:shd w:val="clear"/>
        <w:adjustRightInd w:val="0"/>
        <w:snapToGrid w:val="0"/>
        <w:spacing w:line="360" w:lineRule="auto"/>
        <w:ind w:firstLine="482"/>
        <w:rPr>
          <w:rFonts w:hint="eastAsia" w:ascii="宋体" w:hAnsi="宋体" w:cs="宋体"/>
          <w:b/>
          <w:bCs/>
          <w:color w:val="auto"/>
          <w:kern w:val="0"/>
          <w:highlight w:val="none"/>
        </w:rPr>
      </w:pPr>
      <w:r>
        <w:rPr>
          <w:rFonts w:hint="eastAsia" w:ascii="宋体" w:hAnsi="宋体" w:cs="宋体"/>
          <w:color w:val="auto"/>
          <w:kern w:val="0"/>
          <w:highlight w:val="none"/>
        </w:rPr>
        <w:t>评标委员会将按评审标准、资格评审标准的合格条件，对各投标人递交的资格审查书面资料进行评审，并公布资格审查合格者名单。</w:t>
      </w:r>
    </w:p>
    <w:p w14:paraId="38DB77D1">
      <w:pPr>
        <w:shd w:val="clear"/>
        <w:spacing w:line="360" w:lineRule="auto"/>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1、资格符合性评审</w:t>
      </w:r>
    </w:p>
    <w:p w14:paraId="569059BA">
      <w:pPr>
        <w:shd w:val="clear"/>
        <w:adjustRightInd w:val="0"/>
        <w:snapToGrid w:val="0"/>
        <w:spacing w:line="360" w:lineRule="auto"/>
        <w:ind w:firstLine="422" w:firstLineChars="200"/>
        <w:jc w:val="center"/>
        <w:rPr>
          <w:rFonts w:hint="eastAsia" w:ascii="宋体" w:hAnsi="宋体" w:cs="宋体"/>
          <w:color w:val="auto"/>
          <w:kern w:val="0"/>
          <w:highlight w:val="none"/>
        </w:rPr>
      </w:pPr>
      <w:r>
        <w:rPr>
          <w:rFonts w:hint="eastAsia" w:ascii="宋体" w:hAnsi="宋体" w:cs="宋体"/>
          <w:b/>
          <w:color w:val="auto"/>
          <w:kern w:val="0"/>
          <w:highlight w:val="none"/>
        </w:rPr>
        <w:t>资格审查标准汇总表</w:t>
      </w:r>
    </w:p>
    <w:tbl>
      <w:tblPr>
        <w:tblStyle w:val="29"/>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072"/>
        <w:gridCol w:w="3476"/>
        <w:gridCol w:w="3238"/>
      </w:tblGrid>
      <w:tr w14:paraId="6282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2"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ACF1560">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072"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573F7C9">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项目内容</w:t>
            </w:r>
          </w:p>
        </w:tc>
        <w:tc>
          <w:tcPr>
            <w:tcW w:w="3476"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CF5DA38">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合格条件</w:t>
            </w:r>
          </w:p>
        </w:tc>
        <w:tc>
          <w:tcPr>
            <w:tcW w:w="3238" w:type="dxa"/>
            <w:tcBorders>
              <w:top w:val="single" w:color="auto" w:sz="4" w:space="0"/>
              <w:left w:val="single" w:color="auto" w:sz="4" w:space="0"/>
              <w:bottom w:val="single" w:color="auto" w:sz="4" w:space="0"/>
              <w:right w:val="single" w:color="auto" w:sz="4" w:space="0"/>
            </w:tcBorders>
            <w:shd w:val="clear" w:color="auto" w:fill="DCE6F2" w:themeFill="accent1" w:themeFillTint="32"/>
            <w:noWrap/>
            <w:vAlign w:val="center"/>
          </w:tcPr>
          <w:p w14:paraId="7EC18E73">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投标人需提供的材料</w:t>
            </w:r>
          </w:p>
        </w:tc>
      </w:tr>
      <w:tr w14:paraId="000E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50BB508D">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072" w:type="dxa"/>
            <w:tcBorders>
              <w:top w:val="single" w:color="auto" w:sz="4" w:space="0"/>
              <w:left w:val="single" w:color="auto" w:sz="4" w:space="0"/>
              <w:bottom w:val="single" w:color="auto" w:sz="4" w:space="0"/>
              <w:right w:val="single" w:color="auto" w:sz="4" w:space="0"/>
            </w:tcBorders>
            <w:noWrap/>
            <w:vAlign w:val="center"/>
          </w:tcPr>
          <w:p w14:paraId="3D0E0033">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法定代表人身份证明</w:t>
            </w:r>
          </w:p>
        </w:tc>
        <w:tc>
          <w:tcPr>
            <w:tcW w:w="3476" w:type="dxa"/>
            <w:tcBorders>
              <w:top w:val="single" w:color="auto" w:sz="4" w:space="0"/>
              <w:left w:val="single" w:color="auto" w:sz="4" w:space="0"/>
              <w:bottom w:val="single" w:color="auto" w:sz="4" w:space="0"/>
              <w:right w:val="single" w:color="auto" w:sz="4" w:space="0"/>
            </w:tcBorders>
            <w:noWrap/>
            <w:vAlign w:val="center"/>
          </w:tcPr>
          <w:p w14:paraId="5D2A693C">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若为法定代表人参与投标，提供有效的法定代表人身份证明书。</w:t>
            </w:r>
          </w:p>
        </w:tc>
        <w:tc>
          <w:tcPr>
            <w:tcW w:w="3238" w:type="dxa"/>
            <w:tcBorders>
              <w:top w:val="single" w:color="auto" w:sz="4" w:space="0"/>
              <w:left w:val="single" w:color="auto" w:sz="4" w:space="0"/>
              <w:bottom w:val="single" w:color="auto" w:sz="4" w:space="0"/>
              <w:right w:val="single" w:color="auto" w:sz="4" w:space="0"/>
            </w:tcBorders>
            <w:noWrap/>
            <w:vAlign w:val="center"/>
          </w:tcPr>
          <w:p w14:paraId="3F14124A">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法定代表人身份证明书原件</w:t>
            </w:r>
          </w:p>
        </w:tc>
      </w:tr>
      <w:tr w14:paraId="0F36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4824CA41">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072" w:type="dxa"/>
            <w:tcBorders>
              <w:top w:val="single" w:color="auto" w:sz="4" w:space="0"/>
              <w:left w:val="single" w:color="auto" w:sz="4" w:space="0"/>
              <w:bottom w:val="single" w:color="auto" w:sz="4" w:space="0"/>
              <w:right w:val="single" w:color="auto" w:sz="4" w:space="0"/>
            </w:tcBorders>
            <w:noWrap/>
            <w:vAlign w:val="center"/>
          </w:tcPr>
          <w:p w14:paraId="46700D62">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授权委托书（若有授权）</w:t>
            </w:r>
          </w:p>
        </w:tc>
        <w:tc>
          <w:tcPr>
            <w:tcW w:w="3476" w:type="dxa"/>
            <w:tcBorders>
              <w:top w:val="single" w:color="auto" w:sz="4" w:space="0"/>
              <w:left w:val="single" w:color="auto" w:sz="4" w:space="0"/>
              <w:bottom w:val="single" w:color="auto" w:sz="4" w:space="0"/>
              <w:right w:val="single" w:color="auto" w:sz="4" w:space="0"/>
            </w:tcBorders>
            <w:noWrap/>
            <w:vAlign w:val="center"/>
          </w:tcPr>
          <w:p w14:paraId="53BE540C">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若为授权代理人参与投标，法定代表人、代理人在授权委托书上签字，加盖单位公章。（附法定代表人及代理人身份证复印件）</w:t>
            </w:r>
          </w:p>
        </w:tc>
        <w:tc>
          <w:tcPr>
            <w:tcW w:w="3238" w:type="dxa"/>
            <w:tcBorders>
              <w:top w:val="single" w:color="auto" w:sz="4" w:space="0"/>
              <w:left w:val="single" w:color="auto" w:sz="4" w:space="0"/>
              <w:bottom w:val="single" w:color="auto" w:sz="4" w:space="0"/>
              <w:right w:val="single" w:color="auto" w:sz="4" w:space="0"/>
            </w:tcBorders>
            <w:noWrap/>
            <w:vAlign w:val="center"/>
          </w:tcPr>
          <w:p w14:paraId="47AB3C55">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授权委托书原件</w:t>
            </w:r>
          </w:p>
        </w:tc>
      </w:tr>
      <w:tr w14:paraId="27F0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32FD6F75">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072" w:type="dxa"/>
            <w:tcBorders>
              <w:top w:val="single" w:color="auto" w:sz="4" w:space="0"/>
              <w:left w:val="single" w:color="auto" w:sz="4" w:space="0"/>
              <w:bottom w:val="single" w:color="auto" w:sz="4" w:space="0"/>
              <w:right w:val="single" w:color="auto" w:sz="4" w:space="0"/>
            </w:tcBorders>
            <w:noWrap/>
            <w:vAlign w:val="center"/>
          </w:tcPr>
          <w:p w14:paraId="3FA9B7AB">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具有独立订立合同的能力</w:t>
            </w:r>
          </w:p>
        </w:tc>
        <w:tc>
          <w:tcPr>
            <w:tcW w:w="3476" w:type="dxa"/>
            <w:tcBorders>
              <w:top w:val="single" w:color="auto" w:sz="4" w:space="0"/>
              <w:left w:val="single" w:color="auto" w:sz="4" w:space="0"/>
              <w:bottom w:val="single" w:color="auto" w:sz="4" w:space="0"/>
              <w:right w:val="single" w:color="auto" w:sz="4" w:space="0"/>
            </w:tcBorders>
            <w:noWrap/>
            <w:vAlign w:val="center"/>
          </w:tcPr>
          <w:p w14:paraId="6CF7DEA1">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工商行政管理部门颁发的有效的法人营业执照</w:t>
            </w:r>
          </w:p>
        </w:tc>
        <w:tc>
          <w:tcPr>
            <w:tcW w:w="3238" w:type="dxa"/>
            <w:tcBorders>
              <w:top w:val="single" w:color="auto" w:sz="4" w:space="0"/>
              <w:left w:val="single" w:color="auto" w:sz="4" w:space="0"/>
              <w:bottom w:val="single" w:color="auto" w:sz="4" w:space="0"/>
              <w:right w:val="single" w:color="auto" w:sz="4" w:space="0"/>
            </w:tcBorders>
            <w:noWrap/>
            <w:vAlign w:val="center"/>
          </w:tcPr>
          <w:p w14:paraId="7C24B993">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企业营业执照</w:t>
            </w:r>
          </w:p>
        </w:tc>
      </w:tr>
      <w:tr w14:paraId="5EED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4651D80E">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072" w:type="dxa"/>
            <w:tcBorders>
              <w:top w:val="single" w:color="auto" w:sz="4" w:space="0"/>
              <w:left w:val="single" w:color="auto" w:sz="4" w:space="0"/>
              <w:bottom w:val="single" w:color="auto" w:sz="4" w:space="0"/>
              <w:right w:val="single" w:color="auto" w:sz="4" w:space="0"/>
            </w:tcBorders>
            <w:noWrap/>
            <w:vAlign w:val="center"/>
          </w:tcPr>
          <w:p w14:paraId="4CDA7171">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企业资质类别等级</w:t>
            </w:r>
          </w:p>
        </w:tc>
        <w:tc>
          <w:tcPr>
            <w:tcW w:w="3476" w:type="dxa"/>
            <w:tcBorders>
              <w:top w:val="single" w:color="auto" w:sz="4" w:space="0"/>
              <w:left w:val="single" w:color="auto" w:sz="4" w:space="0"/>
              <w:bottom w:val="single" w:color="auto" w:sz="4" w:space="0"/>
              <w:right w:val="single" w:color="auto" w:sz="4" w:space="0"/>
            </w:tcBorders>
            <w:noWrap/>
            <w:vAlign w:val="center"/>
          </w:tcPr>
          <w:p w14:paraId="733EEC84">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满足下列条件之一：</w:t>
            </w:r>
          </w:p>
          <w:p w14:paraId="50047671">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①建设部核发的工程监理综合资质；</w:t>
            </w:r>
          </w:p>
          <w:p w14:paraId="5640BBDE">
            <w:pPr>
              <w:widowControl/>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②具备市政公用工程监理丙级及以上资质。</w:t>
            </w:r>
          </w:p>
        </w:tc>
        <w:tc>
          <w:tcPr>
            <w:tcW w:w="3238" w:type="dxa"/>
            <w:tcBorders>
              <w:top w:val="single" w:color="auto" w:sz="4" w:space="0"/>
              <w:left w:val="single" w:color="auto" w:sz="4" w:space="0"/>
              <w:bottom w:val="single" w:color="auto" w:sz="4" w:space="0"/>
              <w:right w:val="single" w:color="auto" w:sz="4" w:space="0"/>
            </w:tcBorders>
            <w:noWrap/>
            <w:vAlign w:val="center"/>
          </w:tcPr>
          <w:p w14:paraId="0C74264B">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有效的企业资质证书</w:t>
            </w:r>
          </w:p>
        </w:tc>
      </w:tr>
      <w:tr w14:paraId="6343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613656D3">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072" w:type="dxa"/>
            <w:tcBorders>
              <w:top w:val="single" w:color="auto" w:sz="4" w:space="0"/>
              <w:left w:val="single" w:color="auto" w:sz="4" w:space="0"/>
              <w:bottom w:val="single" w:color="auto" w:sz="4" w:space="0"/>
              <w:right w:val="single" w:color="auto" w:sz="4" w:space="0"/>
            </w:tcBorders>
            <w:noWrap/>
            <w:vAlign w:val="center"/>
          </w:tcPr>
          <w:p w14:paraId="7CADDA27">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2"/>
                <w:highlight w:val="none"/>
              </w:rPr>
              <w:t>拟派总监理工程师、专业监理工程师、监理员资质等级</w:t>
            </w:r>
          </w:p>
        </w:tc>
        <w:tc>
          <w:tcPr>
            <w:tcW w:w="3476" w:type="dxa"/>
            <w:tcBorders>
              <w:top w:val="single" w:color="auto" w:sz="4" w:space="0"/>
              <w:left w:val="single" w:color="auto" w:sz="4" w:space="0"/>
              <w:bottom w:val="single" w:color="auto" w:sz="4" w:space="0"/>
              <w:right w:val="single" w:color="auto" w:sz="4" w:space="0"/>
            </w:tcBorders>
            <w:noWrap/>
            <w:vAlign w:val="center"/>
          </w:tcPr>
          <w:p w14:paraId="349713E3">
            <w:pPr>
              <w:pStyle w:val="37"/>
              <w:shd w:val="clear"/>
              <w:adjustRightInd w:val="0"/>
              <w:snapToGrid w:val="0"/>
              <w:spacing w:line="360" w:lineRule="auto"/>
              <w:ind w:firstLine="0" w:firstLineChars="0"/>
              <w:rPr>
                <w:rFonts w:hint="eastAsia" w:ascii="宋体" w:hAnsi="宋体" w:cs="宋体"/>
                <w:color w:val="auto"/>
                <w:kern w:val="0"/>
                <w:szCs w:val="22"/>
                <w:highlight w:val="none"/>
              </w:rPr>
            </w:pPr>
            <w:r>
              <w:rPr>
                <w:rFonts w:hint="eastAsia" w:ascii="宋体" w:hAnsi="宋体" w:cs="宋体"/>
                <w:color w:val="auto"/>
                <w:kern w:val="0"/>
                <w:szCs w:val="21"/>
                <w:highlight w:val="none"/>
              </w:rPr>
              <w:t>1</w:t>
            </w:r>
            <w:r>
              <w:rPr>
                <w:rFonts w:hint="eastAsia" w:ascii="宋体" w:hAnsi="宋体" w:cs="宋体"/>
                <w:color w:val="auto"/>
                <w:kern w:val="0"/>
                <w:szCs w:val="22"/>
                <w:highlight w:val="none"/>
              </w:rPr>
              <w:t>、国家注册监理工程师，注册专业为市政公用工程专业。拟派总监不得为企业法定代表人或董事长。</w:t>
            </w:r>
          </w:p>
          <w:p w14:paraId="22E2BFE9">
            <w:pPr>
              <w:shd w:val="clear"/>
              <w:autoSpaceDE w:val="0"/>
              <w:autoSpaceDN w:val="0"/>
              <w:adjustRightInd w:val="0"/>
              <w:snapToGrid w:val="0"/>
              <w:spacing w:line="360" w:lineRule="auto"/>
              <w:rPr>
                <w:rFonts w:hint="eastAsia" w:ascii="宋体" w:hAnsi="宋体" w:cs="宋体"/>
                <w:color w:val="auto"/>
                <w:kern w:val="0"/>
                <w:szCs w:val="22"/>
                <w:highlight w:val="none"/>
              </w:rPr>
            </w:pPr>
            <w:r>
              <w:rPr>
                <w:rFonts w:hint="eastAsia" w:ascii="宋体" w:hAnsi="宋体" w:cs="宋体"/>
                <w:color w:val="auto"/>
                <w:kern w:val="0"/>
                <w:szCs w:val="22"/>
                <w:highlight w:val="none"/>
              </w:rPr>
              <w:t>2、拟派专业监理工程师：国家注册或江苏省监理工程师或具有专业监理工程师业务培训合格证，专业类别：市政公用工程专业</w:t>
            </w:r>
            <w:r>
              <w:rPr>
                <w:rFonts w:hint="eastAsia" w:ascii="宋体" w:hAnsi="宋体" w:cs="宋体"/>
                <w:color w:val="auto"/>
                <w:kern w:val="0"/>
                <w:szCs w:val="21"/>
                <w:highlight w:val="none"/>
              </w:rPr>
              <w:t>。</w:t>
            </w:r>
          </w:p>
          <w:p w14:paraId="6FE91C51">
            <w:pPr>
              <w:shd w:val="clear"/>
              <w:autoSpaceDE w:val="0"/>
              <w:autoSpaceDN w:val="0"/>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2"/>
                <w:highlight w:val="none"/>
              </w:rPr>
              <w:t>3、拟派监理员：江苏省监理员及以上资格或监理员业务培训合格证，专业类别：市政公用工程专业</w:t>
            </w:r>
            <w:r>
              <w:rPr>
                <w:rFonts w:hint="eastAsia" w:ascii="宋体" w:hAnsi="宋体" w:cs="宋体"/>
                <w:color w:val="auto"/>
                <w:kern w:val="0"/>
                <w:szCs w:val="21"/>
                <w:highlight w:val="none"/>
              </w:rPr>
              <w:t>。</w:t>
            </w:r>
          </w:p>
          <w:p w14:paraId="5CF044FD">
            <w:pPr>
              <w:shd w:val="clear"/>
              <w:autoSpaceDE w:val="0"/>
              <w:autoSpaceDN w:val="0"/>
              <w:adjustRightInd w:val="0"/>
              <w:snapToGrid w:val="0"/>
              <w:spacing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（拟派所有监理人员男性年龄不得超过60周岁，女性年龄不得超过55周岁）</w:t>
            </w:r>
          </w:p>
        </w:tc>
        <w:tc>
          <w:tcPr>
            <w:tcW w:w="3238" w:type="dxa"/>
            <w:tcBorders>
              <w:top w:val="single" w:color="auto" w:sz="4" w:space="0"/>
              <w:left w:val="single" w:color="auto" w:sz="4" w:space="0"/>
              <w:bottom w:val="single" w:color="auto" w:sz="4" w:space="0"/>
              <w:right w:val="single" w:color="auto" w:sz="4" w:space="0"/>
            </w:tcBorders>
            <w:noWrap/>
            <w:vAlign w:val="center"/>
          </w:tcPr>
          <w:p w14:paraId="0893779A">
            <w:pPr>
              <w:shd w:val="clear"/>
              <w:adjustRightInd w:val="0"/>
              <w:snapToGrid w:val="0"/>
              <w:spacing w:line="360" w:lineRule="auto"/>
              <w:rPr>
                <w:rFonts w:hint="eastAsia" w:ascii="宋体" w:hAnsi="宋体" w:cs="宋体"/>
                <w:color w:val="auto"/>
                <w:kern w:val="0"/>
                <w:szCs w:val="22"/>
                <w:highlight w:val="none"/>
              </w:rPr>
            </w:pPr>
            <w:r>
              <w:rPr>
                <w:rFonts w:hint="eastAsia" w:ascii="宋体" w:hAnsi="宋体" w:cs="宋体"/>
                <w:color w:val="auto"/>
                <w:kern w:val="0"/>
                <w:szCs w:val="22"/>
                <w:highlight w:val="none"/>
              </w:rPr>
              <w:t>1、</w:t>
            </w:r>
            <w:r>
              <w:rPr>
                <w:rFonts w:hint="eastAsia" w:ascii="宋体" w:hAnsi="宋体" w:cs="宋体"/>
                <w:color w:val="auto"/>
                <w:kern w:val="0"/>
                <w:szCs w:val="22"/>
                <w:highlight w:val="none"/>
                <w:lang w:val="en-US" w:eastAsia="zh-CN"/>
              </w:rPr>
              <w:t>提供</w:t>
            </w:r>
            <w:r>
              <w:rPr>
                <w:rFonts w:hint="eastAsia" w:ascii="宋体" w:hAnsi="宋体" w:cs="宋体"/>
                <w:color w:val="auto"/>
                <w:kern w:val="0"/>
                <w:szCs w:val="22"/>
                <w:highlight w:val="none"/>
              </w:rPr>
              <w:t>拟派总监理工程师、专业监理工程师、监理员</w:t>
            </w:r>
            <w:r>
              <w:rPr>
                <w:rFonts w:hint="eastAsia" w:ascii="宋体" w:hAnsi="宋体" w:cs="宋体"/>
                <w:b/>
                <w:bCs/>
                <w:color w:val="auto"/>
                <w:kern w:val="0"/>
                <w:szCs w:val="22"/>
                <w:highlight w:val="none"/>
              </w:rPr>
              <w:t>相关证书(注册在投标企业)及人员身份证复印件</w:t>
            </w:r>
            <w:r>
              <w:rPr>
                <w:rFonts w:hint="eastAsia" w:ascii="宋体" w:hAnsi="宋体" w:cs="宋体"/>
                <w:color w:val="auto"/>
                <w:kern w:val="0"/>
                <w:szCs w:val="22"/>
                <w:highlight w:val="none"/>
              </w:rPr>
              <w:t>。</w:t>
            </w:r>
          </w:p>
          <w:p w14:paraId="1C6012AF">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2"/>
                <w:highlight w:val="none"/>
              </w:rPr>
              <w:t>拟派人员中，至少有一名具有《工程质量检测见证取样人员岗位证书》，否则另需增加一名见证取样人员。</w:t>
            </w:r>
          </w:p>
          <w:p w14:paraId="4E0BF524">
            <w:pPr>
              <w:shd w:val="clea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w:t>
            </w:r>
            <w:r>
              <w:rPr>
                <w:rFonts w:hint="eastAsia" w:ascii="宋体" w:hAnsi="宋体" w:cs="宋体"/>
                <w:b/>
                <w:bCs/>
                <w:color w:val="auto"/>
                <w:kern w:val="0"/>
                <w:szCs w:val="21"/>
                <w:highlight w:val="none"/>
              </w:rPr>
              <w:t>以毕业证书所学专业或职称证专业为准。</w:t>
            </w:r>
          </w:p>
          <w:p w14:paraId="1A473CDF">
            <w:pPr>
              <w:shd w:val="clear"/>
              <w:adjustRightInd w:val="0"/>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r>
              <w:rPr>
                <w:rFonts w:hint="eastAsia" w:ascii="宋体" w:hAnsi="宋体" w:cs="宋体"/>
                <w:color w:val="auto"/>
                <w:kern w:val="0"/>
                <w:szCs w:val="21"/>
                <w:highlight w:val="none"/>
                <w:lang w:eastAsia="zh-CN"/>
              </w:rPr>
              <w:t>。</w:t>
            </w:r>
          </w:p>
        </w:tc>
      </w:tr>
      <w:tr w14:paraId="6763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40A5A3B6">
            <w:pPr>
              <w:widowControl/>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072" w:type="dxa"/>
            <w:tcBorders>
              <w:top w:val="single" w:color="auto" w:sz="4" w:space="0"/>
              <w:left w:val="single" w:color="auto" w:sz="4" w:space="0"/>
              <w:bottom w:val="single" w:color="auto" w:sz="4" w:space="0"/>
              <w:right w:val="single" w:color="auto" w:sz="4" w:space="0"/>
            </w:tcBorders>
            <w:noWrap/>
            <w:vAlign w:val="center"/>
          </w:tcPr>
          <w:p w14:paraId="2D864BF1">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拟派项目所有监理人员为投标企业正式人员</w:t>
            </w:r>
          </w:p>
        </w:tc>
        <w:tc>
          <w:tcPr>
            <w:tcW w:w="3476" w:type="dxa"/>
            <w:tcBorders>
              <w:top w:val="single" w:color="auto" w:sz="4" w:space="0"/>
              <w:left w:val="single" w:color="auto" w:sz="4" w:space="0"/>
              <w:bottom w:val="single" w:color="auto" w:sz="4" w:space="0"/>
              <w:right w:val="single" w:color="auto" w:sz="4" w:space="0"/>
            </w:tcBorders>
            <w:noWrap/>
            <w:vAlign w:val="center"/>
          </w:tcPr>
          <w:p w14:paraId="141C39B1">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最低配备要求：</w:t>
            </w:r>
          </w:p>
          <w:p w14:paraId="19DDE650">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①总监理工程师1名，专业监理工程师1名，监理员</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名，共计</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名。</w:t>
            </w:r>
          </w:p>
        </w:tc>
        <w:tc>
          <w:tcPr>
            <w:tcW w:w="3238" w:type="dxa"/>
            <w:tcBorders>
              <w:top w:val="single" w:color="auto" w:sz="4" w:space="0"/>
              <w:left w:val="single" w:color="auto" w:sz="4" w:space="0"/>
              <w:bottom w:val="single" w:color="auto" w:sz="4" w:space="0"/>
              <w:right w:val="single" w:color="auto" w:sz="4" w:space="0"/>
            </w:tcBorders>
            <w:noWrap/>
            <w:vAlign w:val="center"/>
          </w:tcPr>
          <w:p w14:paraId="70D94893">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1、拟派项目监理机构人员一览表（格式见第五章）；</w:t>
            </w:r>
          </w:p>
          <w:p w14:paraId="5AC23479">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shd w:val="clear" w:color="auto" w:fill="FFFFFF"/>
              </w:rPr>
              <w:t>提供有效劳动合同或社保机构出具并盖章的本投标企业为监理人员缴纳的2025年11月份以来任意1个月的养老保险缴费证明</w:t>
            </w:r>
            <w:r>
              <w:rPr>
                <w:rFonts w:hint="eastAsia" w:ascii="宋体" w:hAnsi="宋体" w:cs="宋体"/>
                <w:color w:val="auto"/>
                <w:kern w:val="0"/>
                <w:szCs w:val="21"/>
                <w:highlight w:val="none"/>
              </w:rPr>
              <w:t>；</w:t>
            </w:r>
          </w:p>
        </w:tc>
      </w:tr>
      <w:tr w14:paraId="50F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00F73F78">
            <w:pPr>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2072" w:type="dxa"/>
            <w:tcBorders>
              <w:top w:val="single" w:color="auto" w:sz="4" w:space="0"/>
              <w:left w:val="single" w:color="auto" w:sz="4" w:space="0"/>
              <w:bottom w:val="single" w:color="auto" w:sz="4" w:space="0"/>
              <w:right w:val="single" w:color="auto" w:sz="4" w:space="0"/>
            </w:tcBorders>
            <w:noWrap/>
            <w:vAlign w:val="center"/>
          </w:tcPr>
          <w:p w14:paraId="284A9ECF">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承诺书</w:t>
            </w:r>
          </w:p>
        </w:tc>
        <w:tc>
          <w:tcPr>
            <w:tcW w:w="3476" w:type="dxa"/>
            <w:tcBorders>
              <w:top w:val="single" w:color="auto" w:sz="4" w:space="0"/>
              <w:left w:val="single" w:color="auto" w:sz="4" w:space="0"/>
              <w:bottom w:val="single" w:color="auto" w:sz="4" w:space="0"/>
              <w:right w:val="single" w:color="auto" w:sz="4" w:space="0"/>
            </w:tcBorders>
            <w:noWrap/>
            <w:vAlign w:val="center"/>
          </w:tcPr>
          <w:p w14:paraId="51BB383A">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拟派总监理工程师在监工程不超过2个，提供承诺书</w:t>
            </w:r>
          </w:p>
        </w:tc>
        <w:tc>
          <w:tcPr>
            <w:tcW w:w="3238" w:type="dxa"/>
            <w:tcBorders>
              <w:top w:val="single" w:color="auto" w:sz="4" w:space="0"/>
              <w:left w:val="single" w:color="auto" w:sz="4" w:space="0"/>
              <w:bottom w:val="single" w:color="auto" w:sz="4" w:space="0"/>
              <w:right w:val="single" w:color="auto" w:sz="4" w:space="0"/>
            </w:tcBorders>
            <w:noWrap/>
            <w:vAlign w:val="center"/>
          </w:tcPr>
          <w:p w14:paraId="1668E3EC">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2"/>
                <w:highlight w:val="none"/>
              </w:rPr>
              <w:t>投标人法定代表人签名（或盖章）并加盖单位公章的承诺书</w:t>
            </w:r>
            <w:r>
              <w:rPr>
                <w:rFonts w:hint="eastAsia" w:ascii="宋体" w:hAnsi="宋体" w:cs="宋体"/>
                <w:color w:val="auto"/>
                <w:kern w:val="0"/>
                <w:szCs w:val="21"/>
                <w:highlight w:val="none"/>
              </w:rPr>
              <w:t>（格式详见第五章）</w:t>
            </w:r>
          </w:p>
        </w:tc>
      </w:tr>
      <w:tr w14:paraId="454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tcBorders>
              <w:top w:val="single" w:color="auto" w:sz="4" w:space="0"/>
              <w:left w:val="single" w:color="auto" w:sz="4" w:space="0"/>
              <w:bottom w:val="single" w:color="auto" w:sz="4" w:space="0"/>
              <w:right w:val="single" w:color="auto" w:sz="4" w:space="0"/>
            </w:tcBorders>
            <w:noWrap/>
            <w:vAlign w:val="center"/>
          </w:tcPr>
          <w:p w14:paraId="0743C047">
            <w:pPr>
              <w:shd w:val="clea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072" w:type="dxa"/>
            <w:tcBorders>
              <w:top w:val="single" w:color="auto" w:sz="4" w:space="0"/>
              <w:left w:val="single" w:color="auto" w:sz="4" w:space="0"/>
              <w:bottom w:val="single" w:color="auto" w:sz="4" w:space="0"/>
              <w:right w:val="single" w:color="auto" w:sz="4" w:space="0"/>
            </w:tcBorders>
            <w:noWrap/>
            <w:vAlign w:val="center"/>
          </w:tcPr>
          <w:p w14:paraId="4D3421D5">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诚信承诺书</w:t>
            </w:r>
          </w:p>
        </w:tc>
        <w:tc>
          <w:tcPr>
            <w:tcW w:w="3476" w:type="dxa"/>
            <w:tcBorders>
              <w:top w:val="single" w:color="auto" w:sz="4" w:space="0"/>
              <w:left w:val="single" w:color="auto" w:sz="4" w:space="0"/>
              <w:bottom w:val="single" w:color="auto" w:sz="4" w:space="0"/>
              <w:right w:val="single" w:color="auto" w:sz="4" w:space="0"/>
            </w:tcBorders>
            <w:noWrap/>
            <w:vAlign w:val="center"/>
          </w:tcPr>
          <w:p w14:paraId="6402D180">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诚信承诺书</w:t>
            </w:r>
          </w:p>
        </w:tc>
        <w:tc>
          <w:tcPr>
            <w:tcW w:w="3238" w:type="dxa"/>
            <w:tcBorders>
              <w:top w:val="single" w:color="auto" w:sz="4" w:space="0"/>
              <w:left w:val="single" w:color="auto" w:sz="4" w:space="0"/>
              <w:bottom w:val="single" w:color="auto" w:sz="4" w:space="0"/>
              <w:right w:val="single" w:color="auto" w:sz="4" w:space="0"/>
            </w:tcBorders>
            <w:noWrap/>
            <w:vAlign w:val="center"/>
          </w:tcPr>
          <w:p w14:paraId="5B2C15A2">
            <w:pPr>
              <w:shd w:val="clea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诚信承诺书</w:t>
            </w:r>
            <w:r>
              <w:rPr>
                <w:rFonts w:hint="eastAsia" w:ascii="宋体" w:hAnsi="宋体" w:cs="宋体"/>
                <w:color w:val="auto"/>
                <w:kern w:val="0"/>
                <w:szCs w:val="22"/>
                <w:highlight w:val="none"/>
              </w:rPr>
              <w:t>投标人法定代表人签名（或盖章）并加盖单位公章的承诺书</w:t>
            </w:r>
            <w:r>
              <w:rPr>
                <w:rFonts w:hint="eastAsia" w:ascii="宋体" w:hAnsi="宋体" w:cs="宋体"/>
                <w:color w:val="auto"/>
                <w:kern w:val="0"/>
                <w:szCs w:val="21"/>
                <w:highlight w:val="none"/>
              </w:rPr>
              <w:t>（格式详见第五章）</w:t>
            </w:r>
          </w:p>
        </w:tc>
      </w:tr>
      <w:tr w14:paraId="6618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8" w:type="dxa"/>
            <w:gridSpan w:val="4"/>
            <w:tcBorders>
              <w:top w:val="single" w:color="auto" w:sz="4" w:space="0"/>
              <w:left w:val="single" w:color="auto" w:sz="4" w:space="0"/>
              <w:bottom w:val="single" w:color="auto" w:sz="4" w:space="0"/>
              <w:right w:val="single" w:color="auto" w:sz="4" w:space="0"/>
            </w:tcBorders>
            <w:noWrap/>
            <w:vAlign w:val="center"/>
          </w:tcPr>
          <w:p w14:paraId="46EEB00F">
            <w:pPr>
              <w:widowControl/>
              <w:shd w:val="clea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p w14:paraId="4DE505B1">
            <w:pPr>
              <w:widowControl/>
              <w:shd w:val="clea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资格审查阶段，评标委员会根据</w:t>
            </w:r>
            <w:r>
              <w:rPr>
                <w:rFonts w:hint="eastAsia" w:ascii="宋体" w:hAnsi="宋体" w:cs="宋体"/>
                <w:bCs/>
                <w:color w:val="auto"/>
                <w:kern w:val="0"/>
                <w:szCs w:val="21"/>
                <w:highlight w:val="none"/>
              </w:rPr>
              <w:t>资格审查标准、</w:t>
            </w:r>
            <w:r>
              <w:rPr>
                <w:rFonts w:hint="eastAsia" w:ascii="宋体" w:hAnsi="宋体" w:cs="宋体"/>
                <w:color w:val="auto"/>
                <w:kern w:val="0"/>
                <w:szCs w:val="21"/>
                <w:highlight w:val="none"/>
              </w:rPr>
              <w:t>资格审查条件、“资格审查资料包”中的资料进行资格评审，请投标人按照本招标文件要求准确提供全部资料，否则做废标处理。</w:t>
            </w:r>
          </w:p>
        </w:tc>
      </w:tr>
    </w:tbl>
    <w:p w14:paraId="49869F39">
      <w:pPr>
        <w:shd w:val="clea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本次资格审查采用合格制，各投标人只有满足资格审查必要合格条件后，方可参与商务标的评审。</w:t>
      </w:r>
    </w:p>
    <w:p w14:paraId="4C973050">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2、商务标评审（100分）</w:t>
      </w:r>
    </w:p>
    <w:p w14:paraId="3C29FA2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pacing w:val="0"/>
          <w:kern w:val="0"/>
          <w:position w:val="0"/>
          <w:sz w:val="21"/>
          <w:szCs w:val="21"/>
          <w:highlight w:val="none"/>
          <w:lang w:val="en-US" w:eastAsia="zh-CN"/>
        </w:rPr>
      </w:pPr>
      <w:r>
        <w:rPr>
          <w:rFonts w:hint="eastAsia" w:ascii="宋体" w:hAnsi="宋体" w:eastAsia="宋体" w:cs="宋体"/>
          <w:b/>
          <w:bCs/>
          <w:color w:val="auto"/>
          <w:spacing w:val="0"/>
          <w:kern w:val="0"/>
          <w:position w:val="0"/>
          <w:sz w:val="21"/>
          <w:szCs w:val="21"/>
          <w:highlight w:val="none"/>
          <w:lang w:val="en-US" w:eastAsia="zh-CN"/>
        </w:rPr>
        <w:t>2.1资信（满分9分）</w:t>
      </w:r>
    </w:p>
    <w:tbl>
      <w:tblPr>
        <w:tblStyle w:val="29"/>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00"/>
        <w:gridCol w:w="1398"/>
        <w:gridCol w:w="5920"/>
      </w:tblGrid>
      <w:tr w14:paraId="77D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6" w:type="dxa"/>
            <w:gridSpan w:val="4"/>
            <w:noWrap w:val="0"/>
            <w:vAlign w:val="center"/>
          </w:tcPr>
          <w:p w14:paraId="068ACE28">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pacing w:val="0"/>
                <w:kern w:val="0"/>
                <w:position w:val="0"/>
                <w:szCs w:val="21"/>
                <w:highlight w:val="none"/>
              </w:rPr>
            </w:pPr>
            <w:r>
              <w:rPr>
                <w:rFonts w:hint="eastAsia" w:ascii="宋体" w:hAnsi="宋体" w:eastAsia="宋体" w:cs="宋体"/>
                <w:b/>
                <w:bCs/>
                <w:color w:val="auto"/>
                <w:spacing w:val="0"/>
                <w:kern w:val="0"/>
                <w:position w:val="0"/>
                <w:szCs w:val="21"/>
                <w:highlight w:val="none"/>
              </w:rPr>
              <w:t>详细评分标准</w:t>
            </w:r>
          </w:p>
        </w:tc>
      </w:tr>
      <w:tr w14:paraId="58B1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dxa"/>
            <w:noWrap w:val="0"/>
            <w:vAlign w:val="center"/>
          </w:tcPr>
          <w:p w14:paraId="5F1507DD">
            <w:pPr>
              <w:keepNext w:val="0"/>
              <w:keepLines w:val="0"/>
              <w:pageBreakBefore w:val="0"/>
              <w:shd w:val="clear"/>
              <w:wordWrap/>
              <w:overflowPunct/>
              <w:topLinePunct w:val="0"/>
              <w:autoSpaceDE w:val="0"/>
              <w:autoSpaceDN w:val="0"/>
              <w:bidi w:val="0"/>
              <w:adjustRightInd w:val="0"/>
              <w:snapToGrid w:val="0"/>
              <w:spacing w:line="360" w:lineRule="auto"/>
              <w:rPr>
                <w:rFonts w:hint="eastAsia" w:ascii="宋体" w:hAnsi="宋体" w:eastAsia="宋体" w:cs="宋体"/>
                <w:b/>
                <w:bCs/>
                <w:color w:val="auto"/>
                <w:spacing w:val="0"/>
                <w:kern w:val="0"/>
                <w:position w:val="0"/>
                <w:szCs w:val="21"/>
                <w:highlight w:val="none"/>
              </w:rPr>
            </w:pPr>
            <w:r>
              <w:rPr>
                <w:rFonts w:hint="eastAsia" w:ascii="宋体" w:hAnsi="宋体" w:eastAsia="宋体" w:cs="宋体"/>
                <w:b/>
                <w:bCs/>
                <w:color w:val="auto"/>
                <w:spacing w:val="0"/>
                <w:kern w:val="0"/>
                <w:position w:val="0"/>
                <w:szCs w:val="21"/>
                <w:highlight w:val="none"/>
              </w:rPr>
              <w:t>序号</w:t>
            </w:r>
          </w:p>
        </w:tc>
        <w:tc>
          <w:tcPr>
            <w:tcW w:w="1200" w:type="dxa"/>
            <w:noWrap w:val="0"/>
            <w:vAlign w:val="center"/>
          </w:tcPr>
          <w:p w14:paraId="78F85066">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pacing w:val="0"/>
                <w:kern w:val="0"/>
                <w:position w:val="0"/>
                <w:szCs w:val="21"/>
                <w:highlight w:val="none"/>
              </w:rPr>
            </w:pPr>
            <w:r>
              <w:rPr>
                <w:rFonts w:hint="eastAsia" w:ascii="宋体" w:hAnsi="宋体" w:eastAsia="宋体" w:cs="宋体"/>
                <w:b/>
                <w:bCs/>
                <w:color w:val="auto"/>
                <w:spacing w:val="0"/>
                <w:kern w:val="0"/>
                <w:position w:val="0"/>
                <w:szCs w:val="21"/>
                <w:highlight w:val="none"/>
              </w:rPr>
              <w:t>评审项</w:t>
            </w:r>
          </w:p>
        </w:tc>
        <w:tc>
          <w:tcPr>
            <w:tcW w:w="1398" w:type="dxa"/>
            <w:noWrap w:val="0"/>
            <w:vAlign w:val="center"/>
          </w:tcPr>
          <w:p w14:paraId="59F7BD17">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pacing w:val="0"/>
                <w:kern w:val="0"/>
                <w:position w:val="0"/>
                <w:szCs w:val="21"/>
                <w:highlight w:val="none"/>
              </w:rPr>
            </w:pPr>
            <w:r>
              <w:rPr>
                <w:rFonts w:hint="eastAsia" w:ascii="宋体" w:hAnsi="宋体" w:eastAsia="宋体" w:cs="宋体"/>
                <w:b/>
                <w:bCs/>
                <w:color w:val="auto"/>
                <w:spacing w:val="0"/>
                <w:kern w:val="0"/>
                <w:position w:val="0"/>
                <w:szCs w:val="21"/>
                <w:highlight w:val="none"/>
              </w:rPr>
              <w:t>评分因素</w:t>
            </w:r>
          </w:p>
        </w:tc>
        <w:tc>
          <w:tcPr>
            <w:tcW w:w="5920" w:type="dxa"/>
            <w:noWrap w:val="0"/>
            <w:vAlign w:val="center"/>
          </w:tcPr>
          <w:p w14:paraId="0370FD5F">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pacing w:val="0"/>
                <w:kern w:val="0"/>
                <w:position w:val="0"/>
                <w:szCs w:val="21"/>
                <w:highlight w:val="none"/>
              </w:rPr>
            </w:pPr>
            <w:r>
              <w:rPr>
                <w:rFonts w:hint="eastAsia" w:ascii="宋体" w:hAnsi="宋体" w:eastAsia="宋体" w:cs="宋体"/>
                <w:b/>
                <w:bCs/>
                <w:color w:val="auto"/>
                <w:spacing w:val="0"/>
                <w:kern w:val="0"/>
                <w:position w:val="0"/>
                <w:szCs w:val="21"/>
                <w:highlight w:val="none"/>
              </w:rPr>
              <w:t>评分标准</w:t>
            </w:r>
          </w:p>
        </w:tc>
      </w:tr>
      <w:tr w14:paraId="1394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dxa"/>
            <w:noWrap w:val="0"/>
            <w:vAlign w:val="center"/>
          </w:tcPr>
          <w:p w14:paraId="5A715F90">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0"/>
                <w:kern w:val="0"/>
                <w:position w:val="0"/>
                <w:szCs w:val="21"/>
                <w:highlight w:val="none"/>
                <w:lang w:eastAsia="zh-CN"/>
              </w:rPr>
            </w:pPr>
            <w:r>
              <w:rPr>
                <w:rFonts w:hint="eastAsia" w:ascii="宋体" w:hAnsi="宋体" w:eastAsia="宋体" w:cs="宋体"/>
                <w:color w:val="auto"/>
                <w:spacing w:val="0"/>
                <w:kern w:val="0"/>
                <w:position w:val="0"/>
                <w:szCs w:val="21"/>
                <w:highlight w:val="none"/>
                <w:lang w:val="en-US" w:eastAsia="zh-CN"/>
              </w:rPr>
              <w:t>1</w:t>
            </w:r>
          </w:p>
        </w:tc>
        <w:tc>
          <w:tcPr>
            <w:tcW w:w="1200" w:type="dxa"/>
            <w:noWrap w:val="0"/>
            <w:vAlign w:val="center"/>
          </w:tcPr>
          <w:p w14:paraId="748BECD8">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总监业绩</w:t>
            </w:r>
          </w:p>
          <w:p w14:paraId="6D72D7DA">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w:t>
            </w:r>
            <w:r>
              <w:rPr>
                <w:rFonts w:hint="eastAsia" w:ascii="宋体" w:hAnsi="宋体" w:eastAsia="宋体" w:cs="宋体"/>
                <w:color w:val="auto"/>
                <w:spacing w:val="0"/>
                <w:kern w:val="0"/>
                <w:position w:val="0"/>
                <w:szCs w:val="21"/>
                <w:highlight w:val="none"/>
                <w:lang w:val="en-US" w:eastAsia="zh-CN"/>
              </w:rPr>
              <w:t>4</w:t>
            </w:r>
            <w:r>
              <w:rPr>
                <w:rFonts w:hint="eastAsia" w:ascii="宋体" w:hAnsi="宋体" w:eastAsia="宋体" w:cs="宋体"/>
                <w:color w:val="auto"/>
                <w:spacing w:val="0"/>
                <w:kern w:val="0"/>
                <w:position w:val="0"/>
                <w:szCs w:val="21"/>
                <w:highlight w:val="none"/>
              </w:rPr>
              <w:t>分）</w:t>
            </w:r>
          </w:p>
        </w:tc>
        <w:tc>
          <w:tcPr>
            <w:tcW w:w="1398" w:type="dxa"/>
            <w:noWrap w:val="0"/>
            <w:vAlign w:val="center"/>
          </w:tcPr>
          <w:p w14:paraId="493C1E6B">
            <w:pPr>
              <w:keepNext w:val="0"/>
              <w:keepLines w:val="0"/>
              <w:pageBreakBefore w:val="0"/>
              <w:widowControl/>
              <w:shd w:val="clear"/>
              <w:wordWrap/>
              <w:overflowPunct/>
              <w:topLinePunct w:val="0"/>
              <w:bidi w:val="0"/>
              <w:snapToGrid w:val="0"/>
              <w:spacing w:line="360" w:lineRule="auto"/>
              <w:jc w:val="center"/>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业绩证明</w:t>
            </w:r>
          </w:p>
        </w:tc>
        <w:tc>
          <w:tcPr>
            <w:tcW w:w="5920" w:type="dxa"/>
            <w:noWrap w:val="0"/>
            <w:vAlign w:val="center"/>
          </w:tcPr>
          <w:p w14:paraId="0B2BAE1B">
            <w:pPr>
              <w:keepNext w:val="0"/>
              <w:keepLines w:val="0"/>
              <w:pageBreakBefore w:val="0"/>
              <w:widowControl/>
              <w:shd w:val="clear"/>
              <w:wordWrap/>
              <w:overflowPunct/>
              <w:topLinePunct w:val="0"/>
              <w:bidi w:val="0"/>
              <w:snapToGrid w:val="0"/>
              <w:spacing w:line="360" w:lineRule="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202</w:t>
            </w:r>
            <w:r>
              <w:rPr>
                <w:rFonts w:hint="eastAsia" w:ascii="宋体" w:hAnsi="宋体" w:eastAsia="宋体" w:cs="宋体"/>
                <w:color w:val="auto"/>
                <w:spacing w:val="0"/>
                <w:kern w:val="0"/>
                <w:position w:val="0"/>
                <w:szCs w:val="21"/>
                <w:highlight w:val="none"/>
                <w:lang w:val="en-US" w:eastAsia="zh-CN"/>
              </w:rPr>
              <w:t>1</w:t>
            </w:r>
            <w:r>
              <w:rPr>
                <w:rFonts w:hint="eastAsia" w:ascii="宋体" w:hAnsi="宋体" w:eastAsia="宋体" w:cs="宋体"/>
                <w:color w:val="auto"/>
                <w:spacing w:val="0"/>
                <w:kern w:val="0"/>
                <w:position w:val="0"/>
                <w:szCs w:val="21"/>
                <w:highlight w:val="none"/>
              </w:rPr>
              <w:t>年</w:t>
            </w:r>
            <w:r>
              <w:rPr>
                <w:rFonts w:hint="eastAsia" w:ascii="宋体" w:hAnsi="宋体" w:eastAsia="宋体" w:cs="宋体"/>
                <w:color w:val="auto"/>
                <w:spacing w:val="0"/>
                <w:kern w:val="0"/>
                <w:position w:val="0"/>
                <w:szCs w:val="21"/>
                <w:highlight w:val="none"/>
                <w:lang w:val="en-US" w:eastAsia="zh-CN"/>
              </w:rPr>
              <w:t>3</w:t>
            </w:r>
            <w:r>
              <w:rPr>
                <w:rFonts w:hint="eastAsia" w:ascii="宋体" w:hAnsi="宋体" w:eastAsia="宋体" w:cs="宋体"/>
                <w:color w:val="auto"/>
                <w:spacing w:val="0"/>
                <w:kern w:val="0"/>
                <w:position w:val="0"/>
                <w:szCs w:val="21"/>
                <w:highlight w:val="none"/>
              </w:rPr>
              <w:t>月1日至投标文件递交截止时间止</w:t>
            </w:r>
            <w:r>
              <w:rPr>
                <w:rFonts w:hint="eastAsia" w:ascii="宋体" w:hAnsi="宋体" w:eastAsia="宋体" w:cs="宋体"/>
                <w:color w:val="auto"/>
                <w:spacing w:val="0"/>
                <w:kern w:val="0"/>
                <w:position w:val="0"/>
                <w:szCs w:val="21"/>
                <w:highlight w:val="none"/>
                <w:lang w:eastAsia="zh-CN"/>
              </w:rPr>
              <w:t>（</w:t>
            </w:r>
            <w:r>
              <w:rPr>
                <w:rFonts w:hint="eastAsia" w:ascii="宋体" w:hAnsi="宋体" w:eastAsia="宋体" w:cs="宋体"/>
                <w:color w:val="auto"/>
                <w:spacing w:val="0"/>
                <w:kern w:val="0"/>
                <w:position w:val="0"/>
                <w:szCs w:val="21"/>
                <w:highlight w:val="none"/>
              </w:rPr>
              <w:t>以竣工验收证明时间为准）</w:t>
            </w:r>
            <w:r>
              <w:rPr>
                <w:rFonts w:hint="eastAsia" w:ascii="宋体" w:hAnsi="宋体" w:cs="宋体"/>
                <w:color w:val="auto"/>
                <w:spacing w:val="0"/>
                <w:kern w:val="0"/>
                <w:position w:val="0"/>
                <w:szCs w:val="21"/>
                <w:highlight w:val="none"/>
                <w:lang w:eastAsia="zh-CN"/>
              </w:rPr>
              <w:t>，</w:t>
            </w:r>
            <w:r>
              <w:rPr>
                <w:rFonts w:hint="eastAsia" w:ascii="宋体" w:hAnsi="宋体" w:eastAsia="宋体" w:cs="宋体"/>
                <w:color w:val="auto"/>
                <w:spacing w:val="0"/>
                <w:kern w:val="0"/>
                <w:position w:val="0"/>
                <w:szCs w:val="21"/>
                <w:highlight w:val="none"/>
              </w:rPr>
              <w:t>拟派的总监理工程师承担过</w:t>
            </w:r>
            <w:r>
              <w:rPr>
                <w:rFonts w:hint="eastAsia" w:ascii="宋体" w:hAnsi="宋体" w:eastAsia="宋体" w:cs="宋体"/>
                <w:color w:val="auto"/>
                <w:spacing w:val="0"/>
                <w:kern w:val="0"/>
                <w:position w:val="0"/>
                <w:szCs w:val="21"/>
                <w:highlight w:val="none"/>
                <w:lang w:eastAsia="zh-CN"/>
              </w:rPr>
              <w:t>市政道路</w:t>
            </w:r>
            <w:r>
              <w:rPr>
                <w:rFonts w:hint="eastAsia" w:ascii="宋体" w:hAnsi="宋体" w:eastAsia="宋体" w:cs="宋体"/>
                <w:color w:val="auto"/>
                <w:spacing w:val="0"/>
                <w:kern w:val="0"/>
                <w:position w:val="0"/>
                <w:szCs w:val="21"/>
                <w:highlight w:val="none"/>
                <w:lang w:val="en-US" w:eastAsia="zh-CN"/>
              </w:rPr>
              <w:t>或公路</w:t>
            </w:r>
            <w:r>
              <w:rPr>
                <w:rFonts w:hint="eastAsia" w:ascii="宋体" w:hAnsi="宋体" w:eastAsia="宋体" w:cs="宋体"/>
                <w:color w:val="auto"/>
                <w:spacing w:val="0"/>
                <w:kern w:val="0"/>
                <w:position w:val="0"/>
                <w:szCs w:val="21"/>
                <w:highlight w:val="none"/>
              </w:rPr>
              <w:t>监理项目并担任项目总监理工程师职务，工程合同造价在</w:t>
            </w:r>
            <w:r>
              <w:rPr>
                <w:rFonts w:hint="eastAsia" w:ascii="宋体" w:hAnsi="宋体" w:eastAsia="宋体" w:cs="宋体"/>
                <w:color w:val="auto"/>
                <w:spacing w:val="0"/>
                <w:kern w:val="0"/>
                <w:position w:val="0"/>
                <w:szCs w:val="21"/>
                <w:highlight w:val="none"/>
                <w:lang w:val="en-US" w:eastAsia="zh-CN"/>
              </w:rPr>
              <w:t>550</w:t>
            </w:r>
            <w:r>
              <w:rPr>
                <w:rFonts w:hint="eastAsia" w:ascii="宋体" w:hAnsi="宋体" w:eastAsia="宋体" w:cs="宋体"/>
                <w:color w:val="auto"/>
                <w:spacing w:val="0"/>
                <w:kern w:val="0"/>
                <w:position w:val="0"/>
                <w:szCs w:val="21"/>
                <w:highlight w:val="none"/>
              </w:rPr>
              <w:t>万元（含）以上的工程，每提供一个得</w:t>
            </w:r>
            <w:r>
              <w:rPr>
                <w:rFonts w:hint="eastAsia" w:ascii="宋体" w:hAnsi="宋体" w:eastAsia="宋体" w:cs="宋体"/>
                <w:color w:val="auto"/>
                <w:spacing w:val="0"/>
                <w:kern w:val="0"/>
                <w:position w:val="0"/>
                <w:szCs w:val="21"/>
                <w:highlight w:val="none"/>
                <w:lang w:val="en-US" w:eastAsia="zh-CN"/>
              </w:rPr>
              <w:t>2</w:t>
            </w:r>
            <w:r>
              <w:rPr>
                <w:rFonts w:hint="eastAsia" w:ascii="宋体" w:hAnsi="宋体" w:eastAsia="宋体" w:cs="宋体"/>
                <w:color w:val="auto"/>
                <w:spacing w:val="0"/>
                <w:kern w:val="0"/>
                <w:position w:val="0"/>
                <w:szCs w:val="21"/>
                <w:highlight w:val="none"/>
              </w:rPr>
              <w:t>分；工程合同造价在</w:t>
            </w:r>
            <w:r>
              <w:rPr>
                <w:rFonts w:hint="eastAsia" w:ascii="宋体" w:hAnsi="宋体" w:eastAsia="宋体" w:cs="宋体"/>
                <w:color w:val="auto"/>
                <w:spacing w:val="0"/>
                <w:kern w:val="0"/>
                <w:position w:val="0"/>
                <w:szCs w:val="21"/>
                <w:highlight w:val="none"/>
                <w:lang w:val="en-US" w:eastAsia="zh-CN"/>
              </w:rPr>
              <w:t>400</w:t>
            </w:r>
            <w:r>
              <w:rPr>
                <w:rFonts w:hint="eastAsia" w:ascii="宋体" w:hAnsi="宋体" w:eastAsia="宋体" w:cs="宋体"/>
                <w:color w:val="auto"/>
                <w:spacing w:val="0"/>
                <w:kern w:val="0"/>
                <w:position w:val="0"/>
                <w:szCs w:val="21"/>
                <w:highlight w:val="none"/>
              </w:rPr>
              <w:t>万（含）-</w:t>
            </w:r>
            <w:r>
              <w:rPr>
                <w:rFonts w:hint="eastAsia" w:ascii="宋体" w:hAnsi="宋体" w:eastAsia="宋体" w:cs="宋体"/>
                <w:color w:val="auto"/>
                <w:spacing w:val="0"/>
                <w:kern w:val="0"/>
                <w:position w:val="0"/>
                <w:szCs w:val="21"/>
                <w:highlight w:val="none"/>
                <w:lang w:val="en-US" w:eastAsia="zh-CN"/>
              </w:rPr>
              <w:t>550</w:t>
            </w:r>
            <w:r>
              <w:rPr>
                <w:rFonts w:hint="eastAsia" w:ascii="宋体" w:hAnsi="宋体" w:eastAsia="宋体" w:cs="宋体"/>
                <w:color w:val="auto"/>
                <w:spacing w:val="0"/>
                <w:kern w:val="0"/>
                <w:position w:val="0"/>
                <w:szCs w:val="21"/>
                <w:highlight w:val="none"/>
              </w:rPr>
              <w:t>万元的工程，每提供一个得1分；本项最多得</w:t>
            </w:r>
            <w:r>
              <w:rPr>
                <w:rFonts w:hint="eastAsia" w:ascii="宋体" w:hAnsi="宋体" w:eastAsia="宋体" w:cs="宋体"/>
                <w:color w:val="auto"/>
                <w:spacing w:val="0"/>
                <w:kern w:val="0"/>
                <w:position w:val="0"/>
                <w:szCs w:val="21"/>
                <w:highlight w:val="none"/>
                <w:lang w:val="en-US" w:eastAsia="zh-CN"/>
              </w:rPr>
              <w:t>4</w:t>
            </w:r>
            <w:r>
              <w:rPr>
                <w:rFonts w:hint="eastAsia" w:ascii="宋体" w:hAnsi="宋体" w:eastAsia="宋体" w:cs="宋体"/>
                <w:color w:val="auto"/>
                <w:spacing w:val="0"/>
                <w:kern w:val="0"/>
                <w:position w:val="0"/>
                <w:szCs w:val="21"/>
                <w:highlight w:val="none"/>
              </w:rPr>
              <w:t>分；</w:t>
            </w:r>
            <w:r>
              <w:rPr>
                <w:rFonts w:hint="eastAsia" w:ascii="宋体" w:hAnsi="宋体" w:eastAsia="宋体" w:cs="宋体"/>
                <w:b/>
                <w:bCs/>
                <w:color w:val="auto"/>
                <w:spacing w:val="0"/>
                <w:kern w:val="0"/>
                <w:position w:val="0"/>
                <w:szCs w:val="21"/>
                <w:highlight w:val="none"/>
                <w:lang w:eastAsia="zh-CN"/>
              </w:rPr>
              <w:t>（</w:t>
            </w:r>
            <w:r>
              <w:rPr>
                <w:rFonts w:hint="eastAsia" w:ascii="宋体" w:hAnsi="宋体" w:eastAsia="宋体" w:cs="宋体"/>
                <w:b/>
                <w:bCs/>
                <w:color w:val="auto"/>
                <w:spacing w:val="0"/>
                <w:kern w:val="0"/>
                <w:position w:val="0"/>
                <w:szCs w:val="21"/>
                <w:highlight w:val="none"/>
                <w:lang w:val="en-US" w:eastAsia="zh-CN"/>
              </w:rPr>
              <w:t>造价</w:t>
            </w:r>
            <w:r>
              <w:rPr>
                <w:rFonts w:hint="eastAsia" w:ascii="宋体" w:hAnsi="宋体" w:eastAsia="宋体" w:cs="宋体"/>
                <w:b/>
                <w:bCs/>
                <w:color w:val="auto"/>
                <w:spacing w:val="0"/>
                <w:kern w:val="0"/>
                <w:position w:val="0"/>
                <w:szCs w:val="21"/>
                <w:highlight w:val="none"/>
              </w:rPr>
              <w:t>金额以监理合同</w:t>
            </w:r>
            <w:r>
              <w:rPr>
                <w:rFonts w:hint="eastAsia" w:ascii="宋体" w:hAnsi="宋体" w:eastAsia="宋体" w:cs="宋体"/>
                <w:b/>
                <w:bCs/>
                <w:color w:val="auto"/>
                <w:spacing w:val="0"/>
                <w:kern w:val="0"/>
                <w:position w:val="0"/>
                <w:szCs w:val="21"/>
                <w:highlight w:val="none"/>
                <w:lang w:val="en-US" w:eastAsia="zh-CN"/>
              </w:rPr>
              <w:t>中体现的总投资或建安造价金额为准</w:t>
            </w:r>
            <w:r>
              <w:rPr>
                <w:rFonts w:hint="eastAsia" w:ascii="宋体" w:hAnsi="宋体" w:eastAsia="宋体" w:cs="宋体"/>
                <w:b/>
                <w:bCs/>
                <w:color w:val="auto"/>
                <w:spacing w:val="0"/>
                <w:kern w:val="0"/>
                <w:position w:val="0"/>
                <w:szCs w:val="21"/>
                <w:highlight w:val="none"/>
                <w:lang w:eastAsia="zh-CN"/>
              </w:rPr>
              <w:t>）</w:t>
            </w:r>
          </w:p>
          <w:p w14:paraId="3B3B54D0">
            <w:pPr>
              <w:keepNext w:val="0"/>
              <w:keepLines w:val="0"/>
              <w:pageBreakBefore w:val="0"/>
              <w:widowControl/>
              <w:shd w:val="clear"/>
              <w:wordWrap/>
              <w:overflowPunct/>
              <w:topLinePunct w:val="0"/>
              <w:bidi w:val="0"/>
              <w:snapToGrid w:val="0"/>
              <w:spacing w:line="360" w:lineRule="auto"/>
              <w:rPr>
                <w:rFonts w:hint="eastAsia" w:ascii="宋体" w:hAnsi="宋体" w:eastAsia="宋体" w:cs="宋体"/>
                <w:color w:val="auto"/>
                <w:spacing w:val="0"/>
                <w:kern w:val="0"/>
                <w:position w:val="0"/>
                <w:szCs w:val="21"/>
                <w:highlight w:val="none"/>
                <w:lang w:eastAsia="zh-CN"/>
              </w:rPr>
            </w:pPr>
            <w:r>
              <w:rPr>
                <w:rFonts w:hint="eastAsia" w:ascii="宋体" w:hAnsi="宋体" w:eastAsia="宋体" w:cs="宋体"/>
                <w:color w:val="auto"/>
                <w:spacing w:val="0"/>
                <w:kern w:val="0"/>
                <w:position w:val="0"/>
                <w:szCs w:val="21"/>
                <w:highlight w:val="none"/>
              </w:rPr>
              <w:t>以上业绩同时提供中标通知书（或发包人出具的加盖单位公章的直接发包证明）、监理合同、竣工验收证明（竣工验收证明须同时有建设单位、监理单位、设计单位、施工单位盖章）三项证明材料复印件加盖公章，</w:t>
            </w:r>
            <w:r>
              <w:rPr>
                <w:rFonts w:hint="eastAsia"/>
                <w:color w:val="auto"/>
                <w:highlight w:val="none"/>
              </w:rPr>
              <w:t>缺一不可。</w:t>
            </w:r>
            <w:r>
              <w:rPr>
                <w:rFonts w:hint="eastAsia" w:ascii="宋体" w:hAnsi="宋体" w:eastAsia="宋体" w:cs="宋体"/>
                <w:color w:val="auto"/>
                <w:spacing w:val="0"/>
                <w:kern w:val="0"/>
                <w:position w:val="0"/>
                <w:szCs w:val="21"/>
                <w:highlight w:val="none"/>
              </w:rPr>
              <w:t>若上述材料无法体现项目总监、招标内容、金额等，还须提供业主证明材料或建设主管部门出具的证明。</w:t>
            </w:r>
            <w:r>
              <w:rPr>
                <w:rFonts w:hint="eastAsia" w:ascii="宋体" w:hAnsi="宋体" w:cs="宋体"/>
                <w:b/>
                <w:bCs/>
                <w:color w:val="auto"/>
                <w:spacing w:val="0"/>
                <w:kern w:val="0"/>
                <w:position w:val="0"/>
                <w:szCs w:val="21"/>
                <w:highlight w:val="none"/>
                <w:lang w:eastAsia="zh-CN"/>
              </w:rPr>
              <w:t>（</w:t>
            </w:r>
            <w:r>
              <w:rPr>
                <w:rFonts w:hint="eastAsia" w:ascii="宋体" w:hAnsi="宋体" w:cs="宋体"/>
                <w:b/>
                <w:bCs/>
                <w:color w:val="auto"/>
                <w:spacing w:val="0"/>
                <w:kern w:val="0"/>
                <w:position w:val="0"/>
                <w:szCs w:val="21"/>
                <w:highlight w:val="none"/>
                <w:lang w:val="en-US" w:eastAsia="zh-CN"/>
              </w:rPr>
              <w:t>同一业绩不重复得分</w:t>
            </w:r>
            <w:r>
              <w:rPr>
                <w:rFonts w:hint="eastAsia" w:ascii="宋体" w:hAnsi="宋体" w:cs="宋体"/>
                <w:b/>
                <w:bCs/>
                <w:color w:val="auto"/>
                <w:spacing w:val="0"/>
                <w:kern w:val="0"/>
                <w:position w:val="0"/>
                <w:szCs w:val="21"/>
                <w:highlight w:val="none"/>
                <w:lang w:eastAsia="zh-CN"/>
              </w:rPr>
              <w:t>）</w:t>
            </w:r>
          </w:p>
        </w:tc>
      </w:tr>
      <w:tr w14:paraId="26B0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8" w:type="dxa"/>
            <w:noWrap w:val="0"/>
            <w:vAlign w:val="center"/>
          </w:tcPr>
          <w:p w14:paraId="57DFB0F4">
            <w:pPr>
              <w:keepNext w:val="0"/>
              <w:keepLines w:val="0"/>
              <w:pageBreakBefore w:val="0"/>
              <w:shd w:val="clear"/>
              <w:wordWrap/>
              <w:overflowPunct/>
              <w:topLinePunct w:val="0"/>
              <w:autoSpaceDE w:val="0"/>
              <w:autoSpaceDN w:val="0"/>
              <w:bidi w:val="0"/>
              <w:adjustRightInd w:val="0"/>
              <w:snapToGrid w:val="0"/>
              <w:spacing w:line="360" w:lineRule="auto"/>
              <w:jc w:val="center"/>
              <w:rPr>
                <w:rFonts w:hint="default" w:ascii="宋体" w:hAnsi="宋体" w:eastAsia="宋体" w:cs="宋体"/>
                <w:color w:val="auto"/>
                <w:spacing w:val="0"/>
                <w:kern w:val="0"/>
                <w:position w:val="0"/>
                <w:szCs w:val="21"/>
                <w:highlight w:val="none"/>
                <w:lang w:val="en-US" w:eastAsia="zh-CN"/>
              </w:rPr>
            </w:pPr>
            <w:r>
              <w:rPr>
                <w:rFonts w:hint="eastAsia" w:ascii="宋体" w:hAnsi="宋体" w:eastAsia="宋体" w:cs="宋体"/>
                <w:color w:val="auto"/>
                <w:spacing w:val="0"/>
                <w:kern w:val="0"/>
                <w:position w:val="0"/>
                <w:szCs w:val="21"/>
                <w:highlight w:val="none"/>
                <w:lang w:val="en-US" w:eastAsia="zh-CN"/>
              </w:rPr>
              <w:t>2</w:t>
            </w:r>
          </w:p>
        </w:tc>
        <w:tc>
          <w:tcPr>
            <w:tcW w:w="1200" w:type="dxa"/>
            <w:noWrap w:val="0"/>
            <w:vAlign w:val="center"/>
          </w:tcPr>
          <w:p w14:paraId="5A69DF2B">
            <w:pPr>
              <w:keepNext w:val="0"/>
              <w:keepLines w:val="0"/>
              <w:pageBreakBefore w:val="0"/>
              <w:shd w:val="clear"/>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pacing w:val="0"/>
                <w:kern w:val="0"/>
                <w:position w:val="0"/>
                <w:szCs w:val="21"/>
                <w:highlight w:val="none"/>
                <w:lang w:val="en-US" w:eastAsia="zh-CN"/>
              </w:rPr>
            </w:pPr>
            <w:r>
              <w:rPr>
                <w:rFonts w:hint="eastAsia" w:ascii="宋体" w:hAnsi="宋体" w:eastAsia="宋体" w:cs="宋体"/>
                <w:color w:val="auto"/>
                <w:spacing w:val="0"/>
                <w:kern w:val="0"/>
                <w:position w:val="0"/>
                <w:szCs w:val="21"/>
                <w:highlight w:val="none"/>
                <w:lang w:val="en-US" w:eastAsia="zh-CN"/>
              </w:rPr>
              <w:t>企业信用综合考评（5分）</w:t>
            </w:r>
          </w:p>
        </w:tc>
        <w:tc>
          <w:tcPr>
            <w:tcW w:w="1398" w:type="dxa"/>
            <w:noWrap w:val="0"/>
            <w:vAlign w:val="center"/>
          </w:tcPr>
          <w:p w14:paraId="7D8D0DED">
            <w:pPr>
              <w:keepNext w:val="0"/>
              <w:keepLines w:val="0"/>
              <w:pageBreakBefore w:val="0"/>
              <w:widowControl/>
              <w:shd w:val="clear"/>
              <w:wordWrap/>
              <w:overflowPunct/>
              <w:topLinePunct w:val="0"/>
              <w:bidi w:val="0"/>
              <w:snapToGrid w:val="0"/>
              <w:spacing w:line="360" w:lineRule="auto"/>
              <w:jc w:val="center"/>
              <w:rPr>
                <w:rFonts w:hint="eastAsia" w:ascii="宋体" w:hAnsi="宋体" w:eastAsia="宋体" w:cs="宋体"/>
                <w:color w:val="auto"/>
                <w:spacing w:val="0"/>
                <w:kern w:val="0"/>
                <w:position w:val="0"/>
                <w:szCs w:val="21"/>
                <w:highlight w:val="none"/>
                <w:lang w:eastAsia="zh-CN"/>
              </w:rPr>
            </w:pPr>
            <w:r>
              <w:rPr>
                <w:rFonts w:hint="eastAsia" w:ascii="宋体" w:hAnsi="宋体" w:eastAsia="宋体" w:cs="宋体"/>
                <w:color w:val="auto"/>
                <w:spacing w:val="0"/>
                <w:kern w:val="0"/>
                <w:position w:val="0"/>
                <w:szCs w:val="21"/>
                <w:highlight w:val="none"/>
                <w:lang w:val="en-US" w:eastAsia="zh-CN"/>
              </w:rPr>
              <w:t>企业信用综合考评</w:t>
            </w:r>
          </w:p>
        </w:tc>
        <w:tc>
          <w:tcPr>
            <w:tcW w:w="5920" w:type="dxa"/>
            <w:noWrap w:val="0"/>
            <w:vAlign w:val="center"/>
          </w:tcPr>
          <w:p w14:paraId="36471EEF">
            <w:pPr>
              <w:shd w:val="clea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投标人市场信用评价得分=企业信用得分*</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%（计算结果均保留两位小数，第三位四舍五入）</w:t>
            </w:r>
            <w:r>
              <w:rPr>
                <w:rFonts w:hint="eastAsia" w:ascii="宋体" w:hAnsi="宋体" w:cs="宋体"/>
                <w:color w:val="auto"/>
                <w:szCs w:val="21"/>
                <w:highlight w:val="none"/>
              </w:rPr>
              <w:t>。</w:t>
            </w:r>
          </w:p>
          <w:p w14:paraId="04E3EDD4">
            <w:pPr>
              <w:keepNext w:val="0"/>
              <w:keepLines w:val="0"/>
              <w:pageBreakBefore w:val="0"/>
              <w:widowControl/>
              <w:shd w:val="clear"/>
              <w:wordWrap/>
              <w:overflowPunct/>
              <w:topLinePunct w:val="0"/>
              <w:bidi w:val="0"/>
              <w:snapToGrid w:val="0"/>
              <w:spacing w:line="360" w:lineRule="auto"/>
              <w:rPr>
                <w:rFonts w:hint="eastAsia" w:ascii="宋体" w:hAnsi="宋体" w:cs="宋体"/>
                <w:b w:val="0"/>
                <w:bCs w:val="0"/>
                <w:color w:val="auto"/>
                <w:szCs w:val="21"/>
                <w:highlight w:val="none"/>
              </w:rPr>
            </w:pPr>
            <w:r>
              <w:rPr>
                <w:rFonts w:hint="eastAsia" w:ascii="宋体" w:hAnsi="宋体" w:cs="宋体"/>
                <w:color w:val="auto"/>
                <w:szCs w:val="21"/>
                <w:highlight w:val="none"/>
              </w:rPr>
              <w:t>注：企业信用得分以南通市住房和城乡建设局202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日公布的《关于公布2025年第4季度建筑业（房建、市政）企业和2025年度装饰装修、工程监理企业信用评价结果的通知》--2025年度南通市工程监理企业信用评价结果汇总表的监理信用得分为准。</w:t>
            </w:r>
          </w:p>
          <w:p w14:paraId="65E39BB4">
            <w:pPr>
              <w:keepNext w:val="0"/>
              <w:keepLines w:val="0"/>
              <w:pageBreakBefore w:val="0"/>
              <w:widowControl/>
              <w:shd w:val="clear"/>
              <w:wordWrap/>
              <w:overflowPunct/>
              <w:topLinePunct w:val="0"/>
              <w:bidi w:val="0"/>
              <w:snapToGrid w:val="0"/>
              <w:spacing w:line="360" w:lineRule="auto"/>
              <w:rPr>
                <w:rFonts w:hint="eastAsia" w:ascii="宋体" w:hAnsi="宋体" w:eastAsia="宋体" w:cs="宋体"/>
                <w:color w:val="auto"/>
                <w:spacing w:val="0"/>
                <w:kern w:val="0"/>
                <w:position w:val="0"/>
                <w:szCs w:val="21"/>
                <w:highlight w:val="none"/>
                <w:lang w:eastAsia="zh-CN"/>
              </w:rPr>
            </w:pPr>
            <w:r>
              <w:rPr>
                <w:rFonts w:hint="eastAsia" w:ascii="宋体" w:hAnsi="宋体" w:cs="宋体"/>
                <w:b/>
                <w:bCs/>
                <w:color w:val="auto"/>
                <w:szCs w:val="21"/>
                <w:highlight w:val="none"/>
                <w:u w:val="single"/>
              </w:rPr>
              <w:t>投标人须将信用评价结果文件加盖公章放入商务标文件中，否则不得分。</w:t>
            </w:r>
          </w:p>
        </w:tc>
      </w:tr>
    </w:tbl>
    <w:p w14:paraId="482AB58B">
      <w:pPr>
        <w:shd w:val="clear"/>
        <w:autoSpaceDE w:val="0"/>
        <w:autoSpaceDN w:val="0"/>
        <w:adjustRightInd w:val="0"/>
        <w:spacing w:line="360" w:lineRule="auto"/>
        <w:ind w:firstLine="422" w:firstLineChars="200"/>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2投标报价（满分91分）</w:t>
      </w:r>
    </w:p>
    <w:p w14:paraId="5F254866">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2.2.1</w:t>
      </w:r>
      <w:r>
        <w:rPr>
          <w:rFonts w:hint="eastAsia" w:ascii="宋体" w:hAnsi="宋体" w:cs="宋体"/>
          <w:color w:val="auto"/>
          <w:kern w:val="0"/>
          <w:szCs w:val="21"/>
          <w:highlight w:val="none"/>
        </w:rPr>
        <w:t xml:space="preserve">有效报价 </w:t>
      </w:r>
    </w:p>
    <w:p w14:paraId="34575B01">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有效报价是指投标人的报价低于招标人设定的最高限价</w:t>
      </w:r>
      <w:r>
        <w:rPr>
          <w:rFonts w:hint="eastAsia" w:ascii="宋体" w:hAnsi="宋体" w:cs="宋体"/>
          <w:b/>
          <w:bCs/>
          <w:color w:val="auto"/>
          <w:kern w:val="0"/>
          <w:szCs w:val="21"/>
          <w:highlight w:val="none"/>
        </w:rPr>
        <w:t>（费率</w:t>
      </w:r>
      <w:r>
        <w:rPr>
          <w:rFonts w:hint="eastAsia" w:ascii="宋体" w:hAnsi="宋体" w:cs="宋体"/>
          <w:b/>
          <w:bCs/>
          <w:color w:val="auto"/>
          <w:kern w:val="0"/>
          <w:szCs w:val="21"/>
          <w:highlight w:val="none"/>
          <w:lang w:val="en-US" w:eastAsia="zh-CN"/>
        </w:rPr>
        <w:t>3.00</w:t>
      </w:r>
      <w:r>
        <w:rPr>
          <w:rFonts w:hint="eastAsia" w:ascii="宋体" w:hAnsi="宋体" w:cs="宋体"/>
          <w:b/>
          <w:bCs/>
          <w:color w:val="auto"/>
          <w:kern w:val="0"/>
          <w:szCs w:val="21"/>
          <w:highlight w:val="none"/>
        </w:rPr>
        <w:t>%）</w:t>
      </w:r>
      <w:r>
        <w:rPr>
          <w:rFonts w:hint="eastAsia" w:ascii="宋体" w:hAnsi="宋体" w:cs="宋体"/>
          <w:color w:val="auto"/>
          <w:kern w:val="0"/>
          <w:szCs w:val="21"/>
          <w:highlight w:val="none"/>
        </w:rPr>
        <w:t>。</w:t>
      </w:r>
    </w:p>
    <w:p w14:paraId="164B0910">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评标基准价的确定： </w:t>
      </w:r>
    </w:p>
    <w:p w14:paraId="57A75A2B">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有效投标文件的投标报价算数平均值为 A【计算算术平均值时，若 7≤有效投标文件＜10 家时，应去掉其中的一个最高价和一个最低价；若有效投标文件≥10家时，应去掉其中的二个最高价和二个最低价】。</w:t>
      </w:r>
    </w:p>
    <w:p w14:paraId="4A3AF5AB">
      <w:pPr>
        <w:shd w:val="clea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szCs w:val="21"/>
          <w:highlight w:val="none"/>
        </w:rPr>
        <w:t>评标基准价=A×K，K 值在开标前由</w:t>
      </w:r>
      <w:r>
        <w:rPr>
          <w:rFonts w:hint="eastAsia" w:ascii="宋体" w:hAnsi="宋体" w:cs="宋体"/>
          <w:b/>
          <w:color w:val="auto"/>
          <w:kern w:val="0"/>
          <w:szCs w:val="21"/>
          <w:highlight w:val="none"/>
        </w:rPr>
        <w:t>招标人</w:t>
      </w:r>
      <w:r>
        <w:rPr>
          <w:rFonts w:hint="eastAsia" w:ascii="宋体" w:hAnsi="宋体" w:cs="宋体"/>
          <w:color w:val="auto"/>
          <w:kern w:val="0"/>
          <w:szCs w:val="21"/>
          <w:highlight w:val="none"/>
        </w:rPr>
        <w:t xml:space="preserve">代表随机抽取确定，K值的取值范围为 95%、96%、97%、98%。 </w:t>
      </w:r>
    </w:p>
    <w:p w14:paraId="52EF76FD">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3投标报价得分计算</w:t>
      </w:r>
    </w:p>
    <w:p w14:paraId="47B4A7E5">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投标报价等于评标基准价的得满分（</w:t>
      </w:r>
      <w:r>
        <w:rPr>
          <w:rFonts w:hint="eastAsia" w:ascii="宋体" w:hAnsi="宋体" w:cs="宋体"/>
          <w:color w:val="auto"/>
          <w:kern w:val="0"/>
          <w:szCs w:val="21"/>
          <w:highlight w:val="none"/>
          <w:lang w:val="en-US" w:eastAsia="zh-CN"/>
        </w:rPr>
        <w:t>91</w:t>
      </w:r>
      <w:r>
        <w:rPr>
          <w:rFonts w:hint="eastAsia" w:ascii="宋体" w:hAnsi="宋体" w:cs="宋体"/>
          <w:color w:val="auto"/>
          <w:kern w:val="0"/>
          <w:szCs w:val="21"/>
          <w:highlight w:val="none"/>
        </w:rPr>
        <w:t xml:space="preserve">分），投标报价相对评标基准价每低1%扣 0.2分，每高1%扣 0.3 分；偏离不足1%的，按照插入法计算得分，得分保留两位小数。 </w:t>
      </w:r>
    </w:p>
    <w:p w14:paraId="7899C9D0">
      <w:pPr>
        <w:shd w:val="clear"/>
        <w:adjustRightIn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例如：投标人A投标报价为：2.40%，投标人B投标报价为：2.50%，投标人C投标报价为：2.60%；抽取的K值97%，则评标基准价为：2.43%，投标人A得分为100-（2.43-2.40）/2.43*100*0.2=99.75分；投标人B得分为100-（2.50-2.43）/2.43*100*0.3=99.14分；投标人C得分为100-（2.60-2.43）/2.43*100*0.3=97.90分；</w:t>
      </w:r>
    </w:p>
    <w:p w14:paraId="3EE037A9">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注：评标过程中出现本评标办法未尽事宜，由评标委员会根据有关法律、法规讨论决定。</w:t>
      </w:r>
    </w:p>
    <w:p w14:paraId="3AC4150D">
      <w:pPr>
        <w:keepNext w:val="0"/>
        <w:keepLines w:val="0"/>
        <w:pageBreakBefore w:val="0"/>
        <w:widowControl w:val="0"/>
        <w:shd w:val="clear"/>
        <w:kinsoku/>
        <w:wordWrap/>
        <w:overflowPunct/>
        <w:topLinePunct w:val="0"/>
        <w:autoSpaceDE/>
        <w:bidi w:val="0"/>
        <w:adjustRightInd w:val="0"/>
        <w:snapToGrid w:val="0"/>
        <w:spacing w:line="360" w:lineRule="auto"/>
        <w:ind w:firstLine="422" w:firstLineChars="200"/>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评标委员会在评标报告上签字后，评标基准价不因招投标当事人质疑、投诉、复议以及其它任何情形而改变，但评标过程中的计算错误可以调整。</w:t>
      </w:r>
    </w:p>
    <w:p w14:paraId="33CE330F">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3、确定中标候选人</w:t>
      </w:r>
    </w:p>
    <w:p w14:paraId="5E3ED8E7">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u w:val="single"/>
        </w:rPr>
        <w:t>总得分=资信得分+投标报价得分</w:t>
      </w:r>
      <w:r>
        <w:rPr>
          <w:rFonts w:hint="eastAsia" w:ascii="宋体" w:hAnsi="宋体" w:eastAsia="宋体" w:cs="宋体"/>
          <w:color w:val="auto"/>
          <w:kern w:val="0"/>
          <w:highlight w:val="none"/>
        </w:rPr>
        <w:t>，得分均保留两位小数。</w:t>
      </w:r>
    </w:p>
    <w:p w14:paraId="48D009BA">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评标委员会按照各投标人的总得分，推荐最高得分者为第一中标候选人，第二、第三名按得分依次排序。若得分相同时，则按下列办法确定：</w:t>
      </w:r>
    </w:p>
    <w:p w14:paraId="404DBC36">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①若投标报价不同，则投标报价低者优先中标；</w:t>
      </w:r>
    </w:p>
    <w:p w14:paraId="366DFF3A">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②若投标报价相同，则由招标人按照投标签到顺序现场抽签的方式确定中标人。</w:t>
      </w:r>
    </w:p>
    <w:p w14:paraId="6894B0DD">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8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③若上述分值和报价均相同的，则通过招标人现场抽签的办法确定第一中标候选人。</w:t>
      </w:r>
    </w:p>
    <w:p w14:paraId="2B51ED39">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8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1065C82">
      <w:pPr>
        <w:keepNext w:val="0"/>
        <w:keepLines w:val="0"/>
        <w:pageBreakBefore w:val="0"/>
        <w:widowControl w:val="0"/>
        <w:shd w:val="clear"/>
        <w:kinsoku/>
        <w:wordWrap/>
        <w:overflowPunct/>
        <w:topLinePunct w:val="0"/>
        <w:autoSpaceDE/>
        <w:autoSpaceDN w:val="0"/>
        <w:bidi w:val="0"/>
        <w:adjustRightInd w:val="0"/>
        <w:snapToGrid w:val="0"/>
        <w:spacing w:line="360" w:lineRule="auto"/>
        <w:ind w:firstLine="47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三、评标过程中出现本评标办法未尽事宜，由评标委员会根据有关法律、法规讨论并作出最终解释。</w:t>
      </w:r>
    </w:p>
    <w:p w14:paraId="6C178E90">
      <w:pPr>
        <w:keepNext w:val="0"/>
        <w:keepLines w:val="0"/>
        <w:pageBreakBefore w:val="0"/>
        <w:widowControl w:val="0"/>
        <w:shd w:val="clear"/>
        <w:kinsoku/>
        <w:wordWrap/>
        <w:overflowPunct/>
        <w:topLinePunct w:val="0"/>
        <w:autoSpaceDE/>
        <w:bidi w:val="0"/>
        <w:adjustRightInd w:val="0"/>
        <w:snapToGrid w:val="0"/>
        <w:spacing w:line="360" w:lineRule="auto"/>
        <w:ind w:firstLine="420" w:firstLineChars="200"/>
        <w:jc w:val="left"/>
        <w:textAlignment w:val="auto"/>
        <w:rPr>
          <w:rFonts w:hint="eastAsia" w:ascii="宋体" w:hAnsi="宋体" w:cs="宋体"/>
          <w:bCs/>
          <w:color w:val="auto"/>
          <w:kern w:val="0"/>
          <w:sz w:val="24"/>
          <w:highlight w:val="none"/>
        </w:rPr>
      </w:pPr>
      <w:r>
        <w:rPr>
          <w:rFonts w:hint="eastAsia" w:ascii="宋体" w:hAnsi="宋体" w:cs="宋体"/>
          <w:color w:val="auto"/>
          <w:kern w:val="0"/>
          <w:highlight w:val="none"/>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14:paraId="5EC51203">
      <w:pPr>
        <w:keepNext w:val="0"/>
        <w:keepLines w:val="0"/>
        <w:pageBreakBefore w:val="0"/>
        <w:widowControl w:val="0"/>
        <w:shd w:val="clear"/>
        <w:kinsoku/>
        <w:wordWrap/>
        <w:overflowPunct/>
        <w:topLinePunct w:val="0"/>
        <w:autoSpaceDE/>
        <w:bidi w:val="0"/>
        <w:adjustRightInd w:val="0"/>
        <w:snapToGrid w:val="0"/>
        <w:spacing w:line="360" w:lineRule="auto"/>
        <w:textAlignment w:val="auto"/>
        <w:rPr>
          <w:rFonts w:hint="eastAsia" w:ascii="宋体" w:hAnsi="宋体" w:cs="宋体"/>
          <w:color w:val="auto"/>
          <w:kern w:val="0"/>
          <w:sz w:val="36"/>
          <w:highlight w:val="none"/>
        </w:rPr>
      </w:pPr>
      <w:bookmarkStart w:id="214" w:name="_Toc398111682"/>
    </w:p>
    <w:p w14:paraId="4950F174">
      <w:pPr>
        <w:pStyle w:val="2"/>
        <w:keepNext w:val="0"/>
        <w:keepLines w:val="0"/>
        <w:shd w:val="clear"/>
        <w:adjustRightInd w:val="0"/>
        <w:snapToGrid w:val="0"/>
        <w:spacing w:before="0" w:after="0" w:line="360" w:lineRule="auto"/>
        <w:jc w:val="center"/>
        <w:rPr>
          <w:rFonts w:hint="eastAsia" w:ascii="宋体" w:hAnsi="宋体" w:cs="宋体"/>
          <w:color w:val="auto"/>
          <w:kern w:val="0"/>
          <w:sz w:val="32"/>
          <w:szCs w:val="40"/>
          <w:highlight w:val="none"/>
        </w:rPr>
      </w:pPr>
      <w:r>
        <w:rPr>
          <w:rFonts w:hint="eastAsia" w:ascii="宋体" w:hAnsi="宋体" w:cs="宋体"/>
          <w:color w:val="auto"/>
          <w:kern w:val="0"/>
          <w:sz w:val="36"/>
          <w:highlight w:val="none"/>
        </w:rPr>
        <w:br w:type="page"/>
      </w:r>
      <w:bookmarkStart w:id="215" w:name="_Toc2618"/>
      <w:bookmarkStart w:id="216" w:name="_Toc20114"/>
      <w:bookmarkStart w:id="217" w:name="_Toc1267"/>
      <w:r>
        <w:rPr>
          <w:rFonts w:hint="eastAsia" w:ascii="宋体" w:hAnsi="宋体" w:cs="宋体"/>
          <w:color w:val="auto"/>
          <w:kern w:val="0"/>
          <w:sz w:val="32"/>
          <w:szCs w:val="40"/>
          <w:highlight w:val="none"/>
        </w:rPr>
        <w:t>第三章合同条款及格式</w:t>
      </w:r>
      <w:bookmarkEnd w:id="214"/>
      <w:bookmarkEnd w:id="215"/>
      <w:bookmarkEnd w:id="216"/>
      <w:bookmarkEnd w:id="217"/>
    </w:p>
    <w:p w14:paraId="414BCC5A">
      <w:pPr>
        <w:pStyle w:val="3"/>
        <w:keepNext w:val="0"/>
        <w:keepLines w:val="0"/>
        <w:shd w:val="clear"/>
        <w:spacing w:before="0" w:after="0" w:line="360" w:lineRule="auto"/>
        <w:jc w:val="center"/>
        <w:rPr>
          <w:rFonts w:ascii="Times New Roman" w:hAnsi="Times New Roman" w:eastAsia="宋体"/>
          <w:b/>
          <w:bCs w:val="0"/>
          <w:color w:val="auto"/>
          <w:sz w:val="28"/>
          <w:szCs w:val="28"/>
          <w:highlight w:val="none"/>
        </w:rPr>
      </w:pPr>
      <w:bookmarkStart w:id="218" w:name="_Toc9194605"/>
      <w:bookmarkStart w:id="219" w:name="_Toc10723"/>
      <w:bookmarkStart w:id="220" w:name="_Toc398111701"/>
      <w:bookmarkStart w:id="221" w:name="_Toc2699"/>
      <w:bookmarkStart w:id="222" w:name="_Toc398111716"/>
      <w:r>
        <w:rPr>
          <w:rFonts w:ascii="Times New Roman" w:hAnsi="宋体" w:eastAsia="宋体"/>
          <w:b/>
          <w:color w:val="auto"/>
          <w:sz w:val="28"/>
          <w:szCs w:val="28"/>
          <w:highlight w:val="none"/>
        </w:rPr>
        <w:tab/>
      </w:r>
      <w:bookmarkEnd w:id="218"/>
      <w:bookmarkEnd w:id="219"/>
      <w:bookmarkEnd w:id="220"/>
      <w:bookmarkStart w:id="223" w:name="_Toc32414"/>
      <w:bookmarkStart w:id="224" w:name="_Toc25037"/>
      <w:bookmarkStart w:id="225" w:name="_Toc398111710"/>
      <w:r>
        <w:rPr>
          <w:rFonts w:hint="eastAsia" w:ascii="Times New Roman" w:hAnsi="宋体" w:eastAsia="宋体"/>
          <w:b/>
          <w:color w:val="auto"/>
          <w:sz w:val="28"/>
          <w:szCs w:val="28"/>
          <w:highlight w:val="none"/>
        </w:rPr>
        <w:t>第一部分协议书</w:t>
      </w:r>
      <w:bookmarkEnd w:id="223"/>
    </w:p>
    <w:p w14:paraId="13EB710A">
      <w:pPr>
        <w:shd w:val="clear"/>
        <w:spacing w:line="360" w:lineRule="auto"/>
        <w:ind w:firstLine="422" w:firstLineChars="200"/>
        <w:rPr>
          <w:rFonts w:hint="eastAsia" w:hAnsi="宋体"/>
          <w:color w:val="auto"/>
          <w:szCs w:val="21"/>
          <w:highlight w:val="none"/>
          <w:u w:val="single"/>
        </w:rPr>
      </w:pPr>
      <w:r>
        <w:rPr>
          <w:rFonts w:hint="eastAsia" w:hAnsi="宋体"/>
          <w:b/>
          <w:color w:val="auto"/>
          <w:szCs w:val="21"/>
          <w:highlight w:val="none"/>
        </w:rPr>
        <w:t>委托人（全称）：</w:t>
      </w:r>
      <w:r>
        <w:rPr>
          <w:rFonts w:hint="eastAsia" w:hAnsi="宋体"/>
          <w:color w:val="auto"/>
          <w:szCs w:val="21"/>
          <w:highlight w:val="none"/>
          <w:u w:val="single"/>
        </w:rPr>
        <w:t>南通市崇川区城市工程建设管理中心</w:t>
      </w:r>
    </w:p>
    <w:p w14:paraId="4A5C4607">
      <w:pPr>
        <w:shd w:val="clear"/>
        <w:spacing w:line="360" w:lineRule="auto"/>
        <w:ind w:firstLine="422" w:firstLineChars="200"/>
        <w:rPr>
          <w:color w:val="auto"/>
          <w:szCs w:val="21"/>
          <w:highlight w:val="none"/>
          <w:u w:val="single"/>
        </w:rPr>
      </w:pPr>
      <w:r>
        <w:rPr>
          <w:rFonts w:hint="eastAsia" w:hAnsi="宋体"/>
          <w:b/>
          <w:color w:val="auto"/>
          <w:szCs w:val="21"/>
          <w:highlight w:val="none"/>
        </w:rPr>
        <w:t>监理人（全称）：</w:t>
      </w:r>
    </w:p>
    <w:p w14:paraId="50F759A0">
      <w:pPr>
        <w:shd w:val="clear"/>
        <w:spacing w:line="360" w:lineRule="auto"/>
        <w:ind w:firstLine="420" w:firstLineChars="200"/>
        <w:rPr>
          <w:color w:val="auto"/>
          <w:szCs w:val="21"/>
          <w:highlight w:val="none"/>
          <w:u w:val="single"/>
        </w:rPr>
      </w:pPr>
      <w:r>
        <w:rPr>
          <w:rFonts w:hint="eastAsia" w:hAnsi="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3C363C39">
      <w:pPr>
        <w:pStyle w:val="4"/>
        <w:keepNext w:val="0"/>
        <w:keepLines w:val="0"/>
        <w:shd w:val="clear"/>
        <w:spacing w:before="0" w:after="0" w:line="360" w:lineRule="auto"/>
        <w:rPr>
          <w:rFonts w:eastAsia="宋体"/>
          <w:color w:val="auto"/>
          <w:sz w:val="21"/>
          <w:szCs w:val="21"/>
          <w:highlight w:val="none"/>
        </w:rPr>
      </w:pPr>
      <w:bookmarkStart w:id="226" w:name="_Toc24456"/>
      <w:r>
        <w:rPr>
          <w:rFonts w:hint="eastAsia" w:hAnsi="宋体" w:eastAsia="宋体"/>
          <w:color w:val="auto"/>
          <w:sz w:val="21"/>
          <w:szCs w:val="21"/>
          <w:highlight w:val="none"/>
        </w:rPr>
        <w:t>一、工程概况</w:t>
      </w:r>
      <w:bookmarkEnd w:id="226"/>
    </w:p>
    <w:p w14:paraId="07B11C2B">
      <w:pPr>
        <w:widowControl/>
        <w:shd w:val="clear"/>
        <w:spacing w:line="360" w:lineRule="auto"/>
        <w:ind w:firstLine="420" w:firstLineChars="200"/>
        <w:rPr>
          <w:color w:val="auto"/>
          <w:szCs w:val="21"/>
          <w:highlight w:val="none"/>
        </w:rPr>
      </w:pPr>
      <w:r>
        <w:rPr>
          <w:rFonts w:hint="eastAsia"/>
          <w:color w:val="auto"/>
          <w:szCs w:val="21"/>
          <w:highlight w:val="none"/>
        </w:rPr>
        <w:t xml:space="preserve">1. </w:t>
      </w:r>
      <w:r>
        <w:rPr>
          <w:rFonts w:hint="eastAsia" w:hAnsi="宋体"/>
          <w:color w:val="auto"/>
          <w:szCs w:val="21"/>
          <w:highlight w:val="none"/>
        </w:rPr>
        <w:t>工程名称：</w:t>
      </w:r>
      <w:r>
        <w:rPr>
          <w:rFonts w:hint="eastAsia" w:hAnsi="宋体"/>
          <w:color w:val="auto"/>
          <w:szCs w:val="21"/>
          <w:highlight w:val="none"/>
          <w:u w:val="single"/>
          <w:lang w:eastAsia="zh-CN"/>
        </w:rPr>
        <w:t>生命医药经一路（通扬运河-规划纬一路）工程</w:t>
      </w:r>
      <w:r>
        <w:rPr>
          <w:rFonts w:hint="eastAsia" w:hAnsi="宋体"/>
          <w:color w:val="auto"/>
          <w:szCs w:val="21"/>
          <w:highlight w:val="none"/>
        </w:rPr>
        <w:t>；</w:t>
      </w:r>
    </w:p>
    <w:p w14:paraId="30925FB6">
      <w:pPr>
        <w:shd w:val="clear"/>
        <w:spacing w:line="360" w:lineRule="auto"/>
        <w:ind w:firstLine="415" w:firstLineChars="198"/>
        <w:rPr>
          <w:rFonts w:hint="eastAsia" w:hAnsi="宋体"/>
          <w:color w:val="auto"/>
          <w:szCs w:val="21"/>
          <w:highlight w:val="none"/>
        </w:rPr>
      </w:pPr>
      <w:r>
        <w:rPr>
          <w:rFonts w:hint="eastAsia"/>
          <w:color w:val="auto"/>
          <w:szCs w:val="21"/>
          <w:highlight w:val="none"/>
        </w:rPr>
        <w:t xml:space="preserve">2. </w:t>
      </w:r>
      <w:r>
        <w:rPr>
          <w:rFonts w:hint="eastAsia" w:hAnsi="宋体"/>
          <w:color w:val="auto"/>
          <w:szCs w:val="21"/>
          <w:highlight w:val="none"/>
        </w:rPr>
        <w:t>工程地点：</w:t>
      </w:r>
      <w:r>
        <w:rPr>
          <w:rFonts w:hint="eastAsia" w:ascii="宋体" w:hAnsi="宋体" w:cs="宋体"/>
          <w:color w:val="auto"/>
          <w:sz w:val="21"/>
          <w:szCs w:val="21"/>
          <w:highlight w:val="none"/>
          <w:shd w:val="clear" w:color="auto" w:fill="FFFFFF"/>
        </w:rPr>
        <w:t>西起现状河东路(接钢厂桥引桥)，东至规划纬一路</w:t>
      </w:r>
      <w:r>
        <w:rPr>
          <w:rFonts w:hint="eastAsia" w:hAnsi="宋体"/>
          <w:color w:val="auto"/>
          <w:szCs w:val="21"/>
          <w:highlight w:val="none"/>
        </w:rPr>
        <w:t>；</w:t>
      </w:r>
    </w:p>
    <w:p w14:paraId="7A6E8488">
      <w:pPr>
        <w:widowControl/>
        <w:shd w:val="clear"/>
        <w:spacing w:line="360" w:lineRule="auto"/>
        <w:ind w:firstLine="420" w:firstLineChars="200"/>
        <w:rPr>
          <w:rFonts w:hint="eastAsia" w:ascii="宋体" w:hAnsi="宋体" w:cs="宋体"/>
          <w:color w:val="auto"/>
          <w:kern w:val="0"/>
          <w:highlight w:val="none"/>
        </w:rPr>
      </w:pPr>
      <w:r>
        <w:rPr>
          <w:rFonts w:hint="eastAsia"/>
          <w:color w:val="auto"/>
          <w:szCs w:val="21"/>
          <w:highlight w:val="none"/>
        </w:rPr>
        <w:t>3. 工程规模：</w:t>
      </w:r>
      <w:r>
        <w:rPr>
          <w:rFonts w:hint="eastAsia" w:ascii="宋体" w:hAnsi="宋体" w:eastAsia="宋体" w:cs="宋体"/>
          <w:b w:val="0"/>
          <w:bCs w:val="0"/>
          <w:color w:val="auto"/>
          <w:spacing w:val="0"/>
          <w:kern w:val="0"/>
          <w:position w:val="0"/>
          <w:sz w:val="21"/>
          <w:szCs w:val="21"/>
          <w:highlight w:val="none"/>
        </w:rPr>
        <w:t>主要实施道路、排水、交通设施、绿化等，全长约700米，规划宽度18米，设计等级为城市支路，设计时速30km/h。</w:t>
      </w:r>
      <w:r>
        <w:rPr>
          <w:rFonts w:hint="eastAsia" w:ascii="宋体" w:hAnsi="宋体" w:eastAsia="宋体" w:cs="宋体"/>
          <w:b w:val="0"/>
          <w:bCs w:val="0"/>
          <w:color w:val="auto"/>
          <w:spacing w:val="0"/>
          <w:kern w:val="0"/>
          <w:position w:val="0"/>
          <w:sz w:val="21"/>
          <w:szCs w:val="21"/>
          <w:highlight w:val="none"/>
          <w:lang w:val="en-US" w:eastAsia="zh-CN"/>
        </w:rPr>
        <w:t>工程建设规模约为740万元</w:t>
      </w:r>
      <w:r>
        <w:rPr>
          <w:rFonts w:hint="eastAsia" w:ascii="宋体" w:hAnsi="宋体" w:cs="宋体"/>
          <w:color w:val="auto"/>
          <w:kern w:val="0"/>
          <w:highlight w:val="none"/>
        </w:rPr>
        <w:t>。</w:t>
      </w:r>
    </w:p>
    <w:p w14:paraId="7CDF572E">
      <w:pPr>
        <w:widowControl/>
        <w:shd w:val="clear"/>
        <w:spacing w:line="360" w:lineRule="auto"/>
        <w:ind w:firstLine="420" w:firstLineChars="200"/>
        <w:rPr>
          <w:color w:val="auto"/>
          <w:szCs w:val="21"/>
          <w:highlight w:val="none"/>
        </w:rPr>
      </w:pPr>
      <w:r>
        <w:rPr>
          <w:rFonts w:hint="eastAsia"/>
          <w:color w:val="auto"/>
          <w:szCs w:val="21"/>
          <w:highlight w:val="none"/>
        </w:rPr>
        <w:t>4. 工程概算投资额或建筑安装工程费：约</w:t>
      </w:r>
      <w:r>
        <w:rPr>
          <w:rFonts w:hint="eastAsia"/>
          <w:color w:val="auto"/>
          <w:szCs w:val="21"/>
          <w:highlight w:val="none"/>
          <w:lang w:val="en-US" w:eastAsia="zh-CN"/>
        </w:rPr>
        <w:t>740</w:t>
      </w:r>
      <w:r>
        <w:rPr>
          <w:rFonts w:hint="eastAsia"/>
          <w:color w:val="auto"/>
          <w:szCs w:val="21"/>
          <w:highlight w:val="none"/>
        </w:rPr>
        <w:t>万元。</w:t>
      </w:r>
    </w:p>
    <w:p w14:paraId="1F2070A1">
      <w:pPr>
        <w:pStyle w:val="4"/>
        <w:keepNext w:val="0"/>
        <w:keepLines w:val="0"/>
        <w:shd w:val="clear"/>
        <w:spacing w:before="0" w:after="0" w:line="360" w:lineRule="auto"/>
        <w:rPr>
          <w:rFonts w:eastAsia="宋体"/>
          <w:color w:val="auto"/>
          <w:sz w:val="21"/>
          <w:szCs w:val="21"/>
          <w:highlight w:val="none"/>
        </w:rPr>
      </w:pPr>
      <w:bookmarkStart w:id="227" w:name="_Toc10808"/>
      <w:r>
        <w:rPr>
          <w:rFonts w:hint="eastAsia" w:hAnsi="宋体" w:eastAsia="宋体"/>
          <w:color w:val="auto"/>
          <w:sz w:val="21"/>
          <w:szCs w:val="21"/>
          <w:highlight w:val="none"/>
        </w:rPr>
        <w:t>二、词语限定</w:t>
      </w:r>
      <w:bookmarkEnd w:id="227"/>
    </w:p>
    <w:p w14:paraId="3A8DA023">
      <w:pPr>
        <w:shd w:val="clear"/>
        <w:spacing w:line="360" w:lineRule="auto"/>
        <w:ind w:firstLine="415" w:firstLineChars="198"/>
        <w:rPr>
          <w:color w:val="auto"/>
          <w:szCs w:val="21"/>
          <w:highlight w:val="none"/>
        </w:rPr>
      </w:pPr>
      <w:r>
        <w:rPr>
          <w:rFonts w:hint="eastAsia" w:hAnsi="宋体"/>
          <w:color w:val="auto"/>
          <w:szCs w:val="21"/>
          <w:highlight w:val="none"/>
        </w:rPr>
        <w:t>协议书中相关词语的含义与通用条件中的定义与解释相同。</w:t>
      </w:r>
    </w:p>
    <w:p w14:paraId="66453BC6">
      <w:pPr>
        <w:pStyle w:val="4"/>
        <w:keepNext w:val="0"/>
        <w:keepLines w:val="0"/>
        <w:shd w:val="clear"/>
        <w:spacing w:before="0" w:after="0" w:line="360" w:lineRule="auto"/>
        <w:rPr>
          <w:rFonts w:eastAsia="宋体"/>
          <w:color w:val="auto"/>
          <w:sz w:val="21"/>
          <w:szCs w:val="21"/>
          <w:highlight w:val="none"/>
        </w:rPr>
      </w:pPr>
      <w:bookmarkStart w:id="228" w:name="_Toc15444"/>
      <w:r>
        <w:rPr>
          <w:rFonts w:hint="eastAsia" w:hAnsi="宋体" w:eastAsia="宋体"/>
          <w:color w:val="auto"/>
          <w:sz w:val="21"/>
          <w:szCs w:val="21"/>
          <w:highlight w:val="none"/>
        </w:rPr>
        <w:t>三、组成本合同的文件</w:t>
      </w:r>
      <w:bookmarkEnd w:id="228"/>
    </w:p>
    <w:p w14:paraId="09130BB3">
      <w:pPr>
        <w:shd w:val="clear"/>
        <w:spacing w:line="360" w:lineRule="auto"/>
        <w:ind w:firstLine="415" w:firstLineChars="198"/>
        <w:rPr>
          <w:color w:val="auto"/>
          <w:szCs w:val="21"/>
          <w:highlight w:val="none"/>
        </w:rPr>
      </w:pPr>
      <w:r>
        <w:rPr>
          <w:rFonts w:hint="eastAsia"/>
          <w:color w:val="auto"/>
          <w:szCs w:val="21"/>
          <w:highlight w:val="none"/>
        </w:rPr>
        <w:t xml:space="preserve">1. </w:t>
      </w:r>
      <w:r>
        <w:rPr>
          <w:rFonts w:hint="eastAsia" w:hAnsi="宋体"/>
          <w:color w:val="auto"/>
          <w:szCs w:val="21"/>
          <w:highlight w:val="none"/>
        </w:rPr>
        <w:t>协议书；</w:t>
      </w:r>
    </w:p>
    <w:p w14:paraId="3AB493AA">
      <w:pPr>
        <w:shd w:val="clear"/>
        <w:spacing w:line="360" w:lineRule="auto"/>
        <w:ind w:firstLine="415" w:firstLineChars="198"/>
        <w:rPr>
          <w:color w:val="auto"/>
          <w:szCs w:val="21"/>
          <w:highlight w:val="none"/>
        </w:rPr>
      </w:pPr>
      <w:r>
        <w:rPr>
          <w:rFonts w:hint="eastAsia"/>
          <w:color w:val="auto"/>
          <w:szCs w:val="21"/>
          <w:highlight w:val="none"/>
        </w:rPr>
        <w:t xml:space="preserve">2. </w:t>
      </w:r>
      <w:r>
        <w:rPr>
          <w:rFonts w:hint="eastAsia" w:hAnsi="宋体"/>
          <w:color w:val="auto"/>
          <w:szCs w:val="21"/>
          <w:highlight w:val="none"/>
        </w:rPr>
        <w:t>中标通知书（适用于招标工程）或委托书（适用于非招标工程）；</w:t>
      </w:r>
    </w:p>
    <w:p w14:paraId="3C91BF18">
      <w:pPr>
        <w:shd w:val="clear"/>
        <w:spacing w:line="360" w:lineRule="auto"/>
        <w:ind w:firstLine="415" w:firstLineChars="198"/>
        <w:rPr>
          <w:color w:val="auto"/>
          <w:szCs w:val="21"/>
          <w:highlight w:val="none"/>
        </w:rPr>
      </w:pPr>
      <w:r>
        <w:rPr>
          <w:rFonts w:hint="eastAsia"/>
          <w:color w:val="auto"/>
          <w:szCs w:val="21"/>
          <w:highlight w:val="none"/>
        </w:rPr>
        <w:t xml:space="preserve">3. </w:t>
      </w:r>
      <w:r>
        <w:rPr>
          <w:rFonts w:hint="eastAsia" w:hAnsi="宋体"/>
          <w:color w:val="auto"/>
          <w:szCs w:val="21"/>
          <w:highlight w:val="none"/>
        </w:rPr>
        <w:t>投标文件（适用于招标工程）或监理与相关服务建议书（适用于非招标工程）；</w:t>
      </w:r>
    </w:p>
    <w:p w14:paraId="3E5CC97F">
      <w:pPr>
        <w:shd w:val="clear"/>
        <w:spacing w:line="360" w:lineRule="auto"/>
        <w:rPr>
          <w:color w:val="auto"/>
          <w:szCs w:val="21"/>
          <w:highlight w:val="none"/>
        </w:rPr>
      </w:pPr>
      <w:r>
        <w:rPr>
          <w:rFonts w:hint="eastAsia"/>
          <w:color w:val="auto"/>
          <w:szCs w:val="21"/>
          <w:highlight w:val="none"/>
        </w:rPr>
        <w:t xml:space="preserve">    4. </w:t>
      </w:r>
      <w:r>
        <w:rPr>
          <w:rFonts w:hint="eastAsia" w:hAnsi="宋体"/>
          <w:color w:val="auto"/>
          <w:szCs w:val="21"/>
          <w:highlight w:val="none"/>
        </w:rPr>
        <w:t>专用条件；</w:t>
      </w:r>
    </w:p>
    <w:p w14:paraId="08AAD572">
      <w:pPr>
        <w:shd w:val="clear"/>
        <w:spacing w:line="360" w:lineRule="auto"/>
        <w:ind w:firstLine="415" w:firstLineChars="198"/>
        <w:rPr>
          <w:color w:val="auto"/>
          <w:szCs w:val="21"/>
          <w:highlight w:val="none"/>
        </w:rPr>
      </w:pPr>
      <w:r>
        <w:rPr>
          <w:rFonts w:hint="eastAsia"/>
          <w:color w:val="auto"/>
          <w:szCs w:val="21"/>
          <w:highlight w:val="none"/>
        </w:rPr>
        <w:t xml:space="preserve">5. </w:t>
      </w:r>
      <w:r>
        <w:rPr>
          <w:rFonts w:hint="eastAsia" w:hAnsi="宋体"/>
          <w:color w:val="auto"/>
          <w:szCs w:val="21"/>
          <w:highlight w:val="none"/>
        </w:rPr>
        <w:t>通用条件；</w:t>
      </w:r>
    </w:p>
    <w:p w14:paraId="1CCB34C2">
      <w:pPr>
        <w:shd w:val="clear"/>
        <w:spacing w:line="360" w:lineRule="auto"/>
        <w:ind w:firstLine="415" w:firstLineChars="198"/>
        <w:rPr>
          <w:color w:val="auto"/>
          <w:szCs w:val="21"/>
          <w:highlight w:val="none"/>
        </w:rPr>
      </w:pPr>
      <w:r>
        <w:rPr>
          <w:rFonts w:hint="eastAsia"/>
          <w:color w:val="auto"/>
          <w:szCs w:val="21"/>
          <w:highlight w:val="none"/>
        </w:rPr>
        <w:t xml:space="preserve">6. </w:t>
      </w:r>
      <w:r>
        <w:rPr>
          <w:rFonts w:hint="eastAsia" w:hAnsi="宋体"/>
          <w:color w:val="auto"/>
          <w:szCs w:val="21"/>
          <w:highlight w:val="none"/>
        </w:rPr>
        <w:t>附录，即：</w:t>
      </w:r>
    </w:p>
    <w:p w14:paraId="3AB3AEC0">
      <w:pPr>
        <w:shd w:val="clear"/>
        <w:spacing w:line="360" w:lineRule="auto"/>
        <w:ind w:firstLine="415" w:firstLineChars="198"/>
        <w:rPr>
          <w:color w:val="auto"/>
          <w:szCs w:val="21"/>
          <w:highlight w:val="none"/>
        </w:rPr>
      </w:pPr>
      <w:r>
        <w:rPr>
          <w:rFonts w:hint="eastAsia" w:hAnsi="宋体"/>
          <w:color w:val="auto"/>
          <w:szCs w:val="21"/>
          <w:highlight w:val="none"/>
        </w:rPr>
        <w:t>附录</w:t>
      </w:r>
      <w:r>
        <w:rPr>
          <w:rFonts w:hint="eastAsia"/>
          <w:color w:val="auto"/>
          <w:szCs w:val="21"/>
          <w:highlight w:val="none"/>
        </w:rPr>
        <w:t xml:space="preserve">A  </w:t>
      </w:r>
      <w:r>
        <w:rPr>
          <w:rFonts w:hint="eastAsia" w:hAnsi="宋体"/>
          <w:color w:val="auto"/>
          <w:szCs w:val="21"/>
          <w:highlight w:val="none"/>
        </w:rPr>
        <w:t>相关服务的范围和内容</w:t>
      </w:r>
    </w:p>
    <w:p w14:paraId="1A43BF0A">
      <w:pPr>
        <w:shd w:val="clear"/>
        <w:spacing w:line="360" w:lineRule="auto"/>
        <w:ind w:firstLine="420" w:firstLineChars="200"/>
        <w:rPr>
          <w:color w:val="auto"/>
          <w:szCs w:val="21"/>
          <w:highlight w:val="none"/>
        </w:rPr>
      </w:pPr>
      <w:r>
        <w:rPr>
          <w:rFonts w:hint="eastAsia" w:hAnsi="宋体"/>
          <w:color w:val="auto"/>
          <w:szCs w:val="21"/>
          <w:highlight w:val="none"/>
        </w:rPr>
        <w:t>附录</w:t>
      </w:r>
      <w:r>
        <w:rPr>
          <w:rFonts w:hint="eastAsia"/>
          <w:color w:val="auto"/>
          <w:szCs w:val="21"/>
          <w:highlight w:val="none"/>
        </w:rPr>
        <w:t xml:space="preserve">B  </w:t>
      </w:r>
      <w:r>
        <w:rPr>
          <w:rFonts w:hint="eastAsia" w:hAnsi="宋体"/>
          <w:color w:val="auto"/>
          <w:szCs w:val="21"/>
          <w:highlight w:val="none"/>
        </w:rPr>
        <w:t>委托人派遣的人员和提供的</w:t>
      </w:r>
      <w:r>
        <w:rPr>
          <w:rFonts w:hint="eastAsia" w:hAnsi="宋体"/>
          <w:bCs/>
          <w:color w:val="auto"/>
          <w:szCs w:val="21"/>
          <w:highlight w:val="none"/>
        </w:rPr>
        <w:t>房屋、资料</w:t>
      </w:r>
      <w:r>
        <w:rPr>
          <w:rFonts w:hint="eastAsia" w:hAnsi="宋体"/>
          <w:color w:val="auto"/>
          <w:szCs w:val="21"/>
          <w:highlight w:val="none"/>
        </w:rPr>
        <w:t>、设备</w:t>
      </w:r>
    </w:p>
    <w:p w14:paraId="34049A75">
      <w:pPr>
        <w:shd w:val="clear"/>
        <w:spacing w:line="360" w:lineRule="auto"/>
        <w:ind w:firstLine="415" w:firstLineChars="198"/>
        <w:rPr>
          <w:color w:val="auto"/>
          <w:szCs w:val="21"/>
          <w:highlight w:val="none"/>
        </w:rPr>
      </w:pPr>
      <w:r>
        <w:rPr>
          <w:rFonts w:hint="eastAsia" w:hAnsi="宋体"/>
          <w:color w:val="auto"/>
          <w:szCs w:val="21"/>
          <w:highlight w:val="none"/>
        </w:rPr>
        <w:t>本合同签订后，双方依法签订的补充协议也是本合同文件的组成部分。</w:t>
      </w:r>
    </w:p>
    <w:p w14:paraId="2FA63A58">
      <w:pPr>
        <w:shd w:val="clear"/>
        <w:spacing w:line="360" w:lineRule="auto"/>
        <w:outlineLvl w:val="2"/>
        <w:rPr>
          <w:rFonts w:hint="eastAsia" w:ascii="宋体" w:hAnsi="宋体" w:cs="宋体"/>
          <w:color w:val="auto"/>
          <w:highlight w:val="none"/>
        </w:rPr>
      </w:pPr>
      <w:bookmarkStart w:id="229" w:name="_Toc16425"/>
      <w:r>
        <w:rPr>
          <w:rFonts w:ascii="宋体" w:hAnsi="宋体" w:cs="宋体"/>
          <w:color w:val="auto"/>
          <w:highlight w:val="none"/>
        </w:rPr>
        <w:t>四、总监理工程师</w:t>
      </w:r>
      <w:bookmarkEnd w:id="229"/>
    </w:p>
    <w:p w14:paraId="1719128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总监理工程师姓名：</w:t>
      </w:r>
      <w:r>
        <w:rPr>
          <w:rFonts w:hint="eastAsia" w:ascii="宋体" w:hAnsi="宋体" w:cs="宋体"/>
          <w:color w:val="auto"/>
          <w:highlight w:val="none"/>
          <w:u w:val="single"/>
        </w:rPr>
        <w:t xml:space="preserve">        </w:t>
      </w:r>
      <w:r>
        <w:rPr>
          <w:rFonts w:ascii="宋体" w:hAnsi="宋体" w:cs="宋体"/>
          <w:color w:val="auto"/>
          <w:highlight w:val="none"/>
        </w:rPr>
        <w:t>，身份证号码：</w:t>
      </w:r>
      <w:r>
        <w:rPr>
          <w:rFonts w:hint="eastAsia" w:ascii="宋体" w:hAnsi="宋体" w:cs="宋体"/>
          <w:color w:val="auto"/>
          <w:highlight w:val="none"/>
          <w:u w:val="single"/>
        </w:rPr>
        <w:t xml:space="preserve">         </w:t>
      </w:r>
      <w:r>
        <w:rPr>
          <w:rFonts w:ascii="宋体" w:hAnsi="宋体" w:cs="宋体"/>
          <w:color w:val="auto"/>
          <w:highlight w:val="none"/>
        </w:rPr>
        <w:t>，注册号：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ascii="宋体" w:hAnsi="宋体" w:cs="宋体"/>
          <w:color w:val="auto"/>
          <w:highlight w:val="none"/>
        </w:rPr>
        <w:t>。</w:t>
      </w:r>
    </w:p>
    <w:p w14:paraId="37E835E9">
      <w:pPr>
        <w:shd w:val="clear"/>
        <w:spacing w:line="360" w:lineRule="auto"/>
        <w:rPr>
          <w:rFonts w:hint="eastAsia" w:ascii="宋体" w:hAnsi="宋体" w:cs="宋体"/>
          <w:color w:val="auto"/>
          <w:highlight w:val="none"/>
        </w:rPr>
      </w:pPr>
      <w:r>
        <w:rPr>
          <w:rFonts w:ascii="宋体" w:hAnsi="宋体" w:cs="宋体"/>
          <w:color w:val="auto"/>
          <w:highlight w:val="none"/>
        </w:rPr>
        <w:t>五、签约酬金</w:t>
      </w:r>
    </w:p>
    <w:p w14:paraId="6268EAF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监理合同费率(即监理中标费率)为百分之 ( </w:t>
      </w:r>
      <w:r>
        <w:rPr>
          <w:rFonts w:ascii="宋体" w:hAnsi="宋体" w:cs="宋体"/>
          <w:color w:val="auto"/>
          <w:highlight w:val="none"/>
          <w:u w:val="single"/>
        </w:rPr>
        <w:t xml:space="preserve">        %</w:t>
      </w:r>
      <w:r>
        <w:rPr>
          <w:rFonts w:ascii="宋体" w:hAnsi="宋体" w:cs="宋体"/>
          <w:color w:val="auto"/>
          <w:highlight w:val="none"/>
        </w:rPr>
        <w:t>)，该费率固定不变。</w:t>
      </w:r>
    </w:p>
    <w:p w14:paraId="6E0AA57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监理服务收费＝本工程施工结算审定价×监理中标费率。</w:t>
      </w:r>
    </w:p>
    <w:p w14:paraId="297BF9F1">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工程专业调整系数、工程复杂程度调整系数、高程调整系数及保修因素在中标费率值中已考虑，结算时不予调整。</w:t>
      </w:r>
    </w:p>
    <w:p w14:paraId="14304F52">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包括：</w:t>
      </w:r>
    </w:p>
    <w:p w14:paraId="1C5FBC2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监理酬金：。</w:t>
      </w:r>
    </w:p>
    <w:p w14:paraId="1FC2FDD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相关服务酬金：含在监理酬金中。其中：</w:t>
      </w:r>
    </w:p>
    <w:p w14:paraId="168FEAE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勘察阶段服务酬金：</w:t>
      </w:r>
      <w:r>
        <w:rPr>
          <w:rFonts w:ascii="宋体" w:hAnsi="宋体" w:cs="宋体"/>
          <w:color w:val="auto"/>
          <w:highlight w:val="none"/>
          <w:u w:val="single"/>
        </w:rPr>
        <w:t xml:space="preserve">         /        </w:t>
      </w:r>
      <w:r>
        <w:rPr>
          <w:rFonts w:hint="eastAsia" w:ascii="宋体" w:hAnsi="宋体" w:cs="宋体"/>
          <w:color w:val="auto"/>
          <w:highlight w:val="none"/>
        </w:rPr>
        <w:t>。</w:t>
      </w:r>
    </w:p>
    <w:p w14:paraId="2A329D2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设计阶段服务酬金：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72C455E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保修阶段服务酬金：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711FA21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其他相关服务酬金：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6599D785">
      <w:pPr>
        <w:shd w:val="clear"/>
        <w:spacing w:line="360" w:lineRule="auto"/>
        <w:rPr>
          <w:rFonts w:hint="eastAsia" w:ascii="宋体" w:hAnsi="宋体"/>
          <w:color w:val="auto"/>
          <w:highlight w:val="none"/>
        </w:rPr>
      </w:pPr>
      <w:r>
        <w:rPr>
          <w:rFonts w:hint="eastAsia" w:ascii="宋体" w:hAnsi="宋体"/>
          <w:color w:val="auto"/>
          <w:highlight w:val="none"/>
        </w:rPr>
        <w:t>六、期限</w:t>
      </w:r>
    </w:p>
    <w:p w14:paraId="59EDE5B4">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监理期限：</w:t>
      </w:r>
    </w:p>
    <w:p w14:paraId="169202CF">
      <w:pPr>
        <w:shd w:val="clear"/>
        <w:spacing w:line="360" w:lineRule="auto"/>
        <w:ind w:firstLine="420" w:firstLineChars="200"/>
        <w:rPr>
          <w:rFonts w:hint="eastAsia" w:ascii="宋体" w:hAnsi="宋体"/>
          <w:color w:val="auto"/>
          <w:highlight w:val="none"/>
        </w:rPr>
      </w:pPr>
      <w:r>
        <w:rPr>
          <w:rFonts w:hint="eastAsia" w:ascii="宋体" w:hAnsi="宋体"/>
          <w:color w:val="auto"/>
          <w:highlight w:val="none"/>
        </w:rPr>
        <w:t>自年月日始，至年月日止。</w:t>
      </w:r>
    </w:p>
    <w:p w14:paraId="7A827F8F">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相关服务期限：</w:t>
      </w:r>
    </w:p>
    <w:p w14:paraId="7B64924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 勘察阶段服务期限自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5C4C750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 设计阶段服务期限自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7C3343A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 保修阶段服务期限自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55B7F00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 其他相关服务期限自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0C812986">
      <w:pPr>
        <w:shd w:val="clear"/>
        <w:spacing w:line="360" w:lineRule="auto"/>
        <w:rPr>
          <w:rFonts w:hint="eastAsia" w:ascii="宋体" w:hAnsi="宋体"/>
          <w:color w:val="auto"/>
          <w:highlight w:val="none"/>
        </w:rPr>
      </w:pPr>
      <w:r>
        <w:rPr>
          <w:rFonts w:hint="eastAsia" w:ascii="宋体" w:hAnsi="宋体"/>
          <w:color w:val="auto"/>
          <w:highlight w:val="none"/>
        </w:rPr>
        <w:t>七、双方承诺</w:t>
      </w:r>
    </w:p>
    <w:p w14:paraId="5222A463">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监理人向委托人承诺，按照本合同约定提供监理与相关服务。</w:t>
      </w:r>
    </w:p>
    <w:p w14:paraId="16095856">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委托人向监理人承诺，按照本合同约定派遣相应的人员，提供房屋、资料、设备，并按本合同约定支付酬金。</w:t>
      </w:r>
    </w:p>
    <w:p w14:paraId="7F8EA412">
      <w:pPr>
        <w:shd w:val="clear"/>
        <w:spacing w:line="360" w:lineRule="auto"/>
        <w:rPr>
          <w:rFonts w:hint="eastAsia" w:ascii="宋体" w:hAnsi="宋体"/>
          <w:color w:val="auto"/>
          <w:highlight w:val="none"/>
        </w:rPr>
      </w:pPr>
      <w:r>
        <w:rPr>
          <w:rFonts w:hint="eastAsia" w:ascii="宋体" w:hAnsi="宋体"/>
          <w:color w:val="auto"/>
          <w:highlight w:val="none"/>
        </w:rPr>
        <w:t>八、合同订立</w:t>
      </w:r>
    </w:p>
    <w:p w14:paraId="1E3935A9">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订立时间</w:t>
      </w:r>
      <w:r>
        <w:rPr>
          <w:rFonts w:hint="eastAsia" w:ascii="宋体" w:hAnsi="宋体"/>
          <w:color w:val="auto"/>
          <w:highlight w:val="none"/>
          <w:u w:val="single"/>
        </w:rPr>
        <w:t>：   年   月   日。</w:t>
      </w:r>
    </w:p>
    <w:p w14:paraId="13CC5642">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订立地点：</w:t>
      </w:r>
      <w:r>
        <w:rPr>
          <w:rFonts w:hint="eastAsia" w:ascii="宋体" w:hAnsi="宋体"/>
          <w:color w:val="auto"/>
          <w:highlight w:val="none"/>
          <w:u w:val="single"/>
        </w:rPr>
        <w:t xml:space="preserve">      。</w:t>
      </w:r>
    </w:p>
    <w:p w14:paraId="2115EEDB">
      <w:pPr>
        <w:shd w:val="clear"/>
        <w:spacing w:line="360" w:lineRule="auto"/>
        <w:ind w:firstLine="420" w:firstLineChars="200"/>
        <w:rPr>
          <w:rFonts w:hint="eastAsia" w:ascii="宋体" w:hAnsi="宋体"/>
          <w:color w:val="auto"/>
          <w:highlight w:val="none"/>
        </w:rPr>
      </w:pPr>
      <w:r>
        <w:rPr>
          <w:rFonts w:ascii="宋体" w:hAnsi="宋体"/>
          <w:color w:val="auto"/>
          <w:highlight w:val="none"/>
        </w:rPr>
        <w:t xml:space="preserve">3. </w:t>
      </w:r>
      <w:r>
        <w:rPr>
          <w:rFonts w:hint="eastAsia" w:ascii="宋体" w:hAnsi="宋体"/>
          <w:color w:val="auto"/>
          <w:highlight w:val="none"/>
        </w:rPr>
        <w:t>本合同自双方签字盖章并在监理人递交符合要求的履约保证金后生效。本合同壹式份，正本份，副本份，具有同等法律效力，双方各执份。</w:t>
      </w:r>
    </w:p>
    <w:p w14:paraId="617908F8">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委托人：（盖章）                    监理人：（盖章）</w:t>
      </w:r>
    </w:p>
    <w:p w14:paraId="7B5A01E2">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住所：                              住所：</w:t>
      </w:r>
    </w:p>
    <w:p w14:paraId="47073B9A">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邮政编码：                          邮政编码：</w:t>
      </w:r>
    </w:p>
    <w:p w14:paraId="7B867090">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法定代表人或其授权的代理人：</w:t>
      </w:r>
      <w:r>
        <w:rPr>
          <w:rFonts w:ascii="宋体" w:hAnsi="宋体"/>
          <w:color w:val="auto"/>
          <w:highlight w:val="none"/>
        </w:rPr>
        <w:t>(</w:t>
      </w:r>
      <w:r>
        <w:rPr>
          <w:rFonts w:hint="eastAsia" w:ascii="宋体" w:hAnsi="宋体"/>
          <w:color w:val="auto"/>
          <w:highlight w:val="none"/>
        </w:rPr>
        <w:t>签字</w:t>
      </w:r>
      <w:r>
        <w:rPr>
          <w:rFonts w:ascii="宋体" w:hAnsi="宋体"/>
          <w:color w:val="auto"/>
          <w:highlight w:val="none"/>
        </w:rPr>
        <w:t>)</w:t>
      </w:r>
      <w:r>
        <w:rPr>
          <w:rFonts w:hint="eastAsia" w:ascii="宋体" w:hAnsi="宋体"/>
          <w:color w:val="auto"/>
          <w:highlight w:val="none"/>
        </w:rPr>
        <w:t xml:space="preserve">  法定代表人或其授权的代理人</w:t>
      </w:r>
      <w:r>
        <w:rPr>
          <w:rFonts w:ascii="宋体" w:hAnsi="宋体"/>
          <w:color w:val="auto"/>
          <w:highlight w:val="none"/>
        </w:rPr>
        <w:t>(</w:t>
      </w:r>
      <w:r>
        <w:rPr>
          <w:rFonts w:hint="eastAsia" w:ascii="宋体" w:hAnsi="宋体"/>
          <w:color w:val="auto"/>
          <w:highlight w:val="none"/>
        </w:rPr>
        <w:t>签字</w:t>
      </w:r>
      <w:r>
        <w:rPr>
          <w:rFonts w:ascii="宋体" w:hAnsi="宋体"/>
          <w:color w:val="auto"/>
          <w:highlight w:val="none"/>
        </w:rPr>
        <w:t>)</w:t>
      </w:r>
    </w:p>
    <w:p w14:paraId="6F993A8C">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开户银行：                          开户银行：</w:t>
      </w:r>
    </w:p>
    <w:p w14:paraId="6467FEF9">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账号：                              账号：</w:t>
      </w:r>
    </w:p>
    <w:p w14:paraId="04AD88E0">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电话：                              电话：</w:t>
      </w:r>
    </w:p>
    <w:p w14:paraId="1068BADE">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传真：                              传真：</w:t>
      </w:r>
    </w:p>
    <w:p w14:paraId="1CD580B0">
      <w:pPr>
        <w:shd w:val="clear"/>
        <w:kinsoku w:val="0"/>
        <w:autoSpaceDE w:val="0"/>
        <w:autoSpaceDN w:val="0"/>
        <w:adjustRightInd w:val="0"/>
        <w:snapToGrid w:val="0"/>
        <w:spacing w:line="36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电子邮箱：                          电子邮箱：</w:t>
      </w:r>
    </w:p>
    <w:p w14:paraId="45B68F98">
      <w:pPr>
        <w:shd w:val="clear"/>
        <w:spacing w:line="360" w:lineRule="auto"/>
        <w:rPr>
          <w:rFonts w:hint="eastAsia" w:ascii="宋体" w:hAnsi="宋体" w:cs="宋体"/>
          <w:color w:val="auto"/>
          <w:highlight w:val="none"/>
        </w:rPr>
      </w:pPr>
    </w:p>
    <w:p w14:paraId="07AF81C7">
      <w:pPr>
        <w:shd w:val="clear"/>
        <w:spacing w:line="360" w:lineRule="auto"/>
        <w:rPr>
          <w:rFonts w:hint="eastAsia" w:ascii="宋体" w:hAnsi="宋体" w:cs="宋体"/>
          <w:color w:val="auto"/>
          <w:highlight w:val="none"/>
        </w:rPr>
      </w:pPr>
      <w:r>
        <w:rPr>
          <w:rFonts w:ascii="宋体" w:hAnsi="宋体" w:cs="宋体"/>
          <w:color w:val="auto"/>
          <w:highlight w:val="none"/>
        </w:rPr>
        <w:br w:type="page"/>
      </w:r>
    </w:p>
    <w:p w14:paraId="731274AC">
      <w:pPr>
        <w:pStyle w:val="3"/>
        <w:keepNext w:val="0"/>
        <w:keepLines w:val="0"/>
        <w:shd w:val="clear"/>
        <w:spacing w:before="0" w:after="0" w:line="360" w:lineRule="auto"/>
        <w:jc w:val="center"/>
        <w:rPr>
          <w:rFonts w:hint="eastAsia" w:ascii="Times New Roman" w:hAnsi="宋体" w:eastAsia="宋体"/>
          <w:b/>
          <w:color w:val="auto"/>
          <w:sz w:val="28"/>
          <w:szCs w:val="28"/>
          <w:highlight w:val="none"/>
        </w:rPr>
      </w:pPr>
      <w:bookmarkStart w:id="230" w:name="_Toc5147"/>
      <w:r>
        <w:rPr>
          <w:rFonts w:ascii="Times New Roman" w:hAnsi="宋体" w:eastAsia="宋体"/>
          <w:b/>
          <w:color w:val="auto"/>
          <w:sz w:val="28"/>
          <w:szCs w:val="28"/>
          <w:highlight w:val="none"/>
        </w:rPr>
        <w:t>第二部分  通用条件</w:t>
      </w:r>
      <w:bookmarkEnd w:id="230"/>
    </w:p>
    <w:p w14:paraId="2612F25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 定义与解释</w:t>
      </w:r>
    </w:p>
    <w:p w14:paraId="3FE7667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 定义</w:t>
      </w:r>
    </w:p>
    <w:p w14:paraId="2B53D1C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除根据上下文另有其意义外，组成本合同的全部文件中的下列名词和用语应具有本款所赋予的含义：</w:t>
      </w:r>
    </w:p>
    <w:p w14:paraId="49A3AF9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 “工程”是指按照本合同约定实施监理与相关服务的建设工程。</w:t>
      </w:r>
    </w:p>
    <w:p w14:paraId="2794D83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1.1.2 “委托人”是指本合同中委托监理与相关服务的一方，及其合法的继承人或受让人。</w:t>
      </w:r>
    </w:p>
    <w:p w14:paraId="1437F9C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1.1.3 “监理人”是指本合同中提供监理与相关服务的一方，及其合法的继承人。</w:t>
      </w:r>
    </w:p>
    <w:p w14:paraId="4275C61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1.1.4 “承包人”是指在工程范围内与委托人签订勘察、设计、施工等有关合同的当事人，及其合法的继承人。</w:t>
      </w:r>
    </w:p>
    <w:p w14:paraId="3B3D642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D38196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1.1.6 “相关服务”是指监理人受委托人的委托，按照本合同约定，在勘察、设计、保修等阶段提供的服务活动。</w:t>
      </w:r>
    </w:p>
    <w:p w14:paraId="2C33CAE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1.1.7 “正常工作”指本合同订立时通用条件和专用条件中约定的监理人的工作。</w:t>
      </w:r>
    </w:p>
    <w:p w14:paraId="59FBE02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1.1.8 “附加工作”是指本合同约定的正常工作以外监理人的工作。</w:t>
      </w:r>
    </w:p>
    <w:p w14:paraId="2ED20E2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1.1.9 “项目监理机构”是指监理人派驻工程负责履行本合同的组织机构。</w:t>
      </w:r>
    </w:p>
    <w:p w14:paraId="4B75E8E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1.1.10 “总监理工程师”是指由监理人的法定代表人书面授权，全面负责履行本合同、主持项目监理机构工作的注册监理工程师。</w:t>
      </w:r>
    </w:p>
    <w:p w14:paraId="0574ADA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1.1.11 “酬金”是指监理人履行本合同义务，委托人按照本合同约定给付监理人的金额。</w:t>
      </w:r>
    </w:p>
    <w:p w14:paraId="6835A67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1.1.12 “正常工作酬金”是指监理人完成正常工作，委托人应给付监理人并在协议书中载明的签约酬金额。</w:t>
      </w:r>
    </w:p>
    <w:p w14:paraId="6D3F3CA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1.1.13 “附加工作酬金”是指监理人完成附加工作，委托人应给付监理人的金额。</w:t>
      </w:r>
    </w:p>
    <w:p w14:paraId="2E06B95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1.1.14 “一方”是指委托人或监理人；“双方”是指委托人和监理人；“第三方”是指除委托人和监理人以外的有关方。</w:t>
      </w:r>
    </w:p>
    <w:p w14:paraId="530052E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1.1.15 “书面形式”是指合同书、信件和数据电文(包括电报、电传、传真、电子数据交换和电子邮件)等可以有形地表现所载内容的形式。</w:t>
      </w:r>
    </w:p>
    <w:p w14:paraId="4E7A73F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1.1.16 “天”是指第一天零时至第二天零时的时间。</w:t>
      </w:r>
    </w:p>
    <w:p w14:paraId="4AC0909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1.1.17 “月”是指按公历从一个月中任何一天开始的一个公历月时间。</w:t>
      </w:r>
    </w:p>
    <w:p w14:paraId="5877EF5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0C25811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1.2 解释</w:t>
      </w:r>
    </w:p>
    <w:p w14:paraId="15D6612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1.2.1 本合同使用中文书写、解释和说明。如专用条件约定使用两种及以上语言文字时，应以中文为准。</w:t>
      </w:r>
    </w:p>
    <w:p w14:paraId="5C5A743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1.2.2 组成本合同的下列文件彼此应能相互解释、互为说明。除专用条件另有约定外，本合同文件的解释顺序如下：</w:t>
      </w:r>
    </w:p>
    <w:p w14:paraId="1529CB7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(1)协议书；</w:t>
      </w:r>
    </w:p>
    <w:p w14:paraId="7F6F210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(2)中标通知书(适用于招标工程)或委托书(适用于非招标工程)；</w:t>
      </w:r>
    </w:p>
    <w:p w14:paraId="65537F2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(3)专用条件及附录 A、附录 B；</w:t>
      </w:r>
    </w:p>
    <w:p w14:paraId="4F420B8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(4)通用条件；</w:t>
      </w:r>
    </w:p>
    <w:p w14:paraId="33C2214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(5)投标文件(适用于招标工程)或监理与相关服务建议书(适用于非招标工程)。</w:t>
      </w:r>
    </w:p>
    <w:p w14:paraId="398265D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双方签订的补充协议与其他文件发生矛盾或歧义时，属于同一类内容的文件，应以最新签署的为准。</w:t>
      </w:r>
    </w:p>
    <w:p w14:paraId="5A8A084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 监理人的义务</w:t>
      </w:r>
    </w:p>
    <w:p w14:paraId="7C6B77F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2.1 监理的范围和工作内容</w:t>
      </w:r>
    </w:p>
    <w:p w14:paraId="41E5E3B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2.1.1 监理范围在专用条件中约定。</w:t>
      </w:r>
    </w:p>
    <w:p w14:paraId="2B5EE60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2.1.2 除专用条件另有约定外，监理工作内容包括：</w:t>
      </w:r>
    </w:p>
    <w:p w14:paraId="72ABC45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(1)收到工程设计文件后编制监理规划，并在第一次工地会议7天前报委托人。根据有关规定和监理工作需要，编制监理实施细则；</w:t>
      </w:r>
    </w:p>
    <w:p w14:paraId="4297BB4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(2)熟悉工程设计文件，并参加由委托人主持的图纸会审和设计交底会议；</w:t>
      </w:r>
    </w:p>
    <w:p w14:paraId="51F8A13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(3)参加由委托人主持的第一次工地会议；主持监理例会并根据工程需要主持或参加专题会议；</w:t>
      </w:r>
    </w:p>
    <w:p w14:paraId="4A4E39B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(4)审查施工承包人提交的施工组织设计，重点审查其中的质量安全技术措施、专项施工方案与工程建设强制性标准的符合性；</w:t>
      </w:r>
    </w:p>
    <w:p w14:paraId="3609D15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(5)检查施工承包人工程质量、安全生产管理制度及组织机构和人员资格；</w:t>
      </w:r>
    </w:p>
    <w:p w14:paraId="31AFD91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(6)检查施工承包人专职安全生产管理人员的配备情况；</w:t>
      </w:r>
    </w:p>
    <w:p w14:paraId="4228C1F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(7)审查施工承包人提交的施工进度计划，核查承包人对施工进度计划的调整；</w:t>
      </w:r>
    </w:p>
    <w:p w14:paraId="30A6F74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(8)检查施工承包人的试验室；</w:t>
      </w:r>
    </w:p>
    <w:p w14:paraId="106A307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(9)审核施工分包人资质条件；</w:t>
      </w:r>
    </w:p>
    <w:p w14:paraId="54D344B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(10)查验施工承包人的施工测量放线成果；</w:t>
      </w:r>
    </w:p>
    <w:p w14:paraId="47FFEC6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(11)审查工程开工条件，对条件具备的签发开工令；</w:t>
      </w:r>
    </w:p>
    <w:p w14:paraId="401C458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(12)审查施工承包人报送的工程材料、构配件、设备质量证明文件的有效性和符合性，并按规定对用于工程的材料采取平行检验或见证取样方式进行抽检；</w:t>
      </w:r>
    </w:p>
    <w:p w14:paraId="17A3B19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(13)审核施工承包人提交的工程款支付申请，签发或出具工程款支付证书，并报委托人审核、批准；</w:t>
      </w:r>
    </w:p>
    <w:p w14:paraId="7DE0E97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(14)在巡视、旁站和检验过程中，发现工程质量、施工安全存在事故隐患的，要求施工承包人整改并报委托人；</w:t>
      </w:r>
    </w:p>
    <w:p w14:paraId="386A2F0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(15)经委托人同意，签发工程暂停令和复工令；</w:t>
      </w:r>
    </w:p>
    <w:p w14:paraId="5C9A4E6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(16)审查施工承包人提交的采用新材料、新工艺、新技术、新设备的论证材料及相关验收标准；</w:t>
      </w:r>
    </w:p>
    <w:p w14:paraId="26BE5D6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(17)验收隐蔽工程、分部分项工程；</w:t>
      </w:r>
    </w:p>
    <w:p w14:paraId="7011CA5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(18)审查施工承包人提交的工程变更申请，协调处理施工进度调整、费用索赔、合同争议等事项；</w:t>
      </w:r>
    </w:p>
    <w:p w14:paraId="758BBBC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(19)审查施工承包人提交的竣工验收申请，编写工程质量评估报告；</w:t>
      </w:r>
    </w:p>
    <w:p w14:paraId="0CB085D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(20)参加工程竣工验收，签署竣工验收意见；</w:t>
      </w:r>
    </w:p>
    <w:p w14:paraId="6B0A240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(21)审查施工承包人提交的竣工结算申请并报委托人；</w:t>
      </w:r>
    </w:p>
    <w:p w14:paraId="7F15D5F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(22)编制、整理工程监理归档文件并报委托人。</w:t>
      </w:r>
    </w:p>
    <w:p w14:paraId="03BF786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(23)对设计、施工人员进行现场考勤。</w:t>
      </w:r>
    </w:p>
    <w:p w14:paraId="63799B2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2.1.3 相关服务的范围和内容在附录 A 中约定。</w:t>
      </w:r>
    </w:p>
    <w:p w14:paraId="4B42A57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2.2 监理与相关服务依据</w:t>
      </w:r>
    </w:p>
    <w:p w14:paraId="56D2FF8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2.2.1监理依据包括：</w:t>
      </w:r>
    </w:p>
    <w:p w14:paraId="77A1BF7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(1)适用的法律、行政法规及部门规章；</w:t>
      </w:r>
    </w:p>
    <w:p w14:paraId="133A7DB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(2)与工程有关的标准；</w:t>
      </w:r>
    </w:p>
    <w:p w14:paraId="45F58E5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(3)工程设计及有关文件；</w:t>
      </w:r>
    </w:p>
    <w:p w14:paraId="7862E75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(4)本合同及委托人与第三方签订的与实施工程有关的其他合同。双方根据工程的行业和地域特点，在专用条件中具体约定监理依据。</w:t>
      </w:r>
    </w:p>
    <w:p w14:paraId="0552BE5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2.2.2相关服务依据在专用条件中约定。</w:t>
      </w:r>
    </w:p>
    <w:p w14:paraId="525DDF0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 项目监理机构和人员</w:t>
      </w:r>
    </w:p>
    <w:p w14:paraId="7643242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2.3.1监理人应组建满足工作需要的项目监理机构，配备必要的检测设备。项目监理机构的主要人员应具有相应的资格条件。</w:t>
      </w:r>
    </w:p>
    <w:p w14:paraId="08CEE6F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2.3.2本合同履行过程中，总监理工程师及重要岗位监理人员应保持相对稳定，以保证监理工作正常进行。</w:t>
      </w:r>
    </w:p>
    <w:p w14:paraId="047FD39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2.3.3监理人应及时更换有下列情形之一的监理人员：</w:t>
      </w:r>
    </w:p>
    <w:p w14:paraId="36E45E3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(1)严重过失行为的；</w:t>
      </w:r>
    </w:p>
    <w:p w14:paraId="71FEECB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(2)有违法行为不能履行职责的；</w:t>
      </w:r>
    </w:p>
    <w:p w14:paraId="5BCD3EE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(3)涉嫌犯罪的；</w:t>
      </w:r>
    </w:p>
    <w:p w14:paraId="6BF2930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(4)不能胜任岗位职责的；</w:t>
      </w:r>
    </w:p>
    <w:p w14:paraId="5400854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(5)严重违反职业道德的；</w:t>
      </w:r>
    </w:p>
    <w:p w14:paraId="3307000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(6)专用条件约定的其他情形。</w:t>
      </w:r>
    </w:p>
    <w:p w14:paraId="2E995F6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2.3.4 委托人可要求监理人更换不能胜任本职工作的项目监理机构人员。</w:t>
      </w:r>
    </w:p>
    <w:p w14:paraId="4CED5E6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2.4 履行职责监理人应遵循职业道德准则和行为规范，严格按照法律法规、工程建设有关标准及本合同履行职责。</w:t>
      </w:r>
    </w:p>
    <w:p w14:paraId="494BCF3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2.4.1 在监理与相关服务范围内，委托人和承包人提出的意见和要求，监理人应及时提出处置意见。当委托人与承包人之间发生合同争议时，监理人应协助委托人、承包人协商解决。</w:t>
      </w:r>
    </w:p>
    <w:p w14:paraId="7C5A42F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2.4.2当委托人与承包人之间的合同争议提交仲裁机构仲裁或人民法院审理时，监理人应提供必要的证明资料。</w:t>
      </w:r>
    </w:p>
    <w:p w14:paraId="2DC87FA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7FD54BC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2.4.4除专用条件另有约定外，监理人发现承包人的人员不能胜任本职工作的，有权要求承包人予以调换。</w:t>
      </w:r>
    </w:p>
    <w:p w14:paraId="34C9210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2.5 提交报告</w:t>
      </w:r>
    </w:p>
    <w:p w14:paraId="23040C3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监理人应按专用条件约定的种类、时间和份数向委托人提交监理与相关服务的报告。</w:t>
      </w:r>
    </w:p>
    <w:p w14:paraId="6D546BB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2.6文件资料</w:t>
      </w:r>
    </w:p>
    <w:p w14:paraId="5AB478D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在本合同履行期内，监理人应在现场保留工作所用的图纸、报告及记录监理工作的相关文件。工程竣工后，应当按照档案管理规定将监理有关文件归档。</w:t>
      </w:r>
    </w:p>
    <w:p w14:paraId="588C763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2.7 使用委托人的财产</w:t>
      </w:r>
    </w:p>
    <w:p w14:paraId="1FA113D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01823D5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3．委托人的义务</w:t>
      </w:r>
    </w:p>
    <w:p w14:paraId="7C77716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3.1 告知</w:t>
      </w:r>
    </w:p>
    <w:p w14:paraId="0D46EEA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委托人应在委托人与承包人签订的合同中明确监理人、总监理工程师和授予项目监理机构的权限。如有变更，应及时通知承包人。</w:t>
      </w:r>
    </w:p>
    <w:p w14:paraId="753EB83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3.2 提供资料</w:t>
      </w:r>
    </w:p>
    <w:p w14:paraId="022DE24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委托人应按照附录 B 约定，无偿向监理人提供工程有关的资料。在本合同履行过程中，委托人应及 时向监理人提供最新的与工程有关的资料。</w:t>
      </w:r>
    </w:p>
    <w:p w14:paraId="354DD48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3.3 提供工作条件</w:t>
      </w:r>
    </w:p>
    <w:p w14:paraId="05DEC44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委托人应为监理人完成监理与相关服务提供必要的条件。</w:t>
      </w:r>
    </w:p>
    <w:p w14:paraId="4E1D30C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3.3.1 委托人应按照附录 B 约定，派遣相应的人员，提供房屋、设备，供监理人无偿使用。</w:t>
      </w:r>
    </w:p>
    <w:p w14:paraId="50E56A0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3.3.2 委托人应负责协调工程建设中所有外部关系，为监理人履行本合同提供必要的外部条件。</w:t>
      </w:r>
    </w:p>
    <w:p w14:paraId="0C228F8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3.4 委托人代表</w:t>
      </w:r>
    </w:p>
    <w:p w14:paraId="24E8EBD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委托人应授权一名熟悉工程情况的代表，负责与监理人联系。委托人应在双方签订本合同后 7 天内， 将委托人代表的姓名和职责书面告知监理人。当委托人更换委托人代表时，应提前 7 天通知监理人。</w:t>
      </w:r>
    </w:p>
    <w:p w14:paraId="16AD2B2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3.5 委托人意见或要求</w:t>
      </w:r>
    </w:p>
    <w:p w14:paraId="0C5CE43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在本合同约定的监理与相关服务工作范围内，委托人对承包人的任何意见或要求应通知监理人，由监理人向承包人发出相应指令。</w:t>
      </w:r>
    </w:p>
    <w:p w14:paraId="62ABC72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3.6 答复</w:t>
      </w:r>
    </w:p>
    <w:p w14:paraId="7305083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委托人应在专用条件约定的时间内，对监理人以书面形式提交并要求作出决定的事宜，给予书面答 复。逾期未答复的，视为委托人认可。</w:t>
      </w:r>
    </w:p>
    <w:p w14:paraId="23187A3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3.7 支付</w:t>
      </w:r>
    </w:p>
    <w:p w14:paraId="7D15B38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委托人应按本合同约定，向监理人支付酬金。</w:t>
      </w:r>
    </w:p>
    <w:p w14:paraId="4495EFB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 违约责任</w:t>
      </w:r>
    </w:p>
    <w:p w14:paraId="4719B15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4.1 监理人的违约责任</w:t>
      </w:r>
    </w:p>
    <w:p w14:paraId="3FB463F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监理人未履行本合同义务的，应承担相应的责任。</w:t>
      </w:r>
    </w:p>
    <w:p w14:paraId="066BD80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4.1.1 因监理人违反本合同约定给委托人造成损失的，监理人应当赔偿委托人损失。赔偿金额的确 定方法在专用条件中约定。监理人承担部分赔偿责任的，其承担赔偿金额由双方协商确定。</w:t>
      </w:r>
    </w:p>
    <w:p w14:paraId="724AF0C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4.1.2 监理人向委托人的索赔不成立时，监理人应赔偿委托人由此发生的费用。</w:t>
      </w:r>
    </w:p>
    <w:p w14:paraId="4003447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4.2 委托人的违约责任</w:t>
      </w:r>
    </w:p>
    <w:p w14:paraId="5866DBD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委托人未履行本合同义务的，应承担相应的责任。</w:t>
      </w:r>
    </w:p>
    <w:p w14:paraId="7D0D2AB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4.2.1 委托人违反本合同约定造成监理人损失的，委托人应予以赔偿。</w:t>
      </w:r>
    </w:p>
    <w:p w14:paraId="7D2D67C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4.2.2 委托人向监理人的索赔不成立时，应赔偿监理人由此引起的费用。</w:t>
      </w:r>
    </w:p>
    <w:p w14:paraId="51F241E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4.2.3 委托人未能按期支付酬金超过 28 天，应按专用条件约定支付逾期付款利息。</w:t>
      </w:r>
    </w:p>
    <w:p w14:paraId="55D6752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4.3 除外责任</w:t>
      </w:r>
    </w:p>
    <w:p w14:paraId="1F597B9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46E8081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 支付</w:t>
      </w:r>
    </w:p>
    <w:p w14:paraId="4E8AE37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5.1 支付货币</w:t>
      </w:r>
    </w:p>
    <w:p w14:paraId="41465F1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除专用条件另有约定外，酬金均以人民币支付。涉及外币支付的，所采用的货币种类、比例和汇率 在专用条件中约定。</w:t>
      </w:r>
    </w:p>
    <w:p w14:paraId="43BBF5E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5.2 支付申请</w:t>
      </w:r>
    </w:p>
    <w:p w14:paraId="1CD4E63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监理人应在本合同约定的每次应付款时间的 7 天前，向委托人提交支付申请书。支付申请书应当说明当期应付款总额，并列出当期应支付的款项及其金额。</w:t>
      </w:r>
    </w:p>
    <w:p w14:paraId="2E8FF91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5.3 支付酬金</w:t>
      </w:r>
    </w:p>
    <w:p w14:paraId="6454850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支付的酬金包括正常工作酬金、附加工作酬金、合理化建议奖励金额及费用。</w:t>
      </w:r>
    </w:p>
    <w:p w14:paraId="19815AC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5.4 有争议部分的付款</w:t>
      </w:r>
    </w:p>
    <w:p w14:paraId="3278FA90">
      <w:pPr>
        <w:shd w:val="clear"/>
        <w:spacing w:line="360" w:lineRule="auto"/>
        <w:ind w:firstLine="420" w:firstLineChars="200"/>
        <w:rPr>
          <w:rFonts w:ascii="宋体" w:hAnsi="宋体" w:cs="宋体"/>
          <w:color w:val="auto"/>
          <w:highlight w:val="none"/>
        </w:rPr>
      </w:pPr>
      <w:r>
        <w:rPr>
          <w:rFonts w:ascii="宋体" w:hAnsi="宋体" w:cs="宋体"/>
          <w:color w:val="auto"/>
          <w:highlight w:val="none"/>
        </w:rPr>
        <w:t xml:space="preserve">委托人对监理人提交的支付申请书有异议时，应当在收到监理人提交的支付申请书后 7 天内，以书面形式向监理人发出异议通知。无异议部分的款项应按期支付，有异议部分的款项按第 7 条约定办理。 </w:t>
      </w:r>
    </w:p>
    <w:p w14:paraId="1284655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 合同生效、变更、暂停、解除与终止</w:t>
      </w:r>
    </w:p>
    <w:p w14:paraId="7C30039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6.1 生效</w:t>
      </w:r>
    </w:p>
    <w:p w14:paraId="5907451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除法律另有规定或者专用条件另有约定外，委托人和监理人的法定代表人或其授权代理人在协议书 上签字并盖单位章后本合同生效。</w:t>
      </w:r>
    </w:p>
    <w:p w14:paraId="06F1B5C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 变更</w:t>
      </w:r>
    </w:p>
    <w:p w14:paraId="01D879C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6.2.1 任何一方提出变更请求时，双方经协商一致后可进行变更。</w:t>
      </w:r>
    </w:p>
    <w:p w14:paraId="68C3936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6.2.2 除不可抗力外，因非监理人原因导致监理人履行合同期限延长、内容增加时，监理人应当将此情况与可能产生的影响及时通知委托人。增加的监理工作时间、工作内容应视为附加工作。附加工作 酬金的确定方法在专用条件中约定。</w:t>
      </w:r>
    </w:p>
    <w:p w14:paraId="31FA389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675A2B2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6.2.4 合同签订后，遇有与工程相关的法律法规、标准颁布或修订的，双方应遵照执行。由此引起监理与相关服务的范围、时间、酬金变化的， 双方应通过协商进行相应调整。</w:t>
      </w:r>
    </w:p>
    <w:p w14:paraId="09378F9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6.2.5 因非监理人原因造成工程概算投资额或建筑安装工程费增加时，正常工作酬金应作相应调整。调整方法在专用条件中约定。</w:t>
      </w:r>
    </w:p>
    <w:p w14:paraId="338CE58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6.2.6 因工程规模、监理范围的变化导致监理人的正常工作量减少时，正常工作酬金应作相应调整。 调整方法在专用条件中约定。</w:t>
      </w:r>
    </w:p>
    <w:p w14:paraId="3F4D688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6.3 暂停与解除</w:t>
      </w:r>
    </w:p>
    <w:p w14:paraId="17B07EC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除双方协商一致可以解除本合同外，当一方无正当理由未履行本合同约定的义务时，另一方可以根据本合同约定暂停履行本合同直至解除本合同。</w:t>
      </w:r>
    </w:p>
    <w:p w14:paraId="68FD644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BFDB20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因解除本合同或解除监理人的部分义务导致监理人遭受的损失，除依法可以免除责任的情况外，应由委托人予以补偿，补偿金额由双方协商确定。</w:t>
      </w:r>
    </w:p>
    <w:p w14:paraId="2EA4223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解除本合同的协议必须采取书面形式，协议未达成之前，本合同仍然有效。</w:t>
      </w:r>
    </w:p>
    <w:p w14:paraId="69C0959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C38330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330B481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52D9C0C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06C52FA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6.3.5因不可抗力致使本合同部分或全部不能履行时，一方应立即通知另一方，可暂停或解除本合同。</w:t>
      </w:r>
    </w:p>
    <w:p w14:paraId="55C26E6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6.3.6本合同解除后，本合同约定的有关结算、清理、争议解决方式的条件仍然有效。</w:t>
      </w:r>
    </w:p>
    <w:p w14:paraId="1F11BFC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6.4 终止</w:t>
      </w:r>
    </w:p>
    <w:p w14:paraId="06F814A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以下条件全部满足时，本合同即告终止：</w:t>
      </w:r>
    </w:p>
    <w:p w14:paraId="763C59A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 监理人完成本合同约定的全部工作；</w:t>
      </w:r>
    </w:p>
    <w:p w14:paraId="04491EF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 委托人与监理人结清并支付全部酬金。</w:t>
      </w:r>
    </w:p>
    <w:p w14:paraId="04367AF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 争议解决</w:t>
      </w:r>
    </w:p>
    <w:p w14:paraId="39194D1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7.1协商</w:t>
      </w:r>
    </w:p>
    <w:p w14:paraId="1AB078D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双方应本着诚信原则协商解决彼此间的争议。</w:t>
      </w:r>
    </w:p>
    <w:p w14:paraId="7F190DD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7.2调解</w:t>
      </w:r>
    </w:p>
    <w:p w14:paraId="7F342E3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如果双方不能在 14 天内或双方商定的其他时间内解决本合同争议，可以将其提交给专用条件约定的或事后达成协议的调解人进行调解。</w:t>
      </w:r>
    </w:p>
    <w:p w14:paraId="0FDD063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7.3仲裁或诉讼</w:t>
      </w:r>
    </w:p>
    <w:p w14:paraId="435ED6F5">
      <w:pPr>
        <w:shd w:val="clear"/>
        <w:spacing w:line="360" w:lineRule="auto"/>
        <w:ind w:firstLine="420" w:firstLineChars="200"/>
        <w:rPr>
          <w:rFonts w:ascii="宋体" w:hAnsi="宋体" w:cs="宋体"/>
          <w:color w:val="auto"/>
          <w:highlight w:val="none"/>
        </w:rPr>
      </w:pPr>
      <w:r>
        <w:rPr>
          <w:rFonts w:ascii="宋体" w:hAnsi="宋体" w:cs="宋体"/>
          <w:color w:val="auto"/>
          <w:highlight w:val="none"/>
        </w:rPr>
        <w:t xml:space="preserve">双方均有权不经调解直接向专用条件约定的仲裁机构申请仲裁或向有管辖权的人民法院提起诉讼。 </w:t>
      </w:r>
    </w:p>
    <w:p w14:paraId="2D441B9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 其他</w:t>
      </w:r>
    </w:p>
    <w:p w14:paraId="28E223E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8.1 外出考察费用</w:t>
      </w:r>
    </w:p>
    <w:p w14:paraId="06881E6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经委托人同意，监理人员外出考察发生的费用由委托人审核后支付。</w:t>
      </w:r>
    </w:p>
    <w:p w14:paraId="2F03F65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8.2 检测费用</w:t>
      </w:r>
    </w:p>
    <w:p w14:paraId="460E510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委托人要求监理人进行的材料和设备检测所发生的费用，由委托人支付，支付时间在专用条件中约定。</w:t>
      </w:r>
    </w:p>
    <w:p w14:paraId="2E47693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8.3 咨询费用</w:t>
      </w:r>
    </w:p>
    <w:p w14:paraId="049B22A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经委托人同意，根据工程需要由监理人组织的相关咨询论证会以及聘请相关专家等发生的费用由委 托人支付，支付时间在专用条件中约定。</w:t>
      </w:r>
    </w:p>
    <w:p w14:paraId="4E8CBD0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8.4 奖励</w:t>
      </w:r>
    </w:p>
    <w:p w14:paraId="083B978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7130A01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8.5 守法诚信</w:t>
      </w:r>
    </w:p>
    <w:p w14:paraId="717A2C8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监理人及其工作人员不得从与实施工程有关的第三方处获得任何经济利益。</w:t>
      </w:r>
    </w:p>
    <w:p w14:paraId="770A39D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8.6 保密</w:t>
      </w:r>
    </w:p>
    <w:p w14:paraId="5E59B30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双方不得泄露对方申明的保密资料，亦不得泄露与实施工程有关的第三方所提供的保密资料，保密事项在专用条件中约定。</w:t>
      </w:r>
    </w:p>
    <w:p w14:paraId="3235661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8.7 通知</w:t>
      </w:r>
    </w:p>
    <w:p w14:paraId="459943D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本合同涉及的通知均应当采用书面形式，并在送达对方时生效，收件人应书面签收。</w:t>
      </w:r>
    </w:p>
    <w:p w14:paraId="23CC424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8.8 著作权</w:t>
      </w:r>
    </w:p>
    <w:p w14:paraId="6E17A05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监理人对其编制的文件拥有著作权。</w:t>
      </w:r>
    </w:p>
    <w:p w14:paraId="1B6E2D4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231" w:name="_bookmark52"/>
      <w:bookmarkEnd w:id="231"/>
      <w:r>
        <w:rPr>
          <w:rFonts w:ascii="宋体" w:hAnsi="宋体" w:cs="宋体"/>
          <w:color w:val="auto"/>
          <w:highlight w:val="none"/>
        </w:rPr>
        <w:t>人的同意。</w:t>
      </w:r>
    </w:p>
    <w:p w14:paraId="6CCCAFC6">
      <w:pPr>
        <w:shd w:val="clear"/>
        <w:spacing w:line="360" w:lineRule="auto"/>
        <w:ind w:firstLine="420" w:firstLineChars="200"/>
        <w:rPr>
          <w:rFonts w:hint="eastAsia" w:ascii="宋体" w:hAnsi="宋体" w:cs="宋体"/>
          <w:color w:val="auto"/>
          <w:highlight w:val="none"/>
        </w:rPr>
      </w:pPr>
    </w:p>
    <w:p w14:paraId="03801FBE">
      <w:pPr>
        <w:shd w:val="clear"/>
        <w:spacing w:line="360" w:lineRule="auto"/>
        <w:ind w:firstLine="420" w:firstLineChars="200"/>
        <w:rPr>
          <w:rFonts w:hint="eastAsia" w:ascii="宋体" w:hAnsi="宋体" w:cs="宋体"/>
          <w:color w:val="auto"/>
          <w:highlight w:val="none"/>
        </w:rPr>
      </w:pPr>
    </w:p>
    <w:p w14:paraId="654E6336">
      <w:pPr>
        <w:shd w:val="clear"/>
        <w:spacing w:line="360" w:lineRule="auto"/>
        <w:ind w:firstLine="420" w:firstLineChars="200"/>
        <w:rPr>
          <w:rFonts w:hint="eastAsia" w:ascii="宋体" w:hAnsi="宋体" w:cs="宋体"/>
          <w:color w:val="auto"/>
          <w:highlight w:val="none"/>
        </w:rPr>
      </w:pPr>
    </w:p>
    <w:p w14:paraId="0B40E863">
      <w:pPr>
        <w:shd w:val="clear"/>
        <w:spacing w:line="360" w:lineRule="auto"/>
        <w:ind w:firstLine="420" w:firstLineChars="200"/>
        <w:rPr>
          <w:rFonts w:hint="eastAsia" w:ascii="宋体" w:hAnsi="宋体" w:cs="宋体"/>
          <w:color w:val="auto"/>
          <w:highlight w:val="none"/>
        </w:rPr>
      </w:pPr>
    </w:p>
    <w:p w14:paraId="541FC24E">
      <w:pPr>
        <w:shd w:val="clear"/>
        <w:spacing w:line="360" w:lineRule="auto"/>
        <w:ind w:firstLine="420" w:firstLineChars="200"/>
        <w:rPr>
          <w:rFonts w:hint="eastAsia" w:ascii="宋体" w:hAnsi="宋体" w:cs="宋体"/>
          <w:color w:val="auto"/>
          <w:highlight w:val="none"/>
        </w:rPr>
      </w:pPr>
    </w:p>
    <w:p w14:paraId="616E07D8">
      <w:pPr>
        <w:shd w:val="clear"/>
        <w:spacing w:line="360" w:lineRule="auto"/>
        <w:ind w:firstLine="420" w:firstLineChars="200"/>
        <w:rPr>
          <w:rFonts w:hint="eastAsia" w:ascii="宋体" w:hAnsi="宋体" w:cs="宋体"/>
          <w:color w:val="auto"/>
          <w:highlight w:val="none"/>
        </w:rPr>
      </w:pPr>
    </w:p>
    <w:p w14:paraId="552FDDAE">
      <w:pPr>
        <w:shd w:val="clear"/>
        <w:spacing w:line="360" w:lineRule="auto"/>
        <w:ind w:firstLine="562" w:firstLineChars="200"/>
        <w:rPr>
          <w:rFonts w:hint="eastAsia" w:hAnsi="宋体"/>
          <w:b/>
          <w:color w:val="auto"/>
          <w:sz w:val="28"/>
          <w:szCs w:val="28"/>
          <w:highlight w:val="none"/>
        </w:rPr>
      </w:pPr>
      <w:r>
        <w:rPr>
          <w:rFonts w:hAnsi="宋体"/>
          <w:b/>
          <w:color w:val="auto"/>
          <w:sz w:val="28"/>
          <w:szCs w:val="28"/>
          <w:highlight w:val="none"/>
        </w:rPr>
        <w:br w:type="page"/>
      </w:r>
    </w:p>
    <w:p w14:paraId="285851DA">
      <w:pPr>
        <w:pStyle w:val="3"/>
        <w:keepNext w:val="0"/>
        <w:keepLines w:val="0"/>
        <w:shd w:val="clear"/>
        <w:spacing w:before="0" w:after="0" w:line="360" w:lineRule="auto"/>
        <w:jc w:val="center"/>
        <w:rPr>
          <w:rFonts w:hint="eastAsia" w:ascii="Times New Roman" w:hAnsi="宋体" w:eastAsia="宋体"/>
          <w:b/>
          <w:color w:val="auto"/>
          <w:sz w:val="28"/>
          <w:szCs w:val="28"/>
          <w:highlight w:val="none"/>
        </w:rPr>
      </w:pPr>
      <w:bookmarkStart w:id="232" w:name="_Toc4134"/>
      <w:r>
        <w:rPr>
          <w:rFonts w:ascii="Times New Roman" w:hAnsi="宋体" w:eastAsia="宋体"/>
          <w:b/>
          <w:color w:val="auto"/>
          <w:sz w:val="28"/>
          <w:szCs w:val="28"/>
          <w:highlight w:val="none"/>
        </w:rPr>
        <w:t>第三部分  专用条件</w:t>
      </w:r>
      <w:bookmarkEnd w:id="232"/>
    </w:p>
    <w:p w14:paraId="5F48D26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 定义与解释</w:t>
      </w:r>
    </w:p>
    <w:p w14:paraId="07BD0B8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1.2  解释</w:t>
      </w:r>
    </w:p>
    <w:p w14:paraId="7A6FAD1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1.2.1 本合同文件除使用中文外，还可用 </w:t>
      </w:r>
      <w:r>
        <w:rPr>
          <w:rFonts w:ascii="宋体" w:hAnsi="宋体" w:cs="宋体"/>
          <w:color w:val="auto"/>
          <w:highlight w:val="none"/>
          <w:u w:val="single"/>
        </w:rPr>
        <w:t xml:space="preserve">    /   </w:t>
      </w:r>
      <w:r>
        <w:rPr>
          <w:rFonts w:ascii="宋体" w:hAnsi="宋体" w:cs="宋体"/>
          <w:color w:val="auto"/>
          <w:highlight w:val="none"/>
        </w:rPr>
        <w:t xml:space="preserve">  。</w:t>
      </w:r>
    </w:p>
    <w:p w14:paraId="294FC83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1.2.2 约定本合同文件的解释顺序为：A、委托人与监理人签订的补充条款；B、协议书；</w:t>
      </w:r>
      <w:r>
        <w:rPr>
          <w:rFonts w:hint="eastAsia" w:ascii="宋体" w:hAnsi="宋体" w:cs="宋体"/>
          <w:color w:val="auto"/>
          <w:highlight w:val="none"/>
        </w:rPr>
        <w:t>C</w:t>
      </w:r>
      <w:r>
        <w:rPr>
          <w:rFonts w:ascii="宋体" w:hAnsi="宋体" w:cs="宋体"/>
          <w:color w:val="auto"/>
          <w:highlight w:val="none"/>
        </w:rPr>
        <w:t>、中标</w:t>
      </w:r>
    </w:p>
    <w:p w14:paraId="74C0817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通知书；</w:t>
      </w:r>
      <w:r>
        <w:rPr>
          <w:rFonts w:hint="eastAsia" w:ascii="宋体" w:hAnsi="宋体" w:cs="宋体"/>
          <w:color w:val="auto"/>
          <w:highlight w:val="none"/>
        </w:rPr>
        <w:t>D</w:t>
      </w:r>
      <w:r>
        <w:rPr>
          <w:rFonts w:ascii="宋体" w:hAnsi="宋体" w:cs="宋体"/>
          <w:color w:val="auto"/>
          <w:highlight w:val="none"/>
        </w:rPr>
        <w:t>、招投标文件；</w:t>
      </w:r>
      <w:r>
        <w:rPr>
          <w:rFonts w:hint="eastAsia" w:ascii="宋体" w:hAnsi="宋体" w:cs="宋体"/>
          <w:color w:val="auto"/>
          <w:highlight w:val="none"/>
        </w:rPr>
        <w:t>E</w:t>
      </w:r>
      <w:r>
        <w:rPr>
          <w:rFonts w:ascii="宋体" w:hAnsi="宋体" w:cs="宋体"/>
          <w:color w:val="auto"/>
          <w:highlight w:val="none"/>
        </w:rPr>
        <w:t>、专用条件；</w:t>
      </w:r>
      <w:r>
        <w:rPr>
          <w:rFonts w:hint="eastAsia" w:ascii="宋体" w:hAnsi="宋体" w:cs="宋体"/>
          <w:color w:val="auto"/>
          <w:highlight w:val="none"/>
        </w:rPr>
        <w:t>F</w:t>
      </w:r>
      <w:r>
        <w:rPr>
          <w:rFonts w:ascii="宋体" w:hAnsi="宋体" w:cs="宋体"/>
          <w:color w:val="auto"/>
          <w:highlight w:val="none"/>
        </w:rPr>
        <w:t>、通用条件。</w:t>
      </w:r>
    </w:p>
    <w:p w14:paraId="1834189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 监理人义务</w:t>
      </w:r>
    </w:p>
    <w:p w14:paraId="219F0DE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2.1 监理的范围和内容</w:t>
      </w:r>
    </w:p>
    <w:p w14:paraId="6DE421BD">
      <w:pPr>
        <w:shd w:val="clear"/>
        <w:spacing w:line="360" w:lineRule="auto"/>
        <w:ind w:firstLine="420" w:firstLineChars="200"/>
        <w:rPr>
          <w:rFonts w:hint="eastAsia" w:ascii="宋体" w:hAnsi="宋体" w:cs="宋体"/>
          <w:color w:val="auto"/>
          <w:highlight w:val="none"/>
          <w:u w:val="single"/>
        </w:rPr>
      </w:pPr>
      <w:r>
        <w:rPr>
          <w:rFonts w:ascii="宋体" w:hAnsi="宋体" w:cs="宋体"/>
          <w:color w:val="auto"/>
          <w:highlight w:val="none"/>
        </w:rPr>
        <w:t>2.1.1 监理范围包括：</w:t>
      </w:r>
      <w:r>
        <w:rPr>
          <w:rFonts w:ascii="宋体" w:hAnsi="宋体" w:cs="宋体"/>
          <w:color w:val="auto"/>
          <w:highlight w:val="none"/>
          <w:u w:val="single"/>
        </w:rPr>
        <w:t>包括但不限于</w:t>
      </w:r>
      <w:r>
        <w:rPr>
          <w:rFonts w:hint="eastAsia" w:ascii="宋体" w:hAnsi="宋体" w:cs="宋体"/>
          <w:color w:val="auto"/>
          <w:highlight w:val="none"/>
          <w:u w:val="single"/>
        </w:rPr>
        <w:t>本项目施工准备阶段、施工阶段、竣工验收和保修阶段</w:t>
      </w:r>
      <w:r>
        <w:rPr>
          <w:rFonts w:ascii="宋体" w:hAnsi="宋体" w:cs="宋体"/>
          <w:color w:val="auto"/>
          <w:highlight w:val="none"/>
          <w:u w:val="single"/>
        </w:rPr>
        <w:t>(</w:t>
      </w:r>
      <w:r>
        <w:rPr>
          <w:rFonts w:hint="eastAsia" w:ascii="宋体" w:hAnsi="宋体" w:cs="宋体"/>
          <w:color w:val="auto"/>
          <w:highlight w:val="none"/>
          <w:u w:val="single"/>
        </w:rPr>
        <w:t>含质量缺陷责任期及绿化养护期</w:t>
      </w:r>
      <w:r>
        <w:rPr>
          <w:rFonts w:ascii="宋体" w:hAnsi="宋体" w:cs="宋体"/>
          <w:color w:val="auto"/>
          <w:highlight w:val="none"/>
          <w:u w:val="single"/>
        </w:rPr>
        <w:t>)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63EF47E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2.1.2 监理工作内容还包括：</w:t>
      </w:r>
    </w:p>
    <w:p w14:paraId="6DA6F0B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(1)协助委托人进行设计图纸审查工作，凭借自身的技能和经验，根据本地的实际情况，为设计院提供建设性改进意见，并协调市有关部门完成各项报批工作；</w:t>
      </w:r>
    </w:p>
    <w:p w14:paraId="386E71D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(2)审核施工承包人施工组织设计和施工方案，并督促检查承包人按规范、规程、标准及图纸进行施工；</w:t>
      </w:r>
    </w:p>
    <w:p w14:paraId="0012A75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(3)审核承包人的各项施工准备工作；</w:t>
      </w:r>
    </w:p>
    <w:p w14:paraId="66A9903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(4)审查督促承包人施工管理制度、质量管理和质量保证体系，确保质量管理和质量保证体系的建立、健全和实施。按市标化工地要求进行管理；</w:t>
      </w:r>
    </w:p>
    <w:p w14:paraId="120E53E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(5)监理人员应熟悉及消化各专业图纸，了解设计要求、意图。协助组织设计交底、施工图纸会审及审查设计变更；</w:t>
      </w:r>
    </w:p>
    <w:p w14:paraId="4AB5250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(6)审核承包人提出的分包单位的资质；</w:t>
      </w:r>
    </w:p>
    <w:p w14:paraId="22593C4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(7)实施承包人的质量、进度、投资、安全四大控制，工程合同和信息管理及工程中的组织协调工作；</w:t>
      </w:r>
    </w:p>
    <w:p w14:paraId="546B44D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(8)复核计算已完工程量，对工程变更和技术核定调整的工程进行初步审核，签署工程付款凭证；</w:t>
      </w:r>
    </w:p>
    <w:p w14:paraId="323DCBE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(9)审查工程使用的原材料、半成品、成品和设备质量，按程序进行见证取样、送样、封样。同时配合委托人考察设备供应，进场设备开箱检验及安装调试确认；</w:t>
      </w:r>
    </w:p>
    <w:p w14:paraId="07C3E27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(10)按时向委托人提供形象进度报告，每月向委托人提交监理月报；</w:t>
      </w:r>
    </w:p>
    <w:p w14:paraId="00D3B3A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(11)分部、分项工程质量签证，组织基础、结构中验和竣工预验收，并提出工程质量评估报告，协助委托人组织竣工验收，办理竣工资料备案手续；</w:t>
      </w:r>
    </w:p>
    <w:p w14:paraId="549F6E3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0353694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(13)负责竣工图和各项工程质量资料的审查，督促承包人完成资料的归档工作；</w:t>
      </w:r>
    </w:p>
    <w:p w14:paraId="31FAAA6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(14)应对承包人在施工场地的工作人员进行安全教育，督促承包人完成资料的归档工作；并做好巡查记录，监督承包人不得违反安全管理的规定进行施工。如承包人发生安全事故，监理人视情况承担部分责任。</w:t>
      </w:r>
    </w:p>
    <w:p w14:paraId="7868E51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(15)整理相关工程的竣工验收资料(含备案资料)，并对工程施工资料审核；</w:t>
      </w:r>
    </w:p>
    <w:p w14:paraId="6B28F3B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(16</w:t>
      </w:r>
      <w:r>
        <w:rPr>
          <w:rFonts w:hint="eastAsia" w:ascii="宋体" w:hAnsi="宋体" w:cs="宋体"/>
          <w:color w:val="auto"/>
          <w:highlight w:val="none"/>
        </w:rPr>
        <w:t>)</w:t>
      </w:r>
      <w:r>
        <w:rPr>
          <w:rFonts w:ascii="宋体" w:hAnsi="宋体" w:cs="宋体"/>
          <w:color w:val="auto"/>
          <w:highlight w:val="none"/>
        </w:rPr>
        <w:t>提供现场施工应有的检测设备及相关的技术规范，供委托人等相关单位使用及查阅。</w:t>
      </w:r>
    </w:p>
    <w:p w14:paraId="1D1A062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(17)协助委托人做好所有标段施工招标及材料设备采购、材料的认质认价等工作。</w:t>
      </w:r>
    </w:p>
    <w:p w14:paraId="0A6ABDD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(18)如有甲供材料时，应及时做好承包人提交的材料计划的审核工作，协助委托人做好各类甲供材料台帐登记及一切相关工作。</w:t>
      </w:r>
    </w:p>
    <w:p w14:paraId="3C01B95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2.2 监理与相关服务依据</w:t>
      </w:r>
    </w:p>
    <w:p w14:paraId="29314A4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2.2.1 监理依据包括：</w:t>
      </w:r>
    </w:p>
    <w:p w14:paraId="62FC4F2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《中华人民共和国民法典》、《中华人民共和国建筑法》、《中华人民共和国招</w:t>
      </w:r>
      <w:r>
        <w:rPr>
          <w:rFonts w:hint="eastAsia" w:ascii="宋体" w:hAnsi="宋体" w:cs="宋体"/>
          <w:color w:val="auto"/>
          <w:highlight w:val="none"/>
        </w:rPr>
        <w:t>标投标法</w:t>
      </w:r>
      <w:r>
        <w:rPr>
          <w:rFonts w:ascii="宋体" w:hAnsi="宋体" w:cs="宋体"/>
          <w:color w:val="auto"/>
          <w:highlight w:val="none"/>
        </w:rPr>
        <w:t>》、《建筑工程质量管理条例》等现行国家法律。</w:t>
      </w:r>
    </w:p>
    <w:p w14:paraId="04765E1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2.2.2 相关服务依据包括：</w:t>
      </w:r>
    </w:p>
    <w:p w14:paraId="4C03A18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(1)本工程的监理合同、工程施工合同及与工程相关的其他合同。</w:t>
      </w:r>
    </w:p>
    <w:p w14:paraId="4258420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(2)《建设工程监理规范》(GB50319-2013)、《建设工程文件归档整理规范》(GB50328-2014)。</w:t>
      </w:r>
    </w:p>
    <w:p w14:paraId="4EE926A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(3)国家和工程所在地现行有关工程建设的法律、法规、政策和规定。</w:t>
      </w:r>
    </w:p>
    <w:p w14:paraId="617C01D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(4)本工程的设计文件施工图纸、工程地质勘探报告、设计变更通知单、图纸会审纪要等其他有关技术文件；</w:t>
      </w:r>
    </w:p>
    <w:p w14:paraId="6D60ACD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(5)经委托人认可的监理大纲、监理规划和监理实施细则及施工组织设计、施工方案等。</w:t>
      </w:r>
    </w:p>
    <w:p w14:paraId="30D486D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(6)委托人签发的工程监理委托书。</w:t>
      </w:r>
    </w:p>
    <w:p w14:paraId="6446610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(7)现行的工程建设规范和质量验收规范及检验评定标准等，监理人必须提供本工程相关的建设规范至施工现场，便于委托人随时查阅并使用。</w:t>
      </w:r>
    </w:p>
    <w:p w14:paraId="7B05A28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 项目监理机构和人员</w:t>
      </w:r>
    </w:p>
    <w:p w14:paraId="22393CC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2.3.1 按照《江苏省建设工程施工项目经理部和项目监理机构主要管理人员配备办法》配备监理人员进场提供监理服务，本项目设总监理工程师1名、专业监理工程师</w:t>
      </w:r>
      <w:r>
        <w:rPr>
          <w:rFonts w:hint="eastAsia" w:ascii="宋体" w:hAnsi="宋体" w:cs="宋体"/>
          <w:color w:val="auto"/>
          <w:highlight w:val="none"/>
        </w:rPr>
        <w:t>1</w:t>
      </w:r>
      <w:r>
        <w:rPr>
          <w:rFonts w:ascii="宋体" w:hAnsi="宋体" w:cs="宋体"/>
          <w:color w:val="auto"/>
          <w:highlight w:val="none"/>
        </w:rPr>
        <w:t>名、监理员</w:t>
      </w:r>
      <w:r>
        <w:rPr>
          <w:rFonts w:hint="eastAsia" w:ascii="宋体" w:hAnsi="宋体" w:cs="宋体"/>
          <w:color w:val="auto"/>
          <w:highlight w:val="none"/>
          <w:lang w:val="en-US" w:eastAsia="zh-CN"/>
        </w:rPr>
        <w:t>1</w:t>
      </w:r>
      <w:r>
        <w:rPr>
          <w:rFonts w:hint="eastAsia" w:ascii="宋体" w:hAnsi="宋体" w:cs="宋体"/>
          <w:color w:val="auto"/>
          <w:highlight w:val="none"/>
        </w:rPr>
        <w:t>名</w:t>
      </w:r>
      <w:r>
        <w:rPr>
          <w:rFonts w:ascii="宋体" w:hAnsi="宋体" w:cs="宋体"/>
          <w:color w:val="auto"/>
          <w:highlight w:val="none"/>
        </w:rPr>
        <w:t>(以上人员配备为最低限度要求</w:t>
      </w:r>
      <w:r>
        <w:rPr>
          <w:rFonts w:hint="eastAsia" w:ascii="宋体" w:hAnsi="宋体" w:cs="宋体"/>
          <w:color w:val="auto"/>
          <w:highlight w:val="none"/>
        </w:rPr>
        <w:t>，</w:t>
      </w:r>
      <w:r>
        <w:rPr>
          <w:rFonts w:ascii="宋体" w:hAnsi="宋体" w:cs="宋体"/>
          <w:color w:val="auto"/>
          <w:highlight w:val="none"/>
        </w:rPr>
        <w:t>监理人必须按委托人要求适时配备相应监理人员，并确保人</w:t>
      </w:r>
      <w:r>
        <w:rPr>
          <w:rFonts w:hint="eastAsia" w:ascii="宋体" w:hAnsi="宋体" w:cs="宋体"/>
          <w:color w:val="auto"/>
          <w:highlight w:val="none"/>
        </w:rPr>
        <w:t>员到位。</w:t>
      </w:r>
    </w:p>
    <w:p w14:paraId="08DE9F5A">
      <w:pPr>
        <w:shd w:val="clear"/>
        <w:spacing w:line="360" w:lineRule="auto"/>
        <w:ind w:firstLine="840" w:firstLineChars="400"/>
        <w:rPr>
          <w:rFonts w:hint="eastAsia" w:ascii="宋体" w:hAnsi="宋体" w:cs="宋体"/>
          <w:color w:val="auto"/>
          <w:highlight w:val="none"/>
        </w:rPr>
      </w:pPr>
      <w:r>
        <w:rPr>
          <w:rFonts w:ascii="宋体" w:hAnsi="宋体" w:cs="宋体"/>
          <w:color w:val="auto"/>
          <w:highlight w:val="none"/>
        </w:rPr>
        <w:t>项目监理人员一览表</w:t>
      </w:r>
    </w:p>
    <w:tbl>
      <w:tblPr>
        <w:tblStyle w:val="40"/>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2122"/>
        <w:gridCol w:w="1202"/>
        <w:gridCol w:w="1818"/>
        <w:gridCol w:w="1514"/>
        <w:gridCol w:w="1515"/>
      </w:tblGrid>
      <w:tr w14:paraId="2C6EE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06" w:type="dxa"/>
          </w:tcPr>
          <w:p w14:paraId="5F94047A">
            <w:pPr>
              <w:shd w:val="clear"/>
              <w:spacing w:line="360" w:lineRule="auto"/>
              <w:jc w:val="center"/>
              <w:rPr>
                <w:rFonts w:hint="eastAsia" w:ascii="宋体" w:hAnsi="宋体" w:cs="宋体"/>
                <w:color w:val="auto"/>
                <w:highlight w:val="none"/>
              </w:rPr>
            </w:pPr>
            <w:r>
              <w:rPr>
                <w:rFonts w:ascii="宋体" w:hAnsi="宋体" w:cs="宋体"/>
                <w:color w:val="auto"/>
                <w:highlight w:val="none"/>
              </w:rPr>
              <w:t>序号</w:t>
            </w:r>
          </w:p>
        </w:tc>
        <w:tc>
          <w:tcPr>
            <w:tcW w:w="2122" w:type="dxa"/>
          </w:tcPr>
          <w:p w14:paraId="4C7CB2C8">
            <w:pPr>
              <w:shd w:val="clear"/>
              <w:spacing w:line="360" w:lineRule="auto"/>
              <w:jc w:val="center"/>
              <w:rPr>
                <w:rFonts w:hint="eastAsia" w:ascii="宋体" w:hAnsi="宋体" w:cs="宋体"/>
                <w:color w:val="auto"/>
                <w:highlight w:val="none"/>
              </w:rPr>
            </w:pPr>
            <w:r>
              <w:rPr>
                <w:rFonts w:ascii="宋体" w:hAnsi="宋体" w:cs="宋体"/>
                <w:color w:val="auto"/>
                <w:highlight w:val="none"/>
              </w:rPr>
              <w:t>岗位</w:t>
            </w:r>
          </w:p>
        </w:tc>
        <w:tc>
          <w:tcPr>
            <w:tcW w:w="1202" w:type="dxa"/>
          </w:tcPr>
          <w:p w14:paraId="66E38329">
            <w:pPr>
              <w:shd w:val="clear"/>
              <w:spacing w:line="360" w:lineRule="auto"/>
              <w:jc w:val="center"/>
              <w:rPr>
                <w:rFonts w:hint="eastAsia" w:ascii="宋体" w:hAnsi="宋体" w:cs="宋体"/>
                <w:color w:val="auto"/>
                <w:highlight w:val="none"/>
              </w:rPr>
            </w:pPr>
            <w:r>
              <w:rPr>
                <w:rFonts w:ascii="宋体" w:hAnsi="宋体" w:cs="宋体"/>
                <w:color w:val="auto"/>
                <w:highlight w:val="none"/>
              </w:rPr>
              <w:t>姓名</w:t>
            </w:r>
          </w:p>
        </w:tc>
        <w:tc>
          <w:tcPr>
            <w:tcW w:w="1818" w:type="dxa"/>
          </w:tcPr>
          <w:p w14:paraId="412BBA4C">
            <w:pPr>
              <w:shd w:val="clear"/>
              <w:spacing w:line="360" w:lineRule="auto"/>
              <w:jc w:val="center"/>
              <w:rPr>
                <w:rFonts w:hint="eastAsia" w:ascii="宋体" w:hAnsi="宋体" w:cs="宋体"/>
                <w:color w:val="auto"/>
                <w:highlight w:val="none"/>
              </w:rPr>
            </w:pPr>
            <w:r>
              <w:rPr>
                <w:rFonts w:ascii="宋体" w:hAnsi="宋体" w:cs="宋体"/>
                <w:color w:val="auto"/>
                <w:highlight w:val="none"/>
              </w:rPr>
              <w:t>职业资格证编号</w:t>
            </w:r>
          </w:p>
        </w:tc>
        <w:tc>
          <w:tcPr>
            <w:tcW w:w="1514" w:type="dxa"/>
          </w:tcPr>
          <w:p w14:paraId="4596DFDC">
            <w:pPr>
              <w:shd w:val="clear"/>
              <w:spacing w:line="360" w:lineRule="auto"/>
              <w:jc w:val="center"/>
              <w:rPr>
                <w:rFonts w:hint="eastAsia" w:ascii="宋体" w:hAnsi="宋体" w:cs="宋体"/>
                <w:color w:val="auto"/>
                <w:highlight w:val="none"/>
              </w:rPr>
            </w:pPr>
            <w:r>
              <w:rPr>
                <w:rFonts w:ascii="宋体" w:hAnsi="宋体" w:cs="宋体"/>
                <w:color w:val="auto"/>
                <w:highlight w:val="none"/>
              </w:rPr>
              <w:t>职称</w:t>
            </w:r>
          </w:p>
        </w:tc>
        <w:tc>
          <w:tcPr>
            <w:tcW w:w="1515" w:type="dxa"/>
          </w:tcPr>
          <w:p w14:paraId="4816C420">
            <w:pPr>
              <w:shd w:val="clear"/>
              <w:spacing w:line="360" w:lineRule="auto"/>
              <w:jc w:val="center"/>
              <w:rPr>
                <w:rFonts w:hint="eastAsia" w:ascii="宋体" w:hAnsi="宋体" w:cs="宋体"/>
                <w:color w:val="auto"/>
                <w:highlight w:val="none"/>
              </w:rPr>
            </w:pPr>
            <w:r>
              <w:rPr>
                <w:rFonts w:ascii="宋体" w:hAnsi="宋体" w:cs="宋体"/>
                <w:color w:val="auto"/>
                <w:highlight w:val="none"/>
              </w:rPr>
              <w:t>从业年限</w:t>
            </w:r>
          </w:p>
        </w:tc>
      </w:tr>
      <w:tr w14:paraId="7C26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6" w:type="dxa"/>
          </w:tcPr>
          <w:p w14:paraId="3642BD41">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2122" w:type="dxa"/>
          </w:tcPr>
          <w:p w14:paraId="39632E65">
            <w:pPr>
              <w:shd w:val="clear"/>
              <w:spacing w:line="360" w:lineRule="auto"/>
              <w:jc w:val="center"/>
              <w:rPr>
                <w:rFonts w:hint="eastAsia" w:ascii="宋体" w:hAnsi="宋体" w:cs="宋体"/>
                <w:color w:val="auto"/>
                <w:highlight w:val="none"/>
              </w:rPr>
            </w:pPr>
            <w:r>
              <w:rPr>
                <w:rFonts w:ascii="宋体" w:hAnsi="宋体" w:cs="宋体"/>
                <w:color w:val="auto"/>
                <w:highlight w:val="none"/>
              </w:rPr>
              <w:t>总监理工程师</w:t>
            </w:r>
          </w:p>
        </w:tc>
        <w:tc>
          <w:tcPr>
            <w:tcW w:w="1202" w:type="dxa"/>
          </w:tcPr>
          <w:p w14:paraId="2CF7B2FB">
            <w:pPr>
              <w:shd w:val="clear"/>
              <w:spacing w:line="360" w:lineRule="auto"/>
              <w:jc w:val="center"/>
              <w:rPr>
                <w:color w:val="auto"/>
                <w:highlight w:val="none"/>
              </w:rPr>
            </w:pPr>
          </w:p>
        </w:tc>
        <w:tc>
          <w:tcPr>
            <w:tcW w:w="1818" w:type="dxa"/>
          </w:tcPr>
          <w:p w14:paraId="359A1C4E">
            <w:pPr>
              <w:shd w:val="clear"/>
              <w:spacing w:line="360" w:lineRule="auto"/>
              <w:jc w:val="center"/>
              <w:rPr>
                <w:color w:val="auto"/>
                <w:highlight w:val="none"/>
              </w:rPr>
            </w:pPr>
          </w:p>
        </w:tc>
        <w:tc>
          <w:tcPr>
            <w:tcW w:w="1514" w:type="dxa"/>
          </w:tcPr>
          <w:p w14:paraId="743C9CFF">
            <w:pPr>
              <w:shd w:val="clear"/>
              <w:spacing w:line="360" w:lineRule="auto"/>
              <w:jc w:val="center"/>
              <w:rPr>
                <w:color w:val="auto"/>
                <w:highlight w:val="none"/>
              </w:rPr>
            </w:pPr>
          </w:p>
        </w:tc>
        <w:tc>
          <w:tcPr>
            <w:tcW w:w="1515" w:type="dxa"/>
          </w:tcPr>
          <w:p w14:paraId="545FD979">
            <w:pPr>
              <w:shd w:val="clear"/>
              <w:spacing w:line="360" w:lineRule="auto"/>
              <w:jc w:val="center"/>
              <w:rPr>
                <w:color w:val="auto"/>
                <w:highlight w:val="none"/>
              </w:rPr>
            </w:pPr>
          </w:p>
        </w:tc>
      </w:tr>
      <w:tr w14:paraId="13AD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6" w:type="dxa"/>
          </w:tcPr>
          <w:p w14:paraId="78A36E16">
            <w:pPr>
              <w:shd w:val="clear"/>
              <w:spacing w:line="360" w:lineRule="auto"/>
              <w:jc w:val="center"/>
              <w:rPr>
                <w:rFonts w:hint="eastAsia" w:ascii="宋体" w:hAnsi="宋体" w:cs="宋体"/>
                <w:color w:val="auto"/>
                <w:highlight w:val="none"/>
              </w:rPr>
            </w:pPr>
            <w:r>
              <w:rPr>
                <w:rFonts w:ascii="宋体" w:hAnsi="宋体" w:cs="宋体"/>
                <w:color w:val="auto"/>
                <w:highlight w:val="none"/>
              </w:rPr>
              <w:t>2</w:t>
            </w:r>
          </w:p>
        </w:tc>
        <w:tc>
          <w:tcPr>
            <w:tcW w:w="2122" w:type="dxa"/>
          </w:tcPr>
          <w:p w14:paraId="30C34C63">
            <w:pPr>
              <w:shd w:val="clear"/>
              <w:spacing w:line="360" w:lineRule="auto"/>
              <w:jc w:val="center"/>
              <w:rPr>
                <w:rFonts w:hint="eastAsia" w:ascii="宋体" w:hAnsi="宋体" w:cs="宋体"/>
                <w:color w:val="auto"/>
                <w:highlight w:val="none"/>
              </w:rPr>
            </w:pPr>
            <w:r>
              <w:rPr>
                <w:rFonts w:ascii="宋体" w:hAnsi="宋体" w:cs="宋体"/>
                <w:color w:val="auto"/>
                <w:highlight w:val="none"/>
              </w:rPr>
              <w:t>专业监理工程师</w:t>
            </w:r>
          </w:p>
        </w:tc>
        <w:tc>
          <w:tcPr>
            <w:tcW w:w="1202" w:type="dxa"/>
          </w:tcPr>
          <w:p w14:paraId="4F563852">
            <w:pPr>
              <w:shd w:val="clear"/>
              <w:spacing w:line="360" w:lineRule="auto"/>
              <w:jc w:val="center"/>
              <w:rPr>
                <w:color w:val="auto"/>
                <w:highlight w:val="none"/>
              </w:rPr>
            </w:pPr>
          </w:p>
        </w:tc>
        <w:tc>
          <w:tcPr>
            <w:tcW w:w="1818" w:type="dxa"/>
          </w:tcPr>
          <w:p w14:paraId="39BB9122">
            <w:pPr>
              <w:shd w:val="clear"/>
              <w:spacing w:line="360" w:lineRule="auto"/>
              <w:jc w:val="center"/>
              <w:rPr>
                <w:color w:val="auto"/>
                <w:highlight w:val="none"/>
              </w:rPr>
            </w:pPr>
          </w:p>
        </w:tc>
        <w:tc>
          <w:tcPr>
            <w:tcW w:w="1514" w:type="dxa"/>
          </w:tcPr>
          <w:p w14:paraId="6BBB9C0B">
            <w:pPr>
              <w:shd w:val="clear"/>
              <w:spacing w:line="360" w:lineRule="auto"/>
              <w:jc w:val="center"/>
              <w:rPr>
                <w:color w:val="auto"/>
                <w:highlight w:val="none"/>
              </w:rPr>
            </w:pPr>
          </w:p>
        </w:tc>
        <w:tc>
          <w:tcPr>
            <w:tcW w:w="1515" w:type="dxa"/>
          </w:tcPr>
          <w:p w14:paraId="175E31E8">
            <w:pPr>
              <w:shd w:val="clear"/>
              <w:spacing w:line="360" w:lineRule="auto"/>
              <w:jc w:val="center"/>
              <w:rPr>
                <w:color w:val="auto"/>
                <w:highlight w:val="none"/>
              </w:rPr>
            </w:pPr>
          </w:p>
        </w:tc>
      </w:tr>
      <w:tr w14:paraId="78AC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06" w:type="dxa"/>
          </w:tcPr>
          <w:p w14:paraId="7C13770A">
            <w:pPr>
              <w:shd w:val="clea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2122" w:type="dxa"/>
          </w:tcPr>
          <w:p w14:paraId="11CAA735">
            <w:pPr>
              <w:shd w:val="clear"/>
              <w:spacing w:line="360" w:lineRule="auto"/>
              <w:jc w:val="center"/>
              <w:rPr>
                <w:rFonts w:hint="eastAsia" w:ascii="宋体" w:hAnsi="宋体" w:cs="宋体"/>
                <w:color w:val="auto"/>
                <w:highlight w:val="none"/>
              </w:rPr>
            </w:pPr>
            <w:r>
              <w:rPr>
                <w:rFonts w:ascii="宋体" w:hAnsi="宋体" w:cs="宋体"/>
                <w:color w:val="auto"/>
                <w:highlight w:val="none"/>
              </w:rPr>
              <w:t>监理员</w:t>
            </w:r>
          </w:p>
        </w:tc>
        <w:tc>
          <w:tcPr>
            <w:tcW w:w="1202" w:type="dxa"/>
          </w:tcPr>
          <w:p w14:paraId="267D5760">
            <w:pPr>
              <w:shd w:val="clear"/>
              <w:spacing w:line="360" w:lineRule="auto"/>
              <w:jc w:val="center"/>
              <w:rPr>
                <w:color w:val="auto"/>
                <w:highlight w:val="none"/>
              </w:rPr>
            </w:pPr>
          </w:p>
        </w:tc>
        <w:tc>
          <w:tcPr>
            <w:tcW w:w="1818" w:type="dxa"/>
          </w:tcPr>
          <w:p w14:paraId="318DBD6A">
            <w:pPr>
              <w:shd w:val="clear"/>
              <w:spacing w:line="360" w:lineRule="auto"/>
              <w:jc w:val="center"/>
              <w:rPr>
                <w:color w:val="auto"/>
                <w:highlight w:val="none"/>
              </w:rPr>
            </w:pPr>
          </w:p>
        </w:tc>
        <w:tc>
          <w:tcPr>
            <w:tcW w:w="1514" w:type="dxa"/>
          </w:tcPr>
          <w:p w14:paraId="25A8668C">
            <w:pPr>
              <w:shd w:val="clear"/>
              <w:spacing w:line="360" w:lineRule="auto"/>
              <w:jc w:val="center"/>
              <w:rPr>
                <w:color w:val="auto"/>
                <w:highlight w:val="none"/>
              </w:rPr>
            </w:pPr>
          </w:p>
        </w:tc>
        <w:tc>
          <w:tcPr>
            <w:tcW w:w="1515" w:type="dxa"/>
          </w:tcPr>
          <w:p w14:paraId="4872D6EF">
            <w:pPr>
              <w:shd w:val="clear"/>
              <w:spacing w:line="360" w:lineRule="auto"/>
              <w:jc w:val="center"/>
              <w:rPr>
                <w:color w:val="auto"/>
                <w:highlight w:val="none"/>
              </w:rPr>
            </w:pPr>
          </w:p>
        </w:tc>
      </w:tr>
      <w:tr w14:paraId="79D4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906" w:type="dxa"/>
          </w:tcPr>
          <w:p w14:paraId="0AC4C196">
            <w:pPr>
              <w:shd w:val="clear"/>
              <w:spacing w:line="360" w:lineRule="auto"/>
              <w:jc w:val="center"/>
              <w:rPr>
                <w:color w:val="auto"/>
                <w:highlight w:val="none"/>
              </w:rPr>
            </w:pPr>
          </w:p>
        </w:tc>
        <w:tc>
          <w:tcPr>
            <w:tcW w:w="2122" w:type="dxa"/>
          </w:tcPr>
          <w:p w14:paraId="39435143">
            <w:pPr>
              <w:shd w:val="clear"/>
              <w:spacing w:line="360" w:lineRule="auto"/>
              <w:jc w:val="center"/>
              <w:rPr>
                <w:rFonts w:hint="eastAsia" w:ascii="宋体" w:hAnsi="宋体" w:cs="宋体"/>
                <w:color w:val="auto"/>
                <w:highlight w:val="none"/>
              </w:rPr>
            </w:pPr>
            <w:r>
              <w:rPr>
                <w:rFonts w:ascii="宋体" w:hAnsi="宋体" w:cs="宋体"/>
                <w:color w:val="auto"/>
                <w:position w:val="2"/>
                <w:highlight w:val="none"/>
              </w:rPr>
              <w:t>……</w:t>
            </w:r>
          </w:p>
        </w:tc>
        <w:tc>
          <w:tcPr>
            <w:tcW w:w="1202" w:type="dxa"/>
          </w:tcPr>
          <w:p w14:paraId="669152E6">
            <w:pPr>
              <w:shd w:val="clear"/>
              <w:spacing w:line="360" w:lineRule="auto"/>
              <w:jc w:val="center"/>
              <w:rPr>
                <w:color w:val="auto"/>
                <w:highlight w:val="none"/>
              </w:rPr>
            </w:pPr>
          </w:p>
        </w:tc>
        <w:tc>
          <w:tcPr>
            <w:tcW w:w="1818" w:type="dxa"/>
          </w:tcPr>
          <w:p w14:paraId="70264068">
            <w:pPr>
              <w:shd w:val="clear"/>
              <w:spacing w:line="360" w:lineRule="auto"/>
              <w:jc w:val="center"/>
              <w:rPr>
                <w:color w:val="auto"/>
                <w:highlight w:val="none"/>
              </w:rPr>
            </w:pPr>
          </w:p>
        </w:tc>
        <w:tc>
          <w:tcPr>
            <w:tcW w:w="1514" w:type="dxa"/>
          </w:tcPr>
          <w:p w14:paraId="0681C37B">
            <w:pPr>
              <w:shd w:val="clear"/>
              <w:spacing w:line="360" w:lineRule="auto"/>
              <w:jc w:val="center"/>
              <w:rPr>
                <w:color w:val="auto"/>
                <w:highlight w:val="none"/>
              </w:rPr>
            </w:pPr>
          </w:p>
        </w:tc>
        <w:tc>
          <w:tcPr>
            <w:tcW w:w="1515" w:type="dxa"/>
          </w:tcPr>
          <w:p w14:paraId="3B34F62A">
            <w:pPr>
              <w:shd w:val="clear"/>
              <w:spacing w:line="360" w:lineRule="auto"/>
              <w:jc w:val="center"/>
              <w:rPr>
                <w:color w:val="auto"/>
                <w:highlight w:val="none"/>
              </w:rPr>
            </w:pPr>
          </w:p>
        </w:tc>
      </w:tr>
    </w:tbl>
    <w:p w14:paraId="65F5E77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2.3.2 监理人员出勤要求</w:t>
      </w:r>
    </w:p>
    <w:p w14:paraId="25BC995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(1)总监理工程师每周出勤不得少于5天，如需请假须事先征得委托人代表的同意。否则，每少出勤1天，监理人应向委托人支付</w:t>
      </w:r>
      <w:r>
        <w:rPr>
          <w:rFonts w:hint="eastAsia" w:ascii="宋体" w:hAnsi="宋体" w:cs="宋体"/>
          <w:color w:val="auto"/>
          <w:highlight w:val="none"/>
        </w:rPr>
        <w:t>2000</w:t>
      </w:r>
      <w:r>
        <w:rPr>
          <w:rFonts w:ascii="宋体" w:hAnsi="宋体" w:cs="宋体"/>
          <w:color w:val="auto"/>
          <w:highlight w:val="none"/>
        </w:rPr>
        <w:t>元的违约金。</w:t>
      </w:r>
    </w:p>
    <w:p w14:paraId="4F54714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(2)专业监理工程师不得在其他项目兼职，每周出勤不得少于5天且在工程施工期间确保监理人员作息时间与工地施工同步，如需请假须事先征得委托人代表的同意。否则，每少出勤1天，监理人应向委托人支付</w:t>
      </w:r>
      <w:r>
        <w:rPr>
          <w:rFonts w:hint="eastAsia" w:ascii="宋体" w:hAnsi="宋体" w:cs="宋体"/>
          <w:color w:val="auto"/>
          <w:highlight w:val="none"/>
        </w:rPr>
        <w:t>1000</w:t>
      </w:r>
      <w:r>
        <w:rPr>
          <w:rFonts w:ascii="宋体" w:hAnsi="宋体" w:cs="宋体"/>
          <w:color w:val="auto"/>
          <w:highlight w:val="none"/>
        </w:rPr>
        <w:t>元的违约金。</w:t>
      </w:r>
    </w:p>
    <w:p w14:paraId="758AB19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(3)总监理工程师与专业监理工程师不得同时请假。否则，每出现1次，监理人应向委托人支付</w:t>
      </w:r>
      <w:r>
        <w:rPr>
          <w:rFonts w:hint="eastAsia" w:ascii="宋体" w:hAnsi="宋体" w:cs="宋体"/>
          <w:color w:val="auto"/>
          <w:highlight w:val="none"/>
        </w:rPr>
        <w:t>3</w:t>
      </w:r>
      <w:r>
        <w:rPr>
          <w:rFonts w:ascii="宋体" w:hAnsi="宋体" w:cs="宋体"/>
          <w:color w:val="auto"/>
          <w:highlight w:val="none"/>
        </w:rPr>
        <w:t>000元的违约金。</w:t>
      </w:r>
    </w:p>
    <w:p w14:paraId="64CBF74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2.3.3 监理人要求更换监理人员(含不能胜任，委托人要求更换的情况):监理机构人员经确定不得更换，合同中所列的人员必须按时到场。总监理工程师每更换一次，监理人向委托人支付违约金</w:t>
      </w:r>
      <w:r>
        <w:rPr>
          <w:rFonts w:hint="eastAsia" w:ascii="宋体" w:hAnsi="宋体" w:cs="宋体"/>
          <w:color w:val="auto"/>
          <w:highlight w:val="none"/>
        </w:rPr>
        <w:t>5</w:t>
      </w:r>
      <w:r>
        <w:rPr>
          <w:rFonts w:ascii="宋体" w:hAnsi="宋体" w:cs="宋体"/>
          <w:color w:val="auto"/>
          <w:highlight w:val="none"/>
        </w:rPr>
        <w:t>万元(</w:t>
      </w:r>
      <w:r>
        <w:rPr>
          <w:rFonts w:hint="eastAsia" w:ascii="宋体" w:hAnsi="宋体" w:cs="宋体"/>
          <w:color w:val="auto"/>
          <w:highlight w:val="none"/>
        </w:rPr>
        <w:t>伍</w:t>
      </w:r>
      <w:r>
        <w:rPr>
          <w:rFonts w:ascii="宋体" w:hAnsi="宋体" w:cs="宋体"/>
          <w:color w:val="auto"/>
          <w:highlight w:val="none"/>
        </w:rPr>
        <w:t>万元整)，专业监理工程师及监理员每更换一次，监理人向委托人支付违约金</w:t>
      </w:r>
      <w:r>
        <w:rPr>
          <w:rFonts w:hint="eastAsia" w:ascii="宋体" w:hAnsi="宋体" w:cs="宋体"/>
          <w:color w:val="auto"/>
          <w:highlight w:val="none"/>
        </w:rPr>
        <w:t>2</w:t>
      </w:r>
      <w:r>
        <w:rPr>
          <w:rFonts w:ascii="宋体" w:hAnsi="宋体" w:cs="宋体"/>
          <w:color w:val="auto"/>
          <w:highlight w:val="none"/>
        </w:rPr>
        <w:t>万元(</w:t>
      </w:r>
      <w:r>
        <w:rPr>
          <w:rFonts w:hint="eastAsia" w:ascii="宋体" w:hAnsi="宋体" w:cs="宋体"/>
          <w:color w:val="auto"/>
          <w:highlight w:val="none"/>
        </w:rPr>
        <w:t>贰</w:t>
      </w:r>
      <w:r>
        <w:rPr>
          <w:rFonts w:ascii="宋体" w:hAnsi="宋体" w:cs="宋体"/>
          <w:color w:val="auto"/>
          <w:highlight w:val="none"/>
        </w:rPr>
        <w:t>万元整)。</w:t>
      </w:r>
    </w:p>
    <w:p w14:paraId="7FDA175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2.3.4 更换监理人员的其他情形: 监理人投标书中明确的监理机构主要成员须常驻现场，未经委托人同意不得更换总监理工程师及监理机构人员。监理机构的任何成员变动，均须得到委托人书面认可，未经委托人同意，不得更换或减少监理人员。</w:t>
      </w:r>
    </w:p>
    <w:p w14:paraId="6CBF29F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(1)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条款外，还必须支付委托人违约金5万元/人次。</w:t>
      </w:r>
    </w:p>
    <w:p w14:paraId="7CB8F6C3">
      <w:pPr>
        <w:shd w:val="clear"/>
        <w:spacing w:line="360" w:lineRule="auto"/>
        <w:ind w:firstLine="420" w:firstLineChars="200"/>
        <w:rPr>
          <w:rFonts w:hint="eastAsia" w:ascii="宋体" w:hAnsi="宋体" w:cs="宋体"/>
          <w:color w:val="auto"/>
          <w:highlight w:val="none"/>
          <w:u w:val="single"/>
        </w:rPr>
      </w:pPr>
      <w:r>
        <w:rPr>
          <w:rFonts w:ascii="宋体" w:hAnsi="宋体" w:cs="宋体"/>
          <w:color w:val="auto"/>
          <w:highlight w:val="none"/>
          <w:u w:val="single"/>
        </w:rPr>
        <w:t>(2)若委托人在监理工作过程中发现监理人员(不含总监理工程师)不能胜监理工作(委托人对其监理工作不认可、不满意) ，则委托人有权要求监理人更换监理人员，直至通过委托人认可，除执行2.3.3 条款外，还必须支付委托人违约金</w:t>
      </w:r>
      <w:r>
        <w:rPr>
          <w:rFonts w:hint="eastAsia" w:ascii="宋体" w:hAnsi="宋体" w:cs="宋体"/>
          <w:color w:val="auto"/>
          <w:highlight w:val="none"/>
          <w:u w:val="single"/>
        </w:rPr>
        <w:t>2</w:t>
      </w:r>
      <w:r>
        <w:rPr>
          <w:rFonts w:ascii="宋体" w:hAnsi="宋体" w:cs="宋体"/>
          <w:color w:val="auto"/>
          <w:highlight w:val="none"/>
          <w:u w:val="single"/>
        </w:rPr>
        <w:t>万元/人次。</w:t>
      </w:r>
    </w:p>
    <w:p w14:paraId="5EDF8C8D">
      <w:pPr>
        <w:shd w:val="clear"/>
        <w:tabs>
          <w:tab w:val="left" w:pos="758"/>
        </w:tabs>
        <w:spacing w:line="360" w:lineRule="auto"/>
        <w:ind w:firstLine="420" w:firstLineChars="200"/>
        <w:rPr>
          <w:rFonts w:hint="eastAsia" w:ascii="宋体" w:hAnsi="宋体" w:cs="宋体"/>
          <w:color w:val="auto"/>
          <w:highlight w:val="none"/>
        </w:rPr>
      </w:pPr>
      <w:bookmarkStart w:id="233" w:name="_bookmark49"/>
      <w:bookmarkEnd w:id="233"/>
      <w:r>
        <w:rPr>
          <w:rFonts w:ascii="宋体" w:hAnsi="宋体" w:cs="宋体"/>
          <w:color w:val="auto"/>
          <w:highlight w:val="none"/>
          <w:u w:val="single"/>
        </w:rPr>
        <w:t>(3)监理人在监理过程中应严格遵循监理职业道德，当发现下列任一情况，委托人有权向监理人提出调换监理人员的要求，且发生一次，由监理人向委托人支付违约金(同 2.3.3 条款及 2.3.4 条款)，另视情节严重处罚</w:t>
      </w:r>
      <w:r>
        <w:rPr>
          <w:rFonts w:hint="eastAsia" w:ascii="宋体" w:hAnsi="宋体" w:cs="宋体"/>
          <w:color w:val="auto"/>
          <w:highlight w:val="none"/>
          <w:u w:val="single"/>
        </w:rPr>
        <w:t>10</w:t>
      </w:r>
      <w:r>
        <w:rPr>
          <w:rFonts w:ascii="宋体" w:hAnsi="宋体" w:cs="宋体"/>
          <w:color w:val="auto"/>
          <w:highlight w:val="none"/>
          <w:u w:val="single"/>
        </w:rPr>
        <w:t xml:space="preserve">000—50000元，直至解除本合同： </w:t>
      </w:r>
    </w:p>
    <w:p w14:paraId="411FE4D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A、监理人员资历和能力不足以胜任所承担的职责时；</w:t>
      </w:r>
    </w:p>
    <w:p w14:paraId="7F9B3AA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 xml:space="preserve">B、驻现场监理人员不履行职责或履行职责不力时； </w:t>
      </w:r>
    </w:p>
    <w:p w14:paraId="0127545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C、监理人员的行为有损于监理工作应坚持的科学性和廉洁性时；</w:t>
      </w:r>
    </w:p>
    <w:p w14:paraId="5CDA944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D、监理人或监理人员与承包人发生合伙经营关系时；</w:t>
      </w:r>
    </w:p>
    <w:p w14:paraId="4877FE8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 xml:space="preserve">E、接受承包人请吃或娱乐活动； </w:t>
      </w:r>
    </w:p>
    <w:p w14:paraId="3E6C5AF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 xml:space="preserve">F、向承包人介绍施工作业人员； </w:t>
      </w:r>
    </w:p>
    <w:p w14:paraId="5DEA41A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 xml:space="preserve">G、向承包人介绍材料供应商； </w:t>
      </w:r>
    </w:p>
    <w:p w14:paraId="7EE52C3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 xml:space="preserve">H、扬尘管控不力； </w:t>
      </w:r>
    </w:p>
    <w:p w14:paraId="38DDE23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J、安全文明施工管控不力；</w:t>
      </w:r>
    </w:p>
    <w:p w14:paraId="333C46A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 xml:space="preserve">K、监督农民工四项制度落实不到位。 </w:t>
      </w:r>
    </w:p>
    <w:p w14:paraId="2A6F3303">
      <w:pPr>
        <w:shd w:val="clear"/>
        <w:spacing w:line="360" w:lineRule="auto"/>
        <w:ind w:firstLine="420" w:firstLineChars="200"/>
        <w:rPr>
          <w:rFonts w:hint="eastAsia" w:ascii="宋体" w:hAnsi="宋体" w:cs="宋体"/>
          <w:color w:val="auto"/>
          <w:highlight w:val="none"/>
        </w:rPr>
      </w:pPr>
      <w:bookmarkStart w:id="234" w:name="_bookmark53"/>
      <w:bookmarkEnd w:id="234"/>
      <w:r>
        <w:rPr>
          <w:rFonts w:ascii="宋体" w:hAnsi="宋体" w:cs="宋体"/>
          <w:color w:val="auto"/>
          <w:highlight w:val="none"/>
        </w:rPr>
        <w:t>2.4 履行职责</w:t>
      </w:r>
    </w:p>
    <w:p w14:paraId="0704B25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2.4.1 对监理人的授权范围：</w:t>
      </w:r>
      <w:r>
        <w:rPr>
          <w:rFonts w:ascii="宋体" w:hAnsi="宋体" w:cs="宋体"/>
          <w:color w:val="auto"/>
          <w:highlight w:val="none"/>
          <w:u w:val="single"/>
        </w:rPr>
        <w:t>对本工程质量、进度、投资、安全四大控制，对安全生产、文明施工、信息管理、组织协调施工现场和各方关系，以及《委托监理合同》内委托人委托的职权。</w:t>
      </w:r>
      <w:r>
        <w:rPr>
          <w:rFonts w:ascii="宋体" w:hAnsi="宋体" w:cs="宋体"/>
          <w:color w:val="auto"/>
          <w:highlight w:val="none"/>
        </w:rPr>
        <w:t>需要取得委托人批准才能行使的职权：</w:t>
      </w:r>
      <w:r>
        <w:rPr>
          <w:rFonts w:ascii="宋体" w:hAnsi="宋体" w:cs="宋体"/>
          <w:color w:val="auto"/>
          <w:highlight w:val="none"/>
          <w:u w:val="single"/>
        </w:rPr>
        <w:t>工程开工令、停工令、工程款支付、工程量签证以及其他超出委托人授权之外的职权</w:t>
      </w:r>
      <w:r>
        <w:rPr>
          <w:rFonts w:ascii="宋体" w:hAnsi="宋体" w:cs="宋体"/>
          <w:color w:val="auto"/>
          <w:highlight w:val="none"/>
        </w:rPr>
        <w:t>。</w:t>
      </w:r>
    </w:p>
    <w:p w14:paraId="5A3B5D1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在涉及工程延期</w:t>
      </w:r>
      <w:r>
        <w:rPr>
          <w:rFonts w:ascii="宋体" w:hAnsi="宋体" w:cs="宋体"/>
          <w:color w:val="auto"/>
          <w:highlight w:val="none"/>
          <w:u w:val="single"/>
        </w:rPr>
        <w:t>及图纸</w:t>
      </w:r>
      <w:r>
        <w:rPr>
          <w:rFonts w:ascii="宋体" w:hAnsi="宋体" w:cs="宋体"/>
          <w:color w:val="auto"/>
          <w:highlight w:val="none"/>
        </w:rPr>
        <w:t>的变更，监理人须征得委托人同意。</w:t>
      </w:r>
    </w:p>
    <w:p w14:paraId="326E59B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2.4.2 监理人有权要求承包人调换其人员的限制条件：</w:t>
      </w:r>
      <w:r>
        <w:rPr>
          <w:rFonts w:ascii="宋体" w:hAnsi="宋体" w:cs="宋体"/>
          <w:color w:val="auto"/>
          <w:highlight w:val="none"/>
          <w:u w:val="single"/>
        </w:rPr>
        <w:t>须经委托人同意</w:t>
      </w:r>
      <w:r>
        <w:rPr>
          <w:rFonts w:ascii="宋体" w:hAnsi="宋体" w:cs="宋体"/>
          <w:color w:val="auto"/>
          <w:highlight w:val="none"/>
        </w:rPr>
        <w:t>。</w:t>
      </w:r>
    </w:p>
    <w:p w14:paraId="4E74F46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2.5 提交报告</w:t>
      </w:r>
    </w:p>
    <w:p w14:paraId="77D130B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监理人应提交报告的种类(包括监理规划、监理月报及约定的专项报告)、时间和份数：</w:t>
      </w:r>
      <w:r>
        <w:rPr>
          <w:rFonts w:ascii="宋体" w:hAnsi="宋体" w:cs="宋体"/>
          <w:color w:val="auto"/>
          <w:highlight w:val="none"/>
          <w:u w:val="single"/>
        </w:rPr>
        <w:t>监理规划在开工前5天，监理月报在每月25日前，约定的专项报告及其他内容须在委托人要求的时间内，份数：5份</w:t>
      </w:r>
      <w:r>
        <w:rPr>
          <w:rFonts w:ascii="宋体" w:hAnsi="宋体" w:cs="宋体"/>
          <w:color w:val="auto"/>
          <w:highlight w:val="none"/>
        </w:rPr>
        <w:t>。</w:t>
      </w:r>
    </w:p>
    <w:p w14:paraId="2F45DA4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未按时提交上述资料，监理人应向委托人支付违约金1000元/次。</w:t>
      </w:r>
    </w:p>
    <w:p w14:paraId="25D2D57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2.6 使用委托人的财产</w:t>
      </w:r>
    </w:p>
    <w:p w14:paraId="2453241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附录 B 中由委托人无偿提供的房屋、设备的所有权属于： </w:t>
      </w:r>
      <w:r>
        <w:rPr>
          <w:rFonts w:ascii="宋体" w:hAnsi="宋体" w:cs="宋体"/>
          <w:color w:val="auto"/>
          <w:highlight w:val="none"/>
          <w:u w:val="single"/>
        </w:rPr>
        <w:t xml:space="preserve">  委托人  </w:t>
      </w:r>
      <w:r>
        <w:rPr>
          <w:rFonts w:ascii="宋体" w:hAnsi="宋体" w:cs="宋体"/>
          <w:color w:val="auto"/>
          <w:highlight w:val="none"/>
        </w:rPr>
        <w:t>。</w:t>
      </w:r>
    </w:p>
    <w:p w14:paraId="249D8B7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监理人应在本合同终止后</w:t>
      </w:r>
      <w:r>
        <w:rPr>
          <w:rFonts w:ascii="宋体" w:hAnsi="宋体" w:cs="宋体"/>
          <w:color w:val="auto"/>
          <w:highlight w:val="none"/>
          <w:u w:val="single"/>
        </w:rPr>
        <w:t xml:space="preserve"> 5 </w:t>
      </w:r>
      <w:r>
        <w:rPr>
          <w:rFonts w:ascii="宋体" w:hAnsi="宋体" w:cs="宋体"/>
          <w:color w:val="auto"/>
          <w:highlight w:val="none"/>
        </w:rPr>
        <w:t>天内移交委托人无偿提供的房屋、设备，移交的时间和方式为：</w:t>
      </w:r>
      <w:r>
        <w:rPr>
          <w:rFonts w:ascii="宋体" w:hAnsi="宋体" w:cs="宋体"/>
          <w:color w:val="auto"/>
          <w:highlight w:val="none"/>
          <w:u w:val="single"/>
        </w:rPr>
        <w:t>由委托人当场验收</w:t>
      </w:r>
      <w:r>
        <w:rPr>
          <w:rFonts w:ascii="宋体" w:hAnsi="宋体" w:cs="宋体"/>
          <w:color w:val="auto"/>
          <w:highlight w:val="none"/>
        </w:rPr>
        <w:t>。</w:t>
      </w:r>
    </w:p>
    <w:p w14:paraId="4AFBEB4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 委托人义务</w:t>
      </w:r>
    </w:p>
    <w:p w14:paraId="3D7F0D7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3.1 委托人代表</w:t>
      </w:r>
    </w:p>
    <w:p w14:paraId="4E33766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委托人代表为：。</w:t>
      </w:r>
    </w:p>
    <w:p w14:paraId="27530D4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3.2 答复</w:t>
      </w:r>
    </w:p>
    <w:p w14:paraId="3831939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委托人同意在</w:t>
      </w:r>
      <w:r>
        <w:rPr>
          <w:rFonts w:ascii="宋体" w:hAnsi="宋体" w:cs="宋体"/>
          <w:color w:val="auto"/>
          <w:highlight w:val="none"/>
          <w:u w:val="single"/>
        </w:rPr>
        <w:t xml:space="preserve">   7  </w:t>
      </w:r>
      <w:r>
        <w:rPr>
          <w:rFonts w:ascii="宋体" w:hAnsi="宋体" w:cs="宋体"/>
          <w:color w:val="auto"/>
          <w:highlight w:val="none"/>
        </w:rPr>
        <w:t xml:space="preserve"> 天内，对监理人书面提交并要求做出决定的事宜给予书面答复。</w:t>
      </w:r>
    </w:p>
    <w:p w14:paraId="60F8F607">
      <w:pPr>
        <w:shd w:val="clear"/>
        <w:spacing w:line="360" w:lineRule="auto"/>
        <w:ind w:firstLine="420" w:firstLineChars="200"/>
        <w:outlineLvl w:val="2"/>
        <w:rPr>
          <w:rFonts w:hint="eastAsia" w:ascii="宋体" w:hAnsi="宋体" w:cs="宋体"/>
          <w:color w:val="auto"/>
          <w:highlight w:val="none"/>
        </w:rPr>
      </w:pPr>
      <w:bookmarkStart w:id="235" w:name="_Toc12755"/>
      <w:r>
        <w:rPr>
          <w:rFonts w:ascii="宋体" w:hAnsi="宋体" w:cs="宋体"/>
          <w:color w:val="auto"/>
          <w:highlight w:val="none"/>
        </w:rPr>
        <w:t>4. 违约责任</w:t>
      </w:r>
      <w:bookmarkEnd w:id="235"/>
    </w:p>
    <w:p w14:paraId="4A035E62">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4.1 监理人的违约责任</w:t>
      </w:r>
    </w:p>
    <w:p w14:paraId="7E48A86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4.1.1 监理人赔偿金额按下列方法确定： /</w:t>
      </w:r>
    </w:p>
    <w:p w14:paraId="44711FE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4.2 委托人的违约责任</w:t>
      </w:r>
    </w:p>
    <w:p w14:paraId="42E0D7E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4.2.1 委托人逾期付款利息按下列方法确定：</w:t>
      </w:r>
      <w:r>
        <w:rPr>
          <w:rFonts w:ascii="宋体" w:hAnsi="宋体" w:cs="宋体"/>
          <w:color w:val="auto"/>
          <w:highlight w:val="none"/>
          <w:u w:val="single"/>
        </w:rPr>
        <w:t>不计</w:t>
      </w:r>
      <w:r>
        <w:rPr>
          <w:rFonts w:ascii="宋体" w:hAnsi="宋体" w:cs="宋体"/>
          <w:color w:val="auto"/>
          <w:highlight w:val="none"/>
        </w:rPr>
        <w:t>。</w:t>
      </w:r>
    </w:p>
    <w:p w14:paraId="46C67DBF">
      <w:pPr>
        <w:shd w:val="clear"/>
        <w:spacing w:line="360" w:lineRule="auto"/>
        <w:ind w:firstLine="420" w:firstLineChars="200"/>
        <w:outlineLvl w:val="2"/>
        <w:rPr>
          <w:rFonts w:hint="eastAsia" w:ascii="宋体" w:hAnsi="宋体" w:cs="宋体"/>
          <w:color w:val="auto"/>
          <w:highlight w:val="none"/>
        </w:rPr>
      </w:pPr>
      <w:bookmarkStart w:id="236" w:name="_Toc21264"/>
      <w:r>
        <w:rPr>
          <w:rFonts w:ascii="宋体" w:hAnsi="宋体" w:cs="宋体"/>
          <w:color w:val="auto"/>
          <w:highlight w:val="none"/>
        </w:rPr>
        <w:t>5. 支付</w:t>
      </w:r>
      <w:bookmarkEnd w:id="236"/>
    </w:p>
    <w:p w14:paraId="47D2EC4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5.1 支付货币</w:t>
      </w:r>
    </w:p>
    <w:p w14:paraId="01BECB6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币种为：</w:t>
      </w:r>
      <w:r>
        <w:rPr>
          <w:rFonts w:ascii="宋体" w:hAnsi="宋体" w:cs="宋体"/>
          <w:color w:val="auto"/>
          <w:highlight w:val="none"/>
          <w:u w:val="single"/>
        </w:rPr>
        <w:t xml:space="preserve">  人民币    </w:t>
      </w:r>
      <w:r>
        <w:rPr>
          <w:rFonts w:ascii="宋体" w:hAnsi="宋体" w:cs="宋体"/>
          <w:color w:val="auto"/>
          <w:highlight w:val="none"/>
        </w:rPr>
        <w:t>。</w:t>
      </w:r>
    </w:p>
    <w:p w14:paraId="0F8E6BC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5.2 支付酬金</w:t>
      </w:r>
    </w:p>
    <w:p w14:paraId="65C8F1E7">
      <w:pPr>
        <w:shd w:val="clear"/>
        <w:spacing w:line="360" w:lineRule="auto"/>
        <w:rPr>
          <w:rFonts w:hint="eastAsia" w:ascii="宋体" w:hAnsi="宋体" w:cs="宋体"/>
          <w:color w:val="auto"/>
          <w:highlight w:val="none"/>
        </w:rPr>
      </w:pPr>
      <w:r>
        <w:rPr>
          <w:rFonts w:ascii="宋体" w:hAnsi="宋体" w:cs="宋体"/>
          <w:color w:val="auto"/>
          <w:highlight w:val="none"/>
        </w:rPr>
        <w:t>一、监理酬金：</w:t>
      </w:r>
    </w:p>
    <w:p w14:paraId="68F5287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监理服务收费(即合同价)＝本工程施工结算审定价×监理中标费率。</w:t>
      </w:r>
    </w:p>
    <w:p w14:paraId="201F7A76">
      <w:pPr>
        <w:shd w:val="clear"/>
        <w:spacing w:line="360" w:lineRule="auto"/>
        <w:rPr>
          <w:rFonts w:hint="eastAsia" w:ascii="宋体" w:hAnsi="宋体" w:cs="宋体"/>
          <w:b/>
          <w:bCs/>
          <w:color w:val="auto"/>
          <w:highlight w:val="none"/>
        </w:rPr>
      </w:pPr>
      <w:r>
        <w:rPr>
          <w:rFonts w:ascii="宋体" w:hAnsi="宋体" w:cs="宋体"/>
          <w:b/>
          <w:bCs/>
          <w:color w:val="auto"/>
          <w:highlight w:val="none"/>
        </w:rPr>
        <w:t>二、监理报酬支付方式：</w:t>
      </w:r>
    </w:p>
    <w:p w14:paraId="72A9D10A">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工程竣工验收合格后，监理单位完成该工程竣工结算审核并出具审核报告后，按该工程监理审</w:t>
      </w:r>
      <w:r>
        <w:rPr>
          <w:rFonts w:hint="eastAsia" w:ascii="宋体" w:hAnsi="宋体" w:cs="宋体"/>
          <w:color w:val="auto"/>
          <w:highlight w:val="none"/>
          <w:lang w:val="en-US" w:eastAsia="zh-CN"/>
        </w:rPr>
        <w:t>核</w:t>
      </w:r>
      <w:r>
        <w:rPr>
          <w:rFonts w:hint="eastAsia" w:ascii="宋体" w:hAnsi="宋体" w:cs="宋体"/>
          <w:color w:val="auto"/>
          <w:highlight w:val="none"/>
        </w:rPr>
        <w:t>价</w:t>
      </w:r>
      <w:r>
        <w:rPr>
          <w:rFonts w:ascii="宋体" w:hAnsi="宋体" w:cs="宋体"/>
          <w:color w:val="auto"/>
          <w:highlight w:val="none"/>
        </w:rPr>
        <w:t>*</w:t>
      </w:r>
      <w:r>
        <w:rPr>
          <w:rFonts w:hint="eastAsia" w:ascii="宋体" w:hAnsi="宋体" w:cs="宋体"/>
          <w:color w:val="auto"/>
          <w:highlight w:val="none"/>
        </w:rPr>
        <w:t>中标费率×4</w:t>
      </w:r>
      <w:r>
        <w:rPr>
          <w:rFonts w:ascii="宋体" w:hAnsi="宋体" w:cs="宋体"/>
          <w:color w:val="auto"/>
          <w:highlight w:val="none"/>
        </w:rPr>
        <w:t>0%</w:t>
      </w:r>
      <w:r>
        <w:rPr>
          <w:rFonts w:hint="eastAsia" w:ascii="宋体" w:hAnsi="宋体" w:cs="宋体"/>
          <w:color w:val="auto"/>
          <w:highlight w:val="none"/>
        </w:rPr>
        <w:t>支付首笔监理费；</w:t>
      </w:r>
    </w:p>
    <w:p w14:paraId="77C5541B">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w:t>
      </w:r>
      <w:r>
        <w:rPr>
          <w:rFonts w:hint="eastAsia" w:ascii="宋体" w:hAnsi="宋体" w:cs="宋体"/>
          <w:color w:val="auto"/>
          <w:highlight w:val="none"/>
        </w:rPr>
        <w:t>结算终审审计结束后，按该工程审计价</w:t>
      </w:r>
      <w:r>
        <w:rPr>
          <w:rFonts w:ascii="宋体" w:hAnsi="宋体" w:cs="宋体"/>
          <w:color w:val="auto"/>
          <w:highlight w:val="none"/>
        </w:rPr>
        <w:t>*</w:t>
      </w:r>
      <w:r>
        <w:rPr>
          <w:rFonts w:hint="eastAsia" w:ascii="宋体" w:hAnsi="宋体" w:cs="宋体"/>
          <w:color w:val="auto"/>
          <w:highlight w:val="none"/>
        </w:rPr>
        <w:t>中标费率×90</w:t>
      </w:r>
      <w:r>
        <w:rPr>
          <w:rFonts w:ascii="宋体" w:hAnsi="宋体" w:cs="宋体"/>
          <w:color w:val="auto"/>
          <w:highlight w:val="none"/>
        </w:rPr>
        <w:t>%</w:t>
      </w:r>
      <w:r>
        <w:rPr>
          <w:rFonts w:hint="eastAsia" w:ascii="宋体" w:hAnsi="宋体" w:cs="宋体"/>
          <w:color w:val="auto"/>
          <w:highlight w:val="none"/>
        </w:rPr>
        <w:t>扣除已支付费用支付第二笔监理费；</w:t>
      </w:r>
    </w:p>
    <w:p w14:paraId="68388A2A">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w:t>
      </w:r>
      <w:r>
        <w:rPr>
          <w:rFonts w:hint="eastAsia" w:ascii="宋体" w:hAnsi="宋体" w:cs="宋体"/>
          <w:color w:val="auto"/>
          <w:highlight w:val="none"/>
        </w:rPr>
        <w:t>缺陷责任期满，凭质量移交单，根据审计结果支付剩余监理费。</w:t>
      </w:r>
    </w:p>
    <w:p w14:paraId="5C195EE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监理费核减金额按以下方式计算：</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6230"/>
      </w:tblGrid>
      <w:tr w14:paraId="7FFD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545B72A1">
            <w:pPr>
              <w:shd w:val="clea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单个工程核减率</w:t>
            </w:r>
          </w:p>
          <w:p w14:paraId="53495DBC">
            <w:pPr>
              <w:shd w:val="clea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(核减额/工程最终审计价)</w:t>
            </w:r>
          </w:p>
        </w:tc>
        <w:tc>
          <w:tcPr>
            <w:tcW w:w="6286" w:type="dxa"/>
            <w:noWrap/>
            <w:vAlign w:val="center"/>
          </w:tcPr>
          <w:p w14:paraId="409DC792">
            <w:pPr>
              <w:shd w:val="clea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监理费支付方式</w:t>
            </w:r>
          </w:p>
        </w:tc>
      </w:tr>
      <w:tr w14:paraId="7FEC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4BFE3F66">
            <w:pPr>
              <w:shd w:val="clea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≤5%</w:t>
            </w:r>
          </w:p>
        </w:tc>
        <w:tc>
          <w:tcPr>
            <w:tcW w:w="6286" w:type="dxa"/>
            <w:noWrap/>
            <w:vAlign w:val="center"/>
          </w:tcPr>
          <w:p w14:paraId="73D2FACD">
            <w:pPr>
              <w:shd w:val="clea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施工监理服务收费基准价*中标费率-已拨付监理费</w:t>
            </w:r>
          </w:p>
        </w:tc>
      </w:tr>
      <w:tr w14:paraId="45A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30040702">
            <w:pPr>
              <w:shd w:val="clea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&gt;5%</w:t>
            </w:r>
          </w:p>
        </w:tc>
        <w:tc>
          <w:tcPr>
            <w:tcW w:w="6286" w:type="dxa"/>
            <w:noWrap/>
            <w:vAlign w:val="center"/>
          </w:tcPr>
          <w:p w14:paraId="258DA2E2">
            <w:pPr>
              <w:shd w:val="clear"/>
              <w:spacing w:line="360" w:lineRule="auto"/>
              <w:contextualSpacing/>
              <w:jc w:val="center"/>
              <w:rPr>
                <w:rFonts w:cs="宋体"/>
                <w:b/>
                <w:bCs/>
                <w:color w:val="auto"/>
                <w:kern w:val="0"/>
                <w:szCs w:val="21"/>
                <w:highlight w:val="none"/>
              </w:rPr>
            </w:pPr>
            <w:r>
              <w:rPr>
                <w:rFonts w:hint="eastAsia" w:cs="宋体"/>
                <w:b/>
                <w:bCs/>
                <w:color w:val="auto"/>
                <w:kern w:val="0"/>
                <w:szCs w:val="21"/>
                <w:highlight w:val="none"/>
              </w:rPr>
              <w:t>施工监理服务收费基准价×中标费率×（1-核减率）-已拨付监理费</w:t>
            </w:r>
          </w:p>
        </w:tc>
      </w:tr>
      <w:tr w14:paraId="0761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3" w:type="dxa"/>
            <w:gridSpan w:val="2"/>
            <w:noWrap/>
          </w:tcPr>
          <w:p w14:paraId="44087499">
            <w:pPr>
              <w:pStyle w:val="9"/>
              <w:shd w:val="clear"/>
              <w:tabs>
                <w:tab w:val="left" w:pos="2020"/>
                <w:tab w:val="center" w:pos="4535"/>
                <w:tab w:val="clear" w:pos="0"/>
              </w:tabs>
              <w:spacing w:line="360" w:lineRule="auto"/>
              <w:rPr>
                <w:rFonts w:hint="eastAsia" w:ascii="Times New Roman" w:eastAsia="宋体" w:cs="宋体"/>
                <w:b/>
                <w:bCs/>
                <w:color w:val="auto"/>
                <w:kern w:val="0"/>
                <w:sz w:val="21"/>
                <w:szCs w:val="21"/>
                <w:highlight w:val="none"/>
              </w:rPr>
            </w:pPr>
            <w:r>
              <w:rPr>
                <w:rFonts w:hint="eastAsia" w:ascii="Times New Roman" w:eastAsia="宋体" w:cs="宋体"/>
                <w:b/>
                <w:bCs/>
                <w:color w:val="auto"/>
                <w:kern w:val="0"/>
                <w:sz w:val="21"/>
                <w:szCs w:val="21"/>
                <w:highlight w:val="none"/>
              </w:rPr>
              <w:t>注1:监理费核减金额按以下方式计算:</w:t>
            </w:r>
          </w:p>
          <w:p w14:paraId="5160E8E7">
            <w:pPr>
              <w:pStyle w:val="9"/>
              <w:shd w:val="clear"/>
              <w:tabs>
                <w:tab w:val="left" w:pos="2020"/>
                <w:tab w:val="center" w:pos="4535"/>
                <w:tab w:val="clear" w:pos="0"/>
              </w:tabs>
              <w:spacing w:line="360" w:lineRule="auto"/>
              <w:rPr>
                <w:rFonts w:hint="eastAsia" w:ascii="Times New Roman" w:eastAsia="宋体" w:cs="宋体"/>
                <w:b/>
                <w:bCs/>
                <w:color w:val="auto"/>
                <w:kern w:val="0"/>
                <w:sz w:val="21"/>
                <w:szCs w:val="21"/>
                <w:highlight w:val="none"/>
              </w:rPr>
            </w:pPr>
            <w:r>
              <w:rPr>
                <w:rFonts w:hint="eastAsia" w:ascii="Times New Roman" w:eastAsia="宋体" w:cs="宋体"/>
                <w:b/>
                <w:bCs/>
                <w:color w:val="auto"/>
                <w:kern w:val="0"/>
                <w:sz w:val="21"/>
                <w:szCs w:val="21"/>
                <w:highlight w:val="none"/>
              </w:rPr>
              <w:t>核减率=核减额/送审价</w:t>
            </w:r>
          </w:p>
          <w:p w14:paraId="30618284">
            <w:pPr>
              <w:pStyle w:val="9"/>
              <w:shd w:val="clear"/>
              <w:tabs>
                <w:tab w:val="left" w:pos="2020"/>
                <w:tab w:val="center" w:pos="4535"/>
                <w:tab w:val="clear" w:pos="0"/>
              </w:tabs>
              <w:spacing w:line="360" w:lineRule="auto"/>
              <w:rPr>
                <w:rFonts w:hint="eastAsia" w:ascii="Times New Roman" w:eastAsia="宋体" w:cs="宋体"/>
                <w:b/>
                <w:bCs/>
                <w:color w:val="auto"/>
                <w:kern w:val="0"/>
                <w:sz w:val="21"/>
                <w:szCs w:val="21"/>
                <w:highlight w:val="none"/>
              </w:rPr>
            </w:pPr>
            <w:r>
              <w:rPr>
                <w:rFonts w:hint="eastAsia" w:ascii="Times New Roman" w:eastAsia="宋体" w:cs="宋体"/>
                <w:b/>
                <w:bCs/>
                <w:color w:val="auto"/>
                <w:kern w:val="0"/>
                <w:sz w:val="21"/>
                <w:szCs w:val="21"/>
                <w:highlight w:val="none"/>
              </w:rPr>
              <w:t>核减额=经监理审核后的结算金额-工程最终审计价</w:t>
            </w:r>
          </w:p>
          <w:p w14:paraId="7332E83A">
            <w:pPr>
              <w:pStyle w:val="9"/>
              <w:shd w:val="clear"/>
              <w:tabs>
                <w:tab w:val="left" w:pos="2020"/>
                <w:tab w:val="center" w:pos="4535"/>
                <w:tab w:val="clear" w:pos="0"/>
              </w:tabs>
              <w:spacing w:line="360" w:lineRule="auto"/>
              <w:rPr>
                <w:rFonts w:hint="eastAsia" w:ascii="Times New Roman" w:eastAsia="宋体" w:cs="宋体"/>
                <w:b/>
                <w:bCs/>
                <w:color w:val="auto"/>
                <w:kern w:val="0"/>
                <w:sz w:val="21"/>
                <w:szCs w:val="21"/>
                <w:highlight w:val="none"/>
              </w:rPr>
            </w:pPr>
            <w:r>
              <w:rPr>
                <w:rFonts w:hint="eastAsia" w:ascii="Times New Roman" w:eastAsia="宋体" w:cs="宋体"/>
                <w:b/>
                <w:bCs/>
                <w:color w:val="auto"/>
                <w:kern w:val="0"/>
                <w:sz w:val="21"/>
                <w:szCs w:val="21"/>
                <w:highlight w:val="none"/>
              </w:rPr>
              <w:t>送审价=经监理审核后的结算金额</w:t>
            </w:r>
          </w:p>
          <w:p w14:paraId="43329A95">
            <w:pPr>
              <w:pStyle w:val="9"/>
              <w:shd w:val="clear"/>
              <w:tabs>
                <w:tab w:val="left" w:pos="2020"/>
                <w:tab w:val="center" w:pos="4535"/>
                <w:tab w:val="clear" w:pos="0"/>
              </w:tabs>
              <w:spacing w:line="360" w:lineRule="auto"/>
              <w:rPr>
                <w:color w:val="auto"/>
                <w:highlight w:val="none"/>
              </w:rPr>
            </w:pPr>
            <w:r>
              <w:rPr>
                <w:rFonts w:hint="eastAsia" w:ascii="Times New Roman" w:eastAsia="宋体" w:cs="宋体"/>
                <w:b/>
                <w:bCs/>
                <w:color w:val="auto"/>
                <w:kern w:val="0"/>
                <w:sz w:val="21"/>
                <w:szCs w:val="21"/>
                <w:highlight w:val="none"/>
              </w:rPr>
              <w:t>注2:核减率扣款扣完剩余监理费为止，无需倒扣。</w:t>
            </w:r>
          </w:p>
        </w:tc>
      </w:tr>
    </w:tbl>
    <w:p w14:paraId="31DB1860">
      <w:pPr>
        <w:shd w:val="clear"/>
        <w:spacing w:line="360" w:lineRule="auto"/>
        <w:ind w:firstLine="527"/>
        <w:rPr>
          <w:rFonts w:hint="eastAsia" w:ascii="宋体" w:hAnsi="宋体" w:cs="宋体"/>
          <w:b/>
          <w:bCs/>
          <w:color w:val="auto"/>
          <w:highlight w:val="none"/>
          <w:u w:val="single"/>
        </w:rPr>
      </w:pPr>
      <w:r>
        <w:rPr>
          <w:rFonts w:ascii="宋体" w:hAnsi="宋体" w:cs="宋体"/>
          <w:b/>
          <w:bCs/>
          <w:color w:val="auto"/>
          <w:highlight w:val="none"/>
          <w:u w:val="single"/>
        </w:rPr>
        <w:t>每次工程款支付申请前，</w:t>
      </w:r>
      <w:r>
        <w:rPr>
          <w:rFonts w:hint="eastAsia" w:ascii="宋体" w:hAnsi="宋体" w:cs="宋体"/>
          <w:b/>
          <w:bCs/>
          <w:color w:val="auto"/>
          <w:highlight w:val="none"/>
          <w:u w:val="single"/>
        </w:rPr>
        <w:t>提供增值税发票</w:t>
      </w:r>
      <w:r>
        <w:rPr>
          <w:rFonts w:ascii="宋体" w:hAnsi="宋体" w:cs="宋体"/>
          <w:b/>
          <w:bCs/>
          <w:color w:val="auto"/>
          <w:highlight w:val="none"/>
          <w:u w:val="single"/>
        </w:rPr>
        <w:t>。</w:t>
      </w:r>
    </w:p>
    <w:p w14:paraId="3D42D83E">
      <w:pPr>
        <w:shd w:val="clear"/>
        <w:spacing w:line="360" w:lineRule="auto"/>
        <w:ind w:firstLine="527"/>
        <w:rPr>
          <w:rFonts w:hint="eastAsia" w:ascii="宋体" w:hAnsi="宋体" w:cs="宋体"/>
          <w:color w:val="auto"/>
          <w:highlight w:val="none"/>
        </w:rPr>
      </w:pPr>
      <w:r>
        <w:rPr>
          <w:rFonts w:ascii="宋体" w:hAnsi="宋体" w:cs="宋体"/>
          <w:color w:val="auto"/>
          <w:highlight w:val="none"/>
        </w:rPr>
        <w:t>(二)工期延长的，委托人不支付附加工作报酬。</w:t>
      </w:r>
    </w:p>
    <w:p w14:paraId="486E934C">
      <w:pPr>
        <w:shd w:val="clear"/>
        <w:spacing w:line="360" w:lineRule="auto"/>
        <w:ind w:firstLine="420" w:firstLineChars="200"/>
        <w:outlineLvl w:val="2"/>
        <w:rPr>
          <w:rFonts w:hint="eastAsia" w:ascii="宋体" w:hAnsi="宋体" w:cs="宋体"/>
          <w:color w:val="auto"/>
          <w:highlight w:val="none"/>
        </w:rPr>
      </w:pPr>
      <w:bookmarkStart w:id="237" w:name="_Toc17785"/>
      <w:r>
        <w:rPr>
          <w:rFonts w:ascii="宋体" w:hAnsi="宋体" w:cs="宋体"/>
          <w:color w:val="auto"/>
          <w:highlight w:val="none"/>
        </w:rPr>
        <w:t>6. 合同生效、变更、暂停、解除与终止</w:t>
      </w:r>
      <w:bookmarkEnd w:id="237"/>
    </w:p>
    <w:p w14:paraId="55159D1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6.1 生效</w:t>
      </w:r>
    </w:p>
    <w:p w14:paraId="3938EE2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本合同生效条件：</w:t>
      </w:r>
      <w:r>
        <w:rPr>
          <w:rFonts w:ascii="宋体" w:hAnsi="宋体" w:cs="宋体"/>
          <w:color w:val="auto"/>
          <w:highlight w:val="none"/>
          <w:u w:val="single"/>
        </w:rPr>
        <w:t>双方签字并盖章</w:t>
      </w:r>
      <w:r>
        <w:rPr>
          <w:rFonts w:ascii="宋体" w:hAnsi="宋体" w:cs="宋体"/>
          <w:color w:val="auto"/>
          <w:highlight w:val="none"/>
        </w:rPr>
        <w:t>。</w:t>
      </w:r>
    </w:p>
    <w:p w14:paraId="581408E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 变更</w:t>
      </w:r>
    </w:p>
    <w:p w14:paraId="13A595F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6.2.1 因工程规模、监理范围的变化导致监理人的正常工作量减少时，按减少工作量的比例从协议书约定的正常工作酬金中扣减相同比例的酬金。</w:t>
      </w:r>
    </w:p>
    <w:p w14:paraId="5277636C">
      <w:pPr>
        <w:shd w:val="clear"/>
        <w:spacing w:line="360" w:lineRule="auto"/>
        <w:ind w:firstLine="420" w:firstLineChars="200"/>
        <w:outlineLvl w:val="2"/>
        <w:rPr>
          <w:rFonts w:hint="eastAsia" w:ascii="宋体" w:hAnsi="宋体" w:cs="宋体"/>
          <w:color w:val="auto"/>
          <w:highlight w:val="none"/>
        </w:rPr>
      </w:pPr>
      <w:bookmarkStart w:id="238" w:name="_Toc28945"/>
      <w:r>
        <w:rPr>
          <w:rFonts w:ascii="宋体" w:hAnsi="宋体" w:cs="宋体"/>
          <w:color w:val="auto"/>
          <w:highlight w:val="none"/>
        </w:rPr>
        <w:t>7. 争议解决</w:t>
      </w:r>
      <w:bookmarkEnd w:id="238"/>
    </w:p>
    <w:p w14:paraId="492E0AA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7.1 调解</w:t>
      </w:r>
    </w:p>
    <w:p w14:paraId="065AF85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本合同争议进行调解时，可提交</w:t>
      </w:r>
      <w:r>
        <w:rPr>
          <w:rFonts w:ascii="宋体" w:hAnsi="宋体" w:cs="宋体"/>
          <w:color w:val="auto"/>
          <w:highlight w:val="none"/>
          <w:u w:val="single"/>
        </w:rPr>
        <w:t xml:space="preserve">   双方当事人  </w:t>
      </w:r>
      <w:r>
        <w:rPr>
          <w:rFonts w:ascii="宋体" w:hAnsi="宋体" w:cs="宋体"/>
          <w:color w:val="auto"/>
          <w:highlight w:val="none"/>
        </w:rPr>
        <w:t xml:space="preserve"> 进行调解。</w:t>
      </w:r>
    </w:p>
    <w:p w14:paraId="6AF5F55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7.2 仲裁或诉讼</w:t>
      </w:r>
    </w:p>
    <w:p w14:paraId="78D3408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合同争议的最终解决方式为下列第</w:t>
      </w:r>
      <w:r>
        <w:rPr>
          <w:rFonts w:ascii="宋体" w:hAnsi="宋体" w:cs="宋体"/>
          <w:color w:val="auto"/>
          <w:highlight w:val="none"/>
          <w:u w:val="single"/>
        </w:rPr>
        <w:t xml:space="preserve">    (2)   </w:t>
      </w:r>
      <w:r>
        <w:rPr>
          <w:rFonts w:ascii="宋体" w:hAnsi="宋体" w:cs="宋体"/>
          <w:color w:val="auto"/>
          <w:highlight w:val="none"/>
        </w:rPr>
        <w:t xml:space="preserve"> 种方式：</w:t>
      </w:r>
    </w:p>
    <w:p w14:paraId="5B60A25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(1)提请仲裁委员会进行仲裁。</w:t>
      </w:r>
    </w:p>
    <w:p w14:paraId="253FB45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(2)向 </w:t>
      </w:r>
      <w:r>
        <w:rPr>
          <w:rFonts w:ascii="宋体" w:hAnsi="宋体" w:cs="宋体"/>
          <w:color w:val="auto"/>
          <w:highlight w:val="none"/>
          <w:u w:val="single"/>
        </w:rPr>
        <w:t xml:space="preserve">  工程所在地  </w:t>
      </w:r>
      <w:r>
        <w:rPr>
          <w:rFonts w:ascii="宋体" w:hAnsi="宋体" w:cs="宋体"/>
          <w:color w:val="auto"/>
          <w:highlight w:val="none"/>
        </w:rPr>
        <w:t xml:space="preserve"> 人民法院提起诉讼。</w:t>
      </w:r>
    </w:p>
    <w:p w14:paraId="17F699A5">
      <w:pPr>
        <w:shd w:val="clear"/>
        <w:spacing w:line="360" w:lineRule="auto"/>
        <w:ind w:firstLine="420" w:firstLineChars="200"/>
        <w:outlineLvl w:val="2"/>
        <w:rPr>
          <w:rFonts w:hint="eastAsia" w:ascii="宋体" w:hAnsi="宋体" w:cs="宋体"/>
          <w:color w:val="auto"/>
          <w:highlight w:val="none"/>
        </w:rPr>
      </w:pPr>
      <w:bookmarkStart w:id="239" w:name="_Toc5700"/>
      <w:r>
        <w:rPr>
          <w:rFonts w:ascii="宋体" w:hAnsi="宋体" w:cs="宋体"/>
          <w:color w:val="auto"/>
          <w:highlight w:val="none"/>
        </w:rPr>
        <w:t>8. 其他</w:t>
      </w:r>
      <w:bookmarkEnd w:id="239"/>
    </w:p>
    <w:p w14:paraId="6A71043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8.1 检测费用</w:t>
      </w:r>
    </w:p>
    <w:p w14:paraId="0CBB917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委托人应在检测工作完成后</w:t>
      </w:r>
      <w:r>
        <w:rPr>
          <w:rFonts w:ascii="宋体" w:hAnsi="宋体" w:cs="宋体"/>
          <w:color w:val="auto"/>
          <w:highlight w:val="none"/>
          <w:u w:val="single"/>
        </w:rPr>
        <w:t xml:space="preserve">  /  </w:t>
      </w:r>
      <w:r>
        <w:rPr>
          <w:rFonts w:ascii="宋体" w:hAnsi="宋体" w:cs="宋体"/>
          <w:color w:val="auto"/>
          <w:highlight w:val="none"/>
        </w:rPr>
        <w:t xml:space="preserve"> 天内支付检测费用。</w:t>
      </w:r>
    </w:p>
    <w:p w14:paraId="12C75F44">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8.2 咨询费用</w:t>
      </w:r>
    </w:p>
    <w:p w14:paraId="059E648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委托人应在咨询工作完成后</w:t>
      </w:r>
      <w:r>
        <w:rPr>
          <w:rFonts w:ascii="宋体" w:hAnsi="宋体" w:cs="宋体"/>
          <w:color w:val="auto"/>
          <w:highlight w:val="none"/>
          <w:u w:val="single"/>
        </w:rPr>
        <w:t xml:space="preserve">   / </w:t>
      </w:r>
      <w:r>
        <w:rPr>
          <w:rFonts w:ascii="宋体" w:hAnsi="宋体" w:cs="宋体"/>
          <w:color w:val="auto"/>
          <w:highlight w:val="none"/>
        </w:rPr>
        <w:t xml:space="preserve"> 天内支付咨询费用。</w:t>
      </w:r>
    </w:p>
    <w:p w14:paraId="288485E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8.3 保密</w:t>
      </w:r>
    </w:p>
    <w:p w14:paraId="7F120BD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委托人申明的保密事项和期限： </w:t>
      </w:r>
      <w:r>
        <w:rPr>
          <w:rFonts w:ascii="宋体" w:hAnsi="宋体" w:cs="宋体"/>
          <w:color w:val="auto"/>
          <w:highlight w:val="none"/>
          <w:u w:val="single"/>
        </w:rPr>
        <w:t xml:space="preserve">  委托人与承包人签订的施工合同，本合同结束前  </w:t>
      </w:r>
      <w:r>
        <w:rPr>
          <w:rFonts w:ascii="宋体" w:hAnsi="宋体" w:cs="宋体"/>
          <w:color w:val="auto"/>
          <w:highlight w:val="none"/>
        </w:rPr>
        <w:t xml:space="preserve">。 </w:t>
      </w:r>
    </w:p>
    <w:p w14:paraId="725C3866">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监理人申明的保密事项和期限： </w:t>
      </w:r>
      <w:r>
        <w:rPr>
          <w:rFonts w:ascii="宋体" w:hAnsi="宋体" w:cs="宋体"/>
          <w:color w:val="auto"/>
          <w:highlight w:val="none"/>
          <w:u w:val="single"/>
        </w:rPr>
        <w:t xml:space="preserve">                  /      </w:t>
      </w:r>
      <w:r>
        <w:rPr>
          <w:rFonts w:ascii="宋体" w:hAnsi="宋体" w:cs="宋体"/>
          <w:color w:val="auto"/>
          <w:highlight w:val="none"/>
        </w:rPr>
        <w:t>。</w:t>
      </w:r>
    </w:p>
    <w:p w14:paraId="56EC9B6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 xml:space="preserve">第三方申明的保密事项和期限： </w:t>
      </w:r>
      <w:r>
        <w:rPr>
          <w:rFonts w:ascii="宋体" w:hAnsi="宋体" w:cs="宋体"/>
          <w:color w:val="auto"/>
          <w:highlight w:val="none"/>
          <w:u w:val="single"/>
        </w:rPr>
        <w:t xml:space="preserve">                /        </w:t>
      </w:r>
      <w:r>
        <w:rPr>
          <w:rFonts w:ascii="宋体" w:hAnsi="宋体" w:cs="宋体"/>
          <w:color w:val="auto"/>
          <w:highlight w:val="none"/>
        </w:rPr>
        <w:t>。</w:t>
      </w:r>
    </w:p>
    <w:p w14:paraId="4E12FCC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8.4 著作权</w:t>
      </w:r>
    </w:p>
    <w:p w14:paraId="4979801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监理人在本合同履行期间及本合同终止后两年内出版涉及本工程的有关监理与相关服务的资料的限制条件： /。</w:t>
      </w:r>
    </w:p>
    <w:p w14:paraId="5533EBF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 补充条款：</w:t>
      </w:r>
    </w:p>
    <w:p w14:paraId="43F0350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712E2BC5">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13521E8D">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9.3 若监理人在市建设主管部门组织的检查、评比中，被通报批评的，则按监理合同价的1%进行处罚；累计被通报批评三次的，委托人有权立即终止合同，由此造成的所有后果及损失均由监理人承担。</w:t>
      </w:r>
    </w:p>
    <w:p w14:paraId="506AD5F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2D9F87A0">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9.5 上述对监理人的违约处罚监理人均以转账形式缴纳，不得在监理费中抵扣。</w:t>
      </w:r>
    </w:p>
    <w:p w14:paraId="5C22DA9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9.6 监理人应在施工单位提交进度结算资料后一周内完成审核，在施工单位提交竣工结算资料后一个月内完成项目结算审核，每拖延一天需支付1000元违约金。</w:t>
      </w:r>
    </w:p>
    <w:p w14:paraId="4029C2E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9.7 监理检测设备最低要求</w:t>
      </w:r>
    </w:p>
    <w:tbl>
      <w:tblPr>
        <w:tblStyle w:val="40"/>
        <w:tblW w:w="878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4252"/>
        <w:gridCol w:w="2410"/>
      </w:tblGrid>
      <w:tr w14:paraId="21189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26" w:type="dxa"/>
          </w:tcPr>
          <w:p w14:paraId="1D26FA27">
            <w:pPr>
              <w:shd w:val="clear"/>
              <w:spacing w:line="360" w:lineRule="auto"/>
              <w:jc w:val="center"/>
              <w:rPr>
                <w:rFonts w:hint="eastAsia" w:ascii="宋体" w:hAnsi="宋体" w:cs="宋体"/>
                <w:color w:val="auto"/>
                <w:highlight w:val="none"/>
              </w:rPr>
            </w:pPr>
            <w:r>
              <w:rPr>
                <w:rFonts w:ascii="宋体" w:hAnsi="宋体" w:cs="宋体"/>
                <w:color w:val="auto"/>
                <w:highlight w:val="none"/>
              </w:rPr>
              <w:t>序号</w:t>
            </w:r>
          </w:p>
        </w:tc>
        <w:tc>
          <w:tcPr>
            <w:tcW w:w="4252" w:type="dxa"/>
          </w:tcPr>
          <w:p w14:paraId="7B5762A9">
            <w:pPr>
              <w:shd w:val="clear"/>
              <w:spacing w:line="360" w:lineRule="auto"/>
              <w:jc w:val="center"/>
              <w:rPr>
                <w:rFonts w:hint="eastAsia" w:ascii="宋体" w:hAnsi="宋体" w:cs="宋体"/>
                <w:color w:val="auto"/>
                <w:highlight w:val="none"/>
              </w:rPr>
            </w:pPr>
            <w:r>
              <w:rPr>
                <w:rFonts w:ascii="宋体" w:hAnsi="宋体" w:cs="宋体"/>
                <w:color w:val="auto"/>
                <w:highlight w:val="none"/>
              </w:rPr>
              <w:t>设备或仪器名称</w:t>
            </w:r>
          </w:p>
        </w:tc>
        <w:tc>
          <w:tcPr>
            <w:tcW w:w="2410" w:type="dxa"/>
          </w:tcPr>
          <w:p w14:paraId="6270EBF2">
            <w:pPr>
              <w:shd w:val="clear"/>
              <w:spacing w:line="360" w:lineRule="auto"/>
              <w:jc w:val="center"/>
              <w:rPr>
                <w:rFonts w:hint="eastAsia" w:ascii="宋体" w:hAnsi="宋体" w:cs="宋体"/>
                <w:color w:val="auto"/>
                <w:highlight w:val="none"/>
              </w:rPr>
            </w:pPr>
            <w:r>
              <w:rPr>
                <w:rFonts w:ascii="宋体" w:hAnsi="宋体" w:cs="宋体"/>
                <w:color w:val="auto"/>
                <w:highlight w:val="none"/>
              </w:rPr>
              <w:t>数量</w:t>
            </w:r>
          </w:p>
        </w:tc>
      </w:tr>
      <w:tr w14:paraId="13395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805D547">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4252" w:type="dxa"/>
          </w:tcPr>
          <w:p w14:paraId="22D3ED05">
            <w:pPr>
              <w:shd w:val="clear"/>
              <w:spacing w:line="360" w:lineRule="auto"/>
              <w:jc w:val="center"/>
              <w:rPr>
                <w:rFonts w:hint="eastAsia" w:ascii="宋体" w:hAnsi="宋体" w:cs="宋体"/>
                <w:color w:val="auto"/>
                <w:highlight w:val="none"/>
              </w:rPr>
            </w:pPr>
            <w:r>
              <w:rPr>
                <w:rFonts w:ascii="宋体" w:hAnsi="宋体" w:cs="宋体"/>
                <w:color w:val="auto"/>
                <w:highlight w:val="none"/>
              </w:rPr>
              <w:t>全站仪</w:t>
            </w:r>
          </w:p>
        </w:tc>
        <w:tc>
          <w:tcPr>
            <w:tcW w:w="2410" w:type="dxa"/>
          </w:tcPr>
          <w:p w14:paraId="3738A5B2">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49218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B014BB3">
            <w:pPr>
              <w:shd w:val="clear"/>
              <w:spacing w:line="360" w:lineRule="auto"/>
              <w:jc w:val="center"/>
              <w:rPr>
                <w:rFonts w:hint="eastAsia" w:ascii="宋体" w:hAnsi="宋体" w:cs="宋体"/>
                <w:color w:val="auto"/>
                <w:highlight w:val="none"/>
              </w:rPr>
            </w:pPr>
            <w:r>
              <w:rPr>
                <w:rFonts w:ascii="宋体" w:hAnsi="宋体" w:cs="宋体"/>
                <w:color w:val="auto"/>
                <w:highlight w:val="none"/>
              </w:rPr>
              <w:t>2</w:t>
            </w:r>
          </w:p>
        </w:tc>
        <w:tc>
          <w:tcPr>
            <w:tcW w:w="4252" w:type="dxa"/>
          </w:tcPr>
          <w:p w14:paraId="1BC1C5CE">
            <w:pPr>
              <w:shd w:val="clear"/>
              <w:spacing w:line="360" w:lineRule="auto"/>
              <w:jc w:val="center"/>
              <w:rPr>
                <w:rFonts w:hint="eastAsia" w:ascii="宋体" w:hAnsi="宋体" w:cs="宋体"/>
                <w:color w:val="auto"/>
                <w:highlight w:val="none"/>
              </w:rPr>
            </w:pPr>
            <w:r>
              <w:rPr>
                <w:rFonts w:ascii="宋体" w:hAnsi="宋体" w:cs="宋体"/>
                <w:color w:val="auto"/>
                <w:highlight w:val="none"/>
              </w:rPr>
              <w:t>激光铅垂仪</w:t>
            </w:r>
          </w:p>
        </w:tc>
        <w:tc>
          <w:tcPr>
            <w:tcW w:w="2410" w:type="dxa"/>
          </w:tcPr>
          <w:p w14:paraId="73CE3704">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29DC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25C72002">
            <w:pPr>
              <w:shd w:val="clear"/>
              <w:spacing w:line="360" w:lineRule="auto"/>
              <w:jc w:val="center"/>
              <w:rPr>
                <w:rFonts w:hint="eastAsia" w:ascii="宋体" w:hAnsi="宋体" w:cs="宋体"/>
                <w:color w:val="auto"/>
                <w:highlight w:val="none"/>
              </w:rPr>
            </w:pPr>
            <w:r>
              <w:rPr>
                <w:rFonts w:ascii="宋体" w:hAnsi="宋体" w:cs="宋体"/>
                <w:color w:val="auto"/>
                <w:highlight w:val="none"/>
              </w:rPr>
              <w:t>3</w:t>
            </w:r>
          </w:p>
        </w:tc>
        <w:tc>
          <w:tcPr>
            <w:tcW w:w="4252" w:type="dxa"/>
          </w:tcPr>
          <w:p w14:paraId="6323B15C">
            <w:pPr>
              <w:shd w:val="clear"/>
              <w:spacing w:line="360" w:lineRule="auto"/>
              <w:jc w:val="center"/>
              <w:rPr>
                <w:rFonts w:hint="eastAsia" w:ascii="宋体" w:hAnsi="宋体" w:cs="宋体"/>
                <w:color w:val="auto"/>
                <w:highlight w:val="none"/>
              </w:rPr>
            </w:pPr>
            <w:r>
              <w:rPr>
                <w:rFonts w:ascii="宋体" w:hAnsi="宋体" w:cs="宋体"/>
                <w:color w:val="auto"/>
                <w:highlight w:val="none"/>
              </w:rPr>
              <w:t>水准仪</w:t>
            </w:r>
          </w:p>
        </w:tc>
        <w:tc>
          <w:tcPr>
            <w:tcW w:w="2410" w:type="dxa"/>
          </w:tcPr>
          <w:p w14:paraId="6B57FEF2">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17A47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927BB34">
            <w:pPr>
              <w:shd w:val="clear"/>
              <w:spacing w:line="360" w:lineRule="auto"/>
              <w:jc w:val="center"/>
              <w:rPr>
                <w:rFonts w:hint="eastAsia" w:ascii="宋体" w:hAnsi="宋体" w:cs="宋体"/>
                <w:color w:val="auto"/>
                <w:highlight w:val="none"/>
              </w:rPr>
            </w:pPr>
            <w:r>
              <w:rPr>
                <w:rFonts w:ascii="宋体" w:hAnsi="宋体" w:cs="宋体"/>
                <w:color w:val="auto"/>
                <w:highlight w:val="none"/>
              </w:rPr>
              <w:t>4</w:t>
            </w:r>
          </w:p>
        </w:tc>
        <w:tc>
          <w:tcPr>
            <w:tcW w:w="4252" w:type="dxa"/>
          </w:tcPr>
          <w:p w14:paraId="54456C64">
            <w:pPr>
              <w:shd w:val="clear"/>
              <w:spacing w:line="360" w:lineRule="auto"/>
              <w:jc w:val="center"/>
              <w:rPr>
                <w:rFonts w:hint="eastAsia" w:ascii="宋体" w:hAnsi="宋体" w:cs="宋体"/>
                <w:color w:val="auto"/>
                <w:highlight w:val="none"/>
              </w:rPr>
            </w:pPr>
            <w:r>
              <w:rPr>
                <w:rFonts w:ascii="宋体" w:hAnsi="宋体" w:cs="宋体"/>
                <w:color w:val="auto"/>
                <w:highlight w:val="none"/>
              </w:rPr>
              <w:t>激光经纬仪</w:t>
            </w:r>
          </w:p>
        </w:tc>
        <w:tc>
          <w:tcPr>
            <w:tcW w:w="2410" w:type="dxa"/>
          </w:tcPr>
          <w:p w14:paraId="065C2281">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493F5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A93BBCD">
            <w:pPr>
              <w:shd w:val="clear"/>
              <w:spacing w:line="360" w:lineRule="auto"/>
              <w:jc w:val="center"/>
              <w:rPr>
                <w:rFonts w:hint="eastAsia" w:ascii="宋体" w:hAnsi="宋体" w:cs="宋体"/>
                <w:color w:val="auto"/>
                <w:highlight w:val="none"/>
              </w:rPr>
            </w:pPr>
            <w:r>
              <w:rPr>
                <w:rFonts w:ascii="宋体" w:hAnsi="宋体" w:cs="宋体"/>
                <w:color w:val="auto"/>
                <w:highlight w:val="none"/>
              </w:rPr>
              <w:t>5</w:t>
            </w:r>
          </w:p>
        </w:tc>
        <w:tc>
          <w:tcPr>
            <w:tcW w:w="4252" w:type="dxa"/>
          </w:tcPr>
          <w:p w14:paraId="30987AA5">
            <w:pPr>
              <w:shd w:val="clear"/>
              <w:spacing w:line="360" w:lineRule="auto"/>
              <w:jc w:val="center"/>
              <w:rPr>
                <w:rFonts w:hint="eastAsia" w:ascii="宋体" w:hAnsi="宋体" w:cs="宋体"/>
                <w:color w:val="auto"/>
                <w:highlight w:val="none"/>
              </w:rPr>
            </w:pPr>
            <w:r>
              <w:rPr>
                <w:rFonts w:ascii="宋体" w:hAnsi="宋体" w:cs="宋体"/>
                <w:color w:val="auto"/>
                <w:highlight w:val="none"/>
              </w:rPr>
              <w:t>砼回弹仪</w:t>
            </w:r>
          </w:p>
        </w:tc>
        <w:tc>
          <w:tcPr>
            <w:tcW w:w="2410" w:type="dxa"/>
          </w:tcPr>
          <w:p w14:paraId="64A5D73E">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7821D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D96601E">
            <w:pPr>
              <w:shd w:val="clear"/>
              <w:spacing w:line="360" w:lineRule="auto"/>
              <w:jc w:val="center"/>
              <w:rPr>
                <w:rFonts w:hint="eastAsia" w:ascii="宋体" w:hAnsi="宋体" w:cs="宋体"/>
                <w:color w:val="auto"/>
                <w:highlight w:val="none"/>
              </w:rPr>
            </w:pPr>
            <w:r>
              <w:rPr>
                <w:rFonts w:ascii="宋体" w:hAnsi="宋体" w:cs="宋体"/>
                <w:color w:val="auto"/>
                <w:highlight w:val="none"/>
              </w:rPr>
              <w:t>6</w:t>
            </w:r>
          </w:p>
        </w:tc>
        <w:tc>
          <w:tcPr>
            <w:tcW w:w="4252" w:type="dxa"/>
          </w:tcPr>
          <w:p w14:paraId="2CF2312C">
            <w:pPr>
              <w:shd w:val="clear"/>
              <w:spacing w:line="360" w:lineRule="auto"/>
              <w:jc w:val="center"/>
              <w:rPr>
                <w:rFonts w:hint="eastAsia" w:ascii="宋体" w:hAnsi="宋体" w:cs="宋体"/>
                <w:color w:val="auto"/>
                <w:highlight w:val="none"/>
              </w:rPr>
            </w:pPr>
            <w:r>
              <w:rPr>
                <w:rFonts w:ascii="宋体" w:hAnsi="宋体" w:cs="宋体"/>
                <w:color w:val="auto"/>
                <w:highlight w:val="none"/>
              </w:rPr>
              <w:t>2m 靠尺</w:t>
            </w:r>
          </w:p>
        </w:tc>
        <w:tc>
          <w:tcPr>
            <w:tcW w:w="2410" w:type="dxa"/>
          </w:tcPr>
          <w:p w14:paraId="62552964">
            <w:pPr>
              <w:shd w:val="clear"/>
              <w:spacing w:line="360" w:lineRule="auto"/>
              <w:jc w:val="center"/>
              <w:rPr>
                <w:rFonts w:hint="eastAsia" w:ascii="宋体" w:hAnsi="宋体" w:cs="宋体"/>
                <w:color w:val="auto"/>
                <w:highlight w:val="none"/>
              </w:rPr>
            </w:pPr>
            <w:r>
              <w:rPr>
                <w:rFonts w:ascii="宋体" w:hAnsi="宋体" w:cs="宋体"/>
                <w:color w:val="auto"/>
                <w:highlight w:val="none"/>
              </w:rPr>
              <w:t>2 支</w:t>
            </w:r>
          </w:p>
        </w:tc>
      </w:tr>
      <w:tr w14:paraId="52DB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5E75AD0">
            <w:pPr>
              <w:shd w:val="clear"/>
              <w:spacing w:line="360" w:lineRule="auto"/>
              <w:jc w:val="center"/>
              <w:rPr>
                <w:rFonts w:hint="eastAsia" w:ascii="宋体" w:hAnsi="宋体" w:cs="宋体"/>
                <w:color w:val="auto"/>
                <w:highlight w:val="none"/>
              </w:rPr>
            </w:pPr>
            <w:r>
              <w:rPr>
                <w:rFonts w:ascii="宋体" w:hAnsi="宋体" w:cs="宋体"/>
                <w:color w:val="auto"/>
                <w:highlight w:val="none"/>
              </w:rPr>
              <w:t>7</w:t>
            </w:r>
          </w:p>
        </w:tc>
        <w:tc>
          <w:tcPr>
            <w:tcW w:w="4252" w:type="dxa"/>
          </w:tcPr>
          <w:p w14:paraId="5793B3CE">
            <w:pPr>
              <w:shd w:val="clear"/>
              <w:spacing w:line="360" w:lineRule="auto"/>
              <w:jc w:val="center"/>
              <w:rPr>
                <w:rFonts w:hint="eastAsia" w:ascii="宋体" w:hAnsi="宋体" w:cs="宋体"/>
                <w:color w:val="auto"/>
                <w:highlight w:val="none"/>
              </w:rPr>
            </w:pPr>
            <w:r>
              <w:rPr>
                <w:rFonts w:ascii="宋体" w:hAnsi="宋体" w:cs="宋体"/>
                <w:color w:val="auto"/>
                <w:highlight w:val="none"/>
              </w:rPr>
              <w:t>绝缘测试仪</w:t>
            </w:r>
          </w:p>
        </w:tc>
        <w:tc>
          <w:tcPr>
            <w:tcW w:w="2410" w:type="dxa"/>
          </w:tcPr>
          <w:p w14:paraId="5865C24C">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06E2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52EE3EE1">
            <w:pPr>
              <w:shd w:val="clear"/>
              <w:spacing w:line="360" w:lineRule="auto"/>
              <w:jc w:val="center"/>
              <w:rPr>
                <w:rFonts w:hint="eastAsia" w:ascii="宋体" w:hAnsi="宋体" w:cs="宋体"/>
                <w:color w:val="auto"/>
                <w:highlight w:val="none"/>
              </w:rPr>
            </w:pPr>
            <w:r>
              <w:rPr>
                <w:rFonts w:ascii="宋体" w:hAnsi="宋体" w:cs="宋体"/>
                <w:color w:val="auto"/>
                <w:highlight w:val="none"/>
              </w:rPr>
              <w:t>8</w:t>
            </w:r>
          </w:p>
        </w:tc>
        <w:tc>
          <w:tcPr>
            <w:tcW w:w="4252" w:type="dxa"/>
          </w:tcPr>
          <w:p w14:paraId="18EF1914">
            <w:pPr>
              <w:shd w:val="clear"/>
              <w:spacing w:line="360" w:lineRule="auto"/>
              <w:jc w:val="center"/>
              <w:rPr>
                <w:rFonts w:hint="eastAsia" w:ascii="宋体" w:hAnsi="宋体" w:cs="宋体"/>
                <w:color w:val="auto"/>
                <w:highlight w:val="none"/>
              </w:rPr>
            </w:pPr>
            <w:r>
              <w:rPr>
                <w:rFonts w:ascii="宋体" w:hAnsi="宋体" w:cs="宋体"/>
                <w:color w:val="auto"/>
                <w:highlight w:val="none"/>
              </w:rPr>
              <w:t>接地摇表</w:t>
            </w:r>
          </w:p>
        </w:tc>
        <w:tc>
          <w:tcPr>
            <w:tcW w:w="2410" w:type="dxa"/>
          </w:tcPr>
          <w:p w14:paraId="27A1D7DA">
            <w:pPr>
              <w:shd w:val="clear"/>
              <w:spacing w:line="360" w:lineRule="auto"/>
              <w:jc w:val="center"/>
              <w:rPr>
                <w:rFonts w:hint="eastAsia" w:ascii="宋体" w:hAnsi="宋体" w:cs="宋体"/>
                <w:color w:val="auto"/>
                <w:highlight w:val="none"/>
              </w:rPr>
            </w:pPr>
            <w:r>
              <w:rPr>
                <w:rFonts w:ascii="宋体" w:hAnsi="宋体" w:cs="宋体"/>
                <w:color w:val="auto"/>
                <w:highlight w:val="none"/>
              </w:rPr>
              <w:t>1 只</w:t>
            </w:r>
          </w:p>
        </w:tc>
      </w:tr>
      <w:tr w14:paraId="2BD79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3E36958C">
            <w:pPr>
              <w:shd w:val="clear"/>
              <w:spacing w:line="360" w:lineRule="auto"/>
              <w:jc w:val="center"/>
              <w:rPr>
                <w:rFonts w:hint="eastAsia" w:ascii="宋体" w:hAnsi="宋体" w:cs="宋体"/>
                <w:color w:val="auto"/>
                <w:highlight w:val="none"/>
              </w:rPr>
            </w:pPr>
            <w:r>
              <w:rPr>
                <w:rFonts w:ascii="宋体" w:hAnsi="宋体" w:cs="宋体"/>
                <w:color w:val="auto"/>
                <w:highlight w:val="none"/>
              </w:rPr>
              <w:t>9</w:t>
            </w:r>
          </w:p>
        </w:tc>
        <w:tc>
          <w:tcPr>
            <w:tcW w:w="4252" w:type="dxa"/>
          </w:tcPr>
          <w:p w14:paraId="4F13EDE8">
            <w:pPr>
              <w:shd w:val="clear"/>
              <w:spacing w:line="360" w:lineRule="auto"/>
              <w:jc w:val="center"/>
              <w:rPr>
                <w:rFonts w:hint="eastAsia" w:ascii="宋体" w:hAnsi="宋体" w:cs="宋体"/>
                <w:color w:val="auto"/>
                <w:highlight w:val="none"/>
              </w:rPr>
            </w:pPr>
            <w:r>
              <w:rPr>
                <w:rFonts w:ascii="宋体" w:hAnsi="宋体" w:cs="宋体"/>
                <w:color w:val="auto"/>
                <w:highlight w:val="none"/>
              </w:rPr>
              <w:t>接地电阻测试仪</w:t>
            </w:r>
          </w:p>
        </w:tc>
        <w:tc>
          <w:tcPr>
            <w:tcW w:w="2410" w:type="dxa"/>
          </w:tcPr>
          <w:p w14:paraId="4A9AB326">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65F8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90D4B03">
            <w:pPr>
              <w:shd w:val="clear"/>
              <w:spacing w:line="360" w:lineRule="auto"/>
              <w:jc w:val="center"/>
              <w:rPr>
                <w:rFonts w:hint="eastAsia" w:ascii="宋体" w:hAnsi="宋体" w:cs="宋体"/>
                <w:color w:val="auto"/>
                <w:highlight w:val="none"/>
              </w:rPr>
            </w:pPr>
            <w:r>
              <w:rPr>
                <w:rFonts w:ascii="宋体" w:hAnsi="宋体" w:cs="宋体"/>
                <w:color w:val="auto"/>
                <w:highlight w:val="none"/>
              </w:rPr>
              <w:t>10</w:t>
            </w:r>
          </w:p>
        </w:tc>
        <w:tc>
          <w:tcPr>
            <w:tcW w:w="4252" w:type="dxa"/>
          </w:tcPr>
          <w:p w14:paraId="5E036C75">
            <w:pPr>
              <w:shd w:val="clear"/>
              <w:spacing w:line="360" w:lineRule="auto"/>
              <w:jc w:val="center"/>
              <w:rPr>
                <w:rFonts w:hint="eastAsia" w:ascii="宋体" w:hAnsi="宋体" w:cs="宋体"/>
                <w:color w:val="auto"/>
                <w:highlight w:val="none"/>
              </w:rPr>
            </w:pPr>
            <w:r>
              <w:rPr>
                <w:rFonts w:ascii="宋体" w:hAnsi="宋体" w:cs="宋体"/>
                <w:color w:val="auto"/>
                <w:highlight w:val="none"/>
              </w:rPr>
              <w:t>激光测距仪</w:t>
            </w:r>
          </w:p>
        </w:tc>
        <w:tc>
          <w:tcPr>
            <w:tcW w:w="2410" w:type="dxa"/>
          </w:tcPr>
          <w:p w14:paraId="4464B173">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2877D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05875217">
            <w:pPr>
              <w:shd w:val="clear"/>
              <w:spacing w:line="360" w:lineRule="auto"/>
              <w:jc w:val="center"/>
              <w:rPr>
                <w:rFonts w:hint="eastAsia" w:ascii="宋体" w:hAnsi="宋体" w:cs="宋体"/>
                <w:color w:val="auto"/>
                <w:highlight w:val="none"/>
              </w:rPr>
            </w:pPr>
            <w:r>
              <w:rPr>
                <w:rFonts w:ascii="宋体" w:hAnsi="宋体" w:cs="宋体"/>
                <w:color w:val="auto"/>
                <w:highlight w:val="none"/>
              </w:rPr>
              <w:t>11</w:t>
            </w:r>
          </w:p>
        </w:tc>
        <w:tc>
          <w:tcPr>
            <w:tcW w:w="4252" w:type="dxa"/>
          </w:tcPr>
          <w:p w14:paraId="3364F707">
            <w:pPr>
              <w:shd w:val="clear"/>
              <w:spacing w:line="360" w:lineRule="auto"/>
              <w:jc w:val="center"/>
              <w:rPr>
                <w:rFonts w:hint="eastAsia" w:ascii="宋体" w:hAnsi="宋体" w:cs="宋体"/>
                <w:color w:val="auto"/>
                <w:highlight w:val="none"/>
              </w:rPr>
            </w:pPr>
            <w:r>
              <w:rPr>
                <w:rFonts w:ascii="宋体" w:hAnsi="宋体" w:cs="宋体"/>
                <w:color w:val="auto"/>
                <w:highlight w:val="none"/>
              </w:rPr>
              <w:t>混凝土保护层测定仪</w:t>
            </w:r>
          </w:p>
        </w:tc>
        <w:tc>
          <w:tcPr>
            <w:tcW w:w="2410" w:type="dxa"/>
          </w:tcPr>
          <w:p w14:paraId="436583A3">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30FC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7B1663B">
            <w:pPr>
              <w:shd w:val="clear"/>
              <w:spacing w:line="360" w:lineRule="auto"/>
              <w:jc w:val="center"/>
              <w:rPr>
                <w:rFonts w:hint="eastAsia" w:ascii="宋体" w:hAnsi="宋体" w:cs="宋体"/>
                <w:color w:val="auto"/>
                <w:highlight w:val="none"/>
              </w:rPr>
            </w:pPr>
            <w:r>
              <w:rPr>
                <w:rFonts w:ascii="宋体" w:hAnsi="宋体" w:cs="宋体"/>
                <w:color w:val="auto"/>
                <w:highlight w:val="none"/>
              </w:rPr>
              <w:t>12</w:t>
            </w:r>
          </w:p>
        </w:tc>
        <w:tc>
          <w:tcPr>
            <w:tcW w:w="4252" w:type="dxa"/>
          </w:tcPr>
          <w:p w14:paraId="0BAB9205">
            <w:pPr>
              <w:shd w:val="clear"/>
              <w:spacing w:line="360" w:lineRule="auto"/>
              <w:jc w:val="center"/>
              <w:rPr>
                <w:rFonts w:hint="eastAsia" w:ascii="宋体" w:hAnsi="宋体" w:cs="宋体"/>
                <w:color w:val="auto"/>
                <w:highlight w:val="none"/>
              </w:rPr>
            </w:pPr>
            <w:r>
              <w:rPr>
                <w:rFonts w:ascii="宋体" w:hAnsi="宋体" w:cs="宋体"/>
                <w:color w:val="auto"/>
                <w:highlight w:val="none"/>
              </w:rPr>
              <w:t>钢筋位置测定仪</w:t>
            </w:r>
          </w:p>
        </w:tc>
        <w:tc>
          <w:tcPr>
            <w:tcW w:w="2410" w:type="dxa"/>
          </w:tcPr>
          <w:p w14:paraId="500D8037">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1D6A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649B6D7F">
            <w:pPr>
              <w:shd w:val="clear"/>
              <w:spacing w:line="360" w:lineRule="auto"/>
              <w:jc w:val="center"/>
              <w:rPr>
                <w:rFonts w:hint="eastAsia" w:ascii="宋体" w:hAnsi="宋体" w:cs="宋体"/>
                <w:color w:val="auto"/>
                <w:highlight w:val="none"/>
              </w:rPr>
            </w:pPr>
            <w:r>
              <w:rPr>
                <w:rFonts w:ascii="宋体" w:hAnsi="宋体" w:cs="宋体"/>
                <w:color w:val="auto"/>
                <w:highlight w:val="none"/>
              </w:rPr>
              <w:t>13</w:t>
            </w:r>
          </w:p>
        </w:tc>
        <w:tc>
          <w:tcPr>
            <w:tcW w:w="4252" w:type="dxa"/>
          </w:tcPr>
          <w:p w14:paraId="39C47DF9">
            <w:pPr>
              <w:shd w:val="clear"/>
              <w:spacing w:line="360" w:lineRule="auto"/>
              <w:jc w:val="center"/>
              <w:rPr>
                <w:rFonts w:hint="eastAsia" w:ascii="宋体" w:hAnsi="宋体" w:cs="宋体"/>
                <w:color w:val="auto"/>
                <w:highlight w:val="none"/>
              </w:rPr>
            </w:pPr>
            <w:r>
              <w:rPr>
                <w:rFonts w:ascii="宋体" w:hAnsi="宋体" w:cs="宋体"/>
                <w:color w:val="auto"/>
                <w:highlight w:val="none"/>
              </w:rPr>
              <w:t>测厚仪</w:t>
            </w:r>
          </w:p>
        </w:tc>
        <w:tc>
          <w:tcPr>
            <w:tcW w:w="2410" w:type="dxa"/>
          </w:tcPr>
          <w:p w14:paraId="42219552">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4B0E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0F117A99">
            <w:pPr>
              <w:shd w:val="clear"/>
              <w:spacing w:line="360" w:lineRule="auto"/>
              <w:jc w:val="center"/>
              <w:rPr>
                <w:rFonts w:hint="eastAsia" w:ascii="宋体" w:hAnsi="宋体" w:cs="宋体"/>
                <w:color w:val="auto"/>
                <w:highlight w:val="none"/>
              </w:rPr>
            </w:pPr>
            <w:r>
              <w:rPr>
                <w:rFonts w:ascii="宋体" w:hAnsi="宋体" w:cs="宋体"/>
                <w:color w:val="auto"/>
                <w:highlight w:val="none"/>
              </w:rPr>
              <w:t>14</w:t>
            </w:r>
          </w:p>
        </w:tc>
        <w:tc>
          <w:tcPr>
            <w:tcW w:w="4252" w:type="dxa"/>
          </w:tcPr>
          <w:p w14:paraId="2C98F190">
            <w:pPr>
              <w:shd w:val="clear"/>
              <w:spacing w:line="360" w:lineRule="auto"/>
              <w:jc w:val="center"/>
              <w:rPr>
                <w:rFonts w:hint="eastAsia" w:ascii="宋体" w:hAnsi="宋体" w:cs="宋体"/>
                <w:color w:val="auto"/>
                <w:highlight w:val="none"/>
              </w:rPr>
            </w:pPr>
            <w:r>
              <w:rPr>
                <w:rFonts w:ascii="宋体" w:hAnsi="宋体" w:cs="宋体"/>
                <w:color w:val="auto"/>
                <w:highlight w:val="none"/>
              </w:rPr>
              <w:t>测漏电电阻仪</w:t>
            </w:r>
          </w:p>
        </w:tc>
        <w:tc>
          <w:tcPr>
            <w:tcW w:w="2410" w:type="dxa"/>
          </w:tcPr>
          <w:p w14:paraId="0277DAB6">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27E1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746ED6">
            <w:pPr>
              <w:shd w:val="clear"/>
              <w:spacing w:line="360" w:lineRule="auto"/>
              <w:jc w:val="center"/>
              <w:rPr>
                <w:rFonts w:hint="eastAsia" w:ascii="宋体" w:hAnsi="宋体" w:cs="宋体"/>
                <w:color w:val="auto"/>
                <w:highlight w:val="none"/>
              </w:rPr>
            </w:pPr>
            <w:r>
              <w:rPr>
                <w:rFonts w:ascii="宋体" w:hAnsi="宋体" w:cs="宋体"/>
                <w:color w:val="auto"/>
                <w:highlight w:val="none"/>
              </w:rPr>
              <w:t>15</w:t>
            </w:r>
          </w:p>
        </w:tc>
        <w:tc>
          <w:tcPr>
            <w:tcW w:w="4252" w:type="dxa"/>
          </w:tcPr>
          <w:p w14:paraId="5FCD0A91">
            <w:pPr>
              <w:shd w:val="clear"/>
              <w:spacing w:line="360" w:lineRule="auto"/>
              <w:jc w:val="center"/>
              <w:rPr>
                <w:rFonts w:hint="eastAsia" w:ascii="宋体" w:hAnsi="宋体" w:cs="宋体"/>
                <w:color w:val="auto"/>
                <w:highlight w:val="none"/>
              </w:rPr>
            </w:pPr>
            <w:r>
              <w:rPr>
                <w:rFonts w:ascii="宋体" w:hAnsi="宋体" w:cs="宋体"/>
                <w:color w:val="auto"/>
                <w:highlight w:val="none"/>
              </w:rPr>
              <w:t>电秒表</w:t>
            </w:r>
          </w:p>
        </w:tc>
        <w:tc>
          <w:tcPr>
            <w:tcW w:w="2410" w:type="dxa"/>
          </w:tcPr>
          <w:p w14:paraId="581B3C35">
            <w:pPr>
              <w:shd w:val="clear"/>
              <w:spacing w:line="360" w:lineRule="auto"/>
              <w:jc w:val="center"/>
              <w:rPr>
                <w:rFonts w:hint="eastAsia" w:ascii="宋体" w:hAnsi="宋体" w:cs="宋体"/>
                <w:color w:val="auto"/>
                <w:highlight w:val="none"/>
              </w:rPr>
            </w:pPr>
            <w:r>
              <w:rPr>
                <w:rFonts w:ascii="宋体" w:hAnsi="宋体" w:cs="宋体"/>
                <w:color w:val="auto"/>
                <w:highlight w:val="none"/>
              </w:rPr>
              <w:t>1 只</w:t>
            </w:r>
          </w:p>
        </w:tc>
      </w:tr>
      <w:tr w14:paraId="7AAA3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17D53E35">
            <w:pPr>
              <w:shd w:val="clear"/>
              <w:spacing w:line="360" w:lineRule="auto"/>
              <w:jc w:val="center"/>
              <w:rPr>
                <w:rFonts w:hint="eastAsia" w:ascii="宋体" w:hAnsi="宋体" w:cs="宋体"/>
                <w:color w:val="auto"/>
                <w:highlight w:val="none"/>
              </w:rPr>
            </w:pPr>
            <w:r>
              <w:rPr>
                <w:rFonts w:ascii="宋体" w:hAnsi="宋体" w:cs="宋体"/>
                <w:color w:val="auto"/>
                <w:highlight w:val="none"/>
              </w:rPr>
              <w:t>16</w:t>
            </w:r>
          </w:p>
        </w:tc>
        <w:tc>
          <w:tcPr>
            <w:tcW w:w="4252" w:type="dxa"/>
          </w:tcPr>
          <w:p w14:paraId="6AC03B96">
            <w:pPr>
              <w:shd w:val="clear"/>
              <w:spacing w:line="360" w:lineRule="auto"/>
              <w:jc w:val="center"/>
              <w:rPr>
                <w:rFonts w:hint="eastAsia" w:ascii="宋体" w:hAnsi="宋体" w:cs="宋体"/>
                <w:color w:val="auto"/>
                <w:highlight w:val="none"/>
              </w:rPr>
            </w:pPr>
            <w:r>
              <w:rPr>
                <w:rFonts w:ascii="宋体" w:hAnsi="宋体" w:cs="宋体"/>
                <w:color w:val="auto"/>
                <w:highlight w:val="none"/>
              </w:rPr>
              <w:t>三相电源检测器</w:t>
            </w:r>
          </w:p>
        </w:tc>
        <w:tc>
          <w:tcPr>
            <w:tcW w:w="2410" w:type="dxa"/>
          </w:tcPr>
          <w:p w14:paraId="6BBADC81">
            <w:pPr>
              <w:shd w:val="clear"/>
              <w:spacing w:line="360" w:lineRule="auto"/>
              <w:jc w:val="center"/>
              <w:rPr>
                <w:rFonts w:hint="eastAsia" w:ascii="宋体" w:hAnsi="宋体" w:cs="宋体"/>
                <w:color w:val="auto"/>
                <w:highlight w:val="none"/>
              </w:rPr>
            </w:pPr>
            <w:r>
              <w:rPr>
                <w:rFonts w:ascii="宋体" w:hAnsi="宋体" w:cs="宋体"/>
                <w:color w:val="auto"/>
                <w:highlight w:val="none"/>
              </w:rPr>
              <w:t>1 只</w:t>
            </w:r>
          </w:p>
        </w:tc>
      </w:tr>
      <w:tr w14:paraId="1494F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6F83A706">
            <w:pPr>
              <w:shd w:val="clear"/>
              <w:spacing w:line="360" w:lineRule="auto"/>
              <w:jc w:val="center"/>
              <w:rPr>
                <w:rFonts w:hint="eastAsia" w:ascii="宋体" w:hAnsi="宋体" w:cs="宋体"/>
                <w:color w:val="auto"/>
                <w:highlight w:val="none"/>
              </w:rPr>
            </w:pPr>
            <w:r>
              <w:rPr>
                <w:rFonts w:ascii="宋体" w:hAnsi="宋体" w:cs="宋体"/>
                <w:color w:val="auto"/>
                <w:highlight w:val="none"/>
              </w:rPr>
              <w:t>17</w:t>
            </w:r>
          </w:p>
        </w:tc>
        <w:tc>
          <w:tcPr>
            <w:tcW w:w="4252" w:type="dxa"/>
          </w:tcPr>
          <w:p w14:paraId="28AB7835">
            <w:pPr>
              <w:shd w:val="clear"/>
              <w:spacing w:line="360" w:lineRule="auto"/>
              <w:jc w:val="center"/>
              <w:rPr>
                <w:rFonts w:hint="eastAsia" w:ascii="宋体" w:hAnsi="宋体" w:cs="宋体"/>
                <w:color w:val="auto"/>
                <w:highlight w:val="none"/>
              </w:rPr>
            </w:pPr>
            <w:r>
              <w:rPr>
                <w:rFonts w:ascii="宋体" w:hAnsi="宋体" w:cs="宋体"/>
                <w:color w:val="auto"/>
                <w:highlight w:val="none"/>
              </w:rPr>
              <w:t>兆欧表</w:t>
            </w:r>
          </w:p>
        </w:tc>
        <w:tc>
          <w:tcPr>
            <w:tcW w:w="2410" w:type="dxa"/>
          </w:tcPr>
          <w:p w14:paraId="552F59CD">
            <w:pPr>
              <w:shd w:val="clear"/>
              <w:spacing w:line="360" w:lineRule="auto"/>
              <w:jc w:val="center"/>
              <w:rPr>
                <w:rFonts w:hint="eastAsia" w:ascii="宋体" w:hAnsi="宋体" w:cs="宋体"/>
                <w:color w:val="auto"/>
                <w:highlight w:val="none"/>
              </w:rPr>
            </w:pPr>
            <w:r>
              <w:rPr>
                <w:rFonts w:ascii="宋体" w:hAnsi="宋体" w:cs="宋体"/>
                <w:color w:val="auto"/>
                <w:highlight w:val="none"/>
              </w:rPr>
              <w:t>1 只</w:t>
            </w:r>
          </w:p>
        </w:tc>
      </w:tr>
      <w:tr w14:paraId="67C7E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0FEC847">
            <w:pPr>
              <w:shd w:val="clear"/>
              <w:spacing w:line="360" w:lineRule="auto"/>
              <w:jc w:val="center"/>
              <w:rPr>
                <w:rFonts w:hint="eastAsia" w:ascii="宋体" w:hAnsi="宋体" w:cs="宋体"/>
                <w:color w:val="auto"/>
                <w:highlight w:val="none"/>
              </w:rPr>
            </w:pPr>
            <w:r>
              <w:rPr>
                <w:rFonts w:ascii="宋体" w:hAnsi="宋体" w:cs="宋体"/>
                <w:color w:val="auto"/>
                <w:highlight w:val="none"/>
              </w:rPr>
              <w:t>18</w:t>
            </w:r>
          </w:p>
        </w:tc>
        <w:tc>
          <w:tcPr>
            <w:tcW w:w="4252" w:type="dxa"/>
          </w:tcPr>
          <w:p w14:paraId="395611ED">
            <w:pPr>
              <w:shd w:val="clear"/>
              <w:spacing w:line="360" w:lineRule="auto"/>
              <w:jc w:val="center"/>
              <w:rPr>
                <w:rFonts w:hint="eastAsia" w:ascii="宋体" w:hAnsi="宋体" w:cs="宋体"/>
                <w:color w:val="auto"/>
                <w:highlight w:val="none"/>
              </w:rPr>
            </w:pPr>
            <w:r>
              <w:rPr>
                <w:rFonts w:ascii="宋体" w:hAnsi="宋体" w:cs="宋体"/>
                <w:color w:val="auto"/>
                <w:highlight w:val="none"/>
              </w:rPr>
              <w:t>管道压力表</w:t>
            </w:r>
          </w:p>
        </w:tc>
        <w:tc>
          <w:tcPr>
            <w:tcW w:w="2410" w:type="dxa"/>
          </w:tcPr>
          <w:p w14:paraId="35FA8B89">
            <w:pPr>
              <w:shd w:val="clear"/>
              <w:spacing w:line="360" w:lineRule="auto"/>
              <w:jc w:val="center"/>
              <w:rPr>
                <w:rFonts w:hint="eastAsia" w:ascii="宋体" w:hAnsi="宋体" w:cs="宋体"/>
                <w:color w:val="auto"/>
                <w:highlight w:val="none"/>
              </w:rPr>
            </w:pPr>
            <w:r>
              <w:rPr>
                <w:rFonts w:ascii="宋体" w:hAnsi="宋体" w:cs="宋体"/>
                <w:color w:val="auto"/>
                <w:highlight w:val="none"/>
              </w:rPr>
              <w:t>1 只</w:t>
            </w:r>
          </w:p>
        </w:tc>
      </w:tr>
      <w:tr w14:paraId="76A8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B62226F">
            <w:pPr>
              <w:shd w:val="clear"/>
              <w:spacing w:line="360" w:lineRule="auto"/>
              <w:jc w:val="center"/>
              <w:rPr>
                <w:rFonts w:hint="eastAsia" w:ascii="宋体" w:hAnsi="宋体" w:cs="宋体"/>
                <w:color w:val="auto"/>
                <w:highlight w:val="none"/>
              </w:rPr>
            </w:pPr>
            <w:r>
              <w:rPr>
                <w:rFonts w:ascii="宋体" w:hAnsi="宋体" w:cs="宋体"/>
                <w:color w:val="auto"/>
                <w:highlight w:val="none"/>
              </w:rPr>
              <w:t>19</w:t>
            </w:r>
          </w:p>
        </w:tc>
        <w:tc>
          <w:tcPr>
            <w:tcW w:w="4252" w:type="dxa"/>
          </w:tcPr>
          <w:p w14:paraId="7ECFF3E8">
            <w:pPr>
              <w:shd w:val="clear"/>
              <w:spacing w:line="360" w:lineRule="auto"/>
              <w:jc w:val="center"/>
              <w:rPr>
                <w:rFonts w:hint="eastAsia" w:ascii="宋体" w:hAnsi="宋体" w:cs="宋体"/>
                <w:color w:val="auto"/>
                <w:highlight w:val="none"/>
              </w:rPr>
            </w:pPr>
            <w:r>
              <w:rPr>
                <w:rFonts w:ascii="宋体" w:hAnsi="宋体" w:cs="宋体"/>
                <w:color w:val="auto"/>
                <w:highlight w:val="none"/>
              </w:rPr>
              <w:t>万用表</w:t>
            </w:r>
          </w:p>
        </w:tc>
        <w:tc>
          <w:tcPr>
            <w:tcW w:w="2410" w:type="dxa"/>
          </w:tcPr>
          <w:p w14:paraId="0ACD0797">
            <w:pPr>
              <w:shd w:val="clear"/>
              <w:spacing w:line="360" w:lineRule="auto"/>
              <w:jc w:val="center"/>
              <w:rPr>
                <w:rFonts w:hint="eastAsia" w:ascii="宋体" w:hAnsi="宋体" w:cs="宋体"/>
                <w:color w:val="auto"/>
                <w:highlight w:val="none"/>
              </w:rPr>
            </w:pPr>
            <w:r>
              <w:rPr>
                <w:rFonts w:ascii="宋体" w:hAnsi="宋体" w:cs="宋体"/>
                <w:color w:val="auto"/>
                <w:highlight w:val="none"/>
              </w:rPr>
              <w:t>1 只</w:t>
            </w:r>
          </w:p>
        </w:tc>
      </w:tr>
      <w:tr w14:paraId="6A4EB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49867ACA">
            <w:pPr>
              <w:shd w:val="clear"/>
              <w:spacing w:line="360" w:lineRule="auto"/>
              <w:jc w:val="center"/>
              <w:rPr>
                <w:rFonts w:hint="eastAsia" w:ascii="宋体" w:hAnsi="宋体" w:cs="宋体"/>
                <w:color w:val="auto"/>
                <w:highlight w:val="none"/>
              </w:rPr>
            </w:pPr>
            <w:r>
              <w:rPr>
                <w:rFonts w:ascii="宋体" w:hAnsi="宋体" w:cs="宋体"/>
                <w:color w:val="auto"/>
                <w:highlight w:val="none"/>
              </w:rPr>
              <w:t>20</w:t>
            </w:r>
          </w:p>
        </w:tc>
        <w:tc>
          <w:tcPr>
            <w:tcW w:w="4252" w:type="dxa"/>
          </w:tcPr>
          <w:p w14:paraId="47217485">
            <w:pPr>
              <w:shd w:val="clear"/>
              <w:spacing w:line="360" w:lineRule="auto"/>
              <w:jc w:val="center"/>
              <w:rPr>
                <w:rFonts w:hint="eastAsia" w:ascii="宋体" w:hAnsi="宋体" w:cs="宋体"/>
                <w:color w:val="auto"/>
                <w:highlight w:val="none"/>
              </w:rPr>
            </w:pPr>
            <w:r>
              <w:rPr>
                <w:rFonts w:ascii="宋体" w:hAnsi="宋体" w:cs="宋体"/>
                <w:color w:val="auto"/>
                <w:highlight w:val="none"/>
              </w:rPr>
              <w:t>50m 钢卷尺</w:t>
            </w:r>
          </w:p>
        </w:tc>
        <w:tc>
          <w:tcPr>
            <w:tcW w:w="2410" w:type="dxa"/>
          </w:tcPr>
          <w:p w14:paraId="697FE3B0">
            <w:pPr>
              <w:shd w:val="clear"/>
              <w:spacing w:line="360" w:lineRule="auto"/>
              <w:jc w:val="center"/>
              <w:rPr>
                <w:rFonts w:hint="eastAsia" w:ascii="宋体" w:hAnsi="宋体" w:cs="宋体"/>
                <w:color w:val="auto"/>
                <w:highlight w:val="none"/>
              </w:rPr>
            </w:pPr>
            <w:r>
              <w:rPr>
                <w:rFonts w:ascii="宋体" w:hAnsi="宋体" w:cs="宋体"/>
                <w:color w:val="auto"/>
                <w:highlight w:val="none"/>
              </w:rPr>
              <w:t>2 支</w:t>
            </w:r>
          </w:p>
        </w:tc>
      </w:tr>
      <w:tr w14:paraId="30436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6961C2A2">
            <w:pPr>
              <w:shd w:val="clear"/>
              <w:spacing w:line="360" w:lineRule="auto"/>
              <w:jc w:val="center"/>
              <w:rPr>
                <w:rFonts w:hint="eastAsia" w:ascii="宋体" w:hAnsi="宋体" w:cs="宋体"/>
                <w:color w:val="auto"/>
                <w:highlight w:val="none"/>
              </w:rPr>
            </w:pPr>
            <w:r>
              <w:rPr>
                <w:rFonts w:ascii="宋体" w:hAnsi="宋体" w:cs="宋体"/>
                <w:color w:val="auto"/>
                <w:highlight w:val="none"/>
              </w:rPr>
              <w:t>21</w:t>
            </w:r>
          </w:p>
        </w:tc>
        <w:tc>
          <w:tcPr>
            <w:tcW w:w="4252" w:type="dxa"/>
          </w:tcPr>
          <w:p w14:paraId="6674B177">
            <w:pPr>
              <w:shd w:val="clear"/>
              <w:spacing w:line="360" w:lineRule="auto"/>
              <w:jc w:val="center"/>
              <w:rPr>
                <w:rFonts w:hint="eastAsia" w:ascii="宋体" w:hAnsi="宋体" w:cs="宋体"/>
                <w:color w:val="auto"/>
                <w:highlight w:val="none"/>
              </w:rPr>
            </w:pPr>
            <w:r>
              <w:rPr>
                <w:rFonts w:ascii="宋体" w:hAnsi="宋体" w:cs="宋体"/>
                <w:color w:val="auto"/>
                <w:highlight w:val="none"/>
              </w:rPr>
              <w:t>电子游标卡尺</w:t>
            </w:r>
          </w:p>
        </w:tc>
        <w:tc>
          <w:tcPr>
            <w:tcW w:w="2410" w:type="dxa"/>
          </w:tcPr>
          <w:p w14:paraId="25C922A9">
            <w:pPr>
              <w:shd w:val="clear"/>
              <w:spacing w:line="360" w:lineRule="auto"/>
              <w:jc w:val="center"/>
              <w:rPr>
                <w:rFonts w:hint="eastAsia" w:ascii="宋体" w:hAnsi="宋体" w:cs="宋体"/>
                <w:color w:val="auto"/>
                <w:highlight w:val="none"/>
              </w:rPr>
            </w:pPr>
            <w:r>
              <w:rPr>
                <w:rFonts w:ascii="宋体" w:hAnsi="宋体" w:cs="宋体"/>
                <w:color w:val="auto"/>
                <w:highlight w:val="none"/>
              </w:rPr>
              <w:t>1 支</w:t>
            </w:r>
          </w:p>
        </w:tc>
      </w:tr>
      <w:tr w14:paraId="7D7F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5D0C6B3">
            <w:pPr>
              <w:shd w:val="clear"/>
              <w:spacing w:line="360" w:lineRule="auto"/>
              <w:jc w:val="center"/>
              <w:rPr>
                <w:rFonts w:hint="eastAsia" w:ascii="宋体" w:hAnsi="宋体" w:cs="宋体"/>
                <w:color w:val="auto"/>
                <w:highlight w:val="none"/>
              </w:rPr>
            </w:pPr>
            <w:r>
              <w:rPr>
                <w:rFonts w:ascii="宋体" w:hAnsi="宋体" w:cs="宋体"/>
                <w:color w:val="auto"/>
                <w:highlight w:val="none"/>
              </w:rPr>
              <w:t>22</w:t>
            </w:r>
          </w:p>
        </w:tc>
        <w:tc>
          <w:tcPr>
            <w:tcW w:w="4252" w:type="dxa"/>
          </w:tcPr>
          <w:p w14:paraId="55639060">
            <w:pPr>
              <w:shd w:val="clear"/>
              <w:spacing w:line="360" w:lineRule="auto"/>
              <w:jc w:val="center"/>
              <w:rPr>
                <w:rFonts w:hint="eastAsia" w:ascii="宋体" w:hAnsi="宋体" w:cs="宋体"/>
                <w:color w:val="auto"/>
                <w:highlight w:val="none"/>
              </w:rPr>
            </w:pPr>
            <w:r>
              <w:rPr>
                <w:rFonts w:ascii="宋体" w:hAnsi="宋体" w:cs="宋体"/>
                <w:color w:val="auto"/>
                <w:highlight w:val="none"/>
              </w:rPr>
              <w:t>千分卡尺</w:t>
            </w:r>
          </w:p>
        </w:tc>
        <w:tc>
          <w:tcPr>
            <w:tcW w:w="2410" w:type="dxa"/>
          </w:tcPr>
          <w:p w14:paraId="67A69A6C">
            <w:pPr>
              <w:shd w:val="clear"/>
              <w:spacing w:line="360" w:lineRule="auto"/>
              <w:jc w:val="center"/>
              <w:rPr>
                <w:rFonts w:hint="eastAsia" w:ascii="宋体" w:hAnsi="宋体" w:cs="宋体"/>
                <w:color w:val="auto"/>
                <w:highlight w:val="none"/>
              </w:rPr>
            </w:pPr>
            <w:r>
              <w:rPr>
                <w:rFonts w:ascii="宋体" w:hAnsi="宋体" w:cs="宋体"/>
                <w:color w:val="auto"/>
                <w:highlight w:val="none"/>
              </w:rPr>
              <w:t>1 支</w:t>
            </w:r>
          </w:p>
        </w:tc>
      </w:tr>
      <w:tr w14:paraId="7E5E7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115AD58D">
            <w:pPr>
              <w:shd w:val="clear"/>
              <w:spacing w:line="360" w:lineRule="auto"/>
              <w:jc w:val="center"/>
              <w:rPr>
                <w:rFonts w:hint="eastAsia" w:ascii="宋体" w:hAnsi="宋体" w:cs="宋体"/>
                <w:color w:val="auto"/>
                <w:highlight w:val="none"/>
              </w:rPr>
            </w:pPr>
            <w:r>
              <w:rPr>
                <w:rFonts w:ascii="宋体" w:hAnsi="宋体" w:cs="宋体"/>
                <w:color w:val="auto"/>
                <w:highlight w:val="none"/>
              </w:rPr>
              <w:t>23</w:t>
            </w:r>
          </w:p>
        </w:tc>
        <w:tc>
          <w:tcPr>
            <w:tcW w:w="4252" w:type="dxa"/>
          </w:tcPr>
          <w:p w14:paraId="64BF4847">
            <w:pPr>
              <w:shd w:val="clear"/>
              <w:spacing w:line="360" w:lineRule="auto"/>
              <w:jc w:val="center"/>
              <w:rPr>
                <w:rFonts w:hint="eastAsia" w:ascii="宋体" w:hAnsi="宋体" w:cs="宋体"/>
                <w:color w:val="auto"/>
                <w:highlight w:val="none"/>
              </w:rPr>
            </w:pPr>
            <w:r>
              <w:rPr>
                <w:rFonts w:ascii="宋体" w:hAnsi="宋体" w:cs="宋体"/>
                <w:color w:val="auto"/>
                <w:highlight w:val="none"/>
              </w:rPr>
              <w:t>信息点检测仪</w:t>
            </w:r>
          </w:p>
        </w:tc>
        <w:tc>
          <w:tcPr>
            <w:tcW w:w="2410" w:type="dxa"/>
          </w:tcPr>
          <w:p w14:paraId="1944C5A1">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2439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26" w:type="dxa"/>
          </w:tcPr>
          <w:p w14:paraId="0853D263">
            <w:pPr>
              <w:shd w:val="clear"/>
              <w:spacing w:line="360" w:lineRule="auto"/>
              <w:jc w:val="center"/>
              <w:rPr>
                <w:rFonts w:hint="eastAsia" w:ascii="宋体" w:hAnsi="宋体" w:cs="宋体"/>
                <w:color w:val="auto"/>
                <w:highlight w:val="none"/>
              </w:rPr>
            </w:pPr>
            <w:r>
              <w:rPr>
                <w:rFonts w:ascii="宋体" w:hAnsi="宋体" w:cs="宋体"/>
                <w:color w:val="auto"/>
                <w:highlight w:val="none"/>
              </w:rPr>
              <w:t>24</w:t>
            </w:r>
          </w:p>
        </w:tc>
        <w:tc>
          <w:tcPr>
            <w:tcW w:w="4252" w:type="dxa"/>
          </w:tcPr>
          <w:p w14:paraId="12BACE59">
            <w:pPr>
              <w:shd w:val="clear"/>
              <w:spacing w:line="360" w:lineRule="auto"/>
              <w:jc w:val="center"/>
              <w:rPr>
                <w:rFonts w:hint="eastAsia" w:ascii="宋体" w:hAnsi="宋体" w:cs="宋体"/>
                <w:color w:val="auto"/>
                <w:highlight w:val="none"/>
              </w:rPr>
            </w:pPr>
            <w:r>
              <w:rPr>
                <w:rFonts w:ascii="宋体" w:hAnsi="宋体" w:cs="宋体"/>
                <w:color w:val="auto"/>
                <w:highlight w:val="none"/>
              </w:rPr>
              <w:t>笔记本电脑</w:t>
            </w:r>
          </w:p>
        </w:tc>
        <w:tc>
          <w:tcPr>
            <w:tcW w:w="2410" w:type="dxa"/>
          </w:tcPr>
          <w:p w14:paraId="238AF085">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000F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5AE15705">
            <w:pPr>
              <w:shd w:val="clear"/>
              <w:spacing w:line="360" w:lineRule="auto"/>
              <w:jc w:val="center"/>
              <w:rPr>
                <w:rFonts w:hint="eastAsia" w:ascii="宋体" w:hAnsi="宋体" w:cs="宋体"/>
                <w:color w:val="auto"/>
                <w:highlight w:val="none"/>
              </w:rPr>
            </w:pPr>
            <w:r>
              <w:rPr>
                <w:rFonts w:ascii="宋体" w:hAnsi="宋体" w:cs="宋体"/>
                <w:color w:val="auto"/>
                <w:highlight w:val="none"/>
              </w:rPr>
              <w:t>25</w:t>
            </w:r>
          </w:p>
        </w:tc>
        <w:tc>
          <w:tcPr>
            <w:tcW w:w="4252" w:type="dxa"/>
          </w:tcPr>
          <w:p w14:paraId="11D42FDD">
            <w:pPr>
              <w:shd w:val="clear"/>
              <w:spacing w:line="360" w:lineRule="auto"/>
              <w:jc w:val="center"/>
              <w:rPr>
                <w:rFonts w:hint="eastAsia" w:ascii="宋体" w:hAnsi="宋体" w:cs="宋体"/>
                <w:color w:val="auto"/>
                <w:highlight w:val="none"/>
              </w:rPr>
            </w:pPr>
            <w:r>
              <w:rPr>
                <w:rFonts w:ascii="宋体" w:hAnsi="宋体" w:cs="宋体"/>
                <w:color w:val="auto"/>
                <w:highlight w:val="none"/>
              </w:rPr>
              <w:t>打印机</w:t>
            </w:r>
          </w:p>
        </w:tc>
        <w:tc>
          <w:tcPr>
            <w:tcW w:w="2410" w:type="dxa"/>
          </w:tcPr>
          <w:p w14:paraId="143CEAFC">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r w14:paraId="4C7A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6BD975E7">
            <w:pPr>
              <w:shd w:val="clear"/>
              <w:spacing w:line="360" w:lineRule="auto"/>
              <w:jc w:val="center"/>
              <w:rPr>
                <w:rFonts w:hint="eastAsia" w:ascii="宋体" w:hAnsi="宋体" w:cs="宋体"/>
                <w:color w:val="auto"/>
                <w:highlight w:val="none"/>
              </w:rPr>
            </w:pPr>
            <w:r>
              <w:rPr>
                <w:rFonts w:ascii="宋体" w:hAnsi="宋体" w:cs="宋体"/>
                <w:color w:val="auto"/>
                <w:highlight w:val="none"/>
              </w:rPr>
              <w:t>26</w:t>
            </w:r>
          </w:p>
        </w:tc>
        <w:tc>
          <w:tcPr>
            <w:tcW w:w="4252" w:type="dxa"/>
          </w:tcPr>
          <w:p w14:paraId="108D0C3E">
            <w:pPr>
              <w:shd w:val="clear"/>
              <w:spacing w:line="360" w:lineRule="auto"/>
              <w:jc w:val="center"/>
              <w:rPr>
                <w:rFonts w:hint="eastAsia" w:ascii="宋体" w:hAnsi="宋体" w:cs="宋体"/>
                <w:color w:val="auto"/>
                <w:highlight w:val="none"/>
              </w:rPr>
            </w:pPr>
            <w:r>
              <w:rPr>
                <w:rFonts w:ascii="宋体" w:hAnsi="宋体" w:cs="宋体"/>
                <w:color w:val="auto"/>
                <w:highlight w:val="none"/>
              </w:rPr>
              <w:t>数码照相机</w:t>
            </w:r>
          </w:p>
        </w:tc>
        <w:tc>
          <w:tcPr>
            <w:tcW w:w="2410" w:type="dxa"/>
          </w:tcPr>
          <w:p w14:paraId="0E1B683D">
            <w:pPr>
              <w:shd w:val="clear"/>
              <w:spacing w:line="360" w:lineRule="auto"/>
              <w:jc w:val="center"/>
              <w:rPr>
                <w:rFonts w:hint="eastAsia" w:ascii="宋体" w:hAnsi="宋体" w:cs="宋体"/>
                <w:color w:val="auto"/>
                <w:highlight w:val="none"/>
              </w:rPr>
            </w:pPr>
            <w:r>
              <w:rPr>
                <w:rFonts w:ascii="宋体" w:hAnsi="宋体" w:cs="宋体"/>
                <w:color w:val="auto"/>
                <w:highlight w:val="none"/>
              </w:rPr>
              <w:t>1 台</w:t>
            </w:r>
          </w:p>
        </w:tc>
      </w:tr>
    </w:tbl>
    <w:p w14:paraId="1902CE1A">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9.8 履约保证金</w:t>
      </w:r>
    </w:p>
    <w:p w14:paraId="1BA9842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履约保证金数额</w:t>
      </w:r>
      <w:r>
        <w:rPr>
          <w:rFonts w:ascii="宋体" w:hAnsi="宋体" w:cs="宋体"/>
          <w:b/>
          <w:bCs/>
          <w:color w:val="auto"/>
          <w:highlight w:val="none"/>
          <w:u w:val="single"/>
        </w:rPr>
        <w:t>：</w:t>
      </w:r>
      <w:r>
        <w:rPr>
          <w:rFonts w:hint="eastAsia" w:ascii="宋体" w:hAnsi="宋体" w:cs="宋体"/>
          <w:b/>
          <w:bCs/>
          <w:color w:val="auto"/>
          <w:highlight w:val="none"/>
          <w:u w:val="single"/>
        </w:rPr>
        <w:t xml:space="preserve">        </w:t>
      </w:r>
      <w:r>
        <w:rPr>
          <w:rFonts w:ascii="宋体" w:hAnsi="宋体" w:cs="宋体"/>
          <w:b/>
          <w:bCs/>
          <w:color w:val="auto"/>
          <w:highlight w:val="none"/>
          <w:u w:val="single"/>
        </w:rPr>
        <w:t>元。</w:t>
      </w:r>
    </w:p>
    <w:p w14:paraId="513EA0C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u w:val="single"/>
        </w:rPr>
        <w:t>监理人须在中标通知书发出后</w:t>
      </w:r>
      <w:r>
        <w:rPr>
          <w:rFonts w:hint="eastAsia" w:ascii="宋体" w:hAnsi="宋体" w:cs="宋体"/>
          <w:color w:val="auto"/>
          <w:highlight w:val="none"/>
          <w:u w:val="single"/>
        </w:rPr>
        <w:t>30</w:t>
      </w:r>
      <w:r>
        <w:rPr>
          <w:rFonts w:ascii="宋体" w:hAnsi="宋体" w:cs="宋体"/>
          <w:color w:val="auto"/>
          <w:highlight w:val="none"/>
          <w:u w:val="single"/>
        </w:rPr>
        <w:t>日内</w:t>
      </w:r>
      <w:r>
        <w:rPr>
          <w:rFonts w:hint="eastAsia" w:ascii="宋体" w:hAnsi="宋体" w:cs="宋体"/>
          <w:color w:val="auto"/>
          <w:highlight w:val="none"/>
          <w:u w:val="single"/>
        </w:rPr>
        <w:t>，</w:t>
      </w:r>
      <w:r>
        <w:rPr>
          <w:rFonts w:ascii="宋体" w:hAnsi="宋体" w:cs="宋体"/>
          <w:color w:val="auto"/>
          <w:highlight w:val="none"/>
          <w:u w:val="single"/>
        </w:rPr>
        <w:t>合同签订前支付给委托人</w:t>
      </w:r>
      <w:r>
        <w:rPr>
          <w:rFonts w:hint="eastAsia" w:ascii="宋体" w:hAnsi="宋体" w:cs="宋体"/>
          <w:color w:val="auto"/>
          <w:highlight w:val="none"/>
          <w:u w:val="single"/>
        </w:rPr>
        <w:t>，</w:t>
      </w:r>
      <w:bookmarkStart w:id="240" w:name="_Hlk132651278"/>
      <w:r>
        <w:rPr>
          <w:rFonts w:hint="eastAsia" w:ascii="宋体" w:hAnsi="宋体" w:cs="宋体"/>
          <w:color w:val="auto"/>
          <w:highlight w:val="none"/>
          <w:u w:val="single"/>
        </w:rPr>
        <w:t>逾期</w:t>
      </w:r>
      <w:bookmarkEnd w:id="240"/>
      <w:r>
        <w:rPr>
          <w:rFonts w:hint="eastAsia" w:ascii="宋体" w:hAnsi="宋体" w:cs="宋体"/>
          <w:color w:val="auto"/>
          <w:highlight w:val="none"/>
          <w:u w:val="single"/>
        </w:rPr>
        <w:t>没收履约保证金</w:t>
      </w:r>
      <w:r>
        <w:rPr>
          <w:rFonts w:ascii="宋体" w:hAnsi="宋体" w:cs="宋体"/>
          <w:color w:val="auto"/>
          <w:highlight w:val="none"/>
          <w:u w:val="single"/>
        </w:rPr>
        <w:t xml:space="preserve">。 </w:t>
      </w:r>
    </w:p>
    <w:p w14:paraId="6AABEF3A">
      <w:pPr>
        <w:shd w:val="clear"/>
        <w:spacing w:line="360" w:lineRule="auto"/>
        <w:ind w:firstLine="422" w:firstLineChars="200"/>
        <w:rPr>
          <w:rFonts w:hint="eastAsia" w:ascii="宋体" w:hAnsi="宋体" w:cs="宋体"/>
          <w:b/>
          <w:bCs/>
          <w:color w:val="auto"/>
          <w:highlight w:val="none"/>
        </w:rPr>
      </w:pPr>
      <w:r>
        <w:rPr>
          <w:rFonts w:ascii="宋体" w:hAnsi="宋体" w:cs="宋体"/>
          <w:b/>
          <w:bCs/>
          <w:color w:val="auto"/>
          <w:highlight w:val="none"/>
        </w:rPr>
        <w:t>A、监理人违约时，对履约保证金的处理：</w:t>
      </w:r>
    </w:p>
    <w:p w14:paraId="61056F97">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(1) 因监理人原因未能按时完成工程，交付工程验收的，除履约保证金的20%不予退还外，还需承担由此带来的相应损失和费用；</w:t>
      </w:r>
    </w:p>
    <w:p w14:paraId="2896E6CC">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(2) 未能完成招标文件质量标准要求的，除履约保证金的35%不予退还外，还需承担由此带来的相应损失和费用；</w:t>
      </w:r>
    </w:p>
    <w:p w14:paraId="4020EC0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(3) 发生人员伤亡事故的，除履约保证金的35%不予退还，还需承担由此带来的相应损失和费用；</w:t>
      </w:r>
    </w:p>
    <w:p w14:paraId="4A0B090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(4) 未能完成监理资料存档、备案要求的，除履约保证金的10%不予退还外，还需承担由此带来的相应损失和费用。</w:t>
      </w:r>
    </w:p>
    <w:p w14:paraId="24654401">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(5) 监理人应采取切实措施，确保完成投标时承诺的考核目标。监理人不能实现监理大纲目标时，除全部履约保证金不予退还外，还需承担由此带来的相应损失和费用。</w:t>
      </w:r>
    </w:p>
    <w:p w14:paraId="5BEEAFA1">
      <w:pPr>
        <w:shd w:val="clear"/>
        <w:spacing w:line="360" w:lineRule="auto"/>
        <w:ind w:firstLine="422" w:firstLineChars="200"/>
        <w:rPr>
          <w:rFonts w:hint="eastAsia" w:ascii="宋体" w:hAnsi="宋体" w:cs="宋体"/>
          <w:b/>
          <w:bCs/>
          <w:color w:val="auto"/>
          <w:highlight w:val="none"/>
        </w:rPr>
      </w:pPr>
      <w:r>
        <w:rPr>
          <w:rFonts w:ascii="宋体" w:hAnsi="宋体" w:cs="宋体"/>
          <w:b/>
          <w:bCs/>
          <w:color w:val="auto"/>
          <w:highlight w:val="none"/>
        </w:rPr>
        <w:t>B、履约保证金退还时间：</w:t>
      </w:r>
    </w:p>
    <w:p w14:paraId="6ED4A873">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本工程监理合同履约保证金在本工程竣工验收合格后一次性退还。</w:t>
      </w:r>
      <w:r>
        <w:rPr>
          <w:rFonts w:ascii="宋体" w:hAnsi="宋体" w:cs="宋体"/>
          <w:color w:val="auto"/>
          <w:highlight w:val="none"/>
        </w:rPr>
        <w:br w:type="page"/>
      </w:r>
    </w:p>
    <w:p w14:paraId="6F4F325E">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附录 A 相关服务的范围和内容</w:t>
      </w:r>
    </w:p>
    <w:p w14:paraId="4C4C443F">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A-1 勘察阶段：</w:t>
      </w:r>
      <w:r>
        <w:rPr>
          <w:rFonts w:ascii="宋体" w:hAnsi="宋体" w:cs="宋体"/>
          <w:color w:val="auto"/>
          <w:highlight w:val="none"/>
          <w:u w:val="single"/>
        </w:rPr>
        <w:t xml:space="preserve">       /        </w:t>
      </w:r>
      <w:r>
        <w:rPr>
          <w:rFonts w:ascii="宋体" w:hAnsi="宋体" w:cs="宋体"/>
          <w:color w:val="auto"/>
          <w:highlight w:val="none"/>
        </w:rPr>
        <w:t>。</w:t>
      </w:r>
    </w:p>
    <w:p w14:paraId="24E307B8">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A-2 设计阶段：</w:t>
      </w:r>
      <w:r>
        <w:rPr>
          <w:rFonts w:ascii="宋体" w:hAnsi="宋体" w:cs="宋体"/>
          <w:color w:val="auto"/>
          <w:highlight w:val="none"/>
          <w:u w:val="single"/>
        </w:rPr>
        <w:t>协助委托人进行设计图纸审查工作，凭借自身的技能和经验，根据本地的实际情况，为设计院提供建设性改进意见，并协助协调市区有关部门完成各项报批工作</w:t>
      </w:r>
      <w:r>
        <w:rPr>
          <w:rFonts w:ascii="宋体" w:hAnsi="宋体" w:cs="宋体"/>
          <w:color w:val="auto"/>
          <w:highlight w:val="none"/>
        </w:rPr>
        <w:t>。</w:t>
      </w:r>
    </w:p>
    <w:p w14:paraId="34ABE7B9">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A-3 保修阶段：</w:t>
      </w:r>
      <w:r>
        <w:rPr>
          <w:rFonts w:ascii="宋体" w:hAnsi="宋体" w:cs="宋体"/>
          <w:color w:val="auto"/>
          <w:highlight w:val="none"/>
          <w:u w:val="single"/>
        </w:rPr>
        <w:t>工程质量保修期内，监理人应对所监理的工程质量实行回访制度，并对发现的问题书面告知委托人，若系承包人的原因引起的工程质量问题，则发书面指令要求承包人处理至符合要求为止</w:t>
      </w:r>
      <w:r>
        <w:rPr>
          <w:rFonts w:ascii="宋体" w:hAnsi="宋体" w:cs="宋体"/>
          <w:color w:val="auto"/>
          <w:highlight w:val="none"/>
        </w:rPr>
        <w:t>。</w:t>
      </w:r>
    </w:p>
    <w:p w14:paraId="41E581CB">
      <w:pPr>
        <w:shd w:val="clear"/>
        <w:spacing w:line="360" w:lineRule="auto"/>
        <w:ind w:firstLine="420" w:firstLineChars="200"/>
        <w:rPr>
          <w:rFonts w:hint="eastAsia" w:ascii="宋体" w:hAnsi="宋体" w:cs="宋体"/>
          <w:color w:val="auto"/>
          <w:highlight w:val="none"/>
        </w:rPr>
      </w:pPr>
      <w:r>
        <w:rPr>
          <w:rFonts w:ascii="宋体" w:hAnsi="宋体" w:cs="宋体"/>
          <w:color w:val="auto"/>
          <w:highlight w:val="none"/>
        </w:rPr>
        <w:t>A-4 其他(专业技术咨询、外部协调工作等) ：</w:t>
      </w:r>
      <w:r>
        <w:rPr>
          <w:rFonts w:ascii="宋体" w:hAnsi="宋体" w:cs="宋体"/>
          <w:color w:val="auto"/>
          <w:highlight w:val="none"/>
          <w:u w:val="single"/>
        </w:rPr>
        <w:t>有关需要监理协助协调的工作</w:t>
      </w:r>
      <w:r>
        <w:rPr>
          <w:rFonts w:ascii="宋体" w:hAnsi="宋体" w:cs="宋体"/>
          <w:color w:val="auto"/>
          <w:highlight w:val="none"/>
        </w:rPr>
        <w:t>。</w:t>
      </w:r>
    </w:p>
    <w:p w14:paraId="1CB11D91">
      <w:pPr>
        <w:shd w:val="clear"/>
        <w:spacing w:line="360" w:lineRule="auto"/>
        <w:rPr>
          <w:rFonts w:hint="eastAsia" w:ascii="宋体" w:hAnsi="宋体" w:cs="宋体"/>
          <w:color w:val="auto"/>
          <w:highlight w:val="none"/>
        </w:rPr>
      </w:pPr>
      <w:r>
        <w:rPr>
          <w:rFonts w:ascii="宋体" w:hAnsi="宋体" w:cs="宋体"/>
          <w:color w:val="auto"/>
          <w:highlight w:val="none"/>
        </w:rPr>
        <w:br w:type="page"/>
      </w:r>
    </w:p>
    <w:p w14:paraId="51C80ED4">
      <w:pPr>
        <w:shd w:val="clear"/>
        <w:spacing w:line="360" w:lineRule="auto"/>
        <w:ind w:firstLine="420" w:firstLineChars="200"/>
        <w:outlineLvl w:val="1"/>
        <w:rPr>
          <w:rFonts w:hint="eastAsia" w:ascii="宋体" w:hAnsi="宋体" w:cs="宋体"/>
          <w:color w:val="auto"/>
          <w:highlight w:val="none"/>
        </w:rPr>
      </w:pPr>
      <w:bookmarkStart w:id="241" w:name="_Toc23910"/>
      <w:r>
        <w:rPr>
          <w:rFonts w:ascii="宋体" w:hAnsi="宋体" w:cs="宋体"/>
          <w:color w:val="auto"/>
          <w:highlight w:val="none"/>
        </w:rPr>
        <w:t>附录 B 委托人派遣的人员和提供的房屋、资料、设备</w:t>
      </w:r>
      <w:bookmarkEnd w:id="241"/>
    </w:p>
    <w:p w14:paraId="02EDBBFA">
      <w:pPr>
        <w:shd w:val="clear"/>
        <w:spacing w:line="360" w:lineRule="auto"/>
        <w:ind w:firstLine="420" w:firstLineChars="200"/>
        <w:outlineLvl w:val="2"/>
        <w:rPr>
          <w:rFonts w:hint="eastAsia" w:ascii="宋体" w:hAnsi="宋体" w:cs="宋体"/>
          <w:color w:val="auto"/>
          <w:highlight w:val="none"/>
        </w:rPr>
      </w:pPr>
      <w:bookmarkStart w:id="242" w:name="_Toc6077"/>
      <w:r>
        <w:rPr>
          <w:rFonts w:ascii="宋体" w:hAnsi="宋体" w:cs="宋体"/>
          <w:color w:val="auto"/>
          <w:highlight w:val="none"/>
        </w:rPr>
        <w:t>B-1 委托人派遣的人员</w:t>
      </w:r>
      <w:bookmarkEnd w:id="242"/>
    </w:p>
    <w:tbl>
      <w:tblPr>
        <w:tblStyle w:val="4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36C1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75511AF1">
            <w:pPr>
              <w:shd w:val="clear"/>
              <w:spacing w:line="360" w:lineRule="auto"/>
              <w:jc w:val="center"/>
              <w:rPr>
                <w:rFonts w:hint="eastAsia" w:ascii="宋体" w:hAnsi="宋体" w:cs="宋体"/>
                <w:color w:val="auto"/>
                <w:highlight w:val="none"/>
              </w:rPr>
            </w:pPr>
            <w:r>
              <w:rPr>
                <w:rFonts w:ascii="宋体" w:hAnsi="宋体" w:cs="宋体"/>
                <w:color w:val="auto"/>
                <w:highlight w:val="none"/>
              </w:rPr>
              <w:t>名称</w:t>
            </w:r>
          </w:p>
        </w:tc>
        <w:tc>
          <w:tcPr>
            <w:tcW w:w="1770" w:type="dxa"/>
          </w:tcPr>
          <w:p w14:paraId="43838770">
            <w:pPr>
              <w:shd w:val="clear"/>
              <w:spacing w:line="360" w:lineRule="auto"/>
              <w:jc w:val="center"/>
              <w:rPr>
                <w:rFonts w:hint="eastAsia" w:ascii="宋体" w:hAnsi="宋体" w:cs="宋体"/>
                <w:color w:val="auto"/>
                <w:highlight w:val="none"/>
              </w:rPr>
            </w:pPr>
            <w:r>
              <w:rPr>
                <w:rFonts w:ascii="宋体" w:hAnsi="宋体" w:cs="宋体"/>
                <w:color w:val="auto"/>
                <w:highlight w:val="none"/>
              </w:rPr>
              <w:t>数量</w:t>
            </w:r>
          </w:p>
        </w:tc>
        <w:tc>
          <w:tcPr>
            <w:tcW w:w="2128" w:type="dxa"/>
          </w:tcPr>
          <w:p w14:paraId="27EFB638">
            <w:pPr>
              <w:shd w:val="clear"/>
              <w:spacing w:line="360" w:lineRule="auto"/>
              <w:jc w:val="center"/>
              <w:rPr>
                <w:rFonts w:hint="eastAsia" w:ascii="宋体" w:hAnsi="宋体" w:cs="宋体"/>
                <w:color w:val="auto"/>
                <w:highlight w:val="none"/>
              </w:rPr>
            </w:pPr>
            <w:r>
              <w:rPr>
                <w:rFonts w:ascii="宋体" w:hAnsi="宋体" w:cs="宋体"/>
                <w:color w:val="auto"/>
                <w:highlight w:val="none"/>
              </w:rPr>
              <w:t>工作要求</w:t>
            </w:r>
          </w:p>
        </w:tc>
        <w:tc>
          <w:tcPr>
            <w:tcW w:w="1864" w:type="dxa"/>
          </w:tcPr>
          <w:p w14:paraId="322E56B7">
            <w:pPr>
              <w:shd w:val="clear"/>
              <w:spacing w:line="360" w:lineRule="auto"/>
              <w:jc w:val="center"/>
              <w:rPr>
                <w:rFonts w:hint="eastAsia" w:ascii="宋体" w:hAnsi="宋体" w:cs="宋体"/>
                <w:color w:val="auto"/>
                <w:highlight w:val="none"/>
              </w:rPr>
            </w:pPr>
            <w:r>
              <w:rPr>
                <w:rFonts w:ascii="宋体" w:hAnsi="宋体" w:cs="宋体"/>
                <w:color w:val="auto"/>
                <w:highlight w:val="none"/>
              </w:rPr>
              <w:t>提供时间</w:t>
            </w:r>
          </w:p>
        </w:tc>
      </w:tr>
      <w:tr w14:paraId="7CC0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36466EC2">
            <w:pPr>
              <w:shd w:val="clear"/>
              <w:spacing w:line="360" w:lineRule="auto"/>
              <w:jc w:val="center"/>
              <w:rPr>
                <w:rFonts w:hint="eastAsia" w:ascii="宋体" w:hAnsi="宋体" w:cs="宋体"/>
                <w:color w:val="auto"/>
                <w:highlight w:val="none"/>
              </w:rPr>
            </w:pPr>
            <w:r>
              <w:rPr>
                <w:rFonts w:ascii="宋体" w:hAnsi="宋体" w:cs="宋体"/>
                <w:color w:val="auto"/>
                <w:highlight w:val="none"/>
              </w:rPr>
              <w:t>1. 工程技术人员</w:t>
            </w:r>
          </w:p>
        </w:tc>
        <w:tc>
          <w:tcPr>
            <w:tcW w:w="1770" w:type="dxa"/>
          </w:tcPr>
          <w:p w14:paraId="4713E1B7">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60C71021">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4FC2BC58">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1454F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7D37EEDF">
            <w:pPr>
              <w:shd w:val="clear"/>
              <w:spacing w:line="360" w:lineRule="auto"/>
              <w:jc w:val="center"/>
              <w:rPr>
                <w:rFonts w:hint="eastAsia" w:ascii="宋体" w:hAnsi="宋体" w:cs="宋体"/>
                <w:color w:val="auto"/>
                <w:highlight w:val="none"/>
              </w:rPr>
            </w:pPr>
            <w:r>
              <w:rPr>
                <w:rFonts w:ascii="宋体" w:hAnsi="宋体" w:cs="宋体"/>
                <w:color w:val="auto"/>
                <w:highlight w:val="none"/>
              </w:rPr>
              <w:t>2. 辅助工作人员</w:t>
            </w:r>
          </w:p>
        </w:tc>
        <w:tc>
          <w:tcPr>
            <w:tcW w:w="1770" w:type="dxa"/>
          </w:tcPr>
          <w:p w14:paraId="65D3DED0">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0C17D0DF">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08B49F6E">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72E3C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tcPr>
          <w:p w14:paraId="1B7DB1FF">
            <w:pPr>
              <w:shd w:val="clear"/>
              <w:spacing w:line="360" w:lineRule="auto"/>
              <w:jc w:val="center"/>
              <w:rPr>
                <w:rFonts w:hint="eastAsia" w:ascii="宋体" w:hAnsi="宋体" w:cs="宋体"/>
                <w:color w:val="auto"/>
                <w:highlight w:val="none"/>
              </w:rPr>
            </w:pPr>
            <w:r>
              <w:rPr>
                <w:rFonts w:ascii="宋体" w:hAnsi="宋体" w:cs="宋体"/>
                <w:color w:val="auto"/>
                <w:highlight w:val="none"/>
              </w:rPr>
              <w:t>3. 其他人员</w:t>
            </w:r>
          </w:p>
        </w:tc>
        <w:tc>
          <w:tcPr>
            <w:tcW w:w="1770" w:type="dxa"/>
          </w:tcPr>
          <w:p w14:paraId="40225349">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7FE1F494">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1A70C289">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5F02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26CF2AFD">
            <w:pPr>
              <w:shd w:val="clear"/>
              <w:spacing w:line="360" w:lineRule="auto"/>
              <w:jc w:val="center"/>
              <w:rPr>
                <w:color w:val="auto"/>
                <w:highlight w:val="none"/>
              </w:rPr>
            </w:pPr>
          </w:p>
        </w:tc>
        <w:tc>
          <w:tcPr>
            <w:tcW w:w="1770" w:type="dxa"/>
          </w:tcPr>
          <w:p w14:paraId="74B0F590">
            <w:pPr>
              <w:shd w:val="clear"/>
              <w:spacing w:line="360" w:lineRule="auto"/>
              <w:jc w:val="center"/>
              <w:rPr>
                <w:color w:val="auto"/>
                <w:highlight w:val="none"/>
              </w:rPr>
            </w:pPr>
          </w:p>
        </w:tc>
        <w:tc>
          <w:tcPr>
            <w:tcW w:w="2128" w:type="dxa"/>
          </w:tcPr>
          <w:p w14:paraId="43C9845B">
            <w:pPr>
              <w:shd w:val="clear"/>
              <w:spacing w:line="360" w:lineRule="auto"/>
              <w:jc w:val="center"/>
              <w:rPr>
                <w:color w:val="auto"/>
                <w:highlight w:val="none"/>
              </w:rPr>
            </w:pPr>
          </w:p>
        </w:tc>
        <w:tc>
          <w:tcPr>
            <w:tcW w:w="1864" w:type="dxa"/>
          </w:tcPr>
          <w:p w14:paraId="24E77864">
            <w:pPr>
              <w:shd w:val="clear"/>
              <w:spacing w:line="360" w:lineRule="auto"/>
              <w:jc w:val="center"/>
              <w:rPr>
                <w:color w:val="auto"/>
                <w:highlight w:val="none"/>
              </w:rPr>
            </w:pPr>
          </w:p>
        </w:tc>
      </w:tr>
    </w:tbl>
    <w:p w14:paraId="7B015C86">
      <w:pPr>
        <w:shd w:val="clear"/>
        <w:spacing w:line="360" w:lineRule="auto"/>
        <w:jc w:val="center"/>
        <w:outlineLvl w:val="2"/>
        <w:rPr>
          <w:rFonts w:hint="eastAsia" w:ascii="宋体" w:hAnsi="宋体" w:cs="宋体"/>
          <w:color w:val="auto"/>
          <w:highlight w:val="none"/>
        </w:rPr>
      </w:pPr>
      <w:bookmarkStart w:id="243" w:name="_Toc23989"/>
      <w:r>
        <w:rPr>
          <w:rFonts w:ascii="宋体" w:hAnsi="宋体" w:cs="宋体"/>
          <w:color w:val="auto"/>
          <w:highlight w:val="none"/>
        </w:rPr>
        <w:t>B-2 委托人提供的房屋</w:t>
      </w:r>
      <w:bookmarkEnd w:id="243"/>
    </w:p>
    <w:tbl>
      <w:tblPr>
        <w:tblStyle w:val="4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56296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52" w:type="dxa"/>
          </w:tcPr>
          <w:p w14:paraId="7E47745E">
            <w:pPr>
              <w:shd w:val="clear"/>
              <w:spacing w:line="360" w:lineRule="auto"/>
              <w:jc w:val="center"/>
              <w:rPr>
                <w:rFonts w:hint="eastAsia" w:ascii="宋体" w:hAnsi="宋体" w:cs="宋体"/>
                <w:color w:val="auto"/>
                <w:highlight w:val="none"/>
              </w:rPr>
            </w:pPr>
            <w:r>
              <w:rPr>
                <w:rFonts w:ascii="宋体" w:hAnsi="宋体" w:cs="宋体"/>
                <w:color w:val="auto"/>
                <w:highlight w:val="none"/>
              </w:rPr>
              <w:t>名称</w:t>
            </w:r>
          </w:p>
        </w:tc>
        <w:tc>
          <w:tcPr>
            <w:tcW w:w="2130" w:type="dxa"/>
          </w:tcPr>
          <w:p w14:paraId="16482560">
            <w:pPr>
              <w:shd w:val="clear"/>
              <w:spacing w:line="360" w:lineRule="auto"/>
              <w:jc w:val="center"/>
              <w:rPr>
                <w:rFonts w:hint="eastAsia" w:ascii="宋体" w:hAnsi="宋体" w:cs="宋体"/>
                <w:color w:val="auto"/>
                <w:highlight w:val="none"/>
              </w:rPr>
            </w:pPr>
            <w:r>
              <w:rPr>
                <w:rFonts w:ascii="宋体" w:hAnsi="宋体" w:cs="宋体"/>
                <w:color w:val="auto"/>
                <w:highlight w:val="none"/>
              </w:rPr>
              <w:t>数量</w:t>
            </w:r>
          </w:p>
        </w:tc>
        <w:tc>
          <w:tcPr>
            <w:tcW w:w="2128" w:type="dxa"/>
          </w:tcPr>
          <w:p w14:paraId="68CE84A7">
            <w:pPr>
              <w:shd w:val="clear"/>
              <w:spacing w:line="360" w:lineRule="auto"/>
              <w:jc w:val="center"/>
              <w:rPr>
                <w:rFonts w:hint="eastAsia" w:ascii="宋体" w:hAnsi="宋体" w:cs="宋体"/>
                <w:color w:val="auto"/>
                <w:highlight w:val="none"/>
              </w:rPr>
            </w:pPr>
            <w:r>
              <w:rPr>
                <w:rFonts w:ascii="宋体" w:hAnsi="宋体" w:cs="宋体"/>
                <w:color w:val="auto"/>
                <w:highlight w:val="none"/>
              </w:rPr>
              <w:t>面积</w:t>
            </w:r>
          </w:p>
        </w:tc>
        <w:tc>
          <w:tcPr>
            <w:tcW w:w="1864" w:type="dxa"/>
          </w:tcPr>
          <w:p w14:paraId="55C3DE06">
            <w:pPr>
              <w:shd w:val="clear"/>
              <w:spacing w:line="360" w:lineRule="auto"/>
              <w:jc w:val="center"/>
              <w:rPr>
                <w:rFonts w:hint="eastAsia" w:ascii="宋体" w:hAnsi="宋体" w:cs="宋体"/>
                <w:color w:val="auto"/>
                <w:highlight w:val="none"/>
              </w:rPr>
            </w:pPr>
            <w:r>
              <w:rPr>
                <w:rFonts w:ascii="宋体" w:hAnsi="宋体" w:cs="宋体"/>
                <w:color w:val="auto"/>
                <w:highlight w:val="none"/>
              </w:rPr>
              <w:t>提供时间</w:t>
            </w:r>
          </w:p>
        </w:tc>
      </w:tr>
      <w:tr w14:paraId="3771B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0C66E910">
            <w:pPr>
              <w:shd w:val="clear"/>
              <w:spacing w:line="360" w:lineRule="auto"/>
              <w:jc w:val="center"/>
              <w:rPr>
                <w:rFonts w:hint="eastAsia" w:ascii="宋体" w:hAnsi="宋体" w:cs="宋体"/>
                <w:color w:val="auto"/>
                <w:highlight w:val="none"/>
              </w:rPr>
            </w:pPr>
            <w:r>
              <w:rPr>
                <w:rFonts w:ascii="宋体" w:hAnsi="宋体" w:cs="宋体"/>
                <w:color w:val="auto"/>
                <w:highlight w:val="none"/>
              </w:rPr>
              <w:t>1. 办公用房</w:t>
            </w:r>
          </w:p>
        </w:tc>
        <w:tc>
          <w:tcPr>
            <w:tcW w:w="2130" w:type="dxa"/>
          </w:tcPr>
          <w:p w14:paraId="6307BBE4">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3ABFF2B2">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70CE5A79">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5095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215B834E">
            <w:pPr>
              <w:shd w:val="clear"/>
              <w:spacing w:line="360" w:lineRule="auto"/>
              <w:jc w:val="center"/>
              <w:rPr>
                <w:rFonts w:hint="eastAsia" w:ascii="宋体" w:hAnsi="宋体" w:cs="宋体"/>
                <w:color w:val="auto"/>
                <w:highlight w:val="none"/>
              </w:rPr>
            </w:pPr>
            <w:r>
              <w:rPr>
                <w:rFonts w:ascii="宋体" w:hAnsi="宋体" w:cs="宋体"/>
                <w:color w:val="auto"/>
                <w:highlight w:val="none"/>
              </w:rPr>
              <w:t>2. 生活用房</w:t>
            </w:r>
          </w:p>
        </w:tc>
        <w:tc>
          <w:tcPr>
            <w:tcW w:w="2130" w:type="dxa"/>
          </w:tcPr>
          <w:p w14:paraId="4EC91A81">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140AB888">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7A5601EF">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38808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05169FAD">
            <w:pPr>
              <w:shd w:val="clear"/>
              <w:spacing w:line="360" w:lineRule="auto"/>
              <w:jc w:val="center"/>
              <w:rPr>
                <w:rFonts w:hint="eastAsia" w:ascii="宋体" w:hAnsi="宋体" w:cs="宋体"/>
                <w:color w:val="auto"/>
                <w:highlight w:val="none"/>
              </w:rPr>
            </w:pPr>
            <w:r>
              <w:rPr>
                <w:rFonts w:ascii="宋体" w:hAnsi="宋体" w:cs="宋体"/>
                <w:color w:val="auto"/>
                <w:highlight w:val="none"/>
              </w:rPr>
              <w:t>3. 试验用房</w:t>
            </w:r>
          </w:p>
        </w:tc>
        <w:tc>
          <w:tcPr>
            <w:tcW w:w="2130" w:type="dxa"/>
          </w:tcPr>
          <w:p w14:paraId="4FF854DD">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04DC71CA">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1805FB26">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03E10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36B16C3F">
            <w:pPr>
              <w:shd w:val="clear"/>
              <w:spacing w:line="360" w:lineRule="auto"/>
              <w:jc w:val="center"/>
              <w:rPr>
                <w:rFonts w:hint="eastAsia" w:ascii="宋体" w:hAnsi="宋体" w:cs="宋体"/>
                <w:color w:val="auto"/>
                <w:highlight w:val="none"/>
              </w:rPr>
            </w:pPr>
            <w:r>
              <w:rPr>
                <w:rFonts w:ascii="宋体" w:hAnsi="宋体" w:cs="宋体"/>
                <w:color w:val="auto"/>
                <w:highlight w:val="none"/>
              </w:rPr>
              <w:t>4. 样品用房</w:t>
            </w:r>
          </w:p>
        </w:tc>
        <w:tc>
          <w:tcPr>
            <w:tcW w:w="2130" w:type="dxa"/>
          </w:tcPr>
          <w:p w14:paraId="4F926BE7">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3F424D8B">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6DA5920E">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72E0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tcPr>
          <w:p w14:paraId="6A7BF499">
            <w:pPr>
              <w:shd w:val="clear"/>
              <w:spacing w:line="360" w:lineRule="auto"/>
              <w:jc w:val="center"/>
              <w:rPr>
                <w:color w:val="auto"/>
                <w:highlight w:val="none"/>
              </w:rPr>
            </w:pPr>
          </w:p>
        </w:tc>
        <w:tc>
          <w:tcPr>
            <w:tcW w:w="2130" w:type="dxa"/>
          </w:tcPr>
          <w:p w14:paraId="30637670">
            <w:pPr>
              <w:shd w:val="clear"/>
              <w:spacing w:line="360" w:lineRule="auto"/>
              <w:jc w:val="center"/>
              <w:rPr>
                <w:color w:val="auto"/>
                <w:highlight w:val="none"/>
              </w:rPr>
            </w:pPr>
          </w:p>
        </w:tc>
        <w:tc>
          <w:tcPr>
            <w:tcW w:w="2128" w:type="dxa"/>
          </w:tcPr>
          <w:p w14:paraId="72C36CE4">
            <w:pPr>
              <w:shd w:val="clear"/>
              <w:spacing w:line="360" w:lineRule="auto"/>
              <w:jc w:val="center"/>
              <w:rPr>
                <w:color w:val="auto"/>
                <w:highlight w:val="none"/>
              </w:rPr>
            </w:pPr>
          </w:p>
        </w:tc>
        <w:tc>
          <w:tcPr>
            <w:tcW w:w="1864" w:type="dxa"/>
          </w:tcPr>
          <w:p w14:paraId="4E356E99">
            <w:pPr>
              <w:shd w:val="clear"/>
              <w:spacing w:line="360" w:lineRule="auto"/>
              <w:jc w:val="center"/>
              <w:rPr>
                <w:color w:val="auto"/>
                <w:highlight w:val="none"/>
              </w:rPr>
            </w:pPr>
          </w:p>
        </w:tc>
      </w:tr>
      <w:tr w14:paraId="38DC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tcPr>
          <w:p w14:paraId="3393211D">
            <w:pPr>
              <w:shd w:val="clear"/>
              <w:spacing w:line="360" w:lineRule="auto"/>
              <w:jc w:val="center"/>
              <w:rPr>
                <w:rFonts w:hint="eastAsia" w:ascii="宋体" w:hAnsi="宋体" w:cs="宋体"/>
                <w:color w:val="auto"/>
                <w:highlight w:val="none"/>
              </w:rPr>
            </w:pPr>
            <w:r>
              <w:rPr>
                <w:rFonts w:ascii="宋体" w:hAnsi="宋体" w:cs="宋体"/>
                <w:color w:val="auto"/>
                <w:highlight w:val="none"/>
              </w:rPr>
              <w:t>用餐及其他生活条件</w:t>
            </w:r>
          </w:p>
        </w:tc>
        <w:tc>
          <w:tcPr>
            <w:tcW w:w="6122" w:type="dxa"/>
            <w:gridSpan w:val="3"/>
          </w:tcPr>
          <w:p w14:paraId="2E6A2363">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bl>
    <w:p w14:paraId="78CB70BD">
      <w:pPr>
        <w:shd w:val="clear"/>
        <w:spacing w:line="360" w:lineRule="auto"/>
        <w:jc w:val="center"/>
        <w:outlineLvl w:val="2"/>
        <w:rPr>
          <w:rFonts w:hint="eastAsia" w:ascii="宋体" w:hAnsi="宋体" w:cs="宋体"/>
          <w:color w:val="auto"/>
          <w:highlight w:val="none"/>
        </w:rPr>
      </w:pPr>
      <w:bookmarkStart w:id="244" w:name="_Toc68"/>
      <w:r>
        <w:rPr>
          <w:rFonts w:ascii="宋体" w:hAnsi="宋体" w:cs="宋体"/>
          <w:color w:val="auto"/>
          <w:highlight w:val="none"/>
        </w:rPr>
        <w:t>B-3 委托人提供的资料</w:t>
      </w:r>
      <w:bookmarkEnd w:id="244"/>
    </w:p>
    <w:tbl>
      <w:tblPr>
        <w:tblStyle w:val="4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1418"/>
        <w:gridCol w:w="1984"/>
        <w:gridCol w:w="1723"/>
      </w:tblGrid>
      <w:tr w14:paraId="1378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2FB10809">
            <w:pPr>
              <w:shd w:val="clear"/>
              <w:spacing w:line="360" w:lineRule="auto"/>
              <w:jc w:val="center"/>
              <w:rPr>
                <w:rFonts w:hint="eastAsia" w:ascii="宋体" w:hAnsi="宋体" w:cs="宋体"/>
                <w:color w:val="auto"/>
                <w:highlight w:val="none"/>
              </w:rPr>
            </w:pPr>
            <w:r>
              <w:rPr>
                <w:rFonts w:ascii="宋体" w:hAnsi="宋体" w:cs="宋体"/>
                <w:color w:val="auto"/>
                <w:highlight w:val="none"/>
              </w:rPr>
              <w:t>名称</w:t>
            </w:r>
          </w:p>
        </w:tc>
        <w:tc>
          <w:tcPr>
            <w:tcW w:w="1418" w:type="dxa"/>
          </w:tcPr>
          <w:p w14:paraId="358E0109">
            <w:pPr>
              <w:shd w:val="clear"/>
              <w:spacing w:line="360" w:lineRule="auto"/>
              <w:jc w:val="center"/>
              <w:rPr>
                <w:rFonts w:hint="eastAsia" w:ascii="宋体" w:hAnsi="宋体" w:cs="宋体"/>
                <w:color w:val="auto"/>
                <w:highlight w:val="none"/>
              </w:rPr>
            </w:pPr>
            <w:r>
              <w:rPr>
                <w:rFonts w:ascii="宋体" w:hAnsi="宋体" w:cs="宋体"/>
                <w:color w:val="auto"/>
                <w:highlight w:val="none"/>
              </w:rPr>
              <w:t>份数</w:t>
            </w:r>
          </w:p>
        </w:tc>
        <w:tc>
          <w:tcPr>
            <w:tcW w:w="1984" w:type="dxa"/>
          </w:tcPr>
          <w:p w14:paraId="23CA7FDA">
            <w:pPr>
              <w:shd w:val="clear"/>
              <w:spacing w:line="360" w:lineRule="auto"/>
              <w:jc w:val="center"/>
              <w:rPr>
                <w:rFonts w:hint="eastAsia" w:ascii="宋体" w:hAnsi="宋体" w:cs="宋体"/>
                <w:color w:val="auto"/>
                <w:highlight w:val="none"/>
              </w:rPr>
            </w:pPr>
            <w:r>
              <w:rPr>
                <w:rFonts w:ascii="宋体" w:hAnsi="宋体" w:cs="宋体"/>
                <w:color w:val="auto"/>
                <w:highlight w:val="none"/>
              </w:rPr>
              <w:t>提供时间</w:t>
            </w:r>
          </w:p>
        </w:tc>
        <w:tc>
          <w:tcPr>
            <w:tcW w:w="1723" w:type="dxa"/>
          </w:tcPr>
          <w:p w14:paraId="2A978FE9">
            <w:pPr>
              <w:shd w:val="clear"/>
              <w:spacing w:line="360" w:lineRule="auto"/>
              <w:jc w:val="center"/>
              <w:rPr>
                <w:rFonts w:hint="eastAsia" w:ascii="宋体" w:hAnsi="宋体" w:cs="宋体"/>
                <w:color w:val="auto"/>
                <w:highlight w:val="none"/>
              </w:rPr>
            </w:pPr>
            <w:r>
              <w:rPr>
                <w:rFonts w:ascii="宋体" w:hAnsi="宋体" w:cs="宋体"/>
                <w:color w:val="auto"/>
                <w:highlight w:val="none"/>
              </w:rPr>
              <w:t>备注</w:t>
            </w:r>
          </w:p>
        </w:tc>
      </w:tr>
      <w:tr w14:paraId="35BFE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3" w:type="dxa"/>
          </w:tcPr>
          <w:p w14:paraId="151BF026">
            <w:pPr>
              <w:shd w:val="clear"/>
              <w:spacing w:line="360" w:lineRule="auto"/>
              <w:jc w:val="center"/>
              <w:rPr>
                <w:rFonts w:hint="eastAsia" w:ascii="宋体" w:hAnsi="宋体" w:cs="宋体"/>
                <w:color w:val="auto"/>
                <w:highlight w:val="none"/>
              </w:rPr>
            </w:pPr>
            <w:r>
              <w:rPr>
                <w:rFonts w:ascii="宋体" w:hAnsi="宋体" w:cs="宋体"/>
                <w:color w:val="auto"/>
                <w:highlight w:val="none"/>
              </w:rPr>
              <w:t>1. 工程立项文件</w:t>
            </w:r>
          </w:p>
        </w:tc>
        <w:tc>
          <w:tcPr>
            <w:tcW w:w="1418" w:type="dxa"/>
          </w:tcPr>
          <w:p w14:paraId="6BD8AA7C">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1984" w:type="dxa"/>
          </w:tcPr>
          <w:p w14:paraId="7211383A">
            <w:pPr>
              <w:shd w:val="clear"/>
              <w:spacing w:line="360" w:lineRule="auto"/>
              <w:jc w:val="center"/>
              <w:rPr>
                <w:rFonts w:hint="eastAsia" w:ascii="宋体" w:hAnsi="宋体" w:cs="宋体"/>
                <w:color w:val="auto"/>
                <w:highlight w:val="none"/>
              </w:rPr>
            </w:pPr>
            <w:r>
              <w:rPr>
                <w:rFonts w:ascii="宋体" w:hAnsi="宋体" w:cs="宋体"/>
                <w:color w:val="auto"/>
                <w:highlight w:val="none"/>
              </w:rPr>
              <w:t>开工前</w:t>
            </w:r>
          </w:p>
        </w:tc>
        <w:tc>
          <w:tcPr>
            <w:tcW w:w="1723" w:type="dxa"/>
          </w:tcPr>
          <w:p w14:paraId="19A6F98A">
            <w:pPr>
              <w:shd w:val="clear"/>
              <w:spacing w:line="360" w:lineRule="auto"/>
              <w:jc w:val="center"/>
              <w:rPr>
                <w:color w:val="auto"/>
                <w:highlight w:val="none"/>
              </w:rPr>
            </w:pPr>
          </w:p>
        </w:tc>
      </w:tr>
      <w:tr w14:paraId="4F70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403" w:type="dxa"/>
          </w:tcPr>
          <w:p w14:paraId="1F4D85AB">
            <w:pPr>
              <w:shd w:val="clear"/>
              <w:spacing w:line="360" w:lineRule="auto"/>
              <w:jc w:val="center"/>
              <w:rPr>
                <w:rFonts w:hint="eastAsia" w:ascii="宋体" w:hAnsi="宋体" w:cs="宋体"/>
                <w:color w:val="auto"/>
                <w:highlight w:val="none"/>
              </w:rPr>
            </w:pPr>
            <w:r>
              <w:rPr>
                <w:rFonts w:ascii="宋体" w:hAnsi="宋体" w:cs="宋体"/>
                <w:color w:val="auto"/>
                <w:highlight w:val="none"/>
              </w:rPr>
              <w:t>2. 工程勘察文件</w:t>
            </w:r>
          </w:p>
        </w:tc>
        <w:tc>
          <w:tcPr>
            <w:tcW w:w="1418" w:type="dxa"/>
          </w:tcPr>
          <w:p w14:paraId="7C0DB946">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1984" w:type="dxa"/>
          </w:tcPr>
          <w:p w14:paraId="3589AF90">
            <w:pPr>
              <w:shd w:val="clear"/>
              <w:spacing w:line="360" w:lineRule="auto"/>
              <w:jc w:val="center"/>
              <w:rPr>
                <w:rFonts w:hint="eastAsia" w:ascii="宋体" w:hAnsi="宋体" w:cs="宋体"/>
                <w:color w:val="auto"/>
                <w:highlight w:val="none"/>
              </w:rPr>
            </w:pPr>
            <w:r>
              <w:rPr>
                <w:rFonts w:ascii="宋体" w:hAnsi="宋体" w:cs="宋体"/>
                <w:color w:val="auto"/>
                <w:highlight w:val="none"/>
              </w:rPr>
              <w:t>开工前</w:t>
            </w:r>
          </w:p>
        </w:tc>
        <w:tc>
          <w:tcPr>
            <w:tcW w:w="1723" w:type="dxa"/>
          </w:tcPr>
          <w:p w14:paraId="7E20E7F9">
            <w:pPr>
              <w:shd w:val="clear"/>
              <w:spacing w:line="360" w:lineRule="auto"/>
              <w:jc w:val="center"/>
              <w:rPr>
                <w:color w:val="auto"/>
                <w:highlight w:val="none"/>
              </w:rPr>
            </w:pPr>
          </w:p>
        </w:tc>
      </w:tr>
      <w:tr w14:paraId="7D444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E464462">
            <w:pPr>
              <w:shd w:val="clear"/>
              <w:spacing w:line="360" w:lineRule="auto"/>
              <w:jc w:val="center"/>
              <w:rPr>
                <w:rFonts w:hint="eastAsia" w:ascii="宋体" w:hAnsi="宋体" w:cs="宋体"/>
                <w:color w:val="auto"/>
                <w:highlight w:val="none"/>
              </w:rPr>
            </w:pPr>
            <w:r>
              <w:rPr>
                <w:rFonts w:ascii="宋体" w:hAnsi="宋体" w:cs="宋体"/>
                <w:color w:val="auto"/>
                <w:highlight w:val="none"/>
              </w:rPr>
              <w:t>3. 工程设计及施工图纸</w:t>
            </w:r>
          </w:p>
        </w:tc>
        <w:tc>
          <w:tcPr>
            <w:tcW w:w="1418" w:type="dxa"/>
          </w:tcPr>
          <w:p w14:paraId="08BA34FA">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1984" w:type="dxa"/>
          </w:tcPr>
          <w:p w14:paraId="6A8F1856">
            <w:pPr>
              <w:shd w:val="clear"/>
              <w:spacing w:line="360" w:lineRule="auto"/>
              <w:jc w:val="center"/>
              <w:rPr>
                <w:rFonts w:hint="eastAsia" w:ascii="宋体" w:hAnsi="宋体" w:cs="宋体"/>
                <w:color w:val="auto"/>
                <w:highlight w:val="none"/>
              </w:rPr>
            </w:pPr>
            <w:r>
              <w:rPr>
                <w:rFonts w:ascii="宋体" w:hAnsi="宋体" w:cs="宋体"/>
                <w:color w:val="auto"/>
                <w:highlight w:val="none"/>
              </w:rPr>
              <w:t>开工前</w:t>
            </w:r>
          </w:p>
        </w:tc>
        <w:tc>
          <w:tcPr>
            <w:tcW w:w="1723" w:type="dxa"/>
          </w:tcPr>
          <w:p w14:paraId="0EA579F4">
            <w:pPr>
              <w:shd w:val="clear"/>
              <w:spacing w:line="360" w:lineRule="auto"/>
              <w:jc w:val="center"/>
              <w:rPr>
                <w:color w:val="auto"/>
                <w:highlight w:val="none"/>
              </w:rPr>
            </w:pPr>
          </w:p>
        </w:tc>
      </w:tr>
      <w:tr w14:paraId="5FE2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40B9DE41">
            <w:pPr>
              <w:shd w:val="clear"/>
              <w:spacing w:line="360" w:lineRule="auto"/>
              <w:jc w:val="center"/>
              <w:rPr>
                <w:rFonts w:hint="eastAsia" w:ascii="宋体" w:hAnsi="宋体" w:cs="宋体"/>
                <w:color w:val="auto"/>
                <w:highlight w:val="none"/>
              </w:rPr>
            </w:pPr>
            <w:r>
              <w:rPr>
                <w:rFonts w:ascii="宋体" w:hAnsi="宋体" w:cs="宋体"/>
                <w:color w:val="auto"/>
                <w:highlight w:val="none"/>
              </w:rPr>
              <w:t>4. 工程承包合同及其他相关合同</w:t>
            </w:r>
          </w:p>
        </w:tc>
        <w:tc>
          <w:tcPr>
            <w:tcW w:w="1418" w:type="dxa"/>
          </w:tcPr>
          <w:p w14:paraId="35904A57">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1984" w:type="dxa"/>
          </w:tcPr>
          <w:p w14:paraId="7B80C691">
            <w:pPr>
              <w:shd w:val="clear"/>
              <w:spacing w:line="360" w:lineRule="auto"/>
              <w:jc w:val="center"/>
              <w:rPr>
                <w:rFonts w:hint="eastAsia" w:ascii="宋体" w:hAnsi="宋体" w:cs="宋体"/>
                <w:color w:val="auto"/>
                <w:highlight w:val="none"/>
              </w:rPr>
            </w:pPr>
            <w:r>
              <w:rPr>
                <w:rFonts w:ascii="宋体" w:hAnsi="宋体" w:cs="宋体"/>
                <w:color w:val="auto"/>
                <w:highlight w:val="none"/>
              </w:rPr>
              <w:t>开工前</w:t>
            </w:r>
          </w:p>
        </w:tc>
        <w:tc>
          <w:tcPr>
            <w:tcW w:w="1723" w:type="dxa"/>
          </w:tcPr>
          <w:p w14:paraId="164E9626">
            <w:pPr>
              <w:shd w:val="clear"/>
              <w:spacing w:line="360" w:lineRule="auto"/>
              <w:jc w:val="center"/>
              <w:rPr>
                <w:color w:val="auto"/>
                <w:highlight w:val="none"/>
              </w:rPr>
            </w:pPr>
          </w:p>
        </w:tc>
      </w:tr>
      <w:tr w14:paraId="61BF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2063B9BE">
            <w:pPr>
              <w:shd w:val="clear"/>
              <w:spacing w:line="360" w:lineRule="auto"/>
              <w:jc w:val="center"/>
              <w:rPr>
                <w:rFonts w:hint="eastAsia" w:ascii="宋体" w:hAnsi="宋体" w:cs="宋体"/>
                <w:color w:val="auto"/>
                <w:highlight w:val="none"/>
              </w:rPr>
            </w:pPr>
            <w:r>
              <w:rPr>
                <w:rFonts w:ascii="宋体" w:hAnsi="宋体" w:cs="宋体"/>
                <w:color w:val="auto"/>
                <w:highlight w:val="none"/>
              </w:rPr>
              <w:t>5. 施工许可相关文件</w:t>
            </w:r>
          </w:p>
        </w:tc>
        <w:tc>
          <w:tcPr>
            <w:tcW w:w="1418" w:type="dxa"/>
          </w:tcPr>
          <w:p w14:paraId="2CD96732">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1984" w:type="dxa"/>
          </w:tcPr>
          <w:p w14:paraId="2B58B358">
            <w:pPr>
              <w:shd w:val="clear"/>
              <w:spacing w:line="360" w:lineRule="auto"/>
              <w:jc w:val="center"/>
              <w:rPr>
                <w:rFonts w:hint="eastAsia" w:ascii="宋体" w:hAnsi="宋体" w:cs="宋体"/>
                <w:color w:val="auto"/>
                <w:highlight w:val="none"/>
              </w:rPr>
            </w:pPr>
            <w:r>
              <w:rPr>
                <w:rFonts w:ascii="宋体" w:hAnsi="宋体" w:cs="宋体"/>
                <w:color w:val="auto"/>
                <w:highlight w:val="none"/>
              </w:rPr>
              <w:t>开工前</w:t>
            </w:r>
          </w:p>
        </w:tc>
        <w:tc>
          <w:tcPr>
            <w:tcW w:w="1723" w:type="dxa"/>
          </w:tcPr>
          <w:p w14:paraId="04E50A11">
            <w:pPr>
              <w:shd w:val="clear"/>
              <w:spacing w:line="360" w:lineRule="auto"/>
              <w:jc w:val="center"/>
              <w:rPr>
                <w:color w:val="auto"/>
                <w:highlight w:val="none"/>
              </w:rPr>
            </w:pPr>
          </w:p>
        </w:tc>
      </w:tr>
      <w:tr w14:paraId="2E19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BC7583E">
            <w:pPr>
              <w:shd w:val="clear"/>
              <w:spacing w:line="360" w:lineRule="auto"/>
              <w:jc w:val="center"/>
              <w:rPr>
                <w:rFonts w:hint="eastAsia" w:ascii="宋体" w:hAnsi="宋体" w:cs="宋体"/>
                <w:color w:val="auto"/>
                <w:highlight w:val="none"/>
              </w:rPr>
            </w:pPr>
            <w:r>
              <w:rPr>
                <w:rFonts w:ascii="宋体" w:hAnsi="宋体" w:cs="宋体"/>
                <w:color w:val="auto"/>
                <w:highlight w:val="none"/>
              </w:rPr>
              <w:t>6. 其他文件</w:t>
            </w:r>
          </w:p>
        </w:tc>
        <w:tc>
          <w:tcPr>
            <w:tcW w:w="1418" w:type="dxa"/>
          </w:tcPr>
          <w:p w14:paraId="49911565">
            <w:pPr>
              <w:shd w:val="clear"/>
              <w:spacing w:line="360" w:lineRule="auto"/>
              <w:jc w:val="center"/>
              <w:rPr>
                <w:rFonts w:hint="eastAsia" w:ascii="宋体" w:hAnsi="宋体" w:cs="宋体"/>
                <w:color w:val="auto"/>
                <w:highlight w:val="none"/>
              </w:rPr>
            </w:pPr>
            <w:r>
              <w:rPr>
                <w:rFonts w:ascii="宋体" w:hAnsi="宋体" w:cs="宋体"/>
                <w:color w:val="auto"/>
                <w:highlight w:val="none"/>
              </w:rPr>
              <w:t>1</w:t>
            </w:r>
          </w:p>
        </w:tc>
        <w:tc>
          <w:tcPr>
            <w:tcW w:w="1984" w:type="dxa"/>
          </w:tcPr>
          <w:p w14:paraId="5DEE997C">
            <w:pPr>
              <w:shd w:val="clear"/>
              <w:spacing w:line="360" w:lineRule="auto"/>
              <w:jc w:val="center"/>
              <w:rPr>
                <w:rFonts w:hint="eastAsia" w:ascii="宋体" w:hAnsi="宋体" w:cs="宋体"/>
                <w:color w:val="auto"/>
                <w:highlight w:val="none"/>
              </w:rPr>
            </w:pPr>
            <w:r>
              <w:rPr>
                <w:rFonts w:ascii="宋体" w:hAnsi="宋体" w:cs="宋体"/>
                <w:color w:val="auto"/>
                <w:highlight w:val="none"/>
              </w:rPr>
              <w:t>开工前</w:t>
            </w:r>
          </w:p>
        </w:tc>
        <w:tc>
          <w:tcPr>
            <w:tcW w:w="1723" w:type="dxa"/>
          </w:tcPr>
          <w:p w14:paraId="25830310">
            <w:pPr>
              <w:shd w:val="clear"/>
              <w:spacing w:line="360" w:lineRule="auto"/>
              <w:jc w:val="center"/>
              <w:rPr>
                <w:color w:val="auto"/>
                <w:highlight w:val="none"/>
              </w:rPr>
            </w:pPr>
          </w:p>
        </w:tc>
      </w:tr>
    </w:tbl>
    <w:p w14:paraId="1BE7A44F">
      <w:pPr>
        <w:shd w:val="clear"/>
        <w:spacing w:line="360" w:lineRule="auto"/>
        <w:jc w:val="center"/>
        <w:outlineLvl w:val="2"/>
        <w:rPr>
          <w:rFonts w:hint="eastAsia" w:ascii="宋体" w:hAnsi="宋体" w:cs="宋体"/>
          <w:color w:val="auto"/>
          <w:highlight w:val="none"/>
        </w:rPr>
      </w:pPr>
      <w:bookmarkStart w:id="245" w:name="_Toc229"/>
      <w:r>
        <w:rPr>
          <w:rFonts w:ascii="宋体" w:hAnsi="宋体" w:cs="宋体"/>
          <w:color w:val="auto"/>
          <w:highlight w:val="none"/>
        </w:rPr>
        <w:t>B-4 委托人提供的设备</w:t>
      </w:r>
      <w:bookmarkEnd w:id="245"/>
    </w:p>
    <w:p w14:paraId="209734CE">
      <w:pPr>
        <w:shd w:val="clear"/>
        <w:spacing w:line="360" w:lineRule="auto"/>
        <w:jc w:val="center"/>
        <w:rPr>
          <w:color w:val="auto"/>
          <w:highlight w:val="none"/>
        </w:rPr>
      </w:pPr>
    </w:p>
    <w:tbl>
      <w:tblPr>
        <w:tblStyle w:val="4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5BAA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63D18EF6">
            <w:pPr>
              <w:shd w:val="clear"/>
              <w:spacing w:line="360" w:lineRule="auto"/>
              <w:jc w:val="center"/>
              <w:rPr>
                <w:rFonts w:hint="eastAsia" w:ascii="宋体" w:hAnsi="宋体" w:cs="宋体"/>
                <w:color w:val="auto"/>
                <w:highlight w:val="none"/>
              </w:rPr>
            </w:pPr>
            <w:r>
              <w:rPr>
                <w:rFonts w:ascii="宋体" w:hAnsi="宋体" w:cs="宋体"/>
                <w:color w:val="auto"/>
                <w:highlight w:val="none"/>
              </w:rPr>
              <w:t>名称</w:t>
            </w:r>
          </w:p>
        </w:tc>
        <w:tc>
          <w:tcPr>
            <w:tcW w:w="1590" w:type="dxa"/>
          </w:tcPr>
          <w:p w14:paraId="7966622F">
            <w:pPr>
              <w:shd w:val="clear"/>
              <w:spacing w:line="360" w:lineRule="auto"/>
              <w:jc w:val="center"/>
              <w:rPr>
                <w:rFonts w:hint="eastAsia" w:ascii="宋体" w:hAnsi="宋体" w:cs="宋体"/>
                <w:color w:val="auto"/>
                <w:highlight w:val="none"/>
              </w:rPr>
            </w:pPr>
            <w:r>
              <w:rPr>
                <w:rFonts w:ascii="宋体" w:hAnsi="宋体" w:cs="宋体"/>
                <w:color w:val="auto"/>
                <w:highlight w:val="none"/>
              </w:rPr>
              <w:t>数量</w:t>
            </w:r>
          </w:p>
        </w:tc>
        <w:tc>
          <w:tcPr>
            <w:tcW w:w="2128" w:type="dxa"/>
          </w:tcPr>
          <w:p w14:paraId="67D197B6">
            <w:pPr>
              <w:shd w:val="clear"/>
              <w:spacing w:line="360" w:lineRule="auto"/>
              <w:jc w:val="center"/>
              <w:rPr>
                <w:rFonts w:hint="eastAsia" w:ascii="宋体" w:hAnsi="宋体" w:cs="宋体"/>
                <w:color w:val="auto"/>
                <w:highlight w:val="none"/>
              </w:rPr>
            </w:pPr>
            <w:r>
              <w:rPr>
                <w:rFonts w:ascii="宋体" w:hAnsi="宋体" w:cs="宋体"/>
                <w:color w:val="auto"/>
                <w:highlight w:val="none"/>
              </w:rPr>
              <w:t>型号与规格</w:t>
            </w:r>
          </w:p>
        </w:tc>
        <w:tc>
          <w:tcPr>
            <w:tcW w:w="1864" w:type="dxa"/>
          </w:tcPr>
          <w:p w14:paraId="6EB61E05">
            <w:pPr>
              <w:shd w:val="clear"/>
              <w:spacing w:line="360" w:lineRule="auto"/>
              <w:jc w:val="center"/>
              <w:rPr>
                <w:rFonts w:hint="eastAsia" w:ascii="宋体" w:hAnsi="宋体" w:cs="宋体"/>
                <w:color w:val="auto"/>
                <w:highlight w:val="none"/>
              </w:rPr>
            </w:pPr>
            <w:r>
              <w:rPr>
                <w:rFonts w:ascii="宋体" w:hAnsi="宋体" w:cs="宋体"/>
                <w:color w:val="auto"/>
                <w:highlight w:val="none"/>
              </w:rPr>
              <w:t>提供时间</w:t>
            </w:r>
          </w:p>
        </w:tc>
      </w:tr>
      <w:tr w14:paraId="03F9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3B820D38">
            <w:pPr>
              <w:shd w:val="clear"/>
              <w:spacing w:line="360" w:lineRule="auto"/>
              <w:jc w:val="center"/>
              <w:rPr>
                <w:rFonts w:hint="eastAsia" w:ascii="宋体" w:hAnsi="宋体" w:cs="宋体"/>
                <w:color w:val="auto"/>
                <w:highlight w:val="none"/>
              </w:rPr>
            </w:pPr>
            <w:r>
              <w:rPr>
                <w:rFonts w:ascii="宋体" w:hAnsi="宋体" w:cs="宋体"/>
                <w:color w:val="auto"/>
                <w:highlight w:val="none"/>
              </w:rPr>
              <w:t>1. 通讯设备</w:t>
            </w:r>
          </w:p>
        </w:tc>
        <w:tc>
          <w:tcPr>
            <w:tcW w:w="1590" w:type="dxa"/>
          </w:tcPr>
          <w:p w14:paraId="0741E906">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06955031">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29322671">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4AD8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tcPr>
          <w:p w14:paraId="18440455">
            <w:pPr>
              <w:shd w:val="clear"/>
              <w:spacing w:line="360" w:lineRule="auto"/>
              <w:jc w:val="center"/>
              <w:rPr>
                <w:rFonts w:hint="eastAsia" w:ascii="宋体" w:hAnsi="宋体" w:cs="宋体"/>
                <w:color w:val="auto"/>
                <w:highlight w:val="none"/>
              </w:rPr>
            </w:pPr>
            <w:r>
              <w:rPr>
                <w:rFonts w:ascii="宋体" w:hAnsi="宋体" w:cs="宋体"/>
                <w:color w:val="auto"/>
                <w:highlight w:val="none"/>
              </w:rPr>
              <w:t>2. 办公设备</w:t>
            </w:r>
          </w:p>
        </w:tc>
        <w:tc>
          <w:tcPr>
            <w:tcW w:w="1590" w:type="dxa"/>
          </w:tcPr>
          <w:p w14:paraId="0466EA34">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7B337EA4">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018E4ACD">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1960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6419D8A4">
            <w:pPr>
              <w:shd w:val="clear"/>
              <w:spacing w:line="360" w:lineRule="auto"/>
              <w:jc w:val="center"/>
              <w:rPr>
                <w:rFonts w:hint="eastAsia" w:ascii="宋体" w:hAnsi="宋体" w:cs="宋体"/>
                <w:color w:val="auto"/>
                <w:highlight w:val="none"/>
              </w:rPr>
            </w:pPr>
            <w:r>
              <w:rPr>
                <w:rFonts w:ascii="宋体" w:hAnsi="宋体" w:cs="宋体"/>
                <w:color w:val="auto"/>
                <w:highlight w:val="none"/>
              </w:rPr>
              <w:t>3. 交通工具</w:t>
            </w:r>
          </w:p>
        </w:tc>
        <w:tc>
          <w:tcPr>
            <w:tcW w:w="1590" w:type="dxa"/>
          </w:tcPr>
          <w:p w14:paraId="4E99094F">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6006ED98">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04D5CE84">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r w14:paraId="2ACA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2148A1CE">
            <w:pPr>
              <w:shd w:val="clear"/>
              <w:spacing w:line="360" w:lineRule="auto"/>
              <w:jc w:val="center"/>
              <w:rPr>
                <w:rFonts w:hint="eastAsia" w:ascii="宋体" w:hAnsi="宋体" w:cs="宋体"/>
                <w:color w:val="auto"/>
                <w:highlight w:val="none"/>
              </w:rPr>
            </w:pPr>
            <w:r>
              <w:rPr>
                <w:rFonts w:ascii="宋体" w:hAnsi="宋体" w:cs="宋体"/>
                <w:color w:val="auto"/>
                <w:highlight w:val="none"/>
              </w:rPr>
              <w:t>4. 检测和试验设备</w:t>
            </w:r>
          </w:p>
        </w:tc>
        <w:tc>
          <w:tcPr>
            <w:tcW w:w="1590" w:type="dxa"/>
          </w:tcPr>
          <w:p w14:paraId="7A741D3F">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2128" w:type="dxa"/>
          </w:tcPr>
          <w:p w14:paraId="5392E9AE">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c>
          <w:tcPr>
            <w:tcW w:w="1864" w:type="dxa"/>
          </w:tcPr>
          <w:p w14:paraId="461B925A">
            <w:pPr>
              <w:shd w:val="clear"/>
              <w:spacing w:line="360" w:lineRule="auto"/>
              <w:jc w:val="center"/>
              <w:rPr>
                <w:rFonts w:hint="eastAsia" w:ascii="宋体" w:hAnsi="宋体" w:cs="宋体"/>
                <w:color w:val="auto"/>
                <w:highlight w:val="none"/>
              </w:rPr>
            </w:pPr>
            <w:r>
              <w:rPr>
                <w:rFonts w:ascii="宋体" w:hAnsi="宋体" w:cs="宋体"/>
                <w:color w:val="auto"/>
                <w:highlight w:val="none"/>
              </w:rPr>
              <w:t>/</w:t>
            </w:r>
          </w:p>
        </w:tc>
      </w:tr>
    </w:tbl>
    <w:p w14:paraId="2E1A79A5">
      <w:pPr>
        <w:shd w:val="clear"/>
        <w:spacing w:line="360" w:lineRule="auto"/>
        <w:rPr>
          <w:color w:val="auto"/>
          <w:highlight w:val="none"/>
        </w:rPr>
        <w:sectPr>
          <w:footerReference r:id="rId5" w:type="default"/>
          <w:pgSz w:w="11905" w:h="16838"/>
          <w:pgMar w:top="1247" w:right="1361" w:bottom="1247" w:left="1361" w:header="0" w:footer="1020" w:gutter="0"/>
          <w:cols w:space="0" w:num="1"/>
        </w:sectPr>
      </w:pPr>
    </w:p>
    <w:bookmarkEnd w:id="224"/>
    <w:bookmarkEnd w:id="225"/>
    <w:p w14:paraId="48B97EAA">
      <w:pPr>
        <w:shd w:val="clear" w:color="auto"/>
        <w:spacing w:line="360" w:lineRule="auto"/>
        <w:jc w:val="center"/>
        <w:rPr>
          <w:rFonts w:hint="eastAsia" w:hAnsi="宋体"/>
          <w:color w:val="auto"/>
          <w:sz w:val="32"/>
          <w:szCs w:val="32"/>
          <w:highlight w:val="none"/>
        </w:rPr>
      </w:pPr>
      <w:r>
        <w:rPr>
          <w:rFonts w:hint="eastAsia" w:ascii="Arial" w:hAnsi="Arial" w:cs="Arial"/>
          <w:color w:val="auto"/>
          <w:kern w:val="0"/>
          <w:sz w:val="32"/>
          <w:szCs w:val="32"/>
          <w:highlight w:val="none"/>
        </w:rPr>
        <w:t>廉政协议</w:t>
      </w:r>
    </w:p>
    <w:p w14:paraId="0F3D23CA">
      <w:pPr>
        <w:shd w:val="clear" w:color="auto"/>
        <w:spacing w:line="360" w:lineRule="auto"/>
        <w:ind w:firstLine="440" w:firstLineChars="200"/>
        <w:jc w:val="left"/>
        <w:rPr>
          <w:rFonts w:ascii="Arial" w:hAnsi="Arial" w:cs="Arial"/>
          <w:color w:val="auto"/>
          <w:kern w:val="0"/>
          <w:sz w:val="22"/>
          <w:szCs w:val="22"/>
          <w:highlight w:val="none"/>
        </w:rPr>
      </w:pPr>
      <w:r>
        <w:rPr>
          <w:rFonts w:hint="eastAsia" w:ascii="Arial" w:hAnsi="Arial" w:cs="Arial"/>
          <w:color w:val="auto"/>
          <w:kern w:val="0"/>
          <w:sz w:val="22"/>
          <w:szCs w:val="22"/>
          <w:highlight w:val="none"/>
        </w:rPr>
        <w:t>发包人：</w:t>
      </w:r>
    </w:p>
    <w:p w14:paraId="3792C2AB">
      <w:pPr>
        <w:shd w:val="clear" w:color="auto"/>
        <w:spacing w:line="360" w:lineRule="auto"/>
        <w:ind w:firstLine="440" w:firstLineChars="200"/>
        <w:jc w:val="left"/>
        <w:rPr>
          <w:rFonts w:ascii="Arial" w:hAnsi="Arial" w:cs="Arial"/>
          <w:color w:val="auto"/>
          <w:kern w:val="0"/>
          <w:sz w:val="22"/>
          <w:szCs w:val="22"/>
          <w:highlight w:val="none"/>
        </w:rPr>
      </w:pPr>
      <w:r>
        <w:rPr>
          <w:rFonts w:hint="eastAsia" w:ascii="Arial" w:hAnsi="Arial" w:cs="Arial"/>
          <w:color w:val="auto"/>
          <w:kern w:val="0"/>
          <w:sz w:val="22"/>
          <w:szCs w:val="22"/>
          <w:highlight w:val="none"/>
        </w:rPr>
        <w:t>承包人：</w:t>
      </w:r>
    </w:p>
    <w:p w14:paraId="1442DC23">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6403DF2A">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一、双方的责任</w:t>
      </w:r>
    </w:p>
    <w:p w14:paraId="03952DCC">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1.1</w:t>
      </w:r>
      <w:r>
        <w:rPr>
          <w:rFonts w:hint="eastAsia" w:hAnsi="Arial" w:cs="Arial"/>
          <w:color w:val="auto"/>
          <w:kern w:val="0"/>
          <w:sz w:val="22"/>
          <w:szCs w:val="22"/>
          <w:highlight w:val="none"/>
        </w:rPr>
        <w:t>应严格遵守国家关于建设工程的有关法律、法规，相关政策，以及廉政建设的各项规定。</w:t>
      </w:r>
    </w:p>
    <w:p w14:paraId="0D0A8EEE">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1.2</w:t>
      </w:r>
      <w:r>
        <w:rPr>
          <w:rFonts w:hint="eastAsia" w:hAnsi="Arial" w:cs="Arial"/>
          <w:color w:val="auto"/>
          <w:kern w:val="0"/>
          <w:sz w:val="22"/>
          <w:szCs w:val="22"/>
          <w:highlight w:val="none"/>
        </w:rPr>
        <w:t>严格执行建设工程合同文件，自觉按合同办事。</w:t>
      </w:r>
    </w:p>
    <w:p w14:paraId="6919ED31">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1.3</w:t>
      </w:r>
      <w:r>
        <w:rPr>
          <w:rFonts w:hint="eastAsia" w:hAnsi="Arial" w:cs="Arial"/>
          <w:color w:val="auto"/>
          <w:kern w:val="0"/>
          <w:sz w:val="22"/>
          <w:szCs w:val="22"/>
          <w:highlight w:val="none"/>
        </w:rPr>
        <w:t>各项活动必须坚持公开、公平、公正、诚信、透明的原则</w:t>
      </w:r>
      <w:r>
        <w:rPr>
          <w:rFonts w:hint="eastAsia" w:cs="Arial"/>
          <w:color w:val="auto"/>
          <w:kern w:val="0"/>
          <w:sz w:val="22"/>
          <w:szCs w:val="22"/>
          <w:highlight w:val="none"/>
        </w:rPr>
        <w:t>(</w:t>
      </w:r>
      <w:r>
        <w:rPr>
          <w:rFonts w:hint="eastAsia" w:hAnsi="Arial" w:cs="Arial"/>
          <w:color w:val="auto"/>
          <w:kern w:val="0"/>
          <w:sz w:val="22"/>
          <w:szCs w:val="22"/>
          <w:highlight w:val="none"/>
        </w:rPr>
        <w:t>除法律法规另有规定者外</w:t>
      </w:r>
      <w:r>
        <w:rPr>
          <w:rFonts w:hint="eastAsia" w:cs="Arial"/>
          <w:color w:val="auto"/>
          <w:kern w:val="0"/>
          <w:sz w:val="22"/>
          <w:szCs w:val="22"/>
          <w:highlight w:val="none"/>
        </w:rPr>
        <w:t>)</w:t>
      </w:r>
      <w:r>
        <w:rPr>
          <w:rFonts w:hint="eastAsia" w:hAnsi="Arial" w:cs="Arial"/>
          <w:color w:val="auto"/>
          <w:kern w:val="0"/>
          <w:sz w:val="22"/>
          <w:szCs w:val="22"/>
          <w:highlight w:val="none"/>
        </w:rPr>
        <w:t>，不得为获取不正当的利益，损害国家、集体和对方利益，不得违反建设工程管理的规章制度。</w:t>
      </w:r>
    </w:p>
    <w:p w14:paraId="22AD5B80">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1.4</w:t>
      </w:r>
      <w:r>
        <w:rPr>
          <w:rFonts w:hint="eastAsia" w:hAnsi="Arial" w:cs="Arial"/>
          <w:color w:val="auto"/>
          <w:kern w:val="0"/>
          <w:sz w:val="22"/>
          <w:szCs w:val="22"/>
          <w:highlight w:val="none"/>
        </w:rPr>
        <w:t>发现对方在业务活动中有违规、违纪、违法行为的，应及时提醒对方，情节严重的，应向其上级主管部门或纪检监察、司法等有关机关举报。</w:t>
      </w:r>
    </w:p>
    <w:p w14:paraId="6F9C0A26">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二、发包人责任</w:t>
      </w:r>
    </w:p>
    <w:p w14:paraId="503E4D0A">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发包人的领导和从事该建设工程项目的工作人员，在工程建设的事前、事中、事后应遵守以下规定：</w:t>
      </w:r>
    </w:p>
    <w:p w14:paraId="011E4E94">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2.1</w:t>
      </w:r>
      <w:r>
        <w:rPr>
          <w:rFonts w:hint="eastAsia" w:hAnsi="Arial" w:cs="Arial"/>
          <w:color w:val="auto"/>
          <w:kern w:val="0"/>
          <w:sz w:val="22"/>
          <w:szCs w:val="22"/>
          <w:highlight w:val="none"/>
        </w:rPr>
        <w:t>不得向承包人和相关单位索要或接受回扣、礼金、有价证券、贵重物品和好处费、感谢费等。</w:t>
      </w:r>
    </w:p>
    <w:p w14:paraId="02B9445C">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2.2</w:t>
      </w:r>
      <w:r>
        <w:rPr>
          <w:rFonts w:hint="eastAsia" w:hAnsi="Arial" w:cs="Arial"/>
          <w:color w:val="auto"/>
          <w:kern w:val="0"/>
          <w:sz w:val="22"/>
          <w:szCs w:val="22"/>
          <w:highlight w:val="none"/>
        </w:rPr>
        <w:t>不得在承包人和相关单位报销任何应由发包人或个人支付的费用。</w:t>
      </w:r>
    </w:p>
    <w:p w14:paraId="18802091">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2.3</w:t>
      </w:r>
      <w:r>
        <w:rPr>
          <w:rFonts w:hint="eastAsia" w:hAnsi="Arial" w:cs="Arial"/>
          <w:color w:val="auto"/>
          <w:kern w:val="0"/>
          <w:sz w:val="22"/>
          <w:szCs w:val="22"/>
          <w:highlight w:val="none"/>
        </w:rPr>
        <w:t>不得要求、暗示或接受承包人和相关单位为个人装修住房、婚丧嫁娶、配偶子女的工作安排以及出国</w:t>
      </w:r>
      <w:r>
        <w:rPr>
          <w:rFonts w:hint="eastAsia" w:cs="Arial"/>
          <w:color w:val="auto"/>
          <w:kern w:val="0"/>
          <w:sz w:val="22"/>
          <w:szCs w:val="22"/>
          <w:highlight w:val="none"/>
        </w:rPr>
        <w:t>(</w:t>
      </w:r>
      <w:r>
        <w:rPr>
          <w:rFonts w:hint="eastAsia" w:hAnsi="Arial" w:cs="Arial"/>
          <w:color w:val="auto"/>
          <w:kern w:val="0"/>
          <w:sz w:val="22"/>
          <w:szCs w:val="22"/>
          <w:highlight w:val="none"/>
        </w:rPr>
        <w:t>境</w:t>
      </w:r>
      <w:r>
        <w:rPr>
          <w:rFonts w:hint="eastAsia" w:cs="Arial"/>
          <w:color w:val="auto"/>
          <w:kern w:val="0"/>
          <w:sz w:val="22"/>
          <w:szCs w:val="22"/>
          <w:highlight w:val="none"/>
        </w:rPr>
        <w:t>)</w:t>
      </w:r>
      <w:r>
        <w:rPr>
          <w:rFonts w:hint="eastAsia" w:hAnsi="Arial" w:cs="Arial"/>
          <w:color w:val="auto"/>
          <w:kern w:val="0"/>
          <w:sz w:val="22"/>
          <w:szCs w:val="22"/>
          <w:highlight w:val="none"/>
        </w:rPr>
        <w:t>、旅游等提供方便。</w:t>
      </w:r>
    </w:p>
    <w:p w14:paraId="066E20EC">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2.4</w:t>
      </w:r>
      <w:r>
        <w:rPr>
          <w:rFonts w:hint="eastAsia" w:hAnsi="Arial" w:cs="Arial"/>
          <w:color w:val="auto"/>
          <w:kern w:val="0"/>
          <w:sz w:val="22"/>
          <w:szCs w:val="22"/>
          <w:highlight w:val="none"/>
        </w:rPr>
        <w:t>不得参加有可能影响公正执行公务的承包人和相关单位的宴请、健身、娱乐等活动。</w:t>
      </w:r>
    </w:p>
    <w:p w14:paraId="49F1B871">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2.5</w:t>
      </w:r>
      <w:r>
        <w:rPr>
          <w:rFonts w:hint="eastAsia" w:hAnsi="Arial" w:cs="Arial"/>
          <w:color w:val="auto"/>
          <w:kern w:val="0"/>
          <w:sz w:val="22"/>
          <w:szCs w:val="22"/>
          <w:highlight w:val="none"/>
        </w:rPr>
        <w:t>不得向承包人和相关单位介绍或为配偶、子女、亲属参与同发包人工程建设管理合同有关的业务活动；不得以任何理由要求承包人和相关单位使用某种产品、材料和设备。</w:t>
      </w:r>
    </w:p>
    <w:p w14:paraId="593D99CF">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三、承包人责任</w:t>
      </w:r>
    </w:p>
    <w:p w14:paraId="2B4278C3">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应与发包人保持正常的业务交往，按照有关法律法规和程序开展业务工作，严格执行工程建设的有关方针、政策，执行工程建设强制性标准，并遵守以下规定：</w:t>
      </w:r>
    </w:p>
    <w:p w14:paraId="301F8D29">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3.1</w:t>
      </w:r>
      <w:r>
        <w:rPr>
          <w:rFonts w:hint="eastAsia" w:hAnsi="Arial" w:cs="Arial"/>
          <w:color w:val="auto"/>
          <w:kern w:val="0"/>
          <w:sz w:val="22"/>
          <w:szCs w:val="22"/>
          <w:highlight w:val="none"/>
        </w:rPr>
        <w:t>不得以任何理由向发包人及其工作人员索要、接受或赠送礼金、有价证券、贵重物品及回扣、好处费、感谢费等。</w:t>
      </w:r>
    </w:p>
    <w:p w14:paraId="457719D6">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3.2</w:t>
      </w:r>
      <w:r>
        <w:rPr>
          <w:rFonts w:hint="eastAsia" w:hAnsi="Arial" w:cs="Arial"/>
          <w:color w:val="auto"/>
          <w:kern w:val="0"/>
          <w:sz w:val="22"/>
          <w:szCs w:val="22"/>
          <w:highlight w:val="none"/>
        </w:rPr>
        <w:t>不得以任何理由为发包人和相关单位报销应由对方或个人支付的费用。</w:t>
      </w:r>
    </w:p>
    <w:p w14:paraId="05270C93">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3.3</w:t>
      </w:r>
      <w:r>
        <w:rPr>
          <w:rFonts w:hint="eastAsia" w:hAnsi="Arial" w:cs="Arial"/>
          <w:color w:val="auto"/>
          <w:kern w:val="0"/>
          <w:sz w:val="22"/>
          <w:szCs w:val="22"/>
          <w:highlight w:val="none"/>
        </w:rPr>
        <w:t>不得接受或暗示为发包人、相关单位或个人装修住房、婚丧嫁娶、配偶子女的工作安排以及出国</w:t>
      </w:r>
      <w:r>
        <w:rPr>
          <w:rFonts w:hint="eastAsia" w:cs="Arial"/>
          <w:color w:val="auto"/>
          <w:kern w:val="0"/>
          <w:sz w:val="22"/>
          <w:szCs w:val="22"/>
          <w:highlight w:val="none"/>
        </w:rPr>
        <w:t>(</w:t>
      </w:r>
      <w:r>
        <w:rPr>
          <w:rFonts w:hint="eastAsia" w:hAnsi="Arial" w:cs="Arial"/>
          <w:color w:val="auto"/>
          <w:kern w:val="0"/>
          <w:sz w:val="22"/>
          <w:szCs w:val="22"/>
          <w:highlight w:val="none"/>
        </w:rPr>
        <w:t>境</w:t>
      </w:r>
      <w:r>
        <w:rPr>
          <w:rFonts w:hint="eastAsia" w:cs="Arial"/>
          <w:color w:val="auto"/>
          <w:kern w:val="0"/>
          <w:sz w:val="22"/>
          <w:szCs w:val="22"/>
          <w:highlight w:val="none"/>
        </w:rPr>
        <w:t>)</w:t>
      </w:r>
      <w:r>
        <w:rPr>
          <w:rFonts w:hint="eastAsia" w:hAnsi="Arial" w:cs="Arial"/>
          <w:color w:val="auto"/>
          <w:kern w:val="0"/>
          <w:sz w:val="22"/>
          <w:szCs w:val="22"/>
          <w:highlight w:val="none"/>
        </w:rPr>
        <w:t>、旅游等提供方便。</w:t>
      </w:r>
    </w:p>
    <w:p w14:paraId="461A111C">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3.4</w:t>
      </w:r>
      <w:r>
        <w:rPr>
          <w:rFonts w:hint="eastAsia" w:hAnsi="Arial" w:cs="Arial"/>
          <w:color w:val="auto"/>
          <w:kern w:val="0"/>
          <w:sz w:val="22"/>
          <w:szCs w:val="22"/>
          <w:highlight w:val="none"/>
        </w:rPr>
        <w:t>不得以任何理由为发包人、相关单位或个人组织有可能影响公正执行公务的宴请、健身、娱乐等活动。</w:t>
      </w:r>
    </w:p>
    <w:p w14:paraId="710F315E">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四、违约责任</w:t>
      </w:r>
    </w:p>
    <w:p w14:paraId="6EE5C6F3">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4.1</w:t>
      </w:r>
      <w:r>
        <w:rPr>
          <w:rFonts w:hint="eastAsia" w:hAnsi="Arial" w:cs="Arial"/>
          <w:color w:val="auto"/>
          <w:kern w:val="0"/>
          <w:sz w:val="22"/>
          <w:szCs w:val="22"/>
          <w:highlight w:val="none"/>
        </w:rPr>
        <w:t>发包人工作人员有违反本责任书第一、二条责任行为的，依据有关法律、法规给予处理；涉嫌犯罪的，移交司法机关追究刑事责任；给承包人单位造成经济损失的，应予以赔偿。</w:t>
      </w:r>
    </w:p>
    <w:p w14:paraId="000E5663">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4.2</w:t>
      </w:r>
      <w:r>
        <w:rPr>
          <w:rFonts w:hint="eastAsia" w:hAnsi="Arial" w:cs="Arial"/>
          <w:color w:val="auto"/>
          <w:kern w:val="0"/>
          <w:sz w:val="22"/>
          <w:szCs w:val="22"/>
          <w:highlight w:val="none"/>
        </w:rPr>
        <w:t>承包人工作人员有违反本责任书第一、三条责任行为的，依据有关法律法规处理；涉嫌犯罪的，移交司法机关追究刑事责任；给发包人单位造成经济损失的，应予以赔偿。</w:t>
      </w:r>
    </w:p>
    <w:p w14:paraId="4114BC0D">
      <w:pPr>
        <w:shd w:val="clear" w:color="auto"/>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4.3</w:t>
      </w:r>
      <w:r>
        <w:rPr>
          <w:rFonts w:hint="eastAsia" w:hAnsi="Arial" w:cs="Arial"/>
          <w:color w:val="auto"/>
          <w:kern w:val="0"/>
          <w:sz w:val="22"/>
          <w:szCs w:val="22"/>
          <w:highlight w:val="none"/>
        </w:rPr>
        <w:t>本责任书作为建设工程合同的组成部分，与建设工程合同具有同等法律效力。经双方签署后立即生效。</w:t>
      </w:r>
    </w:p>
    <w:p w14:paraId="537F1F61">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五、责任书有效期</w:t>
      </w:r>
    </w:p>
    <w:p w14:paraId="4EE3BFDA">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本责任书的有效期为双方签署之日起至该工程项目竣工验收合格时止。</w:t>
      </w:r>
    </w:p>
    <w:p w14:paraId="1243F274">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六、责任书份数</w:t>
      </w:r>
    </w:p>
    <w:p w14:paraId="53B900F7">
      <w:pPr>
        <w:shd w:val="clear" w:color="auto"/>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本责任书一式二份，发包人承包人各执一份，具有同等效力。</w:t>
      </w:r>
    </w:p>
    <w:p w14:paraId="7B66DFBD">
      <w:pPr>
        <w:pStyle w:val="10"/>
        <w:shd w:val="clear"/>
        <w:ind w:firstLine="480"/>
        <w:rPr>
          <w:color w:val="auto"/>
          <w:highlight w:val="none"/>
        </w:rPr>
      </w:pPr>
    </w:p>
    <w:p w14:paraId="34A257F6">
      <w:pPr>
        <w:shd w:val="clear"/>
        <w:spacing w:line="360" w:lineRule="auto"/>
        <w:ind w:firstLine="415" w:firstLineChars="198"/>
        <w:rPr>
          <w:color w:val="auto"/>
          <w:szCs w:val="21"/>
          <w:highlight w:val="none"/>
        </w:rPr>
      </w:pPr>
      <w:r>
        <w:rPr>
          <w:rFonts w:hint="eastAsia" w:hAnsi="宋体"/>
          <w:color w:val="auto"/>
          <w:szCs w:val="21"/>
          <w:highlight w:val="none"/>
        </w:rPr>
        <w:t>委托人：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监理人：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p>
    <w:p w14:paraId="53154D69">
      <w:pPr>
        <w:shd w:val="clear"/>
        <w:spacing w:line="360" w:lineRule="auto"/>
        <w:ind w:firstLine="415" w:firstLineChars="198"/>
        <w:rPr>
          <w:color w:val="auto"/>
          <w:szCs w:val="21"/>
          <w:highlight w:val="none"/>
        </w:rPr>
      </w:pP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p>
    <w:p w14:paraId="73479533">
      <w:pPr>
        <w:shd w:val="clear"/>
        <w:spacing w:line="360" w:lineRule="auto"/>
        <w:ind w:firstLine="420" w:firstLineChars="200"/>
        <w:rPr>
          <w:color w:val="auto"/>
          <w:szCs w:val="21"/>
          <w:highlight w:val="none"/>
        </w:rPr>
      </w:pPr>
      <w:r>
        <w:rPr>
          <w:rFonts w:hint="eastAsia" w:hAnsi="宋体"/>
          <w:color w:val="auto"/>
          <w:szCs w:val="21"/>
          <w:highlight w:val="none"/>
        </w:rPr>
        <w:t>邮政编码：</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邮政编码：</w:t>
      </w:r>
      <w:r>
        <w:rPr>
          <w:rFonts w:hint="eastAsia"/>
          <w:color w:val="auto"/>
          <w:szCs w:val="21"/>
          <w:highlight w:val="none"/>
          <w:u w:val="single"/>
        </w:rPr>
        <w:t xml:space="preserve">                  </w:t>
      </w:r>
    </w:p>
    <w:p w14:paraId="1C33C07D">
      <w:pPr>
        <w:shd w:val="clear"/>
        <w:spacing w:line="360" w:lineRule="auto"/>
        <w:ind w:firstLine="415" w:firstLineChars="198"/>
        <w:rPr>
          <w:color w:val="auto"/>
          <w:szCs w:val="21"/>
          <w:highlight w:val="none"/>
        </w:rPr>
      </w:pPr>
      <w:r>
        <w:rPr>
          <w:rFonts w:hint="eastAsia" w:hAnsi="宋体"/>
          <w:color w:val="auto"/>
          <w:szCs w:val="21"/>
          <w:highlight w:val="none"/>
        </w:rPr>
        <w:t>法定代表人或其授权</w:t>
      </w:r>
      <w:r>
        <w:rPr>
          <w:rFonts w:hint="eastAsia"/>
          <w:color w:val="auto"/>
          <w:szCs w:val="21"/>
          <w:highlight w:val="none"/>
        </w:rPr>
        <w:t xml:space="preserve">              </w:t>
      </w:r>
      <w:r>
        <w:rPr>
          <w:rFonts w:hint="eastAsia" w:hAnsi="宋体"/>
          <w:color w:val="auto"/>
          <w:szCs w:val="21"/>
          <w:highlight w:val="none"/>
        </w:rPr>
        <w:t>法定代表人或其授权</w:t>
      </w:r>
    </w:p>
    <w:p w14:paraId="086C31BD">
      <w:pPr>
        <w:shd w:val="clear"/>
        <w:spacing w:line="360" w:lineRule="auto"/>
        <w:ind w:firstLine="415" w:firstLineChars="198"/>
        <w:rPr>
          <w:color w:val="auto"/>
          <w:szCs w:val="21"/>
          <w:highlight w:val="none"/>
        </w:rPr>
      </w:pP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p>
    <w:p w14:paraId="39BCC739">
      <w:pPr>
        <w:shd w:val="clear"/>
        <w:spacing w:line="360" w:lineRule="auto"/>
        <w:ind w:firstLine="415" w:firstLineChars="198"/>
        <w:rPr>
          <w:color w:val="auto"/>
          <w:szCs w:val="21"/>
          <w:highlight w:val="none"/>
        </w:rPr>
      </w:pPr>
      <w:r>
        <w:rPr>
          <w:rFonts w:hint="eastAsia" w:hAnsi="宋体"/>
          <w:color w:val="auto"/>
          <w:szCs w:val="21"/>
          <w:highlight w:val="none"/>
        </w:rPr>
        <w:t>开户银行：</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开户银行：</w:t>
      </w:r>
      <w:r>
        <w:rPr>
          <w:rFonts w:hint="eastAsia"/>
          <w:color w:val="auto"/>
          <w:szCs w:val="21"/>
          <w:highlight w:val="none"/>
          <w:u w:val="single"/>
        </w:rPr>
        <w:t xml:space="preserve">                  </w:t>
      </w:r>
    </w:p>
    <w:p w14:paraId="1A33ABF4">
      <w:pPr>
        <w:shd w:val="clear"/>
        <w:spacing w:line="360" w:lineRule="auto"/>
        <w:ind w:firstLine="415" w:firstLineChars="198"/>
        <w:rPr>
          <w:color w:val="auto"/>
          <w:szCs w:val="21"/>
          <w:highlight w:val="none"/>
        </w:rPr>
      </w:pP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p>
    <w:p w14:paraId="4B5865BD">
      <w:pPr>
        <w:shd w:val="clear"/>
        <w:spacing w:line="360" w:lineRule="auto"/>
        <w:ind w:firstLine="415" w:firstLineChars="198"/>
        <w:rPr>
          <w:color w:val="auto"/>
          <w:szCs w:val="21"/>
          <w:highlight w:val="none"/>
        </w:rPr>
      </w:pPr>
      <w:r>
        <w:rPr>
          <w:rFonts w:hint="eastAsia" w:hAnsi="宋体"/>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电话：</w:t>
      </w:r>
      <w:r>
        <w:rPr>
          <w:rFonts w:hint="eastAsia"/>
          <w:color w:val="auto"/>
          <w:szCs w:val="21"/>
          <w:highlight w:val="none"/>
          <w:u w:val="single"/>
        </w:rPr>
        <w:t xml:space="preserve">                       </w:t>
      </w:r>
    </w:p>
    <w:p w14:paraId="1943E30C">
      <w:pPr>
        <w:shd w:val="clear"/>
        <w:spacing w:line="360" w:lineRule="auto"/>
        <w:ind w:firstLine="415" w:firstLineChars="198"/>
        <w:rPr>
          <w:color w:val="auto"/>
          <w:szCs w:val="21"/>
          <w:highlight w:val="none"/>
        </w:rPr>
      </w:pPr>
      <w:r>
        <w:rPr>
          <w:rFonts w:hint="eastAsia" w:hAnsi="宋体"/>
          <w:color w:val="auto"/>
          <w:szCs w:val="21"/>
          <w:highlight w:val="none"/>
        </w:rPr>
        <w:t>传真：</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传真：</w:t>
      </w:r>
      <w:r>
        <w:rPr>
          <w:rFonts w:hint="eastAsia"/>
          <w:color w:val="auto"/>
          <w:szCs w:val="21"/>
          <w:highlight w:val="none"/>
          <w:u w:val="single"/>
        </w:rPr>
        <w:t xml:space="preserve">                       </w:t>
      </w:r>
    </w:p>
    <w:p w14:paraId="5C69FF9A">
      <w:pPr>
        <w:pStyle w:val="10"/>
        <w:shd w:val="clear"/>
        <w:ind w:firstLine="420"/>
        <w:rPr>
          <w:rFonts w:hint="eastAsia" w:ascii="宋体" w:hAnsi="宋体" w:eastAsia="宋体" w:cs="宋体"/>
          <w:color w:val="auto"/>
          <w:kern w:val="0"/>
          <w:sz w:val="21"/>
          <w:szCs w:val="21"/>
          <w:highlight w:val="none"/>
        </w:rPr>
      </w:pP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p>
    <w:p w14:paraId="697F9248">
      <w:pPr>
        <w:pStyle w:val="2"/>
        <w:keepNext w:val="0"/>
        <w:keepLines w:val="0"/>
        <w:shd w:val="clear"/>
        <w:adjustRightInd w:val="0"/>
        <w:snapToGrid w:val="0"/>
        <w:spacing w:before="0" w:after="0" w:line="360" w:lineRule="auto"/>
        <w:jc w:val="center"/>
        <w:rPr>
          <w:rFonts w:hint="eastAsia" w:ascii="宋体" w:hAnsi="宋体" w:cs="宋体"/>
          <w:color w:val="auto"/>
          <w:kern w:val="0"/>
          <w:sz w:val="32"/>
          <w:szCs w:val="40"/>
          <w:highlight w:val="none"/>
        </w:rPr>
      </w:pPr>
      <w:r>
        <w:rPr>
          <w:rFonts w:hint="eastAsia" w:ascii="宋体" w:hAnsi="宋体" w:cs="宋体"/>
          <w:color w:val="auto"/>
          <w:kern w:val="0"/>
          <w:sz w:val="36"/>
          <w:highlight w:val="none"/>
        </w:rPr>
        <w:br w:type="page"/>
      </w:r>
      <w:bookmarkStart w:id="246" w:name="_Toc4055"/>
      <w:bookmarkStart w:id="247" w:name="_Toc21021"/>
      <w:bookmarkStart w:id="248" w:name="_Toc13574"/>
      <w:r>
        <w:rPr>
          <w:rFonts w:hint="eastAsia" w:ascii="宋体" w:hAnsi="宋体" w:cs="宋体"/>
          <w:color w:val="auto"/>
          <w:kern w:val="0"/>
          <w:sz w:val="32"/>
          <w:szCs w:val="40"/>
          <w:highlight w:val="none"/>
        </w:rPr>
        <w:t>第四章技术资料和设计文件</w:t>
      </w:r>
      <w:bookmarkEnd w:id="221"/>
      <w:bookmarkEnd w:id="222"/>
      <w:bookmarkEnd w:id="246"/>
      <w:bookmarkEnd w:id="247"/>
      <w:bookmarkEnd w:id="248"/>
    </w:p>
    <w:p w14:paraId="5E1BBE1A">
      <w:pPr>
        <w:shd w:val="clear"/>
        <w:rPr>
          <w:rFonts w:hint="eastAsia" w:ascii="宋体" w:hAnsi="宋体" w:cs="宋体"/>
          <w:color w:val="auto"/>
          <w:kern w:val="0"/>
          <w:highlight w:val="none"/>
        </w:rPr>
      </w:pPr>
    </w:p>
    <w:p w14:paraId="6958E580">
      <w:pPr>
        <w:shd w:val="clear"/>
        <w:spacing w:before="188" w:line="219"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1、《建筑工程项目管理规范》 GB/T50326-2006</w:t>
      </w:r>
    </w:p>
    <w:p w14:paraId="12695B96">
      <w:pPr>
        <w:shd w:val="clear"/>
        <w:spacing w:before="188" w:line="219"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 xml:space="preserve">2、《工程测量规范》 GB50026-20017     </w:t>
      </w:r>
    </w:p>
    <w:p w14:paraId="6EEB352C">
      <w:pPr>
        <w:shd w:val="clear"/>
        <w:spacing w:before="188" w:line="219"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3、《建筑工程冬期施工规程》 JGJ104-2016</w:t>
      </w:r>
    </w:p>
    <w:p w14:paraId="5063D537">
      <w:pPr>
        <w:shd w:val="clear"/>
        <w:spacing w:before="188" w:line="219"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4、《建设工程监理规范》GB50319-2013</w:t>
      </w:r>
    </w:p>
    <w:p w14:paraId="20F77F1E">
      <w:pPr>
        <w:shd w:val="clear"/>
        <w:spacing w:before="188" w:line="219"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5、《建设工程施工现场供用电安全规范》 GB50194-1993</w:t>
      </w:r>
    </w:p>
    <w:p w14:paraId="51D45719">
      <w:pPr>
        <w:shd w:val="clear"/>
        <w:spacing w:before="163" w:line="219"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6、《建筑施工安全检查标准》 JGJ59-2011</w:t>
      </w:r>
    </w:p>
    <w:p w14:paraId="5A1E3292">
      <w:pPr>
        <w:shd w:val="clear"/>
        <w:spacing w:before="188" w:line="219"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7、《施工现场临时用电安全技术规范》 JGJ146-2005</w:t>
      </w:r>
    </w:p>
    <w:p w14:paraId="5386F8BC">
      <w:pPr>
        <w:shd w:val="clear"/>
        <w:spacing w:before="187" w:line="226"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8、《建设工程文件归档整理规范》 GB/50328-2014</w:t>
      </w:r>
    </w:p>
    <w:p w14:paraId="7C011B23">
      <w:pPr>
        <w:shd w:val="clear"/>
        <w:spacing w:before="180" w:line="241"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9、国家、地方、行业现行的建设工程强制性条文、其他规范和标准</w:t>
      </w:r>
    </w:p>
    <w:p w14:paraId="517AFB8F">
      <w:pPr>
        <w:shd w:val="clear"/>
        <w:spacing w:before="163" w:line="241"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10、国家、地方、行业现行的有关材料、设备的规范和标准</w:t>
      </w:r>
    </w:p>
    <w:p w14:paraId="761181E0">
      <w:pPr>
        <w:shd w:val="clear"/>
        <w:spacing w:before="162" w:line="241"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11、国家和地方现行的建设工程质量评定标准、设计及施工验收规范</w:t>
      </w:r>
    </w:p>
    <w:p w14:paraId="18B061EB">
      <w:pPr>
        <w:shd w:val="clear"/>
        <w:spacing w:before="163" w:line="241"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12、经批准的施工图纸及说明，以及经图纸会审确定的修改设计通知书</w:t>
      </w:r>
    </w:p>
    <w:p w14:paraId="41A92B72">
      <w:pPr>
        <w:shd w:val="clear"/>
        <w:spacing w:before="163" w:line="241"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13、本工程的设计、施工、招投标文件及合同</w:t>
      </w:r>
    </w:p>
    <w:p w14:paraId="11F47B4D">
      <w:pPr>
        <w:shd w:val="clear"/>
        <w:spacing w:before="163" w:line="242"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14、委托人发出的有关本工程建设的指令</w:t>
      </w:r>
    </w:p>
    <w:p w14:paraId="6B2AE601">
      <w:pPr>
        <w:shd w:val="clear"/>
        <w:spacing w:before="162" w:line="242" w:lineRule="auto"/>
        <w:ind w:left="141" w:leftChars="67"/>
        <w:rPr>
          <w:rFonts w:hint="eastAsia" w:ascii="宋体" w:hAnsi="宋体" w:cs="宋体"/>
          <w:color w:val="auto"/>
          <w:kern w:val="0"/>
          <w:highlight w:val="none"/>
        </w:rPr>
      </w:pPr>
      <w:r>
        <w:rPr>
          <w:rFonts w:hint="eastAsia" w:ascii="宋体" w:hAnsi="宋体" w:cs="宋体"/>
          <w:color w:val="auto"/>
          <w:kern w:val="0"/>
          <w:highlight w:val="none"/>
        </w:rPr>
        <w:t>15、委托人制定的有关本工程建设的规定</w:t>
      </w:r>
    </w:p>
    <w:p w14:paraId="67C69492">
      <w:pPr>
        <w:shd w:val="clear"/>
        <w:rPr>
          <w:rFonts w:hint="eastAsia" w:ascii="宋体" w:hAnsi="宋体" w:cs="宋体"/>
          <w:color w:val="auto"/>
          <w:kern w:val="0"/>
          <w:highlight w:val="none"/>
        </w:rPr>
        <w:sectPr>
          <w:footerReference r:id="rId6" w:type="default"/>
          <w:pgSz w:w="11907" w:h="16839"/>
          <w:pgMar w:top="1417" w:right="1701" w:bottom="1417" w:left="1701" w:header="0" w:footer="1021" w:gutter="0"/>
          <w:cols w:space="0" w:num="1"/>
        </w:sectPr>
      </w:pPr>
    </w:p>
    <w:p w14:paraId="483E8792">
      <w:pPr>
        <w:pStyle w:val="2"/>
        <w:keepNext w:val="0"/>
        <w:keepLines w:val="0"/>
        <w:shd w:val="clear"/>
        <w:adjustRightInd w:val="0"/>
        <w:snapToGrid w:val="0"/>
        <w:spacing w:before="0" w:after="0" w:line="360" w:lineRule="auto"/>
        <w:jc w:val="center"/>
        <w:rPr>
          <w:rFonts w:hint="eastAsia" w:ascii="宋体" w:hAnsi="宋体" w:cs="宋体"/>
          <w:color w:val="auto"/>
          <w:kern w:val="0"/>
          <w:sz w:val="32"/>
          <w:szCs w:val="40"/>
          <w:highlight w:val="none"/>
        </w:rPr>
      </w:pPr>
      <w:bookmarkStart w:id="249" w:name="_Toc398111717"/>
      <w:bookmarkStart w:id="250" w:name="_Toc27082"/>
      <w:bookmarkStart w:id="251" w:name="_Toc832"/>
      <w:bookmarkStart w:id="252" w:name="_Toc10854"/>
      <w:bookmarkStart w:id="253" w:name="_Toc19420"/>
      <w:r>
        <w:rPr>
          <w:rFonts w:hint="eastAsia" w:ascii="宋体" w:hAnsi="宋体" w:cs="宋体"/>
          <w:color w:val="auto"/>
          <w:kern w:val="0"/>
          <w:sz w:val="32"/>
          <w:szCs w:val="40"/>
          <w:highlight w:val="none"/>
        </w:rPr>
        <w:t>第五章投标文件格式</w:t>
      </w:r>
      <w:bookmarkEnd w:id="249"/>
      <w:bookmarkEnd w:id="250"/>
      <w:bookmarkEnd w:id="251"/>
      <w:bookmarkEnd w:id="252"/>
      <w:bookmarkEnd w:id="253"/>
    </w:p>
    <w:p w14:paraId="21E3C069">
      <w:pPr>
        <w:pStyle w:val="3"/>
        <w:keepNext w:val="0"/>
        <w:keepLines w:val="0"/>
        <w:shd w:val="clear"/>
        <w:spacing w:line="360" w:lineRule="auto"/>
        <w:rPr>
          <w:rFonts w:hint="eastAsia" w:ascii="宋体" w:hAnsi="宋体" w:eastAsia="宋体" w:cs="宋体"/>
          <w:b/>
          <w:color w:val="auto"/>
          <w:sz w:val="24"/>
          <w:szCs w:val="24"/>
          <w:highlight w:val="none"/>
        </w:rPr>
      </w:pPr>
      <w:bookmarkStart w:id="254" w:name="_Toc9194621"/>
      <w:bookmarkStart w:id="255" w:name="_Toc398111718"/>
      <w:bookmarkStart w:id="256" w:name="_Toc15994"/>
      <w:bookmarkStart w:id="257" w:name="_Toc21580"/>
      <w:bookmarkStart w:id="258" w:name="_Toc112768392"/>
      <w:r>
        <w:rPr>
          <w:rStyle w:val="35"/>
          <w:rFonts w:hint="eastAsia" w:ascii="宋体" w:hAnsi="宋体" w:eastAsia="宋体" w:cs="宋体"/>
          <w:b/>
          <w:bCs w:val="0"/>
          <w:color w:val="auto"/>
          <w:sz w:val="24"/>
          <w:szCs w:val="24"/>
          <w:highlight w:val="none"/>
        </w:rPr>
        <w:t>1. 投标文件封面、目录</w:t>
      </w:r>
      <w:bookmarkEnd w:id="254"/>
      <w:bookmarkEnd w:id="255"/>
      <w:bookmarkEnd w:id="256"/>
      <w:bookmarkEnd w:id="257"/>
      <w:bookmarkEnd w:id="258"/>
    </w:p>
    <w:p w14:paraId="395943DA">
      <w:pPr>
        <w:pStyle w:val="4"/>
        <w:keepNext w:val="0"/>
        <w:keepLines w:val="0"/>
        <w:shd w:val="clear"/>
        <w:spacing w:line="360" w:lineRule="auto"/>
        <w:rPr>
          <w:rFonts w:hint="eastAsia" w:ascii="宋体" w:hAnsi="宋体" w:eastAsia="宋体" w:cs="宋体"/>
          <w:color w:val="auto"/>
          <w:szCs w:val="24"/>
          <w:highlight w:val="none"/>
        </w:rPr>
      </w:pPr>
      <w:bookmarkStart w:id="259" w:name="_Toc29735"/>
      <w:bookmarkStart w:id="260" w:name="_Toc9194622"/>
      <w:bookmarkStart w:id="261" w:name="_Toc6693"/>
      <w:bookmarkStart w:id="262" w:name="_Toc398111719"/>
      <w:bookmarkStart w:id="263" w:name="_Toc112768393"/>
      <w:r>
        <w:rPr>
          <w:rFonts w:hint="eastAsia" w:ascii="宋体" w:hAnsi="宋体" w:eastAsia="宋体" w:cs="宋体"/>
          <w:color w:val="auto"/>
          <w:szCs w:val="24"/>
          <w:highlight w:val="none"/>
        </w:rPr>
        <w:t>1.1 投标文件封面</w:t>
      </w:r>
      <w:bookmarkEnd w:id="259"/>
      <w:bookmarkEnd w:id="260"/>
      <w:bookmarkEnd w:id="261"/>
      <w:bookmarkEnd w:id="262"/>
      <w:bookmarkEnd w:id="263"/>
    </w:p>
    <w:p w14:paraId="308CD584">
      <w:pPr>
        <w:shd w:val="clear"/>
        <w:spacing w:line="360" w:lineRule="auto"/>
        <w:jc w:val="righ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正本/副本</w:t>
      </w:r>
    </w:p>
    <w:p w14:paraId="25E80232">
      <w:pPr>
        <w:shd w:val="clear"/>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（项目名称）</w:t>
      </w:r>
    </w:p>
    <w:p w14:paraId="50A8F874">
      <w:pPr>
        <w:shd w:val="clear"/>
        <w:spacing w:line="360" w:lineRule="auto"/>
        <w:rPr>
          <w:rFonts w:hint="eastAsia" w:ascii="宋体" w:hAnsi="宋体" w:cs="宋体"/>
          <w:b/>
          <w:color w:val="auto"/>
          <w:kern w:val="0"/>
          <w:sz w:val="24"/>
          <w:highlight w:val="none"/>
        </w:rPr>
      </w:pPr>
    </w:p>
    <w:p w14:paraId="7D504E22">
      <w:pPr>
        <w:shd w:val="clear"/>
        <w:spacing w:line="360" w:lineRule="auto"/>
        <w:rPr>
          <w:rFonts w:hint="eastAsia" w:ascii="宋体" w:hAnsi="宋体" w:cs="宋体"/>
          <w:b/>
          <w:color w:val="auto"/>
          <w:kern w:val="0"/>
          <w:sz w:val="24"/>
          <w:highlight w:val="none"/>
        </w:rPr>
      </w:pPr>
    </w:p>
    <w:p w14:paraId="0CD25FF2">
      <w:pPr>
        <w:shd w:val="clear"/>
        <w:spacing w:line="360" w:lineRule="auto"/>
        <w:rPr>
          <w:rFonts w:hint="eastAsia" w:ascii="宋体" w:hAnsi="宋体" w:cs="宋体"/>
          <w:b/>
          <w:color w:val="auto"/>
          <w:kern w:val="0"/>
          <w:sz w:val="24"/>
          <w:highlight w:val="none"/>
        </w:rPr>
      </w:pPr>
    </w:p>
    <w:p w14:paraId="7DB78879">
      <w:pPr>
        <w:shd w:val="clear"/>
        <w:spacing w:line="360" w:lineRule="auto"/>
        <w:rPr>
          <w:rFonts w:hint="eastAsia" w:ascii="宋体" w:hAnsi="宋体" w:cs="宋体"/>
          <w:b/>
          <w:color w:val="auto"/>
          <w:kern w:val="0"/>
          <w:sz w:val="24"/>
          <w:highlight w:val="none"/>
        </w:rPr>
      </w:pPr>
    </w:p>
    <w:p w14:paraId="04FB87B1">
      <w:pPr>
        <w:shd w:val="clear"/>
        <w:spacing w:line="360" w:lineRule="auto"/>
        <w:rPr>
          <w:rFonts w:hint="eastAsia" w:ascii="宋体" w:hAnsi="宋体" w:cs="宋体"/>
          <w:b/>
          <w:color w:val="auto"/>
          <w:kern w:val="0"/>
          <w:sz w:val="24"/>
          <w:highlight w:val="none"/>
        </w:rPr>
      </w:pPr>
    </w:p>
    <w:p w14:paraId="40913CFC">
      <w:pPr>
        <w:shd w:val="clear"/>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投标文件</w:t>
      </w:r>
    </w:p>
    <w:p w14:paraId="1EDD656B">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（资格审查资料包/商务标）</w:t>
      </w:r>
    </w:p>
    <w:p w14:paraId="2E88737E">
      <w:pPr>
        <w:shd w:val="clear"/>
        <w:spacing w:line="360" w:lineRule="auto"/>
        <w:rPr>
          <w:rFonts w:hint="eastAsia" w:ascii="宋体" w:hAnsi="宋体" w:cs="宋体"/>
          <w:color w:val="auto"/>
          <w:kern w:val="0"/>
          <w:sz w:val="24"/>
          <w:highlight w:val="none"/>
        </w:rPr>
      </w:pPr>
    </w:p>
    <w:p w14:paraId="43C37666">
      <w:pPr>
        <w:shd w:val="clear"/>
        <w:spacing w:line="360" w:lineRule="auto"/>
        <w:rPr>
          <w:rFonts w:hint="eastAsia" w:ascii="宋体" w:hAnsi="宋体" w:cs="宋体"/>
          <w:color w:val="auto"/>
          <w:kern w:val="0"/>
          <w:sz w:val="24"/>
          <w:highlight w:val="none"/>
        </w:rPr>
      </w:pPr>
    </w:p>
    <w:p w14:paraId="3CA207CA">
      <w:pPr>
        <w:shd w:val="clear"/>
        <w:spacing w:line="360" w:lineRule="auto"/>
        <w:rPr>
          <w:rFonts w:hint="eastAsia" w:ascii="宋体" w:hAnsi="宋体" w:cs="宋体"/>
          <w:color w:val="auto"/>
          <w:kern w:val="0"/>
          <w:sz w:val="24"/>
          <w:highlight w:val="none"/>
        </w:rPr>
      </w:pPr>
    </w:p>
    <w:p w14:paraId="2F1196F7">
      <w:pPr>
        <w:shd w:val="clear"/>
        <w:spacing w:line="360" w:lineRule="auto"/>
        <w:rPr>
          <w:rFonts w:hint="eastAsia" w:ascii="宋体" w:hAnsi="宋体" w:cs="宋体"/>
          <w:color w:val="auto"/>
          <w:kern w:val="0"/>
          <w:sz w:val="24"/>
          <w:highlight w:val="none"/>
        </w:rPr>
      </w:pPr>
    </w:p>
    <w:p w14:paraId="50D95F9D">
      <w:pPr>
        <w:shd w:val="clear"/>
        <w:spacing w:line="360" w:lineRule="auto"/>
        <w:rPr>
          <w:rFonts w:hint="eastAsia" w:ascii="宋体" w:hAnsi="宋体" w:cs="宋体"/>
          <w:color w:val="auto"/>
          <w:kern w:val="0"/>
          <w:sz w:val="24"/>
          <w:highlight w:val="none"/>
        </w:rPr>
      </w:pPr>
    </w:p>
    <w:p w14:paraId="3E35FABA">
      <w:pPr>
        <w:shd w:val="clear"/>
        <w:spacing w:line="360" w:lineRule="auto"/>
        <w:rPr>
          <w:rFonts w:hint="eastAsia" w:ascii="宋体" w:hAnsi="宋体" w:cs="宋体"/>
          <w:color w:val="auto"/>
          <w:kern w:val="0"/>
          <w:sz w:val="24"/>
          <w:highlight w:val="none"/>
        </w:rPr>
      </w:pPr>
    </w:p>
    <w:p w14:paraId="37E0929A">
      <w:pPr>
        <w:shd w:val="clear"/>
        <w:spacing w:line="360" w:lineRule="auto"/>
        <w:rPr>
          <w:rFonts w:hint="eastAsia" w:ascii="宋体" w:hAnsi="宋体" w:cs="宋体"/>
          <w:color w:val="auto"/>
          <w:kern w:val="0"/>
          <w:sz w:val="24"/>
          <w:highlight w:val="none"/>
        </w:rPr>
      </w:pPr>
    </w:p>
    <w:p w14:paraId="3D650067">
      <w:pPr>
        <w:shd w:val="clear"/>
        <w:spacing w:line="360" w:lineRule="auto"/>
        <w:rPr>
          <w:rFonts w:hint="eastAsia" w:ascii="宋体" w:hAnsi="宋体" w:cs="宋体"/>
          <w:color w:val="auto"/>
          <w:kern w:val="0"/>
          <w:sz w:val="24"/>
          <w:highlight w:val="none"/>
        </w:rPr>
      </w:pPr>
    </w:p>
    <w:p w14:paraId="66CD3CD1">
      <w:pPr>
        <w:shd w:val="clear"/>
        <w:spacing w:line="360" w:lineRule="auto"/>
        <w:rPr>
          <w:rFonts w:hint="eastAsia" w:ascii="宋体" w:hAnsi="宋体" w:cs="宋体"/>
          <w:color w:val="auto"/>
          <w:kern w:val="0"/>
          <w:sz w:val="24"/>
          <w:highlight w:val="none"/>
        </w:rPr>
      </w:pPr>
    </w:p>
    <w:p w14:paraId="6AA3101D">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投标人：（盖单位章）</w:t>
      </w:r>
    </w:p>
    <w:p w14:paraId="0CAE21D9">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法定代表人或其委托代理人：（签字或盖章）</w:t>
      </w:r>
    </w:p>
    <w:p w14:paraId="0F55383C">
      <w:pPr>
        <w:shd w:val="clear"/>
        <w:spacing w:line="360" w:lineRule="auto"/>
        <w:ind w:firstLine="1800" w:firstLineChars="75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535B0454">
      <w:pPr>
        <w:shd w:val="clear"/>
        <w:spacing w:line="360" w:lineRule="auto"/>
        <w:ind w:firstLine="1800" w:firstLineChars="750"/>
        <w:rPr>
          <w:rFonts w:hint="eastAsia" w:ascii="宋体" w:hAnsi="宋体" w:cs="宋体"/>
          <w:color w:val="auto"/>
          <w:kern w:val="0"/>
          <w:sz w:val="24"/>
          <w:highlight w:val="none"/>
        </w:rPr>
      </w:pPr>
    </w:p>
    <w:p w14:paraId="65C1DCA3">
      <w:pPr>
        <w:shd w:val="clear"/>
        <w:spacing w:line="360" w:lineRule="auto"/>
        <w:ind w:firstLine="1800" w:firstLineChars="750"/>
        <w:rPr>
          <w:rFonts w:hint="eastAsia" w:ascii="宋体" w:hAnsi="宋体" w:cs="宋体"/>
          <w:color w:val="auto"/>
          <w:kern w:val="0"/>
          <w:sz w:val="24"/>
          <w:highlight w:val="none"/>
        </w:rPr>
      </w:pPr>
    </w:p>
    <w:p w14:paraId="593A360D">
      <w:pPr>
        <w:pStyle w:val="27"/>
        <w:shd w:val="clear"/>
        <w:ind w:firstLine="280"/>
        <w:rPr>
          <w:rFonts w:hint="eastAsia" w:ascii="宋体" w:hAnsi="宋体" w:eastAsia="宋体" w:cs="宋体"/>
          <w:color w:val="auto"/>
          <w:kern w:val="0"/>
          <w:highlight w:val="none"/>
        </w:rPr>
      </w:pPr>
    </w:p>
    <w:p w14:paraId="29386C96">
      <w:pPr>
        <w:shd w:val="clear"/>
        <w:rPr>
          <w:rStyle w:val="36"/>
          <w:rFonts w:hint="eastAsia" w:ascii="宋体" w:hAnsi="宋体" w:eastAsia="宋体" w:cs="宋体"/>
          <w:bCs w:val="0"/>
          <w:color w:val="auto"/>
          <w:szCs w:val="24"/>
          <w:highlight w:val="none"/>
        </w:rPr>
      </w:pPr>
      <w:bookmarkStart w:id="264" w:name="_Toc112768394"/>
      <w:bookmarkStart w:id="265" w:name="_Toc7724"/>
      <w:bookmarkStart w:id="266" w:name="_Toc9194623"/>
      <w:bookmarkStart w:id="267" w:name="_Toc398111720"/>
      <w:bookmarkStart w:id="268" w:name="_Toc20949"/>
      <w:r>
        <w:rPr>
          <w:rStyle w:val="36"/>
          <w:rFonts w:hint="eastAsia" w:ascii="宋体" w:hAnsi="宋体" w:eastAsia="宋体" w:cs="宋体"/>
          <w:bCs w:val="0"/>
          <w:color w:val="auto"/>
          <w:szCs w:val="24"/>
          <w:highlight w:val="none"/>
        </w:rPr>
        <w:br w:type="page"/>
      </w:r>
    </w:p>
    <w:p w14:paraId="74AA847D">
      <w:pPr>
        <w:pStyle w:val="4"/>
        <w:keepNext w:val="0"/>
        <w:keepLines w:val="0"/>
        <w:shd w:val="clear"/>
        <w:spacing w:line="360" w:lineRule="auto"/>
        <w:rPr>
          <w:rFonts w:hint="eastAsia" w:ascii="宋体" w:hAnsi="宋体" w:eastAsia="宋体" w:cs="宋体"/>
          <w:color w:val="auto"/>
          <w:szCs w:val="24"/>
          <w:highlight w:val="none"/>
        </w:rPr>
      </w:pPr>
      <w:r>
        <w:rPr>
          <w:rStyle w:val="36"/>
          <w:rFonts w:hint="eastAsia" w:ascii="宋体" w:hAnsi="宋体" w:eastAsia="宋体" w:cs="宋体"/>
          <w:bCs w:val="0"/>
          <w:color w:val="auto"/>
          <w:szCs w:val="24"/>
          <w:highlight w:val="none"/>
        </w:rPr>
        <w:t>1.2 投标文件目录</w:t>
      </w:r>
      <w:bookmarkEnd w:id="264"/>
      <w:bookmarkEnd w:id="265"/>
      <w:bookmarkEnd w:id="266"/>
      <w:bookmarkEnd w:id="267"/>
      <w:bookmarkEnd w:id="268"/>
    </w:p>
    <w:p w14:paraId="4CA9B2FC">
      <w:pPr>
        <w:shd w:val="clear"/>
        <w:spacing w:line="360" w:lineRule="auto"/>
        <w:jc w:val="center"/>
        <w:rPr>
          <w:rFonts w:hint="eastAsia" w:ascii="宋体" w:hAnsi="宋体" w:cs="宋体"/>
          <w:b/>
          <w:color w:val="auto"/>
          <w:kern w:val="0"/>
          <w:sz w:val="24"/>
          <w:highlight w:val="none"/>
        </w:rPr>
      </w:pPr>
    </w:p>
    <w:p w14:paraId="254445E4">
      <w:pPr>
        <w:pStyle w:val="3"/>
        <w:keepNext w:val="0"/>
        <w:keepLines w:val="0"/>
        <w:shd w:val="clear"/>
        <w:spacing w:line="360" w:lineRule="auto"/>
        <w:rPr>
          <w:rFonts w:hint="eastAsia" w:ascii="宋体" w:hAnsi="宋体" w:eastAsia="宋体" w:cs="宋体"/>
          <w:b/>
          <w:color w:val="auto"/>
          <w:sz w:val="24"/>
          <w:szCs w:val="24"/>
          <w:highlight w:val="none"/>
        </w:rPr>
      </w:pPr>
      <w:bookmarkStart w:id="269" w:name="_Toc398111721"/>
      <w:bookmarkStart w:id="270" w:name="_Toc112768395"/>
      <w:bookmarkStart w:id="271" w:name="_Toc11992"/>
      <w:bookmarkStart w:id="272" w:name="_Toc9194624"/>
      <w:bookmarkStart w:id="273" w:name="_Toc28883"/>
      <w:r>
        <w:rPr>
          <w:rFonts w:hint="eastAsia" w:ascii="宋体" w:hAnsi="宋体" w:eastAsia="宋体" w:cs="宋体"/>
          <w:b/>
          <w:color w:val="auto"/>
          <w:sz w:val="24"/>
          <w:szCs w:val="24"/>
          <w:highlight w:val="none"/>
        </w:rPr>
        <w:t>2. 投标函</w:t>
      </w:r>
      <w:bookmarkEnd w:id="269"/>
      <w:bookmarkEnd w:id="270"/>
      <w:bookmarkEnd w:id="271"/>
      <w:bookmarkEnd w:id="272"/>
      <w:bookmarkEnd w:id="273"/>
    </w:p>
    <w:p w14:paraId="4739F539">
      <w:pPr>
        <w:shd w:val="clear"/>
        <w:spacing w:line="360" w:lineRule="auto"/>
        <w:jc w:val="center"/>
        <w:rPr>
          <w:rFonts w:hint="eastAsia" w:ascii="宋体" w:hAnsi="宋体" w:cs="宋体"/>
          <w:color w:val="auto"/>
          <w:kern w:val="0"/>
          <w:sz w:val="32"/>
          <w:szCs w:val="32"/>
          <w:highlight w:val="none"/>
        </w:rPr>
      </w:pPr>
      <w:bookmarkStart w:id="274" w:name="_Toc8265"/>
      <w:bookmarkStart w:id="275" w:name="_Toc398111722"/>
      <w:r>
        <w:rPr>
          <w:rFonts w:hint="eastAsia" w:ascii="宋体" w:hAnsi="宋体" w:cs="宋体"/>
          <w:color w:val="auto"/>
          <w:kern w:val="0"/>
          <w:sz w:val="32"/>
          <w:szCs w:val="32"/>
          <w:highlight w:val="none"/>
        </w:rPr>
        <w:t>投标函</w:t>
      </w:r>
    </w:p>
    <w:p w14:paraId="15816ACB">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u w:val="single"/>
        </w:rPr>
        <w:t>南通市崇川区城市工程建设管理中心</w:t>
      </w:r>
      <w:r>
        <w:rPr>
          <w:rFonts w:hint="eastAsia" w:ascii="宋体" w:hAnsi="宋体" w:cs="宋体"/>
          <w:color w:val="auto"/>
          <w:kern w:val="0"/>
          <w:szCs w:val="21"/>
          <w:highlight w:val="none"/>
        </w:rPr>
        <w:t>（招标人名称）：</w:t>
      </w:r>
    </w:p>
    <w:p w14:paraId="20EAB47B">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（一）根据已收到的</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项目的建设监理的招标文件，我单位经研究招标文件和有关资料后，愿意按招标文件规定的内容承担该工程的建设监理任务，严格执行投标人所承担的责任和义务。</w:t>
      </w:r>
    </w:p>
    <w:p w14:paraId="671A9824">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我单位决定本工程监理收费的固定费率为：</w:t>
      </w:r>
      <w:r>
        <w:rPr>
          <w:rFonts w:hint="eastAsia" w:ascii="宋体" w:hAnsi="宋体" w:cs="宋体"/>
          <w:color w:val="auto"/>
          <w:kern w:val="0"/>
          <w:szCs w:val="21"/>
          <w:highlight w:val="none"/>
          <w:u w:val="single"/>
        </w:rPr>
        <w:t xml:space="preserve">百分之    </w:t>
      </w: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（保留至小数点后两位）</w:t>
      </w:r>
      <w:r>
        <w:rPr>
          <w:rFonts w:hint="eastAsia" w:ascii="宋体" w:hAnsi="宋体" w:cs="宋体"/>
          <w:color w:val="auto"/>
          <w:kern w:val="0"/>
          <w:szCs w:val="21"/>
          <w:highlight w:val="none"/>
        </w:rPr>
        <w:t>。</w:t>
      </w:r>
    </w:p>
    <w:p w14:paraId="024B8588">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（三）如果我方中标，我们保证按招标文件的要求和招标人签订工程监理合同，成立监理项目部，选派总监理工程师</w:t>
      </w:r>
      <w:r>
        <w:rPr>
          <w:rFonts w:hint="eastAsia" w:ascii="宋体" w:hAnsi="宋体" w:cs="宋体"/>
          <w:color w:val="auto"/>
          <w:kern w:val="0"/>
          <w:szCs w:val="21"/>
          <w:highlight w:val="none"/>
          <w:u w:val="single"/>
        </w:rPr>
        <w:t xml:space="preserve">（姓名）     </w:t>
      </w:r>
      <w:r>
        <w:rPr>
          <w:rFonts w:hint="eastAsia" w:ascii="宋体" w:hAnsi="宋体" w:cs="宋体"/>
          <w:color w:val="auto"/>
          <w:kern w:val="0"/>
          <w:szCs w:val="21"/>
          <w:highlight w:val="none"/>
        </w:rPr>
        <w:t xml:space="preserve">及专业监理工程师 </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；监理员</w:t>
      </w:r>
      <w:r>
        <w:rPr>
          <w:rFonts w:hint="eastAsia" w:ascii="宋体" w:hAnsi="宋体" w:cs="宋体"/>
          <w:color w:val="auto"/>
          <w:kern w:val="0"/>
          <w:szCs w:val="21"/>
          <w:highlight w:val="none"/>
          <w:u w:val="single"/>
        </w:rPr>
        <w:t xml:space="preserve">     （姓名） </w:t>
      </w:r>
      <w:r>
        <w:rPr>
          <w:rFonts w:hint="eastAsia" w:ascii="宋体" w:hAnsi="宋体" w:cs="宋体"/>
          <w:color w:val="auto"/>
          <w:kern w:val="0"/>
          <w:szCs w:val="21"/>
          <w:highlight w:val="none"/>
        </w:rPr>
        <w:t>等进驻施工现场实施监理合同。</w:t>
      </w:r>
    </w:p>
    <w:p w14:paraId="264E6DD4">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（四）如果我方中标，我方保证按招标文件要求的期限提交履约保证金。</w:t>
      </w:r>
    </w:p>
    <w:p w14:paraId="29D81312">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（五）我方将严格按照监理人员执业守则，按照国家相关法规、规范及我方制定的监理大纲、实施细则开展监理工作，在保证质量、安全的前提下，确保工程按期交付。</w:t>
      </w:r>
    </w:p>
    <w:p w14:paraId="616054BB">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（六）贵单位的招标文件及其附件、中标通知书和本投标文件将构成约束我们双方的合同。</w:t>
      </w:r>
    </w:p>
    <w:p w14:paraId="479F76CE">
      <w:pPr>
        <w:shd w:val="clear"/>
        <w:spacing w:line="360" w:lineRule="auto"/>
        <w:ind w:firstLine="420" w:firstLineChars="200"/>
        <w:rPr>
          <w:rFonts w:hint="eastAsia" w:ascii="宋体" w:hAnsi="宋体" w:cs="宋体"/>
          <w:color w:val="auto"/>
          <w:kern w:val="0"/>
          <w:szCs w:val="21"/>
          <w:highlight w:val="none"/>
        </w:rPr>
      </w:pPr>
    </w:p>
    <w:p w14:paraId="4B9D93C1">
      <w:pPr>
        <w:shd w:val="clear"/>
        <w:spacing w:line="360" w:lineRule="auto"/>
        <w:ind w:firstLine="420" w:firstLineChars="200"/>
        <w:rPr>
          <w:rFonts w:hint="eastAsia" w:ascii="宋体" w:hAnsi="宋体" w:cs="宋体"/>
          <w:color w:val="auto"/>
          <w:kern w:val="0"/>
          <w:szCs w:val="21"/>
          <w:highlight w:val="none"/>
        </w:rPr>
      </w:pPr>
    </w:p>
    <w:p w14:paraId="773A218F">
      <w:pPr>
        <w:shd w:val="clea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投标人（法人盖章）：</w:t>
      </w:r>
    </w:p>
    <w:p w14:paraId="0C2671F9">
      <w:pPr>
        <w:shd w:val="clea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法定代表人或授权代理人（签字或盖章）</w:t>
      </w:r>
    </w:p>
    <w:p w14:paraId="39EF1D39">
      <w:pPr>
        <w:shd w:val="clear"/>
        <w:autoSpaceDE w:val="0"/>
        <w:autoSpaceDN w:val="0"/>
        <w:adjustRightInd w:val="0"/>
        <w:spacing w:line="360" w:lineRule="auto"/>
        <w:ind w:firstLine="2625" w:firstLineChars="1250"/>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Cs w:val="21"/>
          <w:highlight w:val="none"/>
        </w:rPr>
        <w:t>日期：年月</w:t>
      </w:r>
      <w:r>
        <w:rPr>
          <w:rFonts w:hint="eastAsia" w:ascii="宋体" w:hAnsi="宋体" w:cs="宋体"/>
          <w:color w:val="auto"/>
          <w:kern w:val="0"/>
          <w:szCs w:val="21"/>
          <w:highlight w:val="none"/>
          <w:lang w:val="en-US" w:eastAsia="zh-CN"/>
        </w:rPr>
        <w:t>日</w:t>
      </w:r>
    </w:p>
    <w:p w14:paraId="2540DD4A">
      <w:pPr>
        <w:shd w:val="clear"/>
        <w:spacing w:line="360" w:lineRule="auto"/>
        <w:rPr>
          <w:rFonts w:hint="eastAsia" w:ascii="宋体" w:hAnsi="宋体" w:cs="宋体"/>
          <w:b/>
          <w:bCs/>
          <w:color w:val="auto"/>
          <w:kern w:val="0"/>
          <w:sz w:val="24"/>
          <w:highlight w:val="none"/>
        </w:rPr>
      </w:pPr>
    </w:p>
    <w:p w14:paraId="44762198">
      <w:pPr>
        <w:pStyle w:val="3"/>
        <w:keepNext w:val="0"/>
        <w:keepLines w:val="0"/>
        <w:shd w:val="clear"/>
        <w:spacing w:line="360" w:lineRule="auto"/>
        <w:rPr>
          <w:rFonts w:hint="eastAsia" w:ascii="宋体" w:hAnsi="宋体" w:eastAsia="宋体" w:cs="宋体"/>
          <w:b/>
          <w:color w:val="auto"/>
          <w:sz w:val="24"/>
          <w:szCs w:val="24"/>
          <w:highlight w:val="none"/>
        </w:rPr>
      </w:pPr>
      <w:bookmarkStart w:id="276" w:name="_Toc9194625"/>
      <w:r>
        <w:rPr>
          <w:rFonts w:hint="eastAsia" w:ascii="宋体" w:hAnsi="宋体" w:eastAsia="宋体" w:cs="宋体"/>
          <w:b/>
          <w:color w:val="auto"/>
          <w:sz w:val="24"/>
          <w:szCs w:val="24"/>
          <w:highlight w:val="none"/>
        </w:rPr>
        <w:br w:type="page"/>
      </w:r>
      <w:bookmarkStart w:id="277" w:name="_Toc7964"/>
      <w:bookmarkStart w:id="278" w:name="_Toc112768396"/>
      <w:r>
        <w:rPr>
          <w:rFonts w:hint="eastAsia" w:ascii="宋体" w:hAnsi="宋体" w:eastAsia="宋体" w:cs="宋体"/>
          <w:b/>
          <w:color w:val="auto"/>
          <w:sz w:val="24"/>
          <w:szCs w:val="24"/>
          <w:highlight w:val="none"/>
        </w:rPr>
        <w:t>3. 法定代表人身份证明</w:t>
      </w:r>
      <w:bookmarkEnd w:id="274"/>
      <w:bookmarkEnd w:id="275"/>
      <w:bookmarkEnd w:id="276"/>
      <w:bookmarkEnd w:id="277"/>
      <w:bookmarkEnd w:id="278"/>
      <w:r>
        <w:rPr>
          <w:rFonts w:hint="eastAsia" w:ascii="宋体" w:hAnsi="宋体" w:eastAsia="宋体" w:cs="宋体"/>
          <w:b/>
          <w:color w:val="auto"/>
          <w:sz w:val="24"/>
          <w:szCs w:val="24"/>
          <w:highlight w:val="none"/>
        </w:rPr>
        <w:tab/>
      </w:r>
    </w:p>
    <w:p w14:paraId="02F3A987">
      <w:pPr>
        <w:shd w:val="clea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58BB4355">
      <w:pPr>
        <w:shd w:val="clea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法定代表人身份证明</w:t>
      </w:r>
    </w:p>
    <w:p w14:paraId="231302ED">
      <w:pPr>
        <w:shd w:val="clea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2B640FEC">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p>
    <w:p w14:paraId="38C391B3">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p>
    <w:p w14:paraId="41B94603">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p w14:paraId="7BBFAD97">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成立时间：年月日</w:t>
      </w:r>
    </w:p>
    <w:p w14:paraId="03736528">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经营期限：</w:t>
      </w:r>
    </w:p>
    <w:p w14:paraId="7CFC6733">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姓名：性别：</w:t>
      </w:r>
    </w:p>
    <w:p w14:paraId="7A100E27">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年龄：职务：</w:t>
      </w:r>
    </w:p>
    <w:p w14:paraId="54FBED78">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系（投标人名称）的法定代表人。</w:t>
      </w:r>
    </w:p>
    <w:p w14:paraId="5FD205CF">
      <w:pPr>
        <w:shd w:val="clear"/>
        <w:autoSpaceDE w:val="0"/>
        <w:autoSpaceDN w:val="0"/>
        <w:adjustRightInd w:val="0"/>
        <w:spacing w:line="360" w:lineRule="auto"/>
        <w:ind w:firstLine="840" w:firstLineChars="4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1735C1A6">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0452C2EB">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760C5B07">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530D1B72">
      <w:pPr>
        <w:shd w:val="clear"/>
        <w:autoSpaceDE w:val="0"/>
        <w:autoSpaceDN w:val="0"/>
        <w:adjustRightInd w:val="0"/>
        <w:spacing w:line="360" w:lineRule="auto"/>
        <w:ind w:firstLine="1995" w:firstLineChars="9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投标人：（盖单位章）</w:t>
      </w:r>
    </w:p>
    <w:p w14:paraId="38E2C0A7">
      <w:pPr>
        <w:shd w:val="clear"/>
        <w:autoSpaceDE w:val="0"/>
        <w:autoSpaceDN w:val="0"/>
        <w:adjustRightInd w:val="0"/>
        <w:spacing w:line="360" w:lineRule="auto"/>
        <w:ind w:firstLine="1995" w:firstLineChars="950"/>
        <w:jc w:val="left"/>
        <w:rPr>
          <w:rFonts w:hint="eastAsia" w:ascii="宋体" w:hAnsi="宋体" w:cs="宋体"/>
          <w:color w:val="auto"/>
          <w:kern w:val="0"/>
          <w:szCs w:val="21"/>
          <w:highlight w:val="none"/>
        </w:rPr>
      </w:pPr>
    </w:p>
    <w:p w14:paraId="6E059125">
      <w:pPr>
        <w:shd w:val="clear"/>
        <w:wordWrap w:val="0"/>
        <w:autoSpaceDE w:val="0"/>
        <w:autoSpaceDN w:val="0"/>
        <w:adjustRightInd w:val="0"/>
        <w:spacing w:line="360" w:lineRule="auto"/>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14:paraId="669E2768">
      <w:pPr>
        <w:shd w:val="clear"/>
        <w:autoSpaceDE w:val="0"/>
        <w:autoSpaceDN w:val="0"/>
        <w:adjustRightInd w:val="0"/>
        <w:spacing w:line="360" w:lineRule="auto"/>
        <w:ind w:firstLine="482" w:firstLineChars="200"/>
        <w:jc w:val="left"/>
        <w:rPr>
          <w:rFonts w:hint="eastAsia" w:ascii="宋体" w:hAnsi="宋体" w:cs="宋体"/>
          <w:b/>
          <w:bCs/>
          <w:color w:val="auto"/>
          <w:kern w:val="0"/>
          <w:sz w:val="24"/>
          <w:highlight w:val="none"/>
        </w:rPr>
      </w:pPr>
    </w:p>
    <w:p w14:paraId="5C5AC16F">
      <w:pPr>
        <w:shd w:val="clear"/>
        <w:autoSpaceDE w:val="0"/>
        <w:autoSpaceDN w:val="0"/>
        <w:adjustRightInd w:val="0"/>
        <w:spacing w:line="360" w:lineRule="auto"/>
        <w:ind w:firstLine="482" w:firstLineChars="200"/>
        <w:jc w:val="left"/>
        <w:rPr>
          <w:rFonts w:hint="eastAsia" w:ascii="宋体" w:hAnsi="宋体" w:cs="宋体"/>
          <w:b/>
          <w:bCs/>
          <w:color w:val="auto"/>
          <w:kern w:val="0"/>
          <w:sz w:val="24"/>
          <w:highlight w:val="none"/>
        </w:rPr>
      </w:pPr>
    </w:p>
    <w:p w14:paraId="20BB9472">
      <w:pPr>
        <w:shd w:val="clear"/>
        <w:autoSpaceDE w:val="0"/>
        <w:autoSpaceDN w:val="0"/>
        <w:adjustRightInd w:val="0"/>
        <w:spacing w:line="360" w:lineRule="auto"/>
        <w:ind w:firstLine="482" w:firstLineChars="200"/>
        <w:jc w:val="left"/>
        <w:rPr>
          <w:rFonts w:hint="eastAsia" w:ascii="宋体" w:hAnsi="宋体" w:cs="宋体"/>
          <w:b/>
          <w:bCs/>
          <w:color w:val="auto"/>
          <w:kern w:val="0"/>
          <w:sz w:val="24"/>
          <w:highlight w:val="none"/>
        </w:rPr>
      </w:pPr>
    </w:p>
    <w:p w14:paraId="573A9A13">
      <w:pPr>
        <w:shd w:val="clear"/>
        <w:autoSpaceDE w:val="0"/>
        <w:autoSpaceDN w:val="0"/>
        <w:adjustRightInd w:val="0"/>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附：法定代表人身份证（正反面）复印件</w:t>
      </w:r>
    </w:p>
    <w:p w14:paraId="7E35C1BC">
      <w:pPr>
        <w:pStyle w:val="28"/>
        <w:shd w:val="clear"/>
        <w:ind w:firstLine="482"/>
        <w:rPr>
          <w:rFonts w:hint="eastAsia" w:ascii="宋体" w:hAnsi="宋体" w:eastAsia="宋体" w:cs="宋体"/>
          <w:b/>
          <w:bCs/>
          <w:color w:val="auto"/>
          <w:kern w:val="0"/>
          <w:highlight w:val="none"/>
        </w:rPr>
      </w:pPr>
    </w:p>
    <w:p w14:paraId="6F564CA5">
      <w:pPr>
        <w:pStyle w:val="28"/>
        <w:shd w:val="clear"/>
        <w:ind w:firstLine="482"/>
        <w:rPr>
          <w:rFonts w:hint="eastAsia" w:ascii="宋体" w:hAnsi="宋体" w:eastAsia="宋体" w:cs="宋体"/>
          <w:b/>
          <w:bCs/>
          <w:color w:val="auto"/>
          <w:kern w:val="0"/>
          <w:highlight w:val="none"/>
        </w:rPr>
      </w:pPr>
    </w:p>
    <w:p w14:paraId="5CC73FD0">
      <w:pPr>
        <w:pStyle w:val="3"/>
        <w:keepNext w:val="0"/>
        <w:keepLines w:val="0"/>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279" w:name="_Toc398111723"/>
      <w:bookmarkStart w:id="280" w:name="_Toc112768397"/>
      <w:bookmarkStart w:id="281" w:name="_Toc9194626"/>
      <w:bookmarkStart w:id="282" w:name="_Toc15386"/>
      <w:bookmarkStart w:id="283" w:name="_Toc2593"/>
      <w:r>
        <w:rPr>
          <w:rFonts w:hint="eastAsia" w:ascii="宋体" w:hAnsi="宋体" w:eastAsia="宋体" w:cs="宋体"/>
          <w:b/>
          <w:color w:val="auto"/>
          <w:sz w:val="24"/>
          <w:szCs w:val="24"/>
          <w:highlight w:val="none"/>
        </w:rPr>
        <w:t>4. 授权委托书</w:t>
      </w:r>
      <w:bookmarkEnd w:id="279"/>
      <w:bookmarkEnd w:id="280"/>
      <w:bookmarkEnd w:id="281"/>
      <w:bookmarkEnd w:id="282"/>
      <w:bookmarkEnd w:id="283"/>
    </w:p>
    <w:p w14:paraId="62E801BA">
      <w:pPr>
        <w:shd w:val="clea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授权委托书</w:t>
      </w:r>
    </w:p>
    <w:p w14:paraId="79971D60">
      <w:pPr>
        <w:shd w:val="clear"/>
        <w:autoSpaceDE w:val="0"/>
        <w:autoSpaceDN w:val="0"/>
        <w:adjustRightInd w:val="0"/>
        <w:spacing w:line="360" w:lineRule="auto"/>
        <w:jc w:val="center"/>
        <w:rPr>
          <w:rFonts w:hint="eastAsia" w:ascii="宋体" w:hAnsi="宋体" w:cs="宋体"/>
          <w:color w:val="auto"/>
          <w:kern w:val="0"/>
          <w:sz w:val="24"/>
          <w:highlight w:val="none"/>
        </w:rPr>
      </w:pPr>
    </w:p>
    <w:p w14:paraId="354EDFCA">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本人（姓名）系（投标人名称）的法定代表人，现委托</w:t>
      </w:r>
      <w:r>
        <w:rPr>
          <w:rFonts w:hint="eastAsia" w:ascii="宋体" w:hAnsi="宋体" w:cs="宋体"/>
          <w:color w:val="auto"/>
          <w:kern w:val="0"/>
          <w:szCs w:val="21"/>
          <w:highlight w:val="none"/>
          <w:u w:val="single"/>
        </w:rPr>
        <w:t xml:space="preserve">（姓名）    </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s="宋体"/>
          <w:color w:val="auto"/>
          <w:kern w:val="0"/>
          <w:szCs w:val="21"/>
          <w:highlight w:val="none"/>
          <w:u w:val="single"/>
        </w:rPr>
        <w:t xml:space="preserve">（项目名称）     </w:t>
      </w:r>
      <w:r>
        <w:rPr>
          <w:rFonts w:hint="eastAsia" w:ascii="宋体" w:hAnsi="宋体" w:cs="宋体"/>
          <w:color w:val="auto"/>
          <w:kern w:val="0"/>
          <w:szCs w:val="21"/>
          <w:highlight w:val="none"/>
        </w:rPr>
        <w:t>监理投标文件、签订合同和处理有关事宜，其法律后果由我方承担。</w:t>
      </w:r>
    </w:p>
    <w:p w14:paraId="2DEC2239">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委托期限：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6E9B661">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F0680A0">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17816EB7">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5B812E3B">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投标人：（盖单位章）</w:t>
      </w:r>
    </w:p>
    <w:p w14:paraId="05D77FC7">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374DAFD0">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p>
    <w:p w14:paraId="3A5E9315">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593D6245">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身份证号码：</w:t>
      </w:r>
    </w:p>
    <w:p w14:paraId="22EFE283">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67D16F37">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委托代理人：（签字）</w:t>
      </w:r>
    </w:p>
    <w:p w14:paraId="68A47096">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07802202">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身份证号码：</w:t>
      </w:r>
    </w:p>
    <w:p w14:paraId="59A54F56">
      <w:pPr>
        <w:shd w:val="clea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35E18151">
      <w:pPr>
        <w:shd w:val="clear"/>
        <w:autoSpaceDE w:val="0"/>
        <w:autoSpaceDN w:val="0"/>
        <w:adjustRightInd w:val="0"/>
        <w:spacing w:line="360" w:lineRule="auto"/>
        <w:ind w:firstLine="3255" w:firstLineChars="1550"/>
        <w:jc w:val="left"/>
        <w:rPr>
          <w:rFonts w:hint="eastAsia" w:ascii="宋体" w:hAnsi="宋体" w:cs="宋体"/>
          <w:color w:val="auto"/>
          <w:kern w:val="0"/>
          <w:szCs w:val="21"/>
          <w:highlight w:val="none"/>
          <w:u w:val="single"/>
        </w:rPr>
      </w:pPr>
    </w:p>
    <w:p w14:paraId="272AC98F">
      <w:pPr>
        <w:shd w:val="clear"/>
        <w:autoSpaceDE w:val="0"/>
        <w:autoSpaceDN w:val="0"/>
        <w:adjustRightInd w:val="0"/>
        <w:spacing w:line="360" w:lineRule="auto"/>
        <w:ind w:firstLine="3255" w:firstLineChars="15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14:paraId="2F833137">
      <w:pPr>
        <w:shd w:val="clear"/>
        <w:autoSpaceDE w:val="0"/>
        <w:autoSpaceDN w:val="0"/>
        <w:adjustRightInd w:val="0"/>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附：法定代表人身份证（正反面）复印件</w:t>
      </w:r>
    </w:p>
    <w:p w14:paraId="5703E2A5">
      <w:pPr>
        <w:shd w:val="clear"/>
        <w:autoSpaceDE w:val="0"/>
        <w:autoSpaceDN w:val="0"/>
        <w:adjustRightInd w:val="0"/>
        <w:spacing w:line="360" w:lineRule="auto"/>
        <w:ind w:firstLine="835" w:firstLineChars="396"/>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授权委托人身份证（正反面）复印件</w:t>
      </w:r>
    </w:p>
    <w:p w14:paraId="4B1AC1B6">
      <w:pPr>
        <w:pStyle w:val="3"/>
        <w:keepNext w:val="0"/>
        <w:keepLines w:val="0"/>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284" w:name="_Toc398111724"/>
      <w:bookmarkStart w:id="285" w:name="_Toc4109"/>
      <w:bookmarkStart w:id="286" w:name="_Toc112768398"/>
      <w:bookmarkStart w:id="287" w:name="_Toc9194627"/>
      <w:bookmarkStart w:id="288" w:name="_Toc20662"/>
      <w:r>
        <w:rPr>
          <w:rFonts w:hint="eastAsia" w:ascii="宋体" w:hAnsi="宋体" w:eastAsia="宋体" w:cs="宋体"/>
          <w:b/>
          <w:color w:val="auto"/>
          <w:sz w:val="24"/>
          <w:szCs w:val="24"/>
          <w:highlight w:val="none"/>
        </w:rPr>
        <w:t xml:space="preserve">5. </w:t>
      </w:r>
      <w:bookmarkEnd w:id="284"/>
      <w:bookmarkEnd w:id="285"/>
      <w:r>
        <w:rPr>
          <w:rFonts w:hint="eastAsia" w:ascii="宋体" w:hAnsi="宋体" w:eastAsia="宋体" w:cs="宋体"/>
          <w:b/>
          <w:color w:val="auto"/>
          <w:sz w:val="24"/>
          <w:szCs w:val="24"/>
          <w:highlight w:val="none"/>
        </w:rPr>
        <w:t>投标人基本情况一览表</w:t>
      </w:r>
      <w:bookmarkEnd w:id="286"/>
      <w:bookmarkEnd w:id="287"/>
      <w:bookmarkEnd w:id="288"/>
    </w:p>
    <w:p w14:paraId="5C8640ED">
      <w:pPr>
        <w:shd w:val="clear"/>
        <w:jc w:val="center"/>
        <w:rPr>
          <w:rFonts w:hint="eastAsia" w:ascii="宋体" w:hAnsi="宋体" w:cs="宋体"/>
          <w:color w:val="auto"/>
          <w:kern w:val="0"/>
          <w:highlight w:val="none"/>
        </w:rPr>
      </w:pPr>
      <w:r>
        <w:rPr>
          <w:rFonts w:hint="eastAsia" w:ascii="宋体" w:hAnsi="宋体" w:cs="宋体"/>
          <w:b/>
          <w:color w:val="auto"/>
          <w:kern w:val="0"/>
          <w:sz w:val="24"/>
          <w:highlight w:val="none"/>
        </w:rPr>
        <w:t>投标人基本情况一览表</w:t>
      </w:r>
    </w:p>
    <w:tbl>
      <w:tblPr>
        <w:tblStyle w:val="29"/>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14:paraId="6D27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2575ADD3">
            <w:pPr>
              <w:shd w:val="clear"/>
              <w:spacing w:line="360" w:lineRule="auto"/>
              <w:rPr>
                <w:rFonts w:hint="eastAsia" w:ascii="宋体" w:hAnsi="宋体" w:cs="宋体"/>
                <w:b/>
                <w:color w:val="auto"/>
                <w:kern w:val="0"/>
                <w:szCs w:val="21"/>
                <w:highlight w:val="none"/>
              </w:rPr>
            </w:pPr>
            <w:bookmarkStart w:id="289" w:name="_Toc23714"/>
            <w:bookmarkStart w:id="290" w:name="_Toc398111725"/>
            <w:r>
              <w:rPr>
                <w:rFonts w:hint="eastAsia" w:ascii="宋体" w:hAnsi="宋体" w:cs="宋体"/>
                <w:b/>
                <w:color w:val="auto"/>
                <w:kern w:val="0"/>
                <w:szCs w:val="21"/>
                <w:highlight w:val="none"/>
              </w:rPr>
              <w:t>单位名称</w:t>
            </w:r>
          </w:p>
        </w:tc>
        <w:tc>
          <w:tcPr>
            <w:tcW w:w="5242" w:type="dxa"/>
            <w:gridSpan w:val="6"/>
          </w:tcPr>
          <w:p w14:paraId="2E9A3672">
            <w:pPr>
              <w:shd w:val="clear"/>
              <w:spacing w:line="360" w:lineRule="auto"/>
              <w:rPr>
                <w:rFonts w:hint="eastAsia" w:ascii="宋体" w:hAnsi="宋体" w:cs="宋体"/>
                <w:b/>
                <w:color w:val="auto"/>
                <w:kern w:val="0"/>
                <w:szCs w:val="21"/>
                <w:highlight w:val="none"/>
              </w:rPr>
            </w:pPr>
          </w:p>
        </w:tc>
      </w:tr>
      <w:tr w14:paraId="290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CDF3C47">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上级主管部门</w:t>
            </w:r>
          </w:p>
        </w:tc>
        <w:tc>
          <w:tcPr>
            <w:tcW w:w="5242" w:type="dxa"/>
            <w:gridSpan w:val="6"/>
          </w:tcPr>
          <w:p w14:paraId="3B1829DD">
            <w:pPr>
              <w:shd w:val="clear"/>
              <w:spacing w:line="360" w:lineRule="auto"/>
              <w:rPr>
                <w:rFonts w:hint="eastAsia" w:ascii="宋体" w:hAnsi="宋体" w:cs="宋体"/>
                <w:b/>
                <w:color w:val="auto"/>
                <w:kern w:val="0"/>
                <w:szCs w:val="21"/>
                <w:highlight w:val="none"/>
              </w:rPr>
            </w:pPr>
          </w:p>
        </w:tc>
      </w:tr>
      <w:tr w14:paraId="5FA3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F81956E">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营业执照批准部门及证号</w:t>
            </w:r>
          </w:p>
        </w:tc>
        <w:tc>
          <w:tcPr>
            <w:tcW w:w="5242" w:type="dxa"/>
            <w:gridSpan w:val="6"/>
          </w:tcPr>
          <w:p w14:paraId="494E65CA">
            <w:pPr>
              <w:shd w:val="clear"/>
              <w:spacing w:line="360" w:lineRule="auto"/>
              <w:rPr>
                <w:rFonts w:hint="eastAsia" w:ascii="宋体" w:hAnsi="宋体" w:cs="宋体"/>
                <w:b/>
                <w:color w:val="auto"/>
                <w:kern w:val="0"/>
                <w:szCs w:val="21"/>
                <w:highlight w:val="none"/>
              </w:rPr>
            </w:pPr>
          </w:p>
        </w:tc>
      </w:tr>
      <w:tr w14:paraId="22B0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2DA847A7">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资质等级及批准部门</w:t>
            </w:r>
          </w:p>
        </w:tc>
        <w:tc>
          <w:tcPr>
            <w:tcW w:w="5242" w:type="dxa"/>
            <w:gridSpan w:val="6"/>
          </w:tcPr>
          <w:p w14:paraId="2BD19794">
            <w:pPr>
              <w:shd w:val="clear"/>
              <w:spacing w:line="360" w:lineRule="auto"/>
              <w:rPr>
                <w:rFonts w:hint="eastAsia" w:ascii="宋体" w:hAnsi="宋体" w:cs="宋体"/>
                <w:b/>
                <w:color w:val="auto"/>
                <w:kern w:val="0"/>
                <w:szCs w:val="21"/>
                <w:highlight w:val="none"/>
              </w:rPr>
            </w:pPr>
          </w:p>
        </w:tc>
      </w:tr>
      <w:tr w14:paraId="6E15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14:paraId="73E72906">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公司</w:t>
            </w:r>
          </w:p>
          <w:p w14:paraId="061DCF35">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总人数</w:t>
            </w:r>
          </w:p>
        </w:tc>
        <w:tc>
          <w:tcPr>
            <w:tcW w:w="1992" w:type="dxa"/>
            <w:gridSpan w:val="3"/>
          </w:tcPr>
          <w:p w14:paraId="40A2D9D4">
            <w:pPr>
              <w:shd w:val="clear"/>
              <w:spacing w:line="360" w:lineRule="auto"/>
              <w:rPr>
                <w:rFonts w:hint="eastAsia" w:ascii="宋体" w:hAnsi="宋体" w:cs="宋体"/>
                <w:b/>
                <w:color w:val="auto"/>
                <w:kern w:val="0"/>
                <w:szCs w:val="21"/>
                <w:highlight w:val="none"/>
              </w:rPr>
            </w:pPr>
          </w:p>
        </w:tc>
        <w:tc>
          <w:tcPr>
            <w:tcW w:w="1800" w:type="dxa"/>
            <w:gridSpan w:val="2"/>
            <w:vAlign w:val="center"/>
          </w:tcPr>
          <w:p w14:paraId="428B6EFC">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国家注册</w:t>
            </w:r>
          </w:p>
          <w:p w14:paraId="7A2D92A2">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监理工程师人数</w:t>
            </w:r>
          </w:p>
        </w:tc>
        <w:tc>
          <w:tcPr>
            <w:tcW w:w="1130" w:type="dxa"/>
            <w:vAlign w:val="center"/>
          </w:tcPr>
          <w:p w14:paraId="415F4FEE">
            <w:pPr>
              <w:shd w:val="clear"/>
              <w:spacing w:line="360" w:lineRule="auto"/>
              <w:jc w:val="center"/>
              <w:rPr>
                <w:rFonts w:hint="eastAsia" w:ascii="宋体" w:hAnsi="宋体" w:cs="宋体"/>
                <w:b/>
                <w:color w:val="auto"/>
                <w:kern w:val="0"/>
                <w:szCs w:val="21"/>
                <w:highlight w:val="none"/>
              </w:rPr>
            </w:pPr>
          </w:p>
        </w:tc>
        <w:tc>
          <w:tcPr>
            <w:tcW w:w="1570" w:type="dxa"/>
            <w:vAlign w:val="center"/>
          </w:tcPr>
          <w:p w14:paraId="008A39B4">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省级监理工程师人数</w:t>
            </w:r>
          </w:p>
        </w:tc>
        <w:tc>
          <w:tcPr>
            <w:tcW w:w="742" w:type="dxa"/>
            <w:gridSpan w:val="2"/>
          </w:tcPr>
          <w:p w14:paraId="51D45281">
            <w:pPr>
              <w:shd w:val="clear"/>
              <w:spacing w:line="360" w:lineRule="auto"/>
              <w:jc w:val="left"/>
              <w:rPr>
                <w:rFonts w:hint="eastAsia" w:ascii="宋体" w:hAnsi="宋体" w:cs="宋体"/>
                <w:b/>
                <w:color w:val="auto"/>
                <w:kern w:val="0"/>
                <w:szCs w:val="21"/>
                <w:highlight w:val="none"/>
              </w:rPr>
            </w:pPr>
          </w:p>
          <w:p w14:paraId="596E0DD5">
            <w:pPr>
              <w:shd w:val="clear"/>
              <w:spacing w:line="360" w:lineRule="auto"/>
              <w:rPr>
                <w:rFonts w:hint="eastAsia" w:ascii="宋体" w:hAnsi="宋体" w:cs="宋体"/>
                <w:b/>
                <w:color w:val="auto"/>
                <w:kern w:val="0"/>
                <w:szCs w:val="21"/>
                <w:highlight w:val="none"/>
              </w:rPr>
            </w:pPr>
          </w:p>
        </w:tc>
      </w:tr>
      <w:tr w14:paraId="790B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14:paraId="4B5E2795">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管理人员</w:t>
            </w:r>
          </w:p>
          <w:p w14:paraId="76215990">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人数</w:t>
            </w:r>
          </w:p>
        </w:tc>
        <w:tc>
          <w:tcPr>
            <w:tcW w:w="1992" w:type="dxa"/>
            <w:gridSpan w:val="3"/>
          </w:tcPr>
          <w:p w14:paraId="7875F2BA">
            <w:pPr>
              <w:shd w:val="clear"/>
              <w:spacing w:line="360" w:lineRule="auto"/>
              <w:rPr>
                <w:rFonts w:hint="eastAsia" w:ascii="宋体" w:hAnsi="宋体" w:cs="宋体"/>
                <w:b/>
                <w:color w:val="auto"/>
                <w:kern w:val="0"/>
                <w:szCs w:val="21"/>
                <w:highlight w:val="none"/>
              </w:rPr>
            </w:pPr>
          </w:p>
        </w:tc>
        <w:tc>
          <w:tcPr>
            <w:tcW w:w="1800" w:type="dxa"/>
            <w:gridSpan w:val="2"/>
            <w:vAlign w:val="center"/>
          </w:tcPr>
          <w:p w14:paraId="5FEDCEDE">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监理岗位</w:t>
            </w:r>
          </w:p>
          <w:p w14:paraId="4125F9E2">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培训证人数</w:t>
            </w:r>
          </w:p>
        </w:tc>
        <w:tc>
          <w:tcPr>
            <w:tcW w:w="1130" w:type="dxa"/>
            <w:vAlign w:val="center"/>
          </w:tcPr>
          <w:p w14:paraId="68F027C5">
            <w:pPr>
              <w:shd w:val="clear"/>
              <w:spacing w:line="360" w:lineRule="auto"/>
              <w:jc w:val="center"/>
              <w:rPr>
                <w:rFonts w:hint="eastAsia" w:ascii="宋体" w:hAnsi="宋体" w:cs="宋体"/>
                <w:b/>
                <w:color w:val="auto"/>
                <w:kern w:val="0"/>
                <w:szCs w:val="21"/>
                <w:highlight w:val="none"/>
              </w:rPr>
            </w:pPr>
          </w:p>
        </w:tc>
        <w:tc>
          <w:tcPr>
            <w:tcW w:w="1570" w:type="dxa"/>
            <w:vAlign w:val="center"/>
          </w:tcPr>
          <w:p w14:paraId="60329425">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其他人数</w:t>
            </w:r>
          </w:p>
        </w:tc>
        <w:tc>
          <w:tcPr>
            <w:tcW w:w="742" w:type="dxa"/>
            <w:gridSpan w:val="2"/>
          </w:tcPr>
          <w:p w14:paraId="0F6A38A5">
            <w:pPr>
              <w:shd w:val="clear"/>
              <w:spacing w:line="360" w:lineRule="auto"/>
              <w:rPr>
                <w:rFonts w:hint="eastAsia" w:ascii="宋体" w:hAnsi="宋体" w:cs="宋体"/>
                <w:b/>
                <w:color w:val="auto"/>
                <w:kern w:val="0"/>
                <w:szCs w:val="21"/>
                <w:highlight w:val="none"/>
              </w:rPr>
            </w:pPr>
          </w:p>
        </w:tc>
      </w:tr>
      <w:tr w14:paraId="1DF4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14:paraId="53C3E9FD">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单位领导情况</w:t>
            </w:r>
          </w:p>
        </w:tc>
      </w:tr>
      <w:tr w14:paraId="2EBB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14:paraId="486E30DD">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姓名</w:t>
            </w:r>
          </w:p>
        </w:tc>
        <w:tc>
          <w:tcPr>
            <w:tcW w:w="959" w:type="dxa"/>
            <w:gridSpan w:val="2"/>
            <w:vAlign w:val="center"/>
          </w:tcPr>
          <w:p w14:paraId="46557443">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年龄</w:t>
            </w:r>
          </w:p>
        </w:tc>
        <w:tc>
          <w:tcPr>
            <w:tcW w:w="1099" w:type="dxa"/>
            <w:vAlign w:val="center"/>
          </w:tcPr>
          <w:p w14:paraId="575A1058">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职务</w:t>
            </w:r>
          </w:p>
        </w:tc>
        <w:tc>
          <w:tcPr>
            <w:tcW w:w="1427" w:type="dxa"/>
            <w:gridSpan w:val="2"/>
            <w:vAlign w:val="center"/>
          </w:tcPr>
          <w:p w14:paraId="3531F04A">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职称</w:t>
            </w:r>
          </w:p>
        </w:tc>
        <w:tc>
          <w:tcPr>
            <w:tcW w:w="3897" w:type="dxa"/>
            <w:gridSpan w:val="4"/>
            <w:vAlign w:val="center"/>
          </w:tcPr>
          <w:p w14:paraId="57DC0512">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从事监理工作年限</w:t>
            </w:r>
          </w:p>
        </w:tc>
      </w:tr>
      <w:tr w14:paraId="48FF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695B3179">
            <w:pPr>
              <w:shd w:val="clear"/>
              <w:spacing w:line="360" w:lineRule="auto"/>
              <w:rPr>
                <w:rFonts w:hint="eastAsia" w:ascii="宋体" w:hAnsi="宋体" w:cs="宋体"/>
                <w:b/>
                <w:color w:val="auto"/>
                <w:kern w:val="0"/>
                <w:szCs w:val="21"/>
                <w:highlight w:val="none"/>
              </w:rPr>
            </w:pPr>
          </w:p>
        </w:tc>
        <w:tc>
          <w:tcPr>
            <w:tcW w:w="959" w:type="dxa"/>
            <w:gridSpan w:val="2"/>
          </w:tcPr>
          <w:p w14:paraId="6A85CC64">
            <w:pPr>
              <w:shd w:val="clear"/>
              <w:spacing w:line="360" w:lineRule="auto"/>
              <w:rPr>
                <w:rFonts w:hint="eastAsia" w:ascii="宋体" w:hAnsi="宋体" w:cs="宋体"/>
                <w:b/>
                <w:color w:val="auto"/>
                <w:kern w:val="0"/>
                <w:szCs w:val="21"/>
                <w:highlight w:val="none"/>
              </w:rPr>
            </w:pPr>
          </w:p>
        </w:tc>
        <w:tc>
          <w:tcPr>
            <w:tcW w:w="1099" w:type="dxa"/>
          </w:tcPr>
          <w:p w14:paraId="29FF0593">
            <w:pPr>
              <w:shd w:val="clear"/>
              <w:spacing w:line="360" w:lineRule="auto"/>
              <w:rPr>
                <w:rFonts w:hint="eastAsia" w:ascii="宋体" w:hAnsi="宋体" w:cs="宋体"/>
                <w:b/>
                <w:color w:val="auto"/>
                <w:kern w:val="0"/>
                <w:szCs w:val="21"/>
                <w:highlight w:val="none"/>
              </w:rPr>
            </w:pPr>
          </w:p>
        </w:tc>
        <w:tc>
          <w:tcPr>
            <w:tcW w:w="1427" w:type="dxa"/>
            <w:gridSpan w:val="2"/>
          </w:tcPr>
          <w:p w14:paraId="3785ABCC">
            <w:pPr>
              <w:shd w:val="clear"/>
              <w:spacing w:line="360" w:lineRule="auto"/>
              <w:rPr>
                <w:rFonts w:hint="eastAsia" w:ascii="宋体" w:hAnsi="宋体" w:cs="宋体"/>
                <w:b/>
                <w:color w:val="auto"/>
                <w:kern w:val="0"/>
                <w:szCs w:val="21"/>
                <w:highlight w:val="none"/>
              </w:rPr>
            </w:pPr>
          </w:p>
        </w:tc>
        <w:tc>
          <w:tcPr>
            <w:tcW w:w="3897" w:type="dxa"/>
            <w:gridSpan w:val="4"/>
          </w:tcPr>
          <w:p w14:paraId="1E1C9152">
            <w:pPr>
              <w:shd w:val="clear"/>
              <w:spacing w:line="360" w:lineRule="auto"/>
              <w:rPr>
                <w:rFonts w:hint="eastAsia" w:ascii="宋体" w:hAnsi="宋体" w:cs="宋体"/>
                <w:b/>
                <w:color w:val="auto"/>
                <w:kern w:val="0"/>
                <w:szCs w:val="21"/>
                <w:highlight w:val="none"/>
              </w:rPr>
            </w:pPr>
          </w:p>
        </w:tc>
      </w:tr>
      <w:tr w14:paraId="71DC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14813560">
            <w:pPr>
              <w:shd w:val="clear"/>
              <w:spacing w:line="360" w:lineRule="auto"/>
              <w:rPr>
                <w:rFonts w:hint="eastAsia" w:ascii="宋体" w:hAnsi="宋体" w:cs="宋体"/>
                <w:b/>
                <w:color w:val="auto"/>
                <w:kern w:val="0"/>
                <w:szCs w:val="21"/>
                <w:highlight w:val="none"/>
              </w:rPr>
            </w:pPr>
          </w:p>
        </w:tc>
        <w:tc>
          <w:tcPr>
            <w:tcW w:w="959" w:type="dxa"/>
            <w:gridSpan w:val="2"/>
          </w:tcPr>
          <w:p w14:paraId="3BE96B95">
            <w:pPr>
              <w:shd w:val="clear"/>
              <w:spacing w:line="360" w:lineRule="auto"/>
              <w:rPr>
                <w:rFonts w:hint="eastAsia" w:ascii="宋体" w:hAnsi="宋体" w:cs="宋体"/>
                <w:b/>
                <w:color w:val="auto"/>
                <w:kern w:val="0"/>
                <w:szCs w:val="21"/>
                <w:highlight w:val="none"/>
              </w:rPr>
            </w:pPr>
          </w:p>
        </w:tc>
        <w:tc>
          <w:tcPr>
            <w:tcW w:w="1099" w:type="dxa"/>
          </w:tcPr>
          <w:p w14:paraId="04D10674">
            <w:pPr>
              <w:shd w:val="clear"/>
              <w:spacing w:line="360" w:lineRule="auto"/>
              <w:rPr>
                <w:rFonts w:hint="eastAsia" w:ascii="宋体" w:hAnsi="宋体" w:cs="宋体"/>
                <w:b/>
                <w:color w:val="auto"/>
                <w:kern w:val="0"/>
                <w:szCs w:val="21"/>
                <w:highlight w:val="none"/>
              </w:rPr>
            </w:pPr>
          </w:p>
        </w:tc>
        <w:tc>
          <w:tcPr>
            <w:tcW w:w="1427" w:type="dxa"/>
            <w:gridSpan w:val="2"/>
          </w:tcPr>
          <w:p w14:paraId="61F14304">
            <w:pPr>
              <w:shd w:val="clear"/>
              <w:spacing w:line="360" w:lineRule="auto"/>
              <w:rPr>
                <w:rFonts w:hint="eastAsia" w:ascii="宋体" w:hAnsi="宋体" w:cs="宋体"/>
                <w:b/>
                <w:color w:val="auto"/>
                <w:kern w:val="0"/>
                <w:szCs w:val="21"/>
                <w:highlight w:val="none"/>
              </w:rPr>
            </w:pPr>
          </w:p>
        </w:tc>
        <w:tc>
          <w:tcPr>
            <w:tcW w:w="3897" w:type="dxa"/>
            <w:gridSpan w:val="4"/>
          </w:tcPr>
          <w:p w14:paraId="7FA4D71A">
            <w:pPr>
              <w:shd w:val="clear"/>
              <w:spacing w:line="360" w:lineRule="auto"/>
              <w:rPr>
                <w:rFonts w:hint="eastAsia" w:ascii="宋体" w:hAnsi="宋体" w:cs="宋体"/>
                <w:b/>
                <w:color w:val="auto"/>
                <w:kern w:val="0"/>
                <w:szCs w:val="21"/>
                <w:highlight w:val="none"/>
              </w:rPr>
            </w:pPr>
          </w:p>
        </w:tc>
      </w:tr>
      <w:tr w14:paraId="47E4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458E7C24">
            <w:pPr>
              <w:shd w:val="clear"/>
              <w:spacing w:line="360" w:lineRule="auto"/>
              <w:rPr>
                <w:rFonts w:hint="eastAsia" w:ascii="宋体" w:hAnsi="宋体" w:cs="宋体"/>
                <w:b/>
                <w:color w:val="auto"/>
                <w:kern w:val="0"/>
                <w:szCs w:val="21"/>
                <w:highlight w:val="none"/>
              </w:rPr>
            </w:pPr>
          </w:p>
        </w:tc>
        <w:tc>
          <w:tcPr>
            <w:tcW w:w="959" w:type="dxa"/>
            <w:gridSpan w:val="2"/>
          </w:tcPr>
          <w:p w14:paraId="063D39B0">
            <w:pPr>
              <w:shd w:val="clear"/>
              <w:spacing w:line="360" w:lineRule="auto"/>
              <w:rPr>
                <w:rFonts w:hint="eastAsia" w:ascii="宋体" w:hAnsi="宋体" w:cs="宋体"/>
                <w:b/>
                <w:color w:val="auto"/>
                <w:kern w:val="0"/>
                <w:szCs w:val="21"/>
                <w:highlight w:val="none"/>
              </w:rPr>
            </w:pPr>
          </w:p>
        </w:tc>
        <w:tc>
          <w:tcPr>
            <w:tcW w:w="1099" w:type="dxa"/>
          </w:tcPr>
          <w:p w14:paraId="75DAC8C9">
            <w:pPr>
              <w:shd w:val="clear"/>
              <w:spacing w:line="360" w:lineRule="auto"/>
              <w:rPr>
                <w:rFonts w:hint="eastAsia" w:ascii="宋体" w:hAnsi="宋体" w:cs="宋体"/>
                <w:b/>
                <w:color w:val="auto"/>
                <w:kern w:val="0"/>
                <w:szCs w:val="21"/>
                <w:highlight w:val="none"/>
              </w:rPr>
            </w:pPr>
          </w:p>
        </w:tc>
        <w:tc>
          <w:tcPr>
            <w:tcW w:w="1427" w:type="dxa"/>
            <w:gridSpan w:val="2"/>
          </w:tcPr>
          <w:p w14:paraId="6555BB88">
            <w:pPr>
              <w:shd w:val="clear"/>
              <w:spacing w:line="360" w:lineRule="auto"/>
              <w:rPr>
                <w:rFonts w:hint="eastAsia" w:ascii="宋体" w:hAnsi="宋体" w:cs="宋体"/>
                <w:b/>
                <w:color w:val="auto"/>
                <w:kern w:val="0"/>
                <w:szCs w:val="21"/>
                <w:highlight w:val="none"/>
              </w:rPr>
            </w:pPr>
          </w:p>
        </w:tc>
        <w:tc>
          <w:tcPr>
            <w:tcW w:w="3897" w:type="dxa"/>
            <w:gridSpan w:val="4"/>
          </w:tcPr>
          <w:p w14:paraId="25083BA1">
            <w:pPr>
              <w:shd w:val="clear"/>
              <w:spacing w:line="360" w:lineRule="auto"/>
              <w:rPr>
                <w:rFonts w:hint="eastAsia" w:ascii="宋体" w:hAnsi="宋体" w:cs="宋体"/>
                <w:b/>
                <w:color w:val="auto"/>
                <w:kern w:val="0"/>
                <w:szCs w:val="21"/>
                <w:highlight w:val="none"/>
              </w:rPr>
            </w:pPr>
          </w:p>
        </w:tc>
      </w:tr>
      <w:tr w14:paraId="255F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203F31FA">
            <w:pPr>
              <w:shd w:val="clear"/>
              <w:spacing w:line="360" w:lineRule="auto"/>
              <w:rPr>
                <w:rFonts w:hint="eastAsia" w:ascii="宋体" w:hAnsi="宋体" w:cs="宋体"/>
                <w:b/>
                <w:color w:val="auto"/>
                <w:kern w:val="0"/>
                <w:szCs w:val="21"/>
                <w:highlight w:val="none"/>
              </w:rPr>
            </w:pPr>
          </w:p>
        </w:tc>
        <w:tc>
          <w:tcPr>
            <w:tcW w:w="959" w:type="dxa"/>
            <w:gridSpan w:val="2"/>
          </w:tcPr>
          <w:p w14:paraId="336CF5E0">
            <w:pPr>
              <w:shd w:val="clear"/>
              <w:spacing w:line="360" w:lineRule="auto"/>
              <w:rPr>
                <w:rFonts w:hint="eastAsia" w:ascii="宋体" w:hAnsi="宋体" w:cs="宋体"/>
                <w:b/>
                <w:color w:val="auto"/>
                <w:kern w:val="0"/>
                <w:szCs w:val="21"/>
                <w:highlight w:val="none"/>
              </w:rPr>
            </w:pPr>
          </w:p>
        </w:tc>
        <w:tc>
          <w:tcPr>
            <w:tcW w:w="1099" w:type="dxa"/>
          </w:tcPr>
          <w:p w14:paraId="762152BC">
            <w:pPr>
              <w:shd w:val="clear"/>
              <w:spacing w:line="360" w:lineRule="auto"/>
              <w:rPr>
                <w:rFonts w:hint="eastAsia" w:ascii="宋体" w:hAnsi="宋体" w:cs="宋体"/>
                <w:b/>
                <w:color w:val="auto"/>
                <w:kern w:val="0"/>
                <w:szCs w:val="21"/>
                <w:highlight w:val="none"/>
              </w:rPr>
            </w:pPr>
          </w:p>
        </w:tc>
        <w:tc>
          <w:tcPr>
            <w:tcW w:w="1427" w:type="dxa"/>
            <w:gridSpan w:val="2"/>
          </w:tcPr>
          <w:p w14:paraId="776FF79F">
            <w:pPr>
              <w:shd w:val="clear"/>
              <w:spacing w:line="360" w:lineRule="auto"/>
              <w:rPr>
                <w:rFonts w:hint="eastAsia" w:ascii="宋体" w:hAnsi="宋体" w:cs="宋体"/>
                <w:b/>
                <w:color w:val="auto"/>
                <w:kern w:val="0"/>
                <w:szCs w:val="21"/>
                <w:highlight w:val="none"/>
              </w:rPr>
            </w:pPr>
          </w:p>
        </w:tc>
        <w:tc>
          <w:tcPr>
            <w:tcW w:w="3897" w:type="dxa"/>
            <w:gridSpan w:val="4"/>
          </w:tcPr>
          <w:p w14:paraId="1D7B7C62">
            <w:pPr>
              <w:shd w:val="clear"/>
              <w:spacing w:line="360" w:lineRule="auto"/>
              <w:rPr>
                <w:rFonts w:hint="eastAsia" w:ascii="宋体" w:hAnsi="宋体" w:cs="宋体"/>
                <w:b/>
                <w:color w:val="auto"/>
                <w:kern w:val="0"/>
                <w:szCs w:val="21"/>
                <w:highlight w:val="none"/>
              </w:rPr>
            </w:pPr>
          </w:p>
        </w:tc>
      </w:tr>
      <w:tr w14:paraId="1735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14:paraId="5D7972CB">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公司荣誉或业绩</w:t>
            </w:r>
          </w:p>
        </w:tc>
      </w:tr>
      <w:tr w14:paraId="2C2E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14:paraId="0295140C">
            <w:pPr>
              <w:shd w:val="clear"/>
              <w:spacing w:line="360" w:lineRule="auto"/>
              <w:rPr>
                <w:rFonts w:hint="eastAsia" w:ascii="宋体" w:hAnsi="宋体" w:cs="宋体"/>
                <w:b/>
                <w:color w:val="auto"/>
                <w:kern w:val="0"/>
                <w:szCs w:val="21"/>
                <w:highlight w:val="none"/>
              </w:rPr>
            </w:pPr>
          </w:p>
        </w:tc>
      </w:tr>
      <w:tr w14:paraId="3496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14:paraId="17ABCAF9">
            <w:pPr>
              <w:shd w:val="clea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公司优势</w:t>
            </w:r>
          </w:p>
        </w:tc>
      </w:tr>
      <w:tr w14:paraId="6712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14:paraId="0AC29D20">
            <w:pPr>
              <w:shd w:val="clear"/>
              <w:spacing w:line="360" w:lineRule="auto"/>
              <w:jc w:val="center"/>
              <w:rPr>
                <w:rFonts w:hint="eastAsia" w:ascii="宋体" w:hAnsi="宋体" w:cs="宋体"/>
                <w:b/>
                <w:color w:val="auto"/>
                <w:kern w:val="0"/>
                <w:szCs w:val="21"/>
                <w:highlight w:val="none"/>
              </w:rPr>
            </w:pPr>
          </w:p>
        </w:tc>
      </w:tr>
      <w:tr w14:paraId="2A32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14:paraId="4F4F2459">
            <w:pPr>
              <w:shd w:val="clea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bl>
    <w:p w14:paraId="64010E14">
      <w:pPr>
        <w:pStyle w:val="3"/>
        <w:keepNext w:val="0"/>
        <w:keepLines w:val="0"/>
        <w:shd w:val="clea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291" w:name="_Toc9194628"/>
      <w:bookmarkStart w:id="292" w:name="_Toc112768399"/>
      <w:bookmarkStart w:id="293" w:name="_Toc29005"/>
      <w:r>
        <w:rPr>
          <w:rFonts w:hint="eastAsia" w:ascii="宋体" w:hAnsi="宋体" w:eastAsia="宋体" w:cs="宋体"/>
          <w:b/>
          <w:color w:val="auto"/>
          <w:sz w:val="24"/>
          <w:szCs w:val="24"/>
          <w:highlight w:val="none"/>
        </w:rPr>
        <w:t>6</w:t>
      </w:r>
      <w:bookmarkEnd w:id="289"/>
      <w:bookmarkEnd w:id="290"/>
      <w:bookmarkStart w:id="294" w:name="_Toc8649"/>
      <w:bookmarkStart w:id="295" w:name="_Toc398111726"/>
      <w:r>
        <w:rPr>
          <w:rFonts w:hint="eastAsia" w:ascii="宋体" w:hAnsi="宋体" w:eastAsia="宋体" w:cs="宋体"/>
          <w:b/>
          <w:color w:val="auto"/>
          <w:sz w:val="24"/>
          <w:szCs w:val="24"/>
          <w:highlight w:val="none"/>
        </w:rPr>
        <w:t>.拟派项目监理机构人员一览表</w:t>
      </w:r>
      <w:bookmarkEnd w:id="291"/>
      <w:bookmarkEnd w:id="292"/>
      <w:bookmarkEnd w:id="293"/>
      <w:bookmarkEnd w:id="294"/>
      <w:bookmarkEnd w:id="295"/>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14:paraId="5268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1786074F">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拟任岗位</w:t>
            </w:r>
          </w:p>
        </w:tc>
        <w:tc>
          <w:tcPr>
            <w:tcW w:w="723" w:type="dxa"/>
            <w:vMerge w:val="restart"/>
            <w:vAlign w:val="center"/>
          </w:tcPr>
          <w:p w14:paraId="0BD326B6">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708" w:type="dxa"/>
            <w:vMerge w:val="restart"/>
            <w:vAlign w:val="center"/>
          </w:tcPr>
          <w:p w14:paraId="3E80D2C2">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年龄</w:t>
            </w:r>
          </w:p>
        </w:tc>
        <w:tc>
          <w:tcPr>
            <w:tcW w:w="851" w:type="dxa"/>
            <w:vMerge w:val="restart"/>
            <w:vAlign w:val="center"/>
          </w:tcPr>
          <w:p w14:paraId="6F22309E">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1356" w:type="dxa"/>
            <w:vMerge w:val="restart"/>
            <w:vAlign w:val="center"/>
          </w:tcPr>
          <w:p w14:paraId="0DB01CEE">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从事监理工作年限</w:t>
            </w:r>
          </w:p>
        </w:tc>
        <w:tc>
          <w:tcPr>
            <w:tcW w:w="4172" w:type="dxa"/>
            <w:gridSpan w:val="3"/>
            <w:vAlign w:val="center"/>
          </w:tcPr>
          <w:p w14:paraId="38528FEF">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执业或职业资格证书</w:t>
            </w:r>
          </w:p>
        </w:tc>
      </w:tr>
      <w:tr w14:paraId="0944C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E8A2191">
            <w:pPr>
              <w:shd w:val="clear"/>
              <w:spacing w:line="360" w:lineRule="auto"/>
              <w:jc w:val="center"/>
              <w:rPr>
                <w:rFonts w:hint="eastAsia" w:ascii="宋体" w:hAnsi="宋体" w:cs="宋体"/>
                <w:color w:val="auto"/>
                <w:kern w:val="0"/>
                <w:szCs w:val="21"/>
                <w:highlight w:val="none"/>
              </w:rPr>
            </w:pPr>
          </w:p>
        </w:tc>
        <w:tc>
          <w:tcPr>
            <w:tcW w:w="723" w:type="dxa"/>
            <w:vMerge w:val="continue"/>
            <w:vAlign w:val="center"/>
          </w:tcPr>
          <w:p w14:paraId="64367D82">
            <w:pPr>
              <w:shd w:val="clear"/>
              <w:spacing w:line="360" w:lineRule="auto"/>
              <w:jc w:val="center"/>
              <w:rPr>
                <w:rFonts w:hint="eastAsia" w:ascii="宋体" w:hAnsi="宋体" w:cs="宋体"/>
                <w:color w:val="auto"/>
                <w:kern w:val="0"/>
                <w:szCs w:val="21"/>
                <w:highlight w:val="none"/>
              </w:rPr>
            </w:pPr>
          </w:p>
        </w:tc>
        <w:tc>
          <w:tcPr>
            <w:tcW w:w="708" w:type="dxa"/>
            <w:vMerge w:val="continue"/>
            <w:vAlign w:val="center"/>
          </w:tcPr>
          <w:p w14:paraId="1979C928">
            <w:pPr>
              <w:shd w:val="clear"/>
              <w:spacing w:line="360" w:lineRule="auto"/>
              <w:jc w:val="center"/>
              <w:rPr>
                <w:rFonts w:hint="eastAsia" w:ascii="宋体" w:hAnsi="宋体" w:cs="宋体"/>
                <w:color w:val="auto"/>
                <w:kern w:val="0"/>
                <w:szCs w:val="21"/>
                <w:highlight w:val="none"/>
              </w:rPr>
            </w:pPr>
          </w:p>
        </w:tc>
        <w:tc>
          <w:tcPr>
            <w:tcW w:w="851" w:type="dxa"/>
            <w:vMerge w:val="continue"/>
            <w:vAlign w:val="center"/>
          </w:tcPr>
          <w:p w14:paraId="7026D0B4">
            <w:pPr>
              <w:shd w:val="clear"/>
              <w:spacing w:line="360" w:lineRule="auto"/>
              <w:jc w:val="center"/>
              <w:rPr>
                <w:rFonts w:hint="eastAsia" w:ascii="宋体" w:hAnsi="宋体" w:cs="宋体"/>
                <w:color w:val="auto"/>
                <w:kern w:val="0"/>
                <w:szCs w:val="21"/>
                <w:highlight w:val="none"/>
              </w:rPr>
            </w:pPr>
          </w:p>
        </w:tc>
        <w:tc>
          <w:tcPr>
            <w:tcW w:w="1356" w:type="dxa"/>
            <w:vMerge w:val="continue"/>
            <w:vAlign w:val="center"/>
          </w:tcPr>
          <w:p w14:paraId="1C218D0B">
            <w:pPr>
              <w:shd w:val="clear"/>
              <w:spacing w:line="360" w:lineRule="auto"/>
              <w:jc w:val="center"/>
              <w:rPr>
                <w:rFonts w:hint="eastAsia" w:ascii="宋体" w:hAnsi="宋体" w:cs="宋体"/>
                <w:color w:val="auto"/>
                <w:kern w:val="0"/>
                <w:szCs w:val="21"/>
                <w:highlight w:val="none"/>
              </w:rPr>
            </w:pPr>
          </w:p>
        </w:tc>
        <w:tc>
          <w:tcPr>
            <w:tcW w:w="1479" w:type="dxa"/>
            <w:vAlign w:val="center"/>
          </w:tcPr>
          <w:p w14:paraId="4E2C9804">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证书名称</w:t>
            </w:r>
          </w:p>
        </w:tc>
        <w:tc>
          <w:tcPr>
            <w:tcW w:w="1417" w:type="dxa"/>
            <w:vAlign w:val="center"/>
          </w:tcPr>
          <w:p w14:paraId="1FD0B410">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证书编号</w:t>
            </w:r>
          </w:p>
        </w:tc>
        <w:tc>
          <w:tcPr>
            <w:tcW w:w="1276" w:type="dxa"/>
            <w:vAlign w:val="center"/>
          </w:tcPr>
          <w:p w14:paraId="24987ECA">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w:t>
            </w:r>
          </w:p>
        </w:tc>
      </w:tr>
      <w:tr w14:paraId="780E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2FC4D3CA">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总监</w:t>
            </w:r>
          </w:p>
        </w:tc>
        <w:tc>
          <w:tcPr>
            <w:tcW w:w="723" w:type="dxa"/>
            <w:vAlign w:val="center"/>
          </w:tcPr>
          <w:p w14:paraId="2CFDC21A">
            <w:pPr>
              <w:shd w:val="clear"/>
              <w:spacing w:line="360" w:lineRule="auto"/>
              <w:jc w:val="center"/>
              <w:rPr>
                <w:rFonts w:hint="eastAsia" w:ascii="宋体" w:hAnsi="宋体" w:cs="宋体"/>
                <w:color w:val="auto"/>
                <w:kern w:val="0"/>
                <w:szCs w:val="21"/>
                <w:highlight w:val="none"/>
              </w:rPr>
            </w:pPr>
          </w:p>
        </w:tc>
        <w:tc>
          <w:tcPr>
            <w:tcW w:w="708" w:type="dxa"/>
            <w:vAlign w:val="center"/>
          </w:tcPr>
          <w:p w14:paraId="1E0C317F">
            <w:pPr>
              <w:shd w:val="clear"/>
              <w:spacing w:line="360" w:lineRule="auto"/>
              <w:jc w:val="center"/>
              <w:rPr>
                <w:rFonts w:hint="eastAsia" w:ascii="宋体" w:hAnsi="宋体" w:cs="宋体"/>
                <w:color w:val="auto"/>
                <w:kern w:val="0"/>
                <w:szCs w:val="21"/>
                <w:highlight w:val="none"/>
              </w:rPr>
            </w:pPr>
          </w:p>
        </w:tc>
        <w:tc>
          <w:tcPr>
            <w:tcW w:w="851" w:type="dxa"/>
            <w:vAlign w:val="center"/>
          </w:tcPr>
          <w:p w14:paraId="54D384A4">
            <w:pPr>
              <w:shd w:val="clear"/>
              <w:spacing w:line="360" w:lineRule="auto"/>
              <w:jc w:val="center"/>
              <w:rPr>
                <w:rFonts w:hint="eastAsia" w:ascii="宋体" w:hAnsi="宋体" w:cs="宋体"/>
                <w:color w:val="auto"/>
                <w:kern w:val="0"/>
                <w:szCs w:val="21"/>
                <w:highlight w:val="none"/>
              </w:rPr>
            </w:pPr>
          </w:p>
        </w:tc>
        <w:tc>
          <w:tcPr>
            <w:tcW w:w="1356" w:type="dxa"/>
            <w:vAlign w:val="center"/>
          </w:tcPr>
          <w:p w14:paraId="5194678F">
            <w:pPr>
              <w:shd w:val="clear"/>
              <w:spacing w:line="360" w:lineRule="auto"/>
              <w:jc w:val="center"/>
              <w:rPr>
                <w:rFonts w:hint="eastAsia" w:ascii="宋体" w:hAnsi="宋体" w:cs="宋体"/>
                <w:color w:val="auto"/>
                <w:kern w:val="0"/>
                <w:szCs w:val="21"/>
                <w:highlight w:val="none"/>
              </w:rPr>
            </w:pPr>
          </w:p>
        </w:tc>
        <w:tc>
          <w:tcPr>
            <w:tcW w:w="1479" w:type="dxa"/>
            <w:vAlign w:val="center"/>
          </w:tcPr>
          <w:p w14:paraId="4555CCF0">
            <w:pPr>
              <w:shd w:val="clear"/>
              <w:spacing w:line="360" w:lineRule="auto"/>
              <w:jc w:val="center"/>
              <w:rPr>
                <w:rFonts w:hint="eastAsia" w:ascii="宋体" w:hAnsi="宋体" w:cs="宋体"/>
                <w:color w:val="auto"/>
                <w:kern w:val="0"/>
                <w:szCs w:val="21"/>
                <w:highlight w:val="none"/>
              </w:rPr>
            </w:pPr>
          </w:p>
        </w:tc>
        <w:tc>
          <w:tcPr>
            <w:tcW w:w="1417" w:type="dxa"/>
            <w:vAlign w:val="center"/>
          </w:tcPr>
          <w:p w14:paraId="07A3F3EC">
            <w:pPr>
              <w:shd w:val="clear"/>
              <w:spacing w:line="360" w:lineRule="auto"/>
              <w:jc w:val="center"/>
              <w:rPr>
                <w:rFonts w:hint="eastAsia" w:ascii="宋体" w:hAnsi="宋体" w:cs="宋体"/>
                <w:color w:val="auto"/>
                <w:kern w:val="0"/>
                <w:szCs w:val="21"/>
                <w:highlight w:val="none"/>
              </w:rPr>
            </w:pPr>
          </w:p>
        </w:tc>
        <w:tc>
          <w:tcPr>
            <w:tcW w:w="1276" w:type="dxa"/>
            <w:vAlign w:val="center"/>
          </w:tcPr>
          <w:p w14:paraId="37D16B51">
            <w:pPr>
              <w:shd w:val="clear"/>
              <w:spacing w:line="360" w:lineRule="auto"/>
              <w:jc w:val="center"/>
              <w:rPr>
                <w:rFonts w:hint="eastAsia" w:ascii="宋体" w:hAnsi="宋体" w:cs="宋体"/>
                <w:color w:val="auto"/>
                <w:kern w:val="0"/>
                <w:szCs w:val="21"/>
                <w:highlight w:val="none"/>
              </w:rPr>
            </w:pPr>
          </w:p>
        </w:tc>
      </w:tr>
      <w:tr w14:paraId="2529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exact"/>
        </w:trPr>
        <w:tc>
          <w:tcPr>
            <w:tcW w:w="1512" w:type="dxa"/>
            <w:vAlign w:val="center"/>
          </w:tcPr>
          <w:p w14:paraId="6DC02764">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专业监理</w:t>
            </w:r>
          </w:p>
          <w:p w14:paraId="7FB4085B">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工程师</w:t>
            </w:r>
          </w:p>
        </w:tc>
        <w:tc>
          <w:tcPr>
            <w:tcW w:w="723" w:type="dxa"/>
            <w:vAlign w:val="center"/>
          </w:tcPr>
          <w:p w14:paraId="38B193F4">
            <w:pPr>
              <w:shd w:val="clear"/>
              <w:spacing w:line="360" w:lineRule="auto"/>
              <w:jc w:val="center"/>
              <w:rPr>
                <w:rFonts w:hint="eastAsia" w:ascii="宋体" w:hAnsi="宋体" w:cs="宋体"/>
                <w:color w:val="auto"/>
                <w:kern w:val="0"/>
                <w:szCs w:val="21"/>
                <w:highlight w:val="none"/>
              </w:rPr>
            </w:pPr>
          </w:p>
        </w:tc>
        <w:tc>
          <w:tcPr>
            <w:tcW w:w="708" w:type="dxa"/>
            <w:vAlign w:val="center"/>
          </w:tcPr>
          <w:p w14:paraId="0F85CC17">
            <w:pPr>
              <w:shd w:val="clear"/>
              <w:spacing w:line="360" w:lineRule="auto"/>
              <w:jc w:val="center"/>
              <w:rPr>
                <w:rFonts w:hint="eastAsia" w:ascii="宋体" w:hAnsi="宋体" w:cs="宋体"/>
                <w:color w:val="auto"/>
                <w:kern w:val="0"/>
                <w:szCs w:val="21"/>
                <w:highlight w:val="none"/>
              </w:rPr>
            </w:pPr>
          </w:p>
        </w:tc>
        <w:tc>
          <w:tcPr>
            <w:tcW w:w="851" w:type="dxa"/>
            <w:vAlign w:val="center"/>
          </w:tcPr>
          <w:p w14:paraId="1AF336AB">
            <w:pPr>
              <w:shd w:val="clear"/>
              <w:spacing w:line="360" w:lineRule="auto"/>
              <w:jc w:val="center"/>
              <w:rPr>
                <w:rFonts w:hint="eastAsia" w:ascii="宋体" w:hAnsi="宋体" w:cs="宋体"/>
                <w:color w:val="auto"/>
                <w:kern w:val="0"/>
                <w:szCs w:val="21"/>
                <w:highlight w:val="none"/>
              </w:rPr>
            </w:pPr>
          </w:p>
        </w:tc>
        <w:tc>
          <w:tcPr>
            <w:tcW w:w="1356" w:type="dxa"/>
            <w:vAlign w:val="center"/>
          </w:tcPr>
          <w:p w14:paraId="7F850D51">
            <w:pPr>
              <w:shd w:val="clear"/>
              <w:spacing w:line="360" w:lineRule="auto"/>
              <w:jc w:val="center"/>
              <w:rPr>
                <w:rFonts w:hint="eastAsia" w:ascii="宋体" w:hAnsi="宋体" w:cs="宋体"/>
                <w:color w:val="auto"/>
                <w:kern w:val="0"/>
                <w:szCs w:val="21"/>
                <w:highlight w:val="none"/>
              </w:rPr>
            </w:pPr>
          </w:p>
        </w:tc>
        <w:tc>
          <w:tcPr>
            <w:tcW w:w="1479" w:type="dxa"/>
            <w:vAlign w:val="center"/>
          </w:tcPr>
          <w:p w14:paraId="2E5CDC68">
            <w:pPr>
              <w:shd w:val="clear"/>
              <w:spacing w:line="360" w:lineRule="auto"/>
              <w:jc w:val="center"/>
              <w:rPr>
                <w:rFonts w:hint="eastAsia" w:ascii="宋体" w:hAnsi="宋体" w:cs="宋体"/>
                <w:color w:val="auto"/>
                <w:kern w:val="0"/>
                <w:szCs w:val="21"/>
                <w:highlight w:val="none"/>
              </w:rPr>
            </w:pPr>
          </w:p>
        </w:tc>
        <w:tc>
          <w:tcPr>
            <w:tcW w:w="1417" w:type="dxa"/>
            <w:vAlign w:val="center"/>
          </w:tcPr>
          <w:p w14:paraId="3B803E8C">
            <w:pPr>
              <w:shd w:val="clear"/>
              <w:spacing w:line="360" w:lineRule="auto"/>
              <w:jc w:val="center"/>
              <w:rPr>
                <w:rFonts w:hint="eastAsia" w:ascii="宋体" w:hAnsi="宋体" w:cs="宋体"/>
                <w:color w:val="auto"/>
                <w:kern w:val="0"/>
                <w:szCs w:val="21"/>
                <w:highlight w:val="none"/>
              </w:rPr>
            </w:pPr>
          </w:p>
        </w:tc>
        <w:tc>
          <w:tcPr>
            <w:tcW w:w="1276" w:type="dxa"/>
            <w:vAlign w:val="center"/>
          </w:tcPr>
          <w:p w14:paraId="41EC669D">
            <w:pPr>
              <w:shd w:val="clear"/>
              <w:spacing w:line="360" w:lineRule="auto"/>
              <w:jc w:val="center"/>
              <w:rPr>
                <w:rFonts w:hint="eastAsia" w:ascii="宋体" w:hAnsi="宋体" w:cs="宋体"/>
                <w:color w:val="auto"/>
                <w:kern w:val="0"/>
                <w:szCs w:val="21"/>
                <w:highlight w:val="none"/>
              </w:rPr>
            </w:pPr>
          </w:p>
        </w:tc>
      </w:tr>
      <w:tr w14:paraId="79A5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3FA6AF08">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监理员</w:t>
            </w:r>
          </w:p>
        </w:tc>
        <w:tc>
          <w:tcPr>
            <w:tcW w:w="723" w:type="dxa"/>
            <w:vAlign w:val="center"/>
          </w:tcPr>
          <w:p w14:paraId="7895A955">
            <w:pPr>
              <w:shd w:val="clear"/>
              <w:spacing w:line="360" w:lineRule="auto"/>
              <w:jc w:val="center"/>
              <w:rPr>
                <w:rFonts w:hint="eastAsia" w:ascii="宋体" w:hAnsi="宋体" w:cs="宋体"/>
                <w:color w:val="auto"/>
                <w:kern w:val="0"/>
                <w:szCs w:val="21"/>
                <w:highlight w:val="none"/>
              </w:rPr>
            </w:pPr>
          </w:p>
        </w:tc>
        <w:tc>
          <w:tcPr>
            <w:tcW w:w="708" w:type="dxa"/>
            <w:vAlign w:val="center"/>
          </w:tcPr>
          <w:p w14:paraId="208E2382">
            <w:pPr>
              <w:shd w:val="clear"/>
              <w:spacing w:line="360" w:lineRule="auto"/>
              <w:jc w:val="center"/>
              <w:rPr>
                <w:rFonts w:hint="eastAsia" w:ascii="宋体" w:hAnsi="宋体" w:cs="宋体"/>
                <w:color w:val="auto"/>
                <w:kern w:val="0"/>
                <w:szCs w:val="21"/>
                <w:highlight w:val="none"/>
              </w:rPr>
            </w:pPr>
          </w:p>
        </w:tc>
        <w:tc>
          <w:tcPr>
            <w:tcW w:w="851" w:type="dxa"/>
            <w:vAlign w:val="center"/>
          </w:tcPr>
          <w:p w14:paraId="07F4EEFF">
            <w:pPr>
              <w:shd w:val="clear"/>
              <w:spacing w:line="360" w:lineRule="auto"/>
              <w:jc w:val="center"/>
              <w:rPr>
                <w:rFonts w:hint="eastAsia" w:ascii="宋体" w:hAnsi="宋体" w:cs="宋体"/>
                <w:color w:val="auto"/>
                <w:kern w:val="0"/>
                <w:szCs w:val="21"/>
                <w:highlight w:val="none"/>
              </w:rPr>
            </w:pPr>
          </w:p>
        </w:tc>
        <w:tc>
          <w:tcPr>
            <w:tcW w:w="1356" w:type="dxa"/>
            <w:vAlign w:val="center"/>
          </w:tcPr>
          <w:p w14:paraId="5A816C06">
            <w:pPr>
              <w:shd w:val="clear"/>
              <w:spacing w:line="360" w:lineRule="auto"/>
              <w:jc w:val="center"/>
              <w:rPr>
                <w:rFonts w:hint="eastAsia" w:ascii="宋体" w:hAnsi="宋体" w:cs="宋体"/>
                <w:color w:val="auto"/>
                <w:kern w:val="0"/>
                <w:szCs w:val="21"/>
                <w:highlight w:val="none"/>
              </w:rPr>
            </w:pPr>
          </w:p>
        </w:tc>
        <w:tc>
          <w:tcPr>
            <w:tcW w:w="1479" w:type="dxa"/>
            <w:vAlign w:val="center"/>
          </w:tcPr>
          <w:p w14:paraId="321A15A5">
            <w:pPr>
              <w:shd w:val="clear"/>
              <w:spacing w:line="360" w:lineRule="auto"/>
              <w:jc w:val="center"/>
              <w:rPr>
                <w:rFonts w:hint="eastAsia" w:ascii="宋体" w:hAnsi="宋体" w:cs="宋体"/>
                <w:color w:val="auto"/>
                <w:kern w:val="0"/>
                <w:szCs w:val="21"/>
                <w:highlight w:val="none"/>
              </w:rPr>
            </w:pPr>
          </w:p>
        </w:tc>
        <w:tc>
          <w:tcPr>
            <w:tcW w:w="1417" w:type="dxa"/>
            <w:vAlign w:val="center"/>
          </w:tcPr>
          <w:p w14:paraId="2DBD3143">
            <w:pPr>
              <w:shd w:val="clear"/>
              <w:spacing w:line="360" w:lineRule="auto"/>
              <w:jc w:val="center"/>
              <w:rPr>
                <w:rFonts w:hint="eastAsia" w:ascii="宋体" w:hAnsi="宋体" w:cs="宋体"/>
                <w:color w:val="auto"/>
                <w:kern w:val="0"/>
                <w:szCs w:val="21"/>
                <w:highlight w:val="none"/>
              </w:rPr>
            </w:pPr>
          </w:p>
        </w:tc>
        <w:tc>
          <w:tcPr>
            <w:tcW w:w="1276" w:type="dxa"/>
            <w:vAlign w:val="center"/>
          </w:tcPr>
          <w:p w14:paraId="4E179468">
            <w:pPr>
              <w:shd w:val="clear"/>
              <w:spacing w:line="360" w:lineRule="auto"/>
              <w:jc w:val="center"/>
              <w:rPr>
                <w:rFonts w:hint="eastAsia" w:ascii="宋体" w:hAnsi="宋体" w:cs="宋体"/>
                <w:color w:val="auto"/>
                <w:kern w:val="0"/>
                <w:szCs w:val="21"/>
                <w:highlight w:val="none"/>
              </w:rPr>
            </w:pPr>
          </w:p>
        </w:tc>
      </w:tr>
      <w:tr w14:paraId="7B82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51F0C9FA">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见证取样员</w:t>
            </w:r>
          </w:p>
        </w:tc>
        <w:tc>
          <w:tcPr>
            <w:tcW w:w="723" w:type="dxa"/>
            <w:vAlign w:val="center"/>
          </w:tcPr>
          <w:p w14:paraId="1D8153B7">
            <w:pPr>
              <w:shd w:val="clear"/>
              <w:spacing w:line="360" w:lineRule="auto"/>
              <w:jc w:val="center"/>
              <w:rPr>
                <w:rFonts w:hint="eastAsia" w:ascii="宋体" w:hAnsi="宋体" w:cs="宋体"/>
                <w:color w:val="auto"/>
                <w:kern w:val="0"/>
                <w:szCs w:val="21"/>
                <w:highlight w:val="none"/>
              </w:rPr>
            </w:pPr>
          </w:p>
        </w:tc>
        <w:tc>
          <w:tcPr>
            <w:tcW w:w="708" w:type="dxa"/>
            <w:vAlign w:val="center"/>
          </w:tcPr>
          <w:p w14:paraId="0575496F">
            <w:pPr>
              <w:shd w:val="clear"/>
              <w:spacing w:line="360" w:lineRule="auto"/>
              <w:jc w:val="center"/>
              <w:rPr>
                <w:rFonts w:hint="eastAsia" w:ascii="宋体" w:hAnsi="宋体" w:cs="宋体"/>
                <w:color w:val="auto"/>
                <w:kern w:val="0"/>
                <w:szCs w:val="21"/>
                <w:highlight w:val="none"/>
              </w:rPr>
            </w:pPr>
          </w:p>
        </w:tc>
        <w:tc>
          <w:tcPr>
            <w:tcW w:w="851" w:type="dxa"/>
            <w:vAlign w:val="center"/>
          </w:tcPr>
          <w:p w14:paraId="7F8ED268">
            <w:pPr>
              <w:shd w:val="clear"/>
              <w:spacing w:line="360" w:lineRule="auto"/>
              <w:jc w:val="center"/>
              <w:rPr>
                <w:rFonts w:hint="eastAsia" w:ascii="宋体" w:hAnsi="宋体" w:cs="宋体"/>
                <w:color w:val="auto"/>
                <w:kern w:val="0"/>
                <w:szCs w:val="21"/>
                <w:highlight w:val="none"/>
              </w:rPr>
            </w:pPr>
          </w:p>
        </w:tc>
        <w:tc>
          <w:tcPr>
            <w:tcW w:w="1356" w:type="dxa"/>
            <w:vAlign w:val="center"/>
          </w:tcPr>
          <w:p w14:paraId="252ACAA2">
            <w:pPr>
              <w:shd w:val="clear"/>
              <w:spacing w:line="360" w:lineRule="auto"/>
              <w:jc w:val="center"/>
              <w:rPr>
                <w:rFonts w:hint="eastAsia" w:ascii="宋体" w:hAnsi="宋体" w:cs="宋体"/>
                <w:color w:val="auto"/>
                <w:kern w:val="0"/>
                <w:szCs w:val="21"/>
                <w:highlight w:val="none"/>
              </w:rPr>
            </w:pPr>
          </w:p>
        </w:tc>
        <w:tc>
          <w:tcPr>
            <w:tcW w:w="1479" w:type="dxa"/>
            <w:vAlign w:val="center"/>
          </w:tcPr>
          <w:p w14:paraId="75AC5D39">
            <w:pPr>
              <w:shd w:val="clear"/>
              <w:spacing w:line="360" w:lineRule="auto"/>
              <w:jc w:val="center"/>
              <w:rPr>
                <w:rFonts w:hint="eastAsia" w:ascii="宋体" w:hAnsi="宋体" w:cs="宋体"/>
                <w:color w:val="auto"/>
                <w:kern w:val="0"/>
                <w:szCs w:val="21"/>
                <w:highlight w:val="none"/>
              </w:rPr>
            </w:pPr>
          </w:p>
        </w:tc>
        <w:tc>
          <w:tcPr>
            <w:tcW w:w="1417" w:type="dxa"/>
            <w:vAlign w:val="center"/>
          </w:tcPr>
          <w:p w14:paraId="708152A2">
            <w:pPr>
              <w:shd w:val="clear"/>
              <w:spacing w:line="360" w:lineRule="auto"/>
              <w:jc w:val="center"/>
              <w:rPr>
                <w:rFonts w:hint="eastAsia" w:ascii="宋体" w:hAnsi="宋体" w:cs="宋体"/>
                <w:color w:val="auto"/>
                <w:kern w:val="0"/>
                <w:szCs w:val="21"/>
                <w:highlight w:val="none"/>
              </w:rPr>
            </w:pPr>
          </w:p>
        </w:tc>
        <w:tc>
          <w:tcPr>
            <w:tcW w:w="1276" w:type="dxa"/>
            <w:vAlign w:val="center"/>
          </w:tcPr>
          <w:p w14:paraId="2C4C05AB">
            <w:pPr>
              <w:shd w:val="clear"/>
              <w:spacing w:line="360" w:lineRule="auto"/>
              <w:jc w:val="center"/>
              <w:rPr>
                <w:rFonts w:hint="eastAsia" w:ascii="宋体" w:hAnsi="宋体" w:cs="宋体"/>
                <w:color w:val="auto"/>
                <w:kern w:val="0"/>
                <w:szCs w:val="21"/>
                <w:highlight w:val="none"/>
              </w:rPr>
            </w:pPr>
          </w:p>
        </w:tc>
      </w:tr>
    </w:tbl>
    <w:p w14:paraId="4BCB475B">
      <w:pPr>
        <w:shd w:val="clear"/>
        <w:spacing w:line="360" w:lineRule="auto"/>
        <w:jc w:val="center"/>
        <w:rPr>
          <w:rFonts w:hint="eastAsia" w:ascii="宋体" w:hAnsi="宋体" w:cs="宋体"/>
          <w:b/>
          <w:color w:val="auto"/>
          <w:kern w:val="0"/>
          <w:sz w:val="24"/>
          <w:highlight w:val="none"/>
        </w:rPr>
      </w:pPr>
    </w:p>
    <w:p w14:paraId="507D4C18">
      <w:pPr>
        <w:shd w:val="clear"/>
        <w:spacing w:line="360" w:lineRule="auto"/>
        <w:rPr>
          <w:rFonts w:hint="eastAsia" w:ascii="宋体" w:hAnsi="宋体" w:cs="宋体"/>
          <w:b/>
          <w:color w:val="auto"/>
          <w:kern w:val="0"/>
          <w:sz w:val="24"/>
          <w:highlight w:val="none"/>
        </w:rPr>
      </w:pPr>
    </w:p>
    <w:p w14:paraId="71DD0CFB">
      <w:pPr>
        <w:shd w:val="clear"/>
        <w:spacing w:line="360" w:lineRule="auto"/>
        <w:jc w:val="center"/>
        <w:rPr>
          <w:rFonts w:hint="eastAsia" w:ascii="宋体" w:hAnsi="宋体" w:cs="宋体"/>
          <w:b/>
          <w:color w:val="auto"/>
          <w:kern w:val="0"/>
          <w:sz w:val="24"/>
          <w:highlight w:val="none"/>
        </w:rPr>
      </w:pPr>
    </w:p>
    <w:p w14:paraId="4847F856">
      <w:pPr>
        <w:shd w:val="clear"/>
        <w:spacing w:line="360" w:lineRule="auto"/>
        <w:rPr>
          <w:rFonts w:hint="eastAsia" w:ascii="宋体" w:hAnsi="宋体" w:cs="宋体"/>
          <w:b/>
          <w:color w:val="auto"/>
          <w:kern w:val="0"/>
          <w:sz w:val="24"/>
          <w:highlight w:val="none"/>
        </w:rPr>
      </w:pPr>
    </w:p>
    <w:p w14:paraId="0C0EDE87">
      <w:pPr>
        <w:pStyle w:val="3"/>
        <w:keepNext w:val="0"/>
        <w:keepLines w:val="0"/>
        <w:shd w:val="clear"/>
        <w:spacing w:line="360" w:lineRule="auto"/>
        <w:rPr>
          <w:rFonts w:hint="eastAsia" w:ascii="宋体" w:hAnsi="宋体" w:eastAsia="宋体" w:cs="宋体"/>
          <w:b/>
          <w:bCs w:val="0"/>
          <w:color w:val="auto"/>
          <w:sz w:val="24"/>
          <w:szCs w:val="24"/>
          <w:highlight w:val="none"/>
        </w:rPr>
      </w:pPr>
      <w:bookmarkStart w:id="296" w:name="_Toc9194629"/>
      <w:bookmarkStart w:id="297" w:name="_Toc16339"/>
      <w:r>
        <w:rPr>
          <w:rFonts w:hint="eastAsia" w:ascii="宋体" w:hAnsi="宋体" w:eastAsia="宋体" w:cs="宋体"/>
          <w:b/>
          <w:bCs w:val="0"/>
          <w:color w:val="auto"/>
          <w:sz w:val="24"/>
          <w:szCs w:val="24"/>
          <w:highlight w:val="none"/>
        </w:rPr>
        <w:br w:type="page"/>
      </w:r>
      <w:bookmarkStart w:id="298" w:name="_Toc20660"/>
      <w:bookmarkStart w:id="299" w:name="_Toc112768400"/>
      <w:r>
        <w:rPr>
          <w:rFonts w:hint="eastAsia" w:ascii="宋体" w:hAnsi="宋体" w:eastAsia="宋体" w:cs="宋体"/>
          <w:b/>
          <w:bCs w:val="0"/>
          <w:color w:val="auto"/>
          <w:sz w:val="24"/>
          <w:szCs w:val="24"/>
          <w:highlight w:val="none"/>
        </w:rPr>
        <w:t>7. 拟投入现场的设备、检测仪器</w:t>
      </w:r>
      <w:bookmarkEnd w:id="296"/>
      <w:bookmarkEnd w:id="297"/>
      <w:bookmarkEnd w:id="298"/>
      <w:bookmarkEnd w:id="299"/>
      <w:bookmarkStart w:id="300" w:name="_Toc4776"/>
    </w:p>
    <w:p w14:paraId="317B8802">
      <w:pPr>
        <w:pStyle w:val="3"/>
        <w:keepNext w:val="0"/>
        <w:keepLines w:val="0"/>
        <w:shd w:val="clear"/>
        <w:spacing w:line="360" w:lineRule="auto"/>
        <w:jc w:val="center"/>
        <w:rPr>
          <w:rFonts w:hint="eastAsia" w:ascii="宋体" w:hAnsi="宋体" w:eastAsia="宋体" w:cs="宋体"/>
          <w:b/>
          <w:bCs w:val="0"/>
          <w:color w:val="auto"/>
          <w:sz w:val="24"/>
          <w:szCs w:val="24"/>
          <w:highlight w:val="none"/>
        </w:rPr>
      </w:pPr>
      <w:bookmarkStart w:id="301" w:name="_Toc9194630"/>
      <w:bookmarkStart w:id="302" w:name="_Toc112768401"/>
      <w:bookmarkStart w:id="303" w:name="_Toc6574"/>
      <w:bookmarkStart w:id="304" w:name="_Toc398111728"/>
      <w:r>
        <w:rPr>
          <w:rFonts w:hint="eastAsia" w:ascii="宋体" w:hAnsi="宋体" w:eastAsia="宋体" w:cs="宋体"/>
          <w:b/>
          <w:bCs w:val="0"/>
          <w:color w:val="auto"/>
          <w:sz w:val="24"/>
          <w:szCs w:val="24"/>
          <w:highlight w:val="none"/>
        </w:rPr>
        <w:t>拟投入现场的设备、检测仪器一览表</w:t>
      </w:r>
      <w:bookmarkEnd w:id="300"/>
      <w:bookmarkEnd w:id="301"/>
      <w:bookmarkEnd w:id="302"/>
      <w:bookmarkEnd w:id="303"/>
      <w:bookmarkEnd w:id="304"/>
    </w:p>
    <w:tbl>
      <w:tblPr>
        <w:tblStyle w:val="29"/>
        <w:tblW w:w="86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8"/>
        <w:gridCol w:w="1174"/>
        <w:gridCol w:w="914"/>
        <w:gridCol w:w="1174"/>
        <w:gridCol w:w="1437"/>
        <w:gridCol w:w="1436"/>
      </w:tblGrid>
      <w:tr w14:paraId="3B83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653" w:type="dxa"/>
            <w:tcBorders>
              <w:top w:val="outset" w:color="auto" w:sz="6" w:space="0"/>
              <w:left w:val="outset" w:color="auto" w:sz="6" w:space="0"/>
              <w:bottom w:val="outset" w:color="auto" w:sz="6" w:space="0"/>
              <w:right w:val="outset" w:color="auto" w:sz="6" w:space="0"/>
            </w:tcBorders>
            <w:vAlign w:val="center"/>
          </w:tcPr>
          <w:p w14:paraId="6B1D7995">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28" w:type="dxa"/>
            <w:tcBorders>
              <w:top w:val="outset" w:color="auto" w:sz="6" w:space="0"/>
              <w:left w:val="outset" w:color="auto" w:sz="6" w:space="0"/>
              <w:bottom w:val="outset" w:color="auto" w:sz="6" w:space="0"/>
              <w:right w:val="outset" w:color="auto" w:sz="6" w:space="0"/>
            </w:tcBorders>
            <w:vAlign w:val="center"/>
          </w:tcPr>
          <w:p w14:paraId="64CE468F">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设备或仪器名称</w:t>
            </w:r>
          </w:p>
        </w:tc>
        <w:tc>
          <w:tcPr>
            <w:tcW w:w="1174" w:type="dxa"/>
            <w:tcBorders>
              <w:top w:val="outset" w:color="auto" w:sz="6" w:space="0"/>
              <w:left w:val="outset" w:color="auto" w:sz="6" w:space="0"/>
              <w:bottom w:val="outset" w:color="auto" w:sz="6" w:space="0"/>
              <w:right w:val="outset" w:color="auto" w:sz="6" w:space="0"/>
            </w:tcBorders>
            <w:vAlign w:val="center"/>
          </w:tcPr>
          <w:p w14:paraId="5875B87C">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型号规格</w:t>
            </w:r>
          </w:p>
        </w:tc>
        <w:tc>
          <w:tcPr>
            <w:tcW w:w="914" w:type="dxa"/>
            <w:tcBorders>
              <w:top w:val="outset" w:color="auto" w:sz="6" w:space="0"/>
              <w:left w:val="outset" w:color="auto" w:sz="6" w:space="0"/>
              <w:bottom w:val="outset" w:color="auto" w:sz="6" w:space="0"/>
              <w:right w:val="outset" w:color="auto" w:sz="6" w:space="0"/>
            </w:tcBorders>
            <w:vAlign w:val="center"/>
          </w:tcPr>
          <w:p w14:paraId="37335366">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174" w:type="dxa"/>
            <w:tcBorders>
              <w:top w:val="outset" w:color="auto" w:sz="6" w:space="0"/>
              <w:left w:val="outset" w:color="auto" w:sz="6" w:space="0"/>
              <w:bottom w:val="outset" w:color="auto" w:sz="6" w:space="0"/>
              <w:right w:val="outset" w:color="auto" w:sz="6" w:space="0"/>
            </w:tcBorders>
            <w:vAlign w:val="center"/>
          </w:tcPr>
          <w:p w14:paraId="47134E8A">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国别产地</w:t>
            </w:r>
          </w:p>
        </w:tc>
        <w:tc>
          <w:tcPr>
            <w:tcW w:w="1437" w:type="dxa"/>
            <w:tcBorders>
              <w:top w:val="outset" w:color="auto" w:sz="6" w:space="0"/>
              <w:left w:val="outset" w:color="auto" w:sz="6" w:space="0"/>
              <w:bottom w:val="outset" w:color="auto" w:sz="6" w:space="0"/>
              <w:right w:val="outset" w:color="auto" w:sz="6" w:space="0"/>
            </w:tcBorders>
            <w:vAlign w:val="center"/>
          </w:tcPr>
          <w:p w14:paraId="4AB8DFD8">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制造年份</w:t>
            </w:r>
          </w:p>
        </w:tc>
        <w:tc>
          <w:tcPr>
            <w:tcW w:w="1436" w:type="dxa"/>
            <w:tcBorders>
              <w:top w:val="outset" w:color="auto" w:sz="6" w:space="0"/>
              <w:left w:val="outset" w:color="auto" w:sz="6" w:space="0"/>
              <w:bottom w:val="outset" w:color="auto" w:sz="6" w:space="0"/>
              <w:right w:val="outset" w:color="auto" w:sz="6" w:space="0"/>
            </w:tcBorders>
            <w:vAlign w:val="center"/>
          </w:tcPr>
          <w:p w14:paraId="317047E6">
            <w:pPr>
              <w:shd w:val="clea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10E4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2BE2EE89">
            <w:pPr>
              <w:shd w:val="clear"/>
              <w:spacing w:line="360" w:lineRule="auto"/>
              <w:rPr>
                <w:rFonts w:hint="eastAsia" w:ascii="宋体" w:hAnsi="宋体" w:cs="宋体"/>
                <w:color w:val="auto"/>
                <w:kern w:val="0"/>
                <w:szCs w:val="21"/>
                <w:highlight w:val="none"/>
              </w:rPr>
            </w:pPr>
          </w:p>
        </w:tc>
        <w:tc>
          <w:tcPr>
            <w:tcW w:w="1828" w:type="dxa"/>
            <w:tcBorders>
              <w:top w:val="outset" w:color="auto" w:sz="6" w:space="0"/>
              <w:left w:val="outset" w:color="auto" w:sz="6" w:space="0"/>
              <w:bottom w:val="outset" w:color="auto" w:sz="6" w:space="0"/>
              <w:right w:val="outset" w:color="auto" w:sz="6" w:space="0"/>
            </w:tcBorders>
            <w:vAlign w:val="center"/>
          </w:tcPr>
          <w:p w14:paraId="3BE5BE35">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77BED92F">
            <w:pPr>
              <w:shd w:val="clear"/>
              <w:spacing w:line="360" w:lineRule="auto"/>
              <w:rPr>
                <w:rFonts w:hint="eastAsia" w:ascii="宋体" w:hAnsi="宋体" w:cs="宋体"/>
                <w:color w:val="auto"/>
                <w:kern w:val="0"/>
                <w:szCs w:val="21"/>
                <w:highlight w:val="none"/>
              </w:rPr>
            </w:pPr>
          </w:p>
        </w:tc>
        <w:tc>
          <w:tcPr>
            <w:tcW w:w="914" w:type="dxa"/>
            <w:tcBorders>
              <w:top w:val="outset" w:color="auto" w:sz="6" w:space="0"/>
              <w:left w:val="outset" w:color="auto" w:sz="6" w:space="0"/>
              <w:bottom w:val="outset" w:color="auto" w:sz="6" w:space="0"/>
              <w:right w:val="outset" w:color="auto" w:sz="6" w:space="0"/>
            </w:tcBorders>
            <w:vAlign w:val="center"/>
          </w:tcPr>
          <w:p w14:paraId="6F9EC96C">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39A21D0F">
            <w:pPr>
              <w:shd w:val="clear"/>
              <w:spacing w:line="360" w:lineRule="auto"/>
              <w:rPr>
                <w:rFonts w:hint="eastAsia" w:ascii="宋体" w:hAnsi="宋体" w:cs="宋体"/>
                <w:color w:val="auto"/>
                <w:kern w:val="0"/>
                <w:szCs w:val="21"/>
                <w:highlight w:val="none"/>
              </w:rPr>
            </w:pPr>
          </w:p>
        </w:tc>
        <w:tc>
          <w:tcPr>
            <w:tcW w:w="1437" w:type="dxa"/>
            <w:tcBorders>
              <w:top w:val="outset" w:color="auto" w:sz="6" w:space="0"/>
              <w:left w:val="outset" w:color="auto" w:sz="6" w:space="0"/>
              <w:bottom w:val="outset" w:color="auto" w:sz="6" w:space="0"/>
              <w:right w:val="outset" w:color="auto" w:sz="6" w:space="0"/>
            </w:tcBorders>
            <w:vAlign w:val="center"/>
          </w:tcPr>
          <w:p w14:paraId="1B41A6C9">
            <w:pPr>
              <w:shd w:val="clear"/>
              <w:spacing w:line="360" w:lineRule="auto"/>
              <w:rPr>
                <w:rFonts w:hint="eastAsia" w:ascii="宋体" w:hAnsi="宋体" w:cs="宋体"/>
                <w:color w:val="auto"/>
                <w:kern w:val="0"/>
                <w:szCs w:val="21"/>
                <w:highlight w:val="none"/>
              </w:rPr>
            </w:pPr>
          </w:p>
        </w:tc>
        <w:tc>
          <w:tcPr>
            <w:tcW w:w="1436" w:type="dxa"/>
            <w:tcBorders>
              <w:top w:val="outset" w:color="auto" w:sz="6" w:space="0"/>
              <w:left w:val="outset" w:color="auto" w:sz="6" w:space="0"/>
              <w:bottom w:val="outset" w:color="auto" w:sz="6" w:space="0"/>
              <w:right w:val="outset" w:color="auto" w:sz="6" w:space="0"/>
            </w:tcBorders>
            <w:vAlign w:val="center"/>
          </w:tcPr>
          <w:p w14:paraId="40A83ACC">
            <w:pPr>
              <w:shd w:val="clear"/>
              <w:spacing w:line="360" w:lineRule="auto"/>
              <w:rPr>
                <w:rFonts w:hint="eastAsia" w:ascii="宋体" w:hAnsi="宋体" w:cs="宋体"/>
                <w:color w:val="auto"/>
                <w:kern w:val="0"/>
                <w:szCs w:val="21"/>
                <w:highlight w:val="none"/>
              </w:rPr>
            </w:pPr>
          </w:p>
        </w:tc>
      </w:tr>
      <w:tr w14:paraId="4996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26200337">
            <w:pPr>
              <w:shd w:val="clear"/>
              <w:spacing w:line="360" w:lineRule="auto"/>
              <w:rPr>
                <w:rFonts w:hint="eastAsia" w:ascii="宋体" w:hAnsi="宋体" w:cs="宋体"/>
                <w:color w:val="auto"/>
                <w:kern w:val="0"/>
                <w:szCs w:val="21"/>
                <w:highlight w:val="none"/>
              </w:rPr>
            </w:pPr>
          </w:p>
        </w:tc>
        <w:tc>
          <w:tcPr>
            <w:tcW w:w="1828" w:type="dxa"/>
            <w:tcBorders>
              <w:top w:val="outset" w:color="auto" w:sz="6" w:space="0"/>
              <w:left w:val="outset" w:color="auto" w:sz="6" w:space="0"/>
              <w:bottom w:val="outset" w:color="auto" w:sz="6" w:space="0"/>
              <w:right w:val="outset" w:color="auto" w:sz="6" w:space="0"/>
            </w:tcBorders>
            <w:vAlign w:val="center"/>
          </w:tcPr>
          <w:p w14:paraId="35280D41">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5C9139E6">
            <w:pPr>
              <w:shd w:val="clear"/>
              <w:spacing w:line="360" w:lineRule="auto"/>
              <w:rPr>
                <w:rFonts w:hint="eastAsia" w:ascii="宋体" w:hAnsi="宋体" w:cs="宋体"/>
                <w:color w:val="auto"/>
                <w:kern w:val="0"/>
                <w:szCs w:val="21"/>
                <w:highlight w:val="none"/>
              </w:rPr>
            </w:pPr>
          </w:p>
        </w:tc>
        <w:tc>
          <w:tcPr>
            <w:tcW w:w="914" w:type="dxa"/>
            <w:tcBorders>
              <w:top w:val="outset" w:color="auto" w:sz="6" w:space="0"/>
              <w:left w:val="outset" w:color="auto" w:sz="6" w:space="0"/>
              <w:bottom w:val="outset" w:color="auto" w:sz="6" w:space="0"/>
              <w:right w:val="outset" w:color="auto" w:sz="6" w:space="0"/>
            </w:tcBorders>
            <w:vAlign w:val="center"/>
          </w:tcPr>
          <w:p w14:paraId="4A670ABD">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6E13DADC">
            <w:pPr>
              <w:shd w:val="clear"/>
              <w:spacing w:line="360" w:lineRule="auto"/>
              <w:rPr>
                <w:rFonts w:hint="eastAsia" w:ascii="宋体" w:hAnsi="宋体" w:cs="宋体"/>
                <w:color w:val="auto"/>
                <w:kern w:val="0"/>
                <w:szCs w:val="21"/>
                <w:highlight w:val="none"/>
              </w:rPr>
            </w:pPr>
          </w:p>
        </w:tc>
        <w:tc>
          <w:tcPr>
            <w:tcW w:w="1437" w:type="dxa"/>
            <w:tcBorders>
              <w:top w:val="outset" w:color="auto" w:sz="6" w:space="0"/>
              <w:left w:val="outset" w:color="auto" w:sz="6" w:space="0"/>
              <w:bottom w:val="outset" w:color="auto" w:sz="6" w:space="0"/>
              <w:right w:val="outset" w:color="auto" w:sz="6" w:space="0"/>
            </w:tcBorders>
            <w:vAlign w:val="center"/>
          </w:tcPr>
          <w:p w14:paraId="0AC020D6">
            <w:pPr>
              <w:shd w:val="clear"/>
              <w:spacing w:line="360" w:lineRule="auto"/>
              <w:rPr>
                <w:rFonts w:hint="eastAsia" w:ascii="宋体" w:hAnsi="宋体" w:cs="宋体"/>
                <w:color w:val="auto"/>
                <w:kern w:val="0"/>
                <w:szCs w:val="21"/>
                <w:highlight w:val="none"/>
              </w:rPr>
            </w:pPr>
          </w:p>
        </w:tc>
        <w:tc>
          <w:tcPr>
            <w:tcW w:w="1436" w:type="dxa"/>
            <w:tcBorders>
              <w:top w:val="outset" w:color="auto" w:sz="6" w:space="0"/>
              <w:left w:val="outset" w:color="auto" w:sz="6" w:space="0"/>
              <w:bottom w:val="outset" w:color="auto" w:sz="6" w:space="0"/>
              <w:right w:val="outset" w:color="auto" w:sz="6" w:space="0"/>
            </w:tcBorders>
            <w:vAlign w:val="center"/>
          </w:tcPr>
          <w:p w14:paraId="07B86F69">
            <w:pPr>
              <w:shd w:val="clear"/>
              <w:spacing w:line="360" w:lineRule="auto"/>
              <w:rPr>
                <w:rFonts w:hint="eastAsia" w:ascii="宋体" w:hAnsi="宋体" w:cs="宋体"/>
                <w:color w:val="auto"/>
                <w:kern w:val="0"/>
                <w:szCs w:val="21"/>
                <w:highlight w:val="none"/>
              </w:rPr>
            </w:pPr>
          </w:p>
        </w:tc>
      </w:tr>
      <w:tr w14:paraId="376D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3A869EF9">
            <w:pPr>
              <w:shd w:val="clear"/>
              <w:spacing w:line="360" w:lineRule="auto"/>
              <w:rPr>
                <w:rFonts w:hint="eastAsia" w:ascii="宋体" w:hAnsi="宋体" w:cs="宋体"/>
                <w:color w:val="auto"/>
                <w:kern w:val="0"/>
                <w:szCs w:val="21"/>
                <w:highlight w:val="none"/>
              </w:rPr>
            </w:pPr>
          </w:p>
        </w:tc>
        <w:tc>
          <w:tcPr>
            <w:tcW w:w="1828" w:type="dxa"/>
            <w:tcBorders>
              <w:top w:val="outset" w:color="auto" w:sz="6" w:space="0"/>
              <w:left w:val="outset" w:color="auto" w:sz="6" w:space="0"/>
              <w:bottom w:val="outset" w:color="auto" w:sz="6" w:space="0"/>
              <w:right w:val="outset" w:color="auto" w:sz="6" w:space="0"/>
            </w:tcBorders>
            <w:vAlign w:val="center"/>
          </w:tcPr>
          <w:p w14:paraId="598D9145">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270AE39A">
            <w:pPr>
              <w:shd w:val="clear"/>
              <w:spacing w:line="360" w:lineRule="auto"/>
              <w:rPr>
                <w:rFonts w:hint="eastAsia" w:ascii="宋体" w:hAnsi="宋体" w:cs="宋体"/>
                <w:color w:val="auto"/>
                <w:kern w:val="0"/>
                <w:szCs w:val="21"/>
                <w:highlight w:val="none"/>
              </w:rPr>
            </w:pPr>
          </w:p>
        </w:tc>
        <w:tc>
          <w:tcPr>
            <w:tcW w:w="914" w:type="dxa"/>
            <w:tcBorders>
              <w:top w:val="outset" w:color="auto" w:sz="6" w:space="0"/>
              <w:left w:val="outset" w:color="auto" w:sz="6" w:space="0"/>
              <w:bottom w:val="outset" w:color="auto" w:sz="6" w:space="0"/>
              <w:right w:val="outset" w:color="auto" w:sz="6" w:space="0"/>
            </w:tcBorders>
            <w:vAlign w:val="center"/>
          </w:tcPr>
          <w:p w14:paraId="67CA551F">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58307FB8">
            <w:pPr>
              <w:shd w:val="clear"/>
              <w:spacing w:line="360" w:lineRule="auto"/>
              <w:rPr>
                <w:rFonts w:hint="eastAsia" w:ascii="宋体" w:hAnsi="宋体" w:cs="宋体"/>
                <w:color w:val="auto"/>
                <w:kern w:val="0"/>
                <w:szCs w:val="21"/>
                <w:highlight w:val="none"/>
              </w:rPr>
            </w:pPr>
          </w:p>
        </w:tc>
        <w:tc>
          <w:tcPr>
            <w:tcW w:w="1437" w:type="dxa"/>
            <w:tcBorders>
              <w:top w:val="outset" w:color="auto" w:sz="6" w:space="0"/>
              <w:left w:val="outset" w:color="auto" w:sz="6" w:space="0"/>
              <w:bottom w:val="outset" w:color="auto" w:sz="6" w:space="0"/>
              <w:right w:val="outset" w:color="auto" w:sz="6" w:space="0"/>
            </w:tcBorders>
            <w:vAlign w:val="center"/>
          </w:tcPr>
          <w:p w14:paraId="57A0A08A">
            <w:pPr>
              <w:shd w:val="clear"/>
              <w:spacing w:line="360" w:lineRule="auto"/>
              <w:rPr>
                <w:rFonts w:hint="eastAsia" w:ascii="宋体" w:hAnsi="宋体" w:cs="宋体"/>
                <w:color w:val="auto"/>
                <w:kern w:val="0"/>
                <w:szCs w:val="21"/>
                <w:highlight w:val="none"/>
              </w:rPr>
            </w:pPr>
          </w:p>
        </w:tc>
        <w:tc>
          <w:tcPr>
            <w:tcW w:w="1436" w:type="dxa"/>
            <w:tcBorders>
              <w:top w:val="outset" w:color="auto" w:sz="6" w:space="0"/>
              <w:left w:val="outset" w:color="auto" w:sz="6" w:space="0"/>
              <w:bottom w:val="outset" w:color="auto" w:sz="6" w:space="0"/>
              <w:right w:val="outset" w:color="auto" w:sz="6" w:space="0"/>
            </w:tcBorders>
            <w:vAlign w:val="center"/>
          </w:tcPr>
          <w:p w14:paraId="483BC126">
            <w:pPr>
              <w:shd w:val="clear"/>
              <w:spacing w:line="360" w:lineRule="auto"/>
              <w:rPr>
                <w:rFonts w:hint="eastAsia" w:ascii="宋体" w:hAnsi="宋体" w:cs="宋体"/>
                <w:color w:val="auto"/>
                <w:kern w:val="0"/>
                <w:szCs w:val="21"/>
                <w:highlight w:val="none"/>
              </w:rPr>
            </w:pPr>
          </w:p>
        </w:tc>
      </w:tr>
      <w:tr w14:paraId="0133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03E03FA5">
            <w:pPr>
              <w:shd w:val="clear"/>
              <w:spacing w:line="360" w:lineRule="auto"/>
              <w:rPr>
                <w:rFonts w:hint="eastAsia" w:ascii="宋体" w:hAnsi="宋体" w:cs="宋体"/>
                <w:color w:val="auto"/>
                <w:kern w:val="0"/>
                <w:szCs w:val="21"/>
                <w:highlight w:val="none"/>
              </w:rPr>
            </w:pPr>
          </w:p>
        </w:tc>
        <w:tc>
          <w:tcPr>
            <w:tcW w:w="1828" w:type="dxa"/>
            <w:tcBorders>
              <w:top w:val="outset" w:color="auto" w:sz="6" w:space="0"/>
              <w:left w:val="outset" w:color="auto" w:sz="6" w:space="0"/>
              <w:bottom w:val="outset" w:color="auto" w:sz="6" w:space="0"/>
              <w:right w:val="outset" w:color="auto" w:sz="6" w:space="0"/>
            </w:tcBorders>
            <w:vAlign w:val="center"/>
          </w:tcPr>
          <w:p w14:paraId="4CF64F98">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20584BF8">
            <w:pPr>
              <w:shd w:val="clear"/>
              <w:spacing w:line="360" w:lineRule="auto"/>
              <w:rPr>
                <w:rFonts w:hint="eastAsia" w:ascii="宋体" w:hAnsi="宋体" w:cs="宋体"/>
                <w:color w:val="auto"/>
                <w:kern w:val="0"/>
                <w:szCs w:val="21"/>
                <w:highlight w:val="none"/>
              </w:rPr>
            </w:pPr>
          </w:p>
        </w:tc>
        <w:tc>
          <w:tcPr>
            <w:tcW w:w="914" w:type="dxa"/>
            <w:tcBorders>
              <w:top w:val="outset" w:color="auto" w:sz="6" w:space="0"/>
              <w:left w:val="outset" w:color="auto" w:sz="6" w:space="0"/>
              <w:bottom w:val="outset" w:color="auto" w:sz="6" w:space="0"/>
              <w:right w:val="outset" w:color="auto" w:sz="6" w:space="0"/>
            </w:tcBorders>
            <w:vAlign w:val="center"/>
          </w:tcPr>
          <w:p w14:paraId="76672316">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6DB9F375">
            <w:pPr>
              <w:shd w:val="clear"/>
              <w:spacing w:line="360" w:lineRule="auto"/>
              <w:rPr>
                <w:rFonts w:hint="eastAsia" w:ascii="宋体" w:hAnsi="宋体" w:cs="宋体"/>
                <w:color w:val="auto"/>
                <w:kern w:val="0"/>
                <w:szCs w:val="21"/>
                <w:highlight w:val="none"/>
              </w:rPr>
            </w:pPr>
          </w:p>
        </w:tc>
        <w:tc>
          <w:tcPr>
            <w:tcW w:w="1437" w:type="dxa"/>
            <w:tcBorders>
              <w:top w:val="outset" w:color="auto" w:sz="6" w:space="0"/>
              <w:left w:val="outset" w:color="auto" w:sz="6" w:space="0"/>
              <w:bottom w:val="outset" w:color="auto" w:sz="6" w:space="0"/>
              <w:right w:val="outset" w:color="auto" w:sz="6" w:space="0"/>
            </w:tcBorders>
            <w:vAlign w:val="center"/>
          </w:tcPr>
          <w:p w14:paraId="11BDC213">
            <w:pPr>
              <w:shd w:val="clear"/>
              <w:spacing w:line="360" w:lineRule="auto"/>
              <w:rPr>
                <w:rFonts w:hint="eastAsia" w:ascii="宋体" w:hAnsi="宋体" w:cs="宋体"/>
                <w:color w:val="auto"/>
                <w:kern w:val="0"/>
                <w:szCs w:val="21"/>
                <w:highlight w:val="none"/>
              </w:rPr>
            </w:pPr>
          </w:p>
        </w:tc>
        <w:tc>
          <w:tcPr>
            <w:tcW w:w="1436" w:type="dxa"/>
            <w:tcBorders>
              <w:top w:val="outset" w:color="auto" w:sz="6" w:space="0"/>
              <w:left w:val="outset" w:color="auto" w:sz="6" w:space="0"/>
              <w:bottom w:val="outset" w:color="auto" w:sz="6" w:space="0"/>
              <w:right w:val="outset" w:color="auto" w:sz="6" w:space="0"/>
            </w:tcBorders>
            <w:vAlign w:val="center"/>
          </w:tcPr>
          <w:p w14:paraId="37CAFC0A">
            <w:pPr>
              <w:shd w:val="clear"/>
              <w:spacing w:line="360" w:lineRule="auto"/>
              <w:rPr>
                <w:rFonts w:hint="eastAsia" w:ascii="宋体" w:hAnsi="宋体" w:cs="宋体"/>
                <w:color w:val="auto"/>
                <w:kern w:val="0"/>
                <w:szCs w:val="21"/>
                <w:highlight w:val="none"/>
              </w:rPr>
            </w:pPr>
          </w:p>
        </w:tc>
      </w:tr>
      <w:tr w14:paraId="1096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653" w:type="dxa"/>
            <w:tcBorders>
              <w:top w:val="outset" w:color="auto" w:sz="6" w:space="0"/>
              <w:left w:val="outset" w:color="auto" w:sz="6" w:space="0"/>
              <w:bottom w:val="outset" w:color="auto" w:sz="6" w:space="0"/>
              <w:right w:val="outset" w:color="auto" w:sz="6" w:space="0"/>
            </w:tcBorders>
            <w:vAlign w:val="center"/>
          </w:tcPr>
          <w:p w14:paraId="3D5C171F">
            <w:pPr>
              <w:shd w:val="clear"/>
              <w:spacing w:line="360" w:lineRule="auto"/>
              <w:rPr>
                <w:rFonts w:hint="eastAsia" w:ascii="宋体" w:hAnsi="宋体" w:cs="宋体"/>
                <w:color w:val="auto"/>
                <w:kern w:val="0"/>
                <w:szCs w:val="21"/>
                <w:highlight w:val="none"/>
              </w:rPr>
            </w:pPr>
          </w:p>
        </w:tc>
        <w:tc>
          <w:tcPr>
            <w:tcW w:w="1828" w:type="dxa"/>
            <w:tcBorders>
              <w:top w:val="outset" w:color="auto" w:sz="6" w:space="0"/>
              <w:left w:val="outset" w:color="auto" w:sz="6" w:space="0"/>
              <w:bottom w:val="outset" w:color="auto" w:sz="6" w:space="0"/>
              <w:right w:val="outset" w:color="auto" w:sz="6" w:space="0"/>
            </w:tcBorders>
            <w:vAlign w:val="center"/>
          </w:tcPr>
          <w:p w14:paraId="10EFE784">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5E917D6E">
            <w:pPr>
              <w:shd w:val="clear"/>
              <w:spacing w:line="360" w:lineRule="auto"/>
              <w:rPr>
                <w:rFonts w:hint="eastAsia" w:ascii="宋体" w:hAnsi="宋体" w:cs="宋体"/>
                <w:color w:val="auto"/>
                <w:kern w:val="0"/>
                <w:szCs w:val="21"/>
                <w:highlight w:val="none"/>
              </w:rPr>
            </w:pPr>
          </w:p>
        </w:tc>
        <w:tc>
          <w:tcPr>
            <w:tcW w:w="914" w:type="dxa"/>
            <w:tcBorders>
              <w:top w:val="outset" w:color="auto" w:sz="6" w:space="0"/>
              <w:left w:val="outset" w:color="auto" w:sz="6" w:space="0"/>
              <w:bottom w:val="outset" w:color="auto" w:sz="6" w:space="0"/>
              <w:right w:val="outset" w:color="auto" w:sz="6" w:space="0"/>
            </w:tcBorders>
            <w:vAlign w:val="center"/>
          </w:tcPr>
          <w:p w14:paraId="0E85D3EF">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3F202BAD">
            <w:pPr>
              <w:shd w:val="clear"/>
              <w:spacing w:line="360" w:lineRule="auto"/>
              <w:rPr>
                <w:rFonts w:hint="eastAsia" w:ascii="宋体" w:hAnsi="宋体" w:cs="宋体"/>
                <w:color w:val="auto"/>
                <w:kern w:val="0"/>
                <w:szCs w:val="21"/>
                <w:highlight w:val="none"/>
              </w:rPr>
            </w:pPr>
          </w:p>
        </w:tc>
        <w:tc>
          <w:tcPr>
            <w:tcW w:w="1437" w:type="dxa"/>
            <w:tcBorders>
              <w:top w:val="outset" w:color="auto" w:sz="6" w:space="0"/>
              <w:left w:val="outset" w:color="auto" w:sz="6" w:space="0"/>
              <w:bottom w:val="outset" w:color="auto" w:sz="6" w:space="0"/>
              <w:right w:val="outset" w:color="auto" w:sz="6" w:space="0"/>
            </w:tcBorders>
            <w:vAlign w:val="center"/>
          </w:tcPr>
          <w:p w14:paraId="503859FF">
            <w:pPr>
              <w:shd w:val="clear"/>
              <w:spacing w:line="360" w:lineRule="auto"/>
              <w:rPr>
                <w:rFonts w:hint="eastAsia" w:ascii="宋体" w:hAnsi="宋体" w:cs="宋体"/>
                <w:color w:val="auto"/>
                <w:kern w:val="0"/>
                <w:szCs w:val="21"/>
                <w:highlight w:val="none"/>
              </w:rPr>
            </w:pPr>
          </w:p>
        </w:tc>
        <w:tc>
          <w:tcPr>
            <w:tcW w:w="1436" w:type="dxa"/>
            <w:tcBorders>
              <w:top w:val="outset" w:color="auto" w:sz="6" w:space="0"/>
              <w:left w:val="outset" w:color="auto" w:sz="6" w:space="0"/>
              <w:bottom w:val="outset" w:color="auto" w:sz="6" w:space="0"/>
              <w:right w:val="outset" w:color="auto" w:sz="6" w:space="0"/>
            </w:tcBorders>
            <w:vAlign w:val="center"/>
          </w:tcPr>
          <w:p w14:paraId="1CE176C9">
            <w:pPr>
              <w:shd w:val="clear"/>
              <w:spacing w:line="360" w:lineRule="auto"/>
              <w:rPr>
                <w:rFonts w:hint="eastAsia" w:ascii="宋体" w:hAnsi="宋体" w:cs="宋体"/>
                <w:color w:val="auto"/>
                <w:kern w:val="0"/>
                <w:szCs w:val="21"/>
                <w:highlight w:val="none"/>
              </w:rPr>
            </w:pPr>
          </w:p>
        </w:tc>
      </w:tr>
      <w:tr w14:paraId="1980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653" w:type="dxa"/>
            <w:tcBorders>
              <w:top w:val="outset" w:color="auto" w:sz="6" w:space="0"/>
              <w:left w:val="outset" w:color="auto" w:sz="6" w:space="0"/>
              <w:bottom w:val="outset" w:color="auto" w:sz="6" w:space="0"/>
              <w:right w:val="outset" w:color="auto" w:sz="6" w:space="0"/>
            </w:tcBorders>
            <w:vAlign w:val="center"/>
          </w:tcPr>
          <w:p w14:paraId="0447D869">
            <w:pPr>
              <w:shd w:val="clear"/>
              <w:spacing w:line="360" w:lineRule="auto"/>
              <w:rPr>
                <w:rFonts w:hint="eastAsia" w:ascii="宋体" w:hAnsi="宋体" w:cs="宋体"/>
                <w:color w:val="auto"/>
                <w:kern w:val="0"/>
                <w:szCs w:val="21"/>
                <w:highlight w:val="none"/>
              </w:rPr>
            </w:pPr>
          </w:p>
        </w:tc>
        <w:tc>
          <w:tcPr>
            <w:tcW w:w="1828" w:type="dxa"/>
            <w:tcBorders>
              <w:top w:val="outset" w:color="auto" w:sz="6" w:space="0"/>
              <w:left w:val="outset" w:color="auto" w:sz="6" w:space="0"/>
              <w:bottom w:val="outset" w:color="auto" w:sz="6" w:space="0"/>
              <w:right w:val="outset" w:color="auto" w:sz="6" w:space="0"/>
            </w:tcBorders>
            <w:vAlign w:val="center"/>
          </w:tcPr>
          <w:p w14:paraId="5345E5D2">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3B8E938A">
            <w:pPr>
              <w:shd w:val="clear"/>
              <w:spacing w:line="360" w:lineRule="auto"/>
              <w:rPr>
                <w:rFonts w:hint="eastAsia" w:ascii="宋体" w:hAnsi="宋体" w:cs="宋体"/>
                <w:color w:val="auto"/>
                <w:kern w:val="0"/>
                <w:szCs w:val="21"/>
                <w:highlight w:val="none"/>
              </w:rPr>
            </w:pPr>
          </w:p>
        </w:tc>
        <w:tc>
          <w:tcPr>
            <w:tcW w:w="914" w:type="dxa"/>
            <w:tcBorders>
              <w:top w:val="outset" w:color="auto" w:sz="6" w:space="0"/>
              <w:left w:val="outset" w:color="auto" w:sz="6" w:space="0"/>
              <w:bottom w:val="outset" w:color="auto" w:sz="6" w:space="0"/>
              <w:right w:val="outset" w:color="auto" w:sz="6" w:space="0"/>
            </w:tcBorders>
            <w:vAlign w:val="center"/>
          </w:tcPr>
          <w:p w14:paraId="67BEDE56">
            <w:pPr>
              <w:shd w:val="clear"/>
              <w:spacing w:line="360" w:lineRule="auto"/>
              <w:rPr>
                <w:rFonts w:hint="eastAsia" w:ascii="宋体" w:hAnsi="宋体" w:cs="宋体"/>
                <w:color w:val="auto"/>
                <w:kern w:val="0"/>
                <w:szCs w:val="21"/>
                <w:highlight w:val="none"/>
              </w:rPr>
            </w:pPr>
          </w:p>
        </w:tc>
        <w:tc>
          <w:tcPr>
            <w:tcW w:w="1174" w:type="dxa"/>
            <w:tcBorders>
              <w:top w:val="outset" w:color="auto" w:sz="6" w:space="0"/>
              <w:left w:val="outset" w:color="auto" w:sz="6" w:space="0"/>
              <w:bottom w:val="outset" w:color="auto" w:sz="6" w:space="0"/>
              <w:right w:val="outset" w:color="auto" w:sz="6" w:space="0"/>
            </w:tcBorders>
            <w:vAlign w:val="center"/>
          </w:tcPr>
          <w:p w14:paraId="206474D7">
            <w:pPr>
              <w:shd w:val="clear"/>
              <w:spacing w:line="360" w:lineRule="auto"/>
              <w:rPr>
                <w:rFonts w:hint="eastAsia" w:ascii="宋体" w:hAnsi="宋体" w:cs="宋体"/>
                <w:color w:val="auto"/>
                <w:kern w:val="0"/>
                <w:szCs w:val="21"/>
                <w:highlight w:val="none"/>
              </w:rPr>
            </w:pPr>
          </w:p>
        </w:tc>
        <w:tc>
          <w:tcPr>
            <w:tcW w:w="1437" w:type="dxa"/>
            <w:tcBorders>
              <w:top w:val="outset" w:color="auto" w:sz="6" w:space="0"/>
              <w:left w:val="outset" w:color="auto" w:sz="6" w:space="0"/>
              <w:bottom w:val="outset" w:color="auto" w:sz="6" w:space="0"/>
              <w:right w:val="outset" w:color="auto" w:sz="6" w:space="0"/>
            </w:tcBorders>
            <w:vAlign w:val="center"/>
          </w:tcPr>
          <w:p w14:paraId="48E32FA6">
            <w:pPr>
              <w:shd w:val="clear"/>
              <w:spacing w:line="360" w:lineRule="auto"/>
              <w:rPr>
                <w:rFonts w:hint="eastAsia" w:ascii="宋体" w:hAnsi="宋体" w:cs="宋体"/>
                <w:color w:val="auto"/>
                <w:kern w:val="0"/>
                <w:szCs w:val="21"/>
                <w:highlight w:val="none"/>
              </w:rPr>
            </w:pPr>
          </w:p>
        </w:tc>
        <w:tc>
          <w:tcPr>
            <w:tcW w:w="1436" w:type="dxa"/>
            <w:tcBorders>
              <w:top w:val="outset" w:color="auto" w:sz="6" w:space="0"/>
              <w:left w:val="outset" w:color="auto" w:sz="6" w:space="0"/>
              <w:bottom w:val="outset" w:color="auto" w:sz="6" w:space="0"/>
              <w:right w:val="outset" w:color="auto" w:sz="6" w:space="0"/>
            </w:tcBorders>
            <w:vAlign w:val="center"/>
          </w:tcPr>
          <w:p w14:paraId="4EA7E173">
            <w:pPr>
              <w:shd w:val="clear"/>
              <w:spacing w:line="360" w:lineRule="auto"/>
              <w:rPr>
                <w:rFonts w:hint="eastAsia" w:ascii="宋体" w:hAnsi="宋体" w:cs="宋体"/>
                <w:color w:val="auto"/>
                <w:kern w:val="0"/>
                <w:szCs w:val="21"/>
                <w:highlight w:val="none"/>
              </w:rPr>
            </w:pPr>
          </w:p>
        </w:tc>
      </w:tr>
    </w:tbl>
    <w:p w14:paraId="7E2E084A">
      <w:pPr>
        <w:shd w:val="clear"/>
        <w:spacing w:line="360" w:lineRule="auto"/>
        <w:rPr>
          <w:rFonts w:hint="eastAsia" w:ascii="宋体" w:hAnsi="宋体" w:cs="宋体"/>
          <w:color w:val="auto"/>
          <w:kern w:val="0"/>
          <w:sz w:val="24"/>
          <w:highlight w:val="none"/>
        </w:rPr>
      </w:pPr>
    </w:p>
    <w:p w14:paraId="47010C46">
      <w:pPr>
        <w:shd w:val="clear"/>
        <w:spacing w:line="360" w:lineRule="auto"/>
        <w:rPr>
          <w:rFonts w:hint="eastAsia" w:ascii="宋体" w:hAnsi="宋体" w:cs="宋体"/>
          <w:color w:val="auto"/>
          <w:kern w:val="0"/>
          <w:sz w:val="24"/>
          <w:highlight w:val="none"/>
        </w:rPr>
      </w:pPr>
    </w:p>
    <w:p w14:paraId="0E40A9FB">
      <w:pPr>
        <w:shd w:val="clear"/>
        <w:spacing w:line="360" w:lineRule="auto"/>
        <w:rPr>
          <w:rFonts w:hint="eastAsia" w:ascii="宋体" w:hAnsi="宋体" w:cs="宋体"/>
          <w:color w:val="auto"/>
          <w:kern w:val="0"/>
          <w:sz w:val="24"/>
          <w:highlight w:val="none"/>
        </w:rPr>
      </w:pPr>
    </w:p>
    <w:p w14:paraId="61C5BFC6">
      <w:pPr>
        <w:shd w:val="clear"/>
        <w:spacing w:line="360" w:lineRule="auto"/>
        <w:rPr>
          <w:rFonts w:hint="eastAsia" w:ascii="宋体" w:hAnsi="宋体" w:cs="宋体"/>
          <w:color w:val="auto"/>
          <w:kern w:val="0"/>
          <w:sz w:val="24"/>
          <w:highlight w:val="none"/>
        </w:rPr>
      </w:pPr>
    </w:p>
    <w:p w14:paraId="7A5AF49B">
      <w:pPr>
        <w:shd w:val="clear"/>
        <w:spacing w:line="360" w:lineRule="auto"/>
        <w:rPr>
          <w:rFonts w:hint="eastAsia" w:ascii="宋体" w:hAnsi="宋体" w:cs="宋体"/>
          <w:color w:val="auto"/>
          <w:kern w:val="0"/>
          <w:sz w:val="24"/>
          <w:highlight w:val="none"/>
        </w:rPr>
      </w:pPr>
    </w:p>
    <w:p w14:paraId="0E66CACF">
      <w:pPr>
        <w:shd w:val="clear"/>
        <w:spacing w:line="360" w:lineRule="auto"/>
        <w:rPr>
          <w:rFonts w:hint="eastAsia" w:ascii="宋体" w:hAnsi="宋体" w:cs="宋体"/>
          <w:color w:val="auto"/>
          <w:kern w:val="0"/>
          <w:sz w:val="24"/>
          <w:highlight w:val="none"/>
        </w:rPr>
      </w:pPr>
    </w:p>
    <w:p w14:paraId="187F1B47">
      <w:pPr>
        <w:shd w:val="clear"/>
        <w:spacing w:line="360" w:lineRule="auto"/>
        <w:rPr>
          <w:rFonts w:hint="eastAsia" w:ascii="宋体" w:hAnsi="宋体" w:cs="宋体"/>
          <w:color w:val="auto"/>
          <w:kern w:val="0"/>
          <w:sz w:val="24"/>
          <w:highlight w:val="none"/>
        </w:rPr>
      </w:pPr>
    </w:p>
    <w:p w14:paraId="5F462F7C">
      <w:pPr>
        <w:shd w:val="clear"/>
        <w:spacing w:line="360" w:lineRule="auto"/>
        <w:rPr>
          <w:rFonts w:hint="eastAsia" w:ascii="宋体" w:hAnsi="宋体" w:cs="宋体"/>
          <w:color w:val="auto"/>
          <w:kern w:val="0"/>
          <w:sz w:val="24"/>
          <w:highlight w:val="none"/>
        </w:rPr>
      </w:pPr>
    </w:p>
    <w:p w14:paraId="229886D5">
      <w:pPr>
        <w:shd w:val="clear"/>
        <w:spacing w:line="360" w:lineRule="auto"/>
        <w:rPr>
          <w:rFonts w:hint="eastAsia" w:ascii="宋体" w:hAnsi="宋体" w:cs="宋体"/>
          <w:color w:val="auto"/>
          <w:kern w:val="0"/>
          <w:sz w:val="24"/>
          <w:highlight w:val="none"/>
        </w:rPr>
      </w:pPr>
    </w:p>
    <w:p w14:paraId="50796A9A">
      <w:pPr>
        <w:shd w:val="clear"/>
        <w:spacing w:line="360" w:lineRule="auto"/>
        <w:rPr>
          <w:rFonts w:hint="eastAsia" w:ascii="宋体" w:hAnsi="宋体" w:cs="宋体"/>
          <w:color w:val="auto"/>
          <w:kern w:val="0"/>
          <w:sz w:val="24"/>
          <w:highlight w:val="none"/>
        </w:rPr>
      </w:pPr>
      <w:bookmarkStart w:id="305" w:name="_Toc26739"/>
    </w:p>
    <w:bookmarkEnd w:id="305"/>
    <w:p w14:paraId="5CFB6BE3">
      <w:pPr>
        <w:shd w:val="clear"/>
        <w:rPr>
          <w:rFonts w:hint="eastAsia" w:ascii="宋体" w:hAnsi="宋体" w:cs="宋体"/>
          <w:b/>
          <w:color w:val="auto"/>
          <w:kern w:val="0"/>
          <w:sz w:val="24"/>
          <w:highlight w:val="none"/>
        </w:rPr>
      </w:pPr>
      <w:bookmarkStart w:id="306" w:name="_Toc9194631"/>
      <w:r>
        <w:rPr>
          <w:rFonts w:hint="eastAsia" w:ascii="宋体" w:hAnsi="宋体" w:cs="宋体"/>
          <w:b/>
          <w:color w:val="auto"/>
          <w:kern w:val="0"/>
          <w:sz w:val="24"/>
          <w:highlight w:val="none"/>
        </w:rPr>
        <w:br w:type="page"/>
      </w:r>
    </w:p>
    <w:p w14:paraId="3466CA6B">
      <w:pPr>
        <w:pStyle w:val="3"/>
        <w:keepNext w:val="0"/>
        <w:keepLines w:val="0"/>
        <w:shd w:val="clear"/>
        <w:spacing w:line="360" w:lineRule="auto"/>
        <w:rPr>
          <w:rFonts w:hint="eastAsia" w:ascii="宋体" w:hAnsi="宋体" w:eastAsia="宋体" w:cs="宋体"/>
          <w:b/>
          <w:bCs w:val="0"/>
          <w:color w:val="auto"/>
          <w:sz w:val="24"/>
          <w:szCs w:val="24"/>
          <w:highlight w:val="none"/>
        </w:rPr>
      </w:pPr>
      <w:bookmarkStart w:id="307" w:name="_Toc112768402"/>
      <w:bookmarkStart w:id="308" w:name="_Toc18723"/>
      <w:r>
        <w:rPr>
          <w:rFonts w:hint="eastAsia" w:ascii="宋体" w:hAnsi="宋体" w:eastAsia="宋体" w:cs="宋体"/>
          <w:b/>
          <w:bCs w:val="0"/>
          <w:color w:val="auto"/>
          <w:sz w:val="24"/>
          <w:szCs w:val="24"/>
          <w:highlight w:val="none"/>
        </w:rPr>
        <w:t>8.</w:t>
      </w:r>
      <w:bookmarkEnd w:id="306"/>
      <w:bookmarkEnd w:id="307"/>
      <w:r>
        <w:rPr>
          <w:rFonts w:hint="eastAsia" w:ascii="宋体" w:hAnsi="宋体" w:eastAsia="宋体" w:cs="宋体"/>
          <w:b/>
          <w:bCs w:val="0"/>
          <w:color w:val="auto"/>
          <w:sz w:val="24"/>
          <w:szCs w:val="24"/>
          <w:highlight w:val="none"/>
        </w:rPr>
        <w:t>诚信承诺书</w:t>
      </w:r>
      <w:bookmarkEnd w:id="308"/>
    </w:p>
    <w:p w14:paraId="66703460">
      <w:pPr>
        <w:shd w:val="clear"/>
        <w:tabs>
          <w:tab w:val="left" w:pos="7395"/>
        </w:tabs>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诚信承诺书</w:t>
      </w:r>
    </w:p>
    <w:p w14:paraId="799627FB">
      <w:pPr>
        <w:shd w:val="clear"/>
        <w:spacing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u w:val="single"/>
        </w:rPr>
        <w:t>南通市崇川区城市工程建设管理中心</w:t>
      </w:r>
      <w:r>
        <w:rPr>
          <w:rFonts w:hint="eastAsia" w:ascii="宋体" w:hAnsi="宋体" w:cs="宋体"/>
          <w:color w:val="auto"/>
          <w:kern w:val="0"/>
          <w:szCs w:val="21"/>
          <w:highlight w:val="none"/>
        </w:rPr>
        <w:t>：</w:t>
      </w:r>
    </w:p>
    <w:p w14:paraId="1088B19C">
      <w:pPr>
        <w:shd w:val="clea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我方参加你方的（以下简称“本工程”）的投标，现我方法定代表人向你方慎重承诺：</w:t>
      </w:r>
    </w:p>
    <w:p w14:paraId="67127706">
      <w:pPr>
        <w:shd w:val="clea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1、我方拟派项目总监 </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；注册号：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），保证自投标之日起至工程结束（若中标），非因不可抗力影响，不更换项目总监。</w:t>
      </w:r>
    </w:p>
    <w:p w14:paraId="4A6D1AB7">
      <w:pPr>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56A6A9C8">
      <w:pPr>
        <w:shd w:val="clea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我方严格执行《江苏省工程建设领域违法违纪违规行为防治办法》（苏建监[2004]272号），在江苏省内无因该办法第六条列举且被县级及以上建设行政主管部门作出的在有效期内的处罚决定事项的承包人的不当行为（以江苏省住房和城乡建设厅所发公告为准）。</w:t>
      </w:r>
    </w:p>
    <w:p w14:paraId="52CC4C8D">
      <w:pPr>
        <w:shd w:val="clea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4、本单位递交的投标文件中的所有资料都是真实可信的，没有弄虚作假。</w:t>
      </w:r>
    </w:p>
    <w:p w14:paraId="02A19079">
      <w:pPr>
        <w:shd w:val="clea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5、不组织、不参与串标围标，没有出借资质等违法违规行为。</w:t>
      </w:r>
    </w:p>
    <w:p w14:paraId="0B301DDE">
      <w:pPr>
        <w:shd w:val="clea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6、如果以后涉及招标投标方面的投诉举报，我方将严格按照《工程建设项目招标投标活动投诉处理办法》（七部委第11号令）的规定进行投诉，否则，招标人可以不予受理。</w:t>
      </w:r>
    </w:p>
    <w:p w14:paraId="4FF6920F">
      <w:pPr>
        <w:shd w:val="clea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7、我方保证：如中标，确保自中标通知书发出之日起30天内签订合同，并在规定的合同工期内完成监理任务。如在规定的合同工期内未完成监理任务，即可认为我方监理不力。</w:t>
      </w:r>
    </w:p>
    <w:p w14:paraId="414E3410">
      <w:pPr>
        <w:shd w:val="clear"/>
        <w:spacing w:line="360" w:lineRule="auto"/>
        <w:ind w:firstLine="422" w:firstLineChars="200"/>
        <w:rPr>
          <w:rFonts w:hint="eastAsia" w:ascii="宋体" w:hAnsi="宋体" w:cs="宋体"/>
          <w:b/>
          <w:color w:val="auto"/>
          <w:kern w:val="0"/>
          <w:szCs w:val="21"/>
          <w:highlight w:val="none"/>
        </w:rPr>
      </w:pPr>
    </w:p>
    <w:p w14:paraId="70302692">
      <w:pPr>
        <w:shd w:val="clea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我方承诺：违反上述任何一条承诺，愿意接受任何处罚，包括同意你方不予退还投标保证金或履约保证金，将我方列入黑名单，并上报建设主管部门，我方主动放弃今后二十四个月内参与你方投标或竞价的资格。</w:t>
      </w:r>
    </w:p>
    <w:p w14:paraId="0244AA4D">
      <w:pPr>
        <w:shd w:val="clear"/>
        <w:spacing w:line="360" w:lineRule="auto"/>
        <w:ind w:right="-512" w:rightChars="-244" w:firstLine="3255" w:firstLineChars="1550"/>
        <w:rPr>
          <w:rFonts w:hint="eastAsia" w:ascii="宋体" w:hAnsi="宋体" w:cs="宋体"/>
          <w:color w:val="auto"/>
          <w:kern w:val="0"/>
          <w:szCs w:val="21"/>
          <w:highlight w:val="none"/>
        </w:rPr>
      </w:pPr>
      <w:r>
        <w:rPr>
          <w:rFonts w:hint="eastAsia" w:ascii="宋体" w:hAnsi="宋体" w:cs="宋体"/>
          <w:color w:val="auto"/>
          <w:kern w:val="0"/>
          <w:szCs w:val="21"/>
          <w:highlight w:val="none"/>
        </w:rPr>
        <w:t>投标申请人（盖章）：</w:t>
      </w:r>
    </w:p>
    <w:p w14:paraId="1F45F7CF">
      <w:pPr>
        <w:shd w:val="clear"/>
        <w:tabs>
          <w:tab w:val="left" w:pos="4320"/>
        </w:tabs>
        <w:spacing w:line="360" w:lineRule="auto"/>
        <w:ind w:right="-512" w:rightChars="-244" w:firstLine="3255" w:firstLineChars="155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法定代表人（签字或盖章）：</w:t>
      </w:r>
    </w:p>
    <w:p w14:paraId="5A407DA4">
      <w:pPr>
        <w:shd w:val="clear"/>
        <w:spacing w:line="360" w:lineRule="auto"/>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14:paraId="7720EB52">
      <w:pPr>
        <w:pStyle w:val="3"/>
        <w:keepNext w:val="0"/>
        <w:keepLines w:val="0"/>
        <w:shd w:val="clear"/>
        <w:spacing w:line="360" w:lineRule="auto"/>
        <w:rPr>
          <w:rFonts w:hint="eastAsia" w:ascii="宋体" w:hAnsi="宋体" w:eastAsia="宋体" w:cs="宋体"/>
          <w:b/>
          <w:color w:val="auto"/>
          <w:sz w:val="24"/>
          <w:highlight w:val="none"/>
        </w:rPr>
      </w:pPr>
      <w:bookmarkStart w:id="309" w:name="_Toc19852"/>
      <w:r>
        <w:rPr>
          <w:rFonts w:hint="eastAsia" w:ascii="宋体" w:hAnsi="宋体" w:eastAsia="宋体" w:cs="宋体"/>
          <w:color w:val="auto"/>
          <w:sz w:val="24"/>
          <w:highlight w:val="none"/>
        </w:rPr>
        <w:br w:type="page"/>
      </w:r>
      <w:bookmarkEnd w:id="309"/>
      <w:bookmarkStart w:id="310" w:name="_Toc7117"/>
      <w:r>
        <w:rPr>
          <w:rFonts w:hint="eastAsia" w:ascii="宋体" w:hAnsi="宋体" w:eastAsia="宋体" w:cs="宋体"/>
          <w:b/>
          <w:color w:val="auto"/>
          <w:sz w:val="24"/>
          <w:highlight w:val="none"/>
        </w:rPr>
        <w:t>9、承诺书</w:t>
      </w:r>
      <w:bookmarkEnd w:id="310"/>
    </w:p>
    <w:p w14:paraId="44F09476">
      <w:pPr>
        <w:shd w:val="clear"/>
        <w:spacing w:line="360" w:lineRule="auto"/>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承诺书</w:t>
      </w:r>
    </w:p>
    <w:p w14:paraId="5C7C4D74">
      <w:pPr>
        <w:shd w:val="clear"/>
        <w:spacing w:line="360" w:lineRule="auto"/>
        <w:jc w:val="center"/>
        <w:rPr>
          <w:rFonts w:hint="eastAsia" w:ascii="宋体" w:hAnsi="宋体" w:cs="宋体"/>
          <w:b/>
          <w:color w:val="auto"/>
          <w:kern w:val="0"/>
          <w:sz w:val="24"/>
          <w:highlight w:val="none"/>
        </w:rPr>
      </w:pPr>
    </w:p>
    <w:p w14:paraId="27B44C22">
      <w:pPr>
        <w:shd w:val="clear"/>
        <w:spacing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u w:val="single"/>
        </w:rPr>
        <w:t>南通市崇川区城市工程建设管理中心（招标人）</w:t>
      </w:r>
      <w:r>
        <w:rPr>
          <w:rFonts w:hint="eastAsia" w:ascii="宋体" w:hAnsi="宋体" w:cs="宋体"/>
          <w:color w:val="auto"/>
          <w:kern w:val="0"/>
          <w:szCs w:val="21"/>
          <w:highlight w:val="none"/>
        </w:rPr>
        <w:t>：</w:t>
      </w:r>
    </w:p>
    <w:p w14:paraId="4AD98AE5">
      <w:pPr>
        <w:shd w:val="clear"/>
        <w:spacing w:line="360" w:lineRule="auto"/>
        <w:ind w:firstLine="409" w:firstLineChars="195"/>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我方参加你方的监理（以下简称“本项目”）投标的申请，拟派项目总监理工程师为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。现我方向你方慎重承诺：</w:t>
      </w:r>
    </w:p>
    <w:p w14:paraId="16B2452A">
      <w:pPr>
        <w:pStyle w:val="6"/>
        <w:shd w:val="clea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拟派项目总监理工程师从现在开始至本项目投标文件递交截止时间内在监工程不超过2个，如果我方经本工程评标委员会评定为第一中标候选人，在公示期间被他人举报并经招标投标监管机构核实，确认拟派项目总监理工程师有超过2个以上在监工程，那么我方自愿放弃第一中标候选人资格和投标保证金。</w:t>
      </w:r>
    </w:p>
    <w:p w14:paraId="50142B28">
      <w:pPr>
        <w:pStyle w:val="6"/>
        <w:shd w:val="clear"/>
        <w:spacing w:line="360" w:lineRule="auto"/>
        <w:rPr>
          <w:rFonts w:hint="eastAsia" w:ascii="宋体" w:hAnsi="宋体" w:cs="宋体"/>
          <w:color w:val="auto"/>
          <w:kern w:val="0"/>
          <w:szCs w:val="21"/>
          <w:highlight w:val="none"/>
        </w:rPr>
      </w:pPr>
    </w:p>
    <w:p w14:paraId="30C881A3">
      <w:pPr>
        <w:pStyle w:val="6"/>
        <w:shd w:val="clear"/>
        <w:spacing w:line="360" w:lineRule="auto"/>
        <w:rPr>
          <w:rFonts w:hint="eastAsia" w:ascii="宋体" w:hAnsi="宋体" w:cs="宋体"/>
          <w:color w:val="auto"/>
          <w:kern w:val="0"/>
          <w:szCs w:val="21"/>
          <w:highlight w:val="none"/>
        </w:rPr>
      </w:pPr>
    </w:p>
    <w:p w14:paraId="17221778">
      <w:pPr>
        <w:pStyle w:val="6"/>
        <w:shd w:val="clear"/>
        <w:spacing w:line="360" w:lineRule="auto"/>
        <w:rPr>
          <w:rFonts w:hint="eastAsia" w:ascii="宋体" w:hAnsi="宋体" w:cs="宋体"/>
          <w:color w:val="auto"/>
          <w:kern w:val="0"/>
          <w:szCs w:val="21"/>
          <w:highlight w:val="none"/>
        </w:rPr>
      </w:pPr>
    </w:p>
    <w:p w14:paraId="11EB147D">
      <w:pPr>
        <w:pStyle w:val="6"/>
        <w:shd w:val="clea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投标申请人（盖公章）：</w:t>
      </w:r>
    </w:p>
    <w:p w14:paraId="027DB43D">
      <w:pPr>
        <w:pStyle w:val="6"/>
        <w:shd w:val="clea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法定代表人（签字或盖章）：</w:t>
      </w:r>
    </w:p>
    <w:p w14:paraId="2B783DCF">
      <w:pPr>
        <w:pStyle w:val="6"/>
        <w:shd w:val="clea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年月日</w:t>
      </w:r>
    </w:p>
    <w:p w14:paraId="3EE80A24">
      <w:pPr>
        <w:shd w:val="clear"/>
        <w:rPr>
          <w:rFonts w:hint="eastAsia" w:ascii="宋体" w:hAnsi="宋体" w:cs="宋体"/>
          <w:color w:val="auto"/>
          <w:kern w:val="0"/>
          <w:highlight w:val="none"/>
        </w:rPr>
      </w:pPr>
    </w:p>
    <w:p w14:paraId="66D9CCAF">
      <w:pPr>
        <w:shd w:val="clear"/>
        <w:rPr>
          <w:rFonts w:hint="eastAsia" w:ascii="宋体" w:hAnsi="宋体" w:cs="宋体"/>
          <w:color w:val="auto"/>
          <w:kern w:val="0"/>
          <w:highlight w:val="none"/>
        </w:rPr>
      </w:pPr>
    </w:p>
    <w:p w14:paraId="4C8E4BF6">
      <w:pPr>
        <w:shd w:val="clear"/>
        <w:rPr>
          <w:rFonts w:hint="eastAsia" w:ascii="宋体" w:hAnsi="宋体" w:cs="宋体"/>
          <w:color w:val="auto"/>
          <w:kern w:val="0"/>
          <w:highlight w:val="none"/>
        </w:rPr>
      </w:pPr>
    </w:p>
    <w:sectPr>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5954"/>
    </w:sdtPr>
    <w:sdtContent>
      <w:p w14:paraId="7821F8D0">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4A534C6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C6EF">
    <w:pPr>
      <w:pStyle w:val="18"/>
      <w:rPr>
        <w:rStyle w:val="33"/>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54BD55">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354BD55">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391F89AE">
    <w:pPr>
      <w:pStyle w:val="1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3238">
    <w:pPr>
      <w:pStyle w:val="18"/>
      <w:rPr>
        <w:rStyle w:val="33"/>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CB7959">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3CB7959">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5B8F5E5E">
    <w:pPr>
      <w:pStyle w:val="1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72AD">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zI4ZDg5YzkzMTlkODA5ZjhjYTQ2NzUyMTFhMzYifQ=="/>
  </w:docVars>
  <w:rsids>
    <w:rsidRoot w:val="197E0461"/>
    <w:rsid w:val="0000347E"/>
    <w:rsid w:val="00017BA7"/>
    <w:rsid w:val="00022F8E"/>
    <w:rsid w:val="000238C0"/>
    <w:rsid w:val="00077D9A"/>
    <w:rsid w:val="00091CCD"/>
    <w:rsid w:val="000B0C6C"/>
    <w:rsid w:val="000B7924"/>
    <w:rsid w:val="000C0F11"/>
    <w:rsid w:val="000C754C"/>
    <w:rsid w:val="000D1194"/>
    <w:rsid w:val="000E31F6"/>
    <w:rsid w:val="000E3F5D"/>
    <w:rsid w:val="000F7B1F"/>
    <w:rsid w:val="00113547"/>
    <w:rsid w:val="00141135"/>
    <w:rsid w:val="001427DB"/>
    <w:rsid w:val="00151F99"/>
    <w:rsid w:val="00157FD7"/>
    <w:rsid w:val="001613C0"/>
    <w:rsid w:val="00162A62"/>
    <w:rsid w:val="001C0B82"/>
    <w:rsid w:val="001C20BF"/>
    <w:rsid w:val="001C6845"/>
    <w:rsid w:val="001D2595"/>
    <w:rsid w:val="001F0687"/>
    <w:rsid w:val="001F73A7"/>
    <w:rsid w:val="002049A8"/>
    <w:rsid w:val="00244BC7"/>
    <w:rsid w:val="00245E97"/>
    <w:rsid w:val="00250CAB"/>
    <w:rsid w:val="0028721C"/>
    <w:rsid w:val="002E33F1"/>
    <w:rsid w:val="002E5DA7"/>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46E6"/>
    <w:rsid w:val="009361DE"/>
    <w:rsid w:val="00941D3D"/>
    <w:rsid w:val="00942787"/>
    <w:rsid w:val="00942DE0"/>
    <w:rsid w:val="00973100"/>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F10BB"/>
    <w:rsid w:val="00BF185E"/>
    <w:rsid w:val="00BF1A9D"/>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F5417E"/>
    <w:rsid w:val="02486B29"/>
    <w:rsid w:val="02C24E2A"/>
    <w:rsid w:val="02C34023"/>
    <w:rsid w:val="02E56406"/>
    <w:rsid w:val="02F6262E"/>
    <w:rsid w:val="035C455C"/>
    <w:rsid w:val="03892FCE"/>
    <w:rsid w:val="03A10CAA"/>
    <w:rsid w:val="03A527A2"/>
    <w:rsid w:val="03B3505F"/>
    <w:rsid w:val="046010D7"/>
    <w:rsid w:val="04BA102D"/>
    <w:rsid w:val="057B45F2"/>
    <w:rsid w:val="0606305E"/>
    <w:rsid w:val="06443FD4"/>
    <w:rsid w:val="068A74E9"/>
    <w:rsid w:val="06D45A15"/>
    <w:rsid w:val="07387591"/>
    <w:rsid w:val="075C068F"/>
    <w:rsid w:val="078838F5"/>
    <w:rsid w:val="07F04051"/>
    <w:rsid w:val="086754E4"/>
    <w:rsid w:val="092B1F08"/>
    <w:rsid w:val="094C4782"/>
    <w:rsid w:val="09523D3F"/>
    <w:rsid w:val="096B62F5"/>
    <w:rsid w:val="096C0B9A"/>
    <w:rsid w:val="09FA0698"/>
    <w:rsid w:val="0A7D4FF2"/>
    <w:rsid w:val="0C2606B1"/>
    <w:rsid w:val="0C3218D4"/>
    <w:rsid w:val="0CFA081E"/>
    <w:rsid w:val="0CFB5992"/>
    <w:rsid w:val="0D144C7C"/>
    <w:rsid w:val="0DA5364F"/>
    <w:rsid w:val="0DAC3FE1"/>
    <w:rsid w:val="0E95564D"/>
    <w:rsid w:val="0EAC41F8"/>
    <w:rsid w:val="0EBB7A97"/>
    <w:rsid w:val="0EF51D98"/>
    <w:rsid w:val="0F1E3F27"/>
    <w:rsid w:val="0F2E13F9"/>
    <w:rsid w:val="0FAF71D6"/>
    <w:rsid w:val="100D3047"/>
    <w:rsid w:val="10305C56"/>
    <w:rsid w:val="107D397A"/>
    <w:rsid w:val="108F6AD4"/>
    <w:rsid w:val="11684338"/>
    <w:rsid w:val="11D303FF"/>
    <w:rsid w:val="12251486"/>
    <w:rsid w:val="123F78AA"/>
    <w:rsid w:val="124C37A5"/>
    <w:rsid w:val="127001C5"/>
    <w:rsid w:val="12DA623A"/>
    <w:rsid w:val="12DF31B7"/>
    <w:rsid w:val="137E1742"/>
    <w:rsid w:val="13E55090"/>
    <w:rsid w:val="13FE6D3E"/>
    <w:rsid w:val="14921783"/>
    <w:rsid w:val="14B053C9"/>
    <w:rsid w:val="14B549BC"/>
    <w:rsid w:val="14D42C8D"/>
    <w:rsid w:val="1543532F"/>
    <w:rsid w:val="15696E26"/>
    <w:rsid w:val="161A395A"/>
    <w:rsid w:val="1643237F"/>
    <w:rsid w:val="170F37DB"/>
    <w:rsid w:val="1723641B"/>
    <w:rsid w:val="173E2219"/>
    <w:rsid w:val="17C01C44"/>
    <w:rsid w:val="17C61ABD"/>
    <w:rsid w:val="17CC352C"/>
    <w:rsid w:val="17F636AD"/>
    <w:rsid w:val="17FB2E23"/>
    <w:rsid w:val="1839525D"/>
    <w:rsid w:val="18477DAE"/>
    <w:rsid w:val="185C11FB"/>
    <w:rsid w:val="18953515"/>
    <w:rsid w:val="19025C20"/>
    <w:rsid w:val="191163B8"/>
    <w:rsid w:val="197E0461"/>
    <w:rsid w:val="198E77DD"/>
    <w:rsid w:val="1A2E4FEC"/>
    <w:rsid w:val="1AA2462A"/>
    <w:rsid w:val="1AE8231C"/>
    <w:rsid w:val="1B3E373A"/>
    <w:rsid w:val="1BD571C1"/>
    <w:rsid w:val="1BF3211F"/>
    <w:rsid w:val="1CA74E85"/>
    <w:rsid w:val="1D022A5D"/>
    <w:rsid w:val="1D5A7BA1"/>
    <w:rsid w:val="1DA70230"/>
    <w:rsid w:val="1DC05C8C"/>
    <w:rsid w:val="1DE25E0D"/>
    <w:rsid w:val="1E0F1C82"/>
    <w:rsid w:val="1E7C6B2A"/>
    <w:rsid w:val="1F3E32DF"/>
    <w:rsid w:val="1FDF7991"/>
    <w:rsid w:val="1FFD0854"/>
    <w:rsid w:val="20265900"/>
    <w:rsid w:val="21192404"/>
    <w:rsid w:val="21823A71"/>
    <w:rsid w:val="21F77984"/>
    <w:rsid w:val="22342FE2"/>
    <w:rsid w:val="223557B8"/>
    <w:rsid w:val="225959E9"/>
    <w:rsid w:val="22631D4C"/>
    <w:rsid w:val="22CF5C1F"/>
    <w:rsid w:val="22DD7372"/>
    <w:rsid w:val="22DE34E5"/>
    <w:rsid w:val="22E606CA"/>
    <w:rsid w:val="22EC3F3F"/>
    <w:rsid w:val="232B1DB3"/>
    <w:rsid w:val="233934F2"/>
    <w:rsid w:val="23473598"/>
    <w:rsid w:val="23510BE2"/>
    <w:rsid w:val="23570ADA"/>
    <w:rsid w:val="23827AA9"/>
    <w:rsid w:val="24060BDD"/>
    <w:rsid w:val="2453199A"/>
    <w:rsid w:val="24A3442A"/>
    <w:rsid w:val="24A46160"/>
    <w:rsid w:val="24D0793E"/>
    <w:rsid w:val="251124CC"/>
    <w:rsid w:val="253E30F1"/>
    <w:rsid w:val="25C67A17"/>
    <w:rsid w:val="25EF0F51"/>
    <w:rsid w:val="26205F9A"/>
    <w:rsid w:val="266D1EF1"/>
    <w:rsid w:val="267D6DF9"/>
    <w:rsid w:val="2685112A"/>
    <w:rsid w:val="278238E3"/>
    <w:rsid w:val="27977C67"/>
    <w:rsid w:val="2799525D"/>
    <w:rsid w:val="27C35B90"/>
    <w:rsid w:val="27DF7A0E"/>
    <w:rsid w:val="28906633"/>
    <w:rsid w:val="28A565CD"/>
    <w:rsid w:val="28DD446D"/>
    <w:rsid w:val="290F1A1A"/>
    <w:rsid w:val="2931167D"/>
    <w:rsid w:val="294D132B"/>
    <w:rsid w:val="29522C92"/>
    <w:rsid w:val="297F2038"/>
    <w:rsid w:val="299C7B09"/>
    <w:rsid w:val="29DB7B52"/>
    <w:rsid w:val="2AF750A1"/>
    <w:rsid w:val="2BA810B0"/>
    <w:rsid w:val="2BA847CB"/>
    <w:rsid w:val="2BB9682F"/>
    <w:rsid w:val="2BC32773"/>
    <w:rsid w:val="2BFC19D3"/>
    <w:rsid w:val="2C6E62A0"/>
    <w:rsid w:val="2D1D3491"/>
    <w:rsid w:val="2D512639"/>
    <w:rsid w:val="2D5251B9"/>
    <w:rsid w:val="2D647F19"/>
    <w:rsid w:val="2DB02E9A"/>
    <w:rsid w:val="2EB320D7"/>
    <w:rsid w:val="2F331338"/>
    <w:rsid w:val="2F4D714F"/>
    <w:rsid w:val="2FA219D4"/>
    <w:rsid w:val="2FA42C93"/>
    <w:rsid w:val="2FDE2E39"/>
    <w:rsid w:val="2FEA0064"/>
    <w:rsid w:val="30561961"/>
    <w:rsid w:val="30EC078D"/>
    <w:rsid w:val="312018A4"/>
    <w:rsid w:val="31C979A6"/>
    <w:rsid w:val="32210F66"/>
    <w:rsid w:val="32220515"/>
    <w:rsid w:val="32386938"/>
    <w:rsid w:val="32995ABE"/>
    <w:rsid w:val="329D5CF6"/>
    <w:rsid w:val="32F423F9"/>
    <w:rsid w:val="341B4691"/>
    <w:rsid w:val="34532048"/>
    <w:rsid w:val="347D0345"/>
    <w:rsid w:val="3483425A"/>
    <w:rsid w:val="34C91F43"/>
    <w:rsid w:val="356A1AE2"/>
    <w:rsid w:val="359C3EDC"/>
    <w:rsid w:val="35B1598A"/>
    <w:rsid w:val="35FB76C1"/>
    <w:rsid w:val="360E389E"/>
    <w:rsid w:val="36494172"/>
    <w:rsid w:val="36520C66"/>
    <w:rsid w:val="3671785E"/>
    <w:rsid w:val="37EB13EA"/>
    <w:rsid w:val="37FE0D94"/>
    <w:rsid w:val="382673F4"/>
    <w:rsid w:val="38323357"/>
    <w:rsid w:val="38F51B38"/>
    <w:rsid w:val="39167BAC"/>
    <w:rsid w:val="39270650"/>
    <w:rsid w:val="3970267C"/>
    <w:rsid w:val="3A696390"/>
    <w:rsid w:val="3AC94140"/>
    <w:rsid w:val="3ADA148E"/>
    <w:rsid w:val="3ADE4F69"/>
    <w:rsid w:val="3AF8166E"/>
    <w:rsid w:val="3B7D02B6"/>
    <w:rsid w:val="3B7E1F45"/>
    <w:rsid w:val="3B804CA4"/>
    <w:rsid w:val="3C1258A2"/>
    <w:rsid w:val="3C1E5401"/>
    <w:rsid w:val="3C210595"/>
    <w:rsid w:val="3C4F5E1E"/>
    <w:rsid w:val="3CE52FA8"/>
    <w:rsid w:val="3D1F79B5"/>
    <w:rsid w:val="3D3D408D"/>
    <w:rsid w:val="3DEB4E54"/>
    <w:rsid w:val="3E035329"/>
    <w:rsid w:val="3E4A1248"/>
    <w:rsid w:val="3E8B5826"/>
    <w:rsid w:val="3E99447C"/>
    <w:rsid w:val="3F411B4D"/>
    <w:rsid w:val="3F603276"/>
    <w:rsid w:val="3FA4477D"/>
    <w:rsid w:val="3FB37DD1"/>
    <w:rsid w:val="40D8454C"/>
    <w:rsid w:val="40EB2F89"/>
    <w:rsid w:val="41855EFA"/>
    <w:rsid w:val="41B77860"/>
    <w:rsid w:val="41EB76E9"/>
    <w:rsid w:val="41F0764F"/>
    <w:rsid w:val="42372B20"/>
    <w:rsid w:val="42770578"/>
    <w:rsid w:val="42EF11F9"/>
    <w:rsid w:val="430A2572"/>
    <w:rsid w:val="432D18A6"/>
    <w:rsid w:val="437E5788"/>
    <w:rsid w:val="43841BA0"/>
    <w:rsid w:val="439604DD"/>
    <w:rsid w:val="441307C2"/>
    <w:rsid w:val="446D46C0"/>
    <w:rsid w:val="44810E8A"/>
    <w:rsid w:val="44E2311F"/>
    <w:rsid w:val="452D4725"/>
    <w:rsid w:val="453A003B"/>
    <w:rsid w:val="454D630A"/>
    <w:rsid w:val="457E1F53"/>
    <w:rsid w:val="46932C0A"/>
    <w:rsid w:val="471769EE"/>
    <w:rsid w:val="47B12FFF"/>
    <w:rsid w:val="47D16CB4"/>
    <w:rsid w:val="47F10267"/>
    <w:rsid w:val="47FA63E7"/>
    <w:rsid w:val="482855B8"/>
    <w:rsid w:val="48EB7EEE"/>
    <w:rsid w:val="4A0D374B"/>
    <w:rsid w:val="4A1F77C5"/>
    <w:rsid w:val="4A5F19BD"/>
    <w:rsid w:val="4A6A3EBA"/>
    <w:rsid w:val="4AE97204"/>
    <w:rsid w:val="4B026C9A"/>
    <w:rsid w:val="4B4331EC"/>
    <w:rsid w:val="4B7C542E"/>
    <w:rsid w:val="4BDD5A83"/>
    <w:rsid w:val="4BF54FF3"/>
    <w:rsid w:val="4BF6430F"/>
    <w:rsid w:val="4C3A3AC4"/>
    <w:rsid w:val="4C92091C"/>
    <w:rsid w:val="4D767C12"/>
    <w:rsid w:val="4D8203AE"/>
    <w:rsid w:val="4D9E4F12"/>
    <w:rsid w:val="4E2A3343"/>
    <w:rsid w:val="4E86492F"/>
    <w:rsid w:val="4EA341B8"/>
    <w:rsid w:val="4EC720FA"/>
    <w:rsid w:val="4F530677"/>
    <w:rsid w:val="50626632"/>
    <w:rsid w:val="509D5063"/>
    <w:rsid w:val="51026074"/>
    <w:rsid w:val="51333FAB"/>
    <w:rsid w:val="51491C3E"/>
    <w:rsid w:val="51C33087"/>
    <w:rsid w:val="53063B19"/>
    <w:rsid w:val="5328385F"/>
    <w:rsid w:val="53377CC0"/>
    <w:rsid w:val="534D530C"/>
    <w:rsid w:val="543A23AB"/>
    <w:rsid w:val="545811F3"/>
    <w:rsid w:val="54A90FCB"/>
    <w:rsid w:val="54CB5082"/>
    <w:rsid w:val="550A50CE"/>
    <w:rsid w:val="553A3615"/>
    <w:rsid w:val="55A01D3D"/>
    <w:rsid w:val="56115AD1"/>
    <w:rsid w:val="563408DF"/>
    <w:rsid w:val="56535115"/>
    <w:rsid w:val="567A0131"/>
    <w:rsid w:val="568942CE"/>
    <w:rsid w:val="56B573DB"/>
    <w:rsid w:val="56CF3D1B"/>
    <w:rsid w:val="57765C85"/>
    <w:rsid w:val="57A76A59"/>
    <w:rsid w:val="585A1660"/>
    <w:rsid w:val="58FE7BBA"/>
    <w:rsid w:val="593D4DCE"/>
    <w:rsid w:val="59464DA9"/>
    <w:rsid w:val="59563DAC"/>
    <w:rsid w:val="59DA246E"/>
    <w:rsid w:val="59EC6A6D"/>
    <w:rsid w:val="59ED3476"/>
    <w:rsid w:val="5A093B18"/>
    <w:rsid w:val="5A3B4BD8"/>
    <w:rsid w:val="5AC97A40"/>
    <w:rsid w:val="5AE22FD3"/>
    <w:rsid w:val="5B0E1043"/>
    <w:rsid w:val="5B10327E"/>
    <w:rsid w:val="5B5E2DA7"/>
    <w:rsid w:val="5BAC1C02"/>
    <w:rsid w:val="5C09421F"/>
    <w:rsid w:val="5D0B10A7"/>
    <w:rsid w:val="5D280572"/>
    <w:rsid w:val="5D34056F"/>
    <w:rsid w:val="5D6651F6"/>
    <w:rsid w:val="5E352176"/>
    <w:rsid w:val="5E3F2528"/>
    <w:rsid w:val="5E742944"/>
    <w:rsid w:val="5ED8314E"/>
    <w:rsid w:val="5EDC477D"/>
    <w:rsid w:val="5F352A40"/>
    <w:rsid w:val="5F900D81"/>
    <w:rsid w:val="60895C5A"/>
    <w:rsid w:val="60FE47CE"/>
    <w:rsid w:val="61A2477F"/>
    <w:rsid w:val="61F70B69"/>
    <w:rsid w:val="61F91A0A"/>
    <w:rsid w:val="62C33B99"/>
    <w:rsid w:val="6327372C"/>
    <w:rsid w:val="6364206C"/>
    <w:rsid w:val="65247F7C"/>
    <w:rsid w:val="653E3B0B"/>
    <w:rsid w:val="65A67349"/>
    <w:rsid w:val="65C85782"/>
    <w:rsid w:val="65D7580E"/>
    <w:rsid w:val="665B163A"/>
    <w:rsid w:val="66930715"/>
    <w:rsid w:val="66D439F4"/>
    <w:rsid w:val="66E0359C"/>
    <w:rsid w:val="67233D00"/>
    <w:rsid w:val="67F97411"/>
    <w:rsid w:val="683B5605"/>
    <w:rsid w:val="689C1632"/>
    <w:rsid w:val="68A5514D"/>
    <w:rsid w:val="68B3402B"/>
    <w:rsid w:val="68CB4EB2"/>
    <w:rsid w:val="68F4037D"/>
    <w:rsid w:val="69882D82"/>
    <w:rsid w:val="69F83B43"/>
    <w:rsid w:val="6A3B4D55"/>
    <w:rsid w:val="6A8678E7"/>
    <w:rsid w:val="6B0B655F"/>
    <w:rsid w:val="6B8C3084"/>
    <w:rsid w:val="6BD5313A"/>
    <w:rsid w:val="6C4B2418"/>
    <w:rsid w:val="6CA65FA0"/>
    <w:rsid w:val="6CF55020"/>
    <w:rsid w:val="6DCF4C45"/>
    <w:rsid w:val="6DEB1331"/>
    <w:rsid w:val="6DF567EC"/>
    <w:rsid w:val="6E4E077D"/>
    <w:rsid w:val="6E561F09"/>
    <w:rsid w:val="6ED16857"/>
    <w:rsid w:val="6EDF575B"/>
    <w:rsid w:val="6EE52695"/>
    <w:rsid w:val="6F424D04"/>
    <w:rsid w:val="6F552505"/>
    <w:rsid w:val="6F616041"/>
    <w:rsid w:val="6F912373"/>
    <w:rsid w:val="6FAA5584"/>
    <w:rsid w:val="6FC9455B"/>
    <w:rsid w:val="6FE43935"/>
    <w:rsid w:val="702156C6"/>
    <w:rsid w:val="70A143A6"/>
    <w:rsid w:val="714E0847"/>
    <w:rsid w:val="71B5386F"/>
    <w:rsid w:val="71F652FE"/>
    <w:rsid w:val="72380DCE"/>
    <w:rsid w:val="72774C01"/>
    <w:rsid w:val="72C434E4"/>
    <w:rsid w:val="7309711B"/>
    <w:rsid w:val="731544C0"/>
    <w:rsid w:val="73154E73"/>
    <w:rsid w:val="731F41DD"/>
    <w:rsid w:val="736275AC"/>
    <w:rsid w:val="736A08A1"/>
    <w:rsid w:val="73996ECC"/>
    <w:rsid w:val="73CC2148"/>
    <w:rsid w:val="73CE5A0F"/>
    <w:rsid w:val="740B6150"/>
    <w:rsid w:val="743B2C67"/>
    <w:rsid w:val="74485068"/>
    <w:rsid w:val="74556459"/>
    <w:rsid w:val="74CD7162"/>
    <w:rsid w:val="74E71DFA"/>
    <w:rsid w:val="75110C87"/>
    <w:rsid w:val="751D6676"/>
    <w:rsid w:val="75EA3C37"/>
    <w:rsid w:val="763D4955"/>
    <w:rsid w:val="76456B36"/>
    <w:rsid w:val="766F5A16"/>
    <w:rsid w:val="76825489"/>
    <w:rsid w:val="770B5023"/>
    <w:rsid w:val="77D00B58"/>
    <w:rsid w:val="78EC6B6D"/>
    <w:rsid w:val="790939D1"/>
    <w:rsid w:val="7922764A"/>
    <w:rsid w:val="79A50677"/>
    <w:rsid w:val="79D84853"/>
    <w:rsid w:val="7AB96EB4"/>
    <w:rsid w:val="7BEB2FA8"/>
    <w:rsid w:val="7BEC67B1"/>
    <w:rsid w:val="7C6B7C06"/>
    <w:rsid w:val="7C6E3BEA"/>
    <w:rsid w:val="7CCB1D5A"/>
    <w:rsid w:val="7D0C5D68"/>
    <w:rsid w:val="7D3D4F01"/>
    <w:rsid w:val="7D773891"/>
    <w:rsid w:val="7D9431F6"/>
    <w:rsid w:val="7DD86F7C"/>
    <w:rsid w:val="7DEB1DF5"/>
    <w:rsid w:val="7E782ECE"/>
    <w:rsid w:val="7F632B56"/>
    <w:rsid w:val="7F6E4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120" w:after="120" w:line="416" w:lineRule="auto"/>
      <w:outlineLvl w:val="1"/>
    </w:pPr>
    <w:rPr>
      <w:rFonts w:ascii="Arial" w:hAnsi="Arial" w:eastAsia="黑体"/>
      <w:bCs/>
      <w:kern w:val="0"/>
      <w:sz w:val="32"/>
      <w:szCs w:val="32"/>
    </w:rPr>
  </w:style>
  <w:style w:type="paragraph" w:styleId="4">
    <w:name w:val="heading 3"/>
    <w:basedOn w:val="1"/>
    <w:next w:val="1"/>
    <w:link w:val="36"/>
    <w:qFormat/>
    <w:uiPriority w:val="0"/>
    <w:pPr>
      <w:keepNext/>
      <w:keepLines/>
      <w:spacing w:before="20" w:after="20" w:line="416" w:lineRule="auto"/>
      <w:outlineLvl w:val="2"/>
    </w:pPr>
    <w:rPr>
      <w:rFonts w:eastAsia="黑体"/>
      <w:bCs/>
      <w:kern w:val="0"/>
      <w:sz w:val="24"/>
      <w:szCs w:val="3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050" w:hanging="210" w:firstLineChars="200"/>
      <w:jc w:val="left"/>
    </w:pPr>
    <w:rPr>
      <w:sz w:val="18"/>
      <w:szCs w:val="18"/>
      <w:lang w:eastAsia="zh-TW"/>
    </w:rPr>
  </w:style>
  <w:style w:type="paragraph" w:styleId="8">
    <w:name w:val="annotation text"/>
    <w:basedOn w:val="1"/>
    <w:qFormat/>
    <w:uiPriority w:val="0"/>
    <w:pPr>
      <w:jc w:val="left"/>
    </w:pPr>
  </w:style>
  <w:style w:type="paragraph" w:styleId="9">
    <w:name w:val="Body Text"/>
    <w:basedOn w:val="1"/>
    <w:next w:val="1"/>
    <w:qFormat/>
    <w:uiPriority w:val="0"/>
    <w:pPr>
      <w:tabs>
        <w:tab w:val="left" w:pos="0"/>
      </w:tabs>
    </w:pPr>
    <w:rPr>
      <w:rFonts w:ascii="仿宋_GB2312" w:eastAsia="仿宋_GB2312"/>
      <w:sz w:val="28"/>
    </w:rPr>
  </w:style>
  <w:style w:type="paragraph" w:styleId="10">
    <w:name w:val="Body Text Indent"/>
    <w:basedOn w:val="1"/>
    <w:next w:val="11"/>
    <w:qFormat/>
    <w:uiPriority w:val="0"/>
    <w:pPr>
      <w:spacing w:line="360" w:lineRule="auto"/>
      <w:ind w:firstLine="500" w:firstLineChars="200"/>
    </w:pPr>
    <w:rPr>
      <w:rFonts w:ascii="Tahoma" w:hAnsi="Tahoma" w:eastAsia="仿宋_GB2312"/>
      <w:sz w:val="24"/>
      <w:szCs w:val="20"/>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qFormat/>
    <w:uiPriority w:val="0"/>
    <w:pPr>
      <w:ind w:left="100" w:leftChars="2500"/>
    </w:pPr>
  </w:style>
  <w:style w:type="paragraph" w:styleId="17">
    <w:name w:val="Balloon Text"/>
    <w:basedOn w:val="1"/>
    <w:link w:val="41"/>
    <w:semiHidden/>
    <w:unhideWhenUsed/>
    <w:qFormat/>
    <w:uiPriority w:val="0"/>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next w:val="7"/>
    <w:qFormat/>
    <w:uiPriority w:val="0"/>
    <w:pPr>
      <w:adjustRightInd w:val="0"/>
      <w:snapToGrid w:val="0"/>
      <w:spacing w:line="420" w:lineRule="atLeast"/>
      <w:ind w:firstLine="454"/>
      <w:jc w:val="left"/>
      <w:textAlignment w:val="baseline"/>
    </w:pPr>
    <w:rPr>
      <w:kern w:val="0"/>
      <w:sz w:val="18"/>
      <w:szCs w:val="20"/>
      <w:lang w:val="zh-CN"/>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Normal (Web)"/>
    <w:basedOn w:val="1"/>
    <w:semiHidden/>
    <w:unhideWhenUsed/>
    <w:qFormat/>
    <w:uiPriority w:val="0"/>
    <w:pPr>
      <w:spacing w:beforeAutospacing="1" w:afterAutospacing="1"/>
      <w:jc w:val="left"/>
    </w:pPr>
    <w:rPr>
      <w:kern w:val="0"/>
      <w:sz w:val="24"/>
    </w:rPr>
  </w:style>
  <w:style w:type="paragraph" w:styleId="27">
    <w:name w:val="Body Text First Indent"/>
    <w:basedOn w:val="9"/>
    <w:next w:val="1"/>
    <w:qFormat/>
    <w:uiPriority w:val="0"/>
    <w:pPr>
      <w:tabs>
        <w:tab w:val="left" w:pos="2020"/>
        <w:tab w:val="center" w:pos="4535"/>
      </w:tabs>
      <w:ind w:firstLine="420" w:firstLineChars="100"/>
    </w:pPr>
  </w:style>
  <w:style w:type="paragraph" w:styleId="28">
    <w:name w:val="Body Text First Indent 2"/>
    <w:basedOn w:val="10"/>
    <w:unhideWhenUsed/>
    <w:qFormat/>
    <w:uiPriority w:val="99"/>
    <w:pPr>
      <w:ind w:firstLine="420"/>
    </w:p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rPr>
  </w:style>
  <w:style w:type="character" w:styleId="33">
    <w:name w:val="page number"/>
    <w:qFormat/>
    <w:uiPriority w:val="0"/>
  </w:style>
  <w:style w:type="character" w:styleId="34">
    <w:name w:val="Hyperlink"/>
    <w:qFormat/>
    <w:uiPriority w:val="99"/>
    <w:rPr>
      <w:color w:val="0000FF"/>
      <w:u w:val="single"/>
    </w:rPr>
  </w:style>
  <w:style w:type="character" w:customStyle="1" w:styleId="35">
    <w:name w:val="标题 2 字符"/>
    <w:link w:val="3"/>
    <w:qFormat/>
    <w:uiPriority w:val="0"/>
    <w:rPr>
      <w:rFonts w:ascii="Arial" w:hAnsi="Arial" w:eastAsia="黑体"/>
      <w:bCs/>
      <w:sz w:val="32"/>
      <w:szCs w:val="32"/>
    </w:rPr>
  </w:style>
  <w:style w:type="character" w:customStyle="1" w:styleId="36">
    <w:name w:val="标题 3 字符"/>
    <w:link w:val="4"/>
    <w:qFormat/>
    <w:uiPriority w:val="0"/>
    <w:rPr>
      <w:rFonts w:eastAsia="黑体"/>
      <w:bCs/>
      <w:kern w:val="0"/>
      <w:sz w:val="24"/>
      <w:szCs w:val="32"/>
    </w:rPr>
  </w:style>
  <w:style w:type="paragraph" w:styleId="37">
    <w:name w:val="List Paragraph"/>
    <w:basedOn w:val="1"/>
    <w:qFormat/>
    <w:uiPriority w:val="34"/>
    <w:pPr>
      <w:ind w:firstLine="420" w:firstLineChars="200"/>
    </w:pPr>
  </w:style>
  <w:style w:type="character" w:customStyle="1" w:styleId="38">
    <w:name w:val="明显强调1"/>
    <w:qFormat/>
    <w:uiPriority w:val="0"/>
    <w:rPr>
      <w:b/>
      <w:bCs/>
      <w:i/>
      <w:iCs/>
      <w:color w:val="4F81BD"/>
    </w:rPr>
  </w:style>
  <w:style w:type="character" w:customStyle="1" w:styleId="39">
    <w:name w:val="页脚 字符"/>
    <w:basedOn w:val="31"/>
    <w:link w:val="18"/>
    <w:qFormat/>
    <w:uiPriority w:val="99"/>
    <w:rPr>
      <w:kern w:val="2"/>
      <w:sz w:val="18"/>
      <w:szCs w:val="18"/>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批注框文本 字符"/>
    <w:basedOn w:val="31"/>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14CB6-68B2-4575-91C8-9AEA30FF2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29875</Words>
  <Characters>31750</Characters>
  <Lines>252</Lines>
  <Paragraphs>70</Paragraphs>
  <TotalTime>12</TotalTime>
  <ScaleCrop>false</ScaleCrop>
  <LinksUpToDate>false</LinksUpToDate>
  <CharactersWithSpaces>33278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2026-03-03T02:12:00Z</dcterms:created>
  <dc:creator>~一只~小螃蟹~</dc:creator>
  <cp:lastModifiedBy>婷婷</cp:lastModifiedBy>
  <cp:lastPrinted>2023-04-19T07:45:00Z</cp:lastPrinted>
  <dcterms:modified xsi:type="dcterms:W3CDTF">2026-03-25T10:18:54Z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285FF12219E94592A8CD2A0FB9BD2603_13</vt:lpwstr>
  </property>
  <property fmtid="{D5CDD505-2E9C-101B-9397-08002B2CF9AE}" pid="4" name="KSOTemplateDocerSaveRecord">
    <vt:lpwstr>eyJoZGlkIjoiYWYyYjQyMGZjOTYxMjY3MjJkM2Y4OTM3ZDNhN2EyNmUiLCJ1c2VySWQiOiIzNjIwODIzNjMifQ==</vt:lpwstr>
  </property>
</Properties>
</file>