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C0381">
      <w:pPr>
        <w:jc w:val="center"/>
        <w:rPr>
          <w:rFonts w:ascii="宋体" w:hAnsi="宋体" w:cs="宋体"/>
          <w:color w:val="auto"/>
          <w:sz w:val="48"/>
          <w:szCs w:val="48"/>
        </w:rPr>
      </w:pPr>
    </w:p>
    <w:p w14:paraId="73B482C6">
      <w:pPr>
        <w:jc w:val="center"/>
        <w:rPr>
          <w:rFonts w:ascii="宋体" w:hAnsi="宋体" w:cs="宋体"/>
          <w:color w:val="auto"/>
          <w:sz w:val="48"/>
          <w:szCs w:val="48"/>
        </w:rPr>
      </w:pPr>
    </w:p>
    <w:p w14:paraId="375819E6">
      <w:pPr>
        <w:jc w:val="center"/>
        <w:rPr>
          <w:rFonts w:ascii="宋体" w:hAnsi="宋体" w:cs="宋体"/>
          <w:color w:val="auto"/>
          <w:sz w:val="48"/>
          <w:szCs w:val="48"/>
        </w:rPr>
      </w:pPr>
    </w:p>
    <w:p w14:paraId="020A7FB3">
      <w:pPr>
        <w:spacing w:line="720" w:lineRule="auto"/>
        <w:jc w:val="center"/>
        <w:rPr>
          <w:rFonts w:ascii="宋体" w:hAnsi="宋体" w:cs="宋体"/>
          <w:b/>
          <w:color w:val="auto"/>
          <w:sz w:val="48"/>
          <w:szCs w:val="48"/>
        </w:rPr>
      </w:pPr>
      <w:r>
        <w:rPr>
          <w:rFonts w:hint="eastAsia" w:ascii="宋体" w:hAnsi="宋体" w:eastAsia="宋体" w:cs="宋体"/>
          <w:b/>
          <w:color w:val="auto"/>
          <w:sz w:val="48"/>
          <w:szCs w:val="48"/>
          <w:lang w:val="en-US" w:eastAsia="zh-CN"/>
        </w:rPr>
        <w:t>南通宝月湖科技股权投资基金合伙企业（有限合伙）二期</w:t>
      </w:r>
      <w:r>
        <w:rPr>
          <w:rFonts w:hint="eastAsia" w:ascii="宋体" w:hAnsi="宋体" w:cs="宋体"/>
          <w:b/>
          <w:color w:val="auto"/>
          <w:sz w:val="48"/>
          <w:szCs w:val="48"/>
        </w:rPr>
        <w:t>管理人遴选</w:t>
      </w:r>
    </w:p>
    <w:p w14:paraId="5F9596FF">
      <w:pPr>
        <w:spacing w:line="720" w:lineRule="auto"/>
        <w:jc w:val="center"/>
        <w:rPr>
          <w:rFonts w:ascii="宋体" w:hAnsi="宋体" w:cs="宋体"/>
          <w:b/>
          <w:color w:val="auto"/>
          <w:sz w:val="48"/>
          <w:szCs w:val="48"/>
        </w:rPr>
      </w:pPr>
    </w:p>
    <w:p w14:paraId="2444C697">
      <w:pPr>
        <w:spacing w:line="480" w:lineRule="auto"/>
        <w:rPr>
          <w:rFonts w:ascii="宋体" w:hAnsi="宋体" w:cs="宋体"/>
          <w:b/>
          <w:color w:val="auto"/>
          <w:sz w:val="48"/>
          <w:szCs w:val="48"/>
        </w:rPr>
      </w:pPr>
    </w:p>
    <w:p w14:paraId="11E137C1">
      <w:pPr>
        <w:pStyle w:val="2"/>
        <w:rPr>
          <w:color w:val="auto"/>
        </w:rPr>
      </w:pPr>
    </w:p>
    <w:p w14:paraId="5160177F">
      <w:pPr>
        <w:spacing w:line="480" w:lineRule="auto"/>
        <w:jc w:val="center"/>
        <w:rPr>
          <w:rFonts w:ascii="宋体" w:hAnsi="宋体" w:cs="宋体"/>
          <w:b/>
          <w:color w:val="auto"/>
          <w:sz w:val="48"/>
          <w:szCs w:val="48"/>
        </w:rPr>
      </w:pPr>
      <w:r>
        <w:rPr>
          <w:rFonts w:hint="eastAsia" w:ascii="宋体" w:hAnsi="宋体" w:cs="宋体"/>
          <w:b/>
          <w:color w:val="auto"/>
          <w:sz w:val="48"/>
          <w:szCs w:val="48"/>
        </w:rPr>
        <w:t>招标文件</w:t>
      </w:r>
    </w:p>
    <w:p w14:paraId="6916F626">
      <w:pPr>
        <w:rPr>
          <w:rFonts w:ascii="宋体" w:hAnsi="宋体" w:cs="宋体"/>
          <w:color w:val="auto"/>
        </w:rPr>
      </w:pPr>
    </w:p>
    <w:p w14:paraId="69016EE8">
      <w:pPr>
        <w:spacing w:line="480" w:lineRule="auto"/>
        <w:jc w:val="center"/>
        <w:rPr>
          <w:rFonts w:hint="eastAsia" w:ascii="宋体" w:hAnsi="宋体" w:eastAsia="宋体" w:cs="宋体"/>
          <w:b/>
          <w:color w:val="auto"/>
          <w:sz w:val="36"/>
          <w:szCs w:val="36"/>
          <w:lang w:eastAsia="zh-CN"/>
        </w:rPr>
      </w:pPr>
      <w:r>
        <w:rPr>
          <w:rFonts w:hint="eastAsia" w:ascii="宋体" w:hAnsi="宋体" w:cs="宋体"/>
          <w:b/>
          <w:color w:val="auto"/>
          <w:sz w:val="36"/>
          <w:szCs w:val="36"/>
        </w:rPr>
        <w:t>项目编号：HSNT20252</w:t>
      </w:r>
      <w:r>
        <w:rPr>
          <w:rFonts w:hint="eastAsia" w:ascii="宋体" w:hAnsi="宋体" w:cs="宋体"/>
          <w:b/>
          <w:color w:val="auto"/>
          <w:sz w:val="36"/>
          <w:szCs w:val="36"/>
          <w:lang w:val="en-US" w:eastAsia="zh-CN"/>
        </w:rPr>
        <w:t>7</w:t>
      </w:r>
    </w:p>
    <w:p w14:paraId="2F412F54">
      <w:pPr>
        <w:jc w:val="center"/>
        <w:rPr>
          <w:rFonts w:ascii="宋体" w:hAnsi="宋体" w:cs="宋体"/>
          <w:color w:val="auto"/>
        </w:rPr>
      </w:pPr>
    </w:p>
    <w:p w14:paraId="0B92C1AF">
      <w:pPr>
        <w:jc w:val="center"/>
        <w:rPr>
          <w:rFonts w:ascii="宋体" w:hAnsi="宋体" w:cs="宋体"/>
          <w:color w:val="auto"/>
        </w:rPr>
      </w:pPr>
    </w:p>
    <w:p w14:paraId="24D4FA00">
      <w:pPr>
        <w:jc w:val="center"/>
        <w:rPr>
          <w:rFonts w:ascii="宋体" w:hAnsi="宋体" w:cs="宋体"/>
          <w:color w:val="auto"/>
        </w:rPr>
      </w:pPr>
    </w:p>
    <w:p w14:paraId="54D274DF">
      <w:pPr>
        <w:jc w:val="center"/>
        <w:rPr>
          <w:rFonts w:ascii="宋体" w:hAnsi="宋体" w:cs="宋体"/>
          <w:color w:val="auto"/>
        </w:rPr>
      </w:pPr>
    </w:p>
    <w:p w14:paraId="7FFAB342">
      <w:pPr>
        <w:spacing w:line="800" w:lineRule="exact"/>
        <w:jc w:val="center"/>
        <w:rPr>
          <w:rFonts w:ascii="宋体" w:hAnsi="宋体" w:cs="宋体"/>
          <w:color w:val="auto"/>
          <w:sz w:val="32"/>
          <w:szCs w:val="32"/>
        </w:rPr>
      </w:pPr>
    </w:p>
    <w:p w14:paraId="5C618233">
      <w:pPr>
        <w:spacing w:line="800" w:lineRule="exact"/>
        <w:jc w:val="center"/>
        <w:rPr>
          <w:rFonts w:ascii="宋体" w:hAnsi="宋体" w:cs="宋体"/>
          <w:color w:val="auto"/>
          <w:sz w:val="32"/>
          <w:szCs w:val="32"/>
        </w:rPr>
      </w:pPr>
    </w:p>
    <w:p w14:paraId="55C41582">
      <w:pPr>
        <w:spacing w:line="360" w:lineRule="auto"/>
        <w:jc w:val="center"/>
        <w:rPr>
          <w:rFonts w:ascii="宋体" w:hAnsi="宋体" w:cs="宋体"/>
          <w:color w:val="auto"/>
          <w:sz w:val="32"/>
          <w:szCs w:val="32"/>
        </w:rPr>
      </w:pPr>
    </w:p>
    <w:p w14:paraId="6157381D">
      <w:pPr>
        <w:spacing w:line="360" w:lineRule="auto"/>
        <w:jc w:val="center"/>
        <w:rPr>
          <w:rFonts w:ascii="宋体" w:hAnsi="宋体" w:cs="宋体"/>
          <w:color w:val="auto"/>
          <w:sz w:val="32"/>
          <w:szCs w:val="32"/>
        </w:rPr>
      </w:pPr>
      <w:r>
        <w:rPr>
          <w:rFonts w:hint="eastAsia" w:ascii="宋体" w:hAnsi="宋体" w:cs="宋体"/>
          <w:color w:val="auto"/>
          <w:sz w:val="32"/>
          <w:szCs w:val="32"/>
        </w:rPr>
        <w:t>招标人：南通宝月湖科创投资集团有限公司</w:t>
      </w:r>
    </w:p>
    <w:p w14:paraId="26C8A929">
      <w:pPr>
        <w:spacing w:line="800" w:lineRule="exact"/>
        <w:jc w:val="center"/>
        <w:rPr>
          <w:rFonts w:ascii="宋体" w:hAnsi="宋体" w:cs="宋体"/>
          <w:color w:val="auto"/>
          <w:sz w:val="32"/>
          <w:szCs w:val="32"/>
        </w:rPr>
      </w:pPr>
      <w:r>
        <w:rPr>
          <w:rFonts w:hint="eastAsia" w:ascii="宋体" w:hAnsi="宋体" w:cs="宋体"/>
          <w:color w:val="auto"/>
          <w:sz w:val="32"/>
          <w:szCs w:val="32"/>
        </w:rPr>
        <w:t>招标代理机构：江苏海审工程咨询有限公司</w:t>
      </w:r>
    </w:p>
    <w:p w14:paraId="2CD8552A">
      <w:pPr>
        <w:spacing w:line="800" w:lineRule="exact"/>
        <w:jc w:val="center"/>
        <w:rPr>
          <w:rFonts w:hint="default" w:ascii="宋体" w:hAnsi="宋体" w:eastAsia="宋体" w:cs="宋体"/>
          <w:color w:val="auto"/>
          <w:sz w:val="32"/>
          <w:szCs w:val="32"/>
          <w:lang w:val="en-US" w:eastAsia="zh-CN"/>
        </w:rPr>
      </w:pPr>
      <w:r>
        <w:rPr>
          <w:rFonts w:hint="eastAsia" w:ascii="宋体" w:hAnsi="宋体" w:cs="宋体"/>
          <w:color w:val="auto"/>
          <w:sz w:val="32"/>
          <w:szCs w:val="32"/>
        </w:rPr>
        <w:t>二〇二</w:t>
      </w:r>
      <w:r>
        <w:rPr>
          <w:rFonts w:hint="eastAsia" w:ascii="宋体" w:hAnsi="宋体" w:cs="宋体"/>
          <w:color w:val="auto"/>
          <w:sz w:val="32"/>
          <w:szCs w:val="32"/>
          <w:lang w:val="en-US" w:eastAsia="zh-CN"/>
        </w:rPr>
        <w:t>五</w:t>
      </w:r>
      <w:r>
        <w:rPr>
          <w:rFonts w:hint="eastAsia" w:ascii="宋体" w:hAnsi="宋体" w:cs="宋体"/>
          <w:color w:val="auto"/>
          <w:sz w:val="32"/>
          <w:szCs w:val="32"/>
        </w:rPr>
        <w:t>年</w:t>
      </w:r>
      <w:r>
        <w:rPr>
          <w:rFonts w:hint="eastAsia" w:ascii="宋体" w:hAnsi="宋体" w:cs="宋体"/>
          <w:color w:val="auto"/>
          <w:sz w:val="32"/>
          <w:szCs w:val="32"/>
          <w:lang w:val="en-US" w:eastAsia="zh-CN"/>
        </w:rPr>
        <w:t>九</w:t>
      </w:r>
      <w:r>
        <w:rPr>
          <w:rFonts w:hint="eastAsia" w:ascii="宋体" w:hAnsi="宋体" w:cs="宋体"/>
          <w:color w:val="auto"/>
          <w:sz w:val="32"/>
          <w:szCs w:val="32"/>
        </w:rPr>
        <w:t>月</w:t>
      </w:r>
      <w:r>
        <w:rPr>
          <w:rFonts w:hint="eastAsia" w:ascii="宋体" w:hAnsi="宋体" w:cs="宋体"/>
          <w:color w:val="auto"/>
          <w:sz w:val="32"/>
          <w:szCs w:val="32"/>
          <w:lang w:val="en-US" w:eastAsia="zh-CN"/>
        </w:rPr>
        <w:t>三十日</w:t>
      </w:r>
    </w:p>
    <w:p w14:paraId="667E500A">
      <w:pPr>
        <w:rPr>
          <w:rFonts w:ascii="宋体" w:hAnsi="宋体" w:cs="宋体"/>
          <w:b/>
          <w:bCs/>
          <w:color w:val="auto"/>
          <w:sz w:val="44"/>
        </w:rPr>
      </w:pPr>
      <w:r>
        <w:rPr>
          <w:rFonts w:hint="eastAsia" w:ascii="宋体" w:hAnsi="宋体" w:cs="宋体"/>
          <w:b/>
          <w:bCs/>
          <w:color w:val="auto"/>
          <w:sz w:val="44"/>
        </w:rPr>
        <w:br w:type="page"/>
      </w:r>
    </w:p>
    <w:p w14:paraId="3B1552C1">
      <w:pPr>
        <w:spacing w:line="360" w:lineRule="auto"/>
        <w:jc w:val="center"/>
        <w:rPr>
          <w:rFonts w:ascii="宋体" w:hAnsi="宋体" w:cs="宋体"/>
          <w:b/>
          <w:bCs/>
          <w:color w:val="auto"/>
          <w:sz w:val="44"/>
        </w:rPr>
      </w:pPr>
      <w:r>
        <w:rPr>
          <w:rFonts w:hint="eastAsia" w:ascii="宋体" w:hAnsi="宋体" w:cs="宋体"/>
          <w:b/>
          <w:bCs/>
          <w:color w:val="auto"/>
          <w:sz w:val="44"/>
        </w:rPr>
        <w:t>目录</w:t>
      </w:r>
    </w:p>
    <w:p w14:paraId="176661E4">
      <w:pPr>
        <w:spacing w:line="360" w:lineRule="auto"/>
        <w:jc w:val="center"/>
        <w:rPr>
          <w:rFonts w:ascii="宋体" w:hAnsi="宋体" w:cs="宋体"/>
          <w:b/>
          <w:bCs/>
          <w:color w:val="auto"/>
          <w:sz w:val="44"/>
        </w:rPr>
      </w:pPr>
    </w:p>
    <w:p w14:paraId="5ED86C2A">
      <w:pPr>
        <w:pStyle w:val="26"/>
        <w:tabs>
          <w:tab w:val="right" w:leader="dot" w:pos="8306"/>
          <w:tab w:val="clear" w:pos="8296"/>
        </w:tabs>
        <w:rPr>
          <w:color w:val="auto"/>
        </w:rPr>
      </w:pPr>
      <w:r>
        <w:rPr>
          <w:rFonts w:hint="eastAsia" w:hAnsi="宋体" w:eastAsia="宋体"/>
          <w:b w:val="0"/>
          <w:color w:val="auto"/>
          <w:sz w:val="32"/>
          <w:szCs w:val="32"/>
        </w:rPr>
        <w:fldChar w:fldCharType="begin"/>
      </w:r>
      <w:r>
        <w:rPr>
          <w:rFonts w:hint="eastAsia" w:hAnsi="宋体" w:eastAsia="宋体"/>
          <w:b w:val="0"/>
          <w:color w:val="auto"/>
          <w:sz w:val="32"/>
          <w:szCs w:val="32"/>
        </w:rPr>
        <w:instrText xml:space="preserve">TOC \o "1-1" \h \z \u \t "标题 3,3"</w:instrText>
      </w:r>
      <w:r>
        <w:rPr>
          <w:rFonts w:hint="eastAsia" w:hAnsi="宋体" w:eastAsia="宋体"/>
          <w:b w:val="0"/>
          <w:color w:val="auto"/>
          <w:sz w:val="32"/>
          <w:szCs w:val="32"/>
        </w:rPr>
        <w:fldChar w:fldCharType="separate"/>
      </w:r>
      <w:r>
        <w:rPr>
          <w:rFonts w:hint="eastAsia" w:hAnsi="宋体" w:eastAsia="宋体"/>
          <w:color w:val="auto"/>
          <w:szCs w:val="32"/>
        </w:rPr>
        <w:fldChar w:fldCharType="begin"/>
      </w:r>
      <w:r>
        <w:rPr>
          <w:rFonts w:hint="eastAsia" w:hAnsi="宋体" w:eastAsia="宋体"/>
          <w:color w:val="auto"/>
          <w:szCs w:val="32"/>
        </w:rPr>
        <w:instrText xml:space="preserve"> HYPERLINK \l _Toc3340 </w:instrText>
      </w:r>
      <w:r>
        <w:rPr>
          <w:rFonts w:hint="eastAsia" w:hAnsi="宋体" w:eastAsia="宋体"/>
          <w:color w:val="auto"/>
          <w:szCs w:val="32"/>
        </w:rPr>
        <w:fldChar w:fldCharType="separate"/>
      </w:r>
      <w:r>
        <w:rPr>
          <w:rFonts w:hint="eastAsia" w:ascii="宋体" w:hAnsi="宋体" w:eastAsia="宋体" w:cs="宋体"/>
          <w:color w:val="auto"/>
          <w:szCs w:val="36"/>
        </w:rPr>
        <w:t>第一章投标须知及投标须知前附表</w:t>
      </w:r>
      <w:r>
        <w:rPr>
          <w:color w:val="auto"/>
        </w:rPr>
        <w:tab/>
      </w:r>
      <w:r>
        <w:rPr>
          <w:color w:val="auto"/>
        </w:rPr>
        <w:fldChar w:fldCharType="begin"/>
      </w:r>
      <w:r>
        <w:rPr>
          <w:color w:val="auto"/>
        </w:rPr>
        <w:instrText xml:space="preserve"> PAGEREF _Toc3340 \h </w:instrText>
      </w:r>
      <w:r>
        <w:rPr>
          <w:color w:val="auto"/>
        </w:rPr>
        <w:fldChar w:fldCharType="separate"/>
      </w:r>
      <w:r>
        <w:rPr>
          <w:color w:val="auto"/>
        </w:rPr>
        <w:t>5</w:t>
      </w:r>
      <w:r>
        <w:rPr>
          <w:color w:val="auto"/>
        </w:rPr>
        <w:fldChar w:fldCharType="end"/>
      </w:r>
      <w:r>
        <w:rPr>
          <w:rFonts w:hint="eastAsia" w:hAnsi="宋体" w:eastAsia="宋体"/>
          <w:color w:val="auto"/>
          <w:szCs w:val="32"/>
        </w:rPr>
        <w:fldChar w:fldCharType="end"/>
      </w:r>
    </w:p>
    <w:p w14:paraId="16B412FB">
      <w:pPr>
        <w:pStyle w:val="26"/>
        <w:tabs>
          <w:tab w:val="right" w:leader="dot" w:pos="8306"/>
          <w:tab w:val="clear" w:pos="8296"/>
        </w:tabs>
        <w:rPr>
          <w:color w:val="auto"/>
        </w:rPr>
      </w:pPr>
      <w:r>
        <w:rPr>
          <w:rFonts w:hint="eastAsia" w:ascii="宋体" w:hAnsi="宋体" w:cs="宋体"/>
          <w:color w:val="auto"/>
          <w:szCs w:val="32"/>
        </w:rPr>
        <w:fldChar w:fldCharType="begin"/>
      </w:r>
      <w:r>
        <w:rPr>
          <w:rFonts w:hint="eastAsia" w:ascii="宋体" w:hAnsi="宋体" w:cs="宋体"/>
          <w:color w:val="auto"/>
          <w:szCs w:val="32"/>
        </w:rPr>
        <w:instrText xml:space="preserve"> HYPERLINK \l _Toc26471 </w:instrText>
      </w:r>
      <w:r>
        <w:rPr>
          <w:rFonts w:hint="eastAsia" w:ascii="宋体" w:hAnsi="宋体" w:cs="宋体"/>
          <w:color w:val="auto"/>
          <w:szCs w:val="32"/>
        </w:rPr>
        <w:fldChar w:fldCharType="separate"/>
      </w:r>
      <w:r>
        <w:rPr>
          <w:rFonts w:hint="eastAsia" w:ascii="宋体" w:hAnsi="宋体" w:eastAsia="宋体" w:cs="宋体"/>
          <w:color w:val="auto"/>
          <w:szCs w:val="36"/>
        </w:rPr>
        <w:t>第二章评标办法（综合评估法）</w:t>
      </w:r>
      <w:r>
        <w:rPr>
          <w:color w:val="auto"/>
        </w:rPr>
        <w:tab/>
      </w:r>
      <w:r>
        <w:rPr>
          <w:color w:val="auto"/>
        </w:rPr>
        <w:fldChar w:fldCharType="begin"/>
      </w:r>
      <w:r>
        <w:rPr>
          <w:color w:val="auto"/>
        </w:rPr>
        <w:instrText xml:space="preserve"> PAGEREF _Toc26471 \h </w:instrText>
      </w:r>
      <w:r>
        <w:rPr>
          <w:color w:val="auto"/>
        </w:rPr>
        <w:fldChar w:fldCharType="separate"/>
      </w:r>
      <w:r>
        <w:rPr>
          <w:color w:val="auto"/>
        </w:rPr>
        <w:t>15</w:t>
      </w:r>
      <w:r>
        <w:rPr>
          <w:color w:val="auto"/>
        </w:rPr>
        <w:fldChar w:fldCharType="end"/>
      </w:r>
      <w:r>
        <w:rPr>
          <w:rFonts w:hint="eastAsia" w:ascii="宋体" w:hAnsi="宋体" w:cs="宋体"/>
          <w:color w:val="auto"/>
          <w:szCs w:val="32"/>
        </w:rPr>
        <w:fldChar w:fldCharType="end"/>
      </w:r>
    </w:p>
    <w:p w14:paraId="14918FE1">
      <w:pPr>
        <w:pStyle w:val="26"/>
        <w:tabs>
          <w:tab w:val="right" w:leader="dot" w:pos="8306"/>
          <w:tab w:val="clear" w:pos="8296"/>
        </w:tabs>
        <w:rPr>
          <w:color w:val="auto"/>
        </w:rPr>
      </w:pPr>
      <w:r>
        <w:rPr>
          <w:rFonts w:hint="eastAsia" w:ascii="宋体" w:hAnsi="宋体" w:cs="宋体"/>
          <w:color w:val="auto"/>
          <w:szCs w:val="32"/>
        </w:rPr>
        <w:fldChar w:fldCharType="begin"/>
      </w:r>
      <w:r>
        <w:rPr>
          <w:rFonts w:hint="eastAsia" w:ascii="宋体" w:hAnsi="宋体" w:cs="宋体"/>
          <w:color w:val="auto"/>
          <w:szCs w:val="32"/>
        </w:rPr>
        <w:instrText xml:space="preserve"> HYPERLINK \l _Toc15136 </w:instrText>
      </w:r>
      <w:r>
        <w:rPr>
          <w:rFonts w:hint="eastAsia" w:ascii="宋体" w:hAnsi="宋体" w:cs="宋体"/>
          <w:color w:val="auto"/>
          <w:szCs w:val="32"/>
        </w:rPr>
        <w:fldChar w:fldCharType="separate"/>
      </w:r>
      <w:r>
        <w:rPr>
          <w:rFonts w:hint="eastAsia" w:ascii="宋体" w:hAnsi="宋体" w:eastAsia="宋体" w:cs="宋体"/>
          <w:color w:val="auto"/>
        </w:rPr>
        <w:t>第三章合同条款</w:t>
      </w:r>
      <w:r>
        <w:rPr>
          <w:color w:val="auto"/>
        </w:rPr>
        <w:tab/>
      </w:r>
      <w:r>
        <w:rPr>
          <w:color w:val="auto"/>
        </w:rPr>
        <w:fldChar w:fldCharType="begin"/>
      </w:r>
      <w:r>
        <w:rPr>
          <w:color w:val="auto"/>
        </w:rPr>
        <w:instrText xml:space="preserve"> PAGEREF _Toc15136 \h </w:instrText>
      </w:r>
      <w:r>
        <w:rPr>
          <w:color w:val="auto"/>
        </w:rPr>
        <w:fldChar w:fldCharType="separate"/>
      </w:r>
      <w:r>
        <w:rPr>
          <w:color w:val="auto"/>
        </w:rPr>
        <w:t>20</w:t>
      </w:r>
      <w:r>
        <w:rPr>
          <w:color w:val="auto"/>
        </w:rPr>
        <w:fldChar w:fldCharType="end"/>
      </w:r>
      <w:r>
        <w:rPr>
          <w:rFonts w:hint="eastAsia" w:ascii="宋体" w:hAnsi="宋体" w:cs="宋体"/>
          <w:color w:val="auto"/>
          <w:szCs w:val="32"/>
        </w:rPr>
        <w:fldChar w:fldCharType="end"/>
      </w:r>
    </w:p>
    <w:p w14:paraId="50AD1F85">
      <w:pPr>
        <w:pStyle w:val="26"/>
        <w:tabs>
          <w:tab w:val="right" w:leader="dot" w:pos="8306"/>
          <w:tab w:val="clear" w:pos="8296"/>
        </w:tabs>
        <w:rPr>
          <w:color w:val="auto"/>
        </w:rPr>
      </w:pPr>
      <w:r>
        <w:rPr>
          <w:rFonts w:hint="eastAsia" w:ascii="宋体" w:hAnsi="宋体" w:cs="宋体"/>
          <w:color w:val="auto"/>
          <w:szCs w:val="32"/>
        </w:rPr>
        <w:fldChar w:fldCharType="begin"/>
      </w:r>
      <w:r>
        <w:rPr>
          <w:rFonts w:hint="eastAsia" w:ascii="宋体" w:hAnsi="宋体" w:cs="宋体"/>
          <w:color w:val="auto"/>
          <w:szCs w:val="32"/>
        </w:rPr>
        <w:instrText xml:space="preserve"> HYPERLINK \l _Toc18952 </w:instrText>
      </w:r>
      <w:r>
        <w:rPr>
          <w:rFonts w:hint="eastAsia" w:ascii="宋体" w:hAnsi="宋体" w:cs="宋体"/>
          <w:color w:val="auto"/>
          <w:szCs w:val="32"/>
        </w:rPr>
        <w:fldChar w:fldCharType="separate"/>
      </w:r>
      <w:r>
        <w:rPr>
          <w:rFonts w:ascii="宋体" w:hAnsi="宋体" w:eastAsia="宋体" w:cs="宋体"/>
          <w:color w:val="auto"/>
        </w:rPr>
        <w:t>第四章</w:t>
      </w:r>
      <w:r>
        <w:rPr>
          <w:rFonts w:hint="eastAsia" w:ascii="宋体" w:hAnsi="宋体" w:eastAsia="宋体" w:cs="宋体"/>
          <w:color w:val="auto"/>
        </w:rPr>
        <w:t>项目需求说明</w:t>
      </w:r>
      <w:r>
        <w:rPr>
          <w:color w:val="auto"/>
        </w:rPr>
        <w:tab/>
      </w:r>
      <w:r>
        <w:rPr>
          <w:color w:val="auto"/>
        </w:rPr>
        <w:fldChar w:fldCharType="begin"/>
      </w:r>
      <w:r>
        <w:rPr>
          <w:color w:val="auto"/>
        </w:rPr>
        <w:instrText xml:space="preserve"> PAGEREF _Toc18952 \h </w:instrText>
      </w:r>
      <w:r>
        <w:rPr>
          <w:color w:val="auto"/>
        </w:rPr>
        <w:fldChar w:fldCharType="separate"/>
      </w:r>
      <w:r>
        <w:rPr>
          <w:color w:val="auto"/>
        </w:rPr>
        <w:t>21</w:t>
      </w:r>
      <w:r>
        <w:rPr>
          <w:color w:val="auto"/>
        </w:rPr>
        <w:fldChar w:fldCharType="end"/>
      </w:r>
      <w:r>
        <w:rPr>
          <w:rFonts w:hint="eastAsia" w:ascii="宋体" w:hAnsi="宋体" w:cs="宋体"/>
          <w:color w:val="auto"/>
          <w:szCs w:val="32"/>
        </w:rPr>
        <w:fldChar w:fldCharType="end"/>
      </w:r>
    </w:p>
    <w:p w14:paraId="32DF8D6B">
      <w:pPr>
        <w:pStyle w:val="26"/>
        <w:tabs>
          <w:tab w:val="right" w:leader="dot" w:pos="8306"/>
          <w:tab w:val="clear" w:pos="8296"/>
        </w:tabs>
        <w:rPr>
          <w:color w:val="auto"/>
        </w:rPr>
      </w:pPr>
      <w:r>
        <w:rPr>
          <w:rFonts w:hint="eastAsia" w:ascii="宋体" w:hAnsi="宋体" w:cs="宋体"/>
          <w:color w:val="auto"/>
          <w:szCs w:val="32"/>
        </w:rPr>
        <w:fldChar w:fldCharType="begin"/>
      </w:r>
      <w:r>
        <w:rPr>
          <w:rFonts w:hint="eastAsia" w:ascii="宋体" w:hAnsi="宋体" w:cs="宋体"/>
          <w:color w:val="auto"/>
          <w:szCs w:val="32"/>
        </w:rPr>
        <w:instrText xml:space="preserve"> HYPERLINK \l _Toc10184 </w:instrText>
      </w:r>
      <w:r>
        <w:rPr>
          <w:rFonts w:hint="eastAsia" w:ascii="宋体" w:hAnsi="宋体" w:cs="宋体"/>
          <w:color w:val="auto"/>
          <w:szCs w:val="32"/>
        </w:rPr>
        <w:fldChar w:fldCharType="separate"/>
      </w:r>
      <w:r>
        <w:rPr>
          <w:rFonts w:hint="eastAsia" w:ascii="宋体" w:hAnsi="宋体" w:eastAsia="宋体" w:cs="宋体"/>
          <w:color w:val="auto"/>
        </w:rPr>
        <w:t>第五章投标文件格式</w:t>
      </w:r>
      <w:r>
        <w:rPr>
          <w:color w:val="auto"/>
        </w:rPr>
        <w:tab/>
      </w:r>
      <w:r>
        <w:rPr>
          <w:color w:val="auto"/>
        </w:rPr>
        <w:fldChar w:fldCharType="begin"/>
      </w:r>
      <w:r>
        <w:rPr>
          <w:color w:val="auto"/>
        </w:rPr>
        <w:instrText xml:space="preserve"> PAGEREF _Toc10184 \h </w:instrText>
      </w:r>
      <w:r>
        <w:rPr>
          <w:color w:val="auto"/>
        </w:rPr>
        <w:fldChar w:fldCharType="separate"/>
      </w:r>
      <w:r>
        <w:rPr>
          <w:color w:val="auto"/>
        </w:rPr>
        <w:t>23</w:t>
      </w:r>
      <w:r>
        <w:rPr>
          <w:color w:val="auto"/>
        </w:rPr>
        <w:fldChar w:fldCharType="end"/>
      </w:r>
      <w:r>
        <w:rPr>
          <w:rFonts w:hint="eastAsia" w:ascii="宋体" w:hAnsi="宋体" w:cs="宋体"/>
          <w:color w:val="auto"/>
          <w:szCs w:val="32"/>
        </w:rPr>
        <w:fldChar w:fldCharType="end"/>
      </w:r>
    </w:p>
    <w:p w14:paraId="1FC62B0D">
      <w:pPr>
        <w:snapToGrid w:val="0"/>
        <w:spacing w:line="480" w:lineRule="auto"/>
        <w:jc w:val="center"/>
        <w:rPr>
          <w:rFonts w:ascii="宋体" w:hAnsi="宋体" w:cs="宋体"/>
          <w:color w:val="auto"/>
          <w:kern w:val="0"/>
          <w:sz w:val="32"/>
          <w:szCs w:val="32"/>
        </w:rPr>
      </w:pPr>
      <w:r>
        <w:rPr>
          <w:rFonts w:hint="eastAsia" w:ascii="宋体" w:hAnsi="宋体" w:cs="宋体"/>
          <w:color w:val="auto"/>
          <w:szCs w:val="32"/>
        </w:rPr>
        <w:fldChar w:fldCharType="end"/>
      </w:r>
    </w:p>
    <w:p w14:paraId="54DD52D5">
      <w:pPr>
        <w:snapToGrid w:val="0"/>
        <w:spacing w:line="480" w:lineRule="auto"/>
        <w:jc w:val="center"/>
        <w:rPr>
          <w:rFonts w:ascii="宋体" w:hAnsi="宋体" w:cs="宋体"/>
          <w:color w:val="auto"/>
          <w:kern w:val="0"/>
          <w:sz w:val="32"/>
          <w:szCs w:val="32"/>
        </w:rPr>
      </w:pPr>
    </w:p>
    <w:p w14:paraId="6ABD19E7">
      <w:pPr>
        <w:snapToGrid w:val="0"/>
        <w:spacing w:line="480" w:lineRule="auto"/>
        <w:jc w:val="center"/>
        <w:rPr>
          <w:rFonts w:ascii="宋体" w:hAnsi="宋体" w:cs="宋体"/>
          <w:color w:val="auto"/>
          <w:kern w:val="0"/>
          <w:sz w:val="32"/>
          <w:szCs w:val="32"/>
        </w:rPr>
      </w:pPr>
    </w:p>
    <w:p w14:paraId="2F465AAF">
      <w:pPr>
        <w:snapToGrid w:val="0"/>
        <w:spacing w:line="480" w:lineRule="auto"/>
        <w:jc w:val="center"/>
        <w:rPr>
          <w:rFonts w:ascii="宋体" w:hAnsi="宋体" w:cs="宋体"/>
          <w:color w:val="auto"/>
          <w:kern w:val="0"/>
          <w:sz w:val="32"/>
          <w:szCs w:val="32"/>
        </w:rPr>
      </w:pPr>
      <w:r>
        <w:rPr>
          <w:rFonts w:hint="eastAsia" w:ascii="宋体" w:hAnsi="宋体" w:cs="宋体"/>
          <w:color w:val="auto"/>
          <w:kern w:val="0"/>
          <w:sz w:val="32"/>
          <w:szCs w:val="32"/>
        </w:rPr>
        <w:br w:type="page"/>
      </w:r>
    </w:p>
    <w:p w14:paraId="1FEFEBD4">
      <w:pPr>
        <w:spacing w:line="440" w:lineRule="exact"/>
        <w:jc w:val="center"/>
        <w:rPr>
          <w:rFonts w:ascii="宋体" w:hAnsi="宋体" w:cs="宋体"/>
          <w:b/>
          <w:bCs/>
          <w:color w:val="auto"/>
          <w:sz w:val="28"/>
          <w:szCs w:val="28"/>
        </w:rPr>
      </w:pPr>
      <w:bookmarkStart w:id="0" w:name="OLE_LINK1"/>
      <w:bookmarkStart w:id="1" w:name="OLE_LINK2"/>
      <w:bookmarkStart w:id="2" w:name="OLE_LINK4"/>
      <w:bookmarkStart w:id="3" w:name="OLE_LINK3"/>
      <w:r>
        <w:rPr>
          <w:rFonts w:hint="eastAsia" w:ascii="宋体" w:hAnsi="宋体" w:cs="宋体"/>
          <w:b/>
          <w:bCs/>
          <w:color w:val="auto"/>
          <w:sz w:val="28"/>
          <w:szCs w:val="28"/>
        </w:rPr>
        <w:t>南通宝月湖科技股权投资基金合伙企业（有限合伙）二期管理人遴选招标公告（资格后审）</w:t>
      </w:r>
    </w:p>
    <w:p w14:paraId="56B59F2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p>
    <w:p w14:paraId="1E91529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b/>
          <w:bCs/>
          <w:color w:val="auto"/>
          <w:sz w:val="24"/>
          <w:szCs w:val="24"/>
          <w:u w:val="single"/>
        </w:rPr>
        <w:t>南通宝月湖科创投资集团有限公司</w:t>
      </w:r>
      <w:r>
        <w:rPr>
          <w:rFonts w:hint="eastAsia" w:ascii="宋体" w:hAnsi="宋体" w:eastAsia="宋体" w:cs="宋体"/>
          <w:color w:val="auto"/>
          <w:sz w:val="24"/>
          <w:szCs w:val="24"/>
        </w:rPr>
        <w:t>的</w:t>
      </w:r>
      <w:r>
        <w:rPr>
          <w:rFonts w:hint="eastAsia" w:ascii="宋体" w:hAnsi="宋体" w:eastAsia="宋体" w:cs="宋体"/>
          <w:b/>
          <w:bCs/>
          <w:color w:val="auto"/>
          <w:sz w:val="24"/>
          <w:szCs w:val="24"/>
          <w:u w:val="single"/>
        </w:rPr>
        <w:t>南通宝月湖科技股权投资基金合伙企业（有限合伙）二期管理人遴选</w:t>
      </w:r>
      <w:r>
        <w:rPr>
          <w:rFonts w:hint="eastAsia" w:ascii="宋体" w:hAnsi="宋体" w:eastAsia="宋体" w:cs="宋体"/>
          <w:color w:val="auto"/>
          <w:sz w:val="24"/>
          <w:szCs w:val="24"/>
        </w:rPr>
        <w:t>已经由</w:t>
      </w:r>
      <w:r>
        <w:rPr>
          <w:rFonts w:hint="eastAsia" w:ascii="宋体" w:hAnsi="宋体" w:eastAsia="宋体" w:cs="宋体"/>
          <w:b/>
          <w:bCs/>
          <w:color w:val="auto"/>
          <w:sz w:val="24"/>
          <w:szCs w:val="24"/>
          <w:u w:val="single"/>
        </w:rPr>
        <w:t>相关部门</w:t>
      </w:r>
      <w:r>
        <w:rPr>
          <w:rFonts w:hint="eastAsia" w:ascii="宋体" w:hAnsi="宋体" w:eastAsia="宋体" w:cs="宋体"/>
          <w:color w:val="auto"/>
          <w:sz w:val="24"/>
          <w:szCs w:val="24"/>
        </w:rPr>
        <w:t>批准。现决定对该项目进行公开招标，择优选定单位。</w:t>
      </w:r>
    </w:p>
    <w:p w14:paraId="70C0A02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二、项目基本情况</w:t>
      </w:r>
    </w:p>
    <w:p w14:paraId="50D2459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1、项目编号：HSNT202527</w:t>
      </w:r>
    </w:p>
    <w:p w14:paraId="5C38E80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2、项目地点：南通市崇川区。</w:t>
      </w:r>
    </w:p>
    <w:p w14:paraId="7931B09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3、项目规模：总规模50.5亿元人民币，根据投资进度，分期到位，二期基金认缴规模10亿元，可申请扩募一次，扩募金额不超过10亿元。</w:t>
      </w:r>
    </w:p>
    <w:p w14:paraId="26700F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4、项目需求：详见第四章项目需求说明。</w:t>
      </w:r>
    </w:p>
    <w:p w14:paraId="4D4A0A53">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三、招标范围及内容</w:t>
      </w:r>
    </w:p>
    <w:p w14:paraId="4846A99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详见第四章项目需求说明</w:t>
      </w:r>
    </w:p>
    <w:p w14:paraId="590C332B">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bookmarkStart w:id="4" w:name="_Hlk56284104"/>
      <w:r>
        <w:rPr>
          <w:rFonts w:hint="eastAsia" w:ascii="宋体" w:hAnsi="宋体" w:eastAsia="宋体" w:cs="宋体"/>
          <w:b/>
          <w:bCs/>
          <w:color w:val="auto"/>
          <w:sz w:val="24"/>
          <w:szCs w:val="24"/>
        </w:rPr>
        <w:t>四、申请人应当具备的主要资格条件</w:t>
      </w:r>
    </w:p>
    <w:p w14:paraId="3AEA52C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1、投标人须为在中华人民共和国境内注册，具有独立承担民事责任能力的主体；</w:t>
      </w:r>
    </w:p>
    <w:p w14:paraId="642FFC9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color w:val="auto"/>
          <w:sz w:val="24"/>
          <w:szCs w:val="24"/>
          <w:u w:val="single"/>
        </w:rPr>
      </w:pPr>
      <w:r>
        <w:rPr>
          <w:rFonts w:hint="eastAsia" w:ascii="宋体" w:hAnsi="宋体" w:eastAsia="宋体" w:cs="宋体"/>
          <w:color w:val="auto"/>
          <w:sz w:val="24"/>
          <w:szCs w:val="24"/>
        </w:rPr>
        <w:t>2、未被“信用中国”网站（www.creditchina.gov.cn）、“中国政府采购网”（www.ccgp.gov.cn）列入失信被执行人、重大税收违法案件当事人名单。</w:t>
      </w:r>
    </w:p>
    <w:p w14:paraId="2C2C25F4">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五、资格审查的必要合格条件</w:t>
      </w:r>
    </w:p>
    <w:p w14:paraId="2552E39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1、投标人实缴资本不少于1000万元人民币，投标时须提供会计师事务所出具的验资报告；</w:t>
      </w:r>
    </w:p>
    <w:p w14:paraId="4044BE5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2、投标人须在中国证券投资基金业协会完成管理人登记，投标时须提供投标人的基金业协会登记证明；</w:t>
      </w:r>
    </w:p>
    <w:p w14:paraId="318F2D1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须承诺中标后配备专属且稳定的管理团队，管理团队须包括至少3名具备5年以上产业项目投资经验或相关行业经验的高级管理人员，该3名核心人员作为基金的关键人非经合伙人会议同意，中标人不得擅自变更。投标时须出具符合要求的承诺书，格式自拟。</w:t>
      </w:r>
    </w:p>
    <w:p w14:paraId="79C99F8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4、本项目不接受联合体投标。</w:t>
      </w:r>
    </w:p>
    <w:p w14:paraId="4305B5D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5、未尽事宜详见第二章评标办法中的资格审查必要合格条件标准。</w:t>
      </w:r>
    </w:p>
    <w:bookmarkEnd w:id="4"/>
    <w:p w14:paraId="61F5679B">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六、招标文件的获取</w:t>
      </w:r>
    </w:p>
    <w:p w14:paraId="08EF70D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1、本项目投标人的资格审查采用资格后审的方式，凡对本项目有意愿的，请</w:t>
      </w:r>
      <w:r>
        <w:rPr>
          <w:rFonts w:hint="eastAsia" w:ascii="宋体" w:hAnsi="宋体" w:eastAsia="宋体" w:cs="宋体"/>
          <w:color w:val="auto"/>
          <w:sz w:val="24"/>
          <w:szCs w:val="24"/>
          <w:lang w:val="en-US" w:eastAsia="zh-CN"/>
        </w:rPr>
        <w:t>自行前往</w:t>
      </w:r>
      <w:r>
        <w:rPr>
          <w:rFonts w:hint="eastAsia" w:ascii="宋体" w:hAnsi="宋体" w:eastAsia="宋体" w:cs="宋体"/>
          <w:color w:val="auto"/>
          <w:sz w:val="24"/>
          <w:szCs w:val="24"/>
        </w:rPr>
        <w:t>“南通市崇川区人民政府网-公示公告栏”下载招标文件。</w:t>
      </w:r>
    </w:p>
    <w:p w14:paraId="4433FACA">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七、投标文件的递交</w:t>
      </w:r>
    </w:p>
    <w:p w14:paraId="2177386A">
      <w:pPr>
        <w:pStyle w:val="30"/>
        <w:keepNext w:val="0"/>
        <w:keepLines w:val="0"/>
        <w:pageBreakBefore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1、投标文件递交截止时间（投标截止时间，下同）为</w:t>
      </w:r>
      <w:r>
        <w:rPr>
          <w:rFonts w:hint="eastAsia" w:ascii="宋体" w:hAnsi="宋体" w:eastAsia="宋体" w:cs="宋体"/>
          <w:b/>
          <w:bCs/>
          <w:color w:val="auto"/>
          <w:sz w:val="24"/>
          <w:szCs w:val="24"/>
          <w:u w:val="single"/>
        </w:rPr>
        <w:t>202</w:t>
      </w:r>
      <w:r>
        <w:rPr>
          <w:rFonts w:hint="eastAsia" w:ascii="宋体" w:hAnsi="宋体" w:eastAsia="宋体" w:cs="宋体"/>
          <w:b/>
          <w:bCs/>
          <w:color w:val="auto"/>
          <w:sz w:val="24"/>
          <w:szCs w:val="24"/>
          <w:u w:val="single"/>
          <w:lang w:val="en-US" w:eastAsia="zh-CN"/>
        </w:rPr>
        <w:t>5</w:t>
      </w:r>
      <w:r>
        <w:rPr>
          <w:rFonts w:hint="eastAsia" w:ascii="宋体" w:hAnsi="宋体" w:eastAsia="宋体" w:cs="宋体"/>
          <w:b/>
          <w:bCs/>
          <w:color w:val="auto"/>
          <w:sz w:val="24"/>
          <w:szCs w:val="24"/>
          <w:u w:val="single"/>
        </w:rPr>
        <w:t>年</w:t>
      </w:r>
      <w:r>
        <w:rPr>
          <w:rFonts w:hint="eastAsia" w:ascii="宋体" w:hAnsi="宋体" w:eastAsia="宋体" w:cs="宋体"/>
          <w:b/>
          <w:bCs/>
          <w:color w:val="auto"/>
          <w:sz w:val="24"/>
          <w:szCs w:val="24"/>
          <w:u w:val="single"/>
          <w:lang w:val="en-US" w:eastAsia="zh-CN"/>
        </w:rPr>
        <w:t>10</w:t>
      </w:r>
      <w:r>
        <w:rPr>
          <w:rFonts w:hint="eastAsia" w:ascii="宋体" w:hAnsi="宋体" w:eastAsia="宋体" w:cs="宋体"/>
          <w:b/>
          <w:bCs/>
          <w:color w:val="auto"/>
          <w:sz w:val="24"/>
          <w:szCs w:val="24"/>
          <w:u w:val="single"/>
        </w:rPr>
        <w:t>月</w:t>
      </w:r>
      <w:r>
        <w:rPr>
          <w:rFonts w:hint="eastAsia" w:ascii="宋体" w:hAnsi="宋体" w:eastAsia="宋体" w:cs="宋体"/>
          <w:b/>
          <w:bCs/>
          <w:color w:val="auto"/>
          <w:sz w:val="24"/>
          <w:szCs w:val="24"/>
          <w:u w:val="single"/>
          <w:lang w:val="en-US" w:eastAsia="zh-CN"/>
        </w:rPr>
        <w:t>21</w:t>
      </w:r>
      <w:r>
        <w:rPr>
          <w:rFonts w:hint="eastAsia" w:ascii="宋体" w:hAnsi="宋体" w:eastAsia="宋体" w:cs="宋体"/>
          <w:b/>
          <w:bCs/>
          <w:color w:val="auto"/>
          <w:sz w:val="24"/>
          <w:szCs w:val="24"/>
          <w:u w:val="single"/>
        </w:rPr>
        <w:t>日</w:t>
      </w:r>
      <w:r>
        <w:rPr>
          <w:rFonts w:hint="eastAsia" w:ascii="宋体" w:hAnsi="宋体" w:eastAsia="宋体" w:cs="宋体"/>
          <w:b/>
          <w:bCs/>
          <w:color w:val="auto"/>
          <w:sz w:val="24"/>
          <w:szCs w:val="24"/>
          <w:u w:val="single"/>
          <w:lang w:val="en-US" w:eastAsia="zh-CN"/>
        </w:rPr>
        <w:t>14</w:t>
      </w:r>
      <w:r>
        <w:rPr>
          <w:rFonts w:hint="eastAsia" w:ascii="宋体" w:hAnsi="宋体" w:eastAsia="宋体" w:cs="宋体"/>
          <w:b/>
          <w:bCs/>
          <w:color w:val="auto"/>
          <w:sz w:val="24"/>
          <w:szCs w:val="24"/>
          <w:u w:val="single"/>
        </w:rPr>
        <w:t>时</w:t>
      </w:r>
      <w:r>
        <w:rPr>
          <w:rFonts w:hint="eastAsia" w:ascii="宋体" w:hAnsi="宋体" w:eastAsia="宋体" w:cs="宋体"/>
          <w:b/>
          <w:bCs/>
          <w:color w:val="auto"/>
          <w:sz w:val="24"/>
          <w:szCs w:val="24"/>
          <w:u w:val="single"/>
          <w:lang w:val="en-US" w:eastAsia="zh-CN"/>
        </w:rPr>
        <w:t>00</w:t>
      </w:r>
      <w:r>
        <w:rPr>
          <w:rFonts w:hint="eastAsia" w:ascii="宋体" w:hAnsi="宋体" w:eastAsia="宋体" w:cs="宋体"/>
          <w:b/>
          <w:bCs/>
          <w:color w:val="auto"/>
          <w:sz w:val="24"/>
          <w:szCs w:val="24"/>
          <w:u w:val="single"/>
        </w:rPr>
        <w:t>分</w:t>
      </w:r>
      <w:r>
        <w:rPr>
          <w:rFonts w:hint="eastAsia" w:ascii="宋体" w:hAnsi="宋体" w:eastAsia="宋体" w:cs="宋体"/>
          <w:b/>
          <w:bCs/>
          <w:color w:val="auto"/>
          <w:sz w:val="24"/>
          <w:szCs w:val="24"/>
          <w:u w:val="single"/>
          <w:lang w:val="en-US" w:eastAsia="zh-CN"/>
        </w:rPr>
        <w:t>00秒</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递交</w:t>
      </w:r>
      <w:r>
        <w:rPr>
          <w:rFonts w:hint="eastAsia" w:ascii="宋体" w:hAnsi="宋体" w:eastAsia="宋体" w:cs="宋体"/>
          <w:color w:val="auto"/>
          <w:sz w:val="24"/>
          <w:szCs w:val="24"/>
        </w:rPr>
        <w:t>地点：南通市崇川区星城路299号（创源科技园3号楼501室江苏海审开标室）。</w:t>
      </w:r>
    </w:p>
    <w:p w14:paraId="117FDFD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2、逾期送达或未送达指定地点的投标文件，招标人不予受理。</w:t>
      </w:r>
    </w:p>
    <w:p w14:paraId="7CBEFCF9">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八、发布公告的媒介</w:t>
      </w:r>
    </w:p>
    <w:p w14:paraId="4C25CF0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本次招标公告发布在南通市崇川区人民政府网（https://www.chongchuan.gov.cn/）。南通市崇川区人民政府网是本项目招标文件、招标文件澄清、中标公示等招标信息约定的唯一公开发布媒介。</w:t>
      </w:r>
    </w:p>
    <w:p w14:paraId="59C3B99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九、评标办法：本项目采用综合评估法，具体内容详见招标文件。</w:t>
      </w:r>
    </w:p>
    <w:p w14:paraId="135D72E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十、特别提醒</w:t>
      </w:r>
    </w:p>
    <w:p w14:paraId="0CFF2FF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1、本次招标无须递交投标保证金。</w:t>
      </w:r>
    </w:p>
    <w:p w14:paraId="6DA8CAB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2、招标公告系招标文件的组成部分，与招标文件具有同等法律效力。</w:t>
      </w:r>
    </w:p>
    <w:p w14:paraId="4DCCF840">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十一、联系方式</w:t>
      </w:r>
    </w:p>
    <w:tbl>
      <w:tblPr>
        <w:tblStyle w:val="35"/>
        <w:tblW w:w="9252"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919"/>
        <w:gridCol w:w="3500"/>
        <w:gridCol w:w="1655"/>
        <w:gridCol w:w="3178"/>
      </w:tblGrid>
      <w:tr w14:paraId="147A0D0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1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39E9B6CB">
            <w:pPr>
              <w:widowControl/>
              <w:jc w:val="center"/>
              <w:rPr>
                <w:rFonts w:ascii="宋体" w:hAnsi="宋体" w:cs="宋体"/>
                <w:color w:val="auto"/>
              </w:rPr>
            </w:pPr>
            <w:r>
              <w:rPr>
                <w:rFonts w:hint="eastAsia" w:ascii="宋体" w:hAnsi="宋体" w:cs="宋体"/>
                <w:color w:val="auto"/>
              </w:rPr>
              <w:t>招标人</w:t>
            </w:r>
          </w:p>
        </w:tc>
        <w:tc>
          <w:tcPr>
            <w:tcW w:w="350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2C89FA2B">
            <w:pPr>
              <w:widowControl/>
              <w:jc w:val="center"/>
              <w:rPr>
                <w:rFonts w:ascii="宋体" w:hAnsi="宋体" w:cs="宋体"/>
                <w:color w:val="auto"/>
              </w:rPr>
            </w:pPr>
            <w:r>
              <w:rPr>
                <w:rFonts w:hint="eastAsia" w:ascii="宋体" w:hAnsi="宋体" w:cs="宋体"/>
                <w:color w:val="auto"/>
                <w:kern w:val="0"/>
                <w:sz w:val="23"/>
                <w:szCs w:val="23"/>
              </w:rPr>
              <w:t>南通宝月湖科创投资集团有限公司</w:t>
            </w:r>
          </w:p>
        </w:tc>
        <w:tc>
          <w:tcPr>
            <w:tcW w:w="1655"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38EBCD67">
            <w:pPr>
              <w:widowControl/>
              <w:jc w:val="center"/>
              <w:rPr>
                <w:rFonts w:ascii="宋体" w:hAnsi="宋体" w:cs="宋体"/>
                <w:color w:val="auto"/>
              </w:rPr>
            </w:pPr>
            <w:r>
              <w:rPr>
                <w:rFonts w:hint="eastAsia" w:ascii="宋体" w:hAnsi="宋体" w:cs="宋体"/>
                <w:color w:val="auto"/>
              </w:rPr>
              <w:t>招标代理机构</w:t>
            </w:r>
          </w:p>
        </w:tc>
        <w:tc>
          <w:tcPr>
            <w:tcW w:w="31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83D1BB">
            <w:pPr>
              <w:widowControl/>
              <w:jc w:val="center"/>
              <w:rPr>
                <w:rFonts w:ascii="宋体" w:hAnsi="宋体" w:cs="宋体"/>
                <w:color w:val="auto"/>
              </w:rPr>
            </w:pPr>
            <w:r>
              <w:rPr>
                <w:rFonts w:hint="eastAsia" w:ascii="宋体" w:hAnsi="宋体" w:cs="宋体"/>
                <w:color w:val="auto"/>
                <w:kern w:val="0"/>
                <w:sz w:val="23"/>
                <w:szCs w:val="23"/>
              </w:rPr>
              <w:t>江苏海审工程咨询有限公司</w:t>
            </w:r>
          </w:p>
        </w:tc>
      </w:tr>
      <w:tr w14:paraId="0641017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1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3437DB1D">
            <w:pPr>
              <w:widowControl/>
              <w:jc w:val="center"/>
              <w:rPr>
                <w:rFonts w:ascii="宋体" w:hAnsi="宋体" w:cs="宋体"/>
                <w:color w:val="auto"/>
              </w:rPr>
            </w:pPr>
            <w:r>
              <w:rPr>
                <w:rFonts w:hint="eastAsia" w:ascii="宋体" w:hAnsi="宋体" w:cs="宋体"/>
                <w:color w:val="auto"/>
              </w:rPr>
              <w:t>地址</w:t>
            </w:r>
          </w:p>
        </w:tc>
        <w:tc>
          <w:tcPr>
            <w:tcW w:w="350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35A8C707">
            <w:pPr>
              <w:widowControl/>
              <w:jc w:val="center"/>
              <w:rPr>
                <w:rFonts w:hint="default" w:ascii="宋体" w:hAnsi="宋体" w:eastAsia="宋体" w:cs="宋体"/>
                <w:color w:val="auto"/>
                <w:lang w:val="en-US" w:eastAsia="zh-CN"/>
              </w:rPr>
            </w:pPr>
            <w:r>
              <w:rPr>
                <w:rFonts w:hint="eastAsia" w:ascii="宋体" w:hAnsi="宋体" w:cs="宋体"/>
                <w:color w:val="auto"/>
                <w:lang w:val="en-US" w:eastAsia="zh-CN"/>
              </w:rPr>
              <w:t>崇川区江海大道696号和丰大厦</w:t>
            </w:r>
          </w:p>
        </w:tc>
        <w:tc>
          <w:tcPr>
            <w:tcW w:w="1655"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681F709E">
            <w:pPr>
              <w:widowControl/>
              <w:jc w:val="center"/>
              <w:rPr>
                <w:rFonts w:ascii="宋体" w:hAnsi="宋体" w:cs="宋体"/>
                <w:color w:val="auto"/>
              </w:rPr>
            </w:pPr>
            <w:r>
              <w:rPr>
                <w:rFonts w:hint="eastAsia" w:ascii="宋体" w:hAnsi="宋体" w:cs="宋体"/>
                <w:color w:val="auto"/>
              </w:rPr>
              <w:t>地址</w:t>
            </w:r>
          </w:p>
        </w:tc>
        <w:tc>
          <w:tcPr>
            <w:tcW w:w="31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DE613E">
            <w:pPr>
              <w:widowControl/>
              <w:jc w:val="center"/>
              <w:rPr>
                <w:rFonts w:ascii="宋体" w:hAnsi="宋体" w:cs="宋体"/>
                <w:color w:val="auto"/>
              </w:rPr>
            </w:pPr>
            <w:r>
              <w:rPr>
                <w:rFonts w:hint="eastAsia" w:ascii="宋体" w:hAnsi="宋体" w:cs="宋体"/>
                <w:color w:val="auto"/>
                <w:kern w:val="0"/>
                <w:sz w:val="23"/>
                <w:szCs w:val="23"/>
              </w:rPr>
              <w:t>南通市崇川区星城路299号</w:t>
            </w:r>
          </w:p>
        </w:tc>
      </w:tr>
      <w:tr w14:paraId="34BE24C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1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00C1566B">
            <w:pPr>
              <w:widowControl/>
              <w:jc w:val="center"/>
              <w:rPr>
                <w:rFonts w:ascii="宋体" w:hAnsi="宋体" w:cs="宋体"/>
                <w:color w:val="auto"/>
              </w:rPr>
            </w:pPr>
            <w:r>
              <w:rPr>
                <w:rFonts w:hint="eastAsia" w:ascii="宋体" w:hAnsi="宋体" w:cs="宋体"/>
                <w:color w:val="auto"/>
              </w:rPr>
              <w:t>联系人</w:t>
            </w:r>
          </w:p>
        </w:tc>
        <w:tc>
          <w:tcPr>
            <w:tcW w:w="350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5D3CEBF8">
            <w:pPr>
              <w:widowControl/>
              <w:jc w:val="center"/>
              <w:rPr>
                <w:rFonts w:hint="eastAsia" w:ascii="宋体" w:hAnsi="宋体" w:eastAsia="宋体" w:cs="宋体"/>
                <w:color w:val="auto"/>
                <w:lang w:eastAsia="zh-CN"/>
              </w:rPr>
            </w:pPr>
            <w:r>
              <w:rPr>
                <w:rFonts w:hint="eastAsia" w:ascii="宋体" w:hAnsi="宋体" w:cs="宋体"/>
                <w:color w:val="auto"/>
                <w:kern w:val="0"/>
                <w:sz w:val="23"/>
                <w:szCs w:val="23"/>
                <w:lang w:val="en-US" w:eastAsia="zh-CN"/>
              </w:rPr>
              <w:t>熊女士</w:t>
            </w:r>
          </w:p>
        </w:tc>
        <w:tc>
          <w:tcPr>
            <w:tcW w:w="1655"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748FA8A7">
            <w:pPr>
              <w:widowControl/>
              <w:jc w:val="center"/>
              <w:rPr>
                <w:rFonts w:ascii="宋体" w:hAnsi="宋体" w:cs="宋体"/>
                <w:color w:val="auto"/>
              </w:rPr>
            </w:pPr>
            <w:r>
              <w:rPr>
                <w:rFonts w:hint="eastAsia" w:ascii="宋体" w:hAnsi="宋体" w:cs="宋体"/>
                <w:color w:val="auto"/>
              </w:rPr>
              <w:t>联系人</w:t>
            </w:r>
          </w:p>
        </w:tc>
        <w:tc>
          <w:tcPr>
            <w:tcW w:w="31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B979D1">
            <w:pPr>
              <w:widowControl/>
              <w:jc w:val="center"/>
              <w:rPr>
                <w:rFonts w:ascii="宋体" w:hAnsi="宋体" w:cs="宋体"/>
                <w:color w:val="auto"/>
              </w:rPr>
            </w:pPr>
            <w:r>
              <w:rPr>
                <w:rFonts w:hint="eastAsia"/>
                <w:color w:val="auto"/>
                <w:sz w:val="24"/>
              </w:rPr>
              <w:t>朱一仁</w:t>
            </w:r>
          </w:p>
        </w:tc>
      </w:tr>
      <w:tr w14:paraId="5C2A863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1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6D6812D3">
            <w:pPr>
              <w:widowControl/>
              <w:jc w:val="center"/>
              <w:rPr>
                <w:rFonts w:ascii="宋体" w:hAnsi="宋体" w:cs="宋体"/>
                <w:color w:val="auto"/>
              </w:rPr>
            </w:pPr>
            <w:r>
              <w:rPr>
                <w:rFonts w:hint="eastAsia" w:ascii="宋体" w:hAnsi="宋体" w:cs="宋体"/>
                <w:color w:val="auto"/>
              </w:rPr>
              <w:t>电话</w:t>
            </w:r>
          </w:p>
        </w:tc>
        <w:tc>
          <w:tcPr>
            <w:tcW w:w="350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2897E593">
            <w:pPr>
              <w:widowControl/>
              <w:jc w:val="center"/>
              <w:rPr>
                <w:rFonts w:hint="default" w:ascii="宋体" w:hAnsi="宋体" w:eastAsia="宋体" w:cs="宋体"/>
                <w:color w:val="auto"/>
                <w:lang w:val="en-US" w:eastAsia="zh-CN"/>
              </w:rPr>
            </w:pPr>
            <w:r>
              <w:rPr>
                <w:rFonts w:hint="eastAsia" w:ascii="宋体" w:hAnsi="宋体" w:cs="宋体"/>
                <w:color w:val="auto"/>
                <w:kern w:val="0"/>
                <w:sz w:val="23"/>
                <w:szCs w:val="23"/>
                <w:lang w:val="en-US" w:eastAsia="zh-CN"/>
              </w:rPr>
              <w:t>15962751790</w:t>
            </w:r>
          </w:p>
        </w:tc>
        <w:tc>
          <w:tcPr>
            <w:tcW w:w="1655"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064973C0">
            <w:pPr>
              <w:widowControl/>
              <w:jc w:val="center"/>
              <w:rPr>
                <w:rFonts w:ascii="宋体" w:hAnsi="宋体" w:cs="宋体"/>
                <w:color w:val="auto"/>
              </w:rPr>
            </w:pPr>
            <w:r>
              <w:rPr>
                <w:rFonts w:hint="eastAsia" w:ascii="宋体" w:hAnsi="宋体" w:cs="宋体"/>
                <w:color w:val="auto"/>
              </w:rPr>
              <w:t>电话</w:t>
            </w:r>
          </w:p>
        </w:tc>
        <w:tc>
          <w:tcPr>
            <w:tcW w:w="31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04DC8">
            <w:pPr>
              <w:widowControl/>
              <w:jc w:val="center"/>
              <w:rPr>
                <w:rFonts w:ascii="宋体" w:hAnsi="宋体" w:cs="宋体"/>
                <w:color w:val="auto"/>
              </w:rPr>
            </w:pPr>
            <w:r>
              <w:rPr>
                <w:rFonts w:hint="eastAsia" w:ascii="宋体" w:hAnsi="宋体" w:eastAsia="宋体" w:cs="宋体"/>
                <w:color w:val="auto"/>
                <w:kern w:val="0"/>
                <w:sz w:val="23"/>
                <w:szCs w:val="23"/>
              </w:rPr>
              <w:t>18068996360</w:t>
            </w:r>
          </w:p>
        </w:tc>
      </w:tr>
      <w:bookmarkEnd w:id="0"/>
      <w:bookmarkEnd w:id="1"/>
      <w:bookmarkEnd w:id="2"/>
      <w:bookmarkEnd w:id="3"/>
    </w:tbl>
    <w:p w14:paraId="33355FAF">
      <w:pPr>
        <w:spacing w:line="440" w:lineRule="exact"/>
        <w:jc w:val="right"/>
        <w:rPr>
          <w:rFonts w:ascii="宋体" w:hAnsi="宋体" w:cs="宋体"/>
          <w:color w:val="auto"/>
        </w:rPr>
      </w:pPr>
    </w:p>
    <w:p w14:paraId="78D2B4C1">
      <w:pPr>
        <w:widowControl/>
        <w:spacing w:line="440" w:lineRule="exact"/>
        <w:ind w:firstLine="440" w:firstLineChars="200"/>
        <w:jc w:val="right"/>
        <w:rPr>
          <w:rFonts w:ascii="宋体" w:hAnsi="宋体"/>
          <w:color w:val="auto"/>
          <w:sz w:val="22"/>
          <w:szCs w:val="22"/>
        </w:rPr>
      </w:pPr>
      <w:r>
        <w:rPr>
          <w:rFonts w:hint="eastAsia" w:ascii="宋体" w:hAnsi="宋体"/>
          <w:color w:val="auto"/>
          <w:sz w:val="22"/>
          <w:szCs w:val="22"/>
        </w:rPr>
        <w:t>202</w:t>
      </w:r>
      <w:r>
        <w:rPr>
          <w:rFonts w:hint="eastAsia" w:ascii="宋体" w:hAnsi="宋体"/>
          <w:color w:val="auto"/>
          <w:sz w:val="22"/>
          <w:szCs w:val="22"/>
          <w:lang w:val="en-US" w:eastAsia="zh-CN"/>
        </w:rPr>
        <w:t>5</w:t>
      </w:r>
      <w:r>
        <w:rPr>
          <w:rFonts w:hint="eastAsia" w:ascii="宋体" w:hAnsi="宋体"/>
          <w:color w:val="auto"/>
          <w:sz w:val="22"/>
          <w:szCs w:val="22"/>
        </w:rPr>
        <w:t>年</w:t>
      </w:r>
      <w:r>
        <w:rPr>
          <w:rFonts w:hint="eastAsia" w:ascii="宋体" w:hAnsi="宋体"/>
          <w:color w:val="auto"/>
          <w:sz w:val="22"/>
          <w:szCs w:val="22"/>
          <w:lang w:val="en-US" w:eastAsia="zh-CN"/>
        </w:rPr>
        <w:t>9</w:t>
      </w:r>
      <w:r>
        <w:rPr>
          <w:rFonts w:hint="eastAsia" w:ascii="宋体" w:hAnsi="宋体"/>
          <w:color w:val="auto"/>
          <w:sz w:val="22"/>
          <w:szCs w:val="22"/>
        </w:rPr>
        <w:t>月</w:t>
      </w:r>
      <w:r>
        <w:rPr>
          <w:rFonts w:hint="eastAsia" w:ascii="宋体" w:hAnsi="宋体"/>
          <w:color w:val="auto"/>
          <w:sz w:val="22"/>
          <w:szCs w:val="22"/>
          <w:lang w:val="en-US" w:eastAsia="zh-CN"/>
        </w:rPr>
        <w:t>30</w:t>
      </w:r>
      <w:r>
        <w:rPr>
          <w:rFonts w:hint="eastAsia" w:ascii="宋体" w:hAnsi="宋体"/>
          <w:color w:val="auto"/>
          <w:sz w:val="22"/>
          <w:szCs w:val="22"/>
        </w:rPr>
        <w:t>日</w:t>
      </w:r>
    </w:p>
    <w:p w14:paraId="7CF41FA6">
      <w:pPr>
        <w:rPr>
          <w:rFonts w:ascii="宋体" w:hAnsi="宋体" w:cs="宋体"/>
          <w:b/>
          <w:color w:val="auto"/>
          <w:sz w:val="36"/>
          <w:szCs w:val="36"/>
        </w:rPr>
      </w:pPr>
      <w:r>
        <w:rPr>
          <w:rFonts w:hint="eastAsia" w:ascii="宋体" w:hAnsi="宋体" w:cs="宋体"/>
          <w:b/>
          <w:color w:val="auto"/>
          <w:sz w:val="36"/>
          <w:szCs w:val="36"/>
        </w:rPr>
        <w:br w:type="page"/>
      </w:r>
    </w:p>
    <w:p w14:paraId="664CF70C">
      <w:pPr>
        <w:pStyle w:val="4"/>
        <w:rPr>
          <w:rFonts w:ascii="宋体" w:hAnsi="宋体" w:eastAsia="宋体" w:cs="宋体"/>
          <w:b/>
          <w:color w:val="auto"/>
          <w:sz w:val="36"/>
          <w:szCs w:val="36"/>
        </w:rPr>
      </w:pPr>
      <w:bookmarkStart w:id="5" w:name="_Toc3340"/>
      <w:r>
        <w:rPr>
          <w:rFonts w:hint="eastAsia" w:ascii="宋体" w:hAnsi="宋体" w:eastAsia="宋体" w:cs="宋体"/>
          <w:b/>
          <w:color w:val="auto"/>
          <w:sz w:val="36"/>
          <w:szCs w:val="36"/>
        </w:rPr>
        <w:t>第一章投标须知及投标须知前附表</w:t>
      </w:r>
      <w:bookmarkEnd w:id="5"/>
    </w:p>
    <w:p w14:paraId="7EF5A827">
      <w:pPr>
        <w:jc w:val="center"/>
        <w:rPr>
          <w:rFonts w:ascii="宋体" w:hAnsi="宋体" w:cs="宋体"/>
          <w:b/>
          <w:color w:val="auto"/>
          <w:sz w:val="30"/>
          <w:szCs w:val="30"/>
        </w:rPr>
      </w:pPr>
      <w:r>
        <w:rPr>
          <w:rFonts w:hint="eastAsia" w:ascii="宋体" w:hAnsi="宋体" w:cs="宋体"/>
          <w:b/>
          <w:color w:val="auto"/>
          <w:sz w:val="30"/>
          <w:szCs w:val="30"/>
        </w:rPr>
        <w:t>一、投标须知前附表</w:t>
      </w:r>
    </w:p>
    <w:tbl>
      <w:tblPr>
        <w:tblStyle w:val="35"/>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685"/>
      </w:tblGrid>
      <w:tr w14:paraId="6CDF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532A214E">
            <w:pPr>
              <w:spacing w:line="360" w:lineRule="exact"/>
              <w:jc w:val="center"/>
              <w:rPr>
                <w:rFonts w:ascii="宋体" w:hAnsi="宋体" w:cs="宋体"/>
                <w:b/>
                <w:color w:val="auto"/>
                <w:sz w:val="24"/>
                <w:szCs w:val="24"/>
              </w:rPr>
            </w:pPr>
            <w:r>
              <w:rPr>
                <w:rFonts w:hint="eastAsia" w:ascii="宋体" w:hAnsi="宋体" w:cs="宋体"/>
                <w:b/>
                <w:color w:val="auto"/>
                <w:sz w:val="24"/>
                <w:szCs w:val="24"/>
              </w:rPr>
              <w:t>序号</w:t>
            </w:r>
          </w:p>
        </w:tc>
        <w:tc>
          <w:tcPr>
            <w:tcW w:w="8685" w:type="dxa"/>
            <w:vAlign w:val="center"/>
          </w:tcPr>
          <w:p w14:paraId="34D1FBFE">
            <w:pPr>
              <w:spacing w:line="360" w:lineRule="exact"/>
              <w:jc w:val="center"/>
              <w:rPr>
                <w:rFonts w:ascii="宋体" w:hAnsi="宋体" w:cs="宋体"/>
                <w:b/>
                <w:color w:val="auto"/>
                <w:sz w:val="24"/>
                <w:szCs w:val="24"/>
              </w:rPr>
            </w:pPr>
            <w:r>
              <w:rPr>
                <w:rFonts w:hint="eastAsia" w:ascii="宋体" w:hAnsi="宋体" w:cs="宋体"/>
                <w:b/>
                <w:color w:val="auto"/>
                <w:sz w:val="24"/>
                <w:szCs w:val="24"/>
              </w:rPr>
              <w:t>内容规定</w:t>
            </w:r>
          </w:p>
        </w:tc>
      </w:tr>
      <w:tr w14:paraId="21D2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50C61231">
            <w:pPr>
              <w:spacing w:line="360" w:lineRule="exact"/>
              <w:jc w:val="center"/>
              <w:rPr>
                <w:rFonts w:ascii="宋体" w:hAnsi="宋体" w:cs="宋体"/>
                <w:color w:val="auto"/>
                <w:sz w:val="24"/>
                <w:szCs w:val="24"/>
              </w:rPr>
            </w:pPr>
            <w:r>
              <w:rPr>
                <w:rFonts w:hint="eastAsia" w:ascii="宋体" w:hAnsi="宋体" w:cs="宋体"/>
                <w:color w:val="auto"/>
                <w:sz w:val="24"/>
                <w:szCs w:val="24"/>
              </w:rPr>
              <w:t>1</w:t>
            </w:r>
          </w:p>
        </w:tc>
        <w:tc>
          <w:tcPr>
            <w:tcW w:w="8685" w:type="dxa"/>
            <w:vAlign w:val="center"/>
          </w:tcPr>
          <w:p w14:paraId="114217A6">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项目名称：南通宝月湖科技股权投资基金合伙企业（有限合伙）二期管理人遴选</w:t>
            </w:r>
          </w:p>
          <w:p w14:paraId="6C4A48CC">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项目地点：南通市崇川区</w:t>
            </w:r>
          </w:p>
          <w:p w14:paraId="49CB1545">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szCs w:val="24"/>
              </w:rPr>
            </w:pPr>
            <w:r>
              <w:rPr>
                <w:rFonts w:hint="eastAsia" w:ascii="宋体" w:hAnsi="宋体"/>
                <w:color w:val="auto"/>
                <w:sz w:val="24"/>
                <w:szCs w:val="24"/>
              </w:rPr>
              <w:t>项目规模：总规模50.5亿元人民币，根据投资进度，分期到位，二期基金认缴规模10亿元，可申请扩募一次，扩募金额不超过10亿元。</w:t>
            </w:r>
          </w:p>
        </w:tc>
      </w:tr>
      <w:tr w14:paraId="53D5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16DF319C">
            <w:pPr>
              <w:spacing w:line="360" w:lineRule="exact"/>
              <w:jc w:val="center"/>
              <w:rPr>
                <w:rFonts w:ascii="宋体" w:hAnsi="宋体" w:cs="宋体"/>
                <w:color w:val="auto"/>
                <w:sz w:val="24"/>
                <w:szCs w:val="24"/>
              </w:rPr>
            </w:pPr>
            <w:r>
              <w:rPr>
                <w:rFonts w:hint="eastAsia" w:ascii="宋体" w:hAnsi="宋体" w:cs="宋体"/>
                <w:color w:val="auto"/>
                <w:sz w:val="24"/>
                <w:szCs w:val="24"/>
              </w:rPr>
              <w:t>2</w:t>
            </w:r>
          </w:p>
        </w:tc>
        <w:tc>
          <w:tcPr>
            <w:tcW w:w="8685" w:type="dxa"/>
            <w:vAlign w:val="center"/>
          </w:tcPr>
          <w:p w14:paraId="4D799D38">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招标范围：详见第四章项目需求说明</w:t>
            </w:r>
          </w:p>
        </w:tc>
      </w:tr>
      <w:tr w14:paraId="50DC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29733325">
            <w:pPr>
              <w:spacing w:line="360" w:lineRule="exact"/>
              <w:jc w:val="center"/>
              <w:rPr>
                <w:rFonts w:ascii="宋体" w:hAnsi="宋体" w:cs="宋体"/>
                <w:color w:val="auto"/>
                <w:sz w:val="24"/>
                <w:szCs w:val="24"/>
              </w:rPr>
            </w:pPr>
            <w:r>
              <w:rPr>
                <w:rFonts w:hint="eastAsia" w:ascii="宋体" w:hAnsi="宋体" w:cs="宋体"/>
                <w:color w:val="auto"/>
                <w:sz w:val="24"/>
                <w:szCs w:val="24"/>
              </w:rPr>
              <w:t>3</w:t>
            </w:r>
          </w:p>
        </w:tc>
        <w:tc>
          <w:tcPr>
            <w:tcW w:w="8685" w:type="dxa"/>
            <w:vAlign w:val="center"/>
          </w:tcPr>
          <w:p w14:paraId="18837F0A">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招标方式：公开招标</w:t>
            </w:r>
          </w:p>
          <w:p w14:paraId="01AC30C0">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投标保证金的形式：本项目无须递交投标保证金。</w:t>
            </w:r>
          </w:p>
        </w:tc>
      </w:tr>
      <w:tr w14:paraId="450A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33CD5760">
            <w:pPr>
              <w:spacing w:line="360" w:lineRule="exact"/>
              <w:jc w:val="center"/>
              <w:rPr>
                <w:rFonts w:ascii="宋体" w:hAnsi="宋体" w:cs="宋体"/>
                <w:color w:val="auto"/>
                <w:sz w:val="24"/>
                <w:szCs w:val="24"/>
              </w:rPr>
            </w:pPr>
            <w:r>
              <w:rPr>
                <w:rFonts w:hint="eastAsia" w:ascii="宋体" w:hAnsi="宋体" w:cs="宋体"/>
                <w:color w:val="auto"/>
                <w:sz w:val="24"/>
                <w:szCs w:val="24"/>
              </w:rPr>
              <w:t>4</w:t>
            </w:r>
          </w:p>
        </w:tc>
        <w:tc>
          <w:tcPr>
            <w:tcW w:w="8685" w:type="dxa"/>
            <w:vAlign w:val="center"/>
          </w:tcPr>
          <w:p w14:paraId="511E1B6F">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投标有效期：投标截止日后90日历天内有效。</w:t>
            </w:r>
          </w:p>
          <w:p w14:paraId="10D4ACDA">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投标文件份数：</w:t>
            </w:r>
            <w:r>
              <w:rPr>
                <w:rFonts w:hint="eastAsia" w:ascii="宋体" w:hAnsi="宋体" w:cs="宋体"/>
                <w:b/>
                <w:bCs/>
                <w:color w:val="auto"/>
                <w:kern w:val="0"/>
                <w:sz w:val="24"/>
                <w:szCs w:val="24"/>
              </w:rPr>
              <w:t>投标文件一式</w:t>
            </w:r>
            <w:r>
              <w:rPr>
                <w:rFonts w:hint="eastAsia" w:ascii="宋体" w:hAnsi="宋体" w:cs="宋体"/>
                <w:b/>
                <w:bCs/>
                <w:color w:val="auto"/>
                <w:kern w:val="0"/>
                <w:sz w:val="24"/>
                <w:szCs w:val="24"/>
                <w:u w:val="single"/>
              </w:rPr>
              <w:t>伍</w:t>
            </w:r>
            <w:r>
              <w:rPr>
                <w:rFonts w:hint="eastAsia" w:ascii="宋体" w:hAnsi="宋体" w:cs="宋体"/>
                <w:b/>
                <w:bCs/>
                <w:color w:val="auto"/>
                <w:kern w:val="0"/>
                <w:sz w:val="24"/>
                <w:szCs w:val="24"/>
              </w:rPr>
              <w:t>份，其中正本</w:t>
            </w:r>
            <w:r>
              <w:rPr>
                <w:rFonts w:hint="eastAsia" w:ascii="宋体" w:hAnsi="宋体" w:cs="宋体"/>
                <w:b/>
                <w:bCs/>
                <w:color w:val="auto"/>
                <w:kern w:val="0"/>
                <w:sz w:val="24"/>
                <w:szCs w:val="24"/>
                <w:u w:val="single"/>
              </w:rPr>
              <w:t>壹</w:t>
            </w:r>
            <w:r>
              <w:rPr>
                <w:rFonts w:hint="eastAsia" w:ascii="宋体" w:hAnsi="宋体" w:cs="宋体"/>
                <w:b/>
                <w:bCs/>
                <w:color w:val="auto"/>
                <w:kern w:val="0"/>
                <w:sz w:val="24"/>
                <w:szCs w:val="24"/>
              </w:rPr>
              <w:t>份，副本</w:t>
            </w:r>
            <w:r>
              <w:rPr>
                <w:rFonts w:hint="eastAsia" w:ascii="宋体" w:hAnsi="宋体" w:cs="宋体"/>
                <w:b/>
                <w:bCs/>
                <w:color w:val="auto"/>
                <w:kern w:val="0"/>
                <w:sz w:val="24"/>
                <w:szCs w:val="24"/>
                <w:u w:val="single"/>
              </w:rPr>
              <w:t>肆</w:t>
            </w:r>
            <w:r>
              <w:rPr>
                <w:rFonts w:hint="eastAsia" w:ascii="宋体" w:hAnsi="宋体" w:cs="宋体"/>
                <w:b/>
                <w:bCs/>
                <w:color w:val="auto"/>
                <w:kern w:val="0"/>
                <w:sz w:val="24"/>
                <w:szCs w:val="24"/>
              </w:rPr>
              <w:t>份。</w:t>
            </w:r>
          </w:p>
        </w:tc>
      </w:tr>
      <w:tr w14:paraId="2928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5EEACA3A">
            <w:pPr>
              <w:spacing w:line="360" w:lineRule="exact"/>
              <w:jc w:val="center"/>
              <w:rPr>
                <w:rFonts w:ascii="宋体" w:hAnsi="宋体" w:cs="宋体"/>
                <w:color w:val="auto"/>
                <w:sz w:val="24"/>
                <w:szCs w:val="24"/>
              </w:rPr>
            </w:pPr>
            <w:r>
              <w:rPr>
                <w:rFonts w:hint="eastAsia" w:ascii="宋体" w:hAnsi="宋体" w:cs="宋体"/>
                <w:color w:val="auto"/>
                <w:sz w:val="24"/>
                <w:szCs w:val="24"/>
              </w:rPr>
              <w:t>5</w:t>
            </w:r>
          </w:p>
        </w:tc>
        <w:tc>
          <w:tcPr>
            <w:tcW w:w="8685" w:type="dxa"/>
            <w:vAlign w:val="center"/>
          </w:tcPr>
          <w:p w14:paraId="303AF998">
            <w:pPr>
              <w:pStyle w:val="30"/>
              <w:keepNext w:val="0"/>
              <w:keepLines w:val="0"/>
              <w:pageBreakBefore w:val="0"/>
              <w:shd w:val="clear" w:color="auto" w:fill="FFFFFF"/>
              <w:kinsoku/>
              <w:wordWrap/>
              <w:overflowPunct/>
              <w:topLinePunct w:val="0"/>
              <w:autoSpaceDE/>
              <w:autoSpaceDN/>
              <w:bidi w:val="0"/>
              <w:adjustRightInd/>
              <w:snapToGrid/>
              <w:spacing w:line="480" w:lineRule="exact"/>
              <w:ind w:firstLine="480" w:firstLineChars="200"/>
              <w:textAlignment w:val="auto"/>
              <w:rPr>
                <w:color w:val="auto"/>
                <w:sz w:val="24"/>
                <w:szCs w:val="24"/>
              </w:rPr>
            </w:pPr>
            <w:r>
              <w:rPr>
                <w:rFonts w:hint="eastAsia"/>
                <w:color w:val="auto"/>
                <w:sz w:val="24"/>
                <w:szCs w:val="24"/>
              </w:rPr>
              <w:t>投标文件递交地点：</w:t>
            </w:r>
            <w:r>
              <w:rPr>
                <w:rFonts w:asciiTheme="minorEastAsia" w:hAnsiTheme="minorEastAsia" w:eastAsiaTheme="minorEastAsia"/>
                <w:color w:val="auto"/>
                <w:sz w:val="24"/>
                <w:szCs w:val="24"/>
                <w:u w:val="single"/>
              </w:rPr>
              <w:t>南通市崇川区星城路299号（创源科技园3号楼501室江苏海审开标室）</w:t>
            </w:r>
            <w:r>
              <w:rPr>
                <w:rFonts w:hint="eastAsia"/>
                <w:b/>
                <w:color w:val="auto"/>
                <w:sz w:val="24"/>
                <w:szCs w:val="24"/>
                <w:u w:val="single"/>
              </w:rPr>
              <w:t>，如有变动，另行通知。</w:t>
            </w:r>
          </w:p>
          <w:p w14:paraId="2B8F5DB7">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投标文件递交截止时间：</w:t>
            </w:r>
            <w:r>
              <w:rPr>
                <w:rFonts w:hint="eastAsia" w:ascii="宋体" w:hAnsi="宋体" w:cs="宋体"/>
                <w:color w:val="auto"/>
                <w:kern w:val="0"/>
                <w:sz w:val="24"/>
                <w:szCs w:val="24"/>
                <w:u w:val="single"/>
              </w:rPr>
              <w:t>202</w:t>
            </w:r>
            <w:r>
              <w:rPr>
                <w:rFonts w:hint="eastAsia" w:ascii="宋体" w:hAnsi="宋体" w:cs="宋体"/>
                <w:color w:val="auto"/>
                <w:kern w:val="0"/>
                <w:sz w:val="24"/>
                <w:szCs w:val="24"/>
                <w:u w:val="single"/>
                <w:lang w:val="en-US" w:eastAsia="zh-CN"/>
              </w:rPr>
              <w:t>5</w:t>
            </w:r>
            <w:r>
              <w:rPr>
                <w:rFonts w:hint="eastAsia" w:ascii="宋体" w:hAnsi="宋体" w:cs="宋体"/>
                <w:color w:val="auto"/>
                <w:kern w:val="0"/>
                <w:sz w:val="24"/>
                <w:szCs w:val="24"/>
                <w:u w:val="single"/>
              </w:rPr>
              <w:t>年</w:t>
            </w:r>
            <w:r>
              <w:rPr>
                <w:rFonts w:hint="eastAsia" w:ascii="宋体" w:hAnsi="宋体" w:cs="宋体"/>
                <w:color w:val="auto"/>
                <w:kern w:val="0"/>
                <w:sz w:val="24"/>
                <w:szCs w:val="24"/>
                <w:u w:val="single"/>
                <w:lang w:val="en-US" w:eastAsia="zh-CN"/>
              </w:rPr>
              <w:t>10</w:t>
            </w:r>
            <w:r>
              <w:rPr>
                <w:rFonts w:hint="eastAsia" w:ascii="宋体" w:hAnsi="宋体" w:cs="宋体"/>
                <w:color w:val="auto"/>
                <w:kern w:val="0"/>
                <w:sz w:val="24"/>
                <w:szCs w:val="24"/>
                <w:u w:val="single"/>
              </w:rPr>
              <w:t>月</w:t>
            </w:r>
            <w:r>
              <w:rPr>
                <w:rFonts w:hint="eastAsia" w:ascii="宋体" w:hAnsi="宋体" w:cs="宋体"/>
                <w:color w:val="auto"/>
                <w:kern w:val="0"/>
                <w:sz w:val="24"/>
                <w:szCs w:val="24"/>
                <w:u w:val="single"/>
                <w:lang w:val="en-US" w:eastAsia="zh-CN"/>
              </w:rPr>
              <w:t>21</w:t>
            </w:r>
            <w:r>
              <w:rPr>
                <w:rFonts w:hint="eastAsia" w:ascii="宋体" w:hAnsi="宋体" w:cs="宋体"/>
                <w:color w:val="auto"/>
                <w:kern w:val="0"/>
                <w:sz w:val="24"/>
                <w:szCs w:val="24"/>
                <w:u w:val="single"/>
              </w:rPr>
              <w:t>日</w:t>
            </w:r>
            <w:r>
              <w:rPr>
                <w:rFonts w:hint="eastAsia" w:ascii="宋体" w:hAnsi="宋体" w:cs="宋体"/>
                <w:color w:val="auto"/>
                <w:kern w:val="0"/>
                <w:sz w:val="24"/>
                <w:szCs w:val="24"/>
                <w:u w:val="single"/>
                <w:lang w:val="en-US" w:eastAsia="zh-CN"/>
              </w:rPr>
              <w:t>14</w:t>
            </w:r>
            <w:r>
              <w:rPr>
                <w:rFonts w:hint="eastAsia" w:ascii="宋体" w:hAnsi="宋体" w:cs="宋体"/>
                <w:color w:val="auto"/>
                <w:kern w:val="0"/>
                <w:sz w:val="24"/>
                <w:szCs w:val="24"/>
                <w:u w:val="single"/>
              </w:rPr>
              <w:t xml:space="preserve"> 时</w:t>
            </w:r>
            <w:r>
              <w:rPr>
                <w:rFonts w:hint="eastAsia" w:ascii="宋体" w:hAnsi="宋体" w:cs="宋体"/>
                <w:color w:val="auto"/>
                <w:kern w:val="0"/>
                <w:sz w:val="24"/>
                <w:szCs w:val="24"/>
                <w:u w:val="single"/>
                <w:lang w:val="en-US" w:eastAsia="zh-CN"/>
              </w:rPr>
              <w:t>00</w:t>
            </w:r>
            <w:r>
              <w:rPr>
                <w:rFonts w:hint="eastAsia" w:ascii="宋体" w:hAnsi="宋体" w:cs="宋体"/>
                <w:color w:val="auto"/>
                <w:kern w:val="0"/>
                <w:sz w:val="24"/>
                <w:szCs w:val="24"/>
                <w:u w:val="single"/>
              </w:rPr>
              <w:t>分</w:t>
            </w:r>
            <w:r>
              <w:rPr>
                <w:rFonts w:hint="eastAsia" w:ascii="宋体" w:hAnsi="宋体" w:cs="宋体"/>
                <w:color w:val="auto"/>
                <w:kern w:val="0"/>
                <w:sz w:val="24"/>
                <w:szCs w:val="24"/>
                <w:u w:val="single"/>
                <w:lang w:val="en-US" w:eastAsia="zh-CN"/>
              </w:rPr>
              <w:t>00秒</w:t>
            </w:r>
          </w:p>
        </w:tc>
      </w:tr>
      <w:tr w14:paraId="182E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1469CD37">
            <w:pPr>
              <w:spacing w:line="360" w:lineRule="exact"/>
              <w:jc w:val="center"/>
              <w:rPr>
                <w:rFonts w:ascii="宋体" w:hAnsi="宋体" w:cs="宋体"/>
                <w:color w:val="auto"/>
                <w:sz w:val="24"/>
                <w:szCs w:val="24"/>
              </w:rPr>
            </w:pPr>
            <w:r>
              <w:rPr>
                <w:rFonts w:hint="eastAsia" w:ascii="宋体" w:hAnsi="宋体" w:cs="宋体"/>
                <w:color w:val="auto"/>
                <w:sz w:val="24"/>
                <w:szCs w:val="24"/>
              </w:rPr>
              <w:t>6</w:t>
            </w:r>
          </w:p>
        </w:tc>
        <w:tc>
          <w:tcPr>
            <w:tcW w:w="8685" w:type="dxa"/>
            <w:vAlign w:val="center"/>
          </w:tcPr>
          <w:p w14:paraId="5C990E2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 xml:space="preserve">投标人要求澄清招标文件的截止时间：投标人若对招标文件有任何疑问，须在 </w:t>
            </w:r>
            <w:r>
              <w:rPr>
                <w:rFonts w:hint="eastAsia" w:ascii="宋体" w:hAnsi="宋体" w:cs="宋体"/>
                <w:b/>
                <w:color w:val="auto"/>
                <w:kern w:val="0"/>
                <w:sz w:val="24"/>
                <w:szCs w:val="24"/>
                <w:u w:val="single"/>
              </w:rPr>
              <w:t>202</w:t>
            </w:r>
            <w:r>
              <w:rPr>
                <w:rFonts w:hint="eastAsia" w:ascii="宋体" w:hAnsi="宋体" w:cs="宋体"/>
                <w:b/>
                <w:color w:val="auto"/>
                <w:kern w:val="0"/>
                <w:sz w:val="24"/>
                <w:szCs w:val="24"/>
                <w:u w:val="single"/>
                <w:lang w:val="en-US" w:eastAsia="zh-CN"/>
              </w:rPr>
              <w:t>5</w:t>
            </w:r>
            <w:r>
              <w:rPr>
                <w:rFonts w:hint="eastAsia" w:ascii="宋体" w:hAnsi="宋体" w:cs="宋体"/>
                <w:b/>
                <w:color w:val="auto"/>
                <w:kern w:val="0"/>
                <w:sz w:val="24"/>
                <w:szCs w:val="24"/>
                <w:u w:val="single"/>
              </w:rPr>
              <w:t>年</w:t>
            </w:r>
            <w:r>
              <w:rPr>
                <w:rFonts w:hint="eastAsia" w:ascii="宋体" w:hAnsi="宋体" w:cs="宋体"/>
                <w:b/>
                <w:color w:val="auto"/>
                <w:kern w:val="0"/>
                <w:sz w:val="24"/>
                <w:szCs w:val="24"/>
                <w:u w:val="single"/>
                <w:lang w:val="en-US" w:eastAsia="zh-CN"/>
              </w:rPr>
              <w:t>10</w:t>
            </w:r>
            <w:r>
              <w:rPr>
                <w:rFonts w:hint="eastAsia" w:ascii="宋体" w:hAnsi="宋体" w:cs="宋体"/>
                <w:b/>
                <w:color w:val="auto"/>
                <w:kern w:val="0"/>
                <w:sz w:val="24"/>
                <w:szCs w:val="24"/>
                <w:u w:val="single"/>
              </w:rPr>
              <w:t>月</w:t>
            </w:r>
            <w:r>
              <w:rPr>
                <w:rFonts w:hint="eastAsia" w:ascii="宋体" w:hAnsi="宋体" w:cs="宋体"/>
                <w:b/>
                <w:color w:val="auto"/>
                <w:kern w:val="0"/>
                <w:sz w:val="24"/>
                <w:szCs w:val="24"/>
                <w:u w:val="single"/>
                <w:lang w:val="en-US" w:eastAsia="zh-CN"/>
              </w:rPr>
              <w:t>14</w:t>
            </w:r>
            <w:r>
              <w:rPr>
                <w:rFonts w:hint="eastAsia" w:ascii="宋体" w:hAnsi="宋体" w:cs="宋体"/>
                <w:b/>
                <w:color w:val="auto"/>
                <w:kern w:val="0"/>
                <w:sz w:val="24"/>
                <w:szCs w:val="24"/>
                <w:u w:val="single"/>
              </w:rPr>
              <w:t>日17时00分</w:t>
            </w:r>
            <w:r>
              <w:rPr>
                <w:rFonts w:hint="eastAsia" w:ascii="宋体" w:hAnsi="宋体" w:cs="宋体"/>
                <w:color w:val="auto"/>
                <w:kern w:val="0"/>
                <w:sz w:val="24"/>
                <w:szCs w:val="24"/>
              </w:rPr>
              <w:t>前（不具单位名称）以电子邮件形式递交至邮箱</w:t>
            </w:r>
            <w:r>
              <w:rPr>
                <w:rFonts w:hint="eastAsia" w:ascii="宋体" w:hAnsi="宋体" w:cs="宋体"/>
                <w:color w:val="auto"/>
                <w:kern w:val="0"/>
                <w:sz w:val="24"/>
                <w:szCs w:val="24"/>
                <w:lang w:val="en-US" w:eastAsia="zh-CN"/>
              </w:rPr>
              <w:t>rudychu</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foxmail</w:t>
            </w:r>
            <w:r>
              <w:rPr>
                <w:rFonts w:hint="eastAsia" w:ascii="宋体" w:hAnsi="宋体" w:cs="宋体"/>
                <w:color w:val="auto"/>
                <w:kern w:val="0"/>
                <w:sz w:val="24"/>
                <w:szCs w:val="24"/>
              </w:rPr>
              <w:t>.com 提出澄清要求。</w:t>
            </w:r>
          </w:p>
        </w:tc>
      </w:tr>
      <w:tr w14:paraId="7B75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4BF97049">
            <w:pPr>
              <w:spacing w:line="360" w:lineRule="exact"/>
              <w:jc w:val="center"/>
              <w:rPr>
                <w:rFonts w:ascii="宋体" w:hAnsi="宋体" w:cs="宋体"/>
                <w:color w:val="auto"/>
                <w:sz w:val="24"/>
                <w:szCs w:val="24"/>
              </w:rPr>
            </w:pPr>
            <w:r>
              <w:rPr>
                <w:rFonts w:hint="eastAsia" w:ascii="宋体" w:hAnsi="宋体" w:cs="宋体"/>
                <w:color w:val="auto"/>
                <w:sz w:val="24"/>
                <w:szCs w:val="24"/>
              </w:rPr>
              <w:t>7</w:t>
            </w:r>
          </w:p>
        </w:tc>
        <w:tc>
          <w:tcPr>
            <w:tcW w:w="8685" w:type="dxa"/>
            <w:vAlign w:val="center"/>
          </w:tcPr>
          <w:p w14:paraId="4AB219F0">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报价要求：</w:t>
            </w:r>
          </w:p>
          <w:p w14:paraId="273B1E7E">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以基金实缴规模为计提基数，投资子基金部分管理费计提比例</w:t>
            </w:r>
            <w:r>
              <w:rPr>
                <w:rFonts w:hint="eastAsia" w:ascii="宋体" w:hAnsi="宋体" w:cs="宋体"/>
                <w:color w:val="auto"/>
                <w:kern w:val="0"/>
                <w:sz w:val="24"/>
                <w:szCs w:val="24"/>
                <w:lang w:val="en-US" w:eastAsia="zh-CN"/>
              </w:rPr>
              <w:t>为</w:t>
            </w:r>
            <w:r>
              <w:rPr>
                <w:rFonts w:hint="eastAsia" w:ascii="宋体" w:hAnsi="宋体" w:cs="宋体"/>
                <w:color w:val="auto"/>
                <w:kern w:val="0"/>
                <w:sz w:val="24"/>
                <w:szCs w:val="24"/>
              </w:rPr>
              <w:t>0.5%/年，直接投资项目部分管理费计提比例</w:t>
            </w:r>
            <w:r>
              <w:rPr>
                <w:rFonts w:hint="eastAsia" w:ascii="宋体" w:hAnsi="宋体" w:cs="宋体"/>
                <w:color w:val="auto"/>
                <w:kern w:val="0"/>
                <w:sz w:val="24"/>
                <w:szCs w:val="24"/>
                <w:lang w:val="en-US" w:eastAsia="zh-CN"/>
              </w:rPr>
              <w:t>为</w:t>
            </w:r>
            <w:r>
              <w:rPr>
                <w:rFonts w:hint="eastAsia" w:ascii="宋体" w:hAnsi="宋体" w:cs="宋体"/>
                <w:color w:val="auto"/>
                <w:kern w:val="0"/>
                <w:sz w:val="24"/>
                <w:szCs w:val="24"/>
              </w:rPr>
              <w:t>1.5%/年。</w:t>
            </w:r>
          </w:p>
          <w:p w14:paraId="129B8826">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default" w:eastAsia="宋体"/>
                <w:color w:val="auto"/>
                <w:sz w:val="24"/>
                <w:szCs w:val="24"/>
                <w:lang w:val="en-US" w:eastAsia="zh-CN"/>
              </w:rPr>
            </w:pPr>
            <w:r>
              <w:rPr>
                <w:rFonts w:hint="eastAsia" w:ascii="宋体" w:hAnsi="宋体" w:cs="宋体"/>
                <w:color w:val="auto"/>
                <w:kern w:val="0"/>
                <w:sz w:val="24"/>
                <w:szCs w:val="24"/>
                <w:lang w:val="en-US" w:eastAsia="zh-CN"/>
              </w:rPr>
              <w:t>本项目</w:t>
            </w:r>
            <w:r>
              <w:rPr>
                <w:rFonts w:hint="eastAsia" w:ascii="宋体" w:hAnsi="宋体" w:cs="宋体"/>
                <w:color w:val="auto"/>
                <w:kern w:val="0"/>
                <w:sz w:val="24"/>
                <w:szCs w:val="24"/>
              </w:rPr>
              <w:t>管理费由国资及市场化管理人共同收取</w:t>
            </w:r>
            <w:r>
              <w:rPr>
                <w:rFonts w:hint="eastAsia" w:ascii="宋体" w:hAnsi="宋体" w:cs="宋体"/>
                <w:color w:val="auto"/>
                <w:kern w:val="0"/>
                <w:sz w:val="24"/>
                <w:szCs w:val="24"/>
                <w:shd w:val="clear" w:color="auto" w:fill="auto"/>
                <w:lang w:eastAsia="zh-CN"/>
              </w:rPr>
              <w:t>，</w:t>
            </w:r>
            <w:r>
              <w:rPr>
                <w:rFonts w:hint="eastAsia" w:ascii="宋体" w:hAnsi="宋体" w:cs="宋体"/>
                <w:color w:val="auto"/>
                <w:kern w:val="0"/>
                <w:sz w:val="24"/>
                <w:szCs w:val="24"/>
                <w:lang w:val="en-US" w:eastAsia="zh-CN"/>
              </w:rPr>
              <w:t>以</w:t>
            </w:r>
            <w:r>
              <w:rPr>
                <w:rFonts w:hint="eastAsia" w:ascii="宋体" w:hAnsi="宋体" w:cs="宋体"/>
                <w:color w:val="auto"/>
                <w:kern w:val="0"/>
                <w:sz w:val="24"/>
                <w:szCs w:val="24"/>
              </w:rPr>
              <w:t>计提比例</w:t>
            </w:r>
            <w:r>
              <w:rPr>
                <w:rFonts w:hint="eastAsia" w:ascii="宋体" w:hAnsi="宋体" w:cs="宋体"/>
                <w:color w:val="auto"/>
                <w:kern w:val="0"/>
                <w:sz w:val="24"/>
                <w:szCs w:val="24"/>
                <w:lang w:val="en-US" w:eastAsia="zh-CN"/>
              </w:rPr>
              <w:t>为基数，市场化管理人</w:t>
            </w:r>
            <w:r>
              <w:rPr>
                <w:rFonts w:hint="eastAsia" w:ascii="宋体" w:hAnsi="宋体" w:cs="宋体"/>
                <w:color w:val="auto"/>
                <w:kern w:val="0"/>
                <w:sz w:val="24"/>
                <w:szCs w:val="24"/>
              </w:rPr>
              <w:t>管理费</w:t>
            </w:r>
            <w:r>
              <w:rPr>
                <w:rFonts w:hint="eastAsia" w:ascii="宋体" w:hAnsi="宋体" w:cs="宋体"/>
                <w:color w:val="auto"/>
                <w:kern w:val="0"/>
                <w:sz w:val="24"/>
                <w:szCs w:val="24"/>
                <w:lang w:val="en-US" w:eastAsia="zh-CN"/>
              </w:rPr>
              <w:t>收取比例填报范围为：</w:t>
            </w:r>
            <w:r>
              <w:rPr>
                <w:rFonts w:hint="eastAsia" w:ascii="宋体" w:hAnsi="宋体" w:cs="宋体"/>
                <w:b/>
                <w:bCs/>
                <w:color w:val="auto"/>
                <w:kern w:val="0"/>
                <w:sz w:val="24"/>
                <w:szCs w:val="24"/>
                <w:lang w:val="en-US" w:eastAsia="zh-CN"/>
              </w:rPr>
              <w:t>0（含）</w:t>
            </w:r>
            <w:r>
              <w:rPr>
                <w:rFonts w:hint="eastAsia" w:ascii="微软雅黑" w:hAnsi="微软雅黑" w:eastAsia="微软雅黑" w:cs="微软雅黑"/>
                <w:b/>
                <w:bCs/>
                <w:color w:val="auto"/>
                <w:kern w:val="0"/>
                <w:sz w:val="24"/>
                <w:szCs w:val="24"/>
                <w:lang w:val="en-US" w:eastAsia="zh-CN"/>
              </w:rPr>
              <w:t>~</w:t>
            </w:r>
            <w:r>
              <w:rPr>
                <w:rFonts w:hint="eastAsia" w:ascii="宋体" w:hAnsi="宋体" w:cs="宋体"/>
                <w:b/>
                <w:bCs/>
                <w:color w:val="auto"/>
                <w:kern w:val="0"/>
                <w:sz w:val="24"/>
                <w:szCs w:val="24"/>
                <w:lang w:val="en-US" w:eastAsia="zh-CN"/>
              </w:rPr>
              <w:t>100%（含），且为整数填报，否则为无效报价。</w:t>
            </w:r>
            <w:r>
              <w:rPr>
                <w:rFonts w:hint="eastAsia"/>
                <w:b/>
                <w:bCs/>
                <w:color w:val="auto"/>
                <w:sz w:val="24"/>
                <w:szCs w:val="24"/>
                <w:lang w:val="en-US" w:eastAsia="zh-CN"/>
              </w:rPr>
              <w:t>（如：报价为81.2%、101%的均为无效报价，78%为有效报价）</w:t>
            </w:r>
          </w:p>
        </w:tc>
      </w:tr>
      <w:tr w14:paraId="0646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44997CED">
            <w:pPr>
              <w:spacing w:line="360" w:lineRule="exact"/>
              <w:jc w:val="center"/>
              <w:rPr>
                <w:rFonts w:ascii="宋体" w:hAnsi="宋体" w:cs="宋体"/>
                <w:color w:val="auto"/>
                <w:sz w:val="24"/>
                <w:szCs w:val="24"/>
              </w:rPr>
            </w:pPr>
            <w:r>
              <w:rPr>
                <w:rFonts w:hint="eastAsia" w:ascii="宋体" w:hAnsi="宋体" w:cs="宋体"/>
                <w:color w:val="auto"/>
                <w:sz w:val="24"/>
                <w:szCs w:val="24"/>
              </w:rPr>
              <w:t>8</w:t>
            </w:r>
          </w:p>
        </w:tc>
        <w:tc>
          <w:tcPr>
            <w:tcW w:w="8685" w:type="dxa"/>
            <w:vAlign w:val="center"/>
          </w:tcPr>
          <w:p w14:paraId="2A048228">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评标委员会构成：5人或5人以上单数。</w:t>
            </w:r>
          </w:p>
        </w:tc>
      </w:tr>
      <w:tr w14:paraId="6857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0C2DA2B1">
            <w:pPr>
              <w:spacing w:line="360" w:lineRule="exact"/>
              <w:jc w:val="center"/>
              <w:rPr>
                <w:rFonts w:ascii="宋体" w:hAnsi="宋体" w:cs="宋体"/>
                <w:color w:val="auto"/>
                <w:sz w:val="24"/>
                <w:szCs w:val="24"/>
              </w:rPr>
            </w:pPr>
            <w:r>
              <w:rPr>
                <w:rFonts w:hint="eastAsia" w:ascii="宋体" w:hAnsi="宋体" w:cs="宋体"/>
                <w:color w:val="auto"/>
                <w:sz w:val="24"/>
                <w:szCs w:val="24"/>
              </w:rPr>
              <w:t>9</w:t>
            </w:r>
          </w:p>
        </w:tc>
        <w:tc>
          <w:tcPr>
            <w:tcW w:w="8685" w:type="dxa"/>
            <w:vAlign w:val="center"/>
          </w:tcPr>
          <w:p w14:paraId="1C9E9586">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履约保证金的金额：本项目不收履约保证金。</w:t>
            </w:r>
          </w:p>
        </w:tc>
      </w:tr>
      <w:tr w14:paraId="0261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3" w:type="dxa"/>
            <w:vAlign w:val="center"/>
          </w:tcPr>
          <w:p w14:paraId="444B6C0C">
            <w:pPr>
              <w:spacing w:line="360" w:lineRule="exact"/>
              <w:jc w:val="center"/>
              <w:rPr>
                <w:rFonts w:ascii="宋体" w:hAnsi="宋体" w:cs="宋体"/>
                <w:color w:val="auto"/>
                <w:sz w:val="24"/>
                <w:szCs w:val="24"/>
              </w:rPr>
            </w:pPr>
            <w:r>
              <w:rPr>
                <w:rFonts w:hint="eastAsia" w:ascii="宋体" w:hAnsi="宋体" w:cs="宋体"/>
                <w:color w:val="auto"/>
                <w:sz w:val="24"/>
                <w:szCs w:val="24"/>
              </w:rPr>
              <w:t>10</w:t>
            </w:r>
          </w:p>
        </w:tc>
        <w:tc>
          <w:tcPr>
            <w:tcW w:w="8685" w:type="dxa"/>
            <w:vAlign w:val="center"/>
          </w:tcPr>
          <w:p w14:paraId="57B9D50B">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招标人：南通宝月湖科创投资集团有限公司</w:t>
            </w:r>
          </w:p>
          <w:p w14:paraId="19DC46ED">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地址：</w:t>
            </w:r>
            <w:r>
              <w:rPr>
                <w:rFonts w:hint="eastAsia" w:ascii="宋体" w:hAnsi="宋体" w:cs="宋体"/>
                <w:color w:val="auto"/>
                <w:kern w:val="0"/>
                <w:sz w:val="24"/>
                <w:szCs w:val="24"/>
                <w:lang w:val="en-US" w:eastAsia="zh-CN"/>
              </w:rPr>
              <w:t>崇川区江海大道696号和丰大厦</w:t>
            </w:r>
          </w:p>
          <w:p w14:paraId="671D7FA7">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val="en-US" w:eastAsia="zh-CN"/>
              </w:rPr>
              <w:t>熊女士</w:t>
            </w:r>
          </w:p>
          <w:p w14:paraId="5AB665E9">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联系电话：</w:t>
            </w:r>
            <w:r>
              <w:rPr>
                <w:rFonts w:hint="eastAsia" w:ascii="宋体" w:hAnsi="宋体" w:cs="宋体"/>
                <w:color w:val="auto"/>
                <w:kern w:val="0"/>
                <w:sz w:val="24"/>
                <w:szCs w:val="24"/>
                <w:lang w:val="en-US" w:eastAsia="zh-CN"/>
              </w:rPr>
              <w:t>15962751790</w:t>
            </w:r>
          </w:p>
        </w:tc>
      </w:tr>
      <w:tr w14:paraId="0C23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3" w:type="dxa"/>
            <w:vAlign w:val="center"/>
          </w:tcPr>
          <w:p w14:paraId="7710FB9B">
            <w:pPr>
              <w:spacing w:line="360" w:lineRule="exact"/>
              <w:jc w:val="center"/>
              <w:rPr>
                <w:rFonts w:ascii="宋体" w:hAnsi="宋体" w:cs="宋体"/>
                <w:color w:val="auto"/>
                <w:sz w:val="24"/>
                <w:szCs w:val="24"/>
              </w:rPr>
            </w:pPr>
            <w:r>
              <w:rPr>
                <w:rFonts w:hint="eastAsia" w:ascii="宋体" w:hAnsi="宋体" w:cs="宋体"/>
                <w:color w:val="auto"/>
                <w:sz w:val="24"/>
                <w:szCs w:val="24"/>
              </w:rPr>
              <w:t>11</w:t>
            </w:r>
          </w:p>
        </w:tc>
        <w:tc>
          <w:tcPr>
            <w:tcW w:w="8685" w:type="dxa"/>
            <w:vAlign w:val="center"/>
          </w:tcPr>
          <w:p w14:paraId="2F714EE0">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招标代理机构：江苏海审工程咨询有限公司</w:t>
            </w:r>
          </w:p>
          <w:p w14:paraId="09F0EEDD">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地址：南通市崇川区星城路299号创源科技园3号楼501室</w:t>
            </w:r>
          </w:p>
          <w:p w14:paraId="6DC23217">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联系人：</w:t>
            </w:r>
            <w:r>
              <w:rPr>
                <w:rFonts w:hint="eastAsia" w:ascii="宋体" w:hAnsi="宋体" w:eastAsia="宋体" w:cs="宋体"/>
                <w:color w:val="auto"/>
                <w:kern w:val="0"/>
                <w:sz w:val="24"/>
                <w:szCs w:val="24"/>
              </w:rPr>
              <w:t>朱一仁</w:t>
            </w:r>
          </w:p>
          <w:p w14:paraId="08825C04">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联系电话：</w:t>
            </w:r>
            <w:r>
              <w:rPr>
                <w:rFonts w:hint="eastAsia" w:ascii="宋体" w:hAnsi="宋体" w:eastAsia="宋体" w:cs="宋体"/>
                <w:color w:val="auto"/>
                <w:kern w:val="0"/>
                <w:sz w:val="24"/>
                <w:szCs w:val="24"/>
              </w:rPr>
              <w:t>18068996360</w:t>
            </w:r>
          </w:p>
        </w:tc>
      </w:tr>
    </w:tbl>
    <w:p w14:paraId="7421C4E4">
      <w:pPr>
        <w:widowControl/>
        <w:jc w:val="center"/>
        <w:rPr>
          <w:rFonts w:ascii="宋体" w:hAnsi="宋体" w:cs="宋体"/>
          <w:b/>
          <w:bCs/>
          <w:color w:val="auto"/>
          <w:sz w:val="36"/>
          <w:szCs w:val="36"/>
        </w:rPr>
      </w:pPr>
      <w:r>
        <w:rPr>
          <w:rFonts w:hint="eastAsia" w:ascii="宋体" w:hAnsi="宋体" w:cs="宋体"/>
          <w:b/>
          <w:bCs/>
          <w:color w:val="auto"/>
          <w:sz w:val="36"/>
          <w:szCs w:val="36"/>
        </w:rPr>
        <w:br w:type="page"/>
      </w:r>
      <w:r>
        <w:rPr>
          <w:rFonts w:hint="eastAsia" w:ascii="宋体" w:hAnsi="宋体" w:cs="宋体"/>
          <w:b/>
          <w:bCs/>
          <w:color w:val="auto"/>
          <w:sz w:val="36"/>
          <w:szCs w:val="36"/>
        </w:rPr>
        <w:t>二、投标须知</w:t>
      </w:r>
    </w:p>
    <w:p w14:paraId="1B2D5D7B">
      <w:pPr>
        <w:keepNext w:val="0"/>
        <w:keepLines w:val="0"/>
        <w:pageBreakBefore w:val="0"/>
        <w:widowControl w:val="0"/>
        <w:kinsoku/>
        <w:wordWrap/>
        <w:overflowPunct/>
        <w:topLinePunct w:val="0"/>
        <w:autoSpaceDE/>
        <w:autoSpaceDN/>
        <w:bidi w:val="0"/>
        <w:snapToGrid/>
        <w:spacing w:line="360" w:lineRule="auto"/>
        <w:jc w:val="center"/>
        <w:textAlignment w:val="auto"/>
        <w:rPr>
          <w:rFonts w:ascii="宋体" w:hAnsi="宋体" w:cs="宋体"/>
          <w:b/>
          <w:color w:val="auto"/>
          <w:sz w:val="24"/>
          <w:szCs w:val="24"/>
        </w:rPr>
      </w:pPr>
      <w:bookmarkStart w:id="6" w:name="_Toc513635961"/>
      <w:r>
        <w:rPr>
          <w:rFonts w:hint="eastAsia" w:ascii="宋体" w:hAnsi="宋体" w:cs="宋体"/>
          <w:b/>
          <w:color w:val="auto"/>
          <w:sz w:val="24"/>
          <w:szCs w:val="24"/>
        </w:rPr>
        <w:t>（一）总则</w:t>
      </w:r>
      <w:bookmarkEnd w:id="6"/>
    </w:p>
    <w:p w14:paraId="31143140">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1、项目说明</w:t>
      </w:r>
    </w:p>
    <w:p w14:paraId="60F3483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1.1本招标项目说明详见投标须知前附表（以下简称“前附表”）第1项。</w:t>
      </w:r>
    </w:p>
    <w:p w14:paraId="5C0E95A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1.2本招标项目按照《中华人民共和国招标投标法》等有关法律、行政法规和部门规章以及地方政府部门有关规定。通过</w:t>
      </w:r>
      <w:r>
        <w:rPr>
          <w:rFonts w:hint="eastAsia" w:ascii="宋体" w:hAnsi="宋体" w:cs="宋体"/>
          <w:b/>
          <w:bCs/>
          <w:color w:val="auto"/>
          <w:sz w:val="24"/>
          <w:szCs w:val="24"/>
          <w:u w:val="single"/>
        </w:rPr>
        <w:t>公开招标</w:t>
      </w:r>
      <w:r>
        <w:rPr>
          <w:rFonts w:hint="eastAsia" w:ascii="宋体" w:hAnsi="宋体" w:cs="宋体"/>
          <w:color w:val="auto"/>
          <w:sz w:val="24"/>
          <w:szCs w:val="24"/>
        </w:rPr>
        <w:t>方式选定基金管理</w:t>
      </w:r>
      <w:r>
        <w:rPr>
          <w:rFonts w:hint="eastAsia" w:ascii="宋体" w:hAnsi="宋体" w:cs="宋体"/>
          <w:color w:val="auto"/>
          <w:sz w:val="24"/>
          <w:szCs w:val="24"/>
          <w:lang w:val="en-US" w:eastAsia="zh-CN"/>
        </w:rPr>
        <w:t>人</w:t>
      </w:r>
      <w:r>
        <w:rPr>
          <w:rFonts w:hint="eastAsia" w:ascii="宋体" w:hAnsi="宋体" w:cs="宋体"/>
          <w:color w:val="auto"/>
          <w:sz w:val="24"/>
          <w:szCs w:val="24"/>
        </w:rPr>
        <w:t>单位。</w:t>
      </w:r>
    </w:p>
    <w:p w14:paraId="2489E54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2、招标内容和范围</w:t>
      </w:r>
    </w:p>
    <w:p w14:paraId="73BAFC02">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本次招标的内容和范围见前附表第2项；</w:t>
      </w:r>
    </w:p>
    <w:p w14:paraId="50A4442A">
      <w:pPr>
        <w:keepNext w:val="0"/>
        <w:keepLines w:val="0"/>
        <w:pageBreakBefore w:val="0"/>
        <w:widowControl w:val="0"/>
        <w:numPr>
          <w:ilvl w:val="0"/>
          <w:numId w:val="1"/>
        </w:numPr>
        <w:kinsoku/>
        <w:wordWrap/>
        <w:overflowPunct/>
        <w:topLinePunct w:val="0"/>
        <w:autoSpaceDE/>
        <w:autoSpaceDN/>
        <w:bidi w:val="0"/>
        <w:snapToGrid/>
        <w:spacing w:line="360" w:lineRule="auto"/>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资金来源</w:t>
      </w:r>
    </w:p>
    <w:p w14:paraId="491A695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企业自有资金</w:t>
      </w:r>
    </w:p>
    <w:p w14:paraId="01E7326D">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4、投标资格要求</w:t>
      </w:r>
    </w:p>
    <w:p w14:paraId="57555E9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4.1</w:t>
      </w:r>
      <w:r>
        <w:rPr>
          <w:color w:val="auto"/>
          <w:sz w:val="24"/>
          <w:szCs w:val="24"/>
        </w:rPr>
        <w:t>在中华人民共和国境内注册，具有独立承担民事责任能力的主体</w:t>
      </w:r>
      <w:r>
        <w:rPr>
          <w:rFonts w:hint="eastAsia" w:ascii="宋体" w:hAnsi="宋体" w:cs="宋体"/>
          <w:color w:val="auto"/>
          <w:sz w:val="24"/>
          <w:szCs w:val="24"/>
        </w:rPr>
        <w:t>；</w:t>
      </w:r>
    </w:p>
    <w:p w14:paraId="4C79819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
          <w:color w:val="auto"/>
          <w:sz w:val="24"/>
          <w:szCs w:val="24"/>
          <w:u w:val="single"/>
        </w:rPr>
      </w:pPr>
      <w:r>
        <w:rPr>
          <w:rFonts w:hint="eastAsia" w:ascii="宋体" w:hAnsi="宋体" w:cs="宋体"/>
          <w:color w:val="auto"/>
          <w:sz w:val="24"/>
          <w:szCs w:val="24"/>
        </w:rPr>
        <w:t>4.2未被“信用中国”网站（www.creditchina.gov.cn）、“中国政府采购网”（www.ccgp.gov.cn）列入失信被执行人、重大税收违法案件当事人名单。</w:t>
      </w:r>
    </w:p>
    <w:p w14:paraId="1B1DD77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4.3投标人实缴资本不少于1000万元人民币，投标时须提供会计师事务所出具的验资报告；</w:t>
      </w:r>
    </w:p>
    <w:p w14:paraId="113BB59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4.4投标人须在中国证券投资基金业协会完成管理人登记，投标时须提供投标人的基金业协会登记证明；</w:t>
      </w:r>
    </w:p>
    <w:p w14:paraId="3D10A6D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4.5投标人须承诺中标后配备专属且稳定的管理团队，管理团队须包括至少3名具备5年以上产业项目投资经验或相关行业经验的高级管理人员，该3名核心人员作为基金的关键人非经合伙人会议同意，中标人不得擅自变更。投标时须出具符合要求的承诺书，格式自拟。</w:t>
      </w:r>
    </w:p>
    <w:p w14:paraId="7E56DA9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4.6本项目不接受联合体投标。</w:t>
      </w:r>
    </w:p>
    <w:p w14:paraId="3E8CB129">
      <w:pPr>
        <w:keepNext w:val="0"/>
        <w:keepLines w:val="0"/>
        <w:pageBreakBefore w:val="0"/>
        <w:widowControl w:val="0"/>
        <w:kinsoku/>
        <w:wordWrap/>
        <w:overflowPunct/>
        <w:topLinePunct w:val="0"/>
        <w:autoSpaceDE/>
        <w:autoSpaceDN/>
        <w:bidi w:val="0"/>
        <w:snapToGrid/>
        <w:spacing w:line="360" w:lineRule="auto"/>
        <w:ind w:firstLine="456"/>
        <w:textAlignment w:val="auto"/>
        <w:rPr>
          <w:rFonts w:ascii="宋体" w:hAnsi="宋体" w:cs="宋体"/>
          <w:b/>
          <w:color w:val="auto"/>
          <w:sz w:val="24"/>
          <w:szCs w:val="24"/>
        </w:rPr>
      </w:pPr>
      <w:r>
        <w:rPr>
          <w:rFonts w:hint="eastAsia" w:ascii="宋体" w:hAnsi="宋体" w:cs="宋体"/>
          <w:b/>
          <w:color w:val="auto"/>
          <w:sz w:val="24"/>
          <w:szCs w:val="24"/>
        </w:rPr>
        <w:t>其他要求:未尽事宜具体详见本招标文件第二章评标办法中的资格审查必要合格标准。</w:t>
      </w:r>
    </w:p>
    <w:p w14:paraId="6508933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5、投标费用</w:t>
      </w:r>
    </w:p>
    <w:p w14:paraId="61247609">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5.1投标人应承担其编制投标文件以及递交投标文件所涉及的一切费用。无论投标结果如何，招标人对上述费用不负任何责任。</w:t>
      </w:r>
    </w:p>
    <w:p w14:paraId="52E772A4">
      <w:pPr>
        <w:keepNext w:val="0"/>
        <w:keepLines w:val="0"/>
        <w:pageBreakBefore w:val="0"/>
        <w:widowControl w:val="0"/>
        <w:kinsoku/>
        <w:wordWrap/>
        <w:overflowPunct/>
        <w:topLinePunct w:val="0"/>
        <w:autoSpaceDE/>
        <w:autoSpaceDN/>
        <w:bidi w:val="0"/>
        <w:snapToGrid/>
        <w:spacing w:line="360" w:lineRule="auto"/>
        <w:jc w:val="center"/>
        <w:textAlignment w:val="auto"/>
        <w:rPr>
          <w:rFonts w:ascii="宋体" w:hAnsi="宋体" w:cs="宋体"/>
          <w:b/>
          <w:color w:val="auto"/>
          <w:sz w:val="24"/>
          <w:szCs w:val="24"/>
        </w:rPr>
      </w:pPr>
      <w:bookmarkStart w:id="7" w:name="_Toc513635962"/>
      <w:bookmarkStart w:id="8" w:name="_Toc2932460"/>
      <w:r>
        <w:rPr>
          <w:rFonts w:hint="eastAsia" w:ascii="宋体" w:hAnsi="宋体" w:cs="宋体"/>
          <w:b/>
          <w:color w:val="auto"/>
          <w:sz w:val="24"/>
          <w:szCs w:val="24"/>
        </w:rPr>
        <w:t>（二）招标文件内容、澄清及修改</w:t>
      </w:r>
      <w:bookmarkEnd w:id="7"/>
      <w:bookmarkEnd w:id="8"/>
    </w:p>
    <w:p w14:paraId="25814503">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6、招标文件的组成</w:t>
      </w:r>
    </w:p>
    <w:p w14:paraId="35196FE8">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6.1招标文件包括下列内容:</w:t>
      </w:r>
    </w:p>
    <w:p w14:paraId="4D149DA9">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第一章：投标须知</w:t>
      </w:r>
    </w:p>
    <w:p w14:paraId="2D9B9EE7">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第二章：评标办法</w:t>
      </w:r>
    </w:p>
    <w:p w14:paraId="40AC10EC">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第三章：合同条款</w:t>
      </w:r>
    </w:p>
    <w:p w14:paraId="49580843">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第四章：项目需求说明</w:t>
      </w:r>
    </w:p>
    <w:p w14:paraId="7DFE679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第五章：投标文件格式</w:t>
      </w:r>
    </w:p>
    <w:p w14:paraId="6222B935">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6.2除上述内容外，招标人根据本章第7款对招标文件所作的澄清、修改、补充和答疑，构成招标文件的组成部分。</w:t>
      </w:r>
    </w:p>
    <w:p w14:paraId="4EA96C70">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7、招标文件的澄清及修改</w:t>
      </w:r>
    </w:p>
    <w:p w14:paraId="1066E142">
      <w:pPr>
        <w:keepNext w:val="0"/>
        <w:keepLines w:val="0"/>
        <w:pageBreakBefore w:val="0"/>
        <w:widowControl w:val="0"/>
        <w:kinsoku/>
        <w:wordWrap/>
        <w:overflowPunct/>
        <w:topLinePunct w:val="0"/>
        <w:autoSpaceDE/>
        <w:autoSpaceDN/>
        <w:bidi w:val="0"/>
        <w:snapToGrid/>
        <w:spacing w:line="360" w:lineRule="auto"/>
        <w:ind w:left="218" w:leftChars="104" w:firstLine="240" w:firstLineChars="100"/>
        <w:textAlignment w:val="auto"/>
        <w:rPr>
          <w:rFonts w:ascii="宋体" w:hAnsi="宋体" w:cs="宋体"/>
          <w:color w:val="auto"/>
          <w:sz w:val="24"/>
          <w:szCs w:val="24"/>
        </w:rPr>
      </w:pPr>
      <w:r>
        <w:rPr>
          <w:rFonts w:hint="eastAsia" w:ascii="宋体" w:hAnsi="宋体" w:cs="宋体"/>
          <w:color w:val="auto"/>
          <w:sz w:val="24"/>
          <w:szCs w:val="24"/>
        </w:rPr>
        <w:t>7.1</w:t>
      </w:r>
      <w:r>
        <w:rPr>
          <w:rFonts w:hint="eastAsia" w:ascii="宋体" w:hAnsi="宋体" w:cs="宋体"/>
          <w:color w:val="auto"/>
          <w:kern w:val="0"/>
          <w:sz w:val="24"/>
          <w:szCs w:val="24"/>
        </w:rPr>
        <w:t xml:space="preserve">投标人要求澄清招标文件的截止时间：投标人若对招标文件有任何疑问，须在 </w:t>
      </w:r>
      <w:r>
        <w:rPr>
          <w:rFonts w:hint="eastAsia" w:ascii="宋体" w:hAnsi="宋体" w:cs="宋体"/>
          <w:b/>
          <w:color w:val="auto"/>
          <w:kern w:val="0"/>
          <w:sz w:val="24"/>
          <w:szCs w:val="24"/>
          <w:u w:val="single"/>
        </w:rPr>
        <w:t>202</w:t>
      </w:r>
      <w:r>
        <w:rPr>
          <w:rFonts w:hint="eastAsia" w:ascii="宋体" w:hAnsi="宋体" w:cs="宋体"/>
          <w:b/>
          <w:color w:val="auto"/>
          <w:kern w:val="0"/>
          <w:sz w:val="24"/>
          <w:szCs w:val="24"/>
          <w:u w:val="single"/>
          <w:lang w:val="en-US" w:eastAsia="zh-CN"/>
        </w:rPr>
        <w:t>5</w:t>
      </w:r>
      <w:r>
        <w:rPr>
          <w:rFonts w:hint="eastAsia" w:ascii="宋体" w:hAnsi="宋体" w:cs="宋体"/>
          <w:b/>
          <w:color w:val="auto"/>
          <w:kern w:val="0"/>
          <w:sz w:val="24"/>
          <w:szCs w:val="24"/>
          <w:u w:val="single"/>
        </w:rPr>
        <w:t>年</w:t>
      </w:r>
      <w:r>
        <w:rPr>
          <w:rFonts w:hint="eastAsia" w:ascii="宋体" w:hAnsi="宋体" w:cs="宋体"/>
          <w:b/>
          <w:color w:val="auto"/>
          <w:kern w:val="0"/>
          <w:sz w:val="24"/>
          <w:szCs w:val="24"/>
          <w:u w:val="single"/>
          <w:lang w:val="en-US" w:eastAsia="zh-CN"/>
        </w:rPr>
        <w:t>10</w:t>
      </w:r>
      <w:r>
        <w:rPr>
          <w:rFonts w:hint="eastAsia" w:ascii="宋体" w:hAnsi="宋体" w:cs="宋体"/>
          <w:b/>
          <w:color w:val="auto"/>
          <w:kern w:val="0"/>
          <w:sz w:val="24"/>
          <w:szCs w:val="24"/>
          <w:u w:val="single"/>
        </w:rPr>
        <w:t>月</w:t>
      </w:r>
      <w:r>
        <w:rPr>
          <w:rFonts w:hint="eastAsia" w:ascii="宋体" w:hAnsi="宋体" w:cs="宋体"/>
          <w:b/>
          <w:color w:val="auto"/>
          <w:kern w:val="0"/>
          <w:sz w:val="24"/>
          <w:szCs w:val="24"/>
          <w:u w:val="single"/>
          <w:lang w:val="en-US" w:eastAsia="zh-CN"/>
        </w:rPr>
        <w:t>14</w:t>
      </w:r>
      <w:r>
        <w:rPr>
          <w:rFonts w:hint="eastAsia" w:ascii="宋体" w:hAnsi="宋体" w:cs="宋体"/>
          <w:b/>
          <w:color w:val="auto"/>
          <w:kern w:val="0"/>
          <w:sz w:val="24"/>
          <w:szCs w:val="24"/>
          <w:u w:val="single"/>
        </w:rPr>
        <w:t>日17时00分</w:t>
      </w:r>
      <w:r>
        <w:rPr>
          <w:rFonts w:hint="eastAsia" w:ascii="宋体" w:hAnsi="宋体" w:cs="宋体"/>
          <w:color w:val="auto"/>
          <w:kern w:val="0"/>
          <w:sz w:val="24"/>
          <w:szCs w:val="24"/>
        </w:rPr>
        <w:t>前（不具单位名称）以电子邮件形式递交至邮箱</w:t>
      </w:r>
      <w:r>
        <w:rPr>
          <w:rFonts w:hint="eastAsia" w:ascii="宋体" w:hAnsi="宋体" w:cs="宋体"/>
          <w:color w:val="auto"/>
          <w:kern w:val="0"/>
          <w:sz w:val="24"/>
          <w:szCs w:val="24"/>
          <w:lang w:val="en-US" w:eastAsia="zh-CN"/>
        </w:rPr>
        <w:t>rudychu</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foxmail</w:t>
      </w:r>
      <w:r>
        <w:rPr>
          <w:rFonts w:hint="eastAsia" w:ascii="宋体" w:hAnsi="宋体" w:cs="宋体"/>
          <w:color w:val="auto"/>
          <w:kern w:val="0"/>
          <w:sz w:val="24"/>
          <w:szCs w:val="24"/>
        </w:rPr>
        <w:t>.com 提出澄清要求。招标人可以对已发出的招标文件进行必要的澄清或修改，澄清或者修改的内容可能影响投标文件编制的，招标人应当在投标截止时间至少15日前，以电子形式通知所有获取招标文件的潜在投标人，不足15日的，招标人应当顺延提交投标文件的截止时间。补充通知在“南通市崇川区人民政府网-公示公告”上发布，补充通知为招标文件的组成部分，与招标文件具有同等效力。</w:t>
      </w:r>
    </w:p>
    <w:p w14:paraId="3D6B94A2">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7.2投标人对招标人提供的招标文件所做出的推论、解释和结论，招标人概不负责。投标人由于对招标文件的任何推论和误解以及招标人对有关问题的口头解释所造成的后果，均由投标人自负。</w:t>
      </w:r>
    </w:p>
    <w:p w14:paraId="1AD6DAE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7.3为使投标人在编制投标文件时，将补充通知修改的内容考虑进去，招标人根据情况可以延长投标截止时间（延长时间在补充通知中写明）。</w:t>
      </w:r>
    </w:p>
    <w:p w14:paraId="37556013">
      <w:pPr>
        <w:spacing w:line="440" w:lineRule="exact"/>
        <w:jc w:val="center"/>
        <w:rPr>
          <w:rFonts w:ascii="宋体" w:hAnsi="宋体" w:cs="宋体"/>
          <w:b/>
          <w:color w:val="auto"/>
          <w:sz w:val="22"/>
          <w:szCs w:val="22"/>
        </w:rPr>
      </w:pPr>
    </w:p>
    <w:p w14:paraId="54004E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(三)投标报价</w:t>
      </w:r>
    </w:p>
    <w:p w14:paraId="0E3A2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8、投标报价</w:t>
      </w:r>
    </w:p>
    <w:p w14:paraId="63F461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8.1投标报价要求： </w:t>
      </w:r>
    </w:p>
    <w:p w14:paraId="5180B3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本项目市场化管理人管理费收取比例采用固定</w:t>
      </w:r>
      <w:r>
        <w:rPr>
          <w:rFonts w:hint="eastAsia" w:ascii="宋体" w:hAnsi="宋体" w:eastAsia="宋体" w:cs="宋体"/>
          <w:color w:val="auto"/>
          <w:sz w:val="24"/>
          <w:szCs w:val="24"/>
          <w:lang w:val="en-US" w:eastAsia="zh-CN"/>
        </w:rPr>
        <w:t>比例</w:t>
      </w:r>
      <w:r>
        <w:rPr>
          <w:rFonts w:hint="eastAsia" w:ascii="宋体" w:hAnsi="宋体" w:eastAsia="宋体" w:cs="宋体"/>
          <w:color w:val="auto"/>
          <w:sz w:val="24"/>
          <w:szCs w:val="24"/>
        </w:rPr>
        <w:t>报价，</w:t>
      </w:r>
      <w:r>
        <w:rPr>
          <w:rFonts w:hint="eastAsia" w:ascii="宋体" w:hAnsi="宋体" w:eastAsia="宋体" w:cs="宋体"/>
          <w:b/>
          <w:color w:val="auto"/>
          <w:sz w:val="24"/>
          <w:szCs w:val="24"/>
        </w:rPr>
        <w:t>以基金实缴规模为计提基数，投资子基金部分管理费计提比例</w:t>
      </w:r>
      <w:r>
        <w:rPr>
          <w:rFonts w:hint="eastAsia" w:ascii="宋体" w:hAnsi="宋体" w:eastAsia="宋体" w:cs="宋体"/>
          <w:b/>
          <w:color w:val="auto"/>
          <w:sz w:val="24"/>
          <w:szCs w:val="24"/>
          <w:lang w:val="en-US" w:eastAsia="zh-CN"/>
        </w:rPr>
        <w:t>为</w:t>
      </w:r>
      <w:r>
        <w:rPr>
          <w:rFonts w:hint="eastAsia" w:ascii="宋体" w:hAnsi="宋体" w:eastAsia="宋体" w:cs="宋体"/>
          <w:b/>
          <w:color w:val="auto"/>
          <w:sz w:val="24"/>
          <w:szCs w:val="24"/>
        </w:rPr>
        <w:t>0.5%/年，直接投资项目部</w:t>
      </w:r>
      <w:r>
        <w:rPr>
          <w:rFonts w:hint="eastAsia" w:ascii="宋体" w:hAnsi="宋体" w:eastAsia="宋体" w:cs="宋体"/>
          <w:b/>
          <w:bCs/>
          <w:color w:val="auto"/>
          <w:sz w:val="24"/>
          <w:szCs w:val="24"/>
        </w:rPr>
        <w:t>分管理费计提比例</w:t>
      </w:r>
      <w:r>
        <w:rPr>
          <w:rFonts w:hint="eastAsia" w:ascii="宋体" w:hAnsi="宋体" w:eastAsia="宋体" w:cs="宋体"/>
          <w:b/>
          <w:bCs/>
          <w:color w:val="auto"/>
          <w:sz w:val="24"/>
          <w:szCs w:val="24"/>
          <w:lang w:val="en-US" w:eastAsia="zh-CN"/>
        </w:rPr>
        <w:t>为</w:t>
      </w:r>
      <w:r>
        <w:rPr>
          <w:rFonts w:hint="eastAsia" w:ascii="宋体" w:hAnsi="宋体" w:eastAsia="宋体" w:cs="宋体"/>
          <w:b/>
          <w:bCs/>
          <w:color w:val="auto"/>
          <w:sz w:val="24"/>
          <w:szCs w:val="24"/>
        </w:rPr>
        <w:t>1.5%/年。</w:t>
      </w:r>
    </w:p>
    <w:p w14:paraId="5D86BE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本项目管理费由国资及市场化管理人共同收取，以计提比例为基数，市场化管理人管理费收取比例填报范围为：0</w:t>
      </w:r>
      <w:r>
        <w:rPr>
          <w:rFonts w:hint="eastAsia" w:ascii="宋体" w:hAnsi="宋体" w:cs="宋体"/>
          <w:b/>
          <w:bCs/>
          <w:color w:val="auto"/>
          <w:sz w:val="24"/>
          <w:szCs w:val="24"/>
          <w:lang w:val="en-US" w:eastAsia="zh-CN"/>
        </w:rPr>
        <w:t>（含）</w:t>
      </w:r>
      <w:r>
        <w:rPr>
          <w:rFonts w:hint="eastAsia" w:ascii="微软雅黑" w:hAnsi="微软雅黑" w:eastAsia="微软雅黑" w:cs="微软雅黑"/>
          <w:b/>
          <w:bCs/>
          <w:color w:val="auto"/>
          <w:sz w:val="24"/>
          <w:szCs w:val="24"/>
          <w:lang w:val="en-US" w:eastAsia="zh-CN"/>
        </w:rPr>
        <w:t>~</w:t>
      </w:r>
      <w:r>
        <w:rPr>
          <w:rFonts w:hint="eastAsia" w:ascii="宋体" w:hAnsi="宋体" w:eastAsia="宋体" w:cs="宋体"/>
          <w:b/>
          <w:bCs/>
          <w:color w:val="auto"/>
          <w:sz w:val="24"/>
          <w:szCs w:val="24"/>
          <w:lang w:val="en-US" w:eastAsia="zh-CN"/>
        </w:rPr>
        <w:t>100%</w:t>
      </w:r>
      <w:r>
        <w:rPr>
          <w:rFonts w:hint="eastAsia" w:ascii="宋体" w:hAnsi="宋体" w:cs="宋体"/>
          <w:b/>
          <w:bCs/>
          <w:color w:val="auto"/>
          <w:sz w:val="24"/>
          <w:szCs w:val="24"/>
          <w:lang w:val="en-US" w:eastAsia="zh-CN"/>
        </w:rPr>
        <w:t>（含）</w:t>
      </w:r>
      <w:r>
        <w:rPr>
          <w:rFonts w:hint="eastAsia" w:ascii="宋体" w:hAnsi="宋体" w:eastAsia="宋体" w:cs="宋体"/>
          <w:b/>
          <w:bCs/>
          <w:color w:val="auto"/>
          <w:sz w:val="24"/>
          <w:szCs w:val="24"/>
          <w:lang w:val="en-US" w:eastAsia="zh-CN"/>
        </w:rPr>
        <w:t>，且为整数填报，否则为无效报价。（如：报价为81.2%、101%的均为无效报价，78%为有效报价）</w:t>
      </w:r>
    </w:p>
    <w:p w14:paraId="20EB986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投标报价应包括投标单位中标后为完成合同规定的全部工作所需支付的一切费用，包含但不限于中标人履行本合同所需的所有成本、利润及税金等。</w:t>
      </w:r>
    </w:p>
    <w:p w14:paraId="2CB5E32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cs="宋体"/>
          <w:color w:val="auto"/>
          <w:sz w:val="24"/>
          <w:szCs w:val="24"/>
          <w:lang w:val="en-US" w:eastAsia="zh-CN"/>
        </w:rPr>
        <w:t>招标代理费9500元（现金形式）</w:t>
      </w:r>
      <w:r>
        <w:rPr>
          <w:rFonts w:hint="eastAsia" w:ascii="宋体" w:hAnsi="宋体" w:eastAsia="宋体" w:cs="宋体"/>
          <w:color w:val="auto"/>
          <w:sz w:val="24"/>
          <w:szCs w:val="24"/>
        </w:rPr>
        <w:t>含在投标报价中，但不单独列项，请投标人自行考虑在投标报价中，由中标公示结束后，领取中标通知书前向招标代理机构一次付清。</w:t>
      </w:r>
    </w:p>
    <w:p w14:paraId="0D6B7C64">
      <w:pPr>
        <w:pStyle w:val="2"/>
        <w:numPr>
          <w:ilvl w:val="0"/>
          <w:numId w:val="0"/>
        </w:numPr>
        <w:rPr>
          <w:rFonts w:hint="eastAsia"/>
          <w:color w:val="auto"/>
        </w:rPr>
      </w:pPr>
    </w:p>
    <w:p w14:paraId="01BE2A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（四）投标文件</w:t>
      </w:r>
    </w:p>
    <w:p w14:paraId="536E2D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9、投标文件的组成</w:t>
      </w:r>
    </w:p>
    <w:p w14:paraId="2CB57E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本项目投标文件由</w:t>
      </w:r>
      <w:r>
        <w:rPr>
          <w:rFonts w:hint="eastAsia" w:ascii="宋体" w:hAnsi="宋体" w:eastAsia="宋体" w:cs="宋体"/>
          <w:b/>
          <w:bCs/>
          <w:color w:val="auto"/>
          <w:sz w:val="24"/>
          <w:szCs w:val="24"/>
          <w:u w:val="single"/>
        </w:rPr>
        <w:t>资格审查资料、技术标、商务标</w:t>
      </w:r>
      <w:r>
        <w:rPr>
          <w:rFonts w:hint="eastAsia" w:ascii="宋体" w:hAnsi="宋体" w:eastAsia="宋体" w:cs="宋体"/>
          <w:color w:val="auto"/>
          <w:sz w:val="24"/>
          <w:szCs w:val="24"/>
        </w:rPr>
        <w:t>三部分组成，具体应包括以下内容：</w:t>
      </w:r>
    </w:p>
    <w:p w14:paraId="0E74D4F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9.1资格审查资料</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单独密封、单独递交</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w:t>
      </w:r>
    </w:p>
    <w:p w14:paraId="463D02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9.1.1有效的营业执照复印件；</w:t>
      </w:r>
    </w:p>
    <w:p w14:paraId="2A021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9.1.2法定代表人身份证明书原件（格式详见第五章）；</w:t>
      </w:r>
    </w:p>
    <w:p w14:paraId="40470E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9.1.3授权委托书原件(如有授权)（格式详见第五章）；</w:t>
      </w:r>
    </w:p>
    <w:p w14:paraId="13440540">
      <w:pPr>
        <w:keepNext w:val="0"/>
        <w:keepLines w:val="0"/>
        <w:pageBreakBefore w:val="0"/>
        <w:widowControl w:val="0"/>
        <w:tabs>
          <w:tab w:val="left" w:pos="520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9.1.4投标人实缴资本不少于1000万元人民币的证明，提供会计师事务所出具的验资报告复印件；</w:t>
      </w:r>
      <w:r>
        <w:rPr>
          <w:rFonts w:hint="eastAsia" w:ascii="宋体" w:hAnsi="宋体" w:eastAsia="宋体" w:cs="宋体"/>
          <w:color w:val="auto"/>
          <w:sz w:val="24"/>
          <w:szCs w:val="24"/>
        </w:rPr>
        <w:tab/>
      </w:r>
    </w:p>
    <w:p w14:paraId="4D04E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9.1.5投标人在中国证券投资基金业协会完成管理人登记的基金业协会登记证明复印件；</w:t>
      </w:r>
    </w:p>
    <w:p w14:paraId="666BA0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9.1.6投标人承诺中标后配备专属且稳定的管理团队，管理团队须包括至少3名具备5年以上产业项目投资经验或相关行业经验的高级管理人员，该3名核心人员作为基金的关键人非经合伙人会议同意，中标人不得擅自变更。须出具符合要求的承诺书原件，格式自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加盖投标人单位公章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1D647D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9.1.7基金关键人过往履历介绍（格式自拟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加盖投标人单位公章</w:t>
      </w:r>
      <w:r>
        <w:rPr>
          <w:rFonts w:hint="eastAsia" w:ascii="宋体" w:hAnsi="宋体" w:eastAsia="宋体" w:cs="宋体"/>
          <w:color w:val="auto"/>
          <w:sz w:val="24"/>
          <w:szCs w:val="24"/>
        </w:rPr>
        <w:t>）原件；</w:t>
      </w:r>
    </w:p>
    <w:p w14:paraId="389EBD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9.1.8提供“南通宝月湖科技股权投资基金合伙企业（有限合伙）二期管理机构申请登记表”原件（格式详见第五章）；</w:t>
      </w:r>
    </w:p>
    <w:p w14:paraId="008AF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9.1.9“投标人拟派本项目管理团队投资情况表”原件（格式详见第五章）；</w:t>
      </w:r>
    </w:p>
    <w:p w14:paraId="7659CC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9.1.10投标人信用承诺书原件（格式详见第五章）</w:t>
      </w:r>
    </w:p>
    <w:p w14:paraId="00123E2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具体要求详见本招标文件第二章中的《资格审查必要合格条件标准》，资格审查中所有证明材料要求提供复印件的均为有效原件的复印件并加盖投标单位公章。</w:t>
      </w:r>
    </w:p>
    <w:p w14:paraId="37DD36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9.2技术标</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单独密封、单独递交</w:t>
      </w:r>
      <w:r>
        <w:rPr>
          <w:rFonts w:hint="eastAsia" w:ascii="宋体" w:hAnsi="宋体" w:cs="宋体"/>
          <w:b/>
          <w:bCs/>
          <w:color w:val="auto"/>
          <w:sz w:val="24"/>
          <w:szCs w:val="24"/>
          <w:lang w:eastAsia="zh-CN"/>
        </w:rPr>
        <w:t>）</w:t>
      </w:r>
    </w:p>
    <w:p w14:paraId="1A2421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9.2.1具体要求详见第二章评标办法；</w:t>
      </w:r>
    </w:p>
    <w:p w14:paraId="269FC23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注：技术标文件中包括一个U盘，该U盘中含有“现场演示”PPT(或PPTX)格式的电子文件，U盘必须与技术标一起密封</w:t>
      </w:r>
      <w:r>
        <w:rPr>
          <w:rFonts w:hint="eastAsia" w:ascii="宋体" w:hAnsi="宋体" w:eastAsia="宋体" w:cs="宋体"/>
          <w:b/>
          <w:bCs/>
          <w:color w:val="auto"/>
          <w:sz w:val="24"/>
          <w:szCs w:val="24"/>
          <w:lang w:val="en-US" w:eastAsia="zh-CN"/>
        </w:rPr>
        <w:t>递交</w:t>
      </w:r>
      <w:r>
        <w:rPr>
          <w:rFonts w:hint="eastAsia" w:ascii="宋体" w:hAnsi="宋体" w:eastAsia="宋体" w:cs="宋体"/>
          <w:b/>
          <w:bCs/>
          <w:color w:val="auto"/>
          <w:sz w:val="24"/>
          <w:szCs w:val="24"/>
        </w:rPr>
        <w:t>，不得单独递交，若未按招标文件要求递交U盘，其投标文件将作无效标处理。</w:t>
      </w:r>
    </w:p>
    <w:p w14:paraId="25EB88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9.3商务标</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单独密封、单独递交</w:t>
      </w:r>
      <w:r>
        <w:rPr>
          <w:rFonts w:hint="eastAsia" w:ascii="宋体" w:hAnsi="宋体" w:cs="宋体"/>
          <w:b/>
          <w:bCs/>
          <w:color w:val="auto"/>
          <w:sz w:val="24"/>
          <w:szCs w:val="24"/>
          <w:lang w:eastAsia="zh-CN"/>
        </w:rPr>
        <w:t>）</w:t>
      </w:r>
    </w:p>
    <w:p w14:paraId="0FC0240D">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9.3.1报价部分：投标函原件（格式详见第五章）。</w:t>
      </w:r>
    </w:p>
    <w:p w14:paraId="5D1094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具体要求详见本招标文件第二章中的《商务标评审》。</w:t>
      </w:r>
    </w:p>
    <w:p w14:paraId="4AE18A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10、投标保证金（本项目不收投标保证金）</w:t>
      </w:r>
    </w:p>
    <w:p w14:paraId="316E3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11、踏勘现场（本项目无需进行现场踏勘）</w:t>
      </w:r>
    </w:p>
    <w:p w14:paraId="3B879C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p>
    <w:p w14:paraId="666DED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（五）投标文件的密封和递交</w:t>
      </w:r>
    </w:p>
    <w:p w14:paraId="30C4CE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12、投标文件的密封与标志</w:t>
      </w:r>
    </w:p>
    <w:p w14:paraId="1813AE6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12.1投标人的投标文件由资格审查资料、技术标、商务标三部分组成</w:t>
      </w:r>
      <w:r>
        <w:rPr>
          <w:rFonts w:hint="eastAsia" w:ascii="宋体" w:hAnsi="宋体" w:eastAsia="宋体" w:cs="宋体"/>
          <w:b/>
          <w:bCs/>
          <w:color w:val="auto"/>
          <w:sz w:val="24"/>
          <w:szCs w:val="24"/>
          <w:lang w:eastAsia="zh-CN"/>
        </w:rPr>
        <w:t>，每一部分内容均须提供“一正、肆副”纸质投标文件：</w:t>
      </w:r>
    </w:p>
    <w:p w14:paraId="7D07514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①</w:t>
      </w:r>
      <w:r>
        <w:rPr>
          <w:rFonts w:hint="eastAsia" w:ascii="宋体" w:hAnsi="宋体" w:eastAsia="宋体" w:cs="宋体"/>
          <w:b/>
          <w:bCs/>
          <w:color w:val="auto"/>
          <w:sz w:val="24"/>
          <w:szCs w:val="24"/>
        </w:rPr>
        <w:t>资格审查资料</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正本、副本可以合并密封，统一装在一个密封袋或密封箱内，也可以分开密封，如正本和副本分别密封的，应在封袋上标明正</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、副本字样。</w:t>
      </w:r>
    </w:p>
    <w:p w14:paraId="25B574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②</w:t>
      </w:r>
      <w:r>
        <w:rPr>
          <w:rFonts w:hint="eastAsia" w:ascii="宋体" w:hAnsi="宋体" w:eastAsia="宋体" w:cs="宋体"/>
          <w:b/>
          <w:bCs/>
          <w:color w:val="auto"/>
          <w:sz w:val="24"/>
          <w:szCs w:val="24"/>
        </w:rPr>
        <w:t>技术标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正本、副本可以合并密封，统一装在一个密封袋或密封箱内，也可以分开密封，如正本和副本分别密封的，应在封袋上标明正</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、副本字样。</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特别注意：</w:t>
      </w:r>
      <w:r>
        <w:rPr>
          <w:rFonts w:hint="eastAsia" w:ascii="宋体" w:hAnsi="宋体" w:eastAsia="宋体" w:cs="宋体"/>
          <w:b/>
          <w:bCs/>
          <w:color w:val="auto"/>
          <w:sz w:val="24"/>
          <w:szCs w:val="24"/>
        </w:rPr>
        <w:t>技术标文件中</w:t>
      </w:r>
      <w:r>
        <w:rPr>
          <w:rFonts w:hint="eastAsia" w:ascii="宋体" w:hAnsi="宋体" w:eastAsia="宋体" w:cs="宋体"/>
          <w:b/>
          <w:bCs/>
          <w:color w:val="auto"/>
          <w:sz w:val="24"/>
          <w:szCs w:val="24"/>
          <w:lang w:val="en-US" w:eastAsia="zh-CN"/>
        </w:rPr>
        <w:t>还含有</w:t>
      </w:r>
      <w:r>
        <w:rPr>
          <w:rFonts w:hint="eastAsia" w:ascii="宋体" w:hAnsi="宋体" w:eastAsia="宋体" w:cs="宋体"/>
          <w:b/>
          <w:bCs/>
          <w:color w:val="auto"/>
          <w:sz w:val="24"/>
          <w:szCs w:val="24"/>
        </w:rPr>
        <w:t>U盘1</w:t>
      </w:r>
      <w:r>
        <w:rPr>
          <w:rFonts w:hint="eastAsia" w:ascii="宋体" w:hAnsi="宋体" w:eastAsia="宋体" w:cs="宋体"/>
          <w:b/>
          <w:bCs/>
          <w:color w:val="auto"/>
          <w:sz w:val="24"/>
          <w:szCs w:val="24"/>
          <w:lang w:val="en-US" w:eastAsia="zh-CN"/>
        </w:rPr>
        <w:t>个</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w:t>
      </w:r>
    </w:p>
    <w:p w14:paraId="796C34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③</w:t>
      </w:r>
      <w:r>
        <w:rPr>
          <w:rFonts w:hint="eastAsia" w:ascii="宋体" w:hAnsi="宋体" w:eastAsia="宋体" w:cs="宋体"/>
          <w:b/>
          <w:bCs/>
          <w:color w:val="auto"/>
          <w:sz w:val="24"/>
          <w:szCs w:val="24"/>
        </w:rPr>
        <w:t>商务标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正本、副本可以合并密封，统一装在一个密封袋或密封箱内，也可以分开密封，如正本和副本分别密封的，应在封袋上标明正</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、副本字样。</w:t>
      </w:r>
    </w:p>
    <w:p w14:paraId="1D278E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资格审查资料</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技术标</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商务标</w:t>
      </w:r>
      <w:r>
        <w:rPr>
          <w:rFonts w:hint="eastAsia" w:ascii="宋体" w:hAnsi="宋体" w:cs="宋体"/>
          <w:b/>
          <w:bCs/>
          <w:color w:val="auto"/>
          <w:sz w:val="24"/>
          <w:szCs w:val="24"/>
          <w:lang w:val="en-US" w:eastAsia="zh-CN"/>
        </w:rPr>
        <w:t>均应单独密封、单独递交。</w:t>
      </w:r>
      <w:r>
        <w:rPr>
          <w:rFonts w:hint="eastAsia" w:ascii="宋体" w:hAnsi="宋体" w:eastAsia="宋体" w:cs="宋体"/>
          <w:b/>
          <w:bCs/>
          <w:color w:val="auto"/>
          <w:sz w:val="24"/>
          <w:szCs w:val="24"/>
          <w:lang w:val="en-US" w:eastAsia="zh-CN"/>
        </w:rPr>
        <w:t>所有</w:t>
      </w:r>
      <w:r>
        <w:rPr>
          <w:rFonts w:hint="eastAsia" w:ascii="宋体" w:hAnsi="宋体" w:eastAsia="宋体" w:cs="宋体"/>
          <w:b/>
          <w:bCs/>
          <w:color w:val="auto"/>
          <w:sz w:val="24"/>
          <w:szCs w:val="24"/>
        </w:rPr>
        <w:t>密封袋或密封箱均必须以显著标志密封，在封袋骑缝处加盖投标人公章，并在密封袋上分别标明：招标人名称、项目名称、投标人名称、“资格审查资料”或“技术标”或“商务标” 字样并加盖投标人公章。</w:t>
      </w:r>
    </w:p>
    <w:p w14:paraId="7DE0B0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13、投标截止期</w:t>
      </w:r>
    </w:p>
    <w:p w14:paraId="72C59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13.1投标人应按投标须知前附表第5项规定的时间和地点将投标文件递交到指定地点。</w:t>
      </w:r>
    </w:p>
    <w:p w14:paraId="524C2E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13.2招标人可以按本须知第6条规定以修改通知的方式，酌情延长递交投标文件的截止日期。在上述情况下，招标人与投标人以前的投标截止期方面的全部权力、责任和义务，将适用于延长后新的投标截止期。</w:t>
      </w:r>
    </w:p>
    <w:p w14:paraId="63240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13.3超过投标截止期送达的投标文件将被拒绝并原封退给投标人。</w:t>
      </w:r>
    </w:p>
    <w:p w14:paraId="22977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14、投标文件的修改与撤回</w:t>
      </w:r>
    </w:p>
    <w:p w14:paraId="54DEEE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投标截止时间之前，投标人可对所递交的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14:paraId="7CC19F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14.2投标截止期以后，在投标有效期内，投标人不得撤回其投标文件，否则其投标保证金将被没收。</w:t>
      </w:r>
    </w:p>
    <w:p w14:paraId="2A6556B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56C6B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（六）开标、评标、定标</w:t>
      </w:r>
    </w:p>
    <w:p w14:paraId="79CDC8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15、开标</w:t>
      </w:r>
    </w:p>
    <w:p w14:paraId="0661ED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15.1</w:t>
      </w:r>
      <w:r>
        <w:rPr>
          <w:rFonts w:hint="eastAsia" w:ascii="宋体" w:hAnsi="宋体" w:eastAsia="宋体" w:cs="宋体"/>
          <w:b/>
          <w:bCs/>
          <w:color w:val="auto"/>
          <w:sz w:val="24"/>
          <w:szCs w:val="24"/>
        </w:rPr>
        <w:t>开标由招标代理机构主持，邀请所有投标人参加。</w:t>
      </w:r>
    </w:p>
    <w:p w14:paraId="6DCD94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开标时，由招标人代表或招标代理机构或投标人代表检查投标文件的密封情况，经确认无误后，由工作人员当众拆封；由招标代理机构宣读投标人名称和其他招标人认为有必要的内容。投标文件未按照招标文件的要求予以密封的，将作为无效投标文件，退回投标人。</w:t>
      </w:r>
    </w:p>
    <w:p w14:paraId="40F4BC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15.3招标人在招标文件要求提交投标文件的截止时间前收到的所有投标文件，开标时都将当众予以拆封、宣读、记录。</w:t>
      </w:r>
    </w:p>
    <w:p w14:paraId="68C0E6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 投标文件出现下列情况之一的，将作为无效投标文件：</w:t>
      </w:r>
    </w:p>
    <w:p w14:paraId="7EBBCE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15.4.1投标文件中的投标函未加盖投标人的公章；</w:t>
      </w:r>
    </w:p>
    <w:p w14:paraId="5885F06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15.4.2投标文件中的投标函未加盖企业法定代表人（或企业法定代表人委托代理人）印章的；</w:t>
      </w:r>
    </w:p>
    <w:p w14:paraId="4842F98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15.4.3投标函加盖企业法定代表人委托代理人印章的，企业法定代表人委托代理人没有合法、有效的委托书（原件）的；</w:t>
      </w:r>
    </w:p>
    <w:p w14:paraId="283794D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15.4.4投标人资格条件不符合国家有关规定，或者不满足招标文件规定的资格条件的；  </w:t>
      </w:r>
    </w:p>
    <w:p w14:paraId="2BB586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15.4.5投标报价</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市场化管理人</w:t>
      </w:r>
      <w:r>
        <w:rPr>
          <w:rFonts w:hint="eastAsia" w:ascii="宋体" w:hAnsi="宋体" w:eastAsia="宋体" w:cs="宋体"/>
          <w:b/>
          <w:bCs/>
          <w:color w:val="auto"/>
          <w:sz w:val="24"/>
          <w:szCs w:val="24"/>
        </w:rPr>
        <w:t>管理费</w:t>
      </w:r>
      <w:r>
        <w:rPr>
          <w:rFonts w:hint="eastAsia" w:ascii="宋体" w:hAnsi="宋体" w:eastAsia="宋体" w:cs="宋体"/>
          <w:b/>
          <w:bCs/>
          <w:color w:val="auto"/>
          <w:sz w:val="24"/>
          <w:szCs w:val="24"/>
          <w:lang w:val="en-US" w:eastAsia="zh-CN"/>
        </w:rPr>
        <w:t>收取比例</w:t>
      </w:r>
      <w:r>
        <w:rPr>
          <w:rFonts w:hint="eastAsia" w:ascii="宋体" w:hAnsi="宋体" w:cs="宋体"/>
          <w:b/>
          <w:bCs/>
          <w:color w:val="auto"/>
          <w:sz w:val="24"/>
          <w:szCs w:val="24"/>
          <w:lang w:val="en-US" w:eastAsia="zh-CN"/>
        </w:rPr>
        <w:t>报价</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高于招标文件设定的招标控制价或者招标人设置的最高投标限价的或者</w:t>
      </w:r>
      <w:r>
        <w:rPr>
          <w:rFonts w:hint="eastAsia" w:ascii="宋体" w:hAnsi="宋体" w:eastAsia="宋体" w:cs="宋体"/>
          <w:b/>
          <w:bCs/>
          <w:color w:val="auto"/>
          <w:sz w:val="24"/>
          <w:szCs w:val="24"/>
          <w:lang w:val="en-US" w:eastAsia="zh-CN"/>
        </w:rPr>
        <w:t>超出</w:t>
      </w:r>
      <w:r>
        <w:rPr>
          <w:rFonts w:hint="eastAsia" w:ascii="宋体" w:hAnsi="宋体" w:eastAsia="宋体" w:cs="宋体"/>
          <w:b/>
          <w:bCs/>
          <w:color w:val="auto"/>
          <w:sz w:val="24"/>
          <w:szCs w:val="24"/>
        </w:rPr>
        <w:t>招标人设置的</w:t>
      </w:r>
      <w:r>
        <w:rPr>
          <w:rFonts w:hint="eastAsia" w:ascii="宋体" w:hAnsi="宋体" w:eastAsia="宋体" w:cs="宋体"/>
          <w:b/>
          <w:bCs/>
          <w:color w:val="auto"/>
          <w:sz w:val="24"/>
          <w:szCs w:val="24"/>
          <w:lang w:val="en-US" w:eastAsia="zh-CN"/>
        </w:rPr>
        <w:t>报价范围</w:t>
      </w:r>
      <w:r>
        <w:rPr>
          <w:rFonts w:hint="eastAsia" w:ascii="宋体" w:hAnsi="宋体" w:eastAsia="宋体" w:cs="宋体"/>
          <w:b/>
          <w:bCs/>
          <w:color w:val="auto"/>
          <w:sz w:val="24"/>
          <w:szCs w:val="24"/>
        </w:rPr>
        <w:t>的；</w:t>
      </w:r>
      <w:r>
        <w:rPr>
          <w:rFonts w:hint="eastAsia" w:ascii="宋体" w:hAnsi="宋体" w:eastAsia="宋体" w:cs="宋体"/>
          <w:b/>
          <w:bCs/>
          <w:color w:val="auto"/>
          <w:sz w:val="24"/>
          <w:szCs w:val="24"/>
          <w:lang w:val="en-US" w:eastAsia="zh-CN"/>
        </w:rPr>
        <w:t>市场化管理人</w:t>
      </w:r>
      <w:r>
        <w:rPr>
          <w:rFonts w:hint="eastAsia" w:ascii="宋体" w:hAnsi="宋体" w:eastAsia="宋体" w:cs="宋体"/>
          <w:b/>
          <w:bCs/>
          <w:color w:val="auto"/>
          <w:sz w:val="24"/>
          <w:szCs w:val="24"/>
        </w:rPr>
        <w:t>管理费</w:t>
      </w:r>
      <w:r>
        <w:rPr>
          <w:rFonts w:hint="eastAsia" w:ascii="宋体" w:hAnsi="宋体" w:eastAsia="宋体" w:cs="宋体"/>
          <w:b/>
          <w:bCs/>
          <w:color w:val="auto"/>
          <w:sz w:val="24"/>
          <w:szCs w:val="24"/>
          <w:lang w:val="en-US" w:eastAsia="zh-CN"/>
        </w:rPr>
        <w:t>收取比例</w:t>
      </w:r>
      <w:r>
        <w:rPr>
          <w:rFonts w:hint="eastAsia" w:ascii="宋体" w:hAnsi="宋体" w:cs="宋体"/>
          <w:b/>
          <w:bCs/>
          <w:color w:val="auto"/>
          <w:sz w:val="24"/>
          <w:szCs w:val="24"/>
          <w:lang w:val="en-US" w:eastAsia="zh-CN"/>
        </w:rPr>
        <w:t>报价未以整数报价的（如：81.2%为无效标）。</w:t>
      </w:r>
    </w:p>
    <w:p w14:paraId="798113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15.4.6同一投标人提交两个及以上不同的投标文件或者投标报价，但招标文件要求提交备选投标的除外； </w:t>
      </w:r>
    </w:p>
    <w:p w14:paraId="1D38FCB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15.4.7未按招标文件要求提供投标保证金的（本项目不收投标保证金）； </w:t>
      </w:r>
    </w:p>
    <w:p w14:paraId="2FCCE7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15.4.8投标文件载明的招标项目完成期限超过招标文件规定的期限的（本项目不适用）； </w:t>
      </w:r>
    </w:p>
    <w:p w14:paraId="5A95872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15.4.9明显不符合技术规范、技术标准的要求的； </w:t>
      </w:r>
    </w:p>
    <w:p w14:paraId="3B8C38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15.4.10投标文件提出了不能满足招标文件要求或招标人不能接受的价款结算和支付办法的； </w:t>
      </w:r>
    </w:p>
    <w:p w14:paraId="396905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15.4.11不同投标人的投标文件以及投标文件制作过程出现了评标委员会认为不应当雷同的情况的； </w:t>
      </w:r>
    </w:p>
    <w:p w14:paraId="626FBF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15.4.12以他人的名义投标、串通投标、以行贿手段谋取中标或者以其他弄虚作假方式投标的；</w:t>
      </w:r>
    </w:p>
    <w:p w14:paraId="486080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15.4.13不符合招标文件有关暗标要求的（本项目不适用）；</w:t>
      </w:r>
    </w:p>
    <w:p w14:paraId="24B953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15.4.14投标文件关键内容模糊、无法辨认的</w:t>
      </w:r>
      <w:r>
        <w:rPr>
          <w:rFonts w:hint="eastAsia" w:ascii="宋体" w:hAnsi="宋体" w:cs="宋体"/>
          <w:b/>
          <w:bCs/>
          <w:color w:val="auto"/>
          <w:sz w:val="24"/>
          <w:szCs w:val="24"/>
          <w:lang w:eastAsia="zh-CN"/>
        </w:rPr>
        <w:t>；</w:t>
      </w:r>
    </w:p>
    <w:p w14:paraId="4EA795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15.4.15技术标中未按规定递交U盘的。</w:t>
      </w:r>
    </w:p>
    <w:p w14:paraId="2900EB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16、评标</w:t>
      </w:r>
    </w:p>
    <w:p w14:paraId="7BEE61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16.1评标工作</w:t>
      </w:r>
    </w:p>
    <w:p w14:paraId="79462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评标工作由招标人依法组建的评标委员会组织进行。</w:t>
      </w:r>
    </w:p>
    <w:p w14:paraId="11A4F6B9">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16.2评标办法</w:t>
      </w:r>
    </w:p>
    <w:p w14:paraId="16FABB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16.2.1本项目采用</w:t>
      </w:r>
      <w:r>
        <w:rPr>
          <w:rFonts w:hint="eastAsia" w:ascii="宋体" w:hAnsi="宋体" w:eastAsia="宋体" w:cs="宋体"/>
          <w:b/>
          <w:color w:val="auto"/>
          <w:sz w:val="24"/>
          <w:szCs w:val="24"/>
          <w:u w:val="single"/>
        </w:rPr>
        <w:t>综合评估法</w:t>
      </w:r>
      <w:r>
        <w:rPr>
          <w:rFonts w:hint="eastAsia" w:ascii="宋体" w:hAnsi="宋体" w:eastAsia="宋体" w:cs="宋体"/>
          <w:color w:val="auto"/>
          <w:sz w:val="24"/>
          <w:szCs w:val="24"/>
        </w:rPr>
        <w:t>，详见第二章评标办法。</w:t>
      </w:r>
    </w:p>
    <w:p w14:paraId="2A278F11">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17、投标文件的澄清</w:t>
      </w:r>
    </w:p>
    <w:p w14:paraId="334B1C72">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1D598810">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17.2澄清、说明或补正不得超出投标文件的范围且不得改变投标文件的实质性内容，并构成投标文件的组成部分。</w:t>
      </w:r>
    </w:p>
    <w:p w14:paraId="2C8B2682">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17.3评标委员会对投标人提交的澄清、说明或补正有疑问的，可以要求投标人进一步澄清、说明或补正，直至满足评标委员会的要求。</w:t>
      </w:r>
    </w:p>
    <w:p w14:paraId="63181CEC">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bookmarkStart w:id="9" w:name="_bookmark95"/>
      <w:bookmarkEnd w:id="9"/>
      <w:r>
        <w:rPr>
          <w:rFonts w:hint="eastAsia" w:ascii="宋体" w:hAnsi="宋体" w:eastAsia="宋体" w:cs="宋体"/>
          <w:color w:val="auto"/>
          <w:sz w:val="24"/>
          <w:szCs w:val="24"/>
        </w:rPr>
        <w:t>18、评标结果</w:t>
      </w:r>
    </w:p>
    <w:p w14:paraId="4F807359">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18.1评标委员会按照总得分由高到低的顺序推荐3名中标候选人，并标明排序。</w:t>
      </w:r>
    </w:p>
    <w:p w14:paraId="35DDE34D">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18.2评标委员会完成评标后，应当向招标人提交书面评标报告和中标候选人名单。</w:t>
      </w:r>
    </w:p>
    <w:p w14:paraId="2737C322">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18.3中标结果公示</w:t>
      </w:r>
    </w:p>
    <w:p w14:paraId="2452FF35">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评标结果当场公布，中标候选人在南通市崇川区人民政府网上公示3天，公示期满无异议招标人将按程序签发中标通知书。</w:t>
      </w:r>
    </w:p>
    <w:p w14:paraId="2E2927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p>
    <w:p w14:paraId="67960E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（七）授予合同</w:t>
      </w:r>
    </w:p>
    <w:p w14:paraId="5B119B29">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19、定标后，招标代理机构应在15日内向招标人提交招投标情况的书面报告，书面报告应包括下列内容：</w:t>
      </w:r>
    </w:p>
    <w:p w14:paraId="33D2C86F">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19.1招标投标的基本情况，包括招标范围、招标方式、资格审查、开标评标过程和确定中标人的方式及理由等。</w:t>
      </w:r>
    </w:p>
    <w:p w14:paraId="296BCD67">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19.2相关的文件资料包括招标公告、招标文件、评标委员会的评标报告、中标人的投标文件。</w:t>
      </w:r>
    </w:p>
    <w:p w14:paraId="28E8CCF3">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20、中标公示期间如无异议和投诉，则中标人应当在5日内，到招标代理处领取中标通知书。合同签订前中标人应按前附表规定的金额向招标人提交履约保证金。</w:t>
      </w:r>
    </w:p>
    <w:p w14:paraId="69370C60">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20.1招标人和中标人应当自中标通知书发出之日起30日内，按照招标文件和中标人的投标文件订立合同。招标人和中标人不得再订立背离合同实质性内容的其他协议。</w:t>
      </w:r>
    </w:p>
    <w:p w14:paraId="4C7778F9">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21、若中标人不能按本须知第20条款的规定执行，招标人将有充分的理由取消中标人的中标资格，其投标保证金不予退还，给招标人造成损失超过投标保证金数额的，还应当对超过部分予以赔偿。</w:t>
      </w:r>
    </w:p>
    <w:p w14:paraId="55ADE5AC">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22、中标人在中标后不得随意变更基金的关键人。如果出现特殊情况，确需更换的，应当经合伙人会议同意。</w:t>
      </w:r>
    </w:p>
    <w:p w14:paraId="4F25EBF4">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143F966">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投标人应对投标内容所涉及的专利承担责任，并负责保护招标人的利益不受任何损害。一切由于文字、商标和技术专利侵权引起的法律裁决、诉讼和费用均与招标人无关。</w:t>
      </w:r>
    </w:p>
    <w:p w14:paraId="66D8735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104F1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(八) 纪律和监督</w:t>
      </w:r>
    </w:p>
    <w:p w14:paraId="29D673B5">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25、对招标人的纪律要求</w:t>
      </w:r>
    </w:p>
    <w:p w14:paraId="2802B03B">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招标人不得泄漏招标投标活动中应当保密的情况和资料，不得与投标人串通损害国家利益、社会公共利益或者他人合法权益。</w:t>
      </w:r>
    </w:p>
    <w:p w14:paraId="33E1A9DB">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26、对投标人的纪律要求</w:t>
      </w:r>
    </w:p>
    <w:p w14:paraId="60A406B0">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5072793">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27、对评标委员会成员的纪律要求</w:t>
      </w:r>
    </w:p>
    <w:p w14:paraId="7D7E2945">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14:paraId="7AB0F6F1">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28、对与评标活动有关的工作人员的纪律要求</w:t>
      </w:r>
    </w:p>
    <w:p w14:paraId="505688F9">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676CD55">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29、异议</w:t>
      </w:r>
    </w:p>
    <w:p w14:paraId="599CAFDC">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投标人或者其他利害关系人对招标文件有异议的，应在投标须知前附表规定的时间前提出。招标人应当自收到异议之日起3日内作出答复；作出答复前，应当暂停招标投标活动。</w:t>
      </w:r>
    </w:p>
    <w:p w14:paraId="478F4A4B">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投标人对开标有异议的，应当在开标现场提出，招标人应当当场作出答复，并制作记录。</w:t>
      </w:r>
    </w:p>
    <w:p w14:paraId="4AE56847">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投标人或者其他利害关系人对依法必须进行招标的项目的评标结果有异议的，应当在中标候选人公示期间提出。</w:t>
      </w:r>
    </w:p>
    <w:p w14:paraId="75BF1576">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30、投诉</w:t>
      </w:r>
    </w:p>
    <w:p w14:paraId="1DE6C7A1">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ascii="宋体" w:hAnsi="宋体" w:cs="宋体"/>
          <w:color w:val="auto"/>
          <w:sz w:val="24"/>
          <w:szCs w:val="24"/>
        </w:rPr>
      </w:pPr>
      <w:r>
        <w:rPr>
          <w:rFonts w:hint="eastAsia" w:ascii="宋体" w:hAnsi="宋体" w:eastAsia="宋体" w:cs="宋体"/>
          <w:color w:val="auto"/>
          <w:sz w:val="24"/>
          <w:szCs w:val="24"/>
        </w:rPr>
        <w:t>投标人和其他利害关系人认为本次招标活动违反法律、法规和规章规定的，有权向有关行政监督部门投诉。投标人或者其他利害关系人就招标文件、开标、评标结果事项投诉的，应当先向招标人提出异议。</w:t>
      </w:r>
    </w:p>
    <w:p w14:paraId="77FD8AAA">
      <w:pPr>
        <w:spacing w:line="480" w:lineRule="exact"/>
        <w:ind w:firstLine="477" w:firstLineChars="199"/>
        <w:rPr>
          <w:rFonts w:ascii="宋体" w:hAnsi="宋体" w:cs="宋体"/>
          <w:color w:val="auto"/>
          <w:sz w:val="24"/>
          <w:szCs w:val="24"/>
        </w:rPr>
      </w:pPr>
      <w:r>
        <w:rPr>
          <w:rFonts w:hint="eastAsia" w:ascii="宋体" w:hAnsi="宋体" w:cs="宋体"/>
          <w:color w:val="auto"/>
          <w:sz w:val="24"/>
          <w:szCs w:val="24"/>
        </w:rPr>
        <w:br w:type="page"/>
      </w:r>
    </w:p>
    <w:p w14:paraId="324716E4">
      <w:pPr>
        <w:pStyle w:val="4"/>
        <w:rPr>
          <w:rFonts w:ascii="宋体" w:hAnsi="宋体" w:eastAsia="宋体" w:cs="宋体"/>
          <w:b/>
          <w:bCs/>
          <w:color w:val="auto"/>
          <w:sz w:val="36"/>
          <w:szCs w:val="36"/>
        </w:rPr>
      </w:pPr>
      <w:bookmarkStart w:id="10" w:name="_Toc26471"/>
      <w:r>
        <w:rPr>
          <w:rFonts w:hint="eastAsia" w:ascii="宋体" w:hAnsi="宋体" w:eastAsia="宋体" w:cs="宋体"/>
          <w:b/>
          <w:color w:val="auto"/>
          <w:sz w:val="36"/>
          <w:szCs w:val="36"/>
        </w:rPr>
        <w:t>第二章评标办法（综合评估法）</w:t>
      </w:r>
      <w:bookmarkEnd w:id="10"/>
    </w:p>
    <w:p w14:paraId="41F4F332">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ascii="宋体" w:hAnsi="宋体" w:cs="宋体"/>
          <w:color w:val="auto"/>
          <w:sz w:val="24"/>
          <w:szCs w:val="24"/>
        </w:rPr>
      </w:pPr>
      <w:r>
        <w:rPr>
          <w:rFonts w:hint="eastAsia" w:ascii="宋体" w:hAnsi="宋体" w:cs="宋体"/>
          <w:color w:val="auto"/>
          <w:sz w:val="24"/>
          <w:szCs w:val="24"/>
        </w:rPr>
        <w:t>一、评标原则</w:t>
      </w:r>
    </w:p>
    <w:p w14:paraId="76D047CD">
      <w:pPr>
        <w:keepNext w:val="0"/>
        <w:keepLines w:val="0"/>
        <w:pageBreakBefore w:val="0"/>
        <w:widowControl w:val="0"/>
        <w:kinsoku/>
        <w:wordWrap/>
        <w:overflowPunct/>
        <w:topLinePunct w:val="0"/>
        <w:autoSpaceDE/>
        <w:autoSpaceDN/>
        <w:bidi w:val="0"/>
        <w:adjustRightInd/>
        <w:snapToGrid/>
        <w:spacing w:line="360" w:lineRule="auto"/>
        <w:ind w:firstLine="472" w:firstLineChars="196"/>
        <w:contextualSpacing/>
        <w:jc w:val="left"/>
        <w:textAlignment w:val="auto"/>
        <w:rPr>
          <w:rFonts w:ascii="宋体" w:hAnsi="宋体" w:cs="宋体"/>
          <w:b/>
          <w:bCs/>
          <w:color w:val="auto"/>
          <w:sz w:val="24"/>
          <w:szCs w:val="24"/>
        </w:rPr>
      </w:pPr>
      <w:r>
        <w:rPr>
          <w:rFonts w:hint="eastAsia" w:ascii="宋体" w:hAnsi="宋体" w:cs="宋体"/>
          <w:b/>
          <w:bCs/>
          <w:color w:val="auto"/>
          <w:sz w:val="24"/>
          <w:szCs w:val="24"/>
        </w:rPr>
        <w:t>1、投标人数量或通过资格审查的合格投标人数量不少于三个的，则进入评标程序；</w:t>
      </w:r>
    </w:p>
    <w:p w14:paraId="5EEA4304">
      <w:pPr>
        <w:keepNext w:val="0"/>
        <w:keepLines w:val="0"/>
        <w:pageBreakBefore w:val="0"/>
        <w:widowControl w:val="0"/>
        <w:kinsoku/>
        <w:wordWrap/>
        <w:overflowPunct/>
        <w:topLinePunct w:val="0"/>
        <w:autoSpaceDE/>
        <w:autoSpaceDN/>
        <w:bidi w:val="0"/>
        <w:adjustRightInd/>
        <w:snapToGrid/>
        <w:spacing w:line="360" w:lineRule="auto"/>
        <w:ind w:firstLine="472" w:firstLineChars="196"/>
        <w:contextualSpacing/>
        <w:jc w:val="left"/>
        <w:textAlignment w:val="auto"/>
        <w:rPr>
          <w:rFonts w:ascii="宋体" w:hAnsi="宋体" w:cs="宋体"/>
          <w:b/>
          <w:bCs/>
          <w:color w:val="auto"/>
          <w:sz w:val="24"/>
          <w:szCs w:val="24"/>
        </w:rPr>
      </w:pPr>
      <w:r>
        <w:rPr>
          <w:rFonts w:hint="eastAsia" w:ascii="宋体" w:hAnsi="宋体" w:cs="宋体"/>
          <w:b/>
          <w:bCs/>
          <w:color w:val="auto"/>
          <w:sz w:val="24"/>
          <w:szCs w:val="24"/>
        </w:rPr>
        <w:t>2、若投标人数量或通过资格审查的合格投标人数量少于三个的，则重新招标。</w:t>
      </w:r>
    </w:p>
    <w:p w14:paraId="7A3EAD91">
      <w:pPr>
        <w:keepNext w:val="0"/>
        <w:keepLines w:val="0"/>
        <w:pageBreakBefore w:val="0"/>
        <w:widowControl w:val="0"/>
        <w:kinsoku/>
        <w:wordWrap/>
        <w:overflowPunct/>
        <w:topLinePunct w:val="0"/>
        <w:autoSpaceDE/>
        <w:autoSpaceDN/>
        <w:bidi w:val="0"/>
        <w:adjustRightInd/>
        <w:snapToGrid/>
        <w:spacing w:line="360" w:lineRule="auto"/>
        <w:ind w:firstLine="472" w:firstLineChars="196"/>
        <w:contextualSpacing/>
        <w:jc w:val="left"/>
        <w:textAlignment w:val="auto"/>
        <w:rPr>
          <w:rFonts w:ascii="宋体" w:hAnsi="宋体" w:cs="宋体"/>
          <w:b/>
          <w:bCs/>
          <w:color w:val="auto"/>
          <w:sz w:val="24"/>
          <w:szCs w:val="24"/>
        </w:rPr>
      </w:pPr>
      <w:r>
        <w:rPr>
          <w:rFonts w:hint="eastAsia" w:ascii="宋体" w:hAnsi="宋体" w:cs="宋体"/>
          <w:b/>
          <w:bCs/>
          <w:color w:val="auto"/>
          <w:sz w:val="24"/>
          <w:szCs w:val="24"/>
        </w:rPr>
        <w:t>3、评标分值小数点后均保留两位，第三位四舍五入。</w:t>
      </w:r>
    </w:p>
    <w:p w14:paraId="7755C4C2">
      <w:pPr>
        <w:keepNext w:val="0"/>
        <w:keepLines w:val="0"/>
        <w:pageBreakBefore w:val="0"/>
        <w:widowControl w:val="0"/>
        <w:kinsoku/>
        <w:wordWrap/>
        <w:overflowPunct/>
        <w:topLinePunct w:val="0"/>
        <w:autoSpaceDE/>
        <w:autoSpaceDN/>
        <w:bidi w:val="0"/>
        <w:adjustRightInd/>
        <w:snapToGrid/>
        <w:spacing w:line="360" w:lineRule="auto"/>
        <w:ind w:firstLine="472" w:firstLineChars="196"/>
        <w:contextualSpacing/>
        <w:jc w:val="left"/>
        <w:textAlignment w:val="auto"/>
        <w:rPr>
          <w:rFonts w:ascii="宋体" w:hAnsi="宋体" w:cs="宋体"/>
          <w:b/>
          <w:bCs/>
          <w:color w:val="auto"/>
          <w:sz w:val="24"/>
          <w:szCs w:val="24"/>
        </w:rPr>
      </w:pPr>
      <w:r>
        <w:rPr>
          <w:rFonts w:hint="eastAsia" w:ascii="宋体" w:hAnsi="宋体" w:cs="宋体"/>
          <w:b/>
          <w:bCs/>
          <w:color w:val="auto"/>
          <w:sz w:val="24"/>
          <w:szCs w:val="24"/>
        </w:rPr>
        <w:t>4、评标委员会按照总得分（技术标得分+商务标得分）由高到低的顺序依次推荐3名中标候选人。</w:t>
      </w:r>
    </w:p>
    <w:p w14:paraId="4AEB3C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二、评标顺序</w:t>
      </w:r>
    </w:p>
    <w:p w14:paraId="4A6F2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资格评审→技术标评审→商务标评审→</w:t>
      </w:r>
      <w:r>
        <w:rPr>
          <w:rFonts w:hint="eastAsia" w:ascii="宋体" w:hAnsi="宋体" w:cs="宋体"/>
          <w:color w:val="auto"/>
          <w:sz w:val="24"/>
          <w:szCs w:val="24"/>
          <w:lang w:val="en-US" w:eastAsia="zh-CN"/>
        </w:rPr>
        <w:t>推荐</w:t>
      </w:r>
      <w:r>
        <w:rPr>
          <w:rFonts w:hint="eastAsia" w:ascii="宋体" w:hAnsi="宋体" w:cs="宋体"/>
          <w:color w:val="auto"/>
          <w:sz w:val="24"/>
          <w:szCs w:val="24"/>
        </w:rPr>
        <w:t>中标候选人。</w:t>
      </w:r>
    </w:p>
    <w:p w14:paraId="77C04F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三、资格审查及办法</w:t>
      </w:r>
    </w:p>
    <w:p w14:paraId="363457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1、本次资格审查采用合格制，各投标人只有满足资格审查必要合格条件后，方可参与后续评审。</w:t>
      </w:r>
    </w:p>
    <w:p w14:paraId="4DC4C7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2、评标委员会按下表所列的资格审查必要合格条件标准，对各投标人递交的资格审查资料进行评审，并公布资格审查合格者名单。</w:t>
      </w:r>
    </w:p>
    <w:p w14:paraId="3F7ED3E8">
      <w:pPr>
        <w:spacing w:line="520" w:lineRule="exact"/>
        <w:ind w:firstLine="482" w:firstLineChars="200"/>
        <w:jc w:val="center"/>
        <w:rPr>
          <w:rFonts w:ascii="宋体" w:hAnsi="宋体" w:cs="宋体"/>
          <w:b/>
          <w:color w:val="auto"/>
          <w:sz w:val="24"/>
          <w:szCs w:val="24"/>
        </w:rPr>
      </w:pPr>
      <w:r>
        <w:rPr>
          <w:rFonts w:hint="eastAsia" w:ascii="宋体" w:hAnsi="宋体" w:cs="宋体"/>
          <w:b/>
          <w:color w:val="auto"/>
          <w:sz w:val="24"/>
          <w:szCs w:val="24"/>
        </w:rPr>
        <w:t>资格审查必要合格条件标准</w:t>
      </w:r>
    </w:p>
    <w:tbl>
      <w:tblPr>
        <w:tblStyle w:val="35"/>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305"/>
        <w:gridCol w:w="6985"/>
      </w:tblGrid>
      <w:tr w14:paraId="1485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648" w:type="dxa"/>
            <w:vAlign w:val="center"/>
          </w:tcPr>
          <w:p w14:paraId="39E4029C">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序号</w:t>
            </w:r>
          </w:p>
        </w:tc>
        <w:tc>
          <w:tcPr>
            <w:tcW w:w="2305" w:type="dxa"/>
            <w:vAlign w:val="center"/>
          </w:tcPr>
          <w:p w14:paraId="6A26B63A">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项目内容</w:t>
            </w:r>
          </w:p>
        </w:tc>
        <w:tc>
          <w:tcPr>
            <w:tcW w:w="6985" w:type="dxa"/>
            <w:vAlign w:val="center"/>
          </w:tcPr>
          <w:p w14:paraId="70BA9508">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资格审查必要合格条件</w:t>
            </w:r>
          </w:p>
        </w:tc>
      </w:tr>
      <w:tr w14:paraId="7E04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vAlign w:val="center"/>
          </w:tcPr>
          <w:p w14:paraId="22862A44">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2305" w:type="dxa"/>
            <w:vAlign w:val="center"/>
          </w:tcPr>
          <w:p w14:paraId="57AB6D78">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bCs/>
                <w:color w:val="auto"/>
                <w:kern w:val="0"/>
                <w:sz w:val="24"/>
                <w:szCs w:val="24"/>
              </w:rPr>
            </w:pPr>
            <w:r>
              <w:rPr>
                <w:rFonts w:hint="eastAsia" w:ascii="宋体" w:hAnsi="宋体"/>
                <w:bCs/>
                <w:color w:val="auto"/>
                <w:kern w:val="0"/>
                <w:sz w:val="24"/>
                <w:szCs w:val="24"/>
              </w:rPr>
              <w:t>投标人资格要求</w:t>
            </w:r>
          </w:p>
        </w:tc>
        <w:tc>
          <w:tcPr>
            <w:tcW w:w="6985" w:type="dxa"/>
            <w:vAlign w:val="center"/>
          </w:tcPr>
          <w:p w14:paraId="5ABCD8BD">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ascii="宋体" w:hAnsi="宋体"/>
                <w:bCs/>
                <w:color w:val="auto"/>
                <w:kern w:val="0"/>
                <w:sz w:val="24"/>
                <w:szCs w:val="24"/>
              </w:rPr>
            </w:pPr>
            <w:r>
              <w:rPr>
                <w:rFonts w:hint="eastAsia" w:ascii="宋体" w:hAnsi="宋体" w:cs="宋体"/>
                <w:color w:val="auto"/>
                <w:sz w:val="24"/>
                <w:szCs w:val="24"/>
              </w:rPr>
              <w:t>在中华人民共和国注册，具有独立承担民事责任能力的主体</w:t>
            </w:r>
          </w:p>
          <w:p w14:paraId="2277E7CB">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ascii="宋体" w:hAnsi="宋体"/>
                <w:bCs/>
                <w:color w:val="auto"/>
                <w:kern w:val="0"/>
                <w:sz w:val="24"/>
                <w:szCs w:val="24"/>
              </w:rPr>
            </w:pPr>
            <w:r>
              <w:rPr>
                <w:rFonts w:hint="eastAsia" w:ascii="宋体" w:hAnsi="宋体" w:cs="宋体"/>
                <w:b/>
                <w:bCs/>
                <w:color w:val="auto"/>
                <w:sz w:val="24"/>
                <w:szCs w:val="24"/>
              </w:rPr>
              <w:t>注：提供有效企业营业执照复印件</w:t>
            </w:r>
          </w:p>
        </w:tc>
      </w:tr>
      <w:tr w14:paraId="423A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vAlign w:val="center"/>
          </w:tcPr>
          <w:p w14:paraId="23305905">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2305" w:type="dxa"/>
            <w:vAlign w:val="center"/>
          </w:tcPr>
          <w:p w14:paraId="05FEB074">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法定代表人身份证明书</w:t>
            </w:r>
          </w:p>
        </w:tc>
        <w:tc>
          <w:tcPr>
            <w:tcW w:w="6985" w:type="dxa"/>
            <w:vAlign w:val="center"/>
          </w:tcPr>
          <w:p w14:paraId="7370244A">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法定代表人身份证明书原件</w:t>
            </w:r>
          </w:p>
          <w:p w14:paraId="362505A1">
            <w:pPr>
              <w:keepNext w:val="0"/>
              <w:keepLines w:val="0"/>
              <w:pageBreakBefore w:val="0"/>
              <w:widowControl/>
              <w:kinsoku/>
              <w:wordWrap/>
              <w:overflowPunct/>
              <w:topLinePunct w:val="0"/>
              <w:autoSpaceDE/>
              <w:autoSpaceDN/>
              <w:bidi w:val="0"/>
              <w:adjustRightInd/>
              <w:spacing w:line="360" w:lineRule="auto"/>
              <w:ind w:firstLine="482" w:firstLineChars="200"/>
              <w:jc w:val="left"/>
              <w:textAlignment w:val="auto"/>
              <w:rPr>
                <w:rFonts w:ascii="宋体" w:hAnsi="宋体" w:cs="宋体"/>
                <w:color w:val="auto"/>
                <w:sz w:val="24"/>
                <w:szCs w:val="24"/>
              </w:rPr>
            </w:pPr>
            <w:r>
              <w:rPr>
                <w:rFonts w:hint="eastAsia" w:ascii="宋体" w:hAnsi="宋体" w:cs="宋体"/>
                <w:b/>
                <w:bCs/>
                <w:color w:val="auto"/>
                <w:sz w:val="24"/>
                <w:szCs w:val="24"/>
              </w:rPr>
              <w:t>注：提供法定代表人身份证明书原件（格式详见第五章）</w:t>
            </w:r>
          </w:p>
        </w:tc>
      </w:tr>
      <w:tr w14:paraId="27D7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vAlign w:val="center"/>
          </w:tcPr>
          <w:p w14:paraId="022FBF8D">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2305" w:type="dxa"/>
            <w:vAlign w:val="center"/>
          </w:tcPr>
          <w:p w14:paraId="143D5A86">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授权委托书（如有）</w:t>
            </w:r>
          </w:p>
        </w:tc>
        <w:tc>
          <w:tcPr>
            <w:tcW w:w="6985" w:type="dxa"/>
            <w:vAlign w:val="center"/>
          </w:tcPr>
          <w:p w14:paraId="504E609E">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授权委托书原件</w:t>
            </w:r>
          </w:p>
          <w:p w14:paraId="1461A37E">
            <w:pPr>
              <w:keepNext w:val="0"/>
              <w:keepLines w:val="0"/>
              <w:pageBreakBefore w:val="0"/>
              <w:widowControl/>
              <w:kinsoku/>
              <w:wordWrap/>
              <w:overflowPunct/>
              <w:topLinePunct w:val="0"/>
              <w:autoSpaceDE/>
              <w:autoSpaceDN/>
              <w:bidi w:val="0"/>
              <w:adjustRightInd/>
              <w:spacing w:line="360" w:lineRule="auto"/>
              <w:ind w:firstLine="482" w:firstLineChars="200"/>
              <w:jc w:val="left"/>
              <w:textAlignment w:val="auto"/>
              <w:rPr>
                <w:rFonts w:ascii="宋体" w:hAnsi="宋体" w:cs="宋体"/>
                <w:color w:val="auto"/>
                <w:sz w:val="24"/>
                <w:szCs w:val="24"/>
              </w:rPr>
            </w:pPr>
            <w:r>
              <w:rPr>
                <w:rFonts w:hint="eastAsia" w:ascii="宋体" w:hAnsi="宋体" w:cs="宋体"/>
                <w:b/>
                <w:bCs/>
                <w:color w:val="auto"/>
                <w:sz w:val="24"/>
                <w:szCs w:val="24"/>
              </w:rPr>
              <w:t>注：提供授权委托书原件（格式详见第五章）</w:t>
            </w:r>
          </w:p>
        </w:tc>
      </w:tr>
      <w:tr w14:paraId="6816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vAlign w:val="center"/>
          </w:tcPr>
          <w:p w14:paraId="07F25E9D">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4</w:t>
            </w:r>
          </w:p>
        </w:tc>
        <w:tc>
          <w:tcPr>
            <w:tcW w:w="2305" w:type="dxa"/>
            <w:vAlign w:val="center"/>
          </w:tcPr>
          <w:p w14:paraId="07FAD673">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bCs/>
                <w:color w:val="auto"/>
                <w:kern w:val="0"/>
                <w:sz w:val="24"/>
                <w:szCs w:val="24"/>
              </w:rPr>
            </w:pPr>
            <w:r>
              <w:rPr>
                <w:rFonts w:hint="eastAsia" w:ascii="宋体" w:hAnsi="宋体"/>
                <w:bCs/>
                <w:color w:val="auto"/>
                <w:kern w:val="0"/>
                <w:sz w:val="24"/>
                <w:szCs w:val="24"/>
              </w:rPr>
              <w:t>投标人实缴资本不少于1000万元人民币</w:t>
            </w:r>
          </w:p>
        </w:tc>
        <w:tc>
          <w:tcPr>
            <w:tcW w:w="6985" w:type="dxa"/>
            <w:vAlign w:val="center"/>
          </w:tcPr>
          <w:p w14:paraId="42676B77">
            <w:pPr>
              <w:pStyle w:val="2"/>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投标人实缴资本不少于1000万元人民币的证明</w:t>
            </w:r>
          </w:p>
          <w:p w14:paraId="7B94288A">
            <w:pPr>
              <w:pStyle w:val="2"/>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eastAsia="宋体"/>
                <w:color w:val="auto"/>
                <w:sz w:val="24"/>
                <w:szCs w:val="24"/>
              </w:rPr>
            </w:pPr>
            <w:r>
              <w:rPr>
                <w:rFonts w:hint="eastAsia" w:ascii="宋体" w:hAnsi="宋体" w:eastAsia="宋体" w:cs="宋体"/>
                <w:b/>
                <w:bCs/>
                <w:color w:val="auto"/>
                <w:sz w:val="24"/>
                <w:szCs w:val="24"/>
              </w:rPr>
              <w:t>注：提供会计师事务所出具的验资报告复印件</w:t>
            </w:r>
          </w:p>
        </w:tc>
      </w:tr>
      <w:tr w14:paraId="0A26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vAlign w:val="center"/>
          </w:tcPr>
          <w:p w14:paraId="459A72A1">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5</w:t>
            </w:r>
          </w:p>
        </w:tc>
        <w:tc>
          <w:tcPr>
            <w:tcW w:w="2305" w:type="dxa"/>
            <w:vAlign w:val="center"/>
          </w:tcPr>
          <w:p w14:paraId="71BF6FEB">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bCs/>
                <w:color w:val="auto"/>
                <w:kern w:val="0"/>
                <w:sz w:val="24"/>
                <w:szCs w:val="24"/>
              </w:rPr>
              <w:t>投标人在中国证券投资基金业协会完成管理人登记</w:t>
            </w:r>
          </w:p>
        </w:tc>
        <w:tc>
          <w:tcPr>
            <w:tcW w:w="6985" w:type="dxa"/>
            <w:vAlign w:val="center"/>
          </w:tcPr>
          <w:p w14:paraId="63E17F3B">
            <w:pPr>
              <w:keepNext w:val="0"/>
              <w:keepLines w:val="0"/>
              <w:pageBreakBefore w:val="0"/>
              <w:widowControl/>
              <w:kinsoku/>
              <w:wordWrap/>
              <w:overflowPunct/>
              <w:topLinePunct w:val="0"/>
              <w:autoSpaceDE/>
              <w:autoSpaceDN/>
              <w:bidi w:val="0"/>
              <w:adjustRightInd/>
              <w:spacing w:line="360" w:lineRule="auto"/>
              <w:ind w:firstLine="482" w:firstLineChars="200"/>
              <w:jc w:val="left"/>
              <w:textAlignment w:val="auto"/>
              <w:rPr>
                <w:rFonts w:ascii="宋体" w:hAnsi="宋体" w:cs="宋体"/>
                <w:color w:val="auto"/>
                <w:sz w:val="24"/>
                <w:szCs w:val="24"/>
              </w:rPr>
            </w:pPr>
            <w:r>
              <w:rPr>
                <w:rFonts w:hint="eastAsia" w:ascii="宋体" w:hAnsi="宋体" w:cs="宋体"/>
                <w:b/>
                <w:bCs/>
                <w:color w:val="auto"/>
                <w:sz w:val="24"/>
                <w:szCs w:val="24"/>
              </w:rPr>
              <w:t>提供投标人在中国证券投资基金业协会完成管理人登记的证明复印件</w:t>
            </w:r>
          </w:p>
        </w:tc>
      </w:tr>
      <w:tr w14:paraId="389E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vAlign w:val="center"/>
          </w:tcPr>
          <w:p w14:paraId="2AF7A9CF">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6</w:t>
            </w:r>
          </w:p>
        </w:tc>
        <w:tc>
          <w:tcPr>
            <w:tcW w:w="2305" w:type="dxa"/>
            <w:vAlign w:val="center"/>
          </w:tcPr>
          <w:p w14:paraId="6428F5B6">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bCs/>
                <w:color w:val="auto"/>
                <w:kern w:val="0"/>
                <w:sz w:val="24"/>
                <w:szCs w:val="24"/>
              </w:rPr>
              <w:t>投标人承诺中标后配备专属且稳定的管理团队</w:t>
            </w:r>
          </w:p>
        </w:tc>
        <w:tc>
          <w:tcPr>
            <w:tcW w:w="6985" w:type="dxa"/>
            <w:vAlign w:val="center"/>
          </w:tcPr>
          <w:p w14:paraId="75EBE346">
            <w:pPr>
              <w:keepNext w:val="0"/>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eastAsia="宋体"/>
                <w:color w:val="auto"/>
                <w:sz w:val="24"/>
                <w:szCs w:val="24"/>
                <w:lang w:eastAsia="zh-CN"/>
              </w:rPr>
            </w:pPr>
            <w:r>
              <w:rPr>
                <w:rFonts w:hint="eastAsia" w:ascii="宋体" w:hAnsi="宋体" w:cs="宋体"/>
                <w:color w:val="auto"/>
                <w:sz w:val="24"/>
                <w:szCs w:val="24"/>
              </w:rPr>
              <w:t>投标人承诺中标后配备专属且稳定的管理团队，管理团队须包括至少3名具备5年以上产业项目投资经验或相关行业经验的高级管理人员，该3名核心人员作为基金的关键人非经合伙人会议同意，中标人不得擅自变更。须出具符合要求的承诺书原件，格式自拟（加盖投标人单位公章）</w:t>
            </w:r>
            <w:r>
              <w:rPr>
                <w:rFonts w:hint="eastAsia" w:ascii="宋体" w:hAnsi="宋体" w:cs="宋体"/>
                <w:color w:val="auto"/>
                <w:sz w:val="24"/>
                <w:szCs w:val="24"/>
                <w:lang w:eastAsia="zh-CN"/>
              </w:rPr>
              <w:t>。</w:t>
            </w:r>
          </w:p>
        </w:tc>
      </w:tr>
      <w:tr w14:paraId="23EF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48" w:type="dxa"/>
            <w:vAlign w:val="center"/>
          </w:tcPr>
          <w:p w14:paraId="452C9052">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7</w:t>
            </w:r>
          </w:p>
        </w:tc>
        <w:tc>
          <w:tcPr>
            <w:tcW w:w="2305" w:type="dxa"/>
            <w:vAlign w:val="center"/>
          </w:tcPr>
          <w:p w14:paraId="01A8A1EA">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基金关键人过往履历介绍（格式自拟）原件</w:t>
            </w:r>
          </w:p>
        </w:tc>
        <w:tc>
          <w:tcPr>
            <w:tcW w:w="6985" w:type="dxa"/>
            <w:vAlign w:val="center"/>
          </w:tcPr>
          <w:p w14:paraId="7E5B08B3">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基金关键人过往履历介绍（格式自拟</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加盖投标人单位公章</w:t>
            </w:r>
            <w:r>
              <w:rPr>
                <w:rFonts w:hint="eastAsia" w:ascii="宋体" w:hAnsi="宋体" w:cs="宋体"/>
                <w:color w:val="auto"/>
                <w:sz w:val="24"/>
                <w:szCs w:val="24"/>
              </w:rPr>
              <w:t>）原件</w:t>
            </w:r>
            <w:r>
              <w:rPr>
                <w:rFonts w:hint="eastAsia" w:ascii="宋体" w:hAnsi="宋体" w:cs="宋体"/>
                <w:color w:val="auto"/>
                <w:sz w:val="24"/>
                <w:szCs w:val="24"/>
                <w:lang w:eastAsia="zh-CN"/>
              </w:rPr>
              <w:t>。</w:t>
            </w:r>
          </w:p>
        </w:tc>
      </w:tr>
      <w:tr w14:paraId="4492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648" w:type="dxa"/>
            <w:vAlign w:val="center"/>
          </w:tcPr>
          <w:p w14:paraId="3C2E912F">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8</w:t>
            </w:r>
          </w:p>
        </w:tc>
        <w:tc>
          <w:tcPr>
            <w:tcW w:w="2305" w:type="dxa"/>
            <w:vAlign w:val="center"/>
          </w:tcPr>
          <w:p w14:paraId="63DB75CA">
            <w:pPr>
              <w:keepNext w:val="0"/>
              <w:keepLines w:val="0"/>
              <w:pageBreakBefore w:val="0"/>
              <w:widowControl/>
              <w:kinsoku/>
              <w:wordWrap/>
              <w:overflowPunct/>
              <w:topLinePunct w:val="0"/>
              <w:autoSpaceDE/>
              <w:autoSpaceDN/>
              <w:bidi w:val="0"/>
              <w:adjustRightInd/>
              <w:spacing w:line="360" w:lineRule="auto"/>
              <w:textAlignment w:val="auto"/>
              <w:rPr>
                <w:color w:val="auto"/>
                <w:sz w:val="24"/>
                <w:szCs w:val="24"/>
              </w:rPr>
            </w:pPr>
            <w:r>
              <w:rPr>
                <w:rFonts w:hint="eastAsia"/>
                <w:color w:val="auto"/>
                <w:sz w:val="24"/>
                <w:szCs w:val="24"/>
              </w:rPr>
              <w:t>提供“南通宝月湖科技股权投资基金合伙企业（有限合伙）二期管理机构申请登记表”原件（格式详见第五章）</w:t>
            </w:r>
          </w:p>
        </w:tc>
        <w:tc>
          <w:tcPr>
            <w:tcW w:w="6985" w:type="dxa"/>
            <w:vAlign w:val="center"/>
          </w:tcPr>
          <w:p w14:paraId="113581CF">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color w:val="auto"/>
                <w:sz w:val="24"/>
                <w:szCs w:val="24"/>
              </w:rPr>
            </w:pPr>
            <w:r>
              <w:rPr>
                <w:rFonts w:hint="eastAsia"/>
                <w:color w:val="auto"/>
                <w:sz w:val="24"/>
                <w:szCs w:val="24"/>
              </w:rPr>
              <w:t>提供“南通宝月湖科技股权投资基金合伙企业（有限合伙）二期管理机构申请登记表”原件（格式详见第五章）</w:t>
            </w:r>
          </w:p>
        </w:tc>
      </w:tr>
      <w:tr w14:paraId="5940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48" w:type="dxa"/>
            <w:vAlign w:val="center"/>
          </w:tcPr>
          <w:p w14:paraId="3736C8CE">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9</w:t>
            </w:r>
          </w:p>
        </w:tc>
        <w:tc>
          <w:tcPr>
            <w:tcW w:w="2305" w:type="dxa"/>
            <w:vAlign w:val="center"/>
          </w:tcPr>
          <w:p w14:paraId="7742C289">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投标人拟派本项目管理团队投资情况表原件（格式详见第五章）</w:t>
            </w:r>
          </w:p>
        </w:tc>
        <w:tc>
          <w:tcPr>
            <w:tcW w:w="6985" w:type="dxa"/>
            <w:vAlign w:val="center"/>
          </w:tcPr>
          <w:p w14:paraId="149BA8BC">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投标人拟派本项目管理团队投资情况表原件（格式详见第五章）</w:t>
            </w:r>
          </w:p>
        </w:tc>
      </w:tr>
      <w:tr w14:paraId="059E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48" w:type="dxa"/>
            <w:vAlign w:val="center"/>
          </w:tcPr>
          <w:p w14:paraId="46AAA649">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10</w:t>
            </w:r>
          </w:p>
        </w:tc>
        <w:tc>
          <w:tcPr>
            <w:tcW w:w="2305" w:type="dxa"/>
            <w:vAlign w:val="center"/>
          </w:tcPr>
          <w:p w14:paraId="483480E0">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投标人信用承诺书原件（格式详见第五章）</w:t>
            </w:r>
          </w:p>
        </w:tc>
        <w:tc>
          <w:tcPr>
            <w:tcW w:w="6985" w:type="dxa"/>
            <w:vAlign w:val="center"/>
          </w:tcPr>
          <w:p w14:paraId="0697849B">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投标人信用承诺书原件（格式详见第五章）</w:t>
            </w:r>
          </w:p>
        </w:tc>
      </w:tr>
      <w:tr w14:paraId="2D38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938" w:type="dxa"/>
            <w:gridSpan w:val="3"/>
            <w:tcBorders>
              <w:top w:val="single" w:color="auto" w:sz="2" w:space="0"/>
              <w:left w:val="single" w:color="auto" w:sz="2" w:space="0"/>
              <w:bottom w:val="single" w:color="auto" w:sz="2" w:space="0"/>
              <w:right w:val="single" w:color="auto" w:sz="2" w:space="0"/>
            </w:tcBorders>
            <w:vAlign w:val="center"/>
          </w:tcPr>
          <w:p w14:paraId="468ABA11">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ascii="宋体" w:hAnsi="宋体" w:cs="宋体"/>
                <w:b/>
                <w:bCs/>
                <w:color w:val="auto"/>
                <w:sz w:val="24"/>
                <w:szCs w:val="24"/>
              </w:rPr>
            </w:pPr>
            <w:r>
              <w:rPr>
                <w:rFonts w:hint="eastAsia" w:ascii="宋体" w:hAnsi="宋体" w:cs="宋体"/>
                <w:b/>
                <w:bCs/>
                <w:color w:val="auto"/>
                <w:sz w:val="24"/>
                <w:szCs w:val="24"/>
              </w:rPr>
              <w:t>备注：</w:t>
            </w:r>
          </w:p>
          <w:p w14:paraId="2F32EF09">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ascii="宋体" w:hAnsi="宋体" w:cs="宋体"/>
                <w:b/>
                <w:bCs/>
                <w:color w:val="auto"/>
                <w:sz w:val="24"/>
                <w:szCs w:val="24"/>
              </w:rPr>
            </w:pPr>
            <w:r>
              <w:rPr>
                <w:rFonts w:hint="eastAsia" w:ascii="宋体" w:hAnsi="宋体" w:cs="宋体"/>
                <w:b/>
                <w:bCs/>
                <w:color w:val="auto"/>
                <w:sz w:val="24"/>
                <w:szCs w:val="24"/>
              </w:rPr>
              <w:t>①若在评审过程中，发现提供资格审查材料虚假，则资格审查不通过，同时记不良行为。</w:t>
            </w:r>
          </w:p>
          <w:p w14:paraId="3004009B">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ascii="宋体" w:hAnsi="宋体" w:cs="宋体"/>
                <w:b/>
                <w:bCs/>
                <w:color w:val="auto"/>
                <w:sz w:val="24"/>
                <w:szCs w:val="24"/>
              </w:rPr>
            </w:pPr>
            <w:r>
              <w:rPr>
                <w:rFonts w:hint="eastAsia" w:ascii="宋体" w:hAnsi="宋体" w:cs="宋体"/>
                <w:b/>
                <w:bCs/>
                <w:color w:val="auto"/>
                <w:sz w:val="24"/>
                <w:szCs w:val="24"/>
              </w:rPr>
              <w:t>②上述要求提供复印件的须提供有效原件的复印件，并在复印件上加盖单位公章；</w:t>
            </w:r>
          </w:p>
          <w:p w14:paraId="6A0AE778">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ascii="宋体" w:hAnsi="宋体" w:cs="宋体"/>
                <w:b/>
                <w:bCs/>
                <w:color w:val="auto"/>
                <w:sz w:val="24"/>
                <w:szCs w:val="24"/>
              </w:rPr>
            </w:pPr>
            <w:r>
              <w:rPr>
                <w:rFonts w:hint="eastAsia" w:ascii="宋体" w:hAnsi="宋体" w:cs="宋体"/>
                <w:b/>
                <w:bCs/>
                <w:color w:val="auto"/>
                <w:sz w:val="24"/>
                <w:szCs w:val="24"/>
              </w:rPr>
              <w:t>③上述(1)～(10)中任何一条未提供或不符合要求，则资格审查不通过。</w:t>
            </w:r>
          </w:p>
          <w:p w14:paraId="42F0B2AE">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ascii="宋体" w:hAnsi="宋体" w:cs="宋体"/>
                <w:color w:val="auto"/>
                <w:sz w:val="24"/>
                <w:szCs w:val="24"/>
              </w:rPr>
            </w:pPr>
            <w:r>
              <w:rPr>
                <w:rFonts w:hint="eastAsia" w:ascii="宋体" w:hAnsi="宋体" w:cs="宋体"/>
                <w:b/>
                <w:bCs/>
                <w:color w:val="auto"/>
                <w:sz w:val="24"/>
                <w:szCs w:val="24"/>
              </w:rPr>
              <w:t>④如法人名称和法定代表人姓名发生变化，请提供相关证明；证书如遇年检，请提供相关证明。否则，资格审查不通过。</w:t>
            </w:r>
          </w:p>
        </w:tc>
      </w:tr>
    </w:tbl>
    <w:p w14:paraId="4E7C4D68">
      <w:pPr>
        <w:keepNext w:val="0"/>
        <w:keepLines w:val="0"/>
        <w:pageBreakBefore w:val="0"/>
        <w:widowControl w:val="0"/>
        <w:kinsoku/>
        <w:wordWrap/>
        <w:overflowPunct/>
        <w:topLinePunct w:val="0"/>
        <w:autoSpaceDE/>
        <w:autoSpaceDN/>
        <w:bidi w:val="0"/>
        <w:adjustRightInd/>
        <w:snapToGrid w:val="0"/>
        <w:spacing w:line="360" w:lineRule="auto"/>
        <w:ind w:firstLine="472" w:firstLineChars="196"/>
        <w:contextualSpacing/>
        <w:jc w:val="left"/>
        <w:textAlignment w:val="auto"/>
        <w:rPr>
          <w:rFonts w:hint="eastAsia" w:ascii="宋体" w:hAnsi="宋体" w:eastAsia="宋体" w:cs="宋体"/>
          <w:b/>
          <w:bCs/>
          <w:color w:val="auto"/>
          <w:sz w:val="24"/>
          <w:szCs w:val="24"/>
        </w:rPr>
      </w:pPr>
    </w:p>
    <w:p w14:paraId="0CB22371">
      <w:pPr>
        <w:keepNext w:val="0"/>
        <w:keepLines w:val="0"/>
        <w:pageBreakBefore w:val="0"/>
        <w:widowControl w:val="0"/>
        <w:kinsoku/>
        <w:wordWrap/>
        <w:overflowPunct/>
        <w:topLinePunct w:val="0"/>
        <w:autoSpaceDE/>
        <w:autoSpaceDN/>
        <w:bidi w:val="0"/>
        <w:adjustRightInd/>
        <w:snapToGrid w:val="0"/>
        <w:spacing w:line="360" w:lineRule="auto"/>
        <w:ind w:firstLine="472" w:firstLineChars="196"/>
        <w:contextualSpacing/>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四、技术标评审（满分80分）</w:t>
      </w:r>
    </w:p>
    <w:p w14:paraId="1C4C794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contextualSpacing/>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资格审查后，由评委对资格审查合格的投标单位的技术标进行评审打分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各投标人技术标最终得分为评委会成员评分的算术平均分，分值计算结果保留两位小数，第三位四舍五入。</w:t>
      </w:r>
    </w:p>
    <w:p w14:paraId="5B66578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contextualSpacing/>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技术标文件包中包括一个U盘，该U盘中含有“</w:t>
      </w:r>
      <w:r>
        <w:rPr>
          <w:rFonts w:hint="eastAsia" w:ascii="宋体" w:hAnsi="宋体" w:eastAsia="宋体" w:cs="宋体"/>
          <w:b/>
          <w:bCs/>
          <w:color w:val="auto"/>
          <w:sz w:val="24"/>
          <w:szCs w:val="24"/>
          <w:lang w:val="en-US" w:eastAsia="zh-CN"/>
        </w:rPr>
        <w:t>现场演示”PPT(或PPTX)</w:t>
      </w:r>
      <w:r>
        <w:rPr>
          <w:rFonts w:hint="eastAsia" w:ascii="宋体" w:hAnsi="宋体" w:eastAsia="宋体" w:cs="宋体"/>
          <w:b/>
          <w:bCs/>
          <w:color w:val="auto"/>
          <w:sz w:val="24"/>
          <w:szCs w:val="24"/>
        </w:rPr>
        <w:t>格式的电子文件，U盘必须与技术标一起密封，不得单独递交。如“技术标”中无对应U盘，</w:t>
      </w:r>
      <w:r>
        <w:rPr>
          <w:rFonts w:hint="eastAsia" w:ascii="宋体" w:hAnsi="宋体" w:eastAsia="宋体" w:cs="宋体"/>
          <w:b/>
          <w:bCs/>
          <w:color w:val="auto"/>
          <w:sz w:val="24"/>
          <w:szCs w:val="24"/>
          <w:lang w:val="en-US" w:eastAsia="zh-CN"/>
        </w:rPr>
        <w:t>按无效投标处理</w:t>
      </w:r>
      <w:r>
        <w:rPr>
          <w:rFonts w:hint="eastAsia" w:ascii="宋体" w:hAnsi="宋体" w:eastAsia="宋体" w:cs="宋体"/>
          <w:b/>
          <w:bCs/>
          <w:color w:val="auto"/>
          <w:sz w:val="24"/>
          <w:szCs w:val="24"/>
        </w:rPr>
        <w:t>。</w:t>
      </w:r>
    </w:p>
    <w:p w14:paraId="023E7E5F">
      <w:pPr>
        <w:snapToGrid w:val="0"/>
        <w:spacing w:beforeLines="50" w:line="360" w:lineRule="auto"/>
        <w:ind w:firstLine="472" w:firstLineChars="196"/>
        <w:contextualSpacing/>
        <w:jc w:val="left"/>
        <w:rPr>
          <w:rFonts w:hint="eastAsia" w:ascii="宋体" w:hAnsi="宋体" w:eastAsia="宋体" w:cs="宋体"/>
          <w:b/>
          <w:color w:val="auto"/>
          <w:sz w:val="24"/>
          <w:szCs w:val="24"/>
        </w:rPr>
      </w:pPr>
    </w:p>
    <w:tbl>
      <w:tblPr>
        <w:tblStyle w:val="36"/>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755"/>
        <w:gridCol w:w="1759"/>
        <w:gridCol w:w="6073"/>
      </w:tblGrid>
      <w:tr w14:paraId="274F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9" w:type="dxa"/>
            <w:vAlign w:val="center"/>
          </w:tcPr>
          <w:p w14:paraId="103DEEEC">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对应部分</w:t>
            </w:r>
          </w:p>
        </w:tc>
        <w:tc>
          <w:tcPr>
            <w:tcW w:w="755" w:type="dxa"/>
            <w:vAlign w:val="center"/>
          </w:tcPr>
          <w:p w14:paraId="7FB02F85">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val="en-US" w:eastAsia="zh-CN"/>
              </w:rPr>
              <w:t>序号</w:t>
            </w:r>
          </w:p>
        </w:tc>
        <w:tc>
          <w:tcPr>
            <w:tcW w:w="1759" w:type="dxa"/>
            <w:vAlign w:val="center"/>
          </w:tcPr>
          <w:p w14:paraId="529A4A1B">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rPr>
              <w:t>评价项目</w:t>
            </w:r>
            <w:r>
              <w:rPr>
                <w:rFonts w:hint="eastAsia" w:ascii="宋体" w:hAnsi="宋体" w:eastAsia="宋体" w:cs="宋体"/>
                <w:b/>
                <w:color w:val="auto"/>
                <w:kern w:val="0"/>
                <w:sz w:val="24"/>
                <w:szCs w:val="24"/>
                <w:lang w:val="en-US" w:eastAsia="zh-CN"/>
              </w:rPr>
              <w:t>及满分</w:t>
            </w:r>
          </w:p>
        </w:tc>
        <w:tc>
          <w:tcPr>
            <w:tcW w:w="6073" w:type="dxa"/>
            <w:vAlign w:val="center"/>
          </w:tcPr>
          <w:p w14:paraId="659B1C78">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评分标准</w:t>
            </w:r>
          </w:p>
        </w:tc>
      </w:tr>
      <w:tr w14:paraId="60BB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259" w:type="dxa"/>
            <w:vMerge w:val="restart"/>
            <w:vAlign w:val="center"/>
          </w:tcPr>
          <w:p w14:paraId="5CEC040B">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资信</w:t>
            </w:r>
          </w:p>
          <w:p w14:paraId="3EAE92B9">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部分</w:t>
            </w:r>
          </w:p>
          <w:p w14:paraId="43BEBE70">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60分</w:t>
            </w:r>
            <w:r>
              <w:rPr>
                <w:rFonts w:hint="eastAsia" w:ascii="宋体" w:hAnsi="宋体" w:eastAsia="宋体" w:cs="宋体"/>
                <w:b/>
                <w:color w:val="auto"/>
                <w:kern w:val="0"/>
                <w:sz w:val="24"/>
                <w:szCs w:val="24"/>
                <w:lang w:eastAsia="zh-CN"/>
              </w:rPr>
              <w:t>）</w:t>
            </w:r>
          </w:p>
          <w:p w14:paraId="1EC3A3BD">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p>
        </w:tc>
        <w:tc>
          <w:tcPr>
            <w:tcW w:w="755" w:type="dxa"/>
            <w:vAlign w:val="center"/>
          </w:tcPr>
          <w:p w14:paraId="08ACB13E">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759" w:type="dxa"/>
            <w:vAlign w:val="center"/>
          </w:tcPr>
          <w:p w14:paraId="3C17A7CB">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落地团队成员从业经验</w:t>
            </w:r>
          </w:p>
          <w:p w14:paraId="3AA400A2">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满分20分</w:t>
            </w:r>
            <w:r>
              <w:rPr>
                <w:rFonts w:hint="eastAsia" w:ascii="宋体" w:hAnsi="宋体" w:eastAsia="宋体" w:cs="宋体"/>
                <w:color w:val="auto"/>
                <w:kern w:val="0"/>
                <w:sz w:val="24"/>
                <w:szCs w:val="24"/>
                <w:lang w:eastAsia="zh-CN"/>
              </w:rPr>
              <w:t>）</w:t>
            </w:r>
          </w:p>
        </w:tc>
        <w:tc>
          <w:tcPr>
            <w:tcW w:w="6073" w:type="dxa"/>
            <w:vAlign w:val="center"/>
          </w:tcPr>
          <w:p w14:paraId="6724341C">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投标人落地团队成员中有3人从业满5年得【10】分，有4人从业满5年得【15】分，有5人及以上从业满5年得【20】分，本项最高得【20】分。</w:t>
            </w:r>
          </w:p>
          <w:p w14:paraId="3E376F71">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注</w:t>
            </w:r>
            <w:r>
              <w:rPr>
                <w:rFonts w:hint="eastAsia" w:ascii="宋体" w:hAnsi="宋体" w:eastAsia="宋体" w:cs="宋体"/>
                <w:color w:val="auto"/>
                <w:kern w:val="0"/>
                <w:sz w:val="24"/>
                <w:szCs w:val="24"/>
              </w:rPr>
              <w:t>: 投标人须提供落地团队成员在</w:t>
            </w:r>
            <w:r>
              <w:rPr>
                <w:rFonts w:hint="eastAsia" w:ascii="宋体" w:hAnsi="宋体" w:eastAsia="宋体" w:cs="宋体"/>
                <w:color w:val="auto"/>
                <w:kern w:val="0"/>
                <w:sz w:val="24"/>
                <w:szCs w:val="24"/>
                <w:lang w:val="en-US" w:eastAsia="zh-CN"/>
              </w:rPr>
              <w:t>相关单位</w:t>
            </w:r>
            <w:r>
              <w:rPr>
                <w:rFonts w:hint="eastAsia" w:ascii="宋体" w:hAnsi="宋体" w:eastAsia="宋体" w:cs="宋体"/>
                <w:color w:val="auto"/>
                <w:kern w:val="0"/>
                <w:sz w:val="24"/>
                <w:szCs w:val="24"/>
              </w:rPr>
              <w:t>缴纳社保或个税等证明材料。</w:t>
            </w:r>
          </w:p>
        </w:tc>
      </w:tr>
      <w:tr w14:paraId="371A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59" w:type="dxa"/>
            <w:vMerge w:val="continue"/>
            <w:vAlign w:val="center"/>
          </w:tcPr>
          <w:p w14:paraId="37D88CCA">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p>
        </w:tc>
        <w:tc>
          <w:tcPr>
            <w:tcW w:w="755" w:type="dxa"/>
            <w:vAlign w:val="center"/>
          </w:tcPr>
          <w:p w14:paraId="1A1B829A">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759" w:type="dxa"/>
            <w:vAlign w:val="center"/>
          </w:tcPr>
          <w:p w14:paraId="226C567A">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投标人或落地团队母基金管理</w:t>
            </w:r>
            <w:r>
              <w:rPr>
                <w:rFonts w:hint="eastAsia" w:ascii="宋体" w:hAnsi="宋体" w:eastAsia="宋体" w:cs="宋体"/>
                <w:color w:val="auto"/>
                <w:kern w:val="0"/>
                <w:sz w:val="24"/>
                <w:szCs w:val="24"/>
                <w:lang w:val="en-US" w:eastAsia="zh-CN"/>
              </w:rPr>
              <w:t>规模及基金管理经验</w:t>
            </w:r>
          </w:p>
          <w:p w14:paraId="7B71E284">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（满分20分）</w:t>
            </w:r>
          </w:p>
        </w:tc>
        <w:tc>
          <w:tcPr>
            <w:tcW w:w="6073" w:type="dxa"/>
            <w:vAlign w:val="center"/>
          </w:tcPr>
          <w:p w14:paraId="7A32B2E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投标人或落地团队在管母基金合计认缴规模不足5亿的不得分，5亿(含)-10亿(不含)的得【3】分，超过10亿（含）的得【6】分。投标人在管母基金合计</w:t>
            </w:r>
            <w:r>
              <w:rPr>
                <w:rFonts w:hint="eastAsia" w:ascii="宋体" w:hAnsi="宋体" w:eastAsia="宋体" w:cs="宋体"/>
                <w:color w:val="auto"/>
                <w:kern w:val="0"/>
                <w:sz w:val="24"/>
                <w:szCs w:val="24"/>
                <w:lang w:val="en-US" w:eastAsia="zh-CN"/>
              </w:rPr>
              <w:t>投资</w:t>
            </w:r>
            <w:r>
              <w:rPr>
                <w:rFonts w:hint="eastAsia" w:ascii="宋体" w:hAnsi="宋体" w:eastAsia="宋体" w:cs="宋体"/>
                <w:color w:val="auto"/>
                <w:kern w:val="0"/>
                <w:sz w:val="24"/>
                <w:szCs w:val="24"/>
              </w:rPr>
              <w:t>规模不足2.5亿的不得分，2.5亿(含)-5亿(不含)的得【2】分，超过5亿（含）的得【4】分。累计得分不超过【10】分。</w:t>
            </w:r>
          </w:p>
          <w:p w14:paraId="252CAE27">
            <w:pPr>
              <w:pStyle w:val="2"/>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注:投标人须提供佐证材料或落地团队成员在母基金中担任投决会成员或相当的投资管理职务及母基金规模的有效证明。</w:t>
            </w:r>
          </w:p>
          <w:p w14:paraId="7C5DE32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投标人或落地团队管理过母基金的得【</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】分；管理过</w:t>
            </w:r>
            <w:r>
              <w:rPr>
                <w:rFonts w:hint="eastAsia" w:ascii="宋体" w:hAnsi="宋体" w:eastAsia="宋体" w:cs="宋体"/>
                <w:color w:val="auto"/>
                <w:kern w:val="0"/>
                <w:sz w:val="24"/>
                <w:szCs w:val="24"/>
                <w:lang w:val="en-US" w:eastAsia="zh-CN"/>
              </w:rPr>
              <w:t>直投</w:t>
            </w:r>
            <w:r>
              <w:rPr>
                <w:rFonts w:hint="eastAsia" w:ascii="宋体" w:hAnsi="宋体" w:eastAsia="宋体" w:cs="宋体"/>
                <w:color w:val="auto"/>
                <w:kern w:val="0"/>
                <w:sz w:val="24"/>
                <w:szCs w:val="24"/>
              </w:rPr>
              <w:t>基金的得【</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】分。每只基金得分不可重复计算，</w:t>
            </w:r>
            <w:r>
              <w:rPr>
                <w:rFonts w:hint="eastAsia" w:ascii="宋体" w:hAnsi="宋体" w:eastAsia="宋体" w:cs="宋体"/>
                <w:color w:val="auto"/>
                <w:kern w:val="0"/>
                <w:sz w:val="24"/>
                <w:szCs w:val="24"/>
                <w:lang w:val="en-US" w:eastAsia="zh-CN"/>
              </w:rPr>
              <w:t>如有重复，按得分高的计取，</w:t>
            </w:r>
            <w:r>
              <w:rPr>
                <w:rFonts w:hint="eastAsia" w:ascii="宋体" w:hAnsi="宋体" w:eastAsia="宋体" w:cs="宋体"/>
                <w:color w:val="auto"/>
                <w:kern w:val="0"/>
                <w:sz w:val="24"/>
                <w:szCs w:val="24"/>
              </w:rPr>
              <w:t>累计得分不超过【10】分。</w:t>
            </w:r>
          </w:p>
          <w:p w14:paraId="67FDACB9">
            <w:pPr>
              <w:pStyle w:val="3"/>
              <w:keepNext w:val="0"/>
              <w:keepLines w:val="0"/>
              <w:pageBreakBefore w:val="0"/>
              <w:kinsoku/>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SA"/>
              </w:rPr>
              <w:t>注:投标人须提供相关证明材料或落地团队成员在基金中担任投决会成员或相当的投资管理职务及相关基金管理经验的有效证明。</w:t>
            </w:r>
          </w:p>
        </w:tc>
      </w:tr>
      <w:tr w14:paraId="631F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259" w:type="dxa"/>
            <w:vMerge w:val="continue"/>
            <w:vAlign w:val="center"/>
          </w:tcPr>
          <w:p w14:paraId="0D364423">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p>
        </w:tc>
        <w:tc>
          <w:tcPr>
            <w:tcW w:w="755" w:type="dxa"/>
            <w:vAlign w:val="center"/>
          </w:tcPr>
          <w:p w14:paraId="41CE5AA4">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759" w:type="dxa"/>
            <w:vAlign w:val="center"/>
          </w:tcPr>
          <w:p w14:paraId="47263B56">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投标人或落地团队成员投资业绩</w:t>
            </w:r>
          </w:p>
          <w:p w14:paraId="604DB51C">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满分20分</w:t>
            </w:r>
            <w:r>
              <w:rPr>
                <w:rFonts w:hint="eastAsia" w:ascii="宋体" w:hAnsi="宋体" w:eastAsia="宋体" w:cs="宋体"/>
                <w:color w:val="auto"/>
                <w:kern w:val="0"/>
                <w:sz w:val="24"/>
                <w:szCs w:val="24"/>
                <w:lang w:eastAsia="zh-CN"/>
              </w:rPr>
              <w:t>）</w:t>
            </w:r>
          </w:p>
        </w:tc>
        <w:tc>
          <w:tcPr>
            <w:tcW w:w="6073" w:type="dxa"/>
            <w:vAlign w:val="center"/>
          </w:tcPr>
          <w:p w14:paraId="607FC8A5">
            <w:pPr>
              <w:pStyle w:val="3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投标人或落地团队成员管理的基金所投项目在近五年内（20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年1月1日—202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年12月31日）有成功退出案例（包括但不限于以IPO、</w:t>
            </w:r>
            <w:r>
              <w:rPr>
                <w:rFonts w:hint="eastAsia" w:ascii="宋体" w:hAnsi="宋体" w:eastAsia="宋体" w:cs="宋体"/>
                <w:color w:val="auto"/>
                <w:sz w:val="24"/>
                <w:szCs w:val="24"/>
                <w:lang w:val="en-US" w:eastAsia="zh-CN"/>
              </w:rPr>
              <w:t>年化收益率</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的股权转让等方式</w:t>
            </w:r>
            <w:bookmarkStart w:id="27" w:name="_GoBack"/>
            <w:bookmarkEnd w:id="27"/>
            <w:r>
              <w:rPr>
                <w:rFonts w:hint="eastAsia" w:ascii="宋体" w:hAnsi="宋体" w:eastAsia="宋体" w:cs="宋体"/>
                <w:color w:val="auto"/>
                <w:sz w:val="24"/>
                <w:szCs w:val="24"/>
              </w:rPr>
              <w:t>）。每提供一例得【</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】分（含主板、创业板、科创板、港股及美股等海外市场，不含新三板），本项最多得【20】分。</w:t>
            </w:r>
          </w:p>
          <w:p w14:paraId="4FD9D903">
            <w:pPr>
              <w:pStyle w:val="3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注:投标人须提供相关证明材料或落地团队成员在基金中担任投决会成员或相当的投资管理职务及取得相关业绩的有效证明。</w:t>
            </w:r>
          </w:p>
        </w:tc>
      </w:tr>
      <w:tr w14:paraId="0A60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014" w:type="dxa"/>
            <w:gridSpan w:val="2"/>
            <w:vAlign w:val="center"/>
          </w:tcPr>
          <w:p w14:paraId="08668852">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现场</w:t>
            </w:r>
          </w:p>
          <w:p w14:paraId="18C42ED8">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演示</w:t>
            </w:r>
          </w:p>
          <w:p w14:paraId="3B3AD234">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（20分）</w:t>
            </w:r>
          </w:p>
          <w:p w14:paraId="6E740CA0">
            <w:pPr>
              <w:pStyle w:val="2"/>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7832" w:type="dxa"/>
            <w:gridSpan w:val="2"/>
            <w:vAlign w:val="center"/>
          </w:tcPr>
          <w:p w14:paraId="7A3666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投标人根据自身对项目的理解，结合自身的管理运营经验，从以下几个方面演示。</w:t>
            </w:r>
          </w:p>
          <w:p w14:paraId="6760CF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①提供的基金运作方案具备可行性、专业性、全面性、可操作性,对母基金管理有明确的子基金或直投计划；</w:t>
            </w:r>
          </w:p>
          <w:p w14:paraId="1EB788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②明确本地团队培育计划，以及未来组建的团队人员计划等；</w:t>
            </w:r>
          </w:p>
          <w:p w14:paraId="0B25C0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③对本地重点产业发展现状及规划有较为深刻的理解，并且对如何通过管理母基金培育产业有较为详细的计划。</w:t>
            </w:r>
          </w:p>
          <w:p w14:paraId="2DA1CB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根据投标人所编制方案优劣程度，分三个等级，优秀得15分(不含）-20分（含），良好得10分（不含）-15分（含），其余得0分-10分（含）。</w:t>
            </w:r>
          </w:p>
          <w:p w14:paraId="3971D29E">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注：项目投标人须自带电脑播放设备，采用PPT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PPT或PPTX格式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的形式现场</w:t>
            </w:r>
            <w:r>
              <w:rPr>
                <w:rFonts w:hint="eastAsia" w:ascii="宋体" w:hAnsi="宋体" w:eastAsia="宋体" w:cs="宋体"/>
                <w:color w:val="auto"/>
                <w:sz w:val="24"/>
                <w:szCs w:val="24"/>
                <w:lang w:val="en-US" w:eastAsia="zh-CN"/>
              </w:rPr>
              <w:t>演示</w:t>
            </w:r>
            <w:r>
              <w:rPr>
                <w:rFonts w:hint="eastAsia" w:ascii="宋体" w:hAnsi="宋体" w:eastAsia="宋体" w:cs="宋体"/>
                <w:color w:val="auto"/>
                <w:sz w:val="24"/>
                <w:szCs w:val="24"/>
              </w:rPr>
              <w:t>讲解陈述，时间控制在10-15分钟内。现场演示的电子文档PPT作为技术标的资料之一，存储在U盘内，并与纸质技术标文件</w:t>
            </w:r>
            <w:r>
              <w:rPr>
                <w:rFonts w:hint="eastAsia" w:ascii="宋体" w:hAnsi="宋体" w:eastAsia="宋体" w:cs="宋体"/>
                <w:color w:val="auto"/>
                <w:sz w:val="24"/>
                <w:szCs w:val="24"/>
                <w:lang w:val="en-US" w:eastAsia="zh-CN"/>
              </w:rPr>
              <w:t>密封在一起</w:t>
            </w:r>
            <w:r>
              <w:rPr>
                <w:rFonts w:hint="eastAsia" w:ascii="宋体" w:hAnsi="宋体" w:eastAsia="宋体" w:cs="宋体"/>
                <w:color w:val="auto"/>
                <w:sz w:val="24"/>
                <w:szCs w:val="24"/>
              </w:rPr>
              <w:t>提交，否则</w:t>
            </w:r>
            <w:r>
              <w:rPr>
                <w:rFonts w:hint="eastAsia" w:ascii="宋体" w:hAnsi="宋体" w:eastAsia="宋体" w:cs="宋体"/>
                <w:color w:val="auto"/>
                <w:sz w:val="24"/>
                <w:szCs w:val="24"/>
                <w:lang w:val="en-US" w:eastAsia="zh-CN"/>
              </w:rPr>
              <w:t>按无效投标处理</w:t>
            </w:r>
            <w:r>
              <w:rPr>
                <w:rFonts w:hint="eastAsia" w:ascii="宋体" w:hAnsi="宋体" w:eastAsia="宋体" w:cs="宋体"/>
                <w:color w:val="auto"/>
                <w:sz w:val="24"/>
                <w:szCs w:val="24"/>
              </w:rPr>
              <w:t>。</w:t>
            </w:r>
          </w:p>
          <w:p w14:paraId="74AF7307">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因本项目要求</w:t>
            </w:r>
            <w:r>
              <w:rPr>
                <w:rFonts w:hint="eastAsia" w:ascii="宋体" w:hAnsi="宋体" w:eastAsia="宋体" w:cs="宋体"/>
                <w:color w:val="auto"/>
                <w:sz w:val="24"/>
                <w:szCs w:val="24"/>
                <w:lang w:val="en-US" w:eastAsia="zh-CN"/>
              </w:rPr>
              <w:t>现场演示</w:t>
            </w:r>
            <w:r>
              <w:rPr>
                <w:rFonts w:hint="eastAsia" w:ascii="宋体" w:hAnsi="宋体" w:eastAsia="宋体" w:cs="宋体"/>
                <w:color w:val="auto"/>
                <w:sz w:val="24"/>
                <w:szCs w:val="24"/>
              </w:rPr>
              <w:t>讲解陈述人员到现场</w:t>
            </w:r>
            <w:r>
              <w:rPr>
                <w:rFonts w:hint="eastAsia" w:ascii="宋体" w:hAnsi="宋体" w:eastAsia="宋体" w:cs="宋体"/>
                <w:color w:val="auto"/>
                <w:sz w:val="24"/>
                <w:szCs w:val="24"/>
                <w:lang w:val="en-US" w:eastAsia="zh-CN"/>
              </w:rPr>
              <w:t>进行演示</w:t>
            </w:r>
            <w:r>
              <w:rPr>
                <w:rFonts w:hint="eastAsia" w:ascii="宋体" w:hAnsi="宋体" w:eastAsia="宋体" w:cs="宋体"/>
                <w:color w:val="auto"/>
                <w:sz w:val="24"/>
                <w:szCs w:val="24"/>
              </w:rPr>
              <w:t>讲解陈述，故要求现场演示讲解陈述人员</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eastAsia="zh-CN"/>
              </w:rPr>
              <w:t>文件递交</w:t>
            </w:r>
            <w:r>
              <w:rPr>
                <w:rFonts w:hint="eastAsia" w:ascii="宋体" w:hAnsi="宋体" w:eastAsia="宋体" w:cs="宋体"/>
                <w:color w:val="auto"/>
                <w:sz w:val="24"/>
                <w:szCs w:val="24"/>
              </w:rPr>
              <w:t>截止时间前到达投标文件递交地点并进行签到，未在投标</w:t>
            </w:r>
            <w:r>
              <w:rPr>
                <w:rFonts w:hint="eastAsia" w:ascii="宋体" w:hAnsi="宋体" w:eastAsia="宋体" w:cs="宋体"/>
                <w:color w:val="auto"/>
                <w:sz w:val="24"/>
                <w:szCs w:val="24"/>
                <w:lang w:val="en-US" w:eastAsia="zh-CN"/>
              </w:rPr>
              <w:t>文件递交</w:t>
            </w:r>
            <w:r>
              <w:rPr>
                <w:rFonts w:hint="eastAsia" w:ascii="宋体" w:hAnsi="宋体" w:eastAsia="宋体" w:cs="宋体"/>
                <w:color w:val="auto"/>
                <w:sz w:val="24"/>
                <w:szCs w:val="24"/>
              </w:rPr>
              <w:t>截止时间前到达现场签到或未参加</w:t>
            </w:r>
            <w:r>
              <w:rPr>
                <w:rFonts w:hint="eastAsia" w:ascii="宋体" w:hAnsi="宋体" w:eastAsia="宋体" w:cs="宋体"/>
                <w:color w:val="auto"/>
                <w:sz w:val="24"/>
                <w:szCs w:val="24"/>
                <w:lang w:val="en-US" w:eastAsia="zh-CN"/>
              </w:rPr>
              <w:t>现场演示</w:t>
            </w:r>
            <w:r>
              <w:rPr>
                <w:rFonts w:hint="eastAsia" w:ascii="宋体" w:hAnsi="宋体" w:eastAsia="宋体" w:cs="宋体"/>
                <w:color w:val="auto"/>
                <w:sz w:val="24"/>
                <w:szCs w:val="24"/>
              </w:rPr>
              <w:t>讲解陈述的，此项得分为0分。</w:t>
            </w:r>
          </w:p>
        </w:tc>
      </w:tr>
    </w:tbl>
    <w:p w14:paraId="08857420">
      <w:pPr>
        <w:keepNext w:val="0"/>
        <w:keepLines w:val="0"/>
        <w:pageBreakBefore w:val="0"/>
        <w:kinsoku/>
        <w:overflowPunct/>
        <w:topLinePunct w:val="0"/>
        <w:autoSpaceDE/>
        <w:autoSpaceDN/>
        <w:bidi w:val="0"/>
        <w:adjustRightInd/>
        <w:snapToGrid/>
        <w:spacing w:line="360" w:lineRule="auto"/>
        <w:ind w:firstLine="472" w:firstLineChars="196"/>
        <w:contextualSpacing/>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五、商务标评审（满分20分）：</w:t>
      </w:r>
    </w:p>
    <w:p w14:paraId="2130A38B">
      <w:pPr>
        <w:keepNext w:val="0"/>
        <w:keepLines w:val="0"/>
        <w:pageBreakBefore w:val="0"/>
        <w:kinsoku/>
        <w:overflowPunct/>
        <w:topLinePunct w:val="0"/>
        <w:autoSpaceDE/>
        <w:autoSpaceDN/>
        <w:bidi w:val="0"/>
        <w:adjustRightInd/>
        <w:snapToGrid/>
        <w:spacing w:line="360" w:lineRule="auto"/>
        <w:ind w:firstLine="472" w:firstLineChars="196"/>
        <w:contextualSpacing/>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本项目</w:t>
      </w:r>
      <w:r>
        <w:rPr>
          <w:rFonts w:hint="eastAsia" w:ascii="宋体" w:hAnsi="宋体" w:eastAsia="宋体" w:cs="宋体"/>
          <w:b/>
          <w:bCs/>
          <w:color w:val="auto"/>
          <w:sz w:val="24"/>
          <w:szCs w:val="24"/>
        </w:rPr>
        <w:t>管理费由国资及市场化管理人共同收取</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highlight w:val="none"/>
          <w:lang w:eastAsia="zh-CN"/>
        </w:rPr>
        <w:t>以计提比例为基数，</w:t>
      </w:r>
      <w:r>
        <w:rPr>
          <w:rFonts w:hint="eastAsia" w:ascii="宋体" w:hAnsi="宋体" w:eastAsia="宋体" w:cs="宋体"/>
          <w:b/>
          <w:bCs/>
          <w:color w:val="auto"/>
          <w:sz w:val="24"/>
          <w:szCs w:val="24"/>
          <w:lang w:val="en-US" w:eastAsia="zh-CN"/>
        </w:rPr>
        <w:t>市场化管理人</w:t>
      </w:r>
      <w:r>
        <w:rPr>
          <w:rFonts w:hint="eastAsia" w:ascii="宋体" w:hAnsi="宋体" w:eastAsia="宋体" w:cs="宋体"/>
          <w:b/>
          <w:bCs/>
          <w:color w:val="auto"/>
          <w:sz w:val="24"/>
          <w:szCs w:val="24"/>
        </w:rPr>
        <w:t>管理费</w:t>
      </w:r>
      <w:r>
        <w:rPr>
          <w:rFonts w:hint="eastAsia" w:ascii="宋体" w:hAnsi="宋体" w:eastAsia="宋体" w:cs="宋体"/>
          <w:b/>
          <w:bCs/>
          <w:color w:val="auto"/>
          <w:sz w:val="24"/>
          <w:szCs w:val="24"/>
          <w:lang w:val="en-US" w:eastAsia="zh-CN"/>
        </w:rPr>
        <w:t>收取比例填报范围为：0（含）</w:t>
      </w:r>
      <w:r>
        <w:rPr>
          <w:rFonts w:hint="eastAsia" w:ascii="微软雅黑" w:hAnsi="微软雅黑" w:eastAsia="微软雅黑" w:cs="微软雅黑"/>
          <w:b/>
          <w:bCs/>
          <w:color w:val="auto"/>
          <w:sz w:val="24"/>
          <w:szCs w:val="24"/>
          <w:lang w:val="en-US" w:eastAsia="zh-CN"/>
        </w:rPr>
        <w:t>~</w:t>
      </w:r>
      <w:r>
        <w:rPr>
          <w:rFonts w:hint="eastAsia" w:ascii="宋体" w:hAnsi="宋体" w:eastAsia="宋体" w:cs="宋体"/>
          <w:b/>
          <w:bCs/>
          <w:color w:val="auto"/>
          <w:sz w:val="24"/>
          <w:szCs w:val="24"/>
          <w:lang w:val="en-US" w:eastAsia="zh-CN"/>
        </w:rPr>
        <w:t>100%（含），且为整数填报，否则为无效报价。（如：报价为81.2%、101%的均为无效报价，78%为有效报价）</w:t>
      </w:r>
    </w:p>
    <w:p w14:paraId="63F654FD">
      <w:pPr>
        <w:keepNext w:val="0"/>
        <w:keepLines w:val="0"/>
        <w:pageBreakBefore w:val="0"/>
        <w:kinsoku/>
        <w:overflowPunct/>
        <w:topLinePunct w:val="0"/>
        <w:autoSpaceDE/>
        <w:autoSpaceDN/>
        <w:bidi w:val="0"/>
        <w:adjustRightInd/>
        <w:snapToGrid/>
        <w:spacing w:line="360" w:lineRule="auto"/>
        <w:ind w:firstLine="470" w:firstLineChars="196"/>
        <w:contextualSpacing/>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本项目市场化管理人</w:t>
      </w:r>
      <w:r>
        <w:rPr>
          <w:rFonts w:hint="eastAsia" w:ascii="宋体" w:hAnsi="宋体" w:eastAsia="宋体" w:cs="宋体"/>
          <w:color w:val="auto"/>
          <w:sz w:val="24"/>
          <w:szCs w:val="24"/>
        </w:rPr>
        <w:t>管理费</w:t>
      </w:r>
      <w:r>
        <w:rPr>
          <w:rFonts w:hint="eastAsia" w:ascii="宋体" w:hAnsi="宋体" w:eastAsia="宋体" w:cs="宋体"/>
          <w:color w:val="auto"/>
          <w:sz w:val="24"/>
          <w:szCs w:val="24"/>
          <w:lang w:val="en-US" w:eastAsia="zh-CN"/>
        </w:rPr>
        <w:t>基准收取比</w:t>
      </w:r>
      <w:r>
        <w:rPr>
          <w:rFonts w:hint="eastAsia" w:ascii="宋体" w:hAnsi="宋体" w:eastAsia="宋体" w:cs="宋体"/>
          <w:color w:val="auto"/>
          <w:sz w:val="24"/>
          <w:szCs w:val="24"/>
          <w:highlight w:val="none"/>
          <w:lang w:val="en-US" w:eastAsia="zh-CN"/>
        </w:rPr>
        <w:t>例为80%，投标人填报市场化管理人</w:t>
      </w:r>
      <w:r>
        <w:rPr>
          <w:rFonts w:hint="eastAsia" w:ascii="宋体" w:hAnsi="宋体" w:eastAsia="宋体" w:cs="宋体"/>
          <w:color w:val="auto"/>
          <w:sz w:val="24"/>
          <w:szCs w:val="24"/>
          <w:highlight w:val="none"/>
        </w:rPr>
        <w:t>管理费</w:t>
      </w:r>
      <w:r>
        <w:rPr>
          <w:rFonts w:hint="eastAsia" w:ascii="宋体" w:hAnsi="宋体" w:eastAsia="宋体" w:cs="宋体"/>
          <w:color w:val="auto"/>
          <w:sz w:val="24"/>
          <w:szCs w:val="24"/>
          <w:highlight w:val="none"/>
          <w:lang w:val="en-US" w:eastAsia="zh-CN"/>
        </w:rPr>
        <w:t>收取比例与基准收取比例相比，相等的得满分20分，每增加1%的，扣</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分，每减少1%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减少</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归</w:t>
      </w:r>
      <w:r>
        <w:rPr>
          <w:rFonts w:hint="eastAsia" w:ascii="宋体" w:hAnsi="宋体" w:eastAsia="宋体" w:cs="宋体"/>
          <w:color w:val="auto"/>
          <w:sz w:val="24"/>
          <w:szCs w:val="24"/>
          <w:highlight w:val="none"/>
        </w:rPr>
        <w:t>国资管理人</w:t>
      </w:r>
      <w:r>
        <w:rPr>
          <w:rFonts w:hint="eastAsia" w:ascii="宋体" w:hAnsi="宋体" w:eastAsia="宋体" w:cs="宋体"/>
          <w:color w:val="auto"/>
          <w:sz w:val="24"/>
          <w:szCs w:val="24"/>
          <w:highlight w:val="none"/>
          <w:lang w:val="en-US" w:eastAsia="zh-CN"/>
        </w:rPr>
        <w:t>所有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的，扣0.03分。</w:t>
      </w:r>
    </w:p>
    <w:p w14:paraId="23C86A2D">
      <w:pPr>
        <w:keepNext w:val="0"/>
        <w:keepLines w:val="0"/>
        <w:pageBreakBefore w:val="0"/>
        <w:kinsoku/>
        <w:overflowPunct/>
        <w:topLinePunct w:val="0"/>
        <w:autoSpaceDE/>
        <w:autoSpaceDN/>
        <w:bidi w:val="0"/>
        <w:adjustRightInd/>
        <w:snapToGrid/>
        <w:spacing w:line="360" w:lineRule="auto"/>
        <w:ind w:firstLine="470" w:firstLineChars="196"/>
        <w:contextualSpacing/>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举例：</w:t>
      </w:r>
    </w:p>
    <w:tbl>
      <w:tblPr>
        <w:tblStyle w:val="36"/>
        <w:tblW w:w="8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682"/>
        <w:gridCol w:w="2136"/>
        <w:gridCol w:w="3422"/>
      </w:tblGrid>
      <w:tr w14:paraId="1BDB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5" w:type="dxa"/>
            <w:vAlign w:val="center"/>
          </w:tcPr>
          <w:p w14:paraId="562A5C9C">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682" w:type="dxa"/>
            <w:vAlign w:val="center"/>
          </w:tcPr>
          <w:p w14:paraId="4C0B7ECC">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eastAsia="zh-CN"/>
              </w:rPr>
              <w:t>比例</w:t>
            </w:r>
            <w:r>
              <w:rPr>
                <w:rFonts w:hint="eastAsia" w:ascii="宋体" w:hAnsi="宋体" w:eastAsia="宋体" w:cs="宋体"/>
                <w:color w:val="auto"/>
                <w:sz w:val="24"/>
                <w:szCs w:val="24"/>
              </w:rPr>
              <w:t>(%)</w:t>
            </w:r>
          </w:p>
        </w:tc>
        <w:tc>
          <w:tcPr>
            <w:tcW w:w="2136" w:type="dxa"/>
            <w:vAlign w:val="center"/>
          </w:tcPr>
          <w:p w14:paraId="31B596B7">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基准收取比例(%)</w:t>
            </w:r>
          </w:p>
        </w:tc>
        <w:tc>
          <w:tcPr>
            <w:tcW w:w="3422" w:type="dxa"/>
            <w:vAlign w:val="center"/>
          </w:tcPr>
          <w:p w14:paraId="3BEA4A72">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得分</w:t>
            </w:r>
          </w:p>
        </w:tc>
      </w:tr>
      <w:tr w14:paraId="5524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5" w:type="dxa"/>
            <w:vAlign w:val="center"/>
          </w:tcPr>
          <w:p w14:paraId="25147D7C">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w:t>
            </w:r>
          </w:p>
        </w:tc>
        <w:tc>
          <w:tcPr>
            <w:tcW w:w="1682" w:type="dxa"/>
            <w:vAlign w:val="center"/>
          </w:tcPr>
          <w:p w14:paraId="0241F756">
            <w:pPr>
              <w:pStyle w:val="34"/>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w:t>
            </w:r>
          </w:p>
        </w:tc>
        <w:tc>
          <w:tcPr>
            <w:tcW w:w="2136" w:type="dxa"/>
            <w:vMerge w:val="restart"/>
            <w:vAlign w:val="center"/>
          </w:tcPr>
          <w:p w14:paraId="1B7C87FE">
            <w:pPr>
              <w:pStyle w:val="34"/>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80</w:t>
            </w:r>
          </w:p>
        </w:tc>
        <w:tc>
          <w:tcPr>
            <w:tcW w:w="3422" w:type="dxa"/>
            <w:vAlign w:val="center"/>
          </w:tcPr>
          <w:p w14:paraId="47893818">
            <w:pPr>
              <w:pStyle w:val="34"/>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82-80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19</w:t>
            </w:r>
          </w:p>
        </w:tc>
      </w:tr>
      <w:tr w14:paraId="5BD0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5" w:type="dxa"/>
            <w:vAlign w:val="center"/>
          </w:tcPr>
          <w:p w14:paraId="69D3F9E0">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B</w:t>
            </w:r>
          </w:p>
        </w:tc>
        <w:tc>
          <w:tcPr>
            <w:tcW w:w="1682" w:type="dxa"/>
            <w:vAlign w:val="center"/>
          </w:tcPr>
          <w:p w14:paraId="087C1495">
            <w:pPr>
              <w:pStyle w:val="34"/>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80</w:t>
            </w:r>
          </w:p>
        </w:tc>
        <w:tc>
          <w:tcPr>
            <w:tcW w:w="2136" w:type="dxa"/>
            <w:vMerge w:val="continue"/>
            <w:vAlign w:val="center"/>
          </w:tcPr>
          <w:p w14:paraId="5122690B">
            <w:pPr>
              <w:pStyle w:val="34"/>
              <w:ind w:firstLine="0" w:firstLineChars="0"/>
              <w:jc w:val="center"/>
              <w:rPr>
                <w:rFonts w:hint="eastAsia" w:ascii="宋体" w:hAnsi="宋体" w:eastAsia="宋体" w:cs="宋体"/>
                <w:color w:val="auto"/>
                <w:sz w:val="24"/>
                <w:szCs w:val="24"/>
              </w:rPr>
            </w:pPr>
          </w:p>
        </w:tc>
        <w:tc>
          <w:tcPr>
            <w:tcW w:w="3422" w:type="dxa"/>
            <w:vAlign w:val="center"/>
          </w:tcPr>
          <w:p w14:paraId="3A75A852">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r>
      <w:tr w14:paraId="6258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5" w:type="dxa"/>
            <w:vAlign w:val="center"/>
          </w:tcPr>
          <w:p w14:paraId="2A58BC1D">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C</w:t>
            </w:r>
          </w:p>
        </w:tc>
        <w:tc>
          <w:tcPr>
            <w:tcW w:w="1682" w:type="dxa"/>
            <w:vAlign w:val="center"/>
          </w:tcPr>
          <w:p w14:paraId="03BF3438">
            <w:pPr>
              <w:pStyle w:val="34"/>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w:t>
            </w:r>
          </w:p>
        </w:tc>
        <w:tc>
          <w:tcPr>
            <w:tcW w:w="2136" w:type="dxa"/>
            <w:vMerge w:val="continue"/>
            <w:vAlign w:val="center"/>
          </w:tcPr>
          <w:p w14:paraId="387FDB64">
            <w:pPr>
              <w:pStyle w:val="34"/>
              <w:ind w:firstLine="0" w:firstLineChars="0"/>
              <w:jc w:val="center"/>
              <w:rPr>
                <w:rFonts w:hint="eastAsia" w:ascii="宋体" w:hAnsi="宋体" w:eastAsia="宋体" w:cs="宋体"/>
                <w:color w:val="auto"/>
                <w:sz w:val="24"/>
                <w:szCs w:val="24"/>
              </w:rPr>
            </w:pPr>
          </w:p>
        </w:tc>
        <w:tc>
          <w:tcPr>
            <w:tcW w:w="3422" w:type="dxa"/>
            <w:vAlign w:val="center"/>
          </w:tcPr>
          <w:p w14:paraId="78E7E2E6">
            <w:pPr>
              <w:pStyle w:val="34"/>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80-74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*0.03=19.82</w:t>
            </w:r>
          </w:p>
        </w:tc>
      </w:tr>
    </w:tbl>
    <w:p w14:paraId="353A0F6D">
      <w:pPr>
        <w:keepNext w:val="0"/>
        <w:keepLines w:val="0"/>
        <w:pageBreakBefore w:val="0"/>
        <w:widowControl w:val="0"/>
        <w:kinsoku/>
        <w:wordWrap/>
        <w:overflowPunct/>
        <w:topLinePunct w:val="0"/>
        <w:autoSpaceDE/>
        <w:autoSpaceDN/>
        <w:bidi w:val="0"/>
        <w:snapToGrid/>
        <w:spacing w:line="360" w:lineRule="auto"/>
        <w:ind w:firstLine="472" w:firstLineChars="196"/>
        <w:contextualSpacing/>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六、总得分计算</w:t>
      </w:r>
    </w:p>
    <w:p w14:paraId="66B4709F">
      <w:pPr>
        <w:keepNext w:val="0"/>
        <w:keepLines w:val="0"/>
        <w:pageBreakBefore w:val="0"/>
        <w:widowControl w:val="0"/>
        <w:kinsoku/>
        <w:wordWrap/>
        <w:overflowPunct/>
        <w:topLinePunct w:val="0"/>
        <w:autoSpaceDE/>
        <w:autoSpaceDN/>
        <w:bidi w:val="0"/>
        <w:adjustRightInd w:val="0"/>
        <w:snapToGrid/>
        <w:spacing w:line="360" w:lineRule="auto"/>
        <w:ind w:firstLine="482" w:firstLineChars="200"/>
        <w:contextualSpacing/>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投标人的总得分=技术标得分+商务标得分。</w:t>
      </w:r>
    </w:p>
    <w:p w14:paraId="05A9FC00">
      <w:pPr>
        <w:keepNext w:val="0"/>
        <w:keepLines w:val="0"/>
        <w:pageBreakBefore w:val="0"/>
        <w:widowControl w:val="0"/>
        <w:kinsoku/>
        <w:wordWrap/>
        <w:overflowPunct/>
        <w:topLinePunct w:val="0"/>
        <w:autoSpaceDE/>
        <w:autoSpaceDN/>
        <w:bidi w:val="0"/>
        <w:snapToGrid/>
        <w:spacing w:line="360" w:lineRule="auto"/>
        <w:ind w:firstLine="472" w:firstLineChars="196"/>
        <w:contextualSpacing/>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七、确定中标候选人及中标价</w:t>
      </w:r>
    </w:p>
    <w:p w14:paraId="1299B720">
      <w:pPr>
        <w:keepNext w:val="0"/>
        <w:keepLines w:val="0"/>
        <w:pageBreakBefore w:val="0"/>
        <w:widowControl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评标委员会对各投标人的总得分按从高到低的顺序推荐三名中标候选人，并推荐排名第一的投标人为第一中标候选人。如遇排名并列时，则技术标得分高者排名优先，如技术标得分也相同，则通过抽签的方式确定最终的排名。</w:t>
      </w:r>
    </w:p>
    <w:p w14:paraId="2332A7E7">
      <w:pPr>
        <w:keepNext w:val="0"/>
        <w:keepLines w:val="0"/>
        <w:pageBreakBefore w:val="0"/>
        <w:widowControl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第一名中标候选单位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组织招标。</w:t>
      </w:r>
    </w:p>
    <w:p w14:paraId="060CC2E5">
      <w:pPr>
        <w:keepNext w:val="0"/>
        <w:keepLines w:val="0"/>
        <w:pageBreakBefore w:val="0"/>
        <w:widowControl w:val="0"/>
        <w:kinsoku/>
        <w:wordWrap/>
        <w:overflowPunct/>
        <w:topLinePunct w:val="0"/>
        <w:autoSpaceDE/>
        <w:autoSpaceDN/>
        <w:bidi w:val="0"/>
        <w:snapToGrid/>
        <w:spacing w:line="360" w:lineRule="auto"/>
        <w:ind w:firstLine="472" w:firstLineChars="196"/>
        <w:contextualSpacing/>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八、评标过程中出现本评标办法未尽事宜，由评标委员会根据有关法律、法规讨论并作出解释。</w:t>
      </w:r>
    </w:p>
    <w:p w14:paraId="65D29D14">
      <w:pPr>
        <w:spacing w:line="360" w:lineRule="auto"/>
        <w:rPr>
          <w:rFonts w:hint="eastAsia" w:ascii="宋体" w:hAnsi="宋体" w:eastAsia="宋体" w:cs="宋体"/>
          <w:b/>
          <w:bCs/>
          <w:color w:val="auto"/>
          <w:kern w:val="0"/>
          <w:sz w:val="24"/>
          <w:szCs w:val="24"/>
        </w:rPr>
      </w:pPr>
    </w:p>
    <w:p w14:paraId="4CB16641">
      <w:pPr>
        <w:rPr>
          <w:rFonts w:ascii="宋体" w:hAnsi="宋体" w:cs="宋体"/>
          <w:color w:val="auto"/>
        </w:rPr>
      </w:pPr>
      <w:r>
        <w:rPr>
          <w:rFonts w:hint="eastAsia" w:ascii="宋体" w:hAnsi="宋体" w:cs="宋体"/>
          <w:color w:val="auto"/>
        </w:rPr>
        <w:br w:type="page"/>
      </w:r>
    </w:p>
    <w:p w14:paraId="73C7C663">
      <w:pPr>
        <w:pStyle w:val="4"/>
        <w:rPr>
          <w:rFonts w:ascii="宋体" w:hAnsi="宋体" w:eastAsia="宋体" w:cs="宋体"/>
          <w:b/>
          <w:color w:val="auto"/>
        </w:rPr>
      </w:pPr>
      <w:bookmarkStart w:id="11" w:name="_Toc15136"/>
      <w:r>
        <w:rPr>
          <w:rFonts w:hint="eastAsia" w:ascii="宋体" w:hAnsi="宋体" w:eastAsia="宋体" w:cs="宋体"/>
          <w:b/>
          <w:color w:val="auto"/>
        </w:rPr>
        <w:t>第三章合同条款</w:t>
      </w:r>
      <w:bookmarkEnd w:id="11"/>
    </w:p>
    <w:p w14:paraId="1CBBDF72">
      <w:pPr>
        <w:spacing w:line="520" w:lineRule="exact"/>
        <w:ind w:right="420"/>
        <w:rPr>
          <w:rFonts w:ascii="宋体" w:hAnsi="宋体" w:cs="宋体"/>
          <w:color w:val="auto"/>
          <w:sz w:val="36"/>
          <w:szCs w:val="36"/>
        </w:rPr>
      </w:pPr>
      <w:r>
        <w:rPr>
          <w:rFonts w:hint="eastAsia"/>
          <w:color w:val="auto"/>
          <w:sz w:val="24"/>
        </w:rPr>
        <w:t>一、</w:t>
      </w:r>
      <w:r>
        <w:rPr>
          <w:color w:val="auto"/>
          <w:sz w:val="24"/>
        </w:rPr>
        <w:t>合同主要条款</w:t>
      </w:r>
      <w:r>
        <w:rPr>
          <w:rFonts w:hint="eastAsia"/>
          <w:color w:val="auto"/>
          <w:sz w:val="24"/>
        </w:rPr>
        <w:t>参照“项目需求说明”。</w:t>
      </w:r>
    </w:p>
    <w:p w14:paraId="5B9E0FE4">
      <w:pPr>
        <w:widowControl/>
        <w:spacing w:line="360" w:lineRule="auto"/>
        <w:jc w:val="center"/>
        <w:rPr>
          <w:rFonts w:ascii="宋体" w:hAnsi="宋体" w:cs="宋体"/>
          <w:b/>
          <w:color w:val="auto"/>
          <w:kern w:val="0"/>
          <w:sz w:val="43"/>
          <w:szCs w:val="43"/>
        </w:rPr>
      </w:pPr>
    </w:p>
    <w:p w14:paraId="7E102E80">
      <w:pPr>
        <w:widowControl/>
        <w:spacing w:line="360" w:lineRule="auto"/>
        <w:jc w:val="center"/>
        <w:rPr>
          <w:rFonts w:ascii="宋体" w:hAnsi="宋体" w:cs="宋体"/>
          <w:b/>
          <w:color w:val="auto"/>
          <w:kern w:val="0"/>
          <w:sz w:val="43"/>
          <w:szCs w:val="43"/>
        </w:rPr>
      </w:pPr>
    </w:p>
    <w:p w14:paraId="0842EDB5">
      <w:pPr>
        <w:spacing w:line="360" w:lineRule="auto"/>
        <w:ind w:firstLine="462" w:firstLineChars="200"/>
        <w:jc w:val="center"/>
        <w:rPr>
          <w:rFonts w:ascii="宋体" w:hAnsi="宋体" w:cs="宋体"/>
          <w:b/>
          <w:bCs/>
          <w:color w:val="auto"/>
          <w:kern w:val="0"/>
          <w:sz w:val="23"/>
          <w:szCs w:val="23"/>
          <w:lang w:val="zh-CN"/>
        </w:rPr>
      </w:pPr>
    </w:p>
    <w:p w14:paraId="4FDB25F5">
      <w:pPr>
        <w:rPr>
          <w:rFonts w:ascii="宋体" w:hAnsi="宋体" w:cs="宋体"/>
          <w:b/>
          <w:bCs/>
          <w:color w:val="auto"/>
          <w:sz w:val="28"/>
          <w:szCs w:val="28"/>
        </w:rPr>
      </w:pPr>
      <w:r>
        <w:rPr>
          <w:rFonts w:hint="eastAsia" w:ascii="宋体" w:hAnsi="宋体" w:cs="宋体"/>
          <w:b/>
          <w:bCs/>
          <w:color w:val="auto"/>
          <w:sz w:val="28"/>
          <w:szCs w:val="28"/>
        </w:rPr>
        <w:br w:type="page"/>
      </w:r>
    </w:p>
    <w:p w14:paraId="12BA7564">
      <w:pPr>
        <w:pStyle w:val="4"/>
        <w:rPr>
          <w:rFonts w:ascii="宋体" w:hAnsi="宋体" w:eastAsia="宋体" w:cs="宋体"/>
          <w:b/>
          <w:color w:val="auto"/>
        </w:rPr>
      </w:pPr>
      <w:bookmarkStart w:id="12" w:name="_Toc18952"/>
      <w:r>
        <w:rPr>
          <w:rFonts w:ascii="宋体" w:hAnsi="宋体" w:eastAsia="宋体" w:cs="宋体"/>
          <w:b/>
          <w:color w:val="auto"/>
        </w:rPr>
        <w:t>第四章</w:t>
      </w:r>
      <w:r>
        <w:rPr>
          <w:rFonts w:hint="eastAsia" w:ascii="宋体" w:hAnsi="宋体" w:eastAsia="宋体" w:cs="宋体"/>
          <w:b/>
          <w:color w:val="auto"/>
        </w:rPr>
        <w:t>项目需求说明</w:t>
      </w:r>
      <w:bookmarkEnd w:id="12"/>
    </w:p>
    <w:p w14:paraId="4E9275F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一、基金设立要求</w:t>
      </w:r>
    </w:p>
    <w:p w14:paraId="1FD2A51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olor w:val="auto"/>
          <w:sz w:val="24"/>
          <w:szCs w:val="24"/>
        </w:rPr>
      </w:pPr>
      <w:r>
        <w:rPr>
          <w:rFonts w:hint="eastAsia" w:ascii="宋体" w:hAnsi="宋体"/>
          <w:b/>
          <w:color w:val="auto"/>
          <w:sz w:val="24"/>
          <w:szCs w:val="24"/>
        </w:rPr>
        <w:t>1、组织形式：</w:t>
      </w:r>
      <w:r>
        <w:rPr>
          <w:rFonts w:hint="eastAsia" w:ascii="宋体" w:hAnsi="宋体"/>
          <w:color w:val="auto"/>
          <w:sz w:val="24"/>
          <w:szCs w:val="24"/>
        </w:rPr>
        <w:t>有限合伙制</w:t>
      </w:r>
    </w:p>
    <w:p w14:paraId="5E241C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olor w:val="auto"/>
          <w:sz w:val="24"/>
          <w:szCs w:val="24"/>
        </w:rPr>
      </w:pPr>
      <w:r>
        <w:rPr>
          <w:rFonts w:hint="eastAsia" w:ascii="宋体" w:hAnsi="宋体"/>
          <w:b/>
          <w:color w:val="auto"/>
          <w:sz w:val="24"/>
          <w:szCs w:val="24"/>
        </w:rPr>
        <w:t>2、注册地：</w:t>
      </w:r>
      <w:r>
        <w:rPr>
          <w:rFonts w:hint="eastAsia" w:ascii="宋体" w:hAnsi="宋体"/>
          <w:color w:val="auto"/>
          <w:sz w:val="24"/>
          <w:szCs w:val="24"/>
        </w:rPr>
        <w:t>江苏省南通市崇川区金融集聚区</w:t>
      </w:r>
    </w:p>
    <w:p w14:paraId="2B928A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3、基金规模</w:t>
      </w:r>
    </w:p>
    <w:p w14:paraId="297EB3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基金</w:t>
      </w:r>
      <w:r>
        <w:rPr>
          <w:rFonts w:hint="default" w:ascii="宋体" w:hAnsi="宋体" w:eastAsia="宋体"/>
          <w:color w:val="auto"/>
          <w:sz w:val="24"/>
          <w:szCs w:val="24"/>
        </w:rPr>
        <w:t>总规模50.5亿元人民币，根据投资进度，分期到位，二期基金认缴规模10亿元</w:t>
      </w:r>
      <w:r>
        <w:rPr>
          <w:rFonts w:hint="eastAsia" w:ascii="宋体" w:hAnsi="宋体" w:eastAsia="宋体"/>
          <w:color w:val="auto"/>
          <w:sz w:val="24"/>
          <w:szCs w:val="24"/>
          <w:lang w:val="en-US" w:eastAsia="zh-CN"/>
        </w:rPr>
        <w:t>，可申请扩募一次，扩募金额不超过10亿元</w:t>
      </w:r>
      <w:r>
        <w:rPr>
          <w:rFonts w:hint="default" w:ascii="宋体" w:hAnsi="宋体" w:eastAsia="宋体"/>
          <w:color w:val="auto"/>
          <w:sz w:val="24"/>
          <w:szCs w:val="24"/>
        </w:rPr>
        <w:t>。</w:t>
      </w:r>
    </w:p>
    <w:p w14:paraId="7B1874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4、基金管理模式</w:t>
      </w:r>
    </w:p>
    <w:p w14:paraId="169DD8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双GP模式。</w:t>
      </w:r>
    </w:p>
    <w:p w14:paraId="3F7B3D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5、基金存续期</w:t>
      </w:r>
    </w:p>
    <w:p w14:paraId="0582F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eastAsia="宋体"/>
          <w:color w:val="auto"/>
          <w:sz w:val="24"/>
          <w:szCs w:val="24"/>
        </w:rPr>
        <w:t>存续期10年，其中投资期5年，退出期5年，</w:t>
      </w:r>
      <w:r>
        <w:rPr>
          <w:rFonts w:hint="default" w:ascii="宋体" w:hAnsi="宋体" w:eastAsia="宋体"/>
          <w:color w:val="auto"/>
          <w:sz w:val="24"/>
          <w:szCs w:val="24"/>
        </w:rPr>
        <w:t>经合伙人大会同意可延长两次，每次不超过一年</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如完成扩募，投资期、退出期和延长期可各延长一年</w:t>
      </w:r>
      <w:r>
        <w:rPr>
          <w:rFonts w:hint="default" w:ascii="宋体" w:hAnsi="宋体" w:eastAsia="宋体"/>
          <w:color w:val="auto"/>
          <w:sz w:val="24"/>
          <w:szCs w:val="24"/>
        </w:rPr>
        <w:t>。</w:t>
      </w:r>
    </w:p>
    <w:p w14:paraId="12818DF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6、投资形式</w:t>
      </w:r>
    </w:p>
    <w:p w14:paraId="5FE04E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本基金主要投资于（1）参与设立相关产业投资子基金；（2）可独立通过股权投资等私募股权投资基金合法合规的投资方式，直接投资项目。</w:t>
      </w:r>
    </w:p>
    <w:p w14:paraId="6A5F2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对单一项目或子基金的投资金额原则上不超过基金认缴出资的10%，且不超过子基金认缴出资额的30%（专项基金除外）。</w:t>
      </w:r>
    </w:p>
    <w:p w14:paraId="527925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7、投资限制</w:t>
      </w:r>
    </w:p>
    <w:p w14:paraId="11A590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本基金投资遵循以下原则：</w:t>
      </w:r>
    </w:p>
    <w:p w14:paraId="1B01B2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1）不得投资于已上市企业（参与上市公司定向增发及所投资企业上市后，基金所持股份未转让及其配售部分除外）；</w:t>
      </w:r>
    </w:p>
    <w:p w14:paraId="179516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2）不得从事担保、抵押、委托贷款、房地产（包括购买自用房地产）等业务；</w:t>
      </w:r>
    </w:p>
    <w:p w14:paraId="40C8A5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3）不得投资于股票、期货、企业债券、信托产品、理财产品、保险计划及其他金融衍生品；</w:t>
      </w:r>
    </w:p>
    <w:p w14:paraId="5867D5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4）不得进行承担无限连带责任的对外投资；</w:t>
      </w:r>
    </w:p>
    <w:p w14:paraId="36A72A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5）不得吸收或变相吸收存款，以及发行信托或集合理财产品的形式募集资金；</w:t>
      </w:r>
    </w:p>
    <w:p w14:paraId="2876B0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6）不得向任何第三方提供资金拆借、赞助、捐赠等；</w:t>
      </w:r>
    </w:p>
    <w:p w14:paraId="4FF379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7）不得从事其他国家法律法规禁止从事的业务。</w:t>
      </w:r>
    </w:p>
    <w:p w14:paraId="76C4E5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8、管理费</w:t>
      </w:r>
    </w:p>
    <w:p w14:paraId="2CC75B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default" w:ascii="宋体" w:hAnsi="宋体" w:eastAsia="宋体"/>
          <w:color w:val="auto"/>
          <w:sz w:val="24"/>
          <w:szCs w:val="24"/>
        </w:rPr>
        <w:t>以基金实缴规模为计提基数，退出期以未退出项目（子基金）初始投资成本为计提基数。投资子基金部分管理费计提比例</w:t>
      </w:r>
      <w:r>
        <w:rPr>
          <w:rFonts w:hint="eastAsia" w:ascii="宋体" w:hAnsi="宋体"/>
          <w:color w:val="auto"/>
          <w:sz w:val="24"/>
          <w:szCs w:val="24"/>
          <w:lang w:val="en-US" w:eastAsia="zh-CN"/>
        </w:rPr>
        <w:t>为</w:t>
      </w:r>
      <w:r>
        <w:rPr>
          <w:rFonts w:hint="default" w:ascii="宋体" w:hAnsi="宋体" w:eastAsia="宋体"/>
          <w:color w:val="auto"/>
          <w:sz w:val="24"/>
          <w:szCs w:val="24"/>
        </w:rPr>
        <w:t>0.5%/年，直接投资项目部分管理费计提比例</w:t>
      </w:r>
      <w:r>
        <w:rPr>
          <w:rFonts w:hint="eastAsia" w:ascii="宋体" w:hAnsi="宋体"/>
          <w:color w:val="auto"/>
          <w:sz w:val="24"/>
          <w:szCs w:val="24"/>
          <w:lang w:val="en-US" w:eastAsia="zh-CN"/>
        </w:rPr>
        <w:t>为</w:t>
      </w:r>
      <w:r>
        <w:rPr>
          <w:rFonts w:hint="default" w:ascii="宋体" w:hAnsi="宋体" w:eastAsia="宋体"/>
          <w:color w:val="auto"/>
          <w:sz w:val="24"/>
          <w:szCs w:val="24"/>
        </w:rPr>
        <w:t>1.5%/年。延长期不收取管理费。</w:t>
      </w:r>
    </w:p>
    <w:p w14:paraId="48CF1B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color w:val="auto"/>
          <w:sz w:val="24"/>
          <w:szCs w:val="24"/>
          <w:lang w:val="en-US" w:eastAsia="zh-CN"/>
        </w:rPr>
      </w:pPr>
      <w:r>
        <w:rPr>
          <w:rFonts w:hint="eastAsia" w:ascii="宋体" w:hAnsi="宋体" w:cs="宋体"/>
          <w:b/>
          <w:bCs/>
          <w:color w:val="auto"/>
          <w:kern w:val="0"/>
          <w:sz w:val="24"/>
          <w:szCs w:val="24"/>
          <w:lang w:val="en-US" w:eastAsia="zh-CN"/>
        </w:rPr>
        <w:t>本项目</w:t>
      </w:r>
      <w:r>
        <w:rPr>
          <w:rFonts w:hint="eastAsia" w:ascii="宋体" w:hAnsi="宋体" w:cs="宋体"/>
          <w:b/>
          <w:bCs/>
          <w:color w:val="auto"/>
          <w:kern w:val="0"/>
          <w:sz w:val="24"/>
          <w:szCs w:val="24"/>
        </w:rPr>
        <w:t>管理费由国资及市场化管理人共同收取</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市场化管理人</w:t>
      </w:r>
      <w:r>
        <w:rPr>
          <w:rFonts w:hint="eastAsia" w:ascii="宋体" w:hAnsi="宋体" w:cs="宋体"/>
          <w:b/>
          <w:bCs/>
          <w:color w:val="auto"/>
          <w:kern w:val="0"/>
          <w:sz w:val="24"/>
          <w:szCs w:val="24"/>
        </w:rPr>
        <w:t>管理费</w:t>
      </w:r>
      <w:r>
        <w:rPr>
          <w:rFonts w:hint="eastAsia" w:ascii="宋体" w:hAnsi="宋体" w:cs="宋体"/>
          <w:b/>
          <w:bCs/>
          <w:color w:val="auto"/>
          <w:kern w:val="0"/>
          <w:sz w:val="24"/>
          <w:szCs w:val="24"/>
          <w:lang w:val="en-US" w:eastAsia="zh-CN"/>
        </w:rPr>
        <w:t>收取比例由投标人自行报价，剩余部分归国资所有</w:t>
      </w:r>
      <w:r>
        <w:rPr>
          <w:rFonts w:hint="eastAsia" w:ascii="宋体" w:hAnsi="宋体" w:cs="宋体"/>
          <w:b/>
          <w:bCs/>
          <w:color w:val="auto"/>
          <w:kern w:val="0"/>
          <w:sz w:val="24"/>
          <w:szCs w:val="24"/>
          <w:lang w:eastAsia="zh-CN"/>
        </w:rPr>
        <w:t>。</w:t>
      </w:r>
    </w:p>
    <w:p w14:paraId="49CF961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9、退出机制</w:t>
      </w:r>
    </w:p>
    <w:p w14:paraId="5B2D0D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可采取股权转让、股票减持、股东回购以及解散清算等方式。出现下列情况之一时，南通宝月湖科创投资集团有限公司可选择终止合作：</w:t>
      </w:r>
    </w:p>
    <w:p w14:paraId="091596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1）本基金签订投资或合作协议后，基金管理人未按规定程序完成投资基金设立手续超过一年的；</w:t>
      </w:r>
    </w:p>
    <w:p w14:paraId="5A9B3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2）出资人向基金账户拨付资金后，基金未开展投资业务超过一年的；</w:t>
      </w:r>
    </w:p>
    <w:p w14:paraId="7C4C44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3）基金未按合伙协议的约定进行投资且未能有效整改的；</w:t>
      </w:r>
    </w:p>
    <w:p w14:paraId="11AAD3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4）基金投资项目不符合基金协议的投资领域、违反投资限制的；</w:t>
      </w:r>
    </w:p>
    <w:p w14:paraId="5D6A50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5）基金运营有违法违规行为的；</w:t>
      </w:r>
    </w:p>
    <w:p w14:paraId="22139A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6）基金管理人发生实质性变化且未经投资基金相合伙人会议审议通过的。实质性变化包括但不限于：①基金管理人的主要股东（公司制）或普通合伙人（有限合伙制）发生实质性变化；②管理团队核心成员半数（含）以上发生变化等情况</w:t>
      </w:r>
    </w:p>
    <w:p w14:paraId="240BF6B0">
      <w:pPr>
        <w:spacing w:line="360" w:lineRule="auto"/>
        <w:ind w:firstLine="480" w:firstLineChars="200"/>
        <w:rPr>
          <w:rFonts w:ascii="宋体" w:hAnsi="宋体"/>
          <w:color w:val="auto"/>
          <w:sz w:val="24"/>
        </w:rPr>
      </w:pPr>
    </w:p>
    <w:p w14:paraId="3590ECE4">
      <w:pPr>
        <w:rPr>
          <w:color w:val="auto"/>
        </w:rPr>
      </w:pPr>
    </w:p>
    <w:p w14:paraId="7200481B">
      <w:pPr>
        <w:pStyle w:val="2"/>
        <w:rPr>
          <w:color w:val="auto"/>
        </w:rPr>
      </w:pPr>
    </w:p>
    <w:p w14:paraId="05178AAE">
      <w:pPr>
        <w:pStyle w:val="3"/>
        <w:rPr>
          <w:color w:val="auto"/>
        </w:rPr>
      </w:pPr>
    </w:p>
    <w:p w14:paraId="30153833">
      <w:pPr>
        <w:rPr>
          <w:color w:val="auto"/>
        </w:rPr>
      </w:pPr>
    </w:p>
    <w:p w14:paraId="0D3685EC">
      <w:pPr>
        <w:pStyle w:val="2"/>
        <w:rPr>
          <w:color w:val="auto"/>
        </w:rPr>
      </w:pPr>
    </w:p>
    <w:p w14:paraId="3060DC8E">
      <w:pPr>
        <w:pStyle w:val="3"/>
        <w:rPr>
          <w:color w:val="auto"/>
        </w:rPr>
      </w:pPr>
    </w:p>
    <w:p w14:paraId="68147D7F">
      <w:pPr>
        <w:pStyle w:val="4"/>
        <w:rPr>
          <w:rFonts w:ascii="宋体" w:hAnsi="宋体" w:eastAsia="宋体" w:cs="宋体"/>
          <w:color w:val="auto"/>
        </w:rPr>
      </w:pPr>
    </w:p>
    <w:p w14:paraId="12F57599">
      <w:pPr>
        <w:pStyle w:val="4"/>
        <w:pageBreakBefore/>
        <w:ind w:left="431" w:hanging="431"/>
        <w:rPr>
          <w:rFonts w:ascii="宋体" w:hAnsi="宋体" w:eastAsia="宋体" w:cs="宋体"/>
          <w:b/>
          <w:color w:val="auto"/>
        </w:rPr>
      </w:pPr>
      <w:bookmarkStart w:id="13" w:name="_Toc10184"/>
      <w:r>
        <w:rPr>
          <w:rFonts w:hint="eastAsia" w:ascii="宋体" w:hAnsi="宋体" w:eastAsia="宋体" w:cs="宋体"/>
          <w:b/>
          <w:color w:val="auto"/>
        </w:rPr>
        <w:t>第五章投标文件格式</w:t>
      </w:r>
      <w:bookmarkEnd w:id="13"/>
    </w:p>
    <w:p w14:paraId="7526B6BB">
      <w:pPr>
        <w:tabs>
          <w:tab w:val="left" w:pos="993"/>
        </w:tabs>
        <w:spacing w:line="360" w:lineRule="auto"/>
        <w:jc w:val="center"/>
        <w:rPr>
          <w:rFonts w:ascii="宋体" w:hAnsi="宋体" w:cs="宋体"/>
          <w:color w:val="auto"/>
          <w:sz w:val="52"/>
          <w:szCs w:val="52"/>
        </w:rPr>
      </w:pPr>
      <w:r>
        <w:rPr>
          <w:rFonts w:hint="eastAsia" w:ascii="宋体" w:hAnsi="宋体" w:cs="宋体"/>
          <w:color w:val="auto"/>
          <w:sz w:val="52"/>
          <w:szCs w:val="52"/>
        </w:rPr>
        <w:t>第一部分</w:t>
      </w:r>
    </w:p>
    <w:p w14:paraId="007C4A92">
      <w:pPr>
        <w:spacing w:line="460" w:lineRule="exact"/>
        <w:jc w:val="center"/>
        <w:rPr>
          <w:rFonts w:ascii="宋体" w:hAnsi="宋体" w:cs="宋体"/>
          <w:color w:val="auto"/>
          <w:sz w:val="44"/>
          <w:szCs w:val="44"/>
        </w:rPr>
      </w:pPr>
      <w:bookmarkStart w:id="14" w:name="_Toc420493864"/>
      <w:bookmarkStart w:id="15" w:name="_Toc419968430"/>
      <w:bookmarkStart w:id="16" w:name="_Toc408662757"/>
      <w:bookmarkStart w:id="17" w:name="_Toc408662213"/>
      <w:bookmarkStart w:id="18" w:name="_Toc512348112"/>
      <w:bookmarkStart w:id="19" w:name="_Toc408306271"/>
    </w:p>
    <w:p w14:paraId="7851F269">
      <w:pPr>
        <w:spacing w:line="460" w:lineRule="exact"/>
        <w:jc w:val="center"/>
        <w:rPr>
          <w:rFonts w:ascii="宋体" w:hAnsi="宋体" w:cs="宋体"/>
          <w:color w:val="auto"/>
          <w:sz w:val="44"/>
          <w:szCs w:val="44"/>
        </w:rPr>
      </w:pPr>
    </w:p>
    <w:p w14:paraId="58C33D3E">
      <w:pPr>
        <w:spacing w:line="360" w:lineRule="auto"/>
        <w:jc w:val="center"/>
        <w:rPr>
          <w:rFonts w:ascii="宋体" w:hAnsi="宋体" w:cs="宋体"/>
          <w:color w:val="auto"/>
          <w:sz w:val="36"/>
          <w:szCs w:val="36"/>
          <w:u w:val="single"/>
        </w:rPr>
      </w:pPr>
      <w:r>
        <w:rPr>
          <w:rFonts w:hint="eastAsia" w:ascii="宋体" w:hAnsi="宋体" w:cs="宋体"/>
          <w:color w:val="auto"/>
          <w:sz w:val="36"/>
          <w:szCs w:val="36"/>
          <w:u w:val="single"/>
        </w:rPr>
        <w:t>（项目名称）</w:t>
      </w:r>
    </w:p>
    <w:p w14:paraId="5D8ED1AD">
      <w:pPr>
        <w:spacing w:line="460" w:lineRule="exact"/>
        <w:jc w:val="center"/>
        <w:rPr>
          <w:rFonts w:ascii="宋体" w:hAnsi="宋体" w:cs="宋体"/>
          <w:color w:val="auto"/>
          <w:sz w:val="32"/>
          <w:szCs w:val="32"/>
        </w:rPr>
      </w:pPr>
    </w:p>
    <w:p w14:paraId="31E7CD1B">
      <w:pPr>
        <w:spacing w:line="460" w:lineRule="exact"/>
        <w:jc w:val="center"/>
        <w:rPr>
          <w:rFonts w:ascii="宋体" w:hAnsi="宋体" w:cs="宋体"/>
          <w:color w:val="auto"/>
          <w:sz w:val="32"/>
          <w:szCs w:val="32"/>
        </w:rPr>
      </w:pPr>
    </w:p>
    <w:p w14:paraId="7079AE55">
      <w:pPr>
        <w:spacing w:line="460" w:lineRule="exact"/>
        <w:jc w:val="center"/>
        <w:rPr>
          <w:rFonts w:ascii="宋体" w:hAnsi="宋体" w:cs="宋体"/>
          <w:color w:val="auto"/>
          <w:sz w:val="32"/>
          <w:szCs w:val="32"/>
        </w:rPr>
      </w:pPr>
    </w:p>
    <w:p w14:paraId="27293BAD">
      <w:pPr>
        <w:spacing w:line="460" w:lineRule="exact"/>
        <w:jc w:val="center"/>
        <w:rPr>
          <w:rFonts w:ascii="宋体" w:hAnsi="宋体" w:cs="宋体"/>
          <w:color w:val="auto"/>
          <w:sz w:val="44"/>
          <w:szCs w:val="44"/>
        </w:rPr>
      </w:pPr>
      <w:r>
        <w:rPr>
          <w:rFonts w:hint="eastAsia" w:ascii="宋体" w:hAnsi="宋体" w:cs="宋体"/>
          <w:color w:val="auto"/>
          <w:sz w:val="44"/>
          <w:szCs w:val="44"/>
        </w:rPr>
        <w:t>资格审查资料</w:t>
      </w:r>
    </w:p>
    <w:p w14:paraId="7D0944CE">
      <w:pPr>
        <w:spacing w:line="460" w:lineRule="exact"/>
        <w:jc w:val="center"/>
        <w:rPr>
          <w:rFonts w:ascii="宋体" w:hAnsi="宋体" w:cs="宋体"/>
          <w:color w:val="auto"/>
          <w:sz w:val="32"/>
          <w:szCs w:val="32"/>
        </w:rPr>
      </w:pPr>
    </w:p>
    <w:p w14:paraId="5BBC5997">
      <w:pPr>
        <w:spacing w:line="460" w:lineRule="exact"/>
        <w:jc w:val="center"/>
        <w:rPr>
          <w:rFonts w:ascii="宋体" w:hAnsi="宋体" w:cs="宋体"/>
          <w:color w:val="auto"/>
          <w:sz w:val="32"/>
          <w:szCs w:val="32"/>
        </w:rPr>
      </w:pPr>
    </w:p>
    <w:p w14:paraId="2F8FFC69">
      <w:pPr>
        <w:spacing w:line="460" w:lineRule="exact"/>
        <w:jc w:val="center"/>
        <w:rPr>
          <w:rFonts w:ascii="宋体" w:hAnsi="宋体" w:cs="宋体"/>
          <w:color w:val="auto"/>
          <w:sz w:val="32"/>
          <w:szCs w:val="32"/>
        </w:rPr>
      </w:pPr>
    </w:p>
    <w:p w14:paraId="39785583">
      <w:pPr>
        <w:spacing w:line="460" w:lineRule="exact"/>
        <w:rPr>
          <w:rFonts w:ascii="宋体" w:hAnsi="宋体" w:cs="宋体"/>
          <w:color w:val="auto"/>
          <w:sz w:val="32"/>
          <w:szCs w:val="32"/>
        </w:rPr>
      </w:pPr>
    </w:p>
    <w:p w14:paraId="178EE8A2">
      <w:pPr>
        <w:spacing w:line="460" w:lineRule="exact"/>
        <w:jc w:val="center"/>
        <w:rPr>
          <w:rFonts w:ascii="宋体" w:hAnsi="宋体" w:cs="宋体"/>
          <w:color w:val="auto"/>
          <w:sz w:val="32"/>
          <w:szCs w:val="32"/>
        </w:rPr>
      </w:pPr>
    </w:p>
    <w:p w14:paraId="45A41304">
      <w:pPr>
        <w:spacing w:line="460" w:lineRule="exact"/>
        <w:jc w:val="center"/>
        <w:rPr>
          <w:rFonts w:ascii="宋体" w:hAnsi="宋体" w:cs="宋体"/>
          <w:color w:val="auto"/>
          <w:sz w:val="32"/>
          <w:szCs w:val="32"/>
        </w:rPr>
      </w:pPr>
    </w:p>
    <w:p w14:paraId="75EB938D">
      <w:pPr>
        <w:spacing w:line="460" w:lineRule="exact"/>
        <w:jc w:val="center"/>
        <w:rPr>
          <w:rFonts w:ascii="宋体" w:hAnsi="宋体" w:cs="宋体"/>
          <w:color w:val="auto"/>
          <w:sz w:val="32"/>
          <w:szCs w:val="32"/>
        </w:rPr>
      </w:pPr>
    </w:p>
    <w:p w14:paraId="2F914BF7">
      <w:pPr>
        <w:spacing w:line="460" w:lineRule="exact"/>
        <w:jc w:val="center"/>
        <w:rPr>
          <w:rFonts w:ascii="宋体" w:hAnsi="宋体" w:cs="宋体"/>
          <w:color w:val="auto"/>
          <w:sz w:val="32"/>
          <w:szCs w:val="32"/>
        </w:rPr>
      </w:pPr>
    </w:p>
    <w:p w14:paraId="5B84C845">
      <w:pPr>
        <w:spacing w:line="460" w:lineRule="exact"/>
        <w:jc w:val="center"/>
        <w:rPr>
          <w:rFonts w:ascii="宋体" w:hAnsi="宋体" w:cs="宋体"/>
          <w:color w:val="auto"/>
          <w:sz w:val="32"/>
          <w:szCs w:val="32"/>
        </w:rPr>
      </w:pPr>
    </w:p>
    <w:p w14:paraId="1BF7F48A">
      <w:pPr>
        <w:autoSpaceDE w:val="0"/>
        <w:autoSpaceDN w:val="0"/>
        <w:adjustRightInd w:val="0"/>
        <w:ind w:firstLine="1820" w:firstLineChars="650"/>
        <w:jc w:val="left"/>
        <w:rPr>
          <w:rFonts w:ascii="宋体" w:hAnsi="宋体" w:cs="宋体"/>
          <w:color w:val="auto"/>
          <w:kern w:val="0"/>
          <w:sz w:val="28"/>
          <w:szCs w:val="28"/>
        </w:rPr>
      </w:pPr>
      <w:r>
        <w:rPr>
          <w:rFonts w:hint="eastAsia" w:ascii="宋体" w:hAnsi="宋体" w:cs="宋体"/>
          <w:color w:val="auto"/>
          <w:kern w:val="0"/>
          <w:sz w:val="28"/>
          <w:szCs w:val="28"/>
        </w:rPr>
        <w:t>投标人：（盖章）</w:t>
      </w:r>
    </w:p>
    <w:p w14:paraId="3AA1F6F8">
      <w:pPr>
        <w:autoSpaceDE w:val="0"/>
        <w:autoSpaceDN w:val="0"/>
        <w:adjustRightInd w:val="0"/>
        <w:ind w:firstLine="1820" w:firstLineChars="650"/>
        <w:jc w:val="left"/>
        <w:rPr>
          <w:rFonts w:ascii="宋体" w:hAnsi="宋体" w:cs="宋体"/>
          <w:color w:val="auto"/>
          <w:kern w:val="0"/>
          <w:sz w:val="28"/>
          <w:szCs w:val="28"/>
        </w:rPr>
      </w:pPr>
      <w:r>
        <w:rPr>
          <w:rFonts w:hint="eastAsia" w:ascii="宋体" w:hAnsi="宋体" w:cs="宋体"/>
          <w:color w:val="auto"/>
          <w:kern w:val="0"/>
          <w:sz w:val="28"/>
          <w:szCs w:val="28"/>
        </w:rPr>
        <w:t>法定代表人或其委托代理人：（签字或盖章）</w:t>
      </w:r>
    </w:p>
    <w:p w14:paraId="0F911952">
      <w:pPr>
        <w:autoSpaceDE w:val="0"/>
        <w:autoSpaceDN w:val="0"/>
        <w:adjustRightInd w:val="0"/>
        <w:ind w:firstLine="1820" w:firstLineChars="650"/>
        <w:jc w:val="left"/>
        <w:rPr>
          <w:rFonts w:ascii="宋体" w:hAnsi="宋体" w:cs="宋体"/>
          <w:color w:val="auto"/>
          <w:kern w:val="0"/>
          <w:sz w:val="28"/>
          <w:szCs w:val="28"/>
        </w:rPr>
      </w:pPr>
      <w:r>
        <w:rPr>
          <w:rFonts w:hint="eastAsia" w:ascii="宋体" w:hAnsi="宋体" w:cs="宋体"/>
          <w:color w:val="auto"/>
          <w:kern w:val="0"/>
          <w:sz w:val="28"/>
          <w:szCs w:val="28"/>
        </w:rPr>
        <w:t>地址：</w:t>
      </w:r>
    </w:p>
    <w:p w14:paraId="47D07C2B">
      <w:pPr>
        <w:spacing w:line="460" w:lineRule="exact"/>
        <w:ind w:firstLine="1820" w:firstLineChars="650"/>
        <w:rPr>
          <w:rFonts w:ascii="宋体" w:hAnsi="宋体" w:cs="宋体"/>
          <w:color w:val="auto"/>
          <w:kern w:val="0"/>
          <w:sz w:val="28"/>
          <w:szCs w:val="28"/>
        </w:rPr>
      </w:pPr>
      <w:r>
        <w:rPr>
          <w:rFonts w:hint="eastAsia" w:ascii="宋体" w:hAnsi="宋体" w:cs="宋体"/>
          <w:color w:val="auto"/>
          <w:kern w:val="0"/>
          <w:sz w:val="28"/>
          <w:szCs w:val="28"/>
        </w:rPr>
        <w:t>日期：  年  月  日</w:t>
      </w:r>
    </w:p>
    <w:p w14:paraId="49DFCA08">
      <w:pPr>
        <w:spacing w:line="460" w:lineRule="exact"/>
        <w:ind w:firstLine="1820" w:firstLineChars="650"/>
        <w:rPr>
          <w:rFonts w:ascii="宋体" w:hAnsi="宋体" w:cs="宋体"/>
          <w:color w:val="auto"/>
          <w:kern w:val="0"/>
          <w:sz w:val="28"/>
          <w:szCs w:val="28"/>
        </w:rPr>
      </w:pPr>
    </w:p>
    <w:p w14:paraId="3EAFCD9A">
      <w:pPr>
        <w:rPr>
          <w:rFonts w:ascii="宋体" w:hAnsi="宋体" w:cs="宋体"/>
          <w:b/>
          <w:bCs/>
          <w:color w:val="auto"/>
          <w:sz w:val="24"/>
        </w:rPr>
      </w:pPr>
      <w:r>
        <w:rPr>
          <w:rFonts w:hint="eastAsia" w:ascii="宋体" w:hAnsi="宋体" w:cs="宋体"/>
          <w:b/>
          <w:bCs/>
          <w:color w:val="auto"/>
          <w:sz w:val="24"/>
        </w:rPr>
        <w:br w:type="page"/>
      </w:r>
    </w:p>
    <w:p w14:paraId="6A6D3CF6">
      <w:pPr>
        <w:spacing w:line="460" w:lineRule="exact"/>
        <w:jc w:val="center"/>
        <w:rPr>
          <w:rFonts w:hint="eastAsia" w:ascii="宋体" w:hAnsi="宋体" w:cs="宋体"/>
          <w:b/>
          <w:bCs/>
          <w:color w:val="auto"/>
          <w:sz w:val="24"/>
        </w:rPr>
      </w:pPr>
    </w:p>
    <w:p w14:paraId="63DA1337">
      <w:pPr>
        <w:spacing w:line="460" w:lineRule="exact"/>
        <w:jc w:val="center"/>
        <w:rPr>
          <w:rFonts w:ascii="宋体" w:hAnsi="宋体" w:cs="宋体"/>
          <w:color w:val="auto"/>
          <w:kern w:val="0"/>
          <w:sz w:val="28"/>
          <w:szCs w:val="28"/>
        </w:rPr>
      </w:pPr>
      <w:r>
        <w:rPr>
          <w:rFonts w:hint="eastAsia" w:ascii="宋体" w:hAnsi="宋体" w:cs="宋体"/>
          <w:b/>
          <w:bCs/>
          <w:color w:val="auto"/>
          <w:sz w:val="24"/>
        </w:rPr>
        <w:t>目录（格式自拟，要求编写页码）</w:t>
      </w:r>
    </w:p>
    <w:p w14:paraId="7A280BD1">
      <w:pPr>
        <w:rPr>
          <w:rFonts w:ascii="宋体" w:hAnsi="宋体" w:cs="宋体"/>
          <w:b/>
          <w:bCs/>
          <w:color w:val="auto"/>
          <w:sz w:val="32"/>
          <w:szCs w:val="32"/>
        </w:rPr>
      </w:pPr>
      <w:r>
        <w:rPr>
          <w:rFonts w:hint="eastAsia" w:ascii="宋体" w:hAnsi="宋体" w:cs="宋体"/>
          <w:b/>
          <w:bCs/>
          <w:color w:val="auto"/>
          <w:sz w:val="32"/>
          <w:szCs w:val="32"/>
        </w:rPr>
        <w:br w:type="page"/>
      </w:r>
    </w:p>
    <w:bookmarkEnd w:id="14"/>
    <w:bookmarkEnd w:id="15"/>
    <w:bookmarkEnd w:id="16"/>
    <w:bookmarkEnd w:id="17"/>
    <w:bookmarkEnd w:id="18"/>
    <w:bookmarkEnd w:id="19"/>
    <w:p w14:paraId="58F4AC88">
      <w:pPr>
        <w:pStyle w:val="7"/>
        <w:spacing w:line="360" w:lineRule="auto"/>
        <w:ind w:firstLine="0"/>
        <w:jc w:val="center"/>
        <w:outlineLvl w:val="1"/>
        <w:rPr>
          <w:rFonts w:ascii="宋体" w:hAnsi="宋体" w:cs="宋体"/>
          <w:color w:val="auto"/>
          <w:sz w:val="32"/>
        </w:rPr>
      </w:pPr>
      <w:bookmarkStart w:id="20" w:name="_Toc390764060"/>
      <w:r>
        <w:rPr>
          <w:rFonts w:hint="eastAsia" w:ascii="宋体" w:hAnsi="宋体" w:cs="宋体"/>
          <w:color w:val="auto"/>
          <w:sz w:val="28"/>
          <w:szCs w:val="28"/>
        </w:rPr>
        <w:t>1、</w:t>
      </w:r>
      <w:bookmarkEnd w:id="20"/>
      <w:r>
        <w:rPr>
          <w:rFonts w:hint="eastAsia" w:ascii="宋体" w:hAnsi="宋体" w:cs="宋体"/>
          <w:color w:val="auto"/>
          <w:sz w:val="28"/>
          <w:szCs w:val="28"/>
        </w:rPr>
        <w:t>法定代表人身份证明</w:t>
      </w:r>
    </w:p>
    <w:p w14:paraId="1A479A4B">
      <w:pPr>
        <w:pStyle w:val="7"/>
        <w:snapToGrid w:val="0"/>
        <w:spacing w:line="440" w:lineRule="exact"/>
        <w:ind w:firstLine="0"/>
        <w:rPr>
          <w:rFonts w:ascii="宋体" w:hAnsi="宋体" w:cs="宋体"/>
          <w:color w:val="auto"/>
          <w:sz w:val="30"/>
        </w:rPr>
      </w:pPr>
    </w:p>
    <w:p w14:paraId="428BA7A4">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投标人单位名称：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6A1E653A">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投标人单位性质：</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1F441F2F">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投标人单位地址：</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35C9FF3C">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成立时间：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w:t>
      </w:r>
    </w:p>
    <w:p w14:paraId="5DF6A0CF">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经营期限：</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08572FC4">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姓名：</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性别：</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32FB3D45">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年龄：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职务：</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4A6ADD22">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(投标人单位名称)</w:t>
      </w:r>
      <w:r>
        <w:rPr>
          <w:rFonts w:hint="eastAsia" w:ascii="宋体" w:hAnsi="宋体" w:cs="宋体"/>
          <w:color w:val="auto"/>
          <w:sz w:val="24"/>
          <w:szCs w:val="24"/>
        </w:rPr>
        <w:t>的法定代表人。</w:t>
      </w:r>
    </w:p>
    <w:p w14:paraId="03BABE1C">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法定代表人联系电话：</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178D2479">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40"/>
          <w:szCs w:val="24"/>
        </w:rPr>
      </w:pPr>
      <w:r>
        <w:rPr>
          <w:rFonts w:hint="eastAsia" w:ascii="宋体" w:hAnsi="宋体" w:cs="宋体"/>
          <w:color w:val="auto"/>
          <w:sz w:val="24"/>
          <w:szCs w:val="24"/>
        </w:rPr>
        <w:t>特此证明。</w:t>
      </w:r>
      <w:r>
        <w:rPr>
          <w:rFonts w:ascii="宋体" w:hAnsi="宋体" w:cs="宋体"/>
          <w:color w:val="auto"/>
          <w:sz w:val="40"/>
          <w:szCs w:val="24"/>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309880</wp:posOffset>
                </wp:positionV>
                <wp:extent cx="5126355" cy="1931670"/>
                <wp:effectExtent l="7620" t="7620" r="9525" b="22860"/>
                <wp:wrapNone/>
                <wp:docPr id="1" name="自选图形 2"/>
                <wp:cNvGraphicFramePr/>
                <a:graphic xmlns:a="http://schemas.openxmlformats.org/drawingml/2006/main">
                  <a:graphicData uri="http://schemas.microsoft.com/office/word/2010/wordprocessingShape">
                    <wps:wsp>
                      <wps:cNvSpPr/>
                      <wps:spPr>
                        <a:xfrm>
                          <a:off x="0" y="0"/>
                          <a:ext cx="5126355" cy="193167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2F185D30"/>
                        </w:txbxContent>
                      </wps:txbx>
                      <wps:bodyPr upright="1"/>
                    </wps:wsp>
                  </a:graphicData>
                </a:graphic>
              </wp:anchor>
            </w:drawing>
          </mc:Choice>
          <mc:Fallback>
            <w:pict>
              <v:roundrect id="自选图形 2" o:spid="_x0000_s1026" o:spt="2" style="position:absolute;left:0pt;margin-left:0.15pt;margin-top:24.4pt;height:152.1pt;width:403.65pt;z-index:251659264;mso-width-relative:page;mso-height-relative:page;" filled="f" stroked="t" coordsize="21600,21600" arcsize="0.166666666666667" o:gfxdata="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MfFvU&#10;AAAABwEAAA8AAAAAAAAAAQAgAAAAIgAAAGRycy9kb3ducmV2LnhtbFBLAQIUABQAAAAIAIdO4kCf&#10;zsF1JAIAADwEAAAOAAAAAAAAAAEAIAAAACMBAABkcnMvZTJvRG9jLnhtbFBLBQYAAAAABgAGAFkB&#10;AAC5BQAAAAA=&#10;">
                <v:fill on="f" focussize="0,0"/>
                <v:stroke weight="1.25pt" color="#000000" joinstyle="round" dashstyle="dash"/>
                <v:imagedata o:title=""/>
                <o:lock v:ext="edit" aspectratio="f"/>
                <v:textbox>
                  <w:txbxContent>
                    <w:p w14:paraId="2F185D30"/>
                  </w:txbxContent>
                </v:textbox>
              </v:roundrect>
            </w:pict>
          </mc:Fallback>
        </mc:AlternateContent>
      </w:r>
    </w:p>
    <w:p w14:paraId="1BE3511D">
      <w:pPr>
        <w:pStyle w:val="7"/>
        <w:spacing w:line="360" w:lineRule="auto"/>
        <w:ind w:firstLine="0"/>
        <w:jc w:val="center"/>
        <w:rPr>
          <w:rFonts w:ascii="宋体" w:hAnsi="宋体" w:cs="宋体"/>
          <w:color w:val="auto"/>
          <w:sz w:val="40"/>
          <w:szCs w:val="24"/>
        </w:rPr>
      </w:pPr>
    </w:p>
    <w:p w14:paraId="312646FD">
      <w:pPr>
        <w:pStyle w:val="7"/>
        <w:spacing w:line="360" w:lineRule="auto"/>
        <w:ind w:firstLine="1325" w:firstLineChars="550"/>
        <w:rPr>
          <w:rFonts w:ascii="宋体" w:hAnsi="宋体" w:cs="宋体"/>
          <w:b/>
          <w:color w:val="auto"/>
          <w:sz w:val="24"/>
          <w:szCs w:val="24"/>
        </w:rPr>
      </w:pPr>
      <w:r>
        <w:rPr>
          <w:rFonts w:hint="eastAsia" w:ascii="宋体" w:hAnsi="宋体" w:cs="宋体"/>
          <w:b/>
          <w:color w:val="auto"/>
          <w:sz w:val="24"/>
          <w:szCs w:val="24"/>
        </w:rPr>
        <w:t>法定代表人身份证复印件贴于此处。</w:t>
      </w:r>
    </w:p>
    <w:p w14:paraId="57A6C7B3">
      <w:pPr>
        <w:pStyle w:val="7"/>
        <w:spacing w:line="360" w:lineRule="auto"/>
        <w:ind w:firstLine="0"/>
        <w:jc w:val="center"/>
        <w:rPr>
          <w:rFonts w:ascii="宋体" w:hAnsi="宋体" w:cs="宋体"/>
          <w:color w:val="auto"/>
          <w:sz w:val="40"/>
          <w:szCs w:val="24"/>
        </w:rPr>
      </w:pPr>
    </w:p>
    <w:p w14:paraId="4F3506FB">
      <w:pPr>
        <w:pStyle w:val="7"/>
        <w:spacing w:line="360" w:lineRule="auto"/>
        <w:jc w:val="center"/>
        <w:rPr>
          <w:rFonts w:ascii="宋体" w:hAnsi="宋体" w:cs="宋体"/>
          <w:color w:val="auto"/>
          <w:sz w:val="40"/>
          <w:szCs w:val="24"/>
        </w:rPr>
      </w:pPr>
    </w:p>
    <w:p w14:paraId="5F9F4BD4">
      <w:pPr>
        <w:pStyle w:val="7"/>
        <w:snapToGrid w:val="0"/>
        <w:spacing w:line="440" w:lineRule="exact"/>
        <w:ind w:firstLine="480" w:firstLineChars="200"/>
        <w:rPr>
          <w:rFonts w:ascii="宋体" w:hAnsi="宋体" w:cs="宋体"/>
          <w:color w:val="auto"/>
          <w:sz w:val="24"/>
          <w:szCs w:val="24"/>
        </w:rPr>
      </w:pPr>
    </w:p>
    <w:p w14:paraId="69F5E73C">
      <w:pPr>
        <w:pStyle w:val="7"/>
        <w:snapToGrid w:val="0"/>
        <w:spacing w:line="440" w:lineRule="exact"/>
        <w:ind w:firstLine="480" w:firstLineChars="200"/>
        <w:rPr>
          <w:rFonts w:ascii="宋体" w:hAnsi="宋体" w:cs="宋体"/>
          <w:color w:val="auto"/>
          <w:sz w:val="24"/>
          <w:szCs w:val="24"/>
        </w:rPr>
      </w:pPr>
    </w:p>
    <w:p w14:paraId="50257E6F">
      <w:pPr>
        <w:pStyle w:val="7"/>
        <w:snapToGrid w:val="0"/>
        <w:spacing w:line="440" w:lineRule="exact"/>
        <w:ind w:firstLine="480" w:firstLineChars="200"/>
        <w:rPr>
          <w:rFonts w:ascii="宋体" w:hAnsi="宋体" w:cs="宋体"/>
          <w:color w:val="auto"/>
          <w:sz w:val="24"/>
          <w:szCs w:val="24"/>
        </w:rPr>
      </w:pPr>
    </w:p>
    <w:p w14:paraId="07CD9F88">
      <w:pPr>
        <w:pStyle w:val="7"/>
        <w:snapToGrid w:val="0"/>
        <w:spacing w:line="440" w:lineRule="exact"/>
        <w:jc w:val="both"/>
        <w:rPr>
          <w:rFonts w:ascii="宋体" w:hAnsi="宋体" w:cs="宋体"/>
          <w:color w:val="auto"/>
          <w:sz w:val="24"/>
          <w:szCs w:val="24"/>
        </w:rPr>
      </w:pPr>
      <w:r>
        <w:rPr>
          <w:rFonts w:hint="eastAsia" w:ascii="宋体" w:hAnsi="宋体" w:cs="宋体"/>
          <w:color w:val="auto"/>
          <w:sz w:val="24"/>
          <w:szCs w:val="24"/>
        </w:rPr>
        <w:t>投标人：(盖单位章)</w:t>
      </w:r>
    </w:p>
    <w:p w14:paraId="6540C50C">
      <w:pPr>
        <w:pStyle w:val="7"/>
        <w:snapToGrid w:val="0"/>
        <w:spacing w:line="440" w:lineRule="exact"/>
        <w:jc w:val="both"/>
        <w:rPr>
          <w:rFonts w:hint="eastAsia" w:ascii="宋体" w:hAnsi="宋体" w:cs="宋体"/>
          <w:color w:val="auto"/>
          <w:sz w:val="24"/>
          <w:szCs w:val="24"/>
        </w:rPr>
      </w:pPr>
    </w:p>
    <w:p w14:paraId="27161B32">
      <w:pPr>
        <w:pStyle w:val="7"/>
        <w:snapToGrid w:val="0"/>
        <w:spacing w:line="440" w:lineRule="exact"/>
        <w:jc w:val="both"/>
        <w:rPr>
          <w:rFonts w:ascii="宋体" w:hAnsi="宋体" w:cs="宋体"/>
          <w:color w:val="auto"/>
          <w:sz w:val="24"/>
          <w:szCs w:val="24"/>
          <w:u w:val="single"/>
        </w:rPr>
      </w:pPr>
      <w:r>
        <w:rPr>
          <w:rFonts w:hint="eastAsia" w:ascii="宋体" w:hAnsi="宋体" w:cs="宋体"/>
          <w:color w:val="auto"/>
          <w:sz w:val="24"/>
          <w:szCs w:val="24"/>
        </w:rPr>
        <w:t>日   期：</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7DCED806">
      <w:pPr>
        <w:pStyle w:val="7"/>
        <w:spacing w:line="360" w:lineRule="auto"/>
        <w:ind w:firstLine="0"/>
        <w:jc w:val="center"/>
        <w:rPr>
          <w:rFonts w:ascii="宋体" w:hAnsi="宋体" w:cs="宋体"/>
          <w:color w:val="auto"/>
          <w:sz w:val="36"/>
          <w:szCs w:val="24"/>
        </w:rPr>
      </w:pPr>
    </w:p>
    <w:p w14:paraId="60DAB7B8">
      <w:pPr>
        <w:pStyle w:val="7"/>
        <w:spacing w:line="360" w:lineRule="auto"/>
        <w:ind w:firstLine="0"/>
        <w:jc w:val="center"/>
        <w:rPr>
          <w:rFonts w:ascii="宋体" w:hAnsi="宋体" w:cs="宋体"/>
          <w:color w:val="auto"/>
          <w:sz w:val="25"/>
        </w:rPr>
      </w:pPr>
    </w:p>
    <w:p w14:paraId="086667DF">
      <w:pPr>
        <w:pStyle w:val="7"/>
        <w:pageBreakBefore/>
        <w:snapToGrid w:val="0"/>
        <w:spacing w:line="440" w:lineRule="exact"/>
        <w:ind w:firstLine="0"/>
        <w:jc w:val="center"/>
        <w:outlineLvl w:val="1"/>
        <w:rPr>
          <w:rFonts w:ascii="宋体" w:hAnsi="宋体" w:cs="宋体"/>
          <w:color w:val="auto"/>
          <w:sz w:val="28"/>
          <w:szCs w:val="28"/>
        </w:rPr>
      </w:pPr>
      <w:r>
        <w:rPr>
          <w:rFonts w:hint="eastAsia" w:ascii="宋体" w:hAnsi="宋体" w:cs="宋体"/>
          <w:color w:val="auto"/>
          <w:sz w:val="28"/>
          <w:szCs w:val="28"/>
        </w:rPr>
        <w:t>2、授权委托书</w:t>
      </w:r>
    </w:p>
    <w:p w14:paraId="14501D56">
      <w:pPr>
        <w:pStyle w:val="7"/>
        <w:snapToGrid w:val="0"/>
        <w:spacing w:line="440" w:lineRule="exact"/>
        <w:ind w:firstLine="480"/>
        <w:rPr>
          <w:rFonts w:ascii="宋体" w:hAnsi="宋体" w:cs="宋体"/>
          <w:color w:val="auto"/>
        </w:rPr>
      </w:pPr>
    </w:p>
    <w:p w14:paraId="66708341">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本授权委托书声明：本人</w:t>
      </w:r>
      <w:r>
        <w:rPr>
          <w:rFonts w:hint="eastAsia" w:ascii="宋体" w:hAnsi="宋体" w:cs="宋体"/>
          <w:color w:val="auto"/>
          <w:sz w:val="24"/>
          <w:szCs w:val="24"/>
          <w:u w:val="single"/>
        </w:rPr>
        <w:t>(姓名)</w:t>
      </w:r>
      <w:r>
        <w:rPr>
          <w:rFonts w:hint="eastAsia" w:ascii="宋体" w:hAnsi="宋体" w:cs="宋体"/>
          <w:color w:val="auto"/>
          <w:sz w:val="24"/>
          <w:szCs w:val="24"/>
        </w:rPr>
        <w:t>系</w:t>
      </w:r>
      <w:r>
        <w:rPr>
          <w:rFonts w:hint="eastAsia" w:ascii="宋体" w:hAnsi="宋体" w:cs="宋体"/>
          <w:color w:val="auto"/>
          <w:sz w:val="24"/>
          <w:szCs w:val="24"/>
          <w:u w:val="single"/>
        </w:rPr>
        <w:t>(投标人单位名称)</w:t>
      </w:r>
      <w:r>
        <w:rPr>
          <w:rFonts w:hint="eastAsia" w:ascii="宋体" w:hAnsi="宋体" w:cs="宋体"/>
          <w:color w:val="auto"/>
          <w:sz w:val="24"/>
          <w:szCs w:val="24"/>
        </w:rPr>
        <w:t>的法定代表人，现委托</w:t>
      </w:r>
      <w:r>
        <w:rPr>
          <w:rFonts w:hint="eastAsia" w:ascii="宋体" w:hAnsi="宋体" w:cs="宋体"/>
          <w:color w:val="auto"/>
          <w:sz w:val="24"/>
          <w:szCs w:val="24"/>
          <w:u w:val="single"/>
        </w:rPr>
        <w:t>(姓名)</w:t>
      </w:r>
      <w:r>
        <w:rPr>
          <w:rFonts w:hint="eastAsia" w:ascii="宋体" w:hAnsi="宋体" w:cs="宋体"/>
          <w:color w:val="auto"/>
          <w:sz w:val="24"/>
          <w:szCs w:val="24"/>
        </w:rPr>
        <w:t>（身份证号：）为我方代理人。代理人根据授权，以我方名义签署、澄清、说明、补正、递交、撤回、修改</w:t>
      </w:r>
      <w:r>
        <w:rPr>
          <w:rFonts w:hint="eastAsia" w:ascii="宋体" w:hAnsi="宋体" w:cs="宋体"/>
          <w:color w:val="auto"/>
          <w:sz w:val="24"/>
          <w:szCs w:val="24"/>
          <w:u w:val="single"/>
        </w:rPr>
        <w:t xml:space="preserve">                    （项目名称）</w:t>
      </w:r>
      <w:r>
        <w:rPr>
          <w:rFonts w:hint="eastAsia" w:ascii="宋体" w:hAnsi="宋体" w:cs="宋体"/>
          <w:color w:val="auto"/>
          <w:sz w:val="24"/>
          <w:szCs w:val="24"/>
        </w:rPr>
        <w:t>投标文件，签订合同和处理有关事宜，其法律后果由我方承担。</w:t>
      </w:r>
    </w:p>
    <w:p w14:paraId="3541A78A">
      <w:pPr>
        <w:pStyle w:val="7"/>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rFonts w:ascii="宋体" w:hAnsi="宋体" w:cs="宋体"/>
          <w:color w:val="auto"/>
          <w:sz w:val="24"/>
          <w:szCs w:val="24"/>
        </w:rPr>
      </w:pPr>
      <w:r>
        <w:rPr>
          <w:rFonts w:hint="eastAsia" w:ascii="宋体" w:hAnsi="宋体" w:cs="宋体"/>
          <w:color w:val="auto"/>
          <w:sz w:val="24"/>
          <w:szCs w:val="24"/>
        </w:rPr>
        <w:t>委托期限：</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78A91C0E">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委托代理人联系电话：</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5BDDD44E">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代理人无转委托权。</w:t>
      </w:r>
    </w:p>
    <w:p w14:paraId="0246EE82">
      <w:pPr>
        <w:pStyle w:val="7"/>
        <w:keepNext w:val="0"/>
        <w:keepLines w:val="0"/>
        <w:pageBreakBefore w:val="0"/>
        <w:widowControl w:val="0"/>
        <w:kinsoku/>
        <w:wordWrap/>
        <w:overflowPunct/>
        <w:topLinePunct w:val="0"/>
        <w:autoSpaceDE/>
        <w:autoSpaceDN/>
        <w:bidi w:val="0"/>
        <w:adjustRightInd/>
        <w:snapToGrid w:val="0"/>
        <w:spacing w:line="480" w:lineRule="auto"/>
        <w:ind w:firstLine="0"/>
        <w:textAlignment w:val="auto"/>
        <w:rPr>
          <w:rFonts w:ascii="宋体" w:hAnsi="宋体" w:cs="宋体"/>
          <w:color w:val="auto"/>
          <w:sz w:val="24"/>
          <w:szCs w:val="24"/>
        </w:rPr>
      </w:pPr>
    </w:p>
    <w:p w14:paraId="6B8FE909">
      <w:pPr>
        <w:pStyle w:val="7"/>
        <w:keepNext w:val="0"/>
        <w:keepLines w:val="0"/>
        <w:pageBreakBefore w:val="0"/>
        <w:widowControl w:val="0"/>
        <w:kinsoku/>
        <w:wordWrap/>
        <w:overflowPunct/>
        <w:topLinePunct w:val="0"/>
        <w:autoSpaceDE/>
        <w:autoSpaceDN/>
        <w:bidi w:val="0"/>
        <w:adjustRightInd/>
        <w:snapToGrid w:val="0"/>
        <w:spacing w:line="480" w:lineRule="auto"/>
        <w:ind w:firstLine="0"/>
        <w:textAlignment w:val="auto"/>
        <w:rPr>
          <w:rFonts w:ascii="宋体" w:hAnsi="宋体" w:cs="宋体"/>
          <w:color w:val="auto"/>
          <w:sz w:val="24"/>
          <w:szCs w:val="24"/>
        </w:rPr>
      </w:pPr>
      <w:r>
        <w:rPr>
          <w:rFonts w:hint="eastAsia" w:ascii="宋体" w:hAnsi="宋体" w:cs="宋体"/>
          <w:color w:val="auto"/>
          <w:sz w:val="24"/>
          <w:szCs w:val="24"/>
        </w:rPr>
        <w:t>代理人：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 xml:space="preserve"> 性别：</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 xml:space="preserve"> ；</w:t>
      </w:r>
    </w:p>
    <w:p w14:paraId="435AE50B">
      <w:pPr>
        <w:pStyle w:val="7"/>
        <w:keepNext w:val="0"/>
        <w:keepLines w:val="0"/>
        <w:pageBreakBefore w:val="0"/>
        <w:widowControl w:val="0"/>
        <w:kinsoku/>
        <w:wordWrap/>
        <w:overflowPunct/>
        <w:topLinePunct w:val="0"/>
        <w:autoSpaceDE/>
        <w:autoSpaceDN/>
        <w:bidi w:val="0"/>
        <w:adjustRightInd/>
        <w:snapToGrid w:val="0"/>
        <w:spacing w:line="480" w:lineRule="auto"/>
        <w:ind w:firstLine="0"/>
        <w:textAlignment w:val="auto"/>
        <w:rPr>
          <w:rFonts w:ascii="宋体" w:hAnsi="宋体" w:cs="宋体"/>
          <w:color w:val="auto"/>
          <w:sz w:val="24"/>
          <w:szCs w:val="24"/>
        </w:rPr>
      </w:pPr>
      <w:r>
        <w:rPr>
          <w:rFonts w:hint="eastAsia" w:ascii="宋体" w:hAnsi="宋体" w:cs="宋体"/>
          <w:color w:val="auto"/>
          <w:sz w:val="24"/>
          <w:szCs w:val="24"/>
        </w:rPr>
        <w:t>代理人单位：</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部门：</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职务：</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183C6278">
      <w:pPr>
        <w:pStyle w:val="7"/>
        <w:snapToGrid w:val="0"/>
        <w:spacing w:line="440" w:lineRule="exact"/>
        <w:ind w:firstLine="0"/>
        <w:rPr>
          <w:rFonts w:ascii="宋体" w:hAnsi="宋体" w:cs="宋体"/>
          <w:color w:val="auto"/>
          <w:sz w:val="24"/>
          <w:szCs w:val="24"/>
        </w:rPr>
      </w:pPr>
      <w:r>
        <w:rPr>
          <w:rFonts w:ascii="宋体" w:hAnsi="宋体" w:cs="宋体"/>
          <w:color w:val="auto"/>
          <w:sz w:val="40"/>
          <w:szCs w:val="24"/>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274955</wp:posOffset>
                </wp:positionV>
                <wp:extent cx="5594985" cy="1879600"/>
                <wp:effectExtent l="7620" t="7620" r="17145" b="17780"/>
                <wp:wrapNone/>
                <wp:docPr id="2" name="圆角矩形 1"/>
                <wp:cNvGraphicFramePr/>
                <a:graphic xmlns:a="http://schemas.openxmlformats.org/drawingml/2006/main">
                  <a:graphicData uri="http://schemas.microsoft.com/office/word/2010/wordprocessingShape">
                    <wps:wsp>
                      <wps:cNvSpPr/>
                      <wps:spPr>
                        <a:xfrm>
                          <a:off x="0" y="0"/>
                          <a:ext cx="5594985" cy="187960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039BD7F0"/>
                        </w:txbxContent>
                      </wps:txbx>
                      <wps:bodyPr upright="1"/>
                    </wps:wsp>
                  </a:graphicData>
                </a:graphic>
              </wp:anchor>
            </w:drawing>
          </mc:Choice>
          <mc:Fallback>
            <w:pict>
              <v:roundrect id="圆角矩形 1" o:spid="_x0000_s1026" o:spt="2" style="position:absolute;left:0pt;margin-left:-2.55pt;margin-top:21.65pt;height:148pt;width:440.55pt;z-index:251660288;mso-width-relative:page;mso-height-relative:page;" filled="f" stroked="t" coordsize="21600,21600" arcsize="0.166666666666667" o:gfxdata="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I&#10;NHju2AAAAAkBAAAPAAAAAAAAAAEAIAAAACIAAABkcnMvZG93bnJldi54bWxQSwECFAAUAAAACACH&#10;TuJAT8LqXSQCAAA8BAAADgAAAAAAAAABACAAAAAnAQAAZHJzL2Uyb0RvYy54bWxQSwUGAAAAAAYA&#10;BgBZAQAAvQUAAAAA&#10;">
                <v:fill on="f" focussize="0,0"/>
                <v:stroke weight="1.25pt" color="#000000" joinstyle="round" dashstyle="dash"/>
                <v:imagedata o:title=""/>
                <o:lock v:ext="edit" aspectratio="f"/>
                <v:textbox>
                  <w:txbxContent>
                    <w:p w14:paraId="039BD7F0"/>
                  </w:txbxContent>
                </v:textbox>
              </v:roundrect>
            </w:pict>
          </mc:Fallback>
        </mc:AlternateContent>
      </w:r>
    </w:p>
    <w:p w14:paraId="05FEC4FE">
      <w:pPr>
        <w:pStyle w:val="7"/>
        <w:jc w:val="left"/>
        <w:rPr>
          <w:rFonts w:ascii="宋体" w:hAnsi="宋体" w:cs="宋体"/>
          <w:color w:val="auto"/>
          <w:sz w:val="40"/>
          <w:szCs w:val="24"/>
        </w:rPr>
      </w:pPr>
    </w:p>
    <w:p w14:paraId="3FA5CCE3">
      <w:pPr>
        <w:pStyle w:val="7"/>
        <w:spacing w:line="360" w:lineRule="auto"/>
        <w:ind w:firstLine="0"/>
        <w:jc w:val="center"/>
        <w:rPr>
          <w:rFonts w:ascii="宋体" w:hAnsi="宋体" w:cs="宋体"/>
          <w:color w:val="auto"/>
          <w:sz w:val="40"/>
          <w:szCs w:val="24"/>
        </w:rPr>
      </w:pPr>
    </w:p>
    <w:p w14:paraId="27760E22">
      <w:pPr>
        <w:pStyle w:val="7"/>
        <w:spacing w:line="360" w:lineRule="auto"/>
        <w:ind w:firstLine="0"/>
        <w:jc w:val="center"/>
        <w:rPr>
          <w:rFonts w:ascii="宋体" w:hAnsi="宋体" w:cs="宋体"/>
          <w:color w:val="auto"/>
          <w:sz w:val="24"/>
          <w:szCs w:val="24"/>
        </w:rPr>
      </w:pPr>
      <w:r>
        <w:rPr>
          <w:rFonts w:hint="eastAsia" w:ascii="宋体" w:hAnsi="宋体" w:cs="宋体"/>
          <w:color w:val="auto"/>
          <w:sz w:val="24"/>
          <w:szCs w:val="24"/>
        </w:rPr>
        <w:t>代理人身份证复印件贴于此处。</w:t>
      </w:r>
    </w:p>
    <w:p w14:paraId="2470958C">
      <w:pPr>
        <w:pStyle w:val="7"/>
        <w:spacing w:line="360" w:lineRule="auto"/>
        <w:ind w:firstLine="0"/>
        <w:jc w:val="center"/>
        <w:rPr>
          <w:rFonts w:ascii="宋体" w:hAnsi="宋体" w:cs="宋体"/>
          <w:color w:val="auto"/>
          <w:sz w:val="40"/>
          <w:szCs w:val="24"/>
        </w:rPr>
      </w:pPr>
    </w:p>
    <w:p w14:paraId="33B22823">
      <w:pPr>
        <w:pStyle w:val="7"/>
        <w:spacing w:line="360" w:lineRule="auto"/>
        <w:ind w:firstLine="0"/>
        <w:jc w:val="center"/>
        <w:rPr>
          <w:rFonts w:ascii="宋体" w:hAnsi="宋体" w:cs="宋体"/>
          <w:color w:val="auto"/>
          <w:sz w:val="40"/>
          <w:szCs w:val="24"/>
        </w:rPr>
      </w:pPr>
    </w:p>
    <w:p w14:paraId="3217125B">
      <w:pPr>
        <w:pStyle w:val="7"/>
        <w:snapToGrid w:val="0"/>
        <w:spacing w:line="440" w:lineRule="exact"/>
        <w:ind w:firstLine="0"/>
        <w:rPr>
          <w:rFonts w:ascii="宋体" w:hAnsi="宋体" w:cs="宋体"/>
          <w:color w:val="auto"/>
          <w:sz w:val="24"/>
          <w:szCs w:val="24"/>
        </w:rPr>
      </w:pPr>
    </w:p>
    <w:p w14:paraId="61A4DB56">
      <w:pPr>
        <w:pStyle w:val="7"/>
        <w:snapToGrid w:val="0"/>
        <w:spacing w:line="440" w:lineRule="exact"/>
        <w:ind w:firstLine="0"/>
        <w:jc w:val="right"/>
        <w:rPr>
          <w:rFonts w:ascii="宋体" w:hAnsi="宋体" w:cs="宋体"/>
          <w:color w:val="auto"/>
          <w:sz w:val="24"/>
          <w:szCs w:val="24"/>
        </w:rPr>
      </w:pPr>
    </w:p>
    <w:p w14:paraId="2245299A">
      <w:pPr>
        <w:pStyle w:val="7"/>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cs="宋体"/>
          <w:color w:val="auto"/>
          <w:sz w:val="24"/>
          <w:szCs w:val="24"/>
        </w:rPr>
      </w:pPr>
      <w:r>
        <w:rPr>
          <w:rFonts w:hint="eastAsia" w:ascii="宋体" w:hAnsi="宋体" w:cs="宋体"/>
          <w:color w:val="auto"/>
          <w:sz w:val="24"/>
          <w:szCs w:val="24"/>
        </w:rPr>
        <w:t>投标人：(盖单位章)</w:t>
      </w:r>
    </w:p>
    <w:p w14:paraId="19576258">
      <w:pPr>
        <w:pStyle w:val="7"/>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cs="宋体"/>
          <w:color w:val="auto"/>
          <w:sz w:val="24"/>
          <w:szCs w:val="24"/>
        </w:rPr>
      </w:pPr>
      <w:r>
        <w:rPr>
          <w:rFonts w:hint="eastAsia" w:ascii="宋体" w:hAnsi="宋体" w:cs="宋体"/>
          <w:color w:val="auto"/>
          <w:sz w:val="24"/>
          <w:szCs w:val="24"/>
        </w:rPr>
        <w:t>法定代表人： (签字或印章)</w:t>
      </w:r>
    </w:p>
    <w:p w14:paraId="6DD88AED">
      <w:pPr>
        <w:pStyle w:val="7"/>
        <w:snapToGrid w:val="0"/>
        <w:spacing w:line="440" w:lineRule="exact"/>
        <w:ind w:firstLine="0"/>
        <w:jc w:val="both"/>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357D379A">
      <w:pPr>
        <w:pStyle w:val="20"/>
        <w:snapToGrid w:val="0"/>
        <w:spacing w:line="300" w:lineRule="auto"/>
        <w:ind w:firstLine="420"/>
        <w:contextualSpacing/>
        <w:rPr>
          <w:rFonts w:hAnsi="宋体"/>
          <w:b/>
          <w:color w:val="auto"/>
          <w:sz w:val="40"/>
          <w:szCs w:val="40"/>
        </w:rPr>
      </w:pPr>
    </w:p>
    <w:p w14:paraId="2EB0F24C">
      <w:pPr>
        <w:pStyle w:val="20"/>
        <w:snapToGrid w:val="0"/>
        <w:spacing w:line="300" w:lineRule="auto"/>
        <w:ind w:firstLine="420"/>
        <w:contextualSpacing/>
        <w:rPr>
          <w:rFonts w:hAnsi="宋体"/>
          <w:b/>
          <w:color w:val="auto"/>
          <w:sz w:val="28"/>
          <w:szCs w:val="28"/>
        </w:rPr>
      </w:pPr>
    </w:p>
    <w:p w14:paraId="1431BCDE">
      <w:pPr>
        <w:rPr>
          <w:rFonts w:ascii="宋体" w:hAnsi="宋体" w:cs="宋体"/>
          <w:b/>
          <w:bCs/>
          <w:color w:val="auto"/>
          <w:sz w:val="32"/>
          <w:szCs w:val="32"/>
        </w:rPr>
      </w:pPr>
      <w:r>
        <w:rPr>
          <w:rFonts w:hint="eastAsia" w:ascii="宋体" w:hAnsi="宋体" w:cs="宋体"/>
          <w:b/>
          <w:bCs/>
          <w:color w:val="auto"/>
          <w:sz w:val="32"/>
          <w:szCs w:val="32"/>
        </w:rPr>
        <w:br w:type="page"/>
      </w:r>
    </w:p>
    <w:p w14:paraId="52485879">
      <w:pPr>
        <w:spacing w:before="240" w:line="312" w:lineRule="auto"/>
        <w:jc w:val="center"/>
        <w:rPr>
          <w:b/>
          <w:bCs/>
          <w:color w:val="auto"/>
          <w:sz w:val="32"/>
          <w:szCs w:val="32"/>
        </w:rPr>
      </w:pPr>
      <w:r>
        <w:rPr>
          <w:rFonts w:hint="eastAsia"/>
          <w:b/>
          <w:bCs/>
          <w:color w:val="auto"/>
          <w:sz w:val="32"/>
          <w:szCs w:val="32"/>
        </w:rPr>
        <w:t>3、</w:t>
      </w:r>
      <w:r>
        <w:rPr>
          <w:b/>
          <w:bCs/>
          <w:color w:val="auto"/>
          <w:sz w:val="32"/>
          <w:szCs w:val="32"/>
        </w:rPr>
        <w:t>投标人信用承诺书</w:t>
      </w:r>
    </w:p>
    <w:p w14:paraId="3EE99AD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color w:val="auto"/>
          <w:kern w:val="0"/>
          <w:sz w:val="24"/>
          <w:lang w:val="zh-CN"/>
        </w:rPr>
        <w:t>为营造公开、公平、公正的</w:t>
      </w:r>
      <w:r>
        <w:rPr>
          <w:rFonts w:hint="eastAsia"/>
          <w:color w:val="auto"/>
          <w:kern w:val="0"/>
          <w:sz w:val="24"/>
          <w:lang w:val="zh-CN"/>
        </w:rPr>
        <w:t>招标</w:t>
      </w:r>
      <w:r>
        <w:rPr>
          <w:color w:val="auto"/>
          <w:kern w:val="0"/>
          <w:sz w:val="24"/>
          <w:lang w:val="zh-CN"/>
        </w:rPr>
        <w:t>环境，树立诚信守法的投标人形象，本人代表本单位作出以下承诺：</w:t>
      </w:r>
    </w:p>
    <w:p w14:paraId="43BB734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color w:val="auto"/>
          <w:kern w:val="0"/>
          <w:sz w:val="24"/>
          <w:lang w:val="zh-CN"/>
        </w:rPr>
        <w:t>一、本单位对所提交的单位基本信息、单位负责人、从业资质和资格、业绩、财务状况、信誉等所有资料，均合法、真实、准确、有效，无任何伪造、修改、虚假成分；</w:t>
      </w:r>
    </w:p>
    <w:p w14:paraId="4222E92B">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color w:val="auto"/>
          <w:kern w:val="0"/>
          <w:sz w:val="24"/>
          <w:lang w:val="zh-CN"/>
        </w:rPr>
        <w:t>二、严格依照国家和省、市、县关于招标投标等方面的法律、法规、规章、规范性文件，参加本项目的招标投标活动；积极履行社会责任，促进廉政建设；</w:t>
      </w:r>
    </w:p>
    <w:p w14:paraId="379C490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color w:val="auto"/>
          <w:kern w:val="0"/>
          <w:sz w:val="24"/>
          <w:lang w:val="zh-CN"/>
        </w:rPr>
        <w:t>三、自我约束、自我管理，守合同、重信用，不参与围标串标、弄虚作假、骗取中标、干扰评标、违约毁约、恶意投诉等行为，主动维护</w:t>
      </w:r>
      <w:r>
        <w:rPr>
          <w:rFonts w:hint="eastAsia"/>
          <w:color w:val="auto"/>
          <w:kern w:val="0"/>
          <w:sz w:val="24"/>
          <w:lang w:val="zh-CN"/>
        </w:rPr>
        <w:t>招标人</w:t>
      </w:r>
      <w:r>
        <w:rPr>
          <w:color w:val="auto"/>
          <w:kern w:val="0"/>
          <w:sz w:val="24"/>
          <w:lang w:val="zh-CN"/>
        </w:rPr>
        <w:t>招标投标的良好秩序；</w:t>
      </w:r>
    </w:p>
    <w:p w14:paraId="4C3ECE6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color w:val="auto"/>
          <w:kern w:val="0"/>
          <w:sz w:val="24"/>
          <w:lang w:val="zh-CN"/>
        </w:rPr>
        <w:t>四、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56734DF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color w:val="auto"/>
          <w:kern w:val="0"/>
          <w:sz w:val="24"/>
          <w:lang w:val="zh-CN"/>
        </w:rPr>
        <w:t>五、自觉接受相关部门、行业组织、社会公众、新闻舆论等监督；</w:t>
      </w:r>
    </w:p>
    <w:p w14:paraId="53A2DA7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rFonts w:hint="eastAsia"/>
          <w:color w:val="auto"/>
          <w:kern w:val="0"/>
          <w:sz w:val="24"/>
          <w:lang w:val="en-US" w:eastAsia="zh-CN"/>
        </w:rPr>
        <w:t>六、我单位</w:t>
      </w:r>
      <w:r>
        <w:rPr>
          <w:rFonts w:hint="eastAsia"/>
          <w:color w:val="auto"/>
          <w:kern w:val="0"/>
          <w:sz w:val="24"/>
          <w:lang w:val="zh-CN"/>
        </w:rPr>
        <w:t>未被“信用中国”网站（www.creditchina.gov.cn）、“中国政府采购网”（www.ccgp.gov.cn）列入失信被执行人、重大税收违法案件当事人名单。</w:t>
      </w:r>
    </w:p>
    <w:p w14:paraId="49100B1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rFonts w:hint="eastAsia"/>
          <w:color w:val="auto"/>
          <w:kern w:val="0"/>
          <w:sz w:val="24"/>
          <w:lang w:val="en-US" w:eastAsia="zh-CN"/>
        </w:rPr>
        <w:t>七</w:t>
      </w:r>
      <w:r>
        <w:rPr>
          <w:color w:val="auto"/>
          <w:kern w:val="0"/>
          <w:sz w:val="24"/>
          <w:lang w:val="zh-CN"/>
        </w:rPr>
        <w:t>、上述承诺已向本单位员工作了宣传教育；</w:t>
      </w:r>
    </w:p>
    <w:p w14:paraId="68C884C5">
      <w:pPr>
        <w:keepNext w:val="0"/>
        <w:keepLines w:val="0"/>
        <w:pageBreakBefore w:val="0"/>
        <w:widowControl w:val="0"/>
        <w:kinsoku/>
        <w:wordWrap/>
        <w:overflowPunct/>
        <w:topLinePunct w:val="0"/>
        <w:autoSpaceDE/>
        <w:autoSpaceDN/>
        <w:bidi w:val="0"/>
        <w:adjustRightInd/>
        <w:snapToGrid/>
        <w:spacing w:line="384" w:lineRule="auto"/>
        <w:ind w:firstLine="482" w:firstLineChars="200"/>
        <w:textAlignment w:val="auto"/>
        <w:rPr>
          <w:b/>
          <w:color w:val="auto"/>
          <w:kern w:val="0"/>
          <w:sz w:val="24"/>
          <w:lang w:val="zh-CN"/>
        </w:rPr>
      </w:pPr>
      <w:r>
        <w:rPr>
          <w:b/>
          <w:color w:val="auto"/>
          <w:kern w:val="0"/>
          <w:sz w:val="24"/>
          <w:lang w:val="zh-CN"/>
        </w:rPr>
        <w:t>如有违反上述承诺的不良行为，本单位同意将其予以上网公示。</w:t>
      </w:r>
    </w:p>
    <w:p w14:paraId="2EDFA1BD">
      <w:pPr>
        <w:keepNext w:val="0"/>
        <w:keepLines w:val="0"/>
        <w:pageBreakBefore w:val="0"/>
        <w:widowControl w:val="0"/>
        <w:kinsoku/>
        <w:wordWrap/>
        <w:overflowPunct/>
        <w:topLinePunct w:val="0"/>
        <w:autoSpaceDE/>
        <w:autoSpaceDN/>
        <w:bidi w:val="0"/>
        <w:adjustRightInd/>
        <w:snapToGrid/>
        <w:spacing w:line="384" w:lineRule="auto"/>
        <w:textAlignment w:val="auto"/>
        <w:rPr>
          <w:color w:val="auto"/>
          <w:kern w:val="0"/>
          <w:sz w:val="24"/>
          <w:lang w:val="zh-CN"/>
        </w:rPr>
      </w:pPr>
    </w:p>
    <w:p w14:paraId="058A0DCE">
      <w:pPr>
        <w:keepNext w:val="0"/>
        <w:keepLines w:val="0"/>
        <w:pageBreakBefore w:val="0"/>
        <w:widowControl w:val="0"/>
        <w:kinsoku/>
        <w:wordWrap/>
        <w:overflowPunct/>
        <w:topLinePunct w:val="0"/>
        <w:autoSpaceDE/>
        <w:autoSpaceDN/>
        <w:bidi w:val="0"/>
        <w:adjustRightInd/>
        <w:snapToGrid/>
        <w:spacing w:line="384" w:lineRule="auto"/>
        <w:ind w:firstLine="4560" w:firstLineChars="1900"/>
        <w:textAlignment w:val="auto"/>
        <w:rPr>
          <w:color w:val="auto"/>
          <w:kern w:val="0"/>
          <w:sz w:val="24"/>
          <w:lang w:val="zh-CN"/>
        </w:rPr>
      </w:pPr>
    </w:p>
    <w:p w14:paraId="760D1BD3">
      <w:pPr>
        <w:keepNext w:val="0"/>
        <w:keepLines w:val="0"/>
        <w:pageBreakBefore w:val="0"/>
        <w:widowControl w:val="0"/>
        <w:kinsoku/>
        <w:wordWrap/>
        <w:overflowPunct/>
        <w:topLinePunct w:val="0"/>
        <w:autoSpaceDE/>
        <w:autoSpaceDN/>
        <w:bidi w:val="0"/>
        <w:adjustRightInd/>
        <w:snapToGrid/>
        <w:spacing w:line="384" w:lineRule="auto"/>
        <w:jc w:val="center"/>
        <w:textAlignment w:val="auto"/>
        <w:rPr>
          <w:color w:val="auto"/>
          <w:kern w:val="0"/>
          <w:sz w:val="24"/>
          <w:lang w:val="zh-CN"/>
        </w:rPr>
      </w:pPr>
      <w:r>
        <w:rPr>
          <w:color w:val="auto"/>
          <w:sz w:val="24"/>
        </w:rPr>
        <w:t>投标人</w:t>
      </w:r>
      <w:r>
        <w:rPr>
          <w:bCs/>
          <w:color w:val="auto"/>
          <w:sz w:val="24"/>
        </w:rPr>
        <w:t>（盖单位公章）</w:t>
      </w:r>
      <w:r>
        <w:rPr>
          <w:color w:val="auto"/>
          <w:sz w:val="24"/>
        </w:rPr>
        <w:t>：</w:t>
      </w:r>
    </w:p>
    <w:p w14:paraId="37945D6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color w:val="auto"/>
          <w:sz w:val="24"/>
          <w:u w:val="single"/>
          <w:lang w:val="zh-CN"/>
        </w:rPr>
      </w:pPr>
      <w:r>
        <w:rPr>
          <w:color w:val="auto"/>
          <w:kern w:val="0"/>
          <w:sz w:val="24"/>
          <w:lang w:val="zh-CN"/>
        </w:rPr>
        <w:t>法定代表人或</w:t>
      </w:r>
      <w:r>
        <w:rPr>
          <w:color w:val="auto"/>
          <w:kern w:val="0"/>
          <w:sz w:val="24"/>
        </w:rPr>
        <w:t>其委托代理人</w:t>
      </w:r>
      <w:r>
        <w:rPr>
          <w:color w:val="auto"/>
          <w:kern w:val="0"/>
          <w:sz w:val="24"/>
          <w:lang w:val="zh-CN"/>
        </w:rPr>
        <w:t>（签字或盖章）：</w:t>
      </w:r>
    </w:p>
    <w:p w14:paraId="4C0EF56A">
      <w:pPr>
        <w:keepNext w:val="0"/>
        <w:keepLines w:val="0"/>
        <w:pageBreakBefore w:val="0"/>
        <w:widowControl w:val="0"/>
        <w:kinsoku/>
        <w:wordWrap/>
        <w:overflowPunct/>
        <w:topLinePunct w:val="0"/>
        <w:autoSpaceDE/>
        <w:autoSpaceDN/>
        <w:bidi w:val="0"/>
        <w:adjustRightInd/>
        <w:snapToGrid/>
        <w:spacing w:line="384" w:lineRule="auto"/>
        <w:ind w:firstLine="4320" w:firstLineChars="1800"/>
        <w:textAlignment w:val="auto"/>
        <w:rPr>
          <w:color w:val="auto"/>
          <w:kern w:val="0"/>
          <w:sz w:val="24"/>
          <w:lang w:val="zh-CN"/>
        </w:rPr>
      </w:pPr>
      <w:r>
        <w:rPr>
          <w:color w:val="auto"/>
          <w:kern w:val="0"/>
          <w:sz w:val="24"/>
          <w:lang w:val="zh-CN"/>
        </w:rPr>
        <w:t>年</w:t>
      </w:r>
      <w:r>
        <w:rPr>
          <w:rFonts w:hint="eastAsia"/>
          <w:color w:val="auto"/>
          <w:kern w:val="0"/>
          <w:sz w:val="24"/>
          <w:lang w:val="en-US" w:eastAsia="zh-CN"/>
        </w:rPr>
        <w:t xml:space="preserve">   </w:t>
      </w:r>
      <w:r>
        <w:rPr>
          <w:color w:val="auto"/>
          <w:kern w:val="0"/>
          <w:sz w:val="24"/>
          <w:lang w:val="zh-CN"/>
        </w:rPr>
        <w:t>月</w:t>
      </w:r>
      <w:r>
        <w:rPr>
          <w:rFonts w:hint="eastAsia"/>
          <w:color w:val="auto"/>
          <w:kern w:val="0"/>
          <w:sz w:val="24"/>
          <w:lang w:val="en-US" w:eastAsia="zh-CN"/>
        </w:rPr>
        <w:t xml:space="preserve">   </w:t>
      </w:r>
      <w:r>
        <w:rPr>
          <w:color w:val="auto"/>
          <w:kern w:val="0"/>
          <w:sz w:val="24"/>
          <w:lang w:val="zh-CN"/>
        </w:rPr>
        <w:t>日</w:t>
      </w:r>
    </w:p>
    <w:p w14:paraId="0DB49458">
      <w:pPr>
        <w:adjustRightInd w:val="0"/>
        <w:snapToGrid w:val="0"/>
        <w:spacing w:line="240" w:lineRule="atLeast"/>
        <w:jc w:val="center"/>
        <w:rPr>
          <w:color w:val="auto"/>
          <w:sz w:val="24"/>
        </w:rPr>
      </w:pPr>
    </w:p>
    <w:p w14:paraId="420043A1">
      <w:pPr>
        <w:snapToGrid w:val="0"/>
        <w:spacing w:line="400" w:lineRule="exact"/>
        <w:contextualSpacing/>
        <w:rPr>
          <w:rFonts w:eastAsia="方正黑体_GBK"/>
          <w:color w:val="auto"/>
          <w:kern w:val="0"/>
          <w:sz w:val="32"/>
          <w:szCs w:val="32"/>
        </w:rPr>
      </w:pPr>
      <w:r>
        <w:rPr>
          <w:color w:val="auto"/>
          <w:kern w:val="0"/>
          <w:sz w:val="32"/>
          <w:szCs w:val="32"/>
        </w:rPr>
        <w:br w:type="page"/>
      </w:r>
    </w:p>
    <w:p w14:paraId="5B5643B3">
      <w:pPr>
        <w:spacing w:before="240" w:line="312" w:lineRule="auto"/>
        <w:jc w:val="center"/>
        <w:rPr>
          <w:b/>
          <w:bCs/>
          <w:color w:val="auto"/>
          <w:sz w:val="32"/>
          <w:szCs w:val="32"/>
        </w:rPr>
      </w:pPr>
      <w:r>
        <w:rPr>
          <w:rFonts w:hint="eastAsia"/>
          <w:b/>
          <w:bCs/>
          <w:color w:val="auto"/>
          <w:sz w:val="32"/>
          <w:szCs w:val="32"/>
        </w:rPr>
        <w:t>4、南通宝月湖科技股权投资基金合伙企业（有限合伙）二期管理机构申请登记表</w:t>
      </w:r>
    </w:p>
    <w:tbl>
      <w:tblPr>
        <w:tblStyle w:val="3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864"/>
        <w:gridCol w:w="956"/>
        <w:gridCol w:w="855"/>
        <w:gridCol w:w="672"/>
        <w:gridCol w:w="2483"/>
      </w:tblGrid>
      <w:tr w14:paraId="66BF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tcBorders>
              <w:top w:val="single" w:color="auto" w:sz="12" w:space="0"/>
              <w:left w:val="single" w:color="auto" w:sz="12" w:space="0"/>
              <w:bottom w:val="single" w:color="auto" w:sz="4" w:space="0"/>
              <w:right w:val="single" w:color="auto" w:sz="12" w:space="0"/>
            </w:tcBorders>
            <w:vAlign w:val="center"/>
          </w:tcPr>
          <w:p w14:paraId="5CD9B76D">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申报企业名称</w:t>
            </w:r>
          </w:p>
        </w:tc>
        <w:tc>
          <w:tcPr>
            <w:tcW w:w="7830" w:type="dxa"/>
            <w:gridSpan w:val="5"/>
            <w:tcBorders>
              <w:top w:val="single" w:color="auto" w:sz="12" w:space="0"/>
              <w:left w:val="single" w:color="auto" w:sz="12" w:space="0"/>
              <w:bottom w:val="single" w:color="auto" w:sz="4" w:space="0"/>
              <w:right w:val="single" w:color="auto" w:sz="12" w:space="0"/>
            </w:tcBorders>
          </w:tcPr>
          <w:p w14:paraId="4AB13D62">
            <w:pPr>
              <w:spacing w:line="440" w:lineRule="exact"/>
              <w:rPr>
                <w:rFonts w:ascii="仿宋_GB2312" w:hAnsi="仿宋_GB2312" w:eastAsia="仿宋_GB2312" w:cs="仿宋_GB2312"/>
                <w:color w:val="auto"/>
                <w:sz w:val="24"/>
              </w:rPr>
            </w:pPr>
          </w:p>
        </w:tc>
      </w:tr>
      <w:tr w14:paraId="564C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tcBorders>
              <w:top w:val="single" w:color="auto" w:sz="4" w:space="0"/>
              <w:left w:val="single" w:color="auto" w:sz="12" w:space="0"/>
              <w:bottom w:val="single" w:color="auto" w:sz="4" w:space="0"/>
              <w:right w:val="single" w:color="auto" w:sz="12" w:space="0"/>
            </w:tcBorders>
            <w:vAlign w:val="center"/>
          </w:tcPr>
          <w:p w14:paraId="7E9AB43F">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企业注册地址</w:t>
            </w:r>
          </w:p>
        </w:tc>
        <w:tc>
          <w:tcPr>
            <w:tcW w:w="3820" w:type="dxa"/>
            <w:gridSpan w:val="2"/>
            <w:tcBorders>
              <w:top w:val="single" w:color="auto" w:sz="4" w:space="0"/>
              <w:left w:val="single" w:color="auto" w:sz="12" w:space="0"/>
              <w:bottom w:val="single" w:color="auto" w:sz="4" w:space="0"/>
              <w:right w:val="single" w:color="auto" w:sz="4" w:space="0"/>
            </w:tcBorders>
          </w:tcPr>
          <w:p w14:paraId="4A1B7C8C">
            <w:pPr>
              <w:spacing w:line="440" w:lineRule="exact"/>
              <w:rPr>
                <w:rFonts w:ascii="仿宋_GB2312" w:hAnsi="仿宋_GB2312" w:eastAsia="仿宋_GB2312" w:cs="仿宋_GB2312"/>
                <w:color w:val="auto"/>
                <w:sz w:val="24"/>
              </w:rPr>
            </w:pPr>
          </w:p>
        </w:tc>
        <w:tc>
          <w:tcPr>
            <w:tcW w:w="1527" w:type="dxa"/>
            <w:gridSpan w:val="2"/>
            <w:tcBorders>
              <w:top w:val="single" w:color="auto" w:sz="4" w:space="0"/>
              <w:left w:val="single" w:color="auto" w:sz="4" w:space="0"/>
              <w:bottom w:val="single" w:color="auto" w:sz="4" w:space="0"/>
              <w:right w:val="single" w:color="auto" w:sz="4" w:space="0"/>
            </w:tcBorders>
          </w:tcPr>
          <w:p w14:paraId="13A7D746">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法定代表人</w:t>
            </w:r>
          </w:p>
        </w:tc>
        <w:tc>
          <w:tcPr>
            <w:tcW w:w="2483" w:type="dxa"/>
            <w:tcBorders>
              <w:top w:val="single" w:color="auto" w:sz="4" w:space="0"/>
              <w:left w:val="single" w:color="auto" w:sz="4" w:space="0"/>
              <w:bottom w:val="single" w:color="auto" w:sz="4" w:space="0"/>
              <w:right w:val="single" w:color="auto" w:sz="12" w:space="0"/>
            </w:tcBorders>
          </w:tcPr>
          <w:p w14:paraId="0BE42E59">
            <w:pPr>
              <w:spacing w:line="440" w:lineRule="exact"/>
              <w:rPr>
                <w:rFonts w:ascii="仿宋_GB2312" w:hAnsi="仿宋_GB2312" w:eastAsia="仿宋_GB2312" w:cs="仿宋_GB2312"/>
                <w:color w:val="auto"/>
                <w:sz w:val="24"/>
              </w:rPr>
            </w:pPr>
          </w:p>
        </w:tc>
      </w:tr>
      <w:tr w14:paraId="65A8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tcBorders>
              <w:top w:val="single" w:color="auto" w:sz="4" w:space="0"/>
              <w:left w:val="single" w:color="auto" w:sz="12" w:space="0"/>
              <w:bottom w:val="single" w:color="auto" w:sz="4" w:space="0"/>
              <w:right w:val="single" w:color="auto" w:sz="12" w:space="0"/>
            </w:tcBorders>
            <w:vAlign w:val="center"/>
          </w:tcPr>
          <w:p w14:paraId="2773CF31">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股东及持股比例</w:t>
            </w:r>
          </w:p>
        </w:tc>
        <w:tc>
          <w:tcPr>
            <w:tcW w:w="7830" w:type="dxa"/>
            <w:gridSpan w:val="5"/>
            <w:tcBorders>
              <w:top w:val="single" w:color="auto" w:sz="4" w:space="0"/>
              <w:left w:val="single" w:color="auto" w:sz="12" w:space="0"/>
              <w:bottom w:val="single" w:color="auto" w:sz="4" w:space="0"/>
              <w:right w:val="single" w:color="auto" w:sz="12" w:space="0"/>
            </w:tcBorders>
          </w:tcPr>
          <w:p w14:paraId="14799EE9">
            <w:pPr>
              <w:spacing w:line="440" w:lineRule="exact"/>
              <w:rPr>
                <w:rFonts w:ascii="仿宋_GB2312" w:hAnsi="仿宋_GB2312" w:eastAsia="仿宋_GB2312" w:cs="仿宋_GB2312"/>
                <w:color w:val="auto"/>
                <w:sz w:val="24"/>
              </w:rPr>
            </w:pPr>
          </w:p>
        </w:tc>
      </w:tr>
      <w:tr w14:paraId="2D17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vMerge w:val="restart"/>
            <w:tcBorders>
              <w:top w:val="single" w:color="auto" w:sz="4" w:space="0"/>
              <w:left w:val="single" w:color="auto" w:sz="12" w:space="0"/>
              <w:bottom w:val="single" w:color="auto" w:sz="4" w:space="0"/>
              <w:right w:val="single" w:color="auto" w:sz="12" w:space="0"/>
            </w:tcBorders>
            <w:vAlign w:val="center"/>
          </w:tcPr>
          <w:p w14:paraId="4A8EB2F2">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联系人及</w:t>
            </w:r>
          </w:p>
          <w:p w14:paraId="5062FD9C">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联系方式</w:t>
            </w:r>
          </w:p>
        </w:tc>
        <w:tc>
          <w:tcPr>
            <w:tcW w:w="2864" w:type="dxa"/>
            <w:tcBorders>
              <w:top w:val="single" w:color="auto" w:sz="4" w:space="0"/>
              <w:left w:val="single" w:color="auto" w:sz="12" w:space="0"/>
              <w:bottom w:val="single" w:color="auto" w:sz="4" w:space="0"/>
              <w:right w:val="single" w:color="auto" w:sz="4" w:space="0"/>
            </w:tcBorders>
          </w:tcPr>
          <w:p w14:paraId="37627797">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1811" w:type="dxa"/>
            <w:gridSpan w:val="2"/>
            <w:tcBorders>
              <w:top w:val="single" w:color="auto" w:sz="4" w:space="0"/>
              <w:left w:val="single" w:color="auto" w:sz="4" w:space="0"/>
              <w:bottom w:val="single" w:color="auto" w:sz="4" w:space="0"/>
              <w:right w:val="single" w:color="auto" w:sz="4" w:space="0"/>
            </w:tcBorders>
          </w:tcPr>
          <w:p w14:paraId="53B9F21F">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p>
        </w:tc>
        <w:tc>
          <w:tcPr>
            <w:tcW w:w="3155" w:type="dxa"/>
            <w:gridSpan w:val="2"/>
            <w:tcBorders>
              <w:top w:val="single" w:color="auto" w:sz="4" w:space="0"/>
              <w:left w:val="single" w:color="auto" w:sz="4" w:space="0"/>
              <w:bottom w:val="single" w:color="auto" w:sz="4" w:space="0"/>
              <w:right w:val="single" w:color="auto" w:sz="12" w:space="0"/>
            </w:tcBorders>
          </w:tcPr>
          <w:p w14:paraId="40B93827">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办公电话：</w:t>
            </w:r>
          </w:p>
        </w:tc>
      </w:tr>
      <w:tr w14:paraId="4A2F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vMerge w:val="continue"/>
            <w:tcBorders>
              <w:top w:val="single" w:color="auto" w:sz="4" w:space="0"/>
              <w:left w:val="single" w:color="auto" w:sz="12" w:space="0"/>
              <w:bottom w:val="single" w:color="auto" w:sz="4" w:space="0"/>
              <w:right w:val="single" w:color="auto" w:sz="12" w:space="0"/>
            </w:tcBorders>
            <w:vAlign w:val="center"/>
          </w:tcPr>
          <w:p w14:paraId="6C3F3BF6">
            <w:pPr>
              <w:widowControl/>
              <w:jc w:val="left"/>
              <w:rPr>
                <w:rFonts w:ascii="仿宋_GB2312" w:hAnsi="仿宋_GB2312" w:eastAsia="仿宋_GB2312" w:cs="仿宋_GB2312"/>
                <w:color w:val="auto"/>
                <w:sz w:val="24"/>
              </w:rPr>
            </w:pPr>
          </w:p>
        </w:tc>
        <w:tc>
          <w:tcPr>
            <w:tcW w:w="2864" w:type="dxa"/>
            <w:tcBorders>
              <w:top w:val="single" w:color="auto" w:sz="4" w:space="0"/>
              <w:left w:val="single" w:color="auto" w:sz="12" w:space="0"/>
              <w:bottom w:val="single" w:color="auto" w:sz="4" w:space="0"/>
              <w:right w:val="single" w:color="auto" w:sz="4" w:space="0"/>
            </w:tcBorders>
          </w:tcPr>
          <w:p w14:paraId="7A64CE17">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手机：</w:t>
            </w:r>
          </w:p>
        </w:tc>
        <w:tc>
          <w:tcPr>
            <w:tcW w:w="1811" w:type="dxa"/>
            <w:gridSpan w:val="2"/>
            <w:tcBorders>
              <w:top w:val="single" w:color="auto" w:sz="4" w:space="0"/>
              <w:left w:val="single" w:color="auto" w:sz="4" w:space="0"/>
              <w:bottom w:val="single" w:color="auto" w:sz="4" w:space="0"/>
              <w:right w:val="single" w:color="auto" w:sz="4" w:space="0"/>
            </w:tcBorders>
          </w:tcPr>
          <w:p w14:paraId="7E5465AC">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传真：</w:t>
            </w:r>
          </w:p>
        </w:tc>
        <w:tc>
          <w:tcPr>
            <w:tcW w:w="3155" w:type="dxa"/>
            <w:gridSpan w:val="2"/>
            <w:tcBorders>
              <w:top w:val="single" w:color="auto" w:sz="4" w:space="0"/>
              <w:left w:val="single" w:color="auto" w:sz="4" w:space="0"/>
              <w:bottom w:val="single" w:color="auto" w:sz="4" w:space="0"/>
              <w:right w:val="single" w:color="auto" w:sz="12" w:space="0"/>
            </w:tcBorders>
          </w:tcPr>
          <w:p w14:paraId="32636074">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电子邮件：</w:t>
            </w:r>
          </w:p>
        </w:tc>
      </w:tr>
      <w:tr w14:paraId="35A6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4" w:type="dxa"/>
            <w:vMerge w:val="continue"/>
            <w:tcBorders>
              <w:top w:val="single" w:color="auto" w:sz="4" w:space="0"/>
              <w:left w:val="single" w:color="auto" w:sz="12" w:space="0"/>
              <w:bottom w:val="single" w:color="auto" w:sz="4" w:space="0"/>
              <w:right w:val="single" w:color="auto" w:sz="12" w:space="0"/>
            </w:tcBorders>
            <w:vAlign w:val="center"/>
          </w:tcPr>
          <w:p w14:paraId="6F5B5741">
            <w:pPr>
              <w:widowControl/>
              <w:jc w:val="left"/>
              <w:rPr>
                <w:rFonts w:ascii="仿宋_GB2312" w:hAnsi="仿宋_GB2312" w:eastAsia="仿宋_GB2312" w:cs="仿宋_GB2312"/>
                <w:color w:val="auto"/>
                <w:sz w:val="24"/>
              </w:rPr>
            </w:pPr>
          </w:p>
        </w:tc>
        <w:tc>
          <w:tcPr>
            <w:tcW w:w="7830" w:type="dxa"/>
            <w:gridSpan w:val="5"/>
            <w:tcBorders>
              <w:top w:val="single" w:color="auto" w:sz="4" w:space="0"/>
              <w:left w:val="single" w:color="auto" w:sz="12" w:space="0"/>
              <w:bottom w:val="single" w:color="auto" w:sz="4" w:space="0"/>
              <w:right w:val="single" w:color="auto" w:sz="12" w:space="0"/>
            </w:tcBorders>
          </w:tcPr>
          <w:p w14:paraId="51FFDA3C">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通信地址：</w:t>
            </w:r>
          </w:p>
        </w:tc>
      </w:tr>
      <w:tr w14:paraId="7865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vMerge w:val="restart"/>
            <w:tcBorders>
              <w:top w:val="single" w:color="auto" w:sz="4" w:space="0"/>
              <w:left w:val="single" w:color="auto" w:sz="12" w:space="0"/>
              <w:bottom w:val="single" w:color="auto" w:sz="4" w:space="0"/>
              <w:right w:val="single" w:color="auto" w:sz="12" w:space="0"/>
            </w:tcBorders>
            <w:vAlign w:val="center"/>
          </w:tcPr>
          <w:p w14:paraId="7C30E8BF">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曾管理母基金</w:t>
            </w:r>
          </w:p>
          <w:p w14:paraId="3910D619">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情况</w:t>
            </w:r>
          </w:p>
        </w:tc>
        <w:tc>
          <w:tcPr>
            <w:tcW w:w="3820" w:type="dxa"/>
            <w:gridSpan w:val="2"/>
            <w:tcBorders>
              <w:top w:val="single" w:color="auto" w:sz="4" w:space="0"/>
              <w:left w:val="single" w:color="auto" w:sz="12" w:space="0"/>
              <w:bottom w:val="single" w:color="auto" w:sz="4" w:space="0"/>
              <w:right w:val="single" w:color="auto" w:sz="4" w:space="0"/>
            </w:tcBorders>
          </w:tcPr>
          <w:p w14:paraId="2FA16A70">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累计管理数量（个）</w:t>
            </w:r>
          </w:p>
        </w:tc>
        <w:tc>
          <w:tcPr>
            <w:tcW w:w="4010" w:type="dxa"/>
            <w:gridSpan w:val="3"/>
            <w:tcBorders>
              <w:top w:val="single" w:color="auto" w:sz="4" w:space="0"/>
              <w:left w:val="single" w:color="auto" w:sz="4" w:space="0"/>
              <w:bottom w:val="single" w:color="auto" w:sz="4" w:space="0"/>
              <w:right w:val="single" w:color="auto" w:sz="12" w:space="0"/>
            </w:tcBorders>
          </w:tcPr>
          <w:p w14:paraId="494C15DF">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累计管理规模（亿元）</w:t>
            </w:r>
          </w:p>
        </w:tc>
      </w:tr>
      <w:tr w14:paraId="1149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4" w:type="dxa"/>
            <w:vMerge w:val="continue"/>
            <w:tcBorders>
              <w:top w:val="single" w:color="auto" w:sz="4" w:space="0"/>
              <w:left w:val="single" w:color="auto" w:sz="12" w:space="0"/>
              <w:bottom w:val="single" w:color="auto" w:sz="4" w:space="0"/>
              <w:right w:val="single" w:color="auto" w:sz="12" w:space="0"/>
            </w:tcBorders>
            <w:vAlign w:val="center"/>
          </w:tcPr>
          <w:p w14:paraId="330064A9">
            <w:pPr>
              <w:widowControl/>
              <w:jc w:val="left"/>
              <w:rPr>
                <w:rFonts w:ascii="仿宋_GB2312" w:hAnsi="仿宋_GB2312" w:eastAsia="仿宋_GB2312" w:cs="仿宋_GB2312"/>
                <w:color w:val="auto"/>
                <w:sz w:val="24"/>
              </w:rPr>
            </w:pPr>
          </w:p>
        </w:tc>
        <w:tc>
          <w:tcPr>
            <w:tcW w:w="7830" w:type="dxa"/>
            <w:gridSpan w:val="5"/>
            <w:tcBorders>
              <w:top w:val="single" w:color="auto" w:sz="4" w:space="0"/>
              <w:left w:val="single" w:color="auto" w:sz="12" w:space="0"/>
              <w:bottom w:val="single" w:color="auto" w:sz="4" w:space="0"/>
              <w:right w:val="single" w:color="auto" w:sz="12" w:space="0"/>
            </w:tcBorders>
          </w:tcPr>
          <w:p w14:paraId="7FF50C3B">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已实现退出数量（个）及规模（亿元）</w:t>
            </w:r>
          </w:p>
        </w:tc>
      </w:tr>
      <w:tr w14:paraId="52C2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4" w:type="dxa"/>
            <w:vMerge w:val="continue"/>
            <w:tcBorders>
              <w:top w:val="single" w:color="auto" w:sz="4" w:space="0"/>
              <w:left w:val="single" w:color="auto" w:sz="12" w:space="0"/>
              <w:bottom w:val="single" w:color="auto" w:sz="4" w:space="0"/>
              <w:right w:val="single" w:color="auto" w:sz="12" w:space="0"/>
            </w:tcBorders>
            <w:vAlign w:val="center"/>
          </w:tcPr>
          <w:p w14:paraId="1AB420AE">
            <w:pPr>
              <w:widowControl/>
              <w:jc w:val="left"/>
              <w:rPr>
                <w:rFonts w:ascii="仿宋_GB2312" w:hAnsi="仿宋_GB2312" w:eastAsia="仿宋_GB2312" w:cs="仿宋_GB2312"/>
                <w:color w:val="auto"/>
                <w:sz w:val="24"/>
              </w:rPr>
            </w:pPr>
          </w:p>
        </w:tc>
        <w:tc>
          <w:tcPr>
            <w:tcW w:w="7830" w:type="dxa"/>
            <w:gridSpan w:val="5"/>
            <w:tcBorders>
              <w:top w:val="single" w:color="auto" w:sz="4" w:space="0"/>
              <w:left w:val="single" w:color="auto" w:sz="12" w:space="0"/>
              <w:bottom w:val="single" w:color="auto" w:sz="4" w:space="0"/>
              <w:right w:val="single" w:color="auto" w:sz="12" w:space="0"/>
            </w:tcBorders>
          </w:tcPr>
          <w:p w14:paraId="2B9E797F">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已实现退出收益情况（年投资收益率）：%</w:t>
            </w:r>
          </w:p>
        </w:tc>
      </w:tr>
      <w:tr w14:paraId="4938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vMerge w:val="restart"/>
            <w:tcBorders>
              <w:top w:val="single" w:color="auto" w:sz="4" w:space="0"/>
              <w:left w:val="single" w:color="auto" w:sz="12" w:space="0"/>
              <w:bottom w:val="single" w:color="auto" w:sz="4" w:space="0"/>
              <w:right w:val="single" w:color="auto" w:sz="12" w:space="0"/>
            </w:tcBorders>
            <w:vAlign w:val="center"/>
          </w:tcPr>
          <w:p w14:paraId="19A42B99">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曾投资于产业领域子基金情况</w:t>
            </w:r>
          </w:p>
        </w:tc>
        <w:tc>
          <w:tcPr>
            <w:tcW w:w="3820" w:type="dxa"/>
            <w:gridSpan w:val="2"/>
            <w:tcBorders>
              <w:top w:val="single" w:color="auto" w:sz="4" w:space="0"/>
              <w:left w:val="single" w:color="auto" w:sz="12" w:space="0"/>
              <w:bottom w:val="single" w:color="auto" w:sz="4" w:space="0"/>
              <w:right w:val="single" w:color="auto" w:sz="4" w:space="0"/>
            </w:tcBorders>
          </w:tcPr>
          <w:p w14:paraId="1060C977">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累计项目数量（个）</w:t>
            </w:r>
          </w:p>
        </w:tc>
        <w:tc>
          <w:tcPr>
            <w:tcW w:w="4010" w:type="dxa"/>
            <w:gridSpan w:val="3"/>
            <w:tcBorders>
              <w:top w:val="single" w:color="auto" w:sz="4" w:space="0"/>
              <w:left w:val="single" w:color="auto" w:sz="4" w:space="0"/>
              <w:bottom w:val="single" w:color="auto" w:sz="4" w:space="0"/>
              <w:right w:val="single" w:color="auto" w:sz="12" w:space="0"/>
            </w:tcBorders>
          </w:tcPr>
          <w:p w14:paraId="67F2D54F">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累计投资规模（亿元）</w:t>
            </w:r>
          </w:p>
        </w:tc>
      </w:tr>
      <w:tr w14:paraId="3372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4" w:type="dxa"/>
            <w:vMerge w:val="continue"/>
            <w:tcBorders>
              <w:top w:val="single" w:color="auto" w:sz="4" w:space="0"/>
              <w:left w:val="single" w:color="auto" w:sz="12" w:space="0"/>
              <w:bottom w:val="single" w:color="auto" w:sz="4" w:space="0"/>
              <w:right w:val="single" w:color="auto" w:sz="12" w:space="0"/>
            </w:tcBorders>
            <w:vAlign w:val="center"/>
          </w:tcPr>
          <w:p w14:paraId="2DF5DAD7">
            <w:pPr>
              <w:widowControl/>
              <w:jc w:val="left"/>
              <w:rPr>
                <w:rFonts w:ascii="仿宋_GB2312" w:hAnsi="仿宋_GB2312" w:eastAsia="仿宋_GB2312" w:cs="仿宋_GB2312"/>
                <w:color w:val="auto"/>
                <w:sz w:val="24"/>
              </w:rPr>
            </w:pPr>
          </w:p>
        </w:tc>
        <w:tc>
          <w:tcPr>
            <w:tcW w:w="7830" w:type="dxa"/>
            <w:gridSpan w:val="5"/>
            <w:tcBorders>
              <w:top w:val="single" w:color="auto" w:sz="4" w:space="0"/>
              <w:left w:val="single" w:color="auto" w:sz="12" w:space="0"/>
              <w:bottom w:val="single" w:color="auto" w:sz="4" w:space="0"/>
              <w:right w:val="single" w:color="auto" w:sz="12" w:space="0"/>
            </w:tcBorders>
          </w:tcPr>
          <w:p w14:paraId="6C431FEF">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已退出项目数量（个）及规模（亿元）</w:t>
            </w:r>
          </w:p>
        </w:tc>
      </w:tr>
      <w:tr w14:paraId="49B0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4" w:type="dxa"/>
            <w:vMerge w:val="continue"/>
            <w:tcBorders>
              <w:top w:val="single" w:color="auto" w:sz="4" w:space="0"/>
              <w:left w:val="single" w:color="auto" w:sz="12" w:space="0"/>
              <w:bottom w:val="single" w:color="auto" w:sz="4" w:space="0"/>
              <w:right w:val="single" w:color="auto" w:sz="12" w:space="0"/>
            </w:tcBorders>
            <w:vAlign w:val="center"/>
          </w:tcPr>
          <w:p w14:paraId="443AEDD5">
            <w:pPr>
              <w:widowControl/>
              <w:jc w:val="left"/>
              <w:rPr>
                <w:rFonts w:ascii="仿宋_GB2312" w:hAnsi="仿宋_GB2312" w:eastAsia="仿宋_GB2312" w:cs="仿宋_GB2312"/>
                <w:color w:val="auto"/>
                <w:sz w:val="24"/>
              </w:rPr>
            </w:pPr>
          </w:p>
        </w:tc>
        <w:tc>
          <w:tcPr>
            <w:tcW w:w="7830" w:type="dxa"/>
            <w:gridSpan w:val="5"/>
            <w:tcBorders>
              <w:top w:val="single" w:color="auto" w:sz="4" w:space="0"/>
              <w:left w:val="single" w:color="auto" w:sz="12" w:space="0"/>
              <w:bottom w:val="single" w:color="auto" w:sz="4" w:space="0"/>
              <w:right w:val="single" w:color="auto" w:sz="12" w:space="0"/>
            </w:tcBorders>
          </w:tcPr>
          <w:p w14:paraId="309B7EC5">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已退出项目收益情况（年投资收益率）</w:t>
            </w:r>
            <w:r>
              <w:rPr>
                <w:rFonts w:hint="eastAsia" w:ascii="仿宋_GB2312" w:hAnsi="仿宋_GB2312" w:eastAsia="仿宋_GB2312" w:cs="仿宋_GB2312"/>
                <w:color w:val="auto"/>
                <w:sz w:val="24"/>
                <w:u w:val="single"/>
              </w:rPr>
              <w:t xml:space="preserve">     %</w:t>
            </w:r>
          </w:p>
        </w:tc>
      </w:tr>
      <w:tr w14:paraId="356E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2024" w:type="dxa"/>
            <w:tcBorders>
              <w:top w:val="single" w:color="auto" w:sz="4" w:space="0"/>
              <w:left w:val="single" w:color="auto" w:sz="12" w:space="0"/>
              <w:bottom w:val="single" w:color="auto" w:sz="12" w:space="0"/>
              <w:right w:val="single" w:color="auto" w:sz="12" w:space="0"/>
            </w:tcBorders>
            <w:vAlign w:val="center"/>
          </w:tcPr>
          <w:p w14:paraId="20AB2687">
            <w:pPr>
              <w:spacing w:line="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备案情况</w:t>
            </w:r>
          </w:p>
        </w:tc>
        <w:tc>
          <w:tcPr>
            <w:tcW w:w="7830" w:type="dxa"/>
            <w:gridSpan w:val="5"/>
            <w:tcBorders>
              <w:top w:val="single" w:color="auto" w:sz="4" w:space="0"/>
              <w:left w:val="single" w:color="auto" w:sz="12" w:space="0"/>
              <w:bottom w:val="single" w:color="auto" w:sz="12" w:space="0"/>
              <w:right w:val="single" w:color="auto" w:sz="12" w:space="0"/>
            </w:tcBorders>
          </w:tcPr>
          <w:p w14:paraId="4E9DB0C5">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是否在政府主管部门备案且处于年检有效期限内</w:t>
            </w:r>
          </w:p>
          <w:p w14:paraId="20DF6D89">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是　□         否　□</w:t>
            </w:r>
          </w:p>
        </w:tc>
      </w:tr>
      <w:tr w14:paraId="7BEB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854" w:type="dxa"/>
            <w:gridSpan w:val="6"/>
            <w:tcBorders>
              <w:top w:val="single" w:color="auto" w:sz="12" w:space="0"/>
              <w:left w:val="single" w:color="auto" w:sz="12" w:space="0"/>
              <w:bottom w:val="single" w:color="auto" w:sz="12" w:space="0"/>
              <w:right w:val="single" w:color="auto" w:sz="12" w:space="0"/>
            </w:tcBorders>
          </w:tcPr>
          <w:p w14:paraId="0A8A9D2F">
            <w:pPr>
              <w:spacing w:line="320" w:lineRule="exact"/>
              <w:ind w:right="108"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本企业承诺所提交的材料是真实有效的，并愿意承担因提交虚假材料而产生的一切后果及法律责任。     </w:t>
            </w:r>
          </w:p>
          <w:p w14:paraId="1EB0BC4F">
            <w:pPr>
              <w:spacing w:line="320" w:lineRule="exact"/>
              <w:ind w:right="108"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企业法定代表人（签字）：                       企业盖章：</w:t>
            </w:r>
          </w:p>
        </w:tc>
      </w:tr>
    </w:tbl>
    <w:p w14:paraId="4CE734D7">
      <w:pPr>
        <w:wordWrap w:val="0"/>
        <w:spacing w:line="140" w:lineRule="exact"/>
        <w:jc w:val="right"/>
        <w:rPr>
          <w:rFonts w:ascii="黑体" w:eastAsia="黑体"/>
          <w:color w:val="auto"/>
          <w:sz w:val="24"/>
        </w:rPr>
      </w:pPr>
    </w:p>
    <w:p w14:paraId="4C5724CD">
      <w:pPr>
        <w:rPr>
          <w:rFonts w:ascii="黑体" w:eastAsia="黑体"/>
          <w:color w:val="auto"/>
          <w:sz w:val="24"/>
        </w:rPr>
      </w:pPr>
      <w:r>
        <w:rPr>
          <w:rFonts w:hint="eastAsia" w:ascii="黑体" w:eastAsia="黑体"/>
          <w:color w:val="auto"/>
          <w:sz w:val="24"/>
        </w:rPr>
        <w:t xml:space="preserve">                                        填表日期：202</w:t>
      </w:r>
      <w:r>
        <w:rPr>
          <w:rFonts w:hint="eastAsia" w:ascii="黑体" w:eastAsia="黑体"/>
          <w:color w:val="auto"/>
          <w:sz w:val="24"/>
          <w:lang w:val="en-US" w:eastAsia="zh-CN"/>
        </w:rPr>
        <w:t>5</w:t>
      </w:r>
      <w:r>
        <w:rPr>
          <w:rFonts w:hint="eastAsia" w:ascii="黑体" w:eastAsia="黑体"/>
          <w:color w:val="auto"/>
          <w:sz w:val="24"/>
        </w:rPr>
        <w:t>年    月    日</w:t>
      </w:r>
    </w:p>
    <w:p w14:paraId="2D21BE82">
      <w:pPr>
        <w:rPr>
          <w:rFonts w:ascii="黑体" w:eastAsia="黑体"/>
          <w:color w:val="auto"/>
          <w:sz w:val="24"/>
        </w:rPr>
      </w:pPr>
    </w:p>
    <w:p w14:paraId="2B0CFF56">
      <w:pPr>
        <w:rPr>
          <w:color w:val="auto"/>
        </w:rPr>
        <w:sectPr>
          <w:footerReference r:id="rId3" w:type="default"/>
          <w:pgSz w:w="11906" w:h="16838"/>
          <w:pgMar w:top="1440" w:right="1800" w:bottom="1440" w:left="1800" w:header="680" w:footer="567" w:gutter="0"/>
          <w:cols w:space="720" w:num="1"/>
          <w:docGrid w:type="lines" w:linePitch="312" w:charSpace="0"/>
        </w:sectPr>
      </w:pPr>
    </w:p>
    <w:p w14:paraId="584B50CD">
      <w:pPr>
        <w:tabs>
          <w:tab w:val="center" w:pos="6979"/>
        </w:tabs>
        <w:jc w:val="center"/>
        <w:rPr>
          <w:b/>
          <w:bCs/>
          <w:color w:val="auto"/>
          <w:sz w:val="32"/>
          <w:szCs w:val="32"/>
        </w:rPr>
      </w:pPr>
      <w:r>
        <w:rPr>
          <w:rFonts w:hint="eastAsia"/>
          <w:b/>
          <w:bCs/>
          <w:color w:val="auto"/>
          <w:sz w:val="32"/>
          <w:szCs w:val="32"/>
        </w:rPr>
        <w:t>5、投标人拟派本项目管理团队投资情况表</w:t>
      </w:r>
    </w:p>
    <w:p w14:paraId="72979E42">
      <w:pPr>
        <w:tabs>
          <w:tab w:val="center" w:pos="6979"/>
        </w:tabs>
        <w:jc w:val="center"/>
        <w:rPr>
          <w:rFonts w:ascii="仿宋" w:hAnsi="仿宋" w:eastAsia="仿宋" w:cs="仿宋"/>
          <w:b/>
          <w:bCs/>
          <w:color w:val="auto"/>
          <w:sz w:val="44"/>
          <w:szCs w:val="44"/>
        </w:rPr>
      </w:pPr>
    </w:p>
    <w:p w14:paraId="7EA96E00">
      <w:pPr>
        <w:rPr>
          <w:rFonts w:ascii="仿宋" w:hAnsi="仿宋" w:eastAsia="仿宋" w:cs="仿宋"/>
          <w:color w:val="auto"/>
          <w:sz w:val="28"/>
          <w:szCs w:val="28"/>
        </w:rPr>
      </w:pPr>
      <w:r>
        <w:rPr>
          <w:rFonts w:hint="eastAsia" w:ascii="仿宋" w:hAnsi="仿宋" w:eastAsia="仿宋" w:cs="仿宋"/>
          <w:color w:val="auto"/>
          <w:sz w:val="28"/>
          <w:szCs w:val="28"/>
        </w:rPr>
        <w:t>投标人（盖章）：</w:t>
      </w:r>
    </w:p>
    <w:p w14:paraId="47052832">
      <w:pPr>
        <w:rPr>
          <w:rFonts w:ascii="仿宋" w:hAnsi="仿宋" w:eastAsia="仿宋" w:cs="仿宋"/>
          <w:color w:val="auto"/>
          <w:sz w:val="24"/>
        </w:rPr>
      </w:pPr>
    </w:p>
    <w:tbl>
      <w:tblPr>
        <w:tblStyle w:val="35"/>
        <w:tblW w:w="14193" w:type="dxa"/>
        <w:jc w:val="center"/>
        <w:tblLayout w:type="fixed"/>
        <w:tblCellMar>
          <w:top w:w="0" w:type="dxa"/>
          <w:left w:w="108" w:type="dxa"/>
          <w:bottom w:w="0" w:type="dxa"/>
          <w:right w:w="108" w:type="dxa"/>
        </w:tblCellMar>
      </w:tblPr>
      <w:tblGrid>
        <w:gridCol w:w="663"/>
        <w:gridCol w:w="1276"/>
        <w:gridCol w:w="1535"/>
        <w:gridCol w:w="1306"/>
        <w:gridCol w:w="1306"/>
        <w:gridCol w:w="727"/>
        <w:gridCol w:w="724"/>
        <w:gridCol w:w="724"/>
        <w:gridCol w:w="1357"/>
        <w:gridCol w:w="1246"/>
        <w:gridCol w:w="732"/>
        <w:gridCol w:w="727"/>
        <w:gridCol w:w="1870"/>
      </w:tblGrid>
      <w:tr w14:paraId="58391169">
        <w:tblPrEx>
          <w:tblCellMar>
            <w:top w:w="0" w:type="dxa"/>
            <w:left w:w="108" w:type="dxa"/>
            <w:bottom w:w="0" w:type="dxa"/>
            <w:right w:w="108" w:type="dxa"/>
          </w:tblCellMar>
        </w:tblPrEx>
        <w:trPr>
          <w:trHeight w:val="139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03517D4">
            <w:pPr>
              <w:jc w:val="center"/>
              <w:rPr>
                <w:rFonts w:ascii="仿宋" w:hAnsi="仿宋" w:eastAsia="仿宋" w:cs="仿宋"/>
                <w:color w:val="auto"/>
                <w:sz w:val="24"/>
              </w:rPr>
            </w:pPr>
            <w:r>
              <w:rPr>
                <w:rFonts w:hint="eastAsia" w:ascii="仿宋" w:hAnsi="仿宋" w:eastAsia="仿宋" w:cs="仿宋"/>
                <w:color w:val="auto"/>
                <w:sz w:val="24"/>
              </w:rPr>
              <w:t>序号</w:t>
            </w:r>
          </w:p>
        </w:tc>
        <w:tc>
          <w:tcPr>
            <w:tcW w:w="1276" w:type="dxa"/>
            <w:tcBorders>
              <w:top w:val="single" w:color="auto" w:sz="4" w:space="0"/>
              <w:left w:val="nil"/>
              <w:bottom w:val="single" w:color="auto" w:sz="4" w:space="0"/>
              <w:right w:val="single" w:color="auto" w:sz="4" w:space="0"/>
            </w:tcBorders>
            <w:vAlign w:val="center"/>
          </w:tcPr>
          <w:p w14:paraId="3F9DF425">
            <w:pPr>
              <w:jc w:val="center"/>
              <w:rPr>
                <w:rFonts w:ascii="仿宋" w:hAnsi="仿宋" w:eastAsia="仿宋" w:cs="仿宋"/>
                <w:color w:val="auto"/>
                <w:sz w:val="24"/>
              </w:rPr>
            </w:pPr>
            <w:r>
              <w:rPr>
                <w:rFonts w:hint="eastAsia" w:ascii="仿宋" w:hAnsi="仿宋" w:eastAsia="仿宋" w:cs="仿宋"/>
                <w:color w:val="auto"/>
                <w:sz w:val="24"/>
              </w:rPr>
              <w:t>姓名</w:t>
            </w:r>
          </w:p>
        </w:tc>
        <w:tc>
          <w:tcPr>
            <w:tcW w:w="1535" w:type="dxa"/>
            <w:tcBorders>
              <w:top w:val="single" w:color="auto" w:sz="4" w:space="0"/>
              <w:left w:val="single" w:color="auto" w:sz="4" w:space="0"/>
              <w:bottom w:val="single" w:color="auto" w:sz="4" w:space="0"/>
              <w:right w:val="single" w:color="auto" w:sz="4" w:space="0"/>
            </w:tcBorders>
            <w:vAlign w:val="center"/>
          </w:tcPr>
          <w:p w14:paraId="13F2010C">
            <w:pPr>
              <w:jc w:val="center"/>
              <w:rPr>
                <w:rFonts w:ascii="仿宋" w:hAnsi="仿宋" w:eastAsia="仿宋" w:cs="仿宋"/>
                <w:color w:val="auto"/>
                <w:sz w:val="24"/>
              </w:rPr>
            </w:pPr>
            <w:r>
              <w:rPr>
                <w:rFonts w:hint="eastAsia" w:ascii="仿宋" w:hAnsi="仿宋" w:eastAsia="仿宋" w:cs="仿宋"/>
                <w:color w:val="auto"/>
                <w:sz w:val="24"/>
              </w:rPr>
              <w:t>任职单位及职务</w:t>
            </w:r>
          </w:p>
        </w:tc>
        <w:tc>
          <w:tcPr>
            <w:tcW w:w="1306" w:type="dxa"/>
            <w:tcBorders>
              <w:top w:val="single" w:color="auto" w:sz="4" w:space="0"/>
              <w:left w:val="single" w:color="auto" w:sz="4" w:space="0"/>
              <w:bottom w:val="single" w:color="auto" w:sz="4" w:space="0"/>
              <w:right w:val="single" w:color="auto" w:sz="4" w:space="0"/>
            </w:tcBorders>
            <w:vAlign w:val="center"/>
          </w:tcPr>
          <w:p w14:paraId="45B7FBD9">
            <w:pPr>
              <w:jc w:val="center"/>
              <w:rPr>
                <w:rFonts w:ascii="仿宋" w:hAnsi="仿宋" w:eastAsia="仿宋" w:cs="仿宋"/>
                <w:color w:val="auto"/>
                <w:sz w:val="24"/>
              </w:rPr>
            </w:pPr>
            <w:r>
              <w:rPr>
                <w:rFonts w:hint="eastAsia" w:ascii="仿宋" w:hAnsi="仿宋" w:eastAsia="仿宋" w:cs="仿宋"/>
                <w:color w:val="auto"/>
                <w:sz w:val="24"/>
              </w:rPr>
              <w:t>投资项目名称</w:t>
            </w:r>
          </w:p>
        </w:tc>
        <w:tc>
          <w:tcPr>
            <w:tcW w:w="1306" w:type="dxa"/>
            <w:tcBorders>
              <w:top w:val="single" w:color="auto" w:sz="4" w:space="0"/>
              <w:left w:val="nil"/>
              <w:bottom w:val="single" w:color="auto" w:sz="4" w:space="0"/>
              <w:right w:val="single" w:color="auto" w:sz="4" w:space="0"/>
            </w:tcBorders>
            <w:vAlign w:val="center"/>
          </w:tcPr>
          <w:p w14:paraId="2F4ABB93">
            <w:pPr>
              <w:jc w:val="center"/>
              <w:rPr>
                <w:rFonts w:ascii="仿宋" w:hAnsi="仿宋" w:eastAsia="仿宋" w:cs="仿宋"/>
                <w:color w:val="auto"/>
                <w:sz w:val="24"/>
              </w:rPr>
            </w:pPr>
            <w:r>
              <w:rPr>
                <w:rFonts w:hint="eastAsia" w:ascii="仿宋" w:hAnsi="仿宋" w:eastAsia="仿宋" w:cs="仿宋"/>
                <w:color w:val="auto"/>
                <w:sz w:val="24"/>
              </w:rPr>
              <w:t>行业类型</w:t>
            </w:r>
          </w:p>
        </w:tc>
        <w:tc>
          <w:tcPr>
            <w:tcW w:w="727" w:type="dxa"/>
            <w:tcBorders>
              <w:top w:val="single" w:color="auto" w:sz="4" w:space="0"/>
              <w:left w:val="nil"/>
              <w:bottom w:val="single" w:color="auto" w:sz="4" w:space="0"/>
              <w:right w:val="single" w:color="auto" w:sz="4" w:space="0"/>
            </w:tcBorders>
            <w:vAlign w:val="center"/>
          </w:tcPr>
          <w:p w14:paraId="3F041F7C">
            <w:pPr>
              <w:jc w:val="center"/>
              <w:rPr>
                <w:rFonts w:ascii="仿宋" w:hAnsi="仿宋" w:eastAsia="仿宋" w:cs="仿宋"/>
                <w:color w:val="auto"/>
                <w:sz w:val="24"/>
              </w:rPr>
            </w:pPr>
            <w:r>
              <w:rPr>
                <w:rFonts w:hint="eastAsia" w:ascii="仿宋" w:hAnsi="仿宋" w:eastAsia="仿宋" w:cs="仿宋"/>
                <w:color w:val="auto"/>
                <w:sz w:val="24"/>
              </w:rPr>
              <w:t>投资时间</w:t>
            </w:r>
          </w:p>
        </w:tc>
        <w:tc>
          <w:tcPr>
            <w:tcW w:w="724" w:type="dxa"/>
            <w:tcBorders>
              <w:top w:val="single" w:color="auto" w:sz="4" w:space="0"/>
              <w:left w:val="nil"/>
              <w:bottom w:val="single" w:color="auto" w:sz="4" w:space="0"/>
              <w:right w:val="single" w:color="auto" w:sz="4" w:space="0"/>
            </w:tcBorders>
            <w:vAlign w:val="center"/>
          </w:tcPr>
          <w:p w14:paraId="7AC3EA7F">
            <w:pPr>
              <w:jc w:val="center"/>
              <w:rPr>
                <w:rFonts w:ascii="仿宋" w:hAnsi="仿宋" w:eastAsia="仿宋" w:cs="仿宋"/>
                <w:color w:val="auto"/>
                <w:sz w:val="24"/>
              </w:rPr>
            </w:pPr>
            <w:r>
              <w:rPr>
                <w:rFonts w:hint="eastAsia" w:ascii="仿宋" w:hAnsi="仿宋" w:eastAsia="仿宋" w:cs="仿宋"/>
                <w:color w:val="auto"/>
                <w:sz w:val="24"/>
              </w:rPr>
              <w:t>投资金额</w:t>
            </w:r>
          </w:p>
        </w:tc>
        <w:tc>
          <w:tcPr>
            <w:tcW w:w="724" w:type="dxa"/>
            <w:tcBorders>
              <w:top w:val="single" w:color="auto" w:sz="4" w:space="0"/>
              <w:left w:val="nil"/>
              <w:bottom w:val="single" w:color="auto" w:sz="4" w:space="0"/>
              <w:right w:val="single" w:color="auto" w:sz="4" w:space="0"/>
            </w:tcBorders>
            <w:vAlign w:val="center"/>
          </w:tcPr>
          <w:p w14:paraId="38F17BAC">
            <w:pPr>
              <w:jc w:val="center"/>
              <w:rPr>
                <w:rFonts w:ascii="仿宋" w:hAnsi="仿宋" w:eastAsia="仿宋" w:cs="仿宋"/>
                <w:color w:val="auto"/>
                <w:sz w:val="24"/>
              </w:rPr>
            </w:pPr>
            <w:r>
              <w:rPr>
                <w:rFonts w:hint="eastAsia" w:ascii="仿宋" w:hAnsi="仿宋" w:eastAsia="仿宋" w:cs="仿宋"/>
                <w:color w:val="auto"/>
                <w:sz w:val="24"/>
              </w:rPr>
              <w:t>出资比例</w:t>
            </w:r>
          </w:p>
        </w:tc>
        <w:tc>
          <w:tcPr>
            <w:tcW w:w="1357" w:type="dxa"/>
            <w:tcBorders>
              <w:top w:val="single" w:color="auto" w:sz="4" w:space="0"/>
              <w:left w:val="nil"/>
              <w:bottom w:val="single" w:color="auto" w:sz="4" w:space="0"/>
              <w:right w:val="single" w:color="auto" w:sz="4" w:space="0"/>
            </w:tcBorders>
            <w:vAlign w:val="center"/>
          </w:tcPr>
          <w:p w14:paraId="013C1C9F">
            <w:pPr>
              <w:jc w:val="center"/>
              <w:rPr>
                <w:rFonts w:ascii="仿宋" w:hAnsi="仿宋" w:eastAsia="仿宋" w:cs="仿宋"/>
                <w:color w:val="auto"/>
                <w:sz w:val="24"/>
              </w:rPr>
            </w:pPr>
            <w:r>
              <w:rPr>
                <w:rFonts w:hint="eastAsia" w:ascii="仿宋" w:hAnsi="仿宋" w:eastAsia="仿宋" w:cs="仿宋"/>
                <w:color w:val="auto"/>
                <w:sz w:val="24"/>
              </w:rPr>
              <w:t>是否领投</w:t>
            </w:r>
          </w:p>
        </w:tc>
        <w:tc>
          <w:tcPr>
            <w:tcW w:w="1246" w:type="dxa"/>
            <w:tcBorders>
              <w:top w:val="single" w:color="auto" w:sz="4" w:space="0"/>
              <w:left w:val="nil"/>
              <w:bottom w:val="single" w:color="auto" w:sz="4" w:space="0"/>
              <w:right w:val="single" w:color="auto" w:sz="4" w:space="0"/>
            </w:tcBorders>
            <w:vAlign w:val="center"/>
          </w:tcPr>
          <w:p w14:paraId="3AC3BE39">
            <w:pPr>
              <w:jc w:val="center"/>
              <w:rPr>
                <w:rFonts w:ascii="仿宋" w:hAnsi="仿宋" w:eastAsia="仿宋" w:cs="仿宋"/>
                <w:color w:val="auto"/>
                <w:sz w:val="24"/>
              </w:rPr>
            </w:pPr>
            <w:r>
              <w:rPr>
                <w:rFonts w:hint="eastAsia" w:ascii="仿宋" w:hAnsi="仿宋" w:eastAsia="仿宋" w:cs="仿宋"/>
                <w:color w:val="auto"/>
                <w:sz w:val="24"/>
              </w:rPr>
              <w:t>投资收益率</w:t>
            </w:r>
            <w:r>
              <w:rPr>
                <w:rFonts w:ascii="仿宋" w:hAnsi="仿宋" w:eastAsia="仿宋" w:cs="仿宋"/>
                <w:color w:val="auto"/>
                <w:sz w:val="24"/>
              </w:rPr>
              <w:t>(</w:t>
            </w:r>
            <w:r>
              <w:rPr>
                <w:rFonts w:hint="eastAsia" w:ascii="仿宋" w:hAnsi="仿宋" w:eastAsia="仿宋" w:cs="仿宋"/>
                <w:color w:val="auto"/>
                <w:sz w:val="24"/>
              </w:rPr>
              <w:t>年</w:t>
            </w:r>
            <w:r>
              <w:rPr>
                <w:rFonts w:ascii="仿宋" w:hAnsi="仿宋" w:eastAsia="仿宋" w:cs="仿宋"/>
                <w:color w:val="auto"/>
                <w:sz w:val="24"/>
              </w:rPr>
              <w:t>%)</w:t>
            </w:r>
          </w:p>
        </w:tc>
        <w:tc>
          <w:tcPr>
            <w:tcW w:w="732" w:type="dxa"/>
            <w:tcBorders>
              <w:top w:val="single" w:color="auto" w:sz="4" w:space="0"/>
              <w:left w:val="nil"/>
              <w:bottom w:val="single" w:color="auto" w:sz="4" w:space="0"/>
              <w:right w:val="single" w:color="auto" w:sz="4" w:space="0"/>
            </w:tcBorders>
            <w:vAlign w:val="center"/>
          </w:tcPr>
          <w:p w14:paraId="0C28C51B">
            <w:pPr>
              <w:jc w:val="center"/>
              <w:rPr>
                <w:rFonts w:ascii="仿宋" w:hAnsi="仿宋" w:eastAsia="仿宋" w:cs="仿宋"/>
                <w:color w:val="auto"/>
                <w:sz w:val="24"/>
              </w:rPr>
            </w:pPr>
            <w:r>
              <w:rPr>
                <w:rFonts w:hint="eastAsia" w:ascii="仿宋" w:hAnsi="仿宋" w:eastAsia="仿宋" w:cs="仿宋"/>
                <w:color w:val="auto"/>
                <w:sz w:val="24"/>
              </w:rPr>
              <w:t>退出时间</w:t>
            </w:r>
          </w:p>
        </w:tc>
        <w:tc>
          <w:tcPr>
            <w:tcW w:w="727" w:type="dxa"/>
            <w:tcBorders>
              <w:top w:val="single" w:color="auto" w:sz="4" w:space="0"/>
              <w:left w:val="nil"/>
              <w:bottom w:val="single" w:color="auto" w:sz="4" w:space="0"/>
              <w:right w:val="single" w:color="auto" w:sz="4" w:space="0"/>
            </w:tcBorders>
            <w:vAlign w:val="center"/>
          </w:tcPr>
          <w:p w14:paraId="4A7D2AAA">
            <w:pPr>
              <w:jc w:val="center"/>
              <w:rPr>
                <w:rFonts w:ascii="仿宋" w:hAnsi="仿宋" w:eastAsia="仿宋" w:cs="仿宋"/>
                <w:color w:val="auto"/>
                <w:sz w:val="24"/>
              </w:rPr>
            </w:pPr>
            <w:r>
              <w:rPr>
                <w:rFonts w:hint="eastAsia" w:ascii="仿宋" w:hAnsi="仿宋" w:eastAsia="仿宋" w:cs="仿宋"/>
                <w:color w:val="auto"/>
                <w:sz w:val="24"/>
              </w:rPr>
              <w:t>退出方式</w:t>
            </w:r>
          </w:p>
        </w:tc>
        <w:tc>
          <w:tcPr>
            <w:tcW w:w="1870" w:type="dxa"/>
            <w:tcBorders>
              <w:top w:val="single" w:color="auto" w:sz="4" w:space="0"/>
              <w:left w:val="nil"/>
              <w:bottom w:val="single" w:color="auto" w:sz="4" w:space="0"/>
              <w:right w:val="single" w:color="auto" w:sz="4" w:space="0"/>
            </w:tcBorders>
            <w:vAlign w:val="center"/>
          </w:tcPr>
          <w:p w14:paraId="536A587F">
            <w:pPr>
              <w:jc w:val="center"/>
              <w:rPr>
                <w:rFonts w:ascii="仿宋" w:hAnsi="仿宋" w:eastAsia="仿宋" w:cs="仿宋"/>
                <w:color w:val="auto"/>
                <w:sz w:val="24"/>
              </w:rPr>
            </w:pPr>
            <w:r>
              <w:rPr>
                <w:rFonts w:hint="eastAsia" w:ascii="仿宋" w:hAnsi="仿宋" w:eastAsia="仿宋" w:cs="仿宋"/>
                <w:color w:val="auto"/>
                <w:sz w:val="24"/>
              </w:rPr>
              <w:t>项目公司联系人及电话</w:t>
            </w:r>
          </w:p>
        </w:tc>
      </w:tr>
      <w:tr w14:paraId="53755C90">
        <w:tblPrEx>
          <w:tblCellMar>
            <w:top w:w="0" w:type="dxa"/>
            <w:left w:w="108" w:type="dxa"/>
            <w:bottom w:w="0" w:type="dxa"/>
            <w:right w:w="108" w:type="dxa"/>
          </w:tblCellMar>
        </w:tblPrEx>
        <w:trPr>
          <w:trHeight w:val="466" w:hRule="atLeast"/>
          <w:jc w:val="center"/>
        </w:trPr>
        <w:tc>
          <w:tcPr>
            <w:tcW w:w="663" w:type="dxa"/>
            <w:tcBorders>
              <w:top w:val="nil"/>
              <w:left w:val="single" w:color="auto" w:sz="4" w:space="0"/>
              <w:bottom w:val="single" w:color="auto" w:sz="4" w:space="0"/>
              <w:right w:val="single" w:color="auto" w:sz="4" w:space="0"/>
            </w:tcBorders>
            <w:vAlign w:val="center"/>
          </w:tcPr>
          <w:p w14:paraId="3BFF44D7">
            <w:pPr>
              <w:jc w:val="center"/>
              <w:rPr>
                <w:rFonts w:ascii="仿宋" w:hAnsi="仿宋" w:eastAsia="仿宋" w:cs="仿宋"/>
                <w:color w:val="auto"/>
                <w:sz w:val="24"/>
              </w:rPr>
            </w:pPr>
          </w:p>
        </w:tc>
        <w:tc>
          <w:tcPr>
            <w:tcW w:w="1276" w:type="dxa"/>
            <w:tcBorders>
              <w:top w:val="single" w:color="auto" w:sz="4" w:space="0"/>
              <w:left w:val="nil"/>
              <w:bottom w:val="single" w:color="auto" w:sz="4" w:space="0"/>
              <w:right w:val="single" w:color="auto" w:sz="4" w:space="0"/>
            </w:tcBorders>
            <w:vAlign w:val="center"/>
          </w:tcPr>
          <w:p w14:paraId="265635DC">
            <w:pPr>
              <w:jc w:val="center"/>
              <w:rPr>
                <w:rFonts w:ascii="仿宋" w:hAnsi="仿宋" w:eastAsia="仿宋" w:cs="仿宋"/>
                <w:color w:val="auto"/>
                <w:sz w:val="24"/>
              </w:rPr>
            </w:pPr>
          </w:p>
        </w:tc>
        <w:tc>
          <w:tcPr>
            <w:tcW w:w="1535" w:type="dxa"/>
            <w:tcBorders>
              <w:top w:val="nil"/>
              <w:left w:val="single" w:color="auto" w:sz="4" w:space="0"/>
              <w:bottom w:val="single" w:color="auto" w:sz="4" w:space="0"/>
              <w:right w:val="single" w:color="auto" w:sz="4" w:space="0"/>
            </w:tcBorders>
            <w:vAlign w:val="center"/>
          </w:tcPr>
          <w:p w14:paraId="27369DFB">
            <w:pPr>
              <w:jc w:val="center"/>
              <w:rPr>
                <w:rFonts w:ascii="仿宋" w:hAnsi="仿宋" w:eastAsia="仿宋" w:cs="仿宋"/>
                <w:color w:val="auto"/>
                <w:sz w:val="24"/>
              </w:rPr>
            </w:pPr>
          </w:p>
        </w:tc>
        <w:tc>
          <w:tcPr>
            <w:tcW w:w="1306" w:type="dxa"/>
            <w:tcBorders>
              <w:top w:val="nil"/>
              <w:left w:val="single" w:color="auto" w:sz="4" w:space="0"/>
              <w:bottom w:val="single" w:color="auto" w:sz="4" w:space="0"/>
              <w:right w:val="single" w:color="auto" w:sz="4" w:space="0"/>
            </w:tcBorders>
            <w:vAlign w:val="center"/>
          </w:tcPr>
          <w:p w14:paraId="24FEB070">
            <w:pPr>
              <w:jc w:val="center"/>
              <w:rPr>
                <w:rFonts w:ascii="仿宋" w:hAnsi="仿宋" w:eastAsia="仿宋" w:cs="仿宋"/>
                <w:color w:val="auto"/>
                <w:sz w:val="24"/>
              </w:rPr>
            </w:pPr>
          </w:p>
        </w:tc>
        <w:tc>
          <w:tcPr>
            <w:tcW w:w="1306" w:type="dxa"/>
            <w:tcBorders>
              <w:top w:val="nil"/>
              <w:left w:val="nil"/>
              <w:bottom w:val="single" w:color="auto" w:sz="4" w:space="0"/>
              <w:right w:val="single" w:color="auto" w:sz="4" w:space="0"/>
            </w:tcBorders>
            <w:vAlign w:val="center"/>
          </w:tcPr>
          <w:p w14:paraId="0A34607D">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06CAB854">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426E0659">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1D070010">
            <w:pPr>
              <w:jc w:val="center"/>
              <w:rPr>
                <w:rFonts w:ascii="仿宋" w:hAnsi="仿宋" w:eastAsia="仿宋" w:cs="仿宋"/>
                <w:color w:val="auto"/>
                <w:sz w:val="24"/>
              </w:rPr>
            </w:pPr>
          </w:p>
        </w:tc>
        <w:tc>
          <w:tcPr>
            <w:tcW w:w="1357" w:type="dxa"/>
            <w:tcBorders>
              <w:top w:val="nil"/>
              <w:left w:val="nil"/>
              <w:bottom w:val="single" w:color="auto" w:sz="4" w:space="0"/>
              <w:right w:val="single" w:color="auto" w:sz="4" w:space="0"/>
            </w:tcBorders>
            <w:vAlign w:val="center"/>
          </w:tcPr>
          <w:p w14:paraId="70EAB3D3">
            <w:pPr>
              <w:jc w:val="center"/>
              <w:rPr>
                <w:rFonts w:ascii="仿宋" w:hAnsi="仿宋" w:eastAsia="仿宋" w:cs="仿宋"/>
                <w:color w:val="auto"/>
                <w:sz w:val="24"/>
              </w:rPr>
            </w:pPr>
          </w:p>
        </w:tc>
        <w:tc>
          <w:tcPr>
            <w:tcW w:w="1246" w:type="dxa"/>
            <w:tcBorders>
              <w:top w:val="nil"/>
              <w:left w:val="nil"/>
              <w:bottom w:val="single" w:color="auto" w:sz="4" w:space="0"/>
              <w:right w:val="single" w:color="auto" w:sz="4" w:space="0"/>
            </w:tcBorders>
            <w:vAlign w:val="center"/>
          </w:tcPr>
          <w:p w14:paraId="58B45CAF">
            <w:pPr>
              <w:jc w:val="center"/>
              <w:rPr>
                <w:rFonts w:ascii="仿宋" w:hAnsi="仿宋" w:eastAsia="仿宋" w:cs="仿宋"/>
                <w:color w:val="auto"/>
                <w:sz w:val="24"/>
              </w:rPr>
            </w:pPr>
          </w:p>
        </w:tc>
        <w:tc>
          <w:tcPr>
            <w:tcW w:w="732" w:type="dxa"/>
            <w:tcBorders>
              <w:top w:val="nil"/>
              <w:left w:val="nil"/>
              <w:bottom w:val="single" w:color="auto" w:sz="4" w:space="0"/>
              <w:right w:val="single" w:color="auto" w:sz="4" w:space="0"/>
            </w:tcBorders>
            <w:vAlign w:val="center"/>
          </w:tcPr>
          <w:p w14:paraId="262C6F06">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04BC5479">
            <w:pPr>
              <w:jc w:val="center"/>
              <w:rPr>
                <w:rFonts w:ascii="仿宋" w:hAnsi="仿宋" w:eastAsia="仿宋" w:cs="仿宋"/>
                <w:color w:val="auto"/>
                <w:sz w:val="24"/>
              </w:rPr>
            </w:pPr>
          </w:p>
        </w:tc>
        <w:tc>
          <w:tcPr>
            <w:tcW w:w="1870" w:type="dxa"/>
            <w:tcBorders>
              <w:top w:val="nil"/>
              <w:left w:val="nil"/>
              <w:bottom w:val="single" w:color="auto" w:sz="4" w:space="0"/>
              <w:right w:val="single" w:color="auto" w:sz="4" w:space="0"/>
            </w:tcBorders>
            <w:vAlign w:val="center"/>
          </w:tcPr>
          <w:p w14:paraId="5B7D841C">
            <w:pPr>
              <w:jc w:val="center"/>
              <w:rPr>
                <w:rFonts w:ascii="仿宋" w:hAnsi="仿宋" w:eastAsia="仿宋" w:cs="仿宋"/>
                <w:color w:val="auto"/>
                <w:sz w:val="24"/>
              </w:rPr>
            </w:pPr>
          </w:p>
        </w:tc>
      </w:tr>
      <w:tr w14:paraId="325BF0D8">
        <w:tblPrEx>
          <w:tblCellMar>
            <w:top w:w="0" w:type="dxa"/>
            <w:left w:w="108" w:type="dxa"/>
            <w:bottom w:w="0" w:type="dxa"/>
            <w:right w:w="108" w:type="dxa"/>
          </w:tblCellMar>
        </w:tblPrEx>
        <w:trPr>
          <w:trHeight w:val="466" w:hRule="atLeast"/>
          <w:jc w:val="center"/>
        </w:trPr>
        <w:tc>
          <w:tcPr>
            <w:tcW w:w="663" w:type="dxa"/>
            <w:tcBorders>
              <w:top w:val="nil"/>
              <w:left w:val="single" w:color="auto" w:sz="4" w:space="0"/>
              <w:bottom w:val="single" w:color="auto" w:sz="4" w:space="0"/>
              <w:right w:val="single" w:color="auto" w:sz="4" w:space="0"/>
            </w:tcBorders>
            <w:vAlign w:val="center"/>
          </w:tcPr>
          <w:p w14:paraId="15E2CDBA">
            <w:pPr>
              <w:jc w:val="center"/>
              <w:rPr>
                <w:rFonts w:ascii="仿宋" w:hAnsi="仿宋" w:eastAsia="仿宋" w:cs="仿宋"/>
                <w:color w:val="auto"/>
                <w:sz w:val="24"/>
              </w:rPr>
            </w:pPr>
          </w:p>
        </w:tc>
        <w:tc>
          <w:tcPr>
            <w:tcW w:w="1276" w:type="dxa"/>
            <w:tcBorders>
              <w:top w:val="single" w:color="auto" w:sz="4" w:space="0"/>
              <w:left w:val="nil"/>
              <w:bottom w:val="single" w:color="auto" w:sz="4" w:space="0"/>
              <w:right w:val="single" w:color="auto" w:sz="4" w:space="0"/>
            </w:tcBorders>
            <w:vAlign w:val="center"/>
          </w:tcPr>
          <w:p w14:paraId="0994CA63">
            <w:pPr>
              <w:jc w:val="center"/>
              <w:rPr>
                <w:rFonts w:ascii="仿宋" w:hAnsi="仿宋" w:eastAsia="仿宋" w:cs="仿宋"/>
                <w:color w:val="auto"/>
                <w:sz w:val="24"/>
              </w:rPr>
            </w:pPr>
          </w:p>
        </w:tc>
        <w:tc>
          <w:tcPr>
            <w:tcW w:w="1535" w:type="dxa"/>
            <w:tcBorders>
              <w:top w:val="nil"/>
              <w:left w:val="single" w:color="auto" w:sz="4" w:space="0"/>
              <w:bottom w:val="single" w:color="auto" w:sz="4" w:space="0"/>
              <w:right w:val="single" w:color="auto" w:sz="4" w:space="0"/>
            </w:tcBorders>
            <w:vAlign w:val="center"/>
          </w:tcPr>
          <w:p w14:paraId="3A7AC366">
            <w:pPr>
              <w:jc w:val="center"/>
              <w:rPr>
                <w:rFonts w:ascii="仿宋" w:hAnsi="仿宋" w:eastAsia="仿宋" w:cs="仿宋"/>
                <w:color w:val="auto"/>
                <w:sz w:val="24"/>
              </w:rPr>
            </w:pPr>
          </w:p>
        </w:tc>
        <w:tc>
          <w:tcPr>
            <w:tcW w:w="1306" w:type="dxa"/>
            <w:tcBorders>
              <w:top w:val="nil"/>
              <w:left w:val="single" w:color="auto" w:sz="4" w:space="0"/>
              <w:bottom w:val="single" w:color="auto" w:sz="4" w:space="0"/>
              <w:right w:val="single" w:color="auto" w:sz="4" w:space="0"/>
            </w:tcBorders>
            <w:vAlign w:val="center"/>
          </w:tcPr>
          <w:p w14:paraId="503EC9BB">
            <w:pPr>
              <w:jc w:val="center"/>
              <w:rPr>
                <w:rFonts w:ascii="仿宋" w:hAnsi="仿宋" w:eastAsia="仿宋" w:cs="仿宋"/>
                <w:color w:val="auto"/>
                <w:sz w:val="24"/>
              </w:rPr>
            </w:pPr>
          </w:p>
        </w:tc>
        <w:tc>
          <w:tcPr>
            <w:tcW w:w="1306" w:type="dxa"/>
            <w:tcBorders>
              <w:top w:val="nil"/>
              <w:left w:val="nil"/>
              <w:bottom w:val="single" w:color="auto" w:sz="4" w:space="0"/>
              <w:right w:val="single" w:color="auto" w:sz="4" w:space="0"/>
            </w:tcBorders>
            <w:vAlign w:val="center"/>
          </w:tcPr>
          <w:p w14:paraId="2ABB5F0B">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277BD92A">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38B18673">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51257560">
            <w:pPr>
              <w:jc w:val="center"/>
              <w:rPr>
                <w:rFonts w:ascii="仿宋" w:hAnsi="仿宋" w:eastAsia="仿宋" w:cs="仿宋"/>
                <w:color w:val="auto"/>
                <w:sz w:val="24"/>
              </w:rPr>
            </w:pPr>
          </w:p>
        </w:tc>
        <w:tc>
          <w:tcPr>
            <w:tcW w:w="1357" w:type="dxa"/>
            <w:tcBorders>
              <w:top w:val="nil"/>
              <w:left w:val="nil"/>
              <w:bottom w:val="single" w:color="auto" w:sz="4" w:space="0"/>
              <w:right w:val="single" w:color="auto" w:sz="4" w:space="0"/>
            </w:tcBorders>
            <w:vAlign w:val="center"/>
          </w:tcPr>
          <w:p w14:paraId="218B5395">
            <w:pPr>
              <w:jc w:val="center"/>
              <w:rPr>
                <w:rFonts w:ascii="仿宋" w:hAnsi="仿宋" w:eastAsia="仿宋" w:cs="仿宋"/>
                <w:color w:val="auto"/>
                <w:sz w:val="24"/>
              </w:rPr>
            </w:pPr>
          </w:p>
        </w:tc>
        <w:tc>
          <w:tcPr>
            <w:tcW w:w="1246" w:type="dxa"/>
            <w:tcBorders>
              <w:top w:val="nil"/>
              <w:left w:val="nil"/>
              <w:bottom w:val="single" w:color="auto" w:sz="4" w:space="0"/>
              <w:right w:val="single" w:color="auto" w:sz="4" w:space="0"/>
            </w:tcBorders>
            <w:vAlign w:val="center"/>
          </w:tcPr>
          <w:p w14:paraId="08E32E17">
            <w:pPr>
              <w:jc w:val="center"/>
              <w:rPr>
                <w:rFonts w:ascii="仿宋" w:hAnsi="仿宋" w:eastAsia="仿宋" w:cs="仿宋"/>
                <w:color w:val="auto"/>
                <w:sz w:val="24"/>
              </w:rPr>
            </w:pPr>
          </w:p>
        </w:tc>
        <w:tc>
          <w:tcPr>
            <w:tcW w:w="732" w:type="dxa"/>
            <w:tcBorders>
              <w:top w:val="nil"/>
              <w:left w:val="nil"/>
              <w:bottom w:val="single" w:color="auto" w:sz="4" w:space="0"/>
              <w:right w:val="single" w:color="auto" w:sz="4" w:space="0"/>
            </w:tcBorders>
            <w:vAlign w:val="center"/>
          </w:tcPr>
          <w:p w14:paraId="559FA5E6">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5F37989C">
            <w:pPr>
              <w:jc w:val="center"/>
              <w:rPr>
                <w:rFonts w:ascii="仿宋" w:hAnsi="仿宋" w:eastAsia="仿宋" w:cs="仿宋"/>
                <w:color w:val="auto"/>
                <w:sz w:val="24"/>
              </w:rPr>
            </w:pPr>
          </w:p>
        </w:tc>
        <w:tc>
          <w:tcPr>
            <w:tcW w:w="1870" w:type="dxa"/>
            <w:tcBorders>
              <w:top w:val="nil"/>
              <w:left w:val="nil"/>
              <w:bottom w:val="single" w:color="auto" w:sz="4" w:space="0"/>
              <w:right w:val="single" w:color="auto" w:sz="4" w:space="0"/>
            </w:tcBorders>
            <w:vAlign w:val="center"/>
          </w:tcPr>
          <w:p w14:paraId="2E39619E">
            <w:pPr>
              <w:jc w:val="center"/>
              <w:rPr>
                <w:rFonts w:ascii="仿宋" w:hAnsi="仿宋" w:eastAsia="仿宋" w:cs="仿宋"/>
                <w:color w:val="auto"/>
                <w:sz w:val="24"/>
              </w:rPr>
            </w:pPr>
          </w:p>
        </w:tc>
      </w:tr>
      <w:tr w14:paraId="6DC5E634">
        <w:tblPrEx>
          <w:tblCellMar>
            <w:top w:w="0" w:type="dxa"/>
            <w:left w:w="108" w:type="dxa"/>
            <w:bottom w:w="0" w:type="dxa"/>
            <w:right w:w="108" w:type="dxa"/>
          </w:tblCellMar>
        </w:tblPrEx>
        <w:trPr>
          <w:trHeight w:val="466" w:hRule="atLeast"/>
          <w:jc w:val="center"/>
        </w:trPr>
        <w:tc>
          <w:tcPr>
            <w:tcW w:w="663" w:type="dxa"/>
            <w:tcBorders>
              <w:top w:val="nil"/>
              <w:left w:val="single" w:color="auto" w:sz="4" w:space="0"/>
              <w:bottom w:val="single" w:color="auto" w:sz="4" w:space="0"/>
              <w:right w:val="single" w:color="auto" w:sz="4" w:space="0"/>
            </w:tcBorders>
            <w:vAlign w:val="center"/>
          </w:tcPr>
          <w:p w14:paraId="3F999370">
            <w:pPr>
              <w:jc w:val="center"/>
              <w:rPr>
                <w:rFonts w:ascii="仿宋" w:hAnsi="仿宋" w:eastAsia="仿宋" w:cs="仿宋"/>
                <w:color w:val="auto"/>
                <w:sz w:val="24"/>
              </w:rPr>
            </w:pPr>
          </w:p>
        </w:tc>
        <w:tc>
          <w:tcPr>
            <w:tcW w:w="1276" w:type="dxa"/>
            <w:tcBorders>
              <w:top w:val="single" w:color="auto" w:sz="4" w:space="0"/>
              <w:left w:val="nil"/>
              <w:bottom w:val="single" w:color="auto" w:sz="4" w:space="0"/>
              <w:right w:val="single" w:color="auto" w:sz="4" w:space="0"/>
            </w:tcBorders>
            <w:vAlign w:val="center"/>
          </w:tcPr>
          <w:p w14:paraId="594A6C62">
            <w:pPr>
              <w:jc w:val="center"/>
              <w:rPr>
                <w:rFonts w:ascii="仿宋" w:hAnsi="仿宋" w:eastAsia="仿宋" w:cs="仿宋"/>
                <w:color w:val="auto"/>
                <w:sz w:val="24"/>
              </w:rPr>
            </w:pPr>
          </w:p>
        </w:tc>
        <w:tc>
          <w:tcPr>
            <w:tcW w:w="1535" w:type="dxa"/>
            <w:tcBorders>
              <w:top w:val="nil"/>
              <w:left w:val="single" w:color="auto" w:sz="4" w:space="0"/>
              <w:bottom w:val="single" w:color="auto" w:sz="4" w:space="0"/>
              <w:right w:val="single" w:color="auto" w:sz="4" w:space="0"/>
            </w:tcBorders>
            <w:vAlign w:val="center"/>
          </w:tcPr>
          <w:p w14:paraId="4A33ECBE">
            <w:pPr>
              <w:jc w:val="center"/>
              <w:rPr>
                <w:rFonts w:ascii="仿宋" w:hAnsi="仿宋" w:eastAsia="仿宋" w:cs="仿宋"/>
                <w:color w:val="auto"/>
                <w:sz w:val="24"/>
              </w:rPr>
            </w:pPr>
          </w:p>
        </w:tc>
        <w:tc>
          <w:tcPr>
            <w:tcW w:w="1306" w:type="dxa"/>
            <w:tcBorders>
              <w:top w:val="nil"/>
              <w:left w:val="single" w:color="auto" w:sz="4" w:space="0"/>
              <w:bottom w:val="single" w:color="auto" w:sz="4" w:space="0"/>
              <w:right w:val="single" w:color="auto" w:sz="4" w:space="0"/>
            </w:tcBorders>
            <w:vAlign w:val="center"/>
          </w:tcPr>
          <w:p w14:paraId="45361090">
            <w:pPr>
              <w:jc w:val="center"/>
              <w:rPr>
                <w:rFonts w:ascii="仿宋" w:hAnsi="仿宋" w:eastAsia="仿宋" w:cs="仿宋"/>
                <w:color w:val="auto"/>
                <w:sz w:val="24"/>
              </w:rPr>
            </w:pPr>
          </w:p>
        </w:tc>
        <w:tc>
          <w:tcPr>
            <w:tcW w:w="1306" w:type="dxa"/>
            <w:tcBorders>
              <w:top w:val="nil"/>
              <w:left w:val="nil"/>
              <w:bottom w:val="single" w:color="auto" w:sz="4" w:space="0"/>
              <w:right w:val="single" w:color="auto" w:sz="4" w:space="0"/>
            </w:tcBorders>
            <w:vAlign w:val="center"/>
          </w:tcPr>
          <w:p w14:paraId="2472E065">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05051A18">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0839256E">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42F0A781">
            <w:pPr>
              <w:jc w:val="center"/>
              <w:rPr>
                <w:rFonts w:ascii="仿宋" w:hAnsi="仿宋" w:eastAsia="仿宋" w:cs="仿宋"/>
                <w:color w:val="auto"/>
                <w:sz w:val="24"/>
              </w:rPr>
            </w:pPr>
          </w:p>
        </w:tc>
        <w:tc>
          <w:tcPr>
            <w:tcW w:w="1357" w:type="dxa"/>
            <w:tcBorders>
              <w:top w:val="nil"/>
              <w:left w:val="nil"/>
              <w:bottom w:val="single" w:color="auto" w:sz="4" w:space="0"/>
              <w:right w:val="single" w:color="auto" w:sz="4" w:space="0"/>
            </w:tcBorders>
            <w:vAlign w:val="center"/>
          </w:tcPr>
          <w:p w14:paraId="464FBBE8">
            <w:pPr>
              <w:jc w:val="center"/>
              <w:rPr>
                <w:rFonts w:ascii="仿宋" w:hAnsi="仿宋" w:eastAsia="仿宋" w:cs="仿宋"/>
                <w:color w:val="auto"/>
                <w:sz w:val="24"/>
              </w:rPr>
            </w:pPr>
          </w:p>
        </w:tc>
        <w:tc>
          <w:tcPr>
            <w:tcW w:w="1246" w:type="dxa"/>
            <w:tcBorders>
              <w:top w:val="nil"/>
              <w:left w:val="nil"/>
              <w:bottom w:val="single" w:color="auto" w:sz="4" w:space="0"/>
              <w:right w:val="single" w:color="auto" w:sz="4" w:space="0"/>
            </w:tcBorders>
            <w:vAlign w:val="center"/>
          </w:tcPr>
          <w:p w14:paraId="6203C397">
            <w:pPr>
              <w:jc w:val="center"/>
              <w:rPr>
                <w:rFonts w:ascii="仿宋" w:hAnsi="仿宋" w:eastAsia="仿宋" w:cs="仿宋"/>
                <w:color w:val="auto"/>
                <w:sz w:val="24"/>
              </w:rPr>
            </w:pPr>
          </w:p>
        </w:tc>
        <w:tc>
          <w:tcPr>
            <w:tcW w:w="732" w:type="dxa"/>
            <w:tcBorders>
              <w:top w:val="nil"/>
              <w:left w:val="nil"/>
              <w:bottom w:val="single" w:color="auto" w:sz="4" w:space="0"/>
              <w:right w:val="single" w:color="auto" w:sz="4" w:space="0"/>
            </w:tcBorders>
            <w:vAlign w:val="center"/>
          </w:tcPr>
          <w:p w14:paraId="0C567825">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35E8B470">
            <w:pPr>
              <w:jc w:val="center"/>
              <w:rPr>
                <w:rFonts w:ascii="仿宋" w:hAnsi="仿宋" w:eastAsia="仿宋" w:cs="仿宋"/>
                <w:color w:val="auto"/>
                <w:sz w:val="24"/>
              </w:rPr>
            </w:pPr>
          </w:p>
        </w:tc>
        <w:tc>
          <w:tcPr>
            <w:tcW w:w="1870" w:type="dxa"/>
            <w:tcBorders>
              <w:top w:val="nil"/>
              <w:left w:val="nil"/>
              <w:bottom w:val="single" w:color="auto" w:sz="4" w:space="0"/>
              <w:right w:val="single" w:color="auto" w:sz="4" w:space="0"/>
            </w:tcBorders>
            <w:vAlign w:val="center"/>
          </w:tcPr>
          <w:p w14:paraId="07029670">
            <w:pPr>
              <w:jc w:val="center"/>
              <w:rPr>
                <w:rFonts w:ascii="仿宋" w:hAnsi="仿宋" w:eastAsia="仿宋" w:cs="仿宋"/>
                <w:color w:val="auto"/>
                <w:sz w:val="24"/>
              </w:rPr>
            </w:pPr>
          </w:p>
        </w:tc>
      </w:tr>
      <w:tr w14:paraId="2610B942">
        <w:tblPrEx>
          <w:tblCellMar>
            <w:top w:w="0" w:type="dxa"/>
            <w:left w:w="108" w:type="dxa"/>
            <w:bottom w:w="0" w:type="dxa"/>
            <w:right w:w="108" w:type="dxa"/>
          </w:tblCellMar>
        </w:tblPrEx>
        <w:trPr>
          <w:trHeight w:val="466" w:hRule="atLeast"/>
          <w:jc w:val="center"/>
        </w:trPr>
        <w:tc>
          <w:tcPr>
            <w:tcW w:w="663" w:type="dxa"/>
            <w:tcBorders>
              <w:top w:val="nil"/>
              <w:left w:val="single" w:color="auto" w:sz="4" w:space="0"/>
              <w:bottom w:val="single" w:color="auto" w:sz="4" w:space="0"/>
              <w:right w:val="single" w:color="auto" w:sz="4" w:space="0"/>
            </w:tcBorders>
            <w:vAlign w:val="center"/>
          </w:tcPr>
          <w:p w14:paraId="3A0F5372">
            <w:pPr>
              <w:jc w:val="center"/>
              <w:rPr>
                <w:rFonts w:ascii="仿宋" w:hAnsi="仿宋" w:eastAsia="仿宋" w:cs="仿宋"/>
                <w:color w:val="auto"/>
                <w:sz w:val="24"/>
              </w:rPr>
            </w:pPr>
          </w:p>
        </w:tc>
        <w:tc>
          <w:tcPr>
            <w:tcW w:w="1276" w:type="dxa"/>
            <w:tcBorders>
              <w:top w:val="single" w:color="auto" w:sz="4" w:space="0"/>
              <w:left w:val="nil"/>
              <w:bottom w:val="single" w:color="auto" w:sz="4" w:space="0"/>
              <w:right w:val="single" w:color="auto" w:sz="4" w:space="0"/>
            </w:tcBorders>
            <w:vAlign w:val="center"/>
          </w:tcPr>
          <w:p w14:paraId="247108D9">
            <w:pPr>
              <w:jc w:val="center"/>
              <w:rPr>
                <w:rFonts w:ascii="仿宋" w:hAnsi="仿宋" w:eastAsia="仿宋" w:cs="仿宋"/>
                <w:color w:val="auto"/>
                <w:sz w:val="24"/>
              </w:rPr>
            </w:pPr>
          </w:p>
        </w:tc>
        <w:tc>
          <w:tcPr>
            <w:tcW w:w="1535" w:type="dxa"/>
            <w:tcBorders>
              <w:top w:val="nil"/>
              <w:left w:val="single" w:color="auto" w:sz="4" w:space="0"/>
              <w:bottom w:val="single" w:color="auto" w:sz="4" w:space="0"/>
              <w:right w:val="single" w:color="auto" w:sz="4" w:space="0"/>
            </w:tcBorders>
            <w:vAlign w:val="center"/>
          </w:tcPr>
          <w:p w14:paraId="611D1404">
            <w:pPr>
              <w:jc w:val="center"/>
              <w:rPr>
                <w:rFonts w:ascii="仿宋" w:hAnsi="仿宋" w:eastAsia="仿宋" w:cs="仿宋"/>
                <w:color w:val="auto"/>
                <w:sz w:val="24"/>
              </w:rPr>
            </w:pPr>
          </w:p>
        </w:tc>
        <w:tc>
          <w:tcPr>
            <w:tcW w:w="1306" w:type="dxa"/>
            <w:tcBorders>
              <w:top w:val="nil"/>
              <w:left w:val="single" w:color="auto" w:sz="4" w:space="0"/>
              <w:bottom w:val="single" w:color="auto" w:sz="4" w:space="0"/>
              <w:right w:val="single" w:color="auto" w:sz="4" w:space="0"/>
            </w:tcBorders>
            <w:vAlign w:val="center"/>
          </w:tcPr>
          <w:p w14:paraId="09D5FBA9">
            <w:pPr>
              <w:jc w:val="center"/>
              <w:rPr>
                <w:rFonts w:ascii="仿宋" w:hAnsi="仿宋" w:eastAsia="仿宋" w:cs="仿宋"/>
                <w:color w:val="auto"/>
                <w:sz w:val="24"/>
              </w:rPr>
            </w:pPr>
          </w:p>
        </w:tc>
        <w:tc>
          <w:tcPr>
            <w:tcW w:w="1306" w:type="dxa"/>
            <w:tcBorders>
              <w:top w:val="nil"/>
              <w:left w:val="nil"/>
              <w:bottom w:val="single" w:color="auto" w:sz="4" w:space="0"/>
              <w:right w:val="single" w:color="auto" w:sz="4" w:space="0"/>
            </w:tcBorders>
            <w:vAlign w:val="center"/>
          </w:tcPr>
          <w:p w14:paraId="0C181DC6">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2499E026">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3ABE8D5B">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7DA13539">
            <w:pPr>
              <w:jc w:val="center"/>
              <w:rPr>
                <w:rFonts w:ascii="仿宋" w:hAnsi="仿宋" w:eastAsia="仿宋" w:cs="仿宋"/>
                <w:color w:val="auto"/>
                <w:sz w:val="24"/>
              </w:rPr>
            </w:pPr>
          </w:p>
        </w:tc>
        <w:tc>
          <w:tcPr>
            <w:tcW w:w="1357" w:type="dxa"/>
            <w:tcBorders>
              <w:top w:val="nil"/>
              <w:left w:val="nil"/>
              <w:bottom w:val="single" w:color="auto" w:sz="4" w:space="0"/>
              <w:right w:val="single" w:color="auto" w:sz="4" w:space="0"/>
            </w:tcBorders>
            <w:vAlign w:val="center"/>
          </w:tcPr>
          <w:p w14:paraId="393D23B6">
            <w:pPr>
              <w:jc w:val="center"/>
              <w:rPr>
                <w:rFonts w:ascii="仿宋" w:hAnsi="仿宋" w:eastAsia="仿宋" w:cs="仿宋"/>
                <w:color w:val="auto"/>
                <w:sz w:val="24"/>
              </w:rPr>
            </w:pPr>
          </w:p>
        </w:tc>
        <w:tc>
          <w:tcPr>
            <w:tcW w:w="1246" w:type="dxa"/>
            <w:tcBorders>
              <w:top w:val="nil"/>
              <w:left w:val="nil"/>
              <w:bottom w:val="single" w:color="auto" w:sz="4" w:space="0"/>
              <w:right w:val="single" w:color="auto" w:sz="4" w:space="0"/>
            </w:tcBorders>
            <w:vAlign w:val="center"/>
          </w:tcPr>
          <w:p w14:paraId="2EFF8A38">
            <w:pPr>
              <w:jc w:val="center"/>
              <w:rPr>
                <w:rFonts w:ascii="仿宋" w:hAnsi="仿宋" w:eastAsia="仿宋" w:cs="仿宋"/>
                <w:color w:val="auto"/>
                <w:sz w:val="24"/>
              </w:rPr>
            </w:pPr>
          </w:p>
        </w:tc>
        <w:tc>
          <w:tcPr>
            <w:tcW w:w="732" w:type="dxa"/>
            <w:tcBorders>
              <w:top w:val="nil"/>
              <w:left w:val="nil"/>
              <w:bottom w:val="single" w:color="auto" w:sz="4" w:space="0"/>
              <w:right w:val="single" w:color="auto" w:sz="4" w:space="0"/>
            </w:tcBorders>
            <w:vAlign w:val="center"/>
          </w:tcPr>
          <w:p w14:paraId="4A27652D">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528B821A">
            <w:pPr>
              <w:jc w:val="center"/>
              <w:rPr>
                <w:rFonts w:ascii="仿宋" w:hAnsi="仿宋" w:eastAsia="仿宋" w:cs="仿宋"/>
                <w:color w:val="auto"/>
                <w:sz w:val="24"/>
              </w:rPr>
            </w:pPr>
          </w:p>
        </w:tc>
        <w:tc>
          <w:tcPr>
            <w:tcW w:w="1870" w:type="dxa"/>
            <w:tcBorders>
              <w:top w:val="nil"/>
              <w:left w:val="nil"/>
              <w:bottom w:val="single" w:color="auto" w:sz="4" w:space="0"/>
              <w:right w:val="single" w:color="auto" w:sz="4" w:space="0"/>
            </w:tcBorders>
            <w:vAlign w:val="center"/>
          </w:tcPr>
          <w:p w14:paraId="269B302D">
            <w:pPr>
              <w:jc w:val="center"/>
              <w:rPr>
                <w:rFonts w:ascii="仿宋" w:hAnsi="仿宋" w:eastAsia="仿宋" w:cs="仿宋"/>
                <w:color w:val="auto"/>
                <w:sz w:val="24"/>
              </w:rPr>
            </w:pPr>
          </w:p>
        </w:tc>
      </w:tr>
      <w:tr w14:paraId="439CFE37">
        <w:tblPrEx>
          <w:tblCellMar>
            <w:top w:w="0" w:type="dxa"/>
            <w:left w:w="108" w:type="dxa"/>
            <w:bottom w:w="0" w:type="dxa"/>
            <w:right w:w="108" w:type="dxa"/>
          </w:tblCellMar>
        </w:tblPrEx>
        <w:trPr>
          <w:trHeight w:val="466" w:hRule="atLeast"/>
          <w:jc w:val="center"/>
        </w:trPr>
        <w:tc>
          <w:tcPr>
            <w:tcW w:w="663" w:type="dxa"/>
            <w:tcBorders>
              <w:top w:val="nil"/>
              <w:left w:val="single" w:color="auto" w:sz="4" w:space="0"/>
              <w:bottom w:val="single" w:color="auto" w:sz="4" w:space="0"/>
              <w:right w:val="single" w:color="auto" w:sz="4" w:space="0"/>
            </w:tcBorders>
            <w:vAlign w:val="center"/>
          </w:tcPr>
          <w:p w14:paraId="2032D429">
            <w:pPr>
              <w:jc w:val="center"/>
              <w:rPr>
                <w:rFonts w:ascii="仿宋" w:hAnsi="仿宋" w:eastAsia="仿宋" w:cs="仿宋"/>
                <w:color w:val="auto"/>
                <w:sz w:val="24"/>
              </w:rPr>
            </w:pPr>
          </w:p>
        </w:tc>
        <w:tc>
          <w:tcPr>
            <w:tcW w:w="1276" w:type="dxa"/>
            <w:tcBorders>
              <w:top w:val="single" w:color="auto" w:sz="4" w:space="0"/>
              <w:left w:val="nil"/>
              <w:bottom w:val="single" w:color="auto" w:sz="4" w:space="0"/>
              <w:right w:val="single" w:color="auto" w:sz="4" w:space="0"/>
            </w:tcBorders>
            <w:vAlign w:val="center"/>
          </w:tcPr>
          <w:p w14:paraId="68392407">
            <w:pPr>
              <w:jc w:val="center"/>
              <w:rPr>
                <w:rFonts w:ascii="仿宋" w:hAnsi="仿宋" w:eastAsia="仿宋" w:cs="仿宋"/>
                <w:color w:val="auto"/>
                <w:sz w:val="24"/>
              </w:rPr>
            </w:pPr>
          </w:p>
        </w:tc>
        <w:tc>
          <w:tcPr>
            <w:tcW w:w="1535" w:type="dxa"/>
            <w:tcBorders>
              <w:top w:val="nil"/>
              <w:left w:val="single" w:color="auto" w:sz="4" w:space="0"/>
              <w:bottom w:val="single" w:color="auto" w:sz="4" w:space="0"/>
              <w:right w:val="single" w:color="auto" w:sz="4" w:space="0"/>
            </w:tcBorders>
            <w:vAlign w:val="center"/>
          </w:tcPr>
          <w:p w14:paraId="3A49F7DE">
            <w:pPr>
              <w:jc w:val="center"/>
              <w:rPr>
                <w:rFonts w:ascii="仿宋" w:hAnsi="仿宋" w:eastAsia="仿宋" w:cs="仿宋"/>
                <w:color w:val="auto"/>
                <w:sz w:val="24"/>
              </w:rPr>
            </w:pPr>
          </w:p>
        </w:tc>
        <w:tc>
          <w:tcPr>
            <w:tcW w:w="1306" w:type="dxa"/>
            <w:tcBorders>
              <w:top w:val="nil"/>
              <w:left w:val="single" w:color="auto" w:sz="4" w:space="0"/>
              <w:bottom w:val="single" w:color="auto" w:sz="4" w:space="0"/>
              <w:right w:val="single" w:color="auto" w:sz="4" w:space="0"/>
            </w:tcBorders>
            <w:vAlign w:val="center"/>
          </w:tcPr>
          <w:p w14:paraId="7C6F2D2F">
            <w:pPr>
              <w:jc w:val="center"/>
              <w:rPr>
                <w:rFonts w:ascii="仿宋" w:hAnsi="仿宋" w:eastAsia="仿宋" w:cs="仿宋"/>
                <w:color w:val="auto"/>
                <w:sz w:val="24"/>
              </w:rPr>
            </w:pPr>
          </w:p>
        </w:tc>
        <w:tc>
          <w:tcPr>
            <w:tcW w:w="1306" w:type="dxa"/>
            <w:tcBorders>
              <w:top w:val="nil"/>
              <w:left w:val="nil"/>
              <w:bottom w:val="single" w:color="auto" w:sz="4" w:space="0"/>
              <w:right w:val="single" w:color="auto" w:sz="4" w:space="0"/>
            </w:tcBorders>
            <w:vAlign w:val="center"/>
          </w:tcPr>
          <w:p w14:paraId="46676C16">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3C082573">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5E268B53">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5BE206FB">
            <w:pPr>
              <w:jc w:val="center"/>
              <w:rPr>
                <w:rFonts w:ascii="仿宋" w:hAnsi="仿宋" w:eastAsia="仿宋" w:cs="仿宋"/>
                <w:color w:val="auto"/>
                <w:sz w:val="24"/>
              </w:rPr>
            </w:pPr>
          </w:p>
        </w:tc>
        <w:tc>
          <w:tcPr>
            <w:tcW w:w="1357" w:type="dxa"/>
            <w:tcBorders>
              <w:top w:val="nil"/>
              <w:left w:val="nil"/>
              <w:bottom w:val="single" w:color="auto" w:sz="4" w:space="0"/>
              <w:right w:val="single" w:color="auto" w:sz="4" w:space="0"/>
            </w:tcBorders>
            <w:vAlign w:val="center"/>
          </w:tcPr>
          <w:p w14:paraId="1BC970EF">
            <w:pPr>
              <w:jc w:val="center"/>
              <w:rPr>
                <w:rFonts w:ascii="仿宋" w:hAnsi="仿宋" w:eastAsia="仿宋" w:cs="仿宋"/>
                <w:color w:val="auto"/>
                <w:sz w:val="24"/>
              </w:rPr>
            </w:pPr>
          </w:p>
        </w:tc>
        <w:tc>
          <w:tcPr>
            <w:tcW w:w="1246" w:type="dxa"/>
            <w:tcBorders>
              <w:top w:val="nil"/>
              <w:left w:val="nil"/>
              <w:bottom w:val="single" w:color="auto" w:sz="4" w:space="0"/>
              <w:right w:val="single" w:color="auto" w:sz="4" w:space="0"/>
            </w:tcBorders>
            <w:vAlign w:val="center"/>
          </w:tcPr>
          <w:p w14:paraId="792951D5">
            <w:pPr>
              <w:jc w:val="center"/>
              <w:rPr>
                <w:rFonts w:ascii="仿宋" w:hAnsi="仿宋" w:eastAsia="仿宋" w:cs="仿宋"/>
                <w:color w:val="auto"/>
                <w:sz w:val="24"/>
              </w:rPr>
            </w:pPr>
          </w:p>
        </w:tc>
        <w:tc>
          <w:tcPr>
            <w:tcW w:w="732" w:type="dxa"/>
            <w:tcBorders>
              <w:top w:val="nil"/>
              <w:left w:val="nil"/>
              <w:bottom w:val="single" w:color="auto" w:sz="4" w:space="0"/>
              <w:right w:val="single" w:color="auto" w:sz="4" w:space="0"/>
            </w:tcBorders>
            <w:vAlign w:val="center"/>
          </w:tcPr>
          <w:p w14:paraId="236861CD">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15C39CA2">
            <w:pPr>
              <w:jc w:val="center"/>
              <w:rPr>
                <w:rFonts w:ascii="仿宋" w:hAnsi="仿宋" w:eastAsia="仿宋" w:cs="仿宋"/>
                <w:color w:val="auto"/>
                <w:sz w:val="24"/>
              </w:rPr>
            </w:pPr>
          </w:p>
        </w:tc>
        <w:tc>
          <w:tcPr>
            <w:tcW w:w="1870" w:type="dxa"/>
            <w:tcBorders>
              <w:top w:val="nil"/>
              <w:left w:val="nil"/>
              <w:bottom w:val="single" w:color="auto" w:sz="4" w:space="0"/>
              <w:right w:val="single" w:color="auto" w:sz="4" w:space="0"/>
            </w:tcBorders>
            <w:vAlign w:val="center"/>
          </w:tcPr>
          <w:p w14:paraId="5504E0AD">
            <w:pPr>
              <w:jc w:val="center"/>
              <w:rPr>
                <w:rFonts w:ascii="仿宋" w:hAnsi="仿宋" w:eastAsia="仿宋" w:cs="仿宋"/>
                <w:color w:val="auto"/>
                <w:sz w:val="24"/>
              </w:rPr>
            </w:pPr>
          </w:p>
        </w:tc>
      </w:tr>
    </w:tbl>
    <w:p w14:paraId="4DCCC6BF">
      <w:pPr>
        <w:rPr>
          <w:rFonts w:ascii="仿宋" w:hAnsi="仿宋" w:eastAsia="仿宋" w:cs="仿宋"/>
          <w:color w:val="auto"/>
          <w:sz w:val="28"/>
          <w:szCs w:val="28"/>
        </w:rPr>
      </w:pPr>
      <w:r>
        <w:rPr>
          <w:rFonts w:ascii="仿宋" w:hAnsi="仿宋" w:eastAsia="仿宋" w:cs="仿宋"/>
          <w:color w:val="auto"/>
          <w:sz w:val="28"/>
          <w:szCs w:val="28"/>
        </w:rPr>
        <w:t>*</w:t>
      </w:r>
      <w:r>
        <w:rPr>
          <w:rFonts w:hint="eastAsia" w:ascii="仿宋" w:hAnsi="仿宋" w:eastAsia="仿宋" w:cs="仿宋"/>
          <w:color w:val="auto"/>
          <w:sz w:val="28"/>
          <w:szCs w:val="28"/>
        </w:rPr>
        <w:t>投资收益率</w:t>
      </w:r>
      <w:r>
        <w:rPr>
          <w:rFonts w:ascii="仿宋" w:hAnsi="仿宋" w:eastAsia="仿宋" w:cs="仿宋"/>
          <w:color w:val="auto"/>
          <w:sz w:val="28"/>
          <w:szCs w:val="28"/>
        </w:rPr>
        <w:t>=</w:t>
      </w:r>
      <w:r>
        <w:rPr>
          <w:rFonts w:hint="eastAsia" w:ascii="仿宋" w:hAnsi="仿宋" w:eastAsia="仿宋" w:cs="仿宋"/>
          <w:color w:val="auto"/>
          <w:sz w:val="28"/>
          <w:szCs w:val="28"/>
        </w:rPr>
        <w:t>投资净收益</w:t>
      </w:r>
      <w:r>
        <w:rPr>
          <w:rFonts w:ascii="仿宋" w:hAnsi="仿宋" w:eastAsia="仿宋" w:cs="仿宋"/>
          <w:color w:val="auto"/>
          <w:sz w:val="28"/>
          <w:szCs w:val="28"/>
        </w:rPr>
        <w:t>/</w:t>
      </w:r>
      <w:r>
        <w:rPr>
          <w:rFonts w:hint="eastAsia" w:ascii="仿宋" w:hAnsi="仿宋" w:eastAsia="仿宋" w:cs="仿宋"/>
          <w:color w:val="auto"/>
          <w:sz w:val="28"/>
          <w:szCs w:val="28"/>
        </w:rPr>
        <w:t>（投资本金</w:t>
      </w:r>
      <w:r>
        <w:rPr>
          <w:rFonts w:ascii="仿宋" w:hAnsi="仿宋" w:eastAsia="仿宋" w:cs="仿宋"/>
          <w:color w:val="auto"/>
          <w:sz w:val="28"/>
          <w:szCs w:val="28"/>
        </w:rPr>
        <w:t>*</w:t>
      </w:r>
      <w:r>
        <w:rPr>
          <w:rFonts w:hint="eastAsia" w:ascii="仿宋" w:hAnsi="仿宋" w:eastAsia="仿宋" w:cs="仿宋"/>
          <w:color w:val="auto"/>
          <w:sz w:val="28"/>
          <w:szCs w:val="28"/>
        </w:rPr>
        <w:t>投资期）</w:t>
      </w:r>
    </w:p>
    <w:p w14:paraId="33D13B81">
      <w:pPr>
        <w:rPr>
          <w:color w:val="auto"/>
        </w:rPr>
      </w:pPr>
    </w:p>
    <w:p w14:paraId="419ACEDD">
      <w:pPr>
        <w:tabs>
          <w:tab w:val="center" w:pos="6979"/>
        </w:tabs>
        <w:rPr>
          <w:rFonts w:ascii="仿宋" w:hAnsi="仿宋" w:eastAsia="仿宋" w:cs="仿宋"/>
          <w:color w:val="auto"/>
          <w:sz w:val="32"/>
          <w:szCs w:val="32"/>
        </w:rPr>
        <w:sectPr>
          <w:pgSz w:w="16838" w:h="11906" w:orient="landscape"/>
          <w:pgMar w:top="1134" w:right="1134" w:bottom="1134" w:left="1134" w:header="737" w:footer="567" w:gutter="0"/>
          <w:cols w:space="720" w:num="1"/>
          <w:docGrid w:type="lines" w:linePitch="312" w:charSpace="0"/>
        </w:sectPr>
      </w:pPr>
    </w:p>
    <w:p w14:paraId="37617AEB">
      <w:pPr>
        <w:pStyle w:val="69"/>
        <w:snapToGrid w:val="0"/>
        <w:spacing w:after="0" w:line="420" w:lineRule="atLeast"/>
        <w:rPr>
          <w:rFonts w:ascii="Calibri" w:hAnsi="Calibri" w:cs="Calibri"/>
          <w:b/>
          <w:bCs/>
          <w:color w:val="auto"/>
          <w:kern w:val="2"/>
          <w:sz w:val="32"/>
          <w:szCs w:val="32"/>
        </w:rPr>
      </w:pPr>
      <w:r>
        <w:rPr>
          <w:rFonts w:hint="eastAsia" w:ascii="Calibri" w:hAnsi="Calibri" w:cs="Calibri"/>
          <w:b/>
          <w:bCs/>
          <w:color w:val="auto"/>
          <w:kern w:val="2"/>
          <w:sz w:val="32"/>
          <w:szCs w:val="32"/>
        </w:rPr>
        <w:t>6、资格审查合格条件中还需提供的其他资料</w:t>
      </w:r>
    </w:p>
    <w:p w14:paraId="651DDB5C">
      <w:pPr>
        <w:pStyle w:val="69"/>
        <w:snapToGrid w:val="0"/>
        <w:spacing w:after="0" w:line="420" w:lineRule="atLeast"/>
        <w:rPr>
          <w:rFonts w:ascii="Calibri" w:hAnsi="Calibri" w:cs="Calibri"/>
          <w:b/>
          <w:bCs/>
          <w:color w:val="auto"/>
          <w:kern w:val="2"/>
          <w:sz w:val="32"/>
          <w:szCs w:val="32"/>
        </w:rPr>
      </w:pPr>
      <w:r>
        <w:rPr>
          <w:rFonts w:hint="eastAsia" w:ascii="Calibri" w:hAnsi="Calibri" w:cs="Calibri"/>
          <w:b/>
          <w:bCs/>
          <w:color w:val="auto"/>
          <w:kern w:val="2"/>
          <w:sz w:val="32"/>
          <w:szCs w:val="32"/>
        </w:rPr>
        <w:t>（格式由投标人自拟）</w:t>
      </w:r>
    </w:p>
    <w:p w14:paraId="6473DCE4">
      <w:pPr>
        <w:tabs>
          <w:tab w:val="left" w:pos="993"/>
        </w:tabs>
        <w:spacing w:line="360" w:lineRule="auto"/>
        <w:jc w:val="center"/>
        <w:rPr>
          <w:rFonts w:ascii="宋体" w:hAnsi="宋体" w:cs="宋体"/>
          <w:color w:val="auto"/>
          <w:sz w:val="52"/>
          <w:szCs w:val="52"/>
        </w:rPr>
      </w:pPr>
      <w:r>
        <w:rPr>
          <w:rFonts w:hint="eastAsia"/>
          <w:b/>
          <w:bCs/>
          <w:color w:val="auto"/>
          <w:sz w:val="32"/>
          <w:szCs w:val="32"/>
        </w:rPr>
        <w:br w:type="page"/>
      </w:r>
      <w:r>
        <w:rPr>
          <w:rFonts w:hint="eastAsia" w:ascii="宋体" w:hAnsi="宋体" w:cs="宋体"/>
          <w:color w:val="auto"/>
          <w:sz w:val="52"/>
          <w:szCs w:val="52"/>
        </w:rPr>
        <w:t>第二部分</w:t>
      </w:r>
    </w:p>
    <w:p w14:paraId="3A494E3E">
      <w:pPr>
        <w:adjustRightInd w:val="0"/>
        <w:snapToGrid w:val="0"/>
        <w:spacing w:line="360" w:lineRule="auto"/>
        <w:jc w:val="center"/>
        <w:rPr>
          <w:rFonts w:ascii="宋体" w:hAnsi="宋体" w:cs="宋体"/>
          <w:b/>
          <w:color w:val="auto"/>
          <w:kern w:val="0"/>
          <w:sz w:val="32"/>
          <w:szCs w:val="24"/>
        </w:rPr>
      </w:pPr>
    </w:p>
    <w:p w14:paraId="77583F74">
      <w:pPr>
        <w:adjustRightInd w:val="0"/>
        <w:snapToGrid w:val="0"/>
        <w:spacing w:line="360" w:lineRule="auto"/>
        <w:jc w:val="center"/>
        <w:rPr>
          <w:rFonts w:ascii="宋体" w:hAnsi="宋体" w:cs="宋体"/>
          <w:b/>
          <w:color w:val="auto"/>
          <w:kern w:val="0"/>
          <w:sz w:val="32"/>
          <w:szCs w:val="24"/>
        </w:rPr>
      </w:pPr>
    </w:p>
    <w:p w14:paraId="3230B11B">
      <w:pPr>
        <w:spacing w:line="360" w:lineRule="auto"/>
        <w:jc w:val="center"/>
        <w:rPr>
          <w:rFonts w:ascii="宋体" w:hAnsi="宋体" w:cs="宋体"/>
          <w:color w:val="auto"/>
          <w:sz w:val="36"/>
          <w:szCs w:val="36"/>
          <w:u w:val="single"/>
        </w:rPr>
      </w:pPr>
      <w:r>
        <w:rPr>
          <w:rFonts w:hint="eastAsia" w:ascii="宋体" w:hAnsi="宋体" w:cs="宋体"/>
          <w:color w:val="auto"/>
          <w:sz w:val="36"/>
          <w:szCs w:val="36"/>
          <w:u w:val="single"/>
        </w:rPr>
        <w:t>（项目名称）</w:t>
      </w:r>
    </w:p>
    <w:p w14:paraId="199C6B8D">
      <w:pPr>
        <w:spacing w:line="460" w:lineRule="exact"/>
        <w:jc w:val="center"/>
        <w:rPr>
          <w:rFonts w:ascii="宋体" w:hAnsi="宋体" w:cs="宋体"/>
          <w:color w:val="auto"/>
          <w:sz w:val="32"/>
          <w:szCs w:val="32"/>
        </w:rPr>
      </w:pPr>
    </w:p>
    <w:p w14:paraId="74C76D8F">
      <w:pPr>
        <w:spacing w:line="460" w:lineRule="exact"/>
        <w:jc w:val="center"/>
        <w:rPr>
          <w:rFonts w:ascii="宋体" w:hAnsi="宋体" w:cs="宋体"/>
          <w:color w:val="auto"/>
          <w:sz w:val="32"/>
          <w:szCs w:val="32"/>
        </w:rPr>
      </w:pPr>
    </w:p>
    <w:p w14:paraId="2E85E06B">
      <w:pPr>
        <w:spacing w:line="460" w:lineRule="exact"/>
        <w:jc w:val="center"/>
        <w:rPr>
          <w:rFonts w:ascii="宋体" w:hAnsi="宋体" w:cs="宋体"/>
          <w:color w:val="auto"/>
          <w:sz w:val="32"/>
          <w:szCs w:val="32"/>
        </w:rPr>
      </w:pPr>
    </w:p>
    <w:p w14:paraId="5B503420">
      <w:pPr>
        <w:adjustRightInd w:val="0"/>
        <w:snapToGrid w:val="0"/>
        <w:spacing w:line="360" w:lineRule="auto"/>
        <w:jc w:val="center"/>
        <w:rPr>
          <w:rFonts w:ascii="宋体" w:hAnsi="宋体" w:cs="宋体"/>
          <w:b/>
          <w:color w:val="auto"/>
          <w:kern w:val="0"/>
          <w:sz w:val="44"/>
          <w:szCs w:val="36"/>
        </w:rPr>
      </w:pPr>
      <w:r>
        <w:rPr>
          <w:rFonts w:hint="eastAsia" w:ascii="宋体" w:hAnsi="宋体" w:cs="宋体"/>
          <w:b/>
          <w:color w:val="auto"/>
          <w:kern w:val="0"/>
          <w:sz w:val="44"/>
          <w:szCs w:val="36"/>
        </w:rPr>
        <w:t>技术标</w:t>
      </w:r>
    </w:p>
    <w:p w14:paraId="7F5C68EC">
      <w:pPr>
        <w:spacing w:line="460" w:lineRule="exact"/>
        <w:jc w:val="center"/>
        <w:rPr>
          <w:rFonts w:ascii="宋体" w:hAnsi="宋体" w:cs="宋体"/>
          <w:color w:val="auto"/>
          <w:sz w:val="44"/>
          <w:szCs w:val="44"/>
        </w:rPr>
      </w:pPr>
    </w:p>
    <w:p w14:paraId="7DA161F5">
      <w:pPr>
        <w:spacing w:line="460" w:lineRule="exact"/>
        <w:jc w:val="center"/>
        <w:rPr>
          <w:rFonts w:ascii="宋体" w:hAnsi="宋体" w:cs="宋体"/>
          <w:color w:val="auto"/>
          <w:sz w:val="32"/>
          <w:szCs w:val="32"/>
        </w:rPr>
      </w:pPr>
    </w:p>
    <w:p w14:paraId="6AF9E9D5">
      <w:pPr>
        <w:spacing w:line="460" w:lineRule="exact"/>
        <w:jc w:val="center"/>
        <w:rPr>
          <w:rFonts w:ascii="宋体" w:hAnsi="宋体" w:cs="宋体"/>
          <w:color w:val="auto"/>
          <w:sz w:val="32"/>
          <w:szCs w:val="32"/>
        </w:rPr>
      </w:pPr>
    </w:p>
    <w:p w14:paraId="7709B507">
      <w:pPr>
        <w:spacing w:line="460" w:lineRule="exact"/>
        <w:jc w:val="center"/>
        <w:rPr>
          <w:rFonts w:ascii="宋体" w:hAnsi="宋体" w:cs="宋体"/>
          <w:color w:val="auto"/>
          <w:sz w:val="32"/>
          <w:szCs w:val="32"/>
        </w:rPr>
      </w:pPr>
    </w:p>
    <w:p w14:paraId="116C7EAF">
      <w:pPr>
        <w:spacing w:line="460" w:lineRule="exact"/>
        <w:rPr>
          <w:rFonts w:ascii="宋体" w:hAnsi="宋体" w:cs="宋体"/>
          <w:color w:val="auto"/>
          <w:sz w:val="32"/>
          <w:szCs w:val="32"/>
        </w:rPr>
      </w:pPr>
    </w:p>
    <w:p w14:paraId="5B4E4768">
      <w:pPr>
        <w:spacing w:line="460" w:lineRule="exact"/>
        <w:jc w:val="center"/>
        <w:rPr>
          <w:rFonts w:ascii="宋体" w:hAnsi="宋体" w:cs="宋体"/>
          <w:color w:val="auto"/>
          <w:sz w:val="32"/>
          <w:szCs w:val="32"/>
        </w:rPr>
      </w:pPr>
    </w:p>
    <w:p w14:paraId="2B9001FA">
      <w:pPr>
        <w:spacing w:line="460" w:lineRule="exact"/>
        <w:jc w:val="center"/>
        <w:rPr>
          <w:rFonts w:ascii="宋体" w:hAnsi="宋体" w:cs="宋体"/>
          <w:color w:val="auto"/>
          <w:sz w:val="32"/>
          <w:szCs w:val="32"/>
        </w:rPr>
      </w:pPr>
    </w:p>
    <w:p w14:paraId="07088D77">
      <w:pPr>
        <w:spacing w:line="460" w:lineRule="exact"/>
        <w:jc w:val="center"/>
        <w:rPr>
          <w:rFonts w:ascii="宋体" w:hAnsi="宋体" w:cs="宋体"/>
          <w:color w:val="auto"/>
          <w:sz w:val="32"/>
          <w:szCs w:val="32"/>
        </w:rPr>
      </w:pPr>
    </w:p>
    <w:p w14:paraId="2B745700">
      <w:pPr>
        <w:spacing w:line="460" w:lineRule="exact"/>
        <w:jc w:val="center"/>
        <w:rPr>
          <w:rFonts w:ascii="宋体" w:hAnsi="宋体" w:cs="宋体"/>
          <w:color w:val="auto"/>
          <w:sz w:val="32"/>
          <w:szCs w:val="32"/>
        </w:rPr>
      </w:pPr>
    </w:p>
    <w:p w14:paraId="0E14113D">
      <w:pPr>
        <w:spacing w:line="460" w:lineRule="exact"/>
        <w:jc w:val="center"/>
        <w:rPr>
          <w:rFonts w:ascii="宋体" w:hAnsi="宋体" w:cs="宋体"/>
          <w:color w:val="auto"/>
          <w:sz w:val="32"/>
          <w:szCs w:val="32"/>
        </w:rPr>
      </w:pPr>
    </w:p>
    <w:p w14:paraId="6C38B0CF">
      <w:pPr>
        <w:autoSpaceDE w:val="0"/>
        <w:autoSpaceDN w:val="0"/>
        <w:adjustRightInd w:val="0"/>
        <w:ind w:firstLine="1960" w:firstLineChars="700"/>
        <w:jc w:val="left"/>
        <w:rPr>
          <w:rFonts w:ascii="宋体" w:hAnsi="宋体" w:cs="宋体"/>
          <w:color w:val="auto"/>
          <w:kern w:val="0"/>
          <w:sz w:val="28"/>
          <w:szCs w:val="28"/>
        </w:rPr>
      </w:pPr>
      <w:r>
        <w:rPr>
          <w:rFonts w:hint="eastAsia" w:ascii="宋体" w:hAnsi="宋体" w:cs="宋体"/>
          <w:color w:val="auto"/>
          <w:kern w:val="0"/>
          <w:sz w:val="28"/>
          <w:szCs w:val="28"/>
        </w:rPr>
        <w:t>投标人：（盖章）</w:t>
      </w:r>
    </w:p>
    <w:p w14:paraId="4DE0F6F2">
      <w:pPr>
        <w:autoSpaceDE w:val="0"/>
        <w:autoSpaceDN w:val="0"/>
        <w:adjustRightInd w:val="0"/>
        <w:ind w:firstLine="1960" w:firstLineChars="700"/>
        <w:jc w:val="left"/>
        <w:rPr>
          <w:rFonts w:ascii="宋体" w:hAnsi="宋体" w:cs="宋体"/>
          <w:color w:val="auto"/>
          <w:kern w:val="0"/>
          <w:sz w:val="28"/>
          <w:szCs w:val="28"/>
        </w:rPr>
      </w:pPr>
      <w:r>
        <w:rPr>
          <w:rFonts w:hint="eastAsia" w:ascii="宋体" w:hAnsi="宋体" w:cs="宋体"/>
          <w:color w:val="auto"/>
          <w:kern w:val="0"/>
          <w:sz w:val="28"/>
          <w:szCs w:val="28"/>
        </w:rPr>
        <w:t>法定代表人或其委托代理人：（签字或盖章）</w:t>
      </w:r>
    </w:p>
    <w:p w14:paraId="717AB1B0">
      <w:pPr>
        <w:ind w:firstLine="1960" w:firstLineChars="700"/>
        <w:rPr>
          <w:rFonts w:hint="eastAsia" w:ascii="宋体" w:hAnsi="宋体" w:cs="宋体"/>
          <w:b/>
          <w:color w:val="auto"/>
          <w:kern w:val="0"/>
          <w:sz w:val="32"/>
          <w:szCs w:val="24"/>
        </w:rPr>
      </w:pPr>
      <w:r>
        <w:rPr>
          <w:rFonts w:hint="eastAsia" w:ascii="宋体" w:hAnsi="宋体" w:cs="宋体"/>
          <w:color w:val="auto"/>
          <w:kern w:val="0"/>
          <w:sz w:val="28"/>
          <w:szCs w:val="28"/>
        </w:rPr>
        <w:t>日期：  年  月  日</w:t>
      </w:r>
    </w:p>
    <w:p w14:paraId="1A351CCD">
      <w:pPr>
        <w:rPr>
          <w:rFonts w:hint="eastAsia" w:ascii="宋体" w:hAnsi="宋体" w:cs="宋体"/>
          <w:b/>
          <w:color w:val="auto"/>
          <w:kern w:val="0"/>
          <w:sz w:val="32"/>
          <w:szCs w:val="24"/>
        </w:rPr>
      </w:pPr>
      <w:r>
        <w:rPr>
          <w:rFonts w:hint="eastAsia" w:ascii="宋体" w:hAnsi="宋体" w:cs="宋体"/>
          <w:b/>
          <w:color w:val="auto"/>
          <w:kern w:val="0"/>
          <w:sz w:val="32"/>
          <w:szCs w:val="24"/>
        </w:rPr>
        <w:br w:type="page"/>
      </w:r>
    </w:p>
    <w:p w14:paraId="60E195FF">
      <w:pPr>
        <w:adjustRightInd w:val="0"/>
        <w:snapToGrid w:val="0"/>
        <w:spacing w:line="360" w:lineRule="auto"/>
        <w:ind w:firstLine="1606" w:firstLineChars="500"/>
        <w:rPr>
          <w:rFonts w:hint="eastAsia" w:ascii="宋体" w:hAnsi="宋体" w:cs="宋体"/>
          <w:b/>
          <w:color w:val="auto"/>
          <w:kern w:val="0"/>
          <w:sz w:val="32"/>
          <w:szCs w:val="24"/>
        </w:rPr>
      </w:pPr>
    </w:p>
    <w:p w14:paraId="1509D8B6">
      <w:pPr>
        <w:adjustRightInd w:val="0"/>
        <w:snapToGrid w:val="0"/>
        <w:spacing w:line="360" w:lineRule="auto"/>
        <w:ind w:firstLine="1606" w:firstLineChars="500"/>
        <w:rPr>
          <w:rFonts w:hint="eastAsia" w:ascii="宋体" w:hAnsi="宋体" w:cs="宋体"/>
          <w:b/>
          <w:color w:val="auto"/>
          <w:kern w:val="0"/>
          <w:sz w:val="32"/>
          <w:szCs w:val="24"/>
        </w:rPr>
      </w:pPr>
    </w:p>
    <w:p w14:paraId="3960961E">
      <w:pPr>
        <w:adjustRightInd w:val="0"/>
        <w:snapToGrid w:val="0"/>
        <w:spacing w:line="360" w:lineRule="auto"/>
        <w:ind w:firstLine="1606" w:firstLineChars="500"/>
        <w:rPr>
          <w:rFonts w:hint="eastAsia" w:ascii="宋体" w:hAnsi="宋体" w:cs="宋体"/>
          <w:b/>
          <w:color w:val="auto"/>
          <w:kern w:val="0"/>
          <w:sz w:val="32"/>
          <w:szCs w:val="24"/>
        </w:rPr>
      </w:pPr>
    </w:p>
    <w:p w14:paraId="634C93F8">
      <w:pPr>
        <w:adjustRightInd w:val="0"/>
        <w:snapToGrid w:val="0"/>
        <w:spacing w:line="360" w:lineRule="auto"/>
        <w:ind w:firstLine="1606" w:firstLineChars="500"/>
        <w:rPr>
          <w:rFonts w:hint="eastAsia" w:ascii="宋体" w:hAnsi="宋体" w:cs="宋体"/>
          <w:b/>
          <w:color w:val="auto"/>
          <w:kern w:val="0"/>
          <w:sz w:val="32"/>
          <w:szCs w:val="24"/>
        </w:rPr>
      </w:pPr>
    </w:p>
    <w:p w14:paraId="0E4DA943">
      <w:pPr>
        <w:adjustRightInd w:val="0"/>
        <w:snapToGrid w:val="0"/>
        <w:spacing w:line="360" w:lineRule="auto"/>
        <w:ind w:firstLine="1606" w:firstLineChars="500"/>
        <w:rPr>
          <w:rFonts w:hint="eastAsia" w:ascii="宋体" w:hAnsi="宋体" w:cs="宋体"/>
          <w:b/>
          <w:color w:val="auto"/>
          <w:kern w:val="0"/>
          <w:sz w:val="32"/>
          <w:szCs w:val="24"/>
        </w:rPr>
      </w:pPr>
    </w:p>
    <w:p w14:paraId="11728E51">
      <w:pPr>
        <w:adjustRightInd w:val="0"/>
        <w:snapToGrid w:val="0"/>
        <w:spacing w:line="360" w:lineRule="auto"/>
        <w:ind w:firstLine="1606" w:firstLineChars="500"/>
        <w:rPr>
          <w:rFonts w:hint="eastAsia" w:ascii="宋体" w:hAnsi="宋体" w:cs="宋体"/>
          <w:b/>
          <w:color w:val="auto"/>
          <w:kern w:val="0"/>
          <w:sz w:val="32"/>
          <w:szCs w:val="24"/>
        </w:rPr>
      </w:pPr>
    </w:p>
    <w:p w14:paraId="0857212A">
      <w:pPr>
        <w:adjustRightInd w:val="0"/>
        <w:snapToGrid w:val="0"/>
        <w:spacing w:line="360" w:lineRule="auto"/>
        <w:ind w:firstLine="1606" w:firstLineChars="500"/>
        <w:rPr>
          <w:rFonts w:ascii="宋体" w:hAnsi="宋体" w:cs="宋体"/>
          <w:b/>
          <w:color w:val="auto"/>
          <w:kern w:val="0"/>
          <w:sz w:val="32"/>
          <w:szCs w:val="24"/>
        </w:rPr>
      </w:pPr>
      <w:r>
        <w:rPr>
          <w:rFonts w:hint="eastAsia" w:ascii="宋体" w:hAnsi="宋体" w:cs="宋体"/>
          <w:b/>
          <w:color w:val="auto"/>
          <w:kern w:val="0"/>
          <w:sz w:val="32"/>
          <w:szCs w:val="24"/>
        </w:rPr>
        <w:t>（具体编制要求详见第二章评标办法要求）</w:t>
      </w:r>
    </w:p>
    <w:p w14:paraId="22CB9E83">
      <w:pPr>
        <w:spacing w:line="360" w:lineRule="auto"/>
        <w:rPr>
          <w:rFonts w:ascii="宋体" w:hAnsi="宋体" w:cs="宋体"/>
          <w:color w:val="auto"/>
        </w:rPr>
      </w:pPr>
    </w:p>
    <w:p w14:paraId="1C316B3C">
      <w:pPr>
        <w:tabs>
          <w:tab w:val="left" w:pos="993"/>
        </w:tabs>
        <w:spacing w:line="360" w:lineRule="auto"/>
        <w:jc w:val="center"/>
        <w:rPr>
          <w:rFonts w:ascii="宋体" w:hAnsi="宋体" w:cs="宋体"/>
          <w:color w:val="auto"/>
          <w:sz w:val="52"/>
          <w:szCs w:val="52"/>
        </w:rPr>
      </w:pPr>
      <w:r>
        <w:rPr>
          <w:rFonts w:hint="eastAsia" w:ascii="宋体" w:hAnsi="宋体" w:cs="宋体"/>
          <w:color w:val="auto"/>
          <w:sz w:val="36"/>
          <w:szCs w:val="36"/>
          <w:u w:val="single"/>
        </w:rPr>
        <w:br w:type="page"/>
      </w:r>
      <w:r>
        <w:rPr>
          <w:rFonts w:hint="eastAsia" w:ascii="宋体" w:hAnsi="宋体" w:cs="宋体"/>
          <w:color w:val="auto"/>
          <w:sz w:val="52"/>
          <w:szCs w:val="52"/>
        </w:rPr>
        <w:t>第三部分</w:t>
      </w:r>
    </w:p>
    <w:p w14:paraId="2D92289E">
      <w:pPr>
        <w:spacing w:line="360" w:lineRule="auto"/>
        <w:jc w:val="center"/>
        <w:rPr>
          <w:rFonts w:ascii="宋体" w:hAnsi="宋体" w:cs="宋体"/>
          <w:color w:val="auto"/>
          <w:sz w:val="36"/>
          <w:szCs w:val="36"/>
          <w:u w:val="single"/>
        </w:rPr>
      </w:pPr>
    </w:p>
    <w:p w14:paraId="740FBCAD">
      <w:pPr>
        <w:spacing w:line="360" w:lineRule="auto"/>
        <w:jc w:val="center"/>
        <w:rPr>
          <w:rFonts w:ascii="宋体" w:hAnsi="宋体" w:cs="宋体"/>
          <w:color w:val="auto"/>
          <w:sz w:val="36"/>
          <w:szCs w:val="36"/>
          <w:u w:val="single"/>
        </w:rPr>
      </w:pPr>
      <w:r>
        <w:rPr>
          <w:rFonts w:hint="eastAsia" w:ascii="宋体" w:hAnsi="宋体" w:cs="宋体"/>
          <w:color w:val="auto"/>
          <w:sz w:val="36"/>
          <w:szCs w:val="36"/>
          <w:u w:val="single"/>
        </w:rPr>
        <w:t>（项目名称）</w:t>
      </w:r>
    </w:p>
    <w:p w14:paraId="64FE64E3">
      <w:pPr>
        <w:spacing w:line="360" w:lineRule="auto"/>
        <w:ind w:firstLine="1234" w:firstLineChars="343"/>
        <w:rPr>
          <w:rFonts w:ascii="宋体" w:hAnsi="宋体" w:cs="宋体"/>
          <w:color w:val="auto"/>
          <w:sz w:val="36"/>
          <w:szCs w:val="36"/>
        </w:rPr>
      </w:pPr>
    </w:p>
    <w:p w14:paraId="4A889CBE">
      <w:pPr>
        <w:spacing w:line="360" w:lineRule="auto"/>
        <w:ind w:firstLine="1234" w:firstLineChars="343"/>
        <w:rPr>
          <w:rFonts w:ascii="宋体" w:hAnsi="宋体" w:cs="宋体"/>
          <w:color w:val="auto"/>
          <w:sz w:val="36"/>
          <w:szCs w:val="36"/>
        </w:rPr>
      </w:pPr>
    </w:p>
    <w:p w14:paraId="398A310A">
      <w:pPr>
        <w:spacing w:line="360" w:lineRule="auto"/>
        <w:ind w:firstLine="1234" w:firstLineChars="343"/>
        <w:rPr>
          <w:rFonts w:ascii="宋体" w:hAnsi="宋体" w:cs="宋体"/>
          <w:color w:val="auto"/>
          <w:sz w:val="36"/>
          <w:szCs w:val="36"/>
        </w:rPr>
      </w:pPr>
    </w:p>
    <w:p w14:paraId="51633984">
      <w:pPr>
        <w:jc w:val="center"/>
        <w:rPr>
          <w:rFonts w:ascii="宋体" w:hAnsi="宋体" w:cs="宋体"/>
          <w:b/>
          <w:color w:val="auto"/>
          <w:sz w:val="52"/>
          <w:szCs w:val="52"/>
        </w:rPr>
      </w:pPr>
      <w:r>
        <w:rPr>
          <w:rFonts w:hint="eastAsia" w:ascii="宋体" w:hAnsi="宋体" w:cs="宋体"/>
          <w:b/>
          <w:color w:val="auto"/>
          <w:sz w:val="52"/>
          <w:szCs w:val="52"/>
        </w:rPr>
        <w:t>商务标</w:t>
      </w:r>
    </w:p>
    <w:p w14:paraId="37CB60AE">
      <w:pPr>
        <w:adjustRightInd w:val="0"/>
        <w:snapToGrid w:val="0"/>
        <w:spacing w:line="360" w:lineRule="auto"/>
        <w:rPr>
          <w:rFonts w:ascii="宋体" w:hAnsi="宋体" w:cs="宋体"/>
          <w:color w:val="auto"/>
          <w:sz w:val="24"/>
          <w:szCs w:val="24"/>
        </w:rPr>
      </w:pPr>
    </w:p>
    <w:p w14:paraId="723A4872">
      <w:pPr>
        <w:adjustRightInd w:val="0"/>
        <w:snapToGrid w:val="0"/>
        <w:spacing w:line="360" w:lineRule="auto"/>
        <w:rPr>
          <w:rFonts w:ascii="宋体" w:hAnsi="宋体" w:cs="宋体"/>
          <w:color w:val="auto"/>
          <w:sz w:val="10"/>
          <w:szCs w:val="10"/>
        </w:rPr>
      </w:pPr>
    </w:p>
    <w:p w14:paraId="1FBAEF49">
      <w:pPr>
        <w:adjustRightInd w:val="0"/>
        <w:snapToGrid w:val="0"/>
        <w:spacing w:line="360" w:lineRule="auto"/>
        <w:jc w:val="center"/>
        <w:rPr>
          <w:rFonts w:ascii="宋体" w:hAnsi="宋体" w:cs="宋体"/>
          <w:color w:val="auto"/>
          <w:sz w:val="32"/>
          <w:szCs w:val="32"/>
        </w:rPr>
      </w:pPr>
    </w:p>
    <w:p w14:paraId="34CD9FCF">
      <w:pPr>
        <w:adjustRightInd w:val="0"/>
        <w:snapToGrid w:val="0"/>
        <w:spacing w:line="360" w:lineRule="auto"/>
        <w:jc w:val="center"/>
        <w:rPr>
          <w:rFonts w:ascii="宋体" w:hAnsi="宋体" w:cs="宋体"/>
          <w:color w:val="auto"/>
          <w:sz w:val="32"/>
          <w:szCs w:val="32"/>
        </w:rPr>
      </w:pPr>
    </w:p>
    <w:p w14:paraId="04AB7002">
      <w:pPr>
        <w:adjustRightInd w:val="0"/>
        <w:snapToGrid w:val="0"/>
        <w:spacing w:line="360" w:lineRule="auto"/>
        <w:jc w:val="center"/>
        <w:rPr>
          <w:rFonts w:ascii="宋体" w:hAnsi="宋体" w:cs="宋体"/>
          <w:color w:val="auto"/>
          <w:sz w:val="32"/>
          <w:szCs w:val="32"/>
        </w:rPr>
      </w:pPr>
    </w:p>
    <w:p w14:paraId="2452956B">
      <w:pPr>
        <w:adjustRightInd w:val="0"/>
        <w:snapToGrid w:val="0"/>
        <w:spacing w:line="360" w:lineRule="auto"/>
        <w:jc w:val="center"/>
        <w:rPr>
          <w:rFonts w:ascii="宋体" w:hAnsi="宋体" w:cs="宋体"/>
          <w:color w:val="auto"/>
          <w:sz w:val="32"/>
          <w:szCs w:val="32"/>
        </w:rPr>
      </w:pPr>
    </w:p>
    <w:p w14:paraId="5898876A">
      <w:pPr>
        <w:adjustRightInd w:val="0"/>
        <w:snapToGrid w:val="0"/>
        <w:spacing w:line="360" w:lineRule="auto"/>
        <w:ind w:firstLine="960" w:firstLineChars="300"/>
        <w:rPr>
          <w:rFonts w:ascii="宋体" w:hAnsi="宋体" w:cs="宋体"/>
          <w:bCs/>
          <w:color w:val="auto"/>
          <w:sz w:val="32"/>
          <w:szCs w:val="32"/>
          <w:u w:val="single"/>
        </w:rPr>
      </w:pPr>
      <w:r>
        <w:rPr>
          <w:rFonts w:hint="eastAsia" w:ascii="宋体" w:hAnsi="宋体" w:cs="宋体"/>
          <w:bCs/>
          <w:color w:val="auto"/>
          <w:sz w:val="32"/>
          <w:szCs w:val="32"/>
        </w:rPr>
        <w:t>投标人：</w:t>
      </w:r>
      <w:r>
        <w:rPr>
          <w:rFonts w:hint="eastAsia" w:ascii="宋体" w:hAnsi="宋体" w:cs="宋体"/>
          <w:bCs/>
          <w:color w:val="auto"/>
          <w:sz w:val="32"/>
          <w:szCs w:val="32"/>
          <w:u w:val="single"/>
        </w:rPr>
        <w:t>（公章）</w:t>
      </w:r>
    </w:p>
    <w:p w14:paraId="38A53C91">
      <w:pPr>
        <w:adjustRightInd w:val="0"/>
        <w:snapToGrid w:val="0"/>
        <w:spacing w:line="360" w:lineRule="auto"/>
        <w:ind w:firstLine="1680"/>
        <w:rPr>
          <w:rFonts w:ascii="宋体" w:hAnsi="宋体" w:cs="宋体"/>
          <w:bCs/>
          <w:color w:val="auto"/>
          <w:sz w:val="18"/>
          <w:szCs w:val="18"/>
        </w:rPr>
      </w:pPr>
    </w:p>
    <w:p w14:paraId="0E9EECAD">
      <w:pPr>
        <w:adjustRightInd w:val="0"/>
        <w:snapToGrid w:val="0"/>
        <w:spacing w:line="360" w:lineRule="auto"/>
        <w:ind w:firstLine="960" w:firstLineChars="300"/>
        <w:rPr>
          <w:rFonts w:ascii="宋体" w:hAnsi="宋体" w:cs="宋体"/>
          <w:bCs/>
          <w:color w:val="auto"/>
          <w:sz w:val="32"/>
          <w:szCs w:val="32"/>
          <w:u w:val="single"/>
        </w:rPr>
      </w:pPr>
      <w:r>
        <w:rPr>
          <w:rFonts w:hint="eastAsia" w:ascii="宋体" w:hAnsi="宋体" w:cs="宋体"/>
          <w:bCs/>
          <w:color w:val="auto"/>
          <w:sz w:val="32"/>
          <w:szCs w:val="32"/>
        </w:rPr>
        <w:t>法定代表人或其委托代理人：</w:t>
      </w:r>
      <w:r>
        <w:rPr>
          <w:rFonts w:hint="eastAsia" w:ascii="宋体" w:hAnsi="宋体" w:cs="宋体"/>
          <w:bCs/>
          <w:color w:val="auto"/>
          <w:sz w:val="32"/>
          <w:szCs w:val="32"/>
          <w:u w:val="single"/>
        </w:rPr>
        <w:t>（签字或盖章）</w:t>
      </w:r>
    </w:p>
    <w:p w14:paraId="20E66A1D">
      <w:pPr>
        <w:adjustRightInd w:val="0"/>
        <w:snapToGrid w:val="0"/>
        <w:spacing w:line="360" w:lineRule="auto"/>
        <w:jc w:val="center"/>
        <w:rPr>
          <w:rFonts w:ascii="宋体" w:hAnsi="宋体" w:cs="宋体"/>
          <w:bCs/>
          <w:color w:val="auto"/>
          <w:sz w:val="18"/>
          <w:szCs w:val="18"/>
        </w:rPr>
      </w:pPr>
    </w:p>
    <w:p w14:paraId="0968676C">
      <w:pPr>
        <w:adjustRightInd w:val="0"/>
        <w:snapToGrid w:val="0"/>
        <w:spacing w:line="360" w:lineRule="auto"/>
        <w:ind w:firstLine="944" w:firstLineChars="295"/>
        <w:rPr>
          <w:rFonts w:ascii="宋体" w:hAnsi="宋体" w:cs="宋体"/>
          <w:bCs/>
          <w:color w:val="auto"/>
          <w:sz w:val="32"/>
          <w:szCs w:val="32"/>
          <w:u w:val="single"/>
        </w:rPr>
      </w:pPr>
      <w:r>
        <w:rPr>
          <w:rFonts w:hint="eastAsia" w:ascii="宋体" w:hAnsi="宋体" w:cs="宋体"/>
          <w:bCs/>
          <w:color w:val="auto"/>
          <w:sz w:val="32"/>
          <w:szCs w:val="32"/>
        </w:rPr>
        <w:t>地址：</w:t>
      </w:r>
    </w:p>
    <w:p w14:paraId="427BE109">
      <w:pPr>
        <w:spacing w:line="360" w:lineRule="auto"/>
        <w:ind w:firstLine="960" w:firstLineChars="300"/>
        <w:rPr>
          <w:rFonts w:ascii="宋体" w:hAnsi="宋体" w:cs="宋体"/>
          <w:bCs/>
          <w:color w:val="auto"/>
          <w:sz w:val="36"/>
          <w:szCs w:val="36"/>
        </w:rPr>
      </w:pPr>
      <w:r>
        <w:rPr>
          <w:rFonts w:hint="eastAsia" w:ascii="宋体" w:hAnsi="宋体" w:cs="宋体"/>
          <w:bCs/>
          <w:color w:val="auto"/>
          <w:sz w:val="32"/>
          <w:szCs w:val="32"/>
        </w:rPr>
        <w:t>日期：  年  月  日</w:t>
      </w:r>
    </w:p>
    <w:p w14:paraId="7DC9BF0C">
      <w:pPr>
        <w:tabs>
          <w:tab w:val="left" w:pos="993"/>
        </w:tabs>
        <w:spacing w:line="360" w:lineRule="auto"/>
        <w:rPr>
          <w:rFonts w:ascii="宋体" w:hAnsi="宋体" w:cs="宋体"/>
          <w:color w:val="auto"/>
        </w:rPr>
      </w:pPr>
    </w:p>
    <w:p w14:paraId="05A5620C">
      <w:pPr>
        <w:jc w:val="center"/>
        <w:rPr>
          <w:rFonts w:ascii="宋体" w:hAnsi="宋体" w:cs="宋体"/>
          <w:b/>
          <w:color w:val="auto"/>
          <w:sz w:val="32"/>
          <w:szCs w:val="32"/>
        </w:rPr>
      </w:pPr>
      <w:bookmarkStart w:id="21" w:name="_Toc420493869"/>
      <w:bookmarkStart w:id="22" w:name="_Toc512348120"/>
    </w:p>
    <w:p w14:paraId="49FA056E">
      <w:pPr>
        <w:jc w:val="center"/>
        <w:rPr>
          <w:rFonts w:ascii="宋体" w:hAnsi="宋体" w:cs="宋体"/>
          <w:b/>
          <w:color w:val="auto"/>
          <w:sz w:val="32"/>
          <w:szCs w:val="32"/>
        </w:rPr>
      </w:pPr>
    </w:p>
    <w:p w14:paraId="39BCE628">
      <w:pPr>
        <w:jc w:val="center"/>
        <w:rPr>
          <w:rFonts w:ascii="宋体" w:hAnsi="宋体" w:cs="宋体"/>
          <w:b/>
          <w:color w:val="auto"/>
          <w:sz w:val="32"/>
          <w:szCs w:val="32"/>
        </w:rPr>
      </w:pPr>
    </w:p>
    <w:bookmarkEnd w:id="21"/>
    <w:bookmarkEnd w:id="22"/>
    <w:p w14:paraId="4B70D303">
      <w:pPr>
        <w:autoSpaceDE w:val="0"/>
        <w:autoSpaceDN w:val="0"/>
        <w:adjustRightInd w:val="0"/>
        <w:spacing w:line="360" w:lineRule="auto"/>
        <w:jc w:val="center"/>
        <w:rPr>
          <w:rFonts w:ascii="宋体" w:hAnsi="宋体" w:cs="宋体"/>
          <w:b/>
          <w:color w:val="auto"/>
          <w:kern w:val="0"/>
          <w:sz w:val="32"/>
          <w:szCs w:val="32"/>
        </w:rPr>
      </w:pPr>
      <w:bookmarkStart w:id="23" w:name="_Toc387526439"/>
      <w:bookmarkStart w:id="24" w:name="_Toc387526347"/>
      <w:bookmarkStart w:id="25" w:name="_Toc387526243"/>
      <w:bookmarkStart w:id="26" w:name="_Toc4085"/>
      <w:r>
        <w:rPr>
          <w:rFonts w:hint="eastAsia" w:ascii="宋体" w:hAnsi="宋体" w:cs="宋体"/>
          <w:b/>
          <w:color w:val="auto"/>
          <w:kern w:val="0"/>
          <w:sz w:val="32"/>
          <w:szCs w:val="32"/>
        </w:rPr>
        <w:t>1、投标函</w:t>
      </w:r>
    </w:p>
    <w:p w14:paraId="56440374">
      <w:pPr>
        <w:keepNext w:val="0"/>
        <w:keepLines w:val="0"/>
        <w:pageBreakBefore w:val="0"/>
        <w:widowControl w:val="0"/>
        <w:tabs>
          <w:tab w:val="left" w:pos="3023"/>
        </w:tabs>
        <w:kinsoku/>
        <w:wordWrap/>
        <w:overflowPunct/>
        <w:topLinePunct w:val="0"/>
        <w:autoSpaceDE w:val="0"/>
        <w:autoSpaceDN w:val="0"/>
        <w:bidi w:val="0"/>
        <w:adjustRightInd/>
        <w:snapToGrid/>
        <w:spacing w:line="360" w:lineRule="auto"/>
        <w:ind w:right="-20"/>
        <w:jc w:val="left"/>
        <w:textAlignment w:val="auto"/>
        <w:rPr>
          <w:rFonts w:hint="eastAsia" w:ascii="宋体" w:hAnsi="宋体" w:cs="宋体"/>
          <w:color w:val="auto"/>
          <w:kern w:val="0"/>
          <w:position w:val="-3"/>
          <w:sz w:val="24"/>
          <w:szCs w:val="24"/>
        </w:rPr>
      </w:pPr>
    </w:p>
    <w:p w14:paraId="0E788C0C">
      <w:pPr>
        <w:keepNext w:val="0"/>
        <w:keepLines w:val="0"/>
        <w:pageBreakBefore w:val="0"/>
        <w:widowControl w:val="0"/>
        <w:tabs>
          <w:tab w:val="left" w:pos="3023"/>
        </w:tabs>
        <w:kinsoku/>
        <w:wordWrap/>
        <w:overflowPunct/>
        <w:topLinePunct w:val="0"/>
        <w:autoSpaceDE w:val="0"/>
        <w:autoSpaceDN w:val="0"/>
        <w:bidi w:val="0"/>
        <w:adjustRightInd/>
        <w:snapToGrid/>
        <w:spacing w:line="360" w:lineRule="auto"/>
        <w:ind w:right="-20"/>
        <w:jc w:val="left"/>
        <w:textAlignment w:val="auto"/>
        <w:rPr>
          <w:rFonts w:ascii="宋体" w:hAnsi="宋体" w:cs="宋体"/>
          <w:color w:val="auto"/>
          <w:kern w:val="0"/>
          <w:sz w:val="24"/>
          <w:szCs w:val="24"/>
        </w:rPr>
      </w:pPr>
      <w:r>
        <w:rPr>
          <w:rFonts w:hint="eastAsia" w:ascii="宋体" w:hAnsi="宋体" w:cs="宋体"/>
          <w:color w:val="auto"/>
          <w:kern w:val="0"/>
          <w:position w:val="-3"/>
          <w:sz w:val="24"/>
          <w:szCs w:val="24"/>
        </w:rPr>
        <w:t>致：南通宝月湖科创投资集团有限公司</w:t>
      </w:r>
    </w:p>
    <w:p w14:paraId="1C90D26E">
      <w:pPr>
        <w:keepNext w:val="0"/>
        <w:keepLines w:val="0"/>
        <w:pageBreakBefore w:val="0"/>
        <w:widowControl w:val="0"/>
        <w:kinsoku/>
        <w:wordWrap/>
        <w:overflowPunct/>
        <w:topLinePunct w:val="0"/>
        <w:autoSpaceDE w:val="0"/>
        <w:autoSpaceDN w:val="0"/>
        <w:bidi w:val="0"/>
        <w:adjustRightInd/>
        <w:snapToGrid/>
        <w:spacing w:before="83" w:line="360" w:lineRule="auto"/>
        <w:ind w:right="-20"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我方已仔细研究了</w:t>
      </w:r>
      <w:r>
        <w:rPr>
          <w:rFonts w:hint="eastAsia" w:ascii="宋体" w:hAnsi="宋体" w:cs="宋体"/>
          <w:color w:val="auto"/>
          <w:kern w:val="0"/>
          <w:sz w:val="24"/>
          <w:szCs w:val="24"/>
          <w:u w:val="single"/>
        </w:rPr>
        <w:tab/>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u w:val="single"/>
        </w:rPr>
        <w:t>（项目名称）</w:t>
      </w:r>
      <w:r>
        <w:rPr>
          <w:rFonts w:hint="eastAsia" w:ascii="宋体" w:hAnsi="宋体" w:cs="宋体"/>
          <w:color w:val="auto"/>
          <w:kern w:val="0"/>
          <w:sz w:val="24"/>
          <w:szCs w:val="24"/>
        </w:rPr>
        <w:t>招标文件的全部内容，</w:t>
      </w:r>
      <w:r>
        <w:rPr>
          <w:rFonts w:hint="eastAsia" w:ascii="宋体" w:hAnsi="宋体" w:cs="宋体"/>
          <w:color w:val="auto"/>
          <w:kern w:val="0"/>
          <w:sz w:val="24"/>
          <w:szCs w:val="24"/>
          <w:lang w:val="en-US" w:eastAsia="zh-CN"/>
        </w:rPr>
        <w:t>愿</w:t>
      </w:r>
      <w:r>
        <w:rPr>
          <w:rFonts w:hint="eastAsia" w:ascii="宋体" w:hAnsi="宋体" w:cs="宋体"/>
          <w:color w:val="auto"/>
          <w:kern w:val="0"/>
          <w:sz w:val="24"/>
          <w:szCs w:val="24"/>
          <w:highlight w:val="none"/>
          <w:lang w:val="en-US" w:eastAsia="zh-CN"/>
        </w:rPr>
        <w:t>意以</w:t>
      </w:r>
      <w:r>
        <w:rPr>
          <w:rFonts w:hint="eastAsia" w:ascii="宋体" w:hAnsi="宋体" w:cs="宋体"/>
          <w:color w:val="auto"/>
          <w:kern w:val="0"/>
          <w:sz w:val="24"/>
          <w:szCs w:val="24"/>
          <w:highlight w:val="none"/>
        </w:rPr>
        <w:t>计提比例</w:t>
      </w:r>
      <w:r>
        <w:rPr>
          <w:rFonts w:hint="eastAsia" w:ascii="宋体" w:hAnsi="宋体" w:cs="宋体"/>
          <w:color w:val="auto"/>
          <w:kern w:val="0"/>
          <w:sz w:val="24"/>
          <w:szCs w:val="24"/>
          <w:highlight w:val="none"/>
          <w:lang w:val="en-US" w:eastAsia="zh-CN"/>
        </w:rPr>
        <w:t>为基数，以市场</w:t>
      </w:r>
      <w:r>
        <w:rPr>
          <w:rFonts w:hint="eastAsia" w:ascii="宋体" w:hAnsi="宋体" w:cs="宋体"/>
          <w:color w:val="auto"/>
          <w:kern w:val="0"/>
          <w:sz w:val="24"/>
          <w:szCs w:val="24"/>
          <w:lang w:val="en-US" w:eastAsia="zh-CN"/>
        </w:rPr>
        <w:t>化管理人</w:t>
      </w:r>
      <w:r>
        <w:rPr>
          <w:rFonts w:hint="eastAsia" w:ascii="宋体" w:hAnsi="宋体" w:cs="宋体"/>
          <w:color w:val="auto"/>
          <w:kern w:val="0"/>
          <w:sz w:val="24"/>
          <w:szCs w:val="24"/>
        </w:rPr>
        <w:t>管理费</w:t>
      </w:r>
      <w:r>
        <w:rPr>
          <w:rFonts w:hint="eastAsia" w:ascii="宋体" w:hAnsi="宋体" w:cs="宋体"/>
          <w:color w:val="auto"/>
          <w:kern w:val="0"/>
          <w:sz w:val="24"/>
          <w:szCs w:val="24"/>
          <w:lang w:val="en-US" w:eastAsia="zh-CN"/>
        </w:rPr>
        <w:t>收取比例为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en-US" w:eastAsia="zh-CN"/>
        </w:rPr>
        <w:t>%</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完成招标范围</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项目需求</w:t>
      </w:r>
      <w:r>
        <w:rPr>
          <w:rFonts w:hint="eastAsia" w:ascii="宋体" w:hAnsi="宋体" w:cs="宋体"/>
          <w:color w:val="auto"/>
          <w:kern w:val="0"/>
          <w:sz w:val="24"/>
          <w:szCs w:val="24"/>
        </w:rPr>
        <w:t xml:space="preserve">内的全部工作。 </w:t>
      </w:r>
    </w:p>
    <w:p w14:paraId="5BF13937">
      <w:pPr>
        <w:keepNext w:val="0"/>
        <w:keepLines w:val="0"/>
        <w:pageBreakBefore w:val="0"/>
        <w:widowControl w:val="0"/>
        <w:kinsoku/>
        <w:wordWrap/>
        <w:overflowPunct/>
        <w:topLinePunct w:val="0"/>
        <w:autoSpaceDE w:val="0"/>
        <w:autoSpaceDN w:val="0"/>
        <w:bidi w:val="0"/>
        <w:adjustRightInd/>
        <w:snapToGrid/>
        <w:spacing w:before="83" w:line="360" w:lineRule="auto"/>
        <w:ind w:right="-20"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2. 我方的投标文件的组成部分如存在内容不一致的，以投标函为准。</w:t>
      </w:r>
    </w:p>
    <w:p w14:paraId="42667F1E">
      <w:pPr>
        <w:keepNext w:val="0"/>
        <w:keepLines w:val="0"/>
        <w:pageBreakBefore w:val="0"/>
        <w:widowControl w:val="0"/>
        <w:kinsoku/>
        <w:wordWrap/>
        <w:overflowPunct/>
        <w:topLinePunct w:val="0"/>
        <w:autoSpaceDE w:val="0"/>
        <w:autoSpaceDN w:val="0"/>
        <w:bidi w:val="0"/>
        <w:adjustRightInd/>
        <w:snapToGrid/>
        <w:spacing w:before="83" w:line="360" w:lineRule="auto"/>
        <w:ind w:right="-2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3．我方承诺在招标文件规定的投标有效期内不撤销投标文件。</w:t>
      </w:r>
    </w:p>
    <w:p w14:paraId="2B9F8F6A">
      <w:pPr>
        <w:keepNext w:val="0"/>
        <w:keepLines w:val="0"/>
        <w:pageBreakBefore w:val="0"/>
        <w:widowControl w:val="0"/>
        <w:kinsoku/>
        <w:wordWrap/>
        <w:overflowPunct/>
        <w:topLinePunct w:val="0"/>
        <w:autoSpaceDE w:val="0"/>
        <w:autoSpaceDN w:val="0"/>
        <w:bidi w:val="0"/>
        <w:adjustRightInd/>
        <w:snapToGrid/>
        <w:spacing w:before="81" w:line="360" w:lineRule="auto"/>
        <w:ind w:right="-2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4．如我方中标，我方承诺：</w:t>
      </w:r>
    </w:p>
    <w:p w14:paraId="4A4A6DF7">
      <w:pPr>
        <w:keepNext w:val="0"/>
        <w:keepLines w:val="0"/>
        <w:pageBreakBefore w:val="0"/>
        <w:widowControl w:val="0"/>
        <w:kinsoku/>
        <w:wordWrap/>
        <w:overflowPunct/>
        <w:topLinePunct w:val="0"/>
        <w:autoSpaceDE w:val="0"/>
        <w:autoSpaceDN w:val="0"/>
        <w:bidi w:val="0"/>
        <w:adjustRightInd/>
        <w:snapToGrid/>
        <w:spacing w:before="81" w:line="360" w:lineRule="auto"/>
        <w:ind w:right="-20" w:firstLine="240" w:firstLineChars="100"/>
        <w:jc w:val="left"/>
        <w:textAlignment w:val="auto"/>
        <w:rPr>
          <w:rFonts w:ascii="宋体" w:hAnsi="宋体" w:cs="宋体"/>
          <w:color w:val="auto"/>
          <w:kern w:val="0"/>
          <w:sz w:val="24"/>
          <w:szCs w:val="24"/>
        </w:rPr>
      </w:pPr>
      <w:r>
        <w:rPr>
          <w:rFonts w:hint="eastAsia" w:ascii="宋体" w:hAnsi="宋体" w:cs="宋体"/>
          <w:color w:val="auto"/>
          <w:kern w:val="0"/>
          <w:sz w:val="24"/>
          <w:szCs w:val="24"/>
        </w:rPr>
        <w:t>（1）在收到中标通知书后，在中标通知书规定的期限内与你方签订合同；</w:t>
      </w:r>
    </w:p>
    <w:p w14:paraId="0D8FEEE7">
      <w:pPr>
        <w:keepNext w:val="0"/>
        <w:keepLines w:val="0"/>
        <w:pageBreakBefore w:val="0"/>
        <w:widowControl w:val="0"/>
        <w:kinsoku/>
        <w:wordWrap/>
        <w:overflowPunct/>
        <w:topLinePunct w:val="0"/>
        <w:autoSpaceDE w:val="0"/>
        <w:autoSpaceDN w:val="0"/>
        <w:bidi w:val="0"/>
        <w:adjustRightInd/>
        <w:snapToGrid/>
        <w:spacing w:before="81" w:line="360" w:lineRule="auto"/>
        <w:ind w:right="-20" w:firstLine="240" w:firstLineChars="100"/>
        <w:jc w:val="left"/>
        <w:textAlignment w:val="auto"/>
        <w:rPr>
          <w:rFonts w:ascii="宋体" w:hAnsi="宋体" w:cs="宋体"/>
          <w:color w:val="auto"/>
          <w:kern w:val="0"/>
          <w:sz w:val="24"/>
          <w:szCs w:val="24"/>
        </w:rPr>
      </w:pPr>
      <w:r>
        <w:rPr>
          <w:rFonts w:hint="eastAsia" w:ascii="宋体" w:hAnsi="宋体" w:cs="宋体"/>
          <w:color w:val="auto"/>
          <w:kern w:val="0"/>
          <w:sz w:val="24"/>
          <w:szCs w:val="24"/>
        </w:rPr>
        <w:t>（2）在签订合同时不向你方提出附加条件；</w:t>
      </w:r>
    </w:p>
    <w:p w14:paraId="56E10A0F">
      <w:pPr>
        <w:keepNext w:val="0"/>
        <w:keepLines w:val="0"/>
        <w:pageBreakBefore w:val="0"/>
        <w:widowControl w:val="0"/>
        <w:kinsoku/>
        <w:wordWrap/>
        <w:overflowPunct/>
        <w:topLinePunct w:val="0"/>
        <w:autoSpaceDE w:val="0"/>
        <w:autoSpaceDN w:val="0"/>
        <w:bidi w:val="0"/>
        <w:adjustRightInd/>
        <w:snapToGrid/>
        <w:spacing w:before="81" w:line="360" w:lineRule="auto"/>
        <w:ind w:right="-20" w:firstLine="240" w:firstLineChars="100"/>
        <w:jc w:val="left"/>
        <w:textAlignment w:val="auto"/>
        <w:rPr>
          <w:rFonts w:ascii="宋体" w:hAnsi="宋体" w:cs="宋体"/>
          <w:color w:val="auto"/>
          <w:kern w:val="0"/>
          <w:sz w:val="24"/>
          <w:szCs w:val="24"/>
        </w:rPr>
      </w:pPr>
      <w:r>
        <w:rPr>
          <w:rFonts w:hint="eastAsia" w:ascii="宋体" w:hAnsi="宋体" w:cs="宋体"/>
          <w:color w:val="auto"/>
          <w:kern w:val="0"/>
          <w:sz w:val="24"/>
          <w:szCs w:val="24"/>
        </w:rPr>
        <w:t>（3）按照招标文件要求提交履约保证金；</w:t>
      </w:r>
    </w:p>
    <w:p w14:paraId="065DDF6B">
      <w:pPr>
        <w:keepNext w:val="0"/>
        <w:keepLines w:val="0"/>
        <w:pageBreakBefore w:val="0"/>
        <w:widowControl w:val="0"/>
        <w:kinsoku/>
        <w:wordWrap/>
        <w:overflowPunct/>
        <w:topLinePunct w:val="0"/>
        <w:autoSpaceDE w:val="0"/>
        <w:autoSpaceDN w:val="0"/>
        <w:bidi w:val="0"/>
        <w:adjustRightInd/>
        <w:snapToGrid/>
        <w:spacing w:before="81" w:line="360" w:lineRule="auto"/>
        <w:ind w:right="-20" w:firstLine="240" w:firstLineChars="100"/>
        <w:jc w:val="left"/>
        <w:textAlignment w:val="auto"/>
        <w:rPr>
          <w:rFonts w:ascii="宋体" w:hAnsi="宋体" w:cs="宋体"/>
          <w:color w:val="auto"/>
          <w:kern w:val="0"/>
          <w:sz w:val="24"/>
          <w:szCs w:val="24"/>
        </w:rPr>
      </w:pPr>
      <w:r>
        <w:rPr>
          <w:rFonts w:hint="eastAsia" w:ascii="宋体" w:hAnsi="宋体" w:cs="宋体"/>
          <w:color w:val="auto"/>
          <w:kern w:val="0"/>
          <w:sz w:val="24"/>
          <w:szCs w:val="24"/>
        </w:rPr>
        <w:t>（4）在合同约定的期限内完成合同规定的全部义务。</w:t>
      </w:r>
    </w:p>
    <w:p w14:paraId="5E1CC730">
      <w:pPr>
        <w:keepNext w:val="0"/>
        <w:keepLines w:val="0"/>
        <w:pageBreakBefore w:val="0"/>
        <w:widowControl w:val="0"/>
        <w:kinsoku/>
        <w:wordWrap/>
        <w:overflowPunct/>
        <w:topLinePunct w:val="0"/>
        <w:autoSpaceDE w:val="0"/>
        <w:autoSpaceDN w:val="0"/>
        <w:bidi w:val="0"/>
        <w:adjustRightInd/>
        <w:snapToGrid/>
        <w:spacing w:before="83" w:line="360" w:lineRule="auto"/>
        <w:ind w:right="-2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5．我方在此声明，所递交的投标文件及有关资料内容完整、真实和准确。</w:t>
      </w:r>
    </w:p>
    <w:p w14:paraId="40C25308">
      <w:pPr>
        <w:keepNext w:val="0"/>
        <w:keepLines w:val="0"/>
        <w:pageBreakBefore w:val="0"/>
        <w:widowControl w:val="0"/>
        <w:tabs>
          <w:tab w:val="left" w:pos="7005"/>
        </w:tabs>
        <w:kinsoku/>
        <w:wordWrap/>
        <w:overflowPunct/>
        <w:topLinePunct w:val="0"/>
        <w:autoSpaceDE w:val="0"/>
        <w:autoSpaceDN w:val="0"/>
        <w:bidi w:val="0"/>
        <w:adjustRightInd/>
        <w:snapToGrid/>
        <w:spacing w:line="360" w:lineRule="auto"/>
        <w:ind w:left="2621" w:right="-20" w:firstLine="480" w:firstLineChars="200"/>
        <w:jc w:val="left"/>
        <w:textAlignment w:val="auto"/>
        <w:rPr>
          <w:rFonts w:hint="eastAsia" w:ascii="宋体" w:hAnsi="宋体" w:cs="宋体"/>
          <w:color w:val="auto"/>
          <w:kern w:val="0"/>
          <w:sz w:val="24"/>
          <w:szCs w:val="24"/>
        </w:rPr>
      </w:pPr>
    </w:p>
    <w:p w14:paraId="2D518D65">
      <w:pPr>
        <w:keepNext w:val="0"/>
        <w:keepLines w:val="0"/>
        <w:pageBreakBefore w:val="0"/>
        <w:widowControl w:val="0"/>
        <w:tabs>
          <w:tab w:val="left" w:pos="7005"/>
        </w:tabs>
        <w:kinsoku/>
        <w:wordWrap/>
        <w:overflowPunct/>
        <w:topLinePunct w:val="0"/>
        <w:autoSpaceDE w:val="0"/>
        <w:autoSpaceDN w:val="0"/>
        <w:bidi w:val="0"/>
        <w:adjustRightInd/>
        <w:snapToGrid/>
        <w:spacing w:line="360" w:lineRule="auto"/>
        <w:ind w:right="-20"/>
        <w:jc w:val="left"/>
        <w:textAlignment w:val="auto"/>
        <w:rPr>
          <w:rFonts w:ascii="宋体" w:hAnsi="宋体" w:cs="宋体"/>
          <w:color w:val="auto"/>
          <w:kern w:val="0"/>
          <w:sz w:val="24"/>
          <w:szCs w:val="24"/>
        </w:rPr>
      </w:pPr>
      <w:r>
        <w:rPr>
          <w:rFonts w:hint="eastAsia" w:ascii="宋体" w:hAnsi="宋体" w:cs="宋体"/>
          <w:color w:val="auto"/>
          <w:kern w:val="0"/>
          <w:sz w:val="24"/>
          <w:szCs w:val="24"/>
        </w:rPr>
        <w:t>投标人：（公章）</w:t>
      </w:r>
    </w:p>
    <w:p w14:paraId="5231A3D1">
      <w:pPr>
        <w:keepNext w:val="0"/>
        <w:keepLines w:val="0"/>
        <w:pageBreakBefore w:val="0"/>
        <w:widowControl w:val="0"/>
        <w:tabs>
          <w:tab w:val="left" w:pos="6380"/>
        </w:tabs>
        <w:kinsoku/>
        <w:wordWrap/>
        <w:overflowPunct/>
        <w:topLinePunct w:val="0"/>
        <w:autoSpaceDE w:val="0"/>
        <w:autoSpaceDN w:val="0"/>
        <w:bidi w:val="0"/>
        <w:adjustRightInd/>
        <w:snapToGrid/>
        <w:spacing w:before="9" w:line="360" w:lineRule="auto"/>
        <w:ind w:right="-20"/>
        <w:jc w:val="left"/>
        <w:textAlignment w:val="auto"/>
        <w:rPr>
          <w:rFonts w:ascii="宋体" w:hAnsi="宋体" w:cs="宋体"/>
          <w:color w:val="auto"/>
          <w:kern w:val="0"/>
          <w:sz w:val="24"/>
          <w:szCs w:val="24"/>
        </w:rPr>
      </w:pPr>
      <w:r>
        <w:rPr>
          <w:rFonts w:hint="eastAsia" w:ascii="宋体" w:hAnsi="宋体" w:cs="宋体"/>
          <w:color w:val="auto"/>
          <w:kern w:val="0"/>
          <w:position w:val="-4"/>
          <w:sz w:val="24"/>
          <w:szCs w:val="24"/>
        </w:rPr>
        <w:t>法定代表人或其委托代理人：（签字或盖章）</w:t>
      </w:r>
    </w:p>
    <w:p w14:paraId="2F4050ED">
      <w:pPr>
        <w:keepNext w:val="0"/>
        <w:keepLines w:val="0"/>
        <w:pageBreakBefore w:val="0"/>
        <w:widowControl w:val="0"/>
        <w:tabs>
          <w:tab w:val="left" w:pos="3220"/>
          <w:tab w:val="left" w:pos="8480"/>
        </w:tabs>
        <w:kinsoku/>
        <w:wordWrap/>
        <w:overflowPunct/>
        <w:topLinePunct w:val="0"/>
        <w:autoSpaceDE w:val="0"/>
        <w:autoSpaceDN w:val="0"/>
        <w:bidi w:val="0"/>
        <w:adjustRightInd/>
        <w:snapToGrid/>
        <w:spacing w:line="360" w:lineRule="auto"/>
        <w:ind w:right="-20"/>
        <w:jc w:val="left"/>
        <w:textAlignment w:val="auto"/>
        <w:rPr>
          <w:rFonts w:ascii="宋体" w:hAnsi="宋体" w:cs="宋体"/>
          <w:color w:val="auto"/>
          <w:kern w:val="0"/>
          <w:sz w:val="24"/>
          <w:szCs w:val="24"/>
        </w:rPr>
      </w:pPr>
      <w:r>
        <w:rPr>
          <w:rFonts w:hint="eastAsia" w:ascii="宋体" w:hAnsi="宋体" w:cs="宋体"/>
          <w:color w:val="auto"/>
          <w:kern w:val="0"/>
          <w:position w:val="-2"/>
          <w:sz w:val="24"/>
          <w:szCs w:val="24"/>
        </w:rPr>
        <w:t>电话：</w:t>
      </w:r>
      <w:r>
        <w:rPr>
          <w:rFonts w:hint="eastAsia" w:ascii="宋体" w:hAnsi="宋体" w:cs="宋体"/>
          <w:color w:val="auto"/>
          <w:kern w:val="0"/>
          <w:position w:val="-2"/>
          <w:sz w:val="24"/>
          <w:szCs w:val="24"/>
          <w:u w:val="single"/>
        </w:rPr>
        <w:tab/>
      </w:r>
    </w:p>
    <w:p w14:paraId="7520D91C">
      <w:pPr>
        <w:keepNext w:val="0"/>
        <w:keepLines w:val="0"/>
        <w:pageBreakBefore w:val="0"/>
        <w:widowControl w:val="0"/>
        <w:tabs>
          <w:tab w:val="left" w:pos="620"/>
          <w:tab w:val="left" w:pos="1460"/>
          <w:tab w:val="left" w:pos="2300"/>
        </w:tabs>
        <w:kinsoku/>
        <w:wordWrap/>
        <w:overflowPunct/>
        <w:topLinePunct w:val="0"/>
        <w:autoSpaceDE w:val="0"/>
        <w:autoSpaceDN w:val="0"/>
        <w:bidi w:val="0"/>
        <w:adjustRightInd/>
        <w:snapToGrid/>
        <w:spacing w:line="360" w:lineRule="auto"/>
        <w:ind w:right="98"/>
        <w:jc w:val="both"/>
        <w:textAlignment w:val="auto"/>
        <w:rPr>
          <w:rFonts w:ascii="宋体" w:hAnsi="宋体" w:cs="宋体"/>
          <w:color w:val="auto"/>
        </w:rPr>
      </w:pPr>
      <w:r>
        <w:rPr>
          <w:rFonts w:hint="eastAsia" w:ascii="宋体" w:hAnsi="宋体" w:cs="宋体"/>
          <w:color w:val="auto"/>
          <w:kern w:val="0"/>
          <w:sz w:val="24"/>
          <w:szCs w:val="24"/>
          <w:lang w:val="en-US" w:eastAsia="zh-CN"/>
        </w:rPr>
        <w:t>日期：</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rPr>
        <w:t>年</w:t>
      </w:r>
      <w:r>
        <w:rPr>
          <w:rFonts w:hint="eastAsia" w:ascii="宋体" w:hAnsi="宋体" w:cs="宋体"/>
          <w:color w:val="auto"/>
          <w:kern w:val="0"/>
          <w:sz w:val="24"/>
          <w:szCs w:val="24"/>
          <w:u w:val="single"/>
        </w:rPr>
        <w:tab/>
      </w:r>
      <w:r>
        <w:rPr>
          <w:rFonts w:hint="eastAsia" w:ascii="宋体" w:hAnsi="宋体" w:cs="宋体"/>
          <w:color w:val="auto"/>
          <w:kern w:val="0"/>
          <w:sz w:val="24"/>
          <w:szCs w:val="24"/>
        </w:rPr>
        <w:t>月</w:t>
      </w:r>
      <w:r>
        <w:rPr>
          <w:rFonts w:hint="eastAsia" w:ascii="宋体" w:hAnsi="宋体" w:cs="宋体"/>
          <w:color w:val="auto"/>
          <w:kern w:val="0"/>
          <w:sz w:val="24"/>
          <w:szCs w:val="24"/>
          <w:u w:val="single"/>
        </w:rPr>
        <w:tab/>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rPr>
        <w:t>日</w:t>
      </w:r>
      <w:bookmarkEnd w:id="23"/>
      <w:bookmarkEnd w:id="24"/>
      <w:bookmarkEnd w:id="25"/>
      <w:bookmarkEnd w:id="26"/>
    </w:p>
    <w:sectPr>
      <w:headerReference r:id="rId4" w:type="default"/>
      <w:footerReference r:id="rId5" w:type="default"/>
      <w:pgSz w:w="11906" w:h="16838"/>
      <w:pgMar w:top="1440" w:right="1797" w:bottom="1440" w:left="1797" w:header="680"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33E369-4234-4D80-B530-BD687C05FD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487014B-CD53-4795-B986-48621471966A}"/>
  </w:font>
  <w:font w:name="仿宋_GB2312">
    <w:panose1 w:val="02010609030101010101"/>
    <w:charset w:val="86"/>
    <w:family w:val="modern"/>
    <w:pitch w:val="default"/>
    <w:sig w:usb0="00000001" w:usb1="080E0000" w:usb2="00000000" w:usb3="00000000" w:csb0="00040000" w:csb1="00000000"/>
    <w:embedRegular r:id="rId3" w:fontKey="{4CB80FD0-65C5-48BD-A6D0-BA6522AE4FA1}"/>
  </w:font>
  <w:font w:name="楷体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embedRegular r:id="rId4" w:fontKey="{A9FCB2B2-813D-4E03-9A5B-A8C8F9A2A2C8}"/>
  </w:font>
  <w:font w:name="方正黑体_GBK">
    <w:panose1 w:val="02010600010101010101"/>
    <w:charset w:val="86"/>
    <w:family w:val="script"/>
    <w:pitch w:val="default"/>
    <w:sig w:usb0="00000001" w:usb1="080E0000" w:usb2="00000000" w:usb3="00000000" w:csb0="00040000" w:csb1="00000000"/>
    <w:embedRegular r:id="rId5" w:fontKey="{165E1E81-8811-4DEC-9FF8-0CA14D7DEFE2}"/>
  </w:font>
  <w:font w:name="仿宋">
    <w:panose1 w:val="02010609060101010101"/>
    <w:charset w:val="86"/>
    <w:family w:val="modern"/>
    <w:pitch w:val="default"/>
    <w:sig w:usb0="800002BF" w:usb1="38CF7CFA" w:usb2="00000016" w:usb3="00000000" w:csb0="00040001" w:csb1="00000000"/>
    <w:embedRegular r:id="rId6" w:fontKey="{5D95EDBE-70C3-426C-87BE-DC01037E9D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549320"/>
      <w:docPartObj>
        <w:docPartGallery w:val="autotext"/>
      </w:docPartObj>
    </w:sdtPr>
    <w:sdtEndPr>
      <w:rPr>
        <w:color w:val="auto"/>
        <w:sz w:val="21"/>
        <w:szCs w:val="21"/>
      </w:rPr>
    </w:sdtEndPr>
    <w:sdtContent>
      <w:p w14:paraId="3D65D2A7">
        <w:pPr>
          <w:pStyle w:val="24"/>
          <w:jc w:val="right"/>
          <w:rPr>
            <w:color w:val="auto"/>
            <w:sz w:val="21"/>
            <w:szCs w:val="21"/>
          </w:rPr>
        </w:pPr>
        <w:r>
          <w:rPr>
            <w:color w:val="auto"/>
            <w:sz w:val="21"/>
            <w:szCs w:val="21"/>
          </w:rPr>
          <w:fldChar w:fldCharType="begin"/>
        </w:r>
        <w:r>
          <w:rPr>
            <w:color w:val="auto"/>
            <w:sz w:val="21"/>
            <w:szCs w:val="21"/>
          </w:rPr>
          <w:instrText xml:space="preserve"> PAGE   \* MERGEFORMAT </w:instrText>
        </w:r>
        <w:r>
          <w:rPr>
            <w:color w:val="auto"/>
            <w:sz w:val="21"/>
            <w:szCs w:val="21"/>
          </w:rPr>
          <w:fldChar w:fldCharType="separate"/>
        </w:r>
        <w:r>
          <w:rPr>
            <w:color w:val="auto"/>
            <w:sz w:val="21"/>
            <w:szCs w:val="21"/>
            <w:lang w:val="zh-CN"/>
          </w:rPr>
          <w:t>26</w:t>
        </w:r>
        <w:r>
          <w:rPr>
            <w:color w:val="auto"/>
            <w:sz w:val="21"/>
            <w:szCs w:val="21"/>
          </w:rPr>
          <w:fldChar w:fldCharType="end"/>
        </w:r>
      </w:p>
    </w:sdtContent>
  </w:sdt>
  <w:p w14:paraId="799E8F03">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BB5C8">
    <w:pPr>
      <w:pStyle w:val="24"/>
      <w:jc w:val="right"/>
    </w:pPr>
    <w:r>
      <w:fldChar w:fldCharType="begin"/>
    </w:r>
    <w:r>
      <w:instrText xml:space="preserve"> PAGE   \* MERGEFORMAT </w:instrText>
    </w:r>
    <w:r>
      <w:fldChar w:fldCharType="separate"/>
    </w:r>
    <w:r>
      <w:rPr>
        <w:lang w:val="zh-CN"/>
      </w:rPr>
      <w:t>31</w:t>
    </w:r>
    <w:r>
      <w:fldChar w:fldCharType="end"/>
    </w:r>
  </w:p>
  <w:p w14:paraId="2DB911CF">
    <w:pPr>
      <w:pStyle w:val="24"/>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50ACD">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14092"/>
    <w:multiLevelType w:val="singleLevel"/>
    <w:tmpl w:val="8B114092"/>
    <w:lvl w:ilvl="0" w:tentative="0">
      <w:start w:val="2"/>
      <w:numFmt w:val="decimal"/>
      <w:suff w:val="nothing"/>
      <w:lvlText w:val="（%1）"/>
      <w:lvlJc w:val="left"/>
    </w:lvl>
  </w:abstractNum>
  <w:abstractNum w:abstractNumId="1">
    <w:nsid w:val="00000006"/>
    <w:multiLevelType w:val="singleLevel"/>
    <w:tmpl w:val="00000006"/>
    <w:lvl w:ilvl="0" w:tentative="0">
      <w:start w:val="3"/>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MGIyZTk5NDM3MTgyOGNjMmI4NzdkNWVhYTJjYjcifQ=="/>
  </w:docVars>
  <w:rsids>
    <w:rsidRoot w:val="000B2518"/>
    <w:rsid w:val="0000122C"/>
    <w:rsid w:val="000024A9"/>
    <w:rsid w:val="00012412"/>
    <w:rsid w:val="00013A9B"/>
    <w:rsid w:val="00014105"/>
    <w:rsid w:val="00014EF2"/>
    <w:rsid w:val="000160F8"/>
    <w:rsid w:val="00016949"/>
    <w:rsid w:val="00016E3A"/>
    <w:rsid w:val="00023580"/>
    <w:rsid w:val="00023B18"/>
    <w:rsid w:val="00023C4A"/>
    <w:rsid w:val="00024984"/>
    <w:rsid w:val="00025962"/>
    <w:rsid w:val="00025A93"/>
    <w:rsid w:val="00031045"/>
    <w:rsid w:val="000327A1"/>
    <w:rsid w:val="00033572"/>
    <w:rsid w:val="00035152"/>
    <w:rsid w:val="00035B44"/>
    <w:rsid w:val="000407AF"/>
    <w:rsid w:val="00044EBD"/>
    <w:rsid w:val="00046E59"/>
    <w:rsid w:val="000522CB"/>
    <w:rsid w:val="00052BAE"/>
    <w:rsid w:val="00052C6C"/>
    <w:rsid w:val="00054C27"/>
    <w:rsid w:val="000556D9"/>
    <w:rsid w:val="0006149B"/>
    <w:rsid w:val="00061DC4"/>
    <w:rsid w:val="000632F4"/>
    <w:rsid w:val="000635E3"/>
    <w:rsid w:val="00067715"/>
    <w:rsid w:val="000700B6"/>
    <w:rsid w:val="00072824"/>
    <w:rsid w:val="00073EF0"/>
    <w:rsid w:val="00076815"/>
    <w:rsid w:val="00077003"/>
    <w:rsid w:val="00080161"/>
    <w:rsid w:val="00083675"/>
    <w:rsid w:val="0008390A"/>
    <w:rsid w:val="00083ECD"/>
    <w:rsid w:val="00084789"/>
    <w:rsid w:val="00091658"/>
    <w:rsid w:val="00091C2E"/>
    <w:rsid w:val="0009408E"/>
    <w:rsid w:val="000945C0"/>
    <w:rsid w:val="00096715"/>
    <w:rsid w:val="000A3DD1"/>
    <w:rsid w:val="000A4DD4"/>
    <w:rsid w:val="000B0C29"/>
    <w:rsid w:val="000B13E0"/>
    <w:rsid w:val="000B2518"/>
    <w:rsid w:val="000B58BA"/>
    <w:rsid w:val="000B65F1"/>
    <w:rsid w:val="000B7DA9"/>
    <w:rsid w:val="000B7EE4"/>
    <w:rsid w:val="000C0A83"/>
    <w:rsid w:val="000C0DD6"/>
    <w:rsid w:val="000C2369"/>
    <w:rsid w:val="000C33D7"/>
    <w:rsid w:val="000D030E"/>
    <w:rsid w:val="000D1DC8"/>
    <w:rsid w:val="000D4D4D"/>
    <w:rsid w:val="000D6D40"/>
    <w:rsid w:val="000D7DF6"/>
    <w:rsid w:val="000E2403"/>
    <w:rsid w:val="000E2D14"/>
    <w:rsid w:val="000E55CE"/>
    <w:rsid w:val="000F4244"/>
    <w:rsid w:val="000F53E8"/>
    <w:rsid w:val="000F7FA4"/>
    <w:rsid w:val="00102E0E"/>
    <w:rsid w:val="001034EC"/>
    <w:rsid w:val="00104BBF"/>
    <w:rsid w:val="00111D7D"/>
    <w:rsid w:val="001125B7"/>
    <w:rsid w:val="00113228"/>
    <w:rsid w:val="001149E5"/>
    <w:rsid w:val="00115BEF"/>
    <w:rsid w:val="00115E61"/>
    <w:rsid w:val="00117AA5"/>
    <w:rsid w:val="00121E37"/>
    <w:rsid w:val="001231C0"/>
    <w:rsid w:val="001236D2"/>
    <w:rsid w:val="001243D0"/>
    <w:rsid w:val="00125000"/>
    <w:rsid w:val="00125336"/>
    <w:rsid w:val="00125754"/>
    <w:rsid w:val="00125DCE"/>
    <w:rsid w:val="0012729F"/>
    <w:rsid w:val="0013039F"/>
    <w:rsid w:val="00133C52"/>
    <w:rsid w:val="00135D05"/>
    <w:rsid w:val="00137C08"/>
    <w:rsid w:val="00137E60"/>
    <w:rsid w:val="00143588"/>
    <w:rsid w:val="00143B5F"/>
    <w:rsid w:val="00143CDC"/>
    <w:rsid w:val="001444C2"/>
    <w:rsid w:val="00146A19"/>
    <w:rsid w:val="00150C68"/>
    <w:rsid w:val="0015375D"/>
    <w:rsid w:val="001544B6"/>
    <w:rsid w:val="0015794C"/>
    <w:rsid w:val="00161769"/>
    <w:rsid w:val="00164607"/>
    <w:rsid w:val="001649F3"/>
    <w:rsid w:val="00164C3A"/>
    <w:rsid w:val="00165526"/>
    <w:rsid w:val="00170B98"/>
    <w:rsid w:val="00170FB6"/>
    <w:rsid w:val="001714F3"/>
    <w:rsid w:val="001736CD"/>
    <w:rsid w:val="00181DF9"/>
    <w:rsid w:val="00182B52"/>
    <w:rsid w:val="00190C45"/>
    <w:rsid w:val="0019240D"/>
    <w:rsid w:val="001947C6"/>
    <w:rsid w:val="00197F07"/>
    <w:rsid w:val="001A0365"/>
    <w:rsid w:val="001A116F"/>
    <w:rsid w:val="001A2D9C"/>
    <w:rsid w:val="001A31C4"/>
    <w:rsid w:val="001A34B9"/>
    <w:rsid w:val="001A5242"/>
    <w:rsid w:val="001A675F"/>
    <w:rsid w:val="001B203B"/>
    <w:rsid w:val="001B351C"/>
    <w:rsid w:val="001B3975"/>
    <w:rsid w:val="001B4D71"/>
    <w:rsid w:val="001C04F1"/>
    <w:rsid w:val="001C0598"/>
    <w:rsid w:val="001C0C0B"/>
    <w:rsid w:val="001C21D0"/>
    <w:rsid w:val="001C3014"/>
    <w:rsid w:val="001C32D4"/>
    <w:rsid w:val="001C37C4"/>
    <w:rsid w:val="001C4B91"/>
    <w:rsid w:val="001D300C"/>
    <w:rsid w:val="001D61DE"/>
    <w:rsid w:val="001D7037"/>
    <w:rsid w:val="001E074C"/>
    <w:rsid w:val="001E0B9F"/>
    <w:rsid w:val="001E1218"/>
    <w:rsid w:val="001E19C9"/>
    <w:rsid w:val="001E414E"/>
    <w:rsid w:val="001E5BB6"/>
    <w:rsid w:val="001F264C"/>
    <w:rsid w:val="001F3B3F"/>
    <w:rsid w:val="001F41BE"/>
    <w:rsid w:val="001F468A"/>
    <w:rsid w:val="001F794C"/>
    <w:rsid w:val="001F7C8C"/>
    <w:rsid w:val="0020042C"/>
    <w:rsid w:val="00200576"/>
    <w:rsid w:val="00201E52"/>
    <w:rsid w:val="00203A44"/>
    <w:rsid w:val="00206A8B"/>
    <w:rsid w:val="00211AE8"/>
    <w:rsid w:val="002121ED"/>
    <w:rsid w:val="0021580F"/>
    <w:rsid w:val="00216891"/>
    <w:rsid w:val="00221043"/>
    <w:rsid w:val="0022584E"/>
    <w:rsid w:val="00225D8F"/>
    <w:rsid w:val="00227FCC"/>
    <w:rsid w:val="002320A2"/>
    <w:rsid w:val="0023363C"/>
    <w:rsid w:val="00233D34"/>
    <w:rsid w:val="00234006"/>
    <w:rsid w:val="00235447"/>
    <w:rsid w:val="00237293"/>
    <w:rsid w:val="00237E9A"/>
    <w:rsid w:val="0024038F"/>
    <w:rsid w:val="00241043"/>
    <w:rsid w:val="00241062"/>
    <w:rsid w:val="0024153A"/>
    <w:rsid w:val="00245594"/>
    <w:rsid w:val="00246C4C"/>
    <w:rsid w:val="00250928"/>
    <w:rsid w:val="00251F02"/>
    <w:rsid w:val="002539D1"/>
    <w:rsid w:val="00253F0C"/>
    <w:rsid w:val="002561CA"/>
    <w:rsid w:val="0026056D"/>
    <w:rsid w:val="002627F4"/>
    <w:rsid w:val="0026379B"/>
    <w:rsid w:val="002641E0"/>
    <w:rsid w:val="00265F44"/>
    <w:rsid w:val="002669D6"/>
    <w:rsid w:val="002673D0"/>
    <w:rsid w:val="0027039D"/>
    <w:rsid w:val="00270C33"/>
    <w:rsid w:val="0027102A"/>
    <w:rsid w:val="00271E9F"/>
    <w:rsid w:val="00276ADB"/>
    <w:rsid w:val="00277B27"/>
    <w:rsid w:val="0028073A"/>
    <w:rsid w:val="002810B3"/>
    <w:rsid w:val="002822FE"/>
    <w:rsid w:val="002838B4"/>
    <w:rsid w:val="00283E13"/>
    <w:rsid w:val="00284646"/>
    <w:rsid w:val="002849E9"/>
    <w:rsid w:val="00285749"/>
    <w:rsid w:val="00286BCB"/>
    <w:rsid w:val="002877CA"/>
    <w:rsid w:val="00291935"/>
    <w:rsid w:val="00291FEA"/>
    <w:rsid w:val="002934FB"/>
    <w:rsid w:val="00293C15"/>
    <w:rsid w:val="0029478B"/>
    <w:rsid w:val="002948DB"/>
    <w:rsid w:val="002953D6"/>
    <w:rsid w:val="002954D4"/>
    <w:rsid w:val="00296DF7"/>
    <w:rsid w:val="0029798B"/>
    <w:rsid w:val="002A24E7"/>
    <w:rsid w:val="002A3A6A"/>
    <w:rsid w:val="002A4DB1"/>
    <w:rsid w:val="002A5978"/>
    <w:rsid w:val="002B0180"/>
    <w:rsid w:val="002B2A67"/>
    <w:rsid w:val="002B4EF0"/>
    <w:rsid w:val="002B4F2E"/>
    <w:rsid w:val="002B742D"/>
    <w:rsid w:val="002C1ED1"/>
    <w:rsid w:val="002C3B6D"/>
    <w:rsid w:val="002C56CC"/>
    <w:rsid w:val="002C5EC2"/>
    <w:rsid w:val="002C61E8"/>
    <w:rsid w:val="002D0B57"/>
    <w:rsid w:val="002D4CED"/>
    <w:rsid w:val="002D5984"/>
    <w:rsid w:val="002D6A56"/>
    <w:rsid w:val="002E08EE"/>
    <w:rsid w:val="002E5A06"/>
    <w:rsid w:val="002F0604"/>
    <w:rsid w:val="002F0F3A"/>
    <w:rsid w:val="002F1301"/>
    <w:rsid w:val="002F2706"/>
    <w:rsid w:val="002F2EC2"/>
    <w:rsid w:val="002F4022"/>
    <w:rsid w:val="002F460B"/>
    <w:rsid w:val="003035AB"/>
    <w:rsid w:val="00304642"/>
    <w:rsid w:val="00305ECC"/>
    <w:rsid w:val="00306635"/>
    <w:rsid w:val="00306AFC"/>
    <w:rsid w:val="00306BBC"/>
    <w:rsid w:val="00307158"/>
    <w:rsid w:val="00310BA2"/>
    <w:rsid w:val="00310BFB"/>
    <w:rsid w:val="00311FA5"/>
    <w:rsid w:val="00316700"/>
    <w:rsid w:val="0031740A"/>
    <w:rsid w:val="003225E0"/>
    <w:rsid w:val="00322B2F"/>
    <w:rsid w:val="00325936"/>
    <w:rsid w:val="00326466"/>
    <w:rsid w:val="00330375"/>
    <w:rsid w:val="00332A23"/>
    <w:rsid w:val="00334BC3"/>
    <w:rsid w:val="003350CA"/>
    <w:rsid w:val="00336F39"/>
    <w:rsid w:val="00337B73"/>
    <w:rsid w:val="00341260"/>
    <w:rsid w:val="00341647"/>
    <w:rsid w:val="003423CC"/>
    <w:rsid w:val="0034272B"/>
    <w:rsid w:val="0034459F"/>
    <w:rsid w:val="00346AA3"/>
    <w:rsid w:val="00351A8C"/>
    <w:rsid w:val="00351D0A"/>
    <w:rsid w:val="003541FF"/>
    <w:rsid w:val="003561A3"/>
    <w:rsid w:val="00361243"/>
    <w:rsid w:val="0036460F"/>
    <w:rsid w:val="00364A0D"/>
    <w:rsid w:val="0036513A"/>
    <w:rsid w:val="003656A8"/>
    <w:rsid w:val="003659C4"/>
    <w:rsid w:val="00367B22"/>
    <w:rsid w:val="00372381"/>
    <w:rsid w:val="003728EE"/>
    <w:rsid w:val="00372D0B"/>
    <w:rsid w:val="00372E15"/>
    <w:rsid w:val="003754C5"/>
    <w:rsid w:val="00376B70"/>
    <w:rsid w:val="0038175B"/>
    <w:rsid w:val="00381B1C"/>
    <w:rsid w:val="00386CF0"/>
    <w:rsid w:val="003907D7"/>
    <w:rsid w:val="00390879"/>
    <w:rsid w:val="00390FBC"/>
    <w:rsid w:val="0039204E"/>
    <w:rsid w:val="00393D53"/>
    <w:rsid w:val="003951CE"/>
    <w:rsid w:val="0039558B"/>
    <w:rsid w:val="00395FAA"/>
    <w:rsid w:val="003974B9"/>
    <w:rsid w:val="0039765D"/>
    <w:rsid w:val="003A01B6"/>
    <w:rsid w:val="003A01E0"/>
    <w:rsid w:val="003A1041"/>
    <w:rsid w:val="003A3487"/>
    <w:rsid w:val="003A3705"/>
    <w:rsid w:val="003A3FF6"/>
    <w:rsid w:val="003A533E"/>
    <w:rsid w:val="003A5C56"/>
    <w:rsid w:val="003A7CE9"/>
    <w:rsid w:val="003B0CE9"/>
    <w:rsid w:val="003B1801"/>
    <w:rsid w:val="003B1831"/>
    <w:rsid w:val="003B2A77"/>
    <w:rsid w:val="003B3912"/>
    <w:rsid w:val="003B457C"/>
    <w:rsid w:val="003B4C3C"/>
    <w:rsid w:val="003C0DF8"/>
    <w:rsid w:val="003C193E"/>
    <w:rsid w:val="003C3F98"/>
    <w:rsid w:val="003C47EE"/>
    <w:rsid w:val="003C760B"/>
    <w:rsid w:val="003C7AB0"/>
    <w:rsid w:val="003D28ED"/>
    <w:rsid w:val="003D316A"/>
    <w:rsid w:val="003D3333"/>
    <w:rsid w:val="003D5744"/>
    <w:rsid w:val="003E0235"/>
    <w:rsid w:val="003E4047"/>
    <w:rsid w:val="003E6DE4"/>
    <w:rsid w:val="003E7CE5"/>
    <w:rsid w:val="003E7FB8"/>
    <w:rsid w:val="003F0027"/>
    <w:rsid w:val="003F178C"/>
    <w:rsid w:val="003F2C00"/>
    <w:rsid w:val="003F3CD1"/>
    <w:rsid w:val="003F4575"/>
    <w:rsid w:val="00404E27"/>
    <w:rsid w:val="00404F72"/>
    <w:rsid w:val="004060A1"/>
    <w:rsid w:val="00406C15"/>
    <w:rsid w:val="0041154C"/>
    <w:rsid w:val="00412D13"/>
    <w:rsid w:val="00413A06"/>
    <w:rsid w:val="00414D43"/>
    <w:rsid w:val="004154FD"/>
    <w:rsid w:val="00416AA5"/>
    <w:rsid w:val="0042145F"/>
    <w:rsid w:val="00421DB8"/>
    <w:rsid w:val="004246BF"/>
    <w:rsid w:val="0042689E"/>
    <w:rsid w:val="004319C3"/>
    <w:rsid w:val="0043255E"/>
    <w:rsid w:val="00432EDA"/>
    <w:rsid w:val="004342E6"/>
    <w:rsid w:val="0043631B"/>
    <w:rsid w:val="0043665E"/>
    <w:rsid w:val="00437364"/>
    <w:rsid w:val="00437F07"/>
    <w:rsid w:val="00437F24"/>
    <w:rsid w:val="00440B56"/>
    <w:rsid w:val="00441187"/>
    <w:rsid w:val="004414FD"/>
    <w:rsid w:val="00442A3A"/>
    <w:rsid w:val="00443541"/>
    <w:rsid w:val="004440F6"/>
    <w:rsid w:val="004460E3"/>
    <w:rsid w:val="0045136E"/>
    <w:rsid w:val="00451512"/>
    <w:rsid w:val="004529C4"/>
    <w:rsid w:val="00455ED7"/>
    <w:rsid w:val="00456D40"/>
    <w:rsid w:val="00461BE2"/>
    <w:rsid w:val="0046375D"/>
    <w:rsid w:val="00466801"/>
    <w:rsid w:val="004710AC"/>
    <w:rsid w:val="004712EC"/>
    <w:rsid w:val="004723FB"/>
    <w:rsid w:val="004747CF"/>
    <w:rsid w:val="00477458"/>
    <w:rsid w:val="00477AEE"/>
    <w:rsid w:val="00477C0F"/>
    <w:rsid w:val="00482917"/>
    <w:rsid w:val="00483944"/>
    <w:rsid w:val="00484796"/>
    <w:rsid w:val="00484A02"/>
    <w:rsid w:val="00486FA5"/>
    <w:rsid w:val="00491E6F"/>
    <w:rsid w:val="00492534"/>
    <w:rsid w:val="00493605"/>
    <w:rsid w:val="00493D0F"/>
    <w:rsid w:val="00495275"/>
    <w:rsid w:val="004959F4"/>
    <w:rsid w:val="00496208"/>
    <w:rsid w:val="004973EF"/>
    <w:rsid w:val="004A1C01"/>
    <w:rsid w:val="004A211F"/>
    <w:rsid w:val="004A31DD"/>
    <w:rsid w:val="004A5750"/>
    <w:rsid w:val="004A6718"/>
    <w:rsid w:val="004A7B82"/>
    <w:rsid w:val="004B0530"/>
    <w:rsid w:val="004B1509"/>
    <w:rsid w:val="004B1D35"/>
    <w:rsid w:val="004B5161"/>
    <w:rsid w:val="004C1855"/>
    <w:rsid w:val="004C197C"/>
    <w:rsid w:val="004C330D"/>
    <w:rsid w:val="004C3FEA"/>
    <w:rsid w:val="004C6969"/>
    <w:rsid w:val="004C6E6A"/>
    <w:rsid w:val="004C76D7"/>
    <w:rsid w:val="004C79FD"/>
    <w:rsid w:val="004D40AA"/>
    <w:rsid w:val="004D7DAD"/>
    <w:rsid w:val="004E06B1"/>
    <w:rsid w:val="004E08C6"/>
    <w:rsid w:val="004E1BA4"/>
    <w:rsid w:val="004E2894"/>
    <w:rsid w:val="004E4E5A"/>
    <w:rsid w:val="004E5124"/>
    <w:rsid w:val="004E5418"/>
    <w:rsid w:val="004F005B"/>
    <w:rsid w:val="004F226A"/>
    <w:rsid w:val="004F29BB"/>
    <w:rsid w:val="004F3EDA"/>
    <w:rsid w:val="004F4256"/>
    <w:rsid w:val="004F6933"/>
    <w:rsid w:val="004F7F85"/>
    <w:rsid w:val="00503E01"/>
    <w:rsid w:val="0050697A"/>
    <w:rsid w:val="00507220"/>
    <w:rsid w:val="00510EA8"/>
    <w:rsid w:val="0051136E"/>
    <w:rsid w:val="00514971"/>
    <w:rsid w:val="00515E39"/>
    <w:rsid w:val="00516B7E"/>
    <w:rsid w:val="0051721A"/>
    <w:rsid w:val="005200DF"/>
    <w:rsid w:val="00523118"/>
    <w:rsid w:val="005234A2"/>
    <w:rsid w:val="00526084"/>
    <w:rsid w:val="00531924"/>
    <w:rsid w:val="00531EF1"/>
    <w:rsid w:val="00532710"/>
    <w:rsid w:val="00534645"/>
    <w:rsid w:val="00535240"/>
    <w:rsid w:val="00536D52"/>
    <w:rsid w:val="00537781"/>
    <w:rsid w:val="0054139A"/>
    <w:rsid w:val="00542A7E"/>
    <w:rsid w:val="00543822"/>
    <w:rsid w:val="005445CE"/>
    <w:rsid w:val="00544954"/>
    <w:rsid w:val="00546221"/>
    <w:rsid w:val="00546D89"/>
    <w:rsid w:val="005476D3"/>
    <w:rsid w:val="00547EFA"/>
    <w:rsid w:val="00550964"/>
    <w:rsid w:val="00552A6D"/>
    <w:rsid w:val="00563D61"/>
    <w:rsid w:val="00566577"/>
    <w:rsid w:val="00566AA3"/>
    <w:rsid w:val="00567459"/>
    <w:rsid w:val="00570B55"/>
    <w:rsid w:val="00571D33"/>
    <w:rsid w:val="00573318"/>
    <w:rsid w:val="00575A35"/>
    <w:rsid w:val="005765DE"/>
    <w:rsid w:val="005769B8"/>
    <w:rsid w:val="00577891"/>
    <w:rsid w:val="005814DC"/>
    <w:rsid w:val="00581DA2"/>
    <w:rsid w:val="00582B33"/>
    <w:rsid w:val="005830D7"/>
    <w:rsid w:val="0058706D"/>
    <w:rsid w:val="00587AA8"/>
    <w:rsid w:val="005907D2"/>
    <w:rsid w:val="00593B9C"/>
    <w:rsid w:val="00595452"/>
    <w:rsid w:val="005A1F69"/>
    <w:rsid w:val="005A2BD5"/>
    <w:rsid w:val="005A2E40"/>
    <w:rsid w:val="005A5950"/>
    <w:rsid w:val="005A6335"/>
    <w:rsid w:val="005A6657"/>
    <w:rsid w:val="005A70FB"/>
    <w:rsid w:val="005B0FA1"/>
    <w:rsid w:val="005B3579"/>
    <w:rsid w:val="005B41F7"/>
    <w:rsid w:val="005B4E26"/>
    <w:rsid w:val="005B694F"/>
    <w:rsid w:val="005B7199"/>
    <w:rsid w:val="005C011D"/>
    <w:rsid w:val="005C1570"/>
    <w:rsid w:val="005D1AC0"/>
    <w:rsid w:val="005D3B77"/>
    <w:rsid w:val="005D3C01"/>
    <w:rsid w:val="005D445E"/>
    <w:rsid w:val="005D59F2"/>
    <w:rsid w:val="005E022A"/>
    <w:rsid w:val="005E0F5C"/>
    <w:rsid w:val="005E1CBA"/>
    <w:rsid w:val="005E1F8C"/>
    <w:rsid w:val="005E3651"/>
    <w:rsid w:val="005E369D"/>
    <w:rsid w:val="005E3E5D"/>
    <w:rsid w:val="005E597A"/>
    <w:rsid w:val="005E604D"/>
    <w:rsid w:val="005F284B"/>
    <w:rsid w:val="005F39C6"/>
    <w:rsid w:val="005F5419"/>
    <w:rsid w:val="005F6AB1"/>
    <w:rsid w:val="005F7460"/>
    <w:rsid w:val="006014CD"/>
    <w:rsid w:val="00602717"/>
    <w:rsid w:val="00611DFD"/>
    <w:rsid w:val="006150F5"/>
    <w:rsid w:val="00621CBF"/>
    <w:rsid w:val="00623EF4"/>
    <w:rsid w:val="006245D6"/>
    <w:rsid w:val="00626F19"/>
    <w:rsid w:val="00630577"/>
    <w:rsid w:val="00631B13"/>
    <w:rsid w:val="006322B9"/>
    <w:rsid w:val="00633917"/>
    <w:rsid w:val="00634923"/>
    <w:rsid w:val="00634C08"/>
    <w:rsid w:val="00635AA6"/>
    <w:rsid w:val="00637873"/>
    <w:rsid w:val="00640101"/>
    <w:rsid w:val="00647226"/>
    <w:rsid w:val="00647EDF"/>
    <w:rsid w:val="00654781"/>
    <w:rsid w:val="00655AE4"/>
    <w:rsid w:val="00655B33"/>
    <w:rsid w:val="0066128E"/>
    <w:rsid w:val="00662355"/>
    <w:rsid w:val="0066642D"/>
    <w:rsid w:val="00666678"/>
    <w:rsid w:val="0066693D"/>
    <w:rsid w:val="00666F84"/>
    <w:rsid w:val="0066714E"/>
    <w:rsid w:val="006716E0"/>
    <w:rsid w:val="006736CD"/>
    <w:rsid w:val="00673C1B"/>
    <w:rsid w:val="00673E1D"/>
    <w:rsid w:val="0067404B"/>
    <w:rsid w:val="00675DFD"/>
    <w:rsid w:val="006771C9"/>
    <w:rsid w:val="00677936"/>
    <w:rsid w:val="00681130"/>
    <w:rsid w:val="0068289B"/>
    <w:rsid w:val="00687369"/>
    <w:rsid w:val="00691F1D"/>
    <w:rsid w:val="00692585"/>
    <w:rsid w:val="00693108"/>
    <w:rsid w:val="006945AA"/>
    <w:rsid w:val="00694796"/>
    <w:rsid w:val="00694814"/>
    <w:rsid w:val="00695410"/>
    <w:rsid w:val="006A183E"/>
    <w:rsid w:val="006A4683"/>
    <w:rsid w:val="006A4B7B"/>
    <w:rsid w:val="006A772F"/>
    <w:rsid w:val="006A794E"/>
    <w:rsid w:val="006B00BF"/>
    <w:rsid w:val="006B10F6"/>
    <w:rsid w:val="006B289E"/>
    <w:rsid w:val="006B3178"/>
    <w:rsid w:val="006B3791"/>
    <w:rsid w:val="006B4FB1"/>
    <w:rsid w:val="006B54E3"/>
    <w:rsid w:val="006B641E"/>
    <w:rsid w:val="006C156C"/>
    <w:rsid w:val="006C1D14"/>
    <w:rsid w:val="006C65A9"/>
    <w:rsid w:val="006D4470"/>
    <w:rsid w:val="006D5DEC"/>
    <w:rsid w:val="006D6800"/>
    <w:rsid w:val="006D758A"/>
    <w:rsid w:val="006E09C1"/>
    <w:rsid w:val="006E4EC5"/>
    <w:rsid w:val="006F0034"/>
    <w:rsid w:val="006F2CE5"/>
    <w:rsid w:val="006F380A"/>
    <w:rsid w:val="0070065F"/>
    <w:rsid w:val="00702DC6"/>
    <w:rsid w:val="00703747"/>
    <w:rsid w:val="0070486E"/>
    <w:rsid w:val="00706C4F"/>
    <w:rsid w:val="007075FB"/>
    <w:rsid w:val="00714BC7"/>
    <w:rsid w:val="007201EF"/>
    <w:rsid w:val="007207E8"/>
    <w:rsid w:val="007208F0"/>
    <w:rsid w:val="007241EA"/>
    <w:rsid w:val="00726690"/>
    <w:rsid w:val="007316A4"/>
    <w:rsid w:val="007368DD"/>
    <w:rsid w:val="00736FA0"/>
    <w:rsid w:val="0074141F"/>
    <w:rsid w:val="00742505"/>
    <w:rsid w:val="0074584F"/>
    <w:rsid w:val="00747536"/>
    <w:rsid w:val="00753422"/>
    <w:rsid w:val="007541D3"/>
    <w:rsid w:val="00754AEF"/>
    <w:rsid w:val="00757630"/>
    <w:rsid w:val="00757DA6"/>
    <w:rsid w:val="00763893"/>
    <w:rsid w:val="00766B2A"/>
    <w:rsid w:val="007673E2"/>
    <w:rsid w:val="007707EF"/>
    <w:rsid w:val="007723A1"/>
    <w:rsid w:val="00773798"/>
    <w:rsid w:val="00774EB1"/>
    <w:rsid w:val="00774FD2"/>
    <w:rsid w:val="0077575A"/>
    <w:rsid w:val="00776AF6"/>
    <w:rsid w:val="0078234E"/>
    <w:rsid w:val="00783DD9"/>
    <w:rsid w:val="0078524E"/>
    <w:rsid w:val="00786D85"/>
    <w:rsid w:val="00787167"/>
    <w:rsid w:val="00790FCF"/>
    <w:rsid w:val="00791E0C"/>
    <w:rsid w:val="00793218"/>
    <w:rsid w:val="00794387"/>
    <w:rsid w:val="007A0ED9"/>
    <w:rsid w:val="007A1CD4"/>
    <w:rsid w:val="007A28BF"/>
    <w:rsid w:val="007A46BD"/>
    <w:rsid w:val="007A5639"/>
    <w:rsid w:val="007A6452"/>
    <w:rsid w:val="007B27F5"/>
    <w:rsid w:val="007B2C7D"/>
    <w:rsid w:val="007B3960"/>
    <w:rsid w:val="007C0425"/>
    <w:rsid w:val="007C081D"/>
    <w:rsid w:val="007C2E06"/>
    <w:rsid w:val="007C35DC"/>
    <w:rsid w:val="007C407A"/>
    <w:rsid w:val="007C5ACC"/>
    <w:rsid w:val="007C5FFE"/>
    <w:rsid w:val="007C6386"/>
    <w:rsid w:val="007C6C39"/>
    <w:rsid w:val="007C6C48"/>
    <w:rsid w:val="007C7FA0"/>
    <w:rsid w:val="007D0037"/>
    <w:rsid w:val="007D2366"/>
    <w:rsid w:val="007D2AD6"/>
    <w:rsid w:val="007D3A69"/>
    <w:rsid w:val="007D3B30"/>
    <w:rsid w:val="007D790B"/>
    <w:rsid w:val="007E041C"/>
    <w:rsid w:val="007E506C"/>
    <w:rsid w:val="007E6219"/>
    <w:rsid w:val="007F01F6"/>
    <w:rsid w:val="007F1406"/>
    <w:rsid w:val="007F1FA8"/>
    <w:rsid w:val="007F49D0"/>
    <w:rsid w:val="007F4FFB"/>
    <w:rsid w:val="007F676E"/>
    <w:rsid w:val="008010B6"/>
    <w:rsid w:val="008034A2"/>
    <w:rsid w:val="00805775"/>
    <w:rsid w:val="00807FBA"/>
    <w:rsid w:val="008108E0"/>
    <w:rsid w:val="0081171F"/>
    <w:rsid w:val="00811EBB"/>
    <w:rsid w:val="00813235"/>
    <w:rsid w:val="0081397D"/>
    <w:rsid w:val="00817C92"/>
    <w:rsid w:val="008218B6"/>
    <w:rsid w:val="00821F3D"/>
    <w:rsid w:val="00822856"/>
    <w:rsid w:val="00822F17"/>
    <w:rsid w:val="008245D7"/>
    <w:rsid w:val="00826892"/>
    <w:rsid w:val="00830F1D"/>
    <w:rsid w:val="0083205D"/>
    <w:rsid w:val="0083209F"/>
    <w:rsid w:val="008332E4"/>
    <w:rsid w:val="0083396D"/>
    <w:rsid w:val="00833AFE"/>
    <w:rsid w:val="0083426F"/>
    <w:rsid w:val="00836988"/>
    <w:rsid w:val="00837B6E"/>
    <w:rsid w:val="0084200E"/>
    <w:rsid w:val="00842C00"/>
    <w:rsid w:val="00842ECD"/>
    <w:rsid w:val="00844E0A"/>
    <w:rsid w:val="008466BE"/>
    <w:rsid w:val="00847498"/>
    <w:rsid w:val="00847F12"/>
    <w:rsid w:val="008507F4"/>
    <w:rsid w:val="008533EF"/>
    <w:rsid w:val="00856B45"/>
    <w:rsid w:val="00857800"/>
    <w:rsid w:val="00857A8B"/>
    <w:rsid w:val="00862254"/>
    <w:rsid w:val="0086267E"/>
    <w:rsid w:val="008632E0"/>
    <w:rsid w:val="008635B1"/>
    <w:rsid w:val="00863E7E"/>
    <w:rsid w:val="00865B8C"/>
    <w:rsid w:val="008660A8"/>
    <w:rsid w:val="00866735"/>
    <w:rsid w:val="0086692F"/>
    <w:rsid w:val="008677BB"/>
    <w:rsid w:val="00871371"/>
    <w:rsid w:val="008749C3"/>
    <w:rsid w:val="008776E3"/>
    <w:rsid w:val="00877A38"/>
    <w:rsid w:val="00877BDB"/>
    <w:rsid w:val="00877E35"/>
    <w:rsid w:val="00880BBC"/>
    <w:rsid w:val="00880C1C"/>
    <w:rsid w:val="00883D96"/>
    <w:rsid w:val="00884E04"/>
    <w:rsid w:val="00885913"/>
    <w:rsid w:val="00886A5E"/>
    <w:rsid w:val="00886D06"/>
    <w:rsid w:val="00890DC4"/>
    <w:rsid w:val="00895230"/>
    <w:rsid w:val="008967F2"/>
    <w:rsid w:val="00897B4E"/>
    <w:rsid w:val="008A01BC"/>
    <w:rsid w:val="008B1893"/>
    <w:rsid w:val="008B5404"/>
    <w:rsid w:val="008B5451"/>
    <w:rsid w:val="008C0307"/>
    <w:rsid w:val="008C0DC4"/>
    <w:rsid w:val="008C3ABD"/>
    <w:rsid w:val="008C41F8"/>
    <w:rsid w:val="008C59D5"/>
    <w:rsid w:val="008C5A6C"/>
    <w:rsid w:val="008C68E4"/>
    <w:rsid w:val="008C6BB7"/>
    <w:rsid w:val="008D04CA"/>
    <w:rsid w:val="008D1844"/>
    <w:rsid w:val="008D22A8"/>
    <w:rsid w:val="008D7621"/>
    <w:rsid w:val="008E080F"/>
    <w:rsid w:val="008E2DC2"/>
    <w:rsid w:val="008E3D1F"/>
    <w:rsid w:val="008E4F3D"/>
    <w:rsid w:val="008F1676"/>
    <w:rsid w:val="008F4947"/>
    <w:rsid w:val="008F7C90"/>
    <w:rsid w:val="008F7F94"/>
    <w:rsid w:val="00900076"/>
    <w:rsid w:val="00900308"/>
    <w:rsid w:val="00900B04"/>
    <w:rsid w:val="00901A76"/>
    <w:rsid w:val="00902371"/>
    <w:rsid w:val="00902806"/>
    <w:rsid w:val="00903969"/>
    <w:rsid w:val="0090517C"/>
    <w:rsid w:val="0090590E"/>
    <w:rsid w:val="00905CA6"/>
    <w:rsid w:val="009102F3"/>
    <w:rsid w:val="009104DC"/>
    <w:rsid w:val="009106F3"/>
    <w:rsid w:val="009214CC"/>
    <w:rsid w:val="0092562D"/>
    <w:rsid w:val="00927247"/>
    <w:rsid w:val="00931078"/>
    <w:rsid w:val="00932815"/>
    <w:rsid w:val="0093523E"/>
    <w:rsid w:val="00936CC2"/>
    <w:rsid w:val="009413A5"/>
    <w:rsid w:val="00942051"/>
    <w:rsid w:val="0094381F"/>
    <w:rsid w:val="00947442"/>
    <w:rsid w:val="00947A7A"/>
    <w:rsid w:val="00952DF4"/>
    <w:rsid w:val="0095538C"/>
    <w:rsid w:val="009563B3"/>
    <w:rsid w:val="00960F98"/>
    <w:rsid w:val="00961379"/>
    <w:rsid w:val="00966403"/>
    <w:rsid w:val="009700A2"/>
    <w:rsid w:val="00970149"/>
    <w:rsid w:val="009754DC"/>
    <w:rsid w:val="00975752"/>
    <w:rsid w:val="00980F53"/>
    <w:rsid w:val="009811C8"/>
    <w:rsid w:val="00981674"/>
    <w:rsid w:val="009834B6"/>
    <w:rsid w:val="00983E87"/>
    <w:rsid w:val="009878DF"/>
    <w:rsid w:val="0099052F"/>
    <w:rsid w:val="00991303"/>
    <w:rsid w:val="00992507"/>
    <w:rsid w:val="00992764"/>
    <w:rsid w:val="00994582"/>
    <w:rsid w:val="009972CD"/>
    <w:rsid w:val="009A1158"/>
    <w:rsid w:val="009A3C36"/>
    <w:rsid w:val="009A4CCF"/>
    <w:rsid w:val="009A4D6A"/>
    <w:rsid w:val="009A77EC"/>
    <w:rsid w:val="009A786A"/>
    <w:rsid w:val="009B221D"/>
    <w:rsid w:val="009B38BC"/>
    <w:rsid w:val="009B5E17"/>
    <w:rsid w:val="009B7197"/>
    <w:rsid w:val="009B7E55"/>
    <w:rsid w:val="009D05AD"/>
    <w:rsid w:val="009D07F0"/>
    <w:rsid w:val="009D09A4"/>
    <w:rsid w:val="009D347F"/>
    <w:rsid w:val="009D40F1"/>
    <w:rsid w:val="009D52FF"/>
    <w:rsid w:val="009D7122"/>
    <w:rsid w:val="009D7656"/>
    <w:rsid w:val="009E0CF4"/>
    <w:rsid w:val="009E19B3"/>
    <w:rsid w:val="009E2172"/>
    <w:rsid w:val="009E4061"/>
    <w:rsid w:val="009E4D73"/>
    <w:rsid w:val="009E5CAB"/>
    <w:rsid w:val="009E6056"/>
    <w:rsid w:val="009E65B9"/>
    <w:rsid w:val="009E6E82"/>
    <w:rsid w:val="009E729B"/>
    <w:rsid w:val="009F57B5"/>
    <w:rsid w:val="009F6B50"/>
    <w:rsid w:val="009F70D7"/>
    <w:rsid w:val="009F7903"/>
    <w:rsid w:val="00A00416"/>
    <w:rsid w:val="00A0661B"/>
    <w:rsid w:val="00A116B7"/>
    <w:rsid w:val="00A11A16"/>
    <w:rsid w:val="00A11D07"/>
    <w:rsid w:val="00A127F7"/>
    <w:rsid w:val="00A20345"/>
    <w:rsid w:val="00A205DB"/>
    <w:rsid w:val="00A20F01"/>
    <w:rsid w:val="00A225ED"/>
    <w:rsid w:val="00A241DD"/>
    <w:rsid w:val="00A248B6"/>
    <w:rsid w:val="00A269DB"/>
    <w:rsid w:val="00A32311"/>
    <w:rsid w:val="00A324A9"/>
    <w:rsid w:val="00A32D6D"/>
    <w:rsid w:val="00A34D66"/>
    <w:rsid w:val="00A35DE7"/>
    <w:rsid w:val="00A40BB3"/>
    <w:rsid w:val="00A40F91"/>
    <w:rsid w:val="00A433A9"/>
    <w:rsid w:val="00A45BE4"/>
    <w:rsid w:val="00A46967"/>
    <w:rsid w:val="00A503E3"/>
    <w:rsid w:val="00A51228"/>
    <w:rsid w:val="00A519C7"/>
    <w:rsid w:val="00A527E0"/>
    <w:rsid w:val="00A54F3E"/>
    <w:rsid w:val="00A60223"/>
    <w:rsid w:val="00A62098"/>
    <w:rsid w:val="00A62AE2"/>
    <w:rsid w:val="00A646ED"/>
    <w:rsid w:val="00A65286"/>
    <w:rsid w:val="00A6545C"/>
    <w:rsid w:val="00A70025"/>
    <w:rsid w:val="00A7065B"/>
    <w:rsid w:val="00A71378"/>
    <w:rsid w:val="00A75BDA"/>
    <w:rsid w:val="00A769DB"/>
    <w:rsid w:val="00A77FE2"/>
    <w:rsid w:val="00A80218"/>
    <w:rsid w:val="00A81B67"/>
    <w:rsid w:val="00A82B33"/>
    <w:rsid w:val="00A86E68"/>
    <w:rsid w:val="00A90B9D"/>
    <w:rsid w:val="00A90F84"/>
    <w:rsid w:val="00A9249E"/>
    <w:rsid w:val="00A934DF"/>
    <w:rsid w:val="00A93C92"/>
    <w:rsid w:val="00A96631"/>
    <w:rsid w:val="00A97DE8"/>
    <w:rsid w:val="00AA359B"/>
    <w:rsid w:val="00AA3C3A"/>
    <w:rsid w:val="00AA6315"/>
    <w:rsid w:val="00AA78DC"/>
    <w:rsid w:val="00AB13F7"/>
    <w:rsid w:val="00AB2F98"/>
    <w:rsid w:val="00AB3EB5"/>
    <w:rsid w:val="00AB46D9"/>
    <w:rsid w:val="00AB522A"/>
    <w:rsid w:val="00AB5DB2"/>
    <w:rsid w:val="00AB5E45"/>
    <w:rsid w:val="00AB62F6"/>
    <w:rsid w:val="00AB6DCE"/>
    <w:rsid w:val="00AB7DD1"/>
    <w:rsid w:val="00AC1FE1"/>
    <w:rsid w:val="00AC3816"/>
    <w:rsid w:val="00AC460D"/>
    <w:rsid w:val="00AC4C72"/>
    <w:rsid w:val="00AC4E34"/>
    <w:rsid w:val="00AC77B0"/>
    <w:rsid w:val="00AD0C0C"/>
    <w:rsid w:val="00AD349A"/>
    <w:rsid w:val="00AD532F"/>
    <w:rsid w:val="00AD6FE5"/>
    <w:rsid w:val="00AE4760"/>
    <w:rsid w:val="00AE4E3C"/>
    <w:rsid w:val="00AE4F23"/>
    <w:rsid w:val="00AE5E7E"/>
    <w:rsid w:val="00AF0374"/>
    <w:rsid w:val="00AF1460"/>
    <w:rsid w:val="00B012BE"/>
    <w:rsid w:val="00B07216"/>
    <w:rsid w:val="00B07EC8"/>
    <w:rsid w:val="00B10EFF"/>
    <w:rsid w:val="00B113D1"/>
    <w:rsid w:val="00B116A3"/>
    <w:rsid w:val="00B13670"/>
    <w:rsid w:val="00B137D0"/>
    <w:rsid w:val="00B13A1B"/>
    <w:rsid w:val="00B16402"/>
    <w:rsid w:val="00B202D3"/>
    <w:rsid w:val="00B20ADD"/>
    <w:rsid w:val="00B21E1A"/>
    <w:rsid w:val="00B2524F"/>
    <w:rsid w:val="00B273F6"/>
    <w:rsid w:val="00B325D4"/>
    <w:rsid w:val="00B3277E"/>
    <w:rsid w:val="00B36B6A"/>
    <w:rsid w:val="00B40B32"/>
    <w:rsid w:val="00B40E26"/>
    <w:rsid w:val="00B44302"/>
    <w:rsid w:val="00B47140"/>
    <w:rsid w:val="00B53330"/>
    <w:rsid w:val="00B5396F"/>
    <w:rsid w:val="00B5459E"/>
    <w:rsid w:val="00B54C72"/>
    <w:rsid w:val="00B5611A"/>
    <w:rsid w:val="00B571C3"/>
    <w:rsid w:val="00B62341"/>
    <w:rsid w:val="00B647A2"/>
    <w:rsid w:val="00B66130"/>
    <w:rsid w:val="00B66976"/>
    <w:rsid w:val="00B67393"/>
    <w:rsid w:val="00B71B4E"/>
    <w:rsid w:val="00B72D05"/>
    <w:rsid w:val="00B7382D"/>
    <w:rsid w:val="00B741FF"/>
    <w:rsid w:val="00B75560"/>
    <w:rsid w:val="00B766E2"/>
    <w:rsid w:val="00B81062"/>
    <w:rsid w:val="00B81D0E"/>
    <w:rsid w:val="00B82CED"/>
    <w:rsid w:val="00B83FCB"/>
    <w:rsid w:val="00B84C92"/>
    <w:rsid w:val="00B936F0"/>
    <w:rsid w:val="00B9389D"/>
    <w:rsid w:val="00B94B80"/>
    <w:rsid w:val="00B94BBF"/>
    <w:rsid w:val="00B962C5"/>
    <w:rsid w:val="00BA20AE"/>
    <w:rsid w:val="00BA392E"/>
    <w:rsid w:val="00BA3C1F"/>
    <w:rsid w:val="00BA6390"/>
    <w:rsid w:val="00BB1C9B"/>
    <w:rsid w:val="00BB31B7"/>
    <w:rsid w:val="00BB3AFC"/>
    <w:rsid w:val="00BB687C"/>
    <w:rsid w:val="00BB7FBD"/>
    <w:rsid w:val="00BC0A92"/>
    <w:rsid w:val="00BC2352"/>
    <w:rsid w:val="00BC296C"/>
    <w:rsid w:val="00BC4521"/>
    <w:rsid w:val="00BC7783"/>
    <w:rsid w:val="00BC781C"/>
    <w:rsid w:val="00BD03F0"/>
    <w:rsid w:val="00BD068A"/>
    <w:rsid w:val="00BD0E21"/>
    <w:rsid w:val="00BD1E0F"/>
    <w:rsid w:val="00BD24E7"/>
    <w:rsid w:val="00BD4685"/>
    <w:rsid w:val="00BD76E8"/>
    <w:rsid w:val="00BD7CA5"/>
    <w:rsid w:val="00BE10C3"/>
    <w:rsid w:val="00BE1977"/>
    <w:rsid w:val="00BE1C09"/>
    <w:rsid w:val="00BE2B36"/>
    <w:rsid w:val="00BE3D7E"/>
    <w:rsid w:val="00BE4EEF"/>
    <w:rsid w:val="00BE67BF"/>
    <w:rsid w:val="00BE7906"/>
    <w:rsid w:val="00BE7ECF"/>
    <w:rsid w:val="00BF11F9"/>
    <w:rsid w:val="00BF2886"/>
    <w:rsid w:val="00BF3B17"/>
    <w:rsid w:val="00BF416F"/>
    <w:rsid w:val="00BF6ED6"/>
    <w:rsid w:val="00BF7753"/>
    <w:rsid w:val="00C0307E"/>
    <w:rsid w:val="00C04C48"/>
    <w:rsid w:val="00C07629"/>
    <w:rsid w:val="00C100A0"/>
    <w:rsid w:val="00C1352B"/>
    <w:rsid w:val="00C136A4"/>
    <w:rsid w:val="00C1392E"/>
    <w:rsid w:val="00C14995"/>
    <w:rsid w:val="00C1664B"/>
    <w:rsid w:val="00C16760"/>
    <w:rsid w:val="00C16956"/>
    <w:rsid w:val="00C17B24"/>
    <w:rsid w:val="00C21ECB"/>
    <w:rsid w:val="00C232F0"/>
    <w:rsid w:val="00C23BD8"/>
    <w:rsid w:val="00C250DE"/>
    <w:rsid w:val="00C30551"/>
    <w:rsid w:val="00C3170C"/>
    <w:rsid w:val="00C351C5"/>
    <w:rsid w:val="00C36B48"/>
    <w:rsid w:val="00C36D05"/>
    <w:rsid w:val="00C40395"/>
    <w:rsid w:val="00C41357"/>
    <w:rsid w:val="00C429B7"/>
    <w:rsid w:val="00C4529B"/>
    <w:rsid w:val="00C47E46"/>
    <w:rsid w:val="00C50D88"/>
    <w:rsid w:val="00C535B6"/>
    <w:rsid w:val="00C535E7"/>
    <w:rsid w:val="00C53E78"/>
    <w:rsid w:val="00C57798"/>
    <w:rsid w:val="00C60C4A"/>
    <w:rsid w:val="00C60D99"/>
    <w:rsid w:val="00C6237A"/>
    <w:rsid w:val="00C6340C"/>
    <w:rsid w:val="00C6557C"/>
    <w:rsid w:val="00C660B9"/>
    <w:rsid w:val="00C66857"/>
    <w:rsid w:val="00C71C9B"/>
    <w:rsid w:val="00C72995"/>
    <w:rsid w:val="00C738D8"/>
    <w:rsid w:val="00C75054"/>
    <w:rsid w:val="00C7697A"/>
    <w:rsid w:val="00C81F18"/>
    <w:rsid w:val="00C85C66"/>
    <w:rsid w:val="00C86B57"/>
    <w:rsid w:val="00C9232C"/>
    <w:rsid w:val="00C92B3A"/>
    <w:rsid w:val="00C93E41"/>
    <w:rsid w:val="00C9468B"/>
    <w:rsid w:val="00C9507C"/>
    <w:rsid w:val="00C97704"/>
    <w:rsid w:val="00CA1A1E"/>
    <w:rsid w:val="00CA2CEA"/>
    <w:rsid w:val="00CA376E"/>
    <w:rsid w:val="00CA61E3"/>
    <w:rsid w:val="00CB185C"/>
    <w:rsid w:val="00CB3BC2"/>
    <w:rsid w:val="00CB5969"/>
    <w:rsid w:val="00CB7360"/>
    <w:rsid w:val="00CB7BED"/>
    <w:rsid w:val="00CC6DB6"/>
    <w:rsid w:val="00CD0C1F"/>
    <w:rsid w:val="00CD1041"/>
    <w:rsid w:val="00CD2054"/>
    <w:rsid w:val="00CD241B"/>
    <w:rsid w:val="00CD32AD"/>
    <w:rsid w:val="00CD4A06"/>
    <w:rsid w:val="00CD4AD6"/>
    <w:rsid w:val="00CD51F1"/>
    <w:rsid w:val="00CD5CD7"/>
    <w:rsid w:val="00CD68D3"/>
    <w:rsid w:val="00CD7002"/>
    <w:rsid w:val="00CE0ABD"/>
    <w:rsid w:val="00CE1D1B"/>
    <w:rsid w:val="00CE1F68"/>
    <w:rsid w:val="00CE2F21"/>
    <w:rsid w:val="00CE3044"/>
    <w:rsid w:val="00CE314C"/>
    <w:rsid w:val="00CE4DA5"/>
    <w:rsid w:val="00CE6E9F"/>
    <w:rsid w:val="00CF0E2E"/>
    <w:rsid w:val="00CF13A1"/>
    <w:rsid w:val="00CF1BC5"/>
    <w:rsid w:val="00CF348C"/>
    <w:rsid w:val="00CF4B2F"/>
    <w:rsid w:val="00CF5872"/>
    <w:rsid w:val="00D00290"/>
    <w:rsid w:val="00D058AD"/>
    <w:rsid w:val="00D074CA"/>
    <w:rsid w:val="00D10068"/>
    <w:rsid w:val="00D1016E"/>
    <w:rsid w:val="00D10C0A"/>
    <w:rsid w:val="00D1108E"/>
    <w:rsid w:val="00D1337F"/>
    <w:rsid w:val="00D1405E"/>
    <w:rsid w:val="00D1781C"/>
    <w:rsid w:val="00D178BA"/>
    <w:rsid w:val="00D22738"/>
    <w:rsid w:val="00D248D9"/>
    <w:rsid w:val="00D2568B"/>
    <w:rsid w:val="00D25E31"/>
    <w:rsid w:val="00D2604F"/>
    <w:rsid w:val="00D26A8B"/>
    <w:rsid w:val="00D31DE9"/>
    <w:rsid w:val="00D32F63"/>
    <w:rsid w:val="00D3345D"/>
    <w:rsid w:val="00D338D2"/>
    <w:rsid w:val="00D408F2"/>
    <w:rsid w:val="00D40909"/>
    <w:rsid w:val="00D41195"/>
    <w:rsid w:val="00D416C4"/>
    <w:rsid w:val="00D41DB8"/>
    <w:rsid w:val="00D43F90"/>
    <w:rsid w:val="00D4658C"/>
    <w:rsid w:val="00D46E11"/>
    <w:rsid w:val="00D50CCB"/>
    <w:rsid w:val="00D50F8F"/>
    <w:rsid w:val="00D520C1"/>
    <w:rsid w:val="00D53BBD"/>
    <w:rsid w:val="00D56113"/>
    <w:rsid w:val="00D56702"/>
    <w:rsid w:val="00D56DF7"/>
    <w:rsid w:val="00D615E1"/>
    <w:rsid w:val="00D61EE4"/>
    <w:rsid w:val="00D62003"/>
    <w:rsid w:val="00D64266"/>
    <w:rsid w:val="00D65A88"/>
    <w:rsid w:val="00D70B09"/>
    <w:rsid w:val="00D75B6E"/>
    <w:rsid w:val="00D7699E"/>
    <w:rsid w:val="00D77CA2"/>
    <w:rsid w:val="00D806D0"/>
    <w:rsid w:val="00D811AA"/>
    <w:rsid w:val="00D81603"/>
    <w:rsid w:val="00D824B9"/>
    <w:rsid w:val="00D83F35"/>
    <w:rsid w:val="00D84135"/>
    <w:rsid w:val="00D90A99"/>
    <w:rsid w:val="00D913E7"/>
    <w:rsid w:val="00D96E9E"/>
    <w:rsid w:val="00D97B7E"/>
    <w:rsid w:val="00D97F7D"/>
    <w:rsid w:val="00DA10D5"/>
    <w:rsid w:val="00DA278F"/>
    <w:rsid w:val="00DA5315"/>
    <w:rsid w:val="00DA6149"/>
    <w:rsid w:val="00DA7FCE"/>
    <w:rsid w:val="00DB0EA4"/>
    <w:rsid w:val="00DB1D3C"/>
    <w:rsid w:val="00DB1E97"/>
    <w:rsid w:val="00DB3EC9"/>
    <w:rsid w:val="00DB6110"/>
    <w:rsid w:val="00DB64D6"/>
    <w:rsid w:val="00DB79AE"/>
    <w:rsid w:val="00DB79B1"/>
    <w:rsid w:val="00DC2234"/>
    <w:rsid w:val="00DC7382"/>
    <w:rsid w:val="00DD0465"/>
    <w:rsid w:val="00DD22FA"/>
    <w:rsid w:val="00DD3555"/>
    <w:rsid w:val="00DD5F9A"/>
    <w:rsid w:val="00DD6719"/>
    <w:rsid w:val="00DE0133"/>
    <w:rsid w:val="00DE0DE8"/>
    <w:rsid w:val="00DE3CAB"/>
    <w:rsid w:val="00DE6345"/>
    <w:rsid w:val="00DE76E0"/>
    <w:rsid w:val="00DF1797"/>
    <w:rsid w:val="00DF17FD"/>
    <w:rsid w:val="00DF303C"/>
    <w:rsid w:val="00DF3063"/>
    <w:rsid w:val="00DF5C62"/>
    <w:rsid w:val="00DF63F3"/>
    <w:rsid w:val="00DF6C5E"/>
    <w:rsid w:val="00E00388"/>
    <w:rsid w:val="00E004D3"/>
    <w:rsid w:val="00E023DB"/>
    <w:rsid w:val="00E04886"/>
    <w:rsid w:val="00E04BED"/>
    <w:rsid w:val="00E0566A"/>
    <w:rsid w:val="00E066F8"/>
    <w:rsid w:val="00E079D2"/>
    <w:rsid w:val="00E107BA"/>
    <w:rsid w:val="00E13E9D"/>
    <w:rsid w:val="00E16207"/>
    <w:rsid w:val="00E16530"/>
    <w:rsid w:val="00E17B92"/>
    <w:rsid w:val="00E21804"/>
    <w:rsid w:val="00E275E1"/>
    <w:rsid w:val="00E30352"/>
    <w:rsid w:val="00E30B68"/>
    <w:rsid w:val="00E32FD5"/>
    <w:rsid w:val="00E42387"/>
    <w:rsid w:val="00E42841"/>
    <w:rsid w:val="00E43C2E"/>
    <w:rsid w:val="00E45019"/>
    <w:rsid w:val="00E50932"/>
    <w:rsid w:val="00E5190C"/>
    <w:rsid w:val="00E51F53"/>
    <w:rsid w:val="00E536B0"/>
    <w:rsid w:val="00E53CA0"/>
    <w:rsid w:val="00E56151"/>
    <w:rsid w:val="00E56797"/>
    <w:rsid w:val="00E569A8"/>
    <w:rsid w:val="00E570E0"/>
    <w:rsid w:val="00E60A26"/>
    <w:rsid w:val="00E60D24"/>
    <w:rsid w:val="00E61AA0"/>
    <w:rsid w:val="00E61FD7"/>
    <w:rsid w:val="00E62173"/>
    <w:rsid w:val="00E63EF5"/>
    <w:rsid w:val="00E659D4"/>
    <w:rsid w:val="00E66721"/>
    <w:rsid w:val="00E6732E"/>
    <w:rsid w:val="00E677D9"/>
    <w:rsid w:val="00E70EB9"/>
    <w:rsid w:val="00E7191D"/>
    <w:rsid w:val="00E84689"/>
    <w:rsid w:val="00E85470"/>
    <w:rsid w:val="00E8764F"/>
    <w:rsid w:val="00E87707"/>
    <w:rsid w:val="00E94E1A"/>
    <w:rsid w:val="00EA13AD"/>
    <w:rsid w:val="00EA3BBB"/>
    <w:rsid w:val="00EA4489"/>
    <w:rsid w:val="00EA4EF8"/>
    <w:rsid w:val="00EA5957"/>
    <w:rsid w:val="00EB2A60"/>
    <w:rsid w:val="00EB4984"/>
    <w:rsid w:val="00EB5585"/>
    <w:rsid w:val="00EB7EF3"/>
    <w:rsid w:val="00EC1F93"/>
    <w:rsid w:val="00EC3EC5"/>
    <w:rsid w:val="00EC42D1"/>
    <w:rsid w:val="00ED09A8"/>
    <w:rsid w:val="00ED25BA"/>
    <w:rsid w:val="00ED45F2"/>
    <w:rsid w:val="00ED5476"/>
    <w:rsid w:val="00ED6AD3"/>
    <w:rsid w:val="00ED72D3"/>
    <w:rsid w:val="00ED7D19"/>
    <w:rsid w:val="00EE02FE"/>
    <w:rsid w:val="00EE37B9"/>
    <w:rsid w:val="00EE37F3"/>
    <w:rsid w:val="00EE426F"/>
    <w:rsid w:val="00EE5CE3"/>
    <w:rsid w:val="00EE5D91"/>
    <w:rsid w:val="00EE772D"/>
    <w:rsid w:val="00EF2484"/>
    <w:rsid w:val="00EF268F"/>
    <w:rsid w:val="00EF28EE"/>
    <w:rsid w:val="00EF39BC"/>
    <w:rsid w:val="00EF3BA6"/>
    <w:rsid w:val="00EF4E19"/>
    <w:rsid w:val="00EF5626"/>
    <w:rsid w:val="00EF7038"/>
    <w:rsid w:val="00F03302"/>
    <w:rsid w:val="00F05789"/>
    <w:rsid w:val="00F067B6"/>
    <w:rsid w:val="00F1050F"/>
    <w:rsid w:val="00F11C7E"/>
    <w:rsid w:val="00F1297A"/>
    <w:rsid w:val="00F129FF"/>
    <w:rsid w:val="00F1323C"/>
    <w:rsid w:val="00F15CE2"/>
    <w:rsid w:val="00F21400"/>
    <w:rsid w:val="00F22F05"/>
    <w:rsid w:val="00F2336E"/>
    <w:rsid w:val="00F23577"/>
    <w:rsid w:val="00F238B7"/>
    <w:rsid w:val="00F242F4"/>
    <w:rsid w:val="00F25B06"/>
    <w:rsid w:val="00F25CE5"/>
    <w:rsid w:val="00F26F73"/>
    <w:rsid w:val="00F31F19"/>
    <w:rsid w:val="00F33E0B"/>
    <w:rsid w:val="00F34A72"/>
    <w:rsid w:val="00F34BC5"/>
    <w:rsid w:val="00F36B9E"/>
    <w:rsid w:val="00F53F6C"/>
    <w:rsid w:val="00F540E1"/>
    <w:rsid w:val="00F5479E"/>
    <w:rsid w:val="00F54A31"/>
    <w:rsid w:val="00F55A2F"/>
    <w:rsid w:val="00F56B82"/>
    <w:rsid w:val="00F571E5"/>
    <w:rsid w:val="00F60F35"/>
    <w:rsid w:val="00F625C4"/>
    <w:rsid w:val="00F66E98"/>
    <w:rsid w:val="00F6708C"/>
    <w:rsid w:val="00F67A07"/>
    <w:rsid w:val="00F70CB9"/>
    <w:rsid w:val="00F71AC2"/>
    <w:rsid w:val="00F71AE0"/>
    <w:rsid w:val="00F72AA4"/>
    <w:rsid w:val="00F73DCC"/>
    <w:rsid w:val="00F769B7"/>
    <w:rsid w:val="00F772AA"/>
    <w:rsid w:val="00F77A0C"/>
    <w:rsid w:val="00F80505"/>
    <w:rsid w:val="00F8065D"/>
    <w:rsid w:val="00F807F8"/>
    <w:rsid w:val="00F82DFB"/>
    <w:rsid w:val="00F83228"/>
    <w:rsid w:val="00F84B43"/>
    <w:rsid w:val="00F855FE"/>
    <w:rsid w:val="00F86EE7"/>
    <w:rsid w:val="00F908FE"/>
    <w:rsid w:val="00F91286"/>
    <w:rsid w:val="00FA0A04"/>
    <w:rsid w:val="00FA10E7"/>
    <w:rsid w:val="00FA1A15"/>
    <w:rsid w:val="00FA2D27"/>
    <w:rsid w:val="00FA3AB6"/>
    <w:rsid w:val="00FA6C6F"/>
    <w:rsid w:val="00FB273A"/>
    <w:rsid w:val="00FB3A1F"/>
    <w:rsid w:val="00FB58ED"/>
    <w:rsid w:val="00FB5A46"/>
    <w:rsid w:val="00FB73C5"/>
    <w:rsid w:val="00FB7464"/>
    <w:rsid w:val="00FC185A"/>
    <w:rsid w:val="00FC1FAF"/>
    <w:rsid w:val="00FC4764"/>
    <w:rsid w:val="00FD1C59"/>
    <w:rsid w:val="00FD1CC0"/>
    <w:rsid w:val="00FD2D32"/>
    <w:rsid w:val="00FD2F85"/>
    <w:rsid w:val="00FD36BF"/>
    <w:rsid w:val="00FD3DBB"/>
    <w:rsid w:val="00FD45DD"/>
    <w:rsid w:val="00FD4A94"/>
    <w:rsid w:val="00FD5D29"/>
    <w:rsid w:val="00FD65D9"/>
    <w:rsid w:val="00FE14C2"/>
    <w:rsid w:val="00FE16BF"/>
    <w:rsid w:val="00FE3841"/>
    <w:rsid w:val="00FE57F5"/>
    <w:rsid w:val="00FE65CB"/>
    <w:rsid w:val="00FE67C6"/>
    <w:rsid w:val="00FE7890"/>
    <w:rsid w:val="00FF056E"/>
    <w:rsid w:val="00FF14F7"/>
    <w:rsid w:val="00FF212A"/>
    <w:rsid w:val="00FF3ABE"/>
    <w:rsid w:val="00FF56E3"/>
    <w:rsid w:val="01011432"/>
    <w:rsid w:val="01066A48"/>
    <w:rsid w:val="011078C7"/>
    <w:rsid w:val="01303AC5"/>
    <w:rsid w:val="013637D1"/>
    <w:rsid w:val="0159126E"/>
    <w:rsid w:val="019B3634"/>
    <w:rsid w:val="01BD7A4F"/>
    <w:rsid w:val="01D37272"/>
    <w:rsid w:val="01DE5419"/>
    <w:rsid w:val="022B0E5C"/>
    <w:rsid w:val="02323136"/>
    <w:rsid w:val="02EE59E6"/>
    <w:rsid w:val="030A6CC4"/>
    <w:rsid w:val="031511C4"/>
    <w:rsid w:val="032928CD"/>
    <w:rsid w:val="036A7762"/>
    <w:rsid w:val="0385459C"/>
    <w:rsid w:val="03AA7B5F"/>
    <w:rsid w:val="03D17146"/>
    <w:rsid w:val="03F84D6E"/>
    <w:rsid w:val="040556DD"/>
    <w:rsid w:val="044004C3"/>
    <w:rsid w:val="045301F6"/>
    <w:rsid w:val="045A3333"/>
    <w:rsid w:val="047B30CF"/>
    <w:rsid w:val="0490144A"/>
    <w:rsid w:val="04956A61"/>
    <w:rsid w:val="04D550AF"/>
    <w:rsid w:val="04DE1F38"/>
    <w:rsid w:val="04FF037E"/>
    <w:rsid w:val="05002C1A"/>
    <w:rsid w:val="055E50A5"/>
    <w:rsid w:val="05810D93"/>
    <w:rsid w:val="0591743F"/>
    <w:rsid w:val="05C173E2"/>
    <w:rsid w:val="05D435B9"/>
    <w:rsid w:val="05E25CD6"/>
    <w:rsid w:val="061B2F96"/>
    <w:rsid w:val="066A5D89"/>
    <w:rsid w:val="06FF6487"/>
    <w:rsid w:val="070B09A2"/>
    <w:rsid w:val="07320557"/>
    <w:rsid w:val="07333E77"/>
    <w:rsid w:val="073C31C4"/>
    <w:rsid w:val="075C0EA9"/>
    <w:rsid w:val="075C73C2"/>
    <w:rsid w:val="07755E70"/>
    <w:rsid w:val="077B0190"/>
    <w:rsid w:val="078D7EC3"/>
    <w:rsid w:val="07D21D7A"/>
    <w:rsid w:val="07DA463C"/>
    <w:rsid w:val="080C528C"/>
    <w:rsid w:val="084A5DB4"/>
    <w:rsid w:val="085D7896"/>
    <w:rsid w:val="08856DEC"/>
    <w:rsid w:val="08940DDD"/>
    <w:rsid w:val="08C43471"/>
    <w:rsid w:val="08CC4A1B"/>
    <w:rsid w:val="08E12377"/>
    <w:rsid w:val="08EE04EE"/>
    <w:rsid w:val="08F875BE"/>
    <w:rsid w:val="09150170"/>
    <w:rsid w:val="091B505B"/>
    <w:rsid w:val="0955056D"/>
    <w:rsid w:val="096B3763"/>
    <w:rsid w:val="097C01EF"/>
    <w:rsid w:val="09BC4A90"/>
    <w:rsid w:val="09DF42DA"/>
    <w:rsid w:val="0A1421D6"/>
    <w:rsid w:val="0A3463D4"/>
    <w:rsid w:val="0A516F86"/>
    <w:rsid w:val="0A6E18D8"/>
    <w:rsid w:val="0AAA48E8"/>
    <w:rsid w:val="0AAE262A"/>
    <w:rsid w:val="0AB17A25"/>
    <w:rsid w:val="0B0009AC"/>
    <w:rsid w:val="0B41524D"/>
    <w:rsid w:val="0B487312"/>
    <w:rsid w:val="0B52745A"/>
    <w:rsid w:val="0B663AE9"/>
    <w:rsid w:val="0B6F7407"/>
    <w:rsid w:val="0B8D2240"/>
    <w:rsid w:val="0B8E420A"/>
    <w:rsid w:val="0B9765C1"/>
    <w:rsid w:val="0BF202F5"/>
    <w:rsid w:val="0BF949D9"/>
    <w:rsid w:val="0BFE313E"/>
    <w:rsid w:val="0C030754"/>
    <w:rsid w:val="0C177D5B"/>
    <w:rsid w:val="0C2A5F2A"/>
    <w:rsid w:val="0C403756"/>
    <w:rsid w:val="0C444B1C"/>
    <w:rsid w:val="0C48260B"/>
    <w:rsid w:val="0C833643"/>
    <w:rsid w:val="0C9870EE"/>
    <w:rsid w:val="0CA5180B"/>
    <w:rsid w:val="0CA737D5"/>
    <w:rsid w:val="0CB3217A"/>
    <w:rsid w:val="0CDD71F7"/>
    <w:rsid w:val="0CF54541"/>
    <w:rsid w:val="0D3F0F06"/>
    <w:rsid w:val="0D4C3532"/>
    <w:rsid w:val="0D5F19BA"/>
    <w:rsid w:val="0D9C051F"/>
    <w:rsid w:val="0DAD0977"/>
    <w:rsid w:val="0DBA12E6"/>
    <w:rsid w:val="0DBF25EE"/>
    <w:rsid w:val="0DCB7B2E"/>
    <w:rsid w:val="0DFC18FF"/>
    <w:rsid w:val="0E042561"/>
    <w:rsid w:val="0E0B6AF1"/>
    <w:rsid w:val="0E172295"/>
    <w:rsid w:val="0E2350DD"/>
    <w:rsid w:val="0E39045D"/>
    <w:rsid w:val="0E5B6625"/>
    <w:rsid w:val="0E7771D7"/>
    <w:rsid w:val="0EA969AA"/>
    <w:rsid w:val="0ED24C32"/>
    <w:rsid w:val="0ED707A8"/>
    <w:rsid w:val="0EDB32C2"/>
    <w:rsid w:val="0F1669F0"/>
    <w:rsid w:val="0F8F06EE"/>
    <w:rsid w:val="0FD5411A"/>
    <w:rsid w:val="0FFB3A6C"/>
    <w:rsid w:val="103709CC"/>
    <w:rsid w:val="106F63B8"/>
    <w:rsid w:val="1070093E"/>
    <w:rsid w:val="10831E63"/>
    <w:rsid w:val="10A2678D"/>
    <w:rsid w:val="10DB3A4D"/>
    <w:rsid w:val="10DE709A"/>
    <w:rsid w:val="10F32216"/>
    <w:rsid w:val="10FD1C16"/>
    <w:rsid w:val="1102547E"/>
    <w:rsid w:val="111156C1"/>
    <w:rsid w:val="1116125B"/>
    <w:rsid w:val="111725AC"/>
    <w:rsid w:val="11360C84"/>
    <w:rsid w:val="11625F1D"/>
    <w:rsid w:val="116A6B7F"/>
    <w:rsid w:val="116F4196"/>
    <w:rsid w:val="11752C0E"/>
    <w:rsid w:val="11991213"/>
    <w:rsid w:val="119A7465"/>
    <w:rsid w:val="11A152BC"/>
    <w:rsid w:val="11C60F64"/>
    <w:rsid w:val="11E34C1C"/>
    <w:rsid w:val="11F03528"/>
    <w:rsid w:val="1222480C"/>
    <w:rsid w:val="12437AFC"/>
    <w:rsid w:val="124C66C4"/>
    <w:rsid w:val="12577104"/>
    <w:rsid w:val="12B509B0"/>
    <w:rsid w:val="12C50511"/>
    <w:rsid w:val="12C549B5"/>
    <w:rsid w:val="12D3214D"/>
    <w:rsid w:val="12D544CC"/>
    <w:rsid w:val="12F928B1"/>
    <w:rsid w:val="130152C1"/>
    <w:rsid w:val="13347445"/>
    <w:rsid w:val="13465C09"/>
    <w:rsid w:val="13710699"/>
    <w:rsid w:val="13893C35"/>
    <w:rsid w:val="139252E8"/>
    <w:rsid w:val="13B36682"/>
    <w:rsid w:val="13C94031"/>
    <w:rsid w:val="13D80718"/>
    <w:rsid w:val="13EB3FA7"/>
    <w:rsid w:val="13F11C43"/>
    <w:rsid w:val="140130D1"/>
    <w:rsid w:val="144B29B3"/>
    <w:rsid w:val="145C30F7"/>
    <w:rsid w:val="1499542D"/>
    <w:rsid w:val="14DC5FE6"/>
    <w:rsid w:val="14EB6229"/>
    <w:rsid w:val="14EB7FD7"/>
    <w:rsid w:val="14F852D9"/>
    <w:rsid w:val="151307D7"/>
    <w:rsid w:val="15391737"/>
    <w:rsid w:val="154C316C"/>
    <w:rsid w:val="15581DAD"/>
    <w:rsid w:val="157224A6"/>
    <w:rsid w:val="158064F9"/>
    <w:rsid w:val="159C7FBB"/>
    <w:rsid w:val="15AC59B8"/>
    <w:rsid w:val="15B17473"/>
    <w:rsid w:val="16052AB1"/>
    <w:rsid w:val="1651030E"/>
    <w:rsid w:val="165C3D37"/>
    <w:rsid w:val="165E3157"/>
    <w:rsid w:val="16974A34"/>
    <w:rsid w:val="16D60A53"/>
    <w:rsid w:val="16F969DB"/>
    <w:rsid w:val="171A7817"/>
    <w:rsid w:val="17571954"/>
    <w:rsid w:val="17606A5A"/>
    <w:rsid w:val="17805ED3"/>
    <w:rsid w:val="17EE5949"/>
    <w:rsid w:val="183406CB"/>
    <w:rsid w:val="18512847"/>
    <w:rsid w:val="185C1F84"/>
    <w:rsid w:val="185D11EC"/>
    <w:rsid w:val="18D45952"/>
    <w:rsid w:val="18DA2AD2"/>
    <w:rsid w:val="18F57676"/>
    <w:rsid w:val="19197809"/>
    <w:rsid w:val="193625E9"/>
    <w:rsid w:val="194B346B"/>
    <w:rsid w:val="19566367"/>
    <w:rsid w:val="19570331"/>
    <w:rsid w:val="198A6011"/>
    <w:rsid w:val="19A83FAE"/>
    <w:rsid w:val="19C257AA"/>
    <w:rsid w:val="1A037B71"/>
    <w:rsid w:val="1A1678A4"/>
    <w:rsid w:val="1A2C356C"/>
    <w:rsid w:val="1A5A1E87"/>
    <w:rsid w:val="1A872550"/>
    <w:rsid w:val="1A8C400A"/>
    <w:rsid w:val="1A9A2283"/>
    <w:rsid w:val="1A9C249F"/>
    <w:rsid w:val="1AA17AB6"/>
    <w:rsid w:val="1AAB623F"/>
    <w:rsid w:val="1ABF5859"/>
    <w:rsid w:val="1AD27C6F"/>
    <w:rsid w:val="1AE87493"/>
    <w:rsid w:val="1AE94FB9"/>
    <w:rsid w:val="1AEE0821"/>
    <w:rsid w:val="1B46204F"/>
    <w:rsid w:val="1B92270E"/>
    <w:rsid w:val="1BC66ACE"/>
    <w:rsid w:val="1BEC4D61"/>
    <w:rsid w:val="1C055D71"/>
    <w:rsid w:val="1C424981"/>
    <w:rsid w:val="1C4A1A87"/>
    <w:rsid w:val="1C6E7E6B"/>
    <w:rsid w:val="1C94265D"/>
    <w:rsid w:val="1C961170"/>
    <w:rsid w:val="1CAD0994"/>
    <w:rsid w:val="1CE21657"/>
    <w:rsid w:val="1CFF6D16"/>
    <w:rsid w:val="1D022362"/>
    <w:rsid w:val="1D102CD1"/>
    <w:rsid w:val="1D20390E"/>
    <w:rsid w:val="1D3F35B6"/>
    <w:rsid w:val="1D4209B0"/>
    <w:rsid w:val="1D4D7A81"/>
    <w:rsid w:val="1D4F1A21"/>
    <w:rsid w:val="1D6628F1"/>
    <w:rsid w:val="1D6B06CF"/>
    <w:rsid w:val="1D725739"/>
    <w:rsid w:val="1D943902"/>
    <w:rsid w:val="1DA204E6"/>
    <w:rsid w:val="1DA94B10"/>
    <w:rsid w:val="1DAA2EFB"/>
    <w:rsid w:val="1DD65CC8"/>
    <w:rsid w:val="1E0D5462"/>
    <w:rsid w:val="1EC975DB"/>
    <w:rsid w:val="1ECA6EAF"/>
    <w:rsid w:val="1EDA40A9"/>
    <w:rsid w:val="1EE461C3"/>
    <w:rsid w:val="1EE643F8"/>
    <w:rsid w:val="1EF65EF6"/>
    <w:rsid w:val="1F122D30"/>
    <w:rsid w:val="1F234F3D"/>
    <w:rsid w:val="1F455F33"/>
    <w:rsid w:val="1F457294"/>
    <w:rsid w:val="1F525822"/>
    <w:rsid w:val="1FBC7140"/>
    <w:rsid w:val="20087C8F"/>
    <w:rsid w:val="20360CA0"/>
    <w:rsid w:val="203D6983"/>
    <w:rsid w:val="206A094A"/>
    <w:rsid w:val="20C44BF5"/>
    <w:rsid w:val="20C75D9C"/>
    <w:rsid w:val="20CC6F0F"/>
    <w:rsid w:val="20D44015"/>
    <w:rsid w:val="210C1A01"/>
    <w:rsid w:val="211D59BC"/>
    <w:rsid w:val="21336F8E"/>
    <w:rsid w:val="2139713A"/>
    <w:rsid w:val="21897222"/>
    <w:rsid w:val="21B93937"/>
    <w:rsid w:val="21D7200F"/>
    <w:rsid w:val="21EB7868"/>
    <w:rsid w:val="22056B7C"/>
    <w:rsid w:val="221768AF"/>
    <w:rsid w:val="223C6316"/>
    <w:rsid w:val="224275CA"/>
    <w:rsid w:val="227930C6"/>
    <w:rsid w:val="228201CD"/>
    <w:rsid w:val="22AD4B1E"/>
    <w:rsid w:val="22B20386"/>
    <w:rsid w:val="22C2681B"/>
    <w:rsid w:val="22C84FC9"/>
    <w:rsid w:val="22DE117B"/>
    <w:rsid w:val="23C93BD9"/>
    <w:rsid w:val="24184F30"/>
    <w:rsid w:val="242B4894"/>
    <w:rsid w:val="244762D0"/>
    <w:rsid w:val="244B45EE"/>
    <w:rsid w:val="244D480A"/>
    <w:rsid w:val="247052C5"/>
    <w:rsid w:val="249146F7"/>
    <w:rsid w:val="249929CE"/>
    <w:rsid w:val="24B833FE"/>
    <w:rsid w:val="24CA7C09"/>
    <w:rsid w:val="24F1163A"/>
    <w:rsid w:val="24F95D61"/>
    <w:rsid w:val="25270BB7"/>
    <w:rsid w:val="25276AC2"/>
    <w:rsid w:val="252F5CBE"/>
    <w:rsid w:val="254A443E"/>
    <w:rsid w:val="25A466AC"/>
    <w:rsid w:val="25B508B9"/>
    <w:rsid w:val="25CD5C03"/>
    <w:rsid w:val="25D6438C"/>
    <w:rsid w:val="25D80030"/>
    <w:rsid w:val="26143832"/>
    <w:rsid w:val="26345C82"/>
    <w:rsid w:val="26AC6563"/>
    <w:rsid w:val="26B11081"/>
    <w:rsid w:val="26C03072"/>
    <w:rsid w:val="26C674AA"/>
    <w:rsid w:val="26E52AD8"/>
    <w:rsid w:val="26F508CE"/>
    <w:rsid w:val="27090EBD"/>
    <w:rsid w:val="274C39AF"/>
    <w:rsid w:val="274E4B21"/>
    <w:rsid w:val="276E6F72"/>
    <w:rsid w:val="27787DF0"/>
    <w:rsid w:val="277F72AF"/>
    <w:rsid w:val="278542BB"/>
    <w:rsid w:val="279544FE"/>
    <w:rsid w:val="279978A1"/>
    <w:rsid w:val="27AA5AD0"/>
    <w:rsid w:val="27D112AE"/>
    <w:rsid w:val="27D76959"/>
    <w:rsid w:val="27DD014D"/>
    <w:rsid w:val="27E2526A"/>
    <w:rsid w:val="27E72880"/>
    <w:rsid w:val="27F31225"/>
    <w:rsid w:val="28033B5E"/>
    <w:rsid w:val="280B47C0"/>
    <w:rsid w:val="2829733C"/>
    <w:rsid w:val="282E04AF"/>
    <w:rsid w:val="28463A4A"/>
    <w:rsid w:val="285867F2"/>
    <w:rsid w:val="28667C49"/>
    <w:rsid w:val="28730611"/>
    <w:rsid w:val="288E0F4E"/>
    <w:rsid w:val="289912A7"/>
    <w:rsid w:val="28AA4BC4"/>
    <w:rsid w:val="28D42E04"/>
    <w:rsid w:val="28D92B11"/>
    <w:rsid w:val="28DB0637"/>
    <w:rsid w:val="290336EA"/>
    <w:rsid w:val="29325D7D"/>
    <w:rsid w:val="2939684C"/>
    <w:rsid w:val="293D309F"/>
    <w:rsid w:val="29580844"/>
    <w:rsid w:val="29F80D74"/>
    <w:rsid w:val="2A1C2CB5"/>
    <w:rsid w:val="2A415DDF"/>
    <w:rsid w:val="2A4B17EC"/>
    <w:rsid w:val="2A61691A"/>
    <w:rsid w:val="2A6E7289"/>
    <w:rsid w:val="2A73664D"/>
    <w:rsid w:val="2A77613D"/>
    <w:rsid w:val="2A8E1BBA"/>
    <w:rsid w:val="2AD6555A"/>
    <w:rsid w:val="2AF25618"/>
    <w:rsid w:val="2B0258D3"/>
    <w:rsid w:val="2B116592"/>
    <w:rsid w:val="2B6D4EAA"/>
    <w:rsid w:val="2B990335"/>
    <w:rsid w:val="2BA03472"/>
    <w:rsid w:val="2BFA7026"/>
    <w:rsid w:val="2BFD6B87"/>
    <w:rsid w:val="2C0B2FE1"/>
    <w:rsid w:val="2C275941"/>
    <w:rsid w:val="2C530E19"/>
    <w:rsid w:val="2CBA5AE4"/>
    <w:rsid w:val="2CC87124"/>
    <w:rsid w:val="2CED26E7"/>
    <w:rsid w:val="2CFD44CF"/>
    <w:rsid w:val="2D104627"/>
    <w:rsid w:val="2D1B36F8"/>
    <w:rsid w:val="2D202ABC"/>
    <w:rsid w:val="2D2D342B"/>
    <w:rsid w:val="2D2D6F87"/>
    <w:rsid w:val="2D40315E"/>
    <w:rsid w:val="2D460049"/>
    <w:rsid w:val="2D546C0A"/>
    <w:rsid w:val="2DB87198"/>
    <w:rsid w:val="2DD823CC"/>
    <w:rsid w:val="2DF31F7F"/>
    <w:rsid w:val="2E150147"/>
    <w:rsid w:val="2E277E7A"/>
    <w:rsid w:val="2E3D31FA"/>
    <w:rsid w:val="2E61338C"/>
    <w:rsid w:val="2E6541B0"/>
    <w:rsid w:val="2E786928"/>
    <w:rsid w:val="2E9F5C62"/>
    <w:rsid w:val="2EFC1307"/>
    <w:rsid w:val="2F124CB2"/>
    <w:rsid w:val="2F1B0302"/>
    <w:rsid w:val="2F2148C9"/>
    <w:rsid w:val="2F23685D"/>
    <w:rsid w:val="2F2A7C22"/>
    <w:rsid w:val="2F2D4F95"/>
    <w:rsid w:val="2F4955B7"/>
    <w:rsid w:val="2F4C6CBB"/>
    <w:rsid w:val="2F4D0976"/>
    <w:rsid w:val="2F631386"/>
    <w:rsid w:val="2F70551E"/>
    <w:rsid w:val="2F7D497B"/>
    <w:rsid w:val="2FA06136"/>
    <w:rsid w:val="2FBA75E1"/>
    <w:rsid w:val="2FCC4D0A"/>
    <w:rsid w:val="2FFA3A98"/>
    <w:rsid w:val="302E2617"/>
    <w:rsid w:val="30357D99"/>
    <w:rsid w:val="30423865"/>
    <w:rsid w:val="305A4DDB"/>
    <w:rsid w:val="30DA7426"/>
    <w:rsid w:val="30ED7159"/>
    <w:rsid w:val="31077AEF"/>
    <w:rsid w:val="311E17B7"/>
    <w:rsid w:val="312B5ED3"/>
    <w:rsid w:val="31336B36"/>
    <w:rsid w:val="3143321D"/>
    <w:rsid w:val="3172765E"/>
    <w:rsid w:val="318402FA"/>
    <w:rsid w:val="320358CC"/>
    <w:rsid w:val="322F2F33"/>
    <w:rsid w:val="32870EE7"/>
    <w:rsid w:val="32CC7242"/>
    <w:rsid w:val="32E77C1D"/>
    <w:rsid w:val="33244988"/>
    <w:rsid w:val="333D6014"/>
    <w:rsid w:val="33415311"/>
    <w:rsid w:val="334B0167"/>
    <w:rsid w:val="33995376"/>
    <w:rsid w:val="33AD7074"/>
    <w:rsid w:val="33AF4B9A"/>
    <w:rsid w:val="33AF7F88"/>
    <w:rsid w:val="33C03122"/>
    <w:rsid w:val="33C04A5E"/>
    <w:rsid w:val="33EA5BD2"/>
    <w:rsid w:val="33F407FF"/>
    <w:rsid w:val="343432F1"/>
    <w:rsid w:val="34546BC3"/>
    <w:rsid w:val="345B087E"/>
    <w:rsid w:val="34655258"/>
    <w:rsid w:val="34775202"/>
    <w:rsid w:val="34BE0E27"/>
    <w:rsid w:val="34BF552C"/>
    <w:rsid w:val="34E40388"/>
    <w:rsid w:val="34E73EBF"/>
    <w:rsid w:val="35131158"/>
    <w:rsid w:val="35284C04"/>
    <w:rsid w:val="352A3AB6"/>
    <w:rsid w:val="357C4F4F"/>
    <w:rsid w:val="357C6CFE"/>
    <w:rsid w:val="358E07DF"/>
    <w:rsid w:val="35973B37"/>
    <w:rsid w:val="359758E5"/>
    <w:rsid w:val="35BC70FA"/>
    <w:rsid w:val="35C81F43"/>
    <w:rsid w:val="35CB37E1"/>
    <w:rsid w:val="35E11256"/>
    <w:rsid w:val="35E414CE"/>
    <w:rsid w:val="360D204B"/>
    <w:rsid w:val="36146F36"/>
    <w:rsid w:val="361C228F"/>
    <w:rsid w:val="362A22B0"/>
    <w:rsid w:val="36466539"/>
    <w:rsid w:val="364C66D0"/>
    <w:rsid w:val="364D069A"/>
    <w:rsid w:val="36721EAF"/>
    <w:rsid w:val="3688079C"/>
    <w:rsid w:val="36A04C6E"/>
    <w:rsid w:val="36A7777C"/>
    <w:rsid w:val="36BD5820"/>
    <w:rsid w:val="36C73FA8"/>
    <w:rsid w:val="36C941C4"/>
    <w:rsid w:val="37166CDE"/>
    <w:rsid w:val="371F3DE4"/>
    <w:rsid w:val="3724764D"/>
    <w:rsid w:val="37313B18"/>
    <w:rsid w:val="37490E61"/>
    <w:rsid w:val="37531CE0"/>
    <w:rsid w:val="37647A49"/>
    <w:rsid w:val="37CE7451"/>
    <w:rsid w:val="37F963E3"/>
    <w:rsid w:val="3842422E"/>
    <w:rsid w:val="3862667F"/>
    <w:rsid w:val="38B95B73"/>
    <w:rsid w:val="38D429AD"/>
    <w:rsid w:val="38DB1F8D"/>
    <w:rsid w:val="38E250CA"/>
    <w:rsid w:val="38E30E42"/>
    <w:rsid w:val="39126482"/>
    <w:rsid w:val="391E1E7A"/>
    <w:rsid w:val="39205BF2"/>
    <w:rsid w:val="392350DC"/>
    <w:rsid w:val="39292CF8"/>
    <w:rsid w:val="39400042"/>
    <w:rsid w:val="394C2E8B"/>
    <w:rsid w:val="39641F82"/>
    <w:rsid w:val="39673821"/>
    <w:rsid w:val="399A49FB"/>
    <w:rsid w:val="399F319E"/>
    <w:rsid w:val="39A131D7"/>
    <w:rsid w:val="39B1374F"/>
    <w:rsid w:val="39E62997"/>
    <w:rsid w:val="39F07CBA"/>
    <w:rsid w:val="3A3758E9"/>
    <w:rsid w:val="3A4F7B0F"/>
    <w:rsid w:val="3A6B2B9F"/>
    <w:rsid w:val="3A8110D7"/>
    <w:rsid w:val="3AAA1C17"/>
    <w:rsid w:val="3ABB2076"/>
    <w:rsid w:val="3ABC57DD"/>
    <w:rsid w:val="3B021A53"/>
    <w:rsid w:val="3B131EB2"/>
    <w:rsid w:val="3B205FEC"/>
    <w:rsid w:val="3B2E0A9A"/>
    <w:rsid w:val="3B485B81"/>
    <w:rsid w:val="3B4A1BD1"/>
    <w:rsid w:val="3B53405D"/>
    <w:rsid w:val="3B653D90"/>
    <w:rsid w:val="3B824942"/>
    <w:rsid w:val="3B96663F"/>
    <w:rsid w:val="3B9D5C20"/>
    <w:rsid w:val="3BB56AC5"/>
    <w:rsid w:val="3BBB7E54"/>
    <w:rsid w:val="3BC109EA"/>
    <w:rsid w:val="3BC96A15"/>
    <w:rsid w:val="3BF03FA1"/>
    <w:rsid w:val="3C026F34"/>
    <w:rsid w:val="3C3814A4"/>
    <w:rsid w:val="3C6A14D0"/>
    <w:rsid w:val="3C6C2C0E"/>
    <w:rsid w:val="3C6D55F2"/>
    <w:rsid w:val="3C8B6976"/>
    <w:rsid w:val="3C925059"/>
    <w:rsid w:val="3C9E57AB"/>
    <w:rsid w:val="3CA63F7B"/>
    <w:rsid w:val="3CBA010B"/>
    <w:rsid w:val="3CCB7B27"/>
    <w:rsid w:val="3CEF4259"/>
    <w:rsid w:val="3CF8135F"/>
    <w:rsid w:val="3D314871"/>
    <w:rsid w:val="3D4A70C0"/>
    <w:rsid w:val="3D7F382F"/>
    <w:rsid w:val="3D9D1F07"/>
    <w:rsid w:val="3DA167F8"/>
    <w:rsid w:val="3DBA03C3"/>
    <w:rsid w:val="3DBC05DF"/>
    <w:rsid w:val="3DCC41B5"/>
    <w:rsid w:val="3DEB07FA"/>
    <w:rsid w:val="3DEE62BF"/>
    <w:rsid w:val="3E3E7246"/>
    <w:rsid w:val="3E494B5C"/>
    <w:rsid w:val="3E8310FD"/>
    <w:rsid w:val="3E94330A"/>
    <w:rsid w:val="3E9C3CA2"/>
    <w:rsid w:val="3F0365C7"/>
    <w:rsid w:val="3F0B47E4"/>
    <w:rsid w:val="3F5A01FC"/>
    <w:rsid w:val="3F663E5C"/>
    <w:rsid w:val="3F6F342F"/>
    <w:rsid w:val="3F7E3672"/>
    <w:rsid w:val="3F8073EA"/>
    <w:rsid w:val="3FA532F5"/>
    <w:rsid w:val="3FAA26B9"/>
    <w:rsid w:val="3FDA4D4C"/>
    <w:rsid w:val="3FE23C01"/>
    <w:rsid w:val="40377FBA"/>
    <w:rsid w:val="40387E2A"/>
    <w:rsid w:val="404C551E"/>
    <w:rsid w:val="40552625"/>
    <w:rsid w:val="405C1C05"/>
    <w:rsid w:val="4071000B"/>
    <w:rsid w:val="40994C08"/>
    <w:rsid w:val="41317769"/>
    <w:rsid w:val="413E2664"/>
    <w:rsid w:val="41516B12"/>
    <w:rsid w:val="41662610"/>
    <w:rsid w:val="416F7716"/>
    <w:rsid w:val="41941C47"/>
    <w:rsid w:val="41B00052"/>
    <w:rsid w:val="41C23CEA"/>
    <w:rsid w:val="41CA7043"/>
    <w:rsid w:val="41FA542A"/>
    <w:rsid w:val="421107CE"/>
    <w:rsid w:val="424010B3"/>
    <w:rsid w:val="42487555"/>
    <w:rsid w:val="426B54F4"/>
    <w:rsid w:val="426D634C"/>
    <w:rsid w:val="42BC2E2F"/>
    <w:rsid w:val="42DE4B54"/>
    <w:rsid w:val="42E44134"/>
    <w:rsid w:val="43192030"/>
    <w:rsid w:val="431C567C"/>
    <w:rsid w:val="432664FB"/>
    <w:rsid w:val="43610D5D"/>
    <w:rsid w:val="43615785"/>
    <w:rsid w:val="43776D56"/>
    <w:rsid w:val="439873F8"/>
    <w:rsid w:val="439B2A45"/>
    <w:rsid w:val="43BB4E95"/>
    <w:rsid w:val="43E25709"/>
    <w:rsid w:val="43F02DE7"/>
    <w:rsid w:val="43FE2FD4"/>
    <w:rsid w:val="44024872"/>
    <w:rsid w:val="440C4CE5"/>
    <w:rsid w:val="442962A2"/>
    <w:rsid w:val="443F7874"/>
    <w:rsid w:val="448C05DF"/>
    <w:rsid w:val="448E4357"/>
    <w:rsid w:val="4517434D"/>
    <w:rsid w:val="452B604A"/>
    <w:rsid w:val="4541586E"/>
    <w:rsid w:val="45633A36"/>
    <w:rsid w:val="458F0387"/>
    <w:rsid w:val="45B95404"/>
    <w:rsid w:val="45C94918"/>
    <w:rsid w:val="45CD7101"/>
    <w:rsid w:val="45CF599E"/>
    <w:rsid w:val="46080139"/>
    <w:rsid w:val="46116FEE"/>
    <w:rsid w:val="462907DC"/>
    <w:rsid w:val="462F1B6A"/>
    <w:rsid w:val="46386C71"/>
    <w:rsid w:val="466C06C8"/>
    <w:rsid w:val="46722E16"/>
    <w:rsid w:val="468123C6"/>
    <w:rsid w:val="470A0C98"/>
    <w:rsid w:val="4734568A"/>
    <w:rsid w:val="4751625A"/>
    <w:rsid w:val="477A5EA1"/>
    <w:rsid w:val="47947ED7"/>
    <w:rsid w:val="47B2035D"/>
    <w:rsid w:val="47CD33E9"/>
    <w:rsid w:val="4840005F"/>
    <w:rsid w:val="48435459"/>
    <w:rsid w:val="487815A6"/>
    <w:rsid w:val="488E0DCA"/>
    <w:rsid w:val="48935626"/>
    <w:rsid w:val="48CE566A"/>
    <w:rsid w:val="48F549A5"/>
    <w:rsid w:val="48FD5F50"/>
    <w:rsid w:val="49494CF1"/>
    <w:rsid w:val="49A62143"/>
    <w:rsid w:val="49B35227"/>
    <w:rsid w:val="49C820BA"/>
    <w:rsid w:val="49D83A04"/>
    <w:rsid w:val="4A6A4F1F"/>
    <w:rsid w:val="4A6F0787"/>
    <w:rsid w:val="4A804742"/>
    <w:rsid w:val="4A835FE1"/>
    <w:rsid w:val="4A9143D0"/>
    <w:rsid w:val="4AA06B93"/>
    <w:rsid w:val="4AE253FD"/>
    <w:rsid w:val="4B661B8A"/>
    <w:rsid w:val="4B805F66"/>
    <w:rsid w:val="4B9506C1"/>
    <w:rsid w:val="4B971D44"/>
    <w:rsid w:val="4BBC48DD"/>
    <w:rsid w:val="4BE92FF1"/>
    <w:rsid w:val="4BEA4569"/>
    <w:rsid w:val="4C5C4D3B"/>
    <w:rsid w:val="4C6205A3"/>
    <w:rsid w:val="4C6205FA"/>
    <w:rsid w:val="4C9C78FD"/>
    <w:rsid w:val="4CA3296A"/>
    <w:rsid w:val="4CAF0EB6"/>
    <w:rsid w:val="4CF80F08"/>
    <w:rsid w:val="4D21045F"/>
    <w:rsid w:val="4D31441A"/>
    <w:rsid w:val="4D4506DE"/>
    <w:rsid w:val="4D474A84"/>
    <w:rsid w:val="4D6B792C"/>
    <w:rsid w:val="4D834C75"/>
    <w:rsid w:val="4D9724CF"/>
    <w:rsid w:val="4DB962E1"/>
    <w:rsid w:val="4DC86B2C"/>
    <w:rsid w:val="4DCE3A17"/>
    <w:rsid w:val="4DD26A8C"/>
    <w:rsid w:val="4E1753BE"/>
    <w:rsid w:val="4E4E16AF"/>
    <w:rsid w:val="4E7E10D4"/>
    <w:rsid w:val="4E807407"/>
    <w:rsid w:val="4E832A53"/>
    <w:rsid w:val="4EAF55F6"/>
    <w:rsid w:val="4EB513C3"/>
    <w:rsid w:val="4EC8479F"/>
    <w:rsid w:val="4EEE25C2"/>
    <w:rsid w:val="4EFA4A94"/>
    <w:rsid w:val="4EFC1E0A"/>
    <w:rsid w:val="4F2A14D9"/>
    <w:rsid w:val="4F2F6737"/>
    <w:rsid w:val="4F342EC1"/>
    <w:rsid w:val="4F565942"/>
    <w:rsid w:val="4F5B577E"/>
    <w:rsid w:val="4FBE3B58"/>
    <w:rsid w:val="4FCB46B2"/>
    <w:rsid w:val="4FCC21D8"/>
    <w:rsid w:val="4FDA66A3"/>
    <w:rsid w:val="50C07F8E"/>
    <w:rsid w:val="50C4444B"/>
    <w:rsid w:val="50DC6704"/>
    <w:rsid w:val="50E772C9"/>
    <w:rsid w:val="512A5005"/>
    <w:rsid w:val="514F4E6E"/>
    <w:rsid w:val="517A638F"/>
    <w:rsid w:val="51A07540"/>
    <w:rsid w:val="51AE6039"/>
    <w:rsid w:val="52481FEA"/>
    <w:rsid w:val="52762A77"/>
    <w:rsid w:val="52B23907"/>
    <w:rsid w:val="52CD35DF"/>
    <w:rsid w:val="5325057D"/>
    <w:rsid w:val="53715570"/>
    <w:rsid w:val="537A2677"/>
    <w:rsid w:val="538057B3"/>
    <w:rsid w:val="53894668"/>
    <w:rsid w:val="53A414A2"/>
    <w:rsid w:val="53C953AC"/>
    <w:rsid w:val="53CB1124"/>
    <w:rsid w:val="53F8359B"/>
    <w:rsid w:val="540208BE"/>
    <w:rsid w:val="540340A7"/>
    <w:rsid w:val="542156D6"/>
    <w:rsid w:val="542919A7"/>
    <w:rsid w:val="54414F42"/>
    <w:rsid w:val="545804DE"/>
    <w:rsid w:val="54774E08"/>
    <w:rsid w:val="54AB6860"/>
    <w:rsid w:val="54D9161F"/>
    <w:rsid w:val="54E029AD"/>
    <w:rsid w:val="54E57FC4"/>
    <w:rsid w:val="54FE72D7"/>
    <w:rsid w:val="550E6B8D"/>
    <w:rsid w:val="552F7491"/>
    <w:rsid w:val="55421F5A"/>
    <w:rsid w:val="5552317F"/>
    <w:rsid w:val="55603AEE"/>
    <w:rsid w:val="55696924"/>
    <w:rsid w:val="557F21C6"/>
    <w:rsid w:val="55983288"/>
    <w:rsid w:val="559E63C4"/>
    <w:rsid w:val="55AD0444"/>
    <w:rsid w:val="55BE2D74"/>
    <w:rsid w:val="56024BA5"/>
    <w:rsid w:val="562C39D0"/>
    <w:rsid w:val="563F1955"/>
    <w:rsid w:val="56486A5C"/>
    <w:rsid w:val="56570A4D"/>
    <w:rsid w:val="56717635"/>
    <w:rsid w:val="56763EFE"/>
    <w:rsid w:val="569577C7"/>
    <w:rsid w:val="56995A62"/>
    <w:rsid w:val="569A3030"/>
    <w:rsid w:val="56A65531"/>
    <w:rsid w:val="56A8574D"/>
    <w:rsid w:val="56D93B58"/>
    <w:rsid w:val="56DF0A43"/>
    <w:rsid w:val="56FF597F"/>
    <w:rsid w:val="571B5BC7"/>
    <w:rsid w:val="57252A4F"/>
    <w:rsid w:val="574D00A2"/>
    <w:rsid w:val="578A30A4"/>
    <w:rsid w:val="578F4217"/>
    <w:rsid w:val="57A777B2"/>
    <w:rsid w:val="57A8352A"/>
    <w:rsid w:val="57AA72A2"/>
    <w:rsid w:val="57CF2865"/>
    <w:rsid w:val="57F549C2"/>
    <w:rsid w:val="5818420C"/>
    <w:rsid w:val="584F05EC"/>
    <w:rsid w:val="586E02D0"/>
    <w:rsid w:val="587D0513"/>
    <w:rsid w:val="588875E4"/>
    <w:rsid w:val="588974C4"/>
    <w:rsid w:val="5898534D"/>
    <w:rsid w:val="589A10C5"/>
    <w:rsid w:val="58A81A34"/>
    <w:rsid w:val="592D3CE7"/>
    <w:rsid w:val="59350DEE"/>
    <w:rsid w:val="59374B66"/>
    <w:rsid w:val="59B14918"/>
    <w:rsid w:val="59F64A21"/>
    <w:rsid w:val="5A020049"/>
    <w:rsid w:val="5A1D1FAE"/>
    <w:rsid w:val="5A4663B1"/>
    <w:rsid w:val="5A623E64"/>
    <w:rsid w:val="5A67147B"/>
    <w:rsid w:val="5ABF12B7"/>
    <w:rsid w:val="5AC81E4A"/>
    <w:rsid w:val="5AD76600"/>
    <w:rsid w:val="5AE44879"/>
    <w:rsid w:val="5AF54CD9"/>
    <w:rsid w:val="5B0867BA"/>
    <w:rsid w:val="5B3E6680"/>
    <w:rsid w:val="5B41496C"/>
    <w:rsid w:val="5B4A6DD2"/>
    <w:rsid w:val="5B775347"/>
    <w:rsid w:val="5B863B83"/>
    <w:rsid w:val="5B8C05D9"/>
    <w:rsid w:val="5B941A2E"/>
    <w:rsid w:val="5B9718EC"/>
    <w:rsid w:val="5BB16E51"/>
    <w:rsid w:val="5BB631F1"/>
    <w:rsid w:val="5BBE0697"/>
    <w:rsid w:val="5BD40405"/>
    <w:rsid w:val="5BDB7A2A"/>
    <w:rsid w:val="5C3830CF"/>
    <w:rsid w:val="5C7E485A"/>
    <w:rsid w:val="5C813644"/>
    <w:rsid w:val="5C9B365E"/>
    <w:rsid w:val="5CB62246"/>
    <w:rsid w:val="5CC20BEA"/>
    <w:rsid w:val="5CCB5CF1"/>
    <w:rsid w:val="5CE45005"/>
    <w:rsid w:val="5CE86C3A"/>
    <w:rsid w:val="5CED3EB9"/>
    <w:rsid w:val="5D3B1336"/>
    <w:rsid w:val="5D87538C"/>
    <w:rsid w:val="5D8C1C9D"/>
    <w:rsid w:val="5DCD5A99"/>
    <w:rsid w:val="5DF272AD"/>
    <w:rsid w:val="5E196F30"/>
    <w:rsid w:val="5E31427A"/>
    <w:rsid w:val="5EA92062"/>
    <w:rsid w:val="5EB66590"/>
    <w:rsid w:val="5ECC5D50"/>
    <w:rsid w:val="5ECE1AC8"/>
    <w:rsid w:val="5F3A53B0"/>
    <w:rsid w:val="5F41673E"/>
    <w:rsid w:val="5F565770"/>
    <w:rsid w:val="5F57386C"/>
    <w:rsid w:val="5F6E0BB6"/>
    <w:rsid w:val="60002155"/>
    <w:rsid w:val="60067040"/>
    <w:rsid w:val="60206354"/>
    <w:rsid w:val="607565F4"/>
    <w:rsid w:val="607A53CE"/>
    <w:rsid w:val="60B60A66"/>
    <w:rsid w:val="610712C2"/>
    <w:rsid w:val="610E43FE"/>
    <w:rsid w:val="61493688"/>
    <w:rsid w:val="619C4100"/>
    <w:rsid w:val="61A03CB0"/>
    <w:rsid w:val="61A60ADB"/>
    <w:rsid w:val="624300D6"/>
    <w:rsid w:val="6299419B"/>
    <w:rsid w:val="62B735F4"/>
    <w:rsid w:val="62CC27C3"/>
    <w:rsid w:val="630775DE"/>
    <w:rsid w:val="631F4D38"/>
    <w:rsid w:val="635051A2"/>
    <w:rsid w:val="6354743E"/>
    <w:rsid w:val="638C2C93"/>
    <w:rsid w:val="638E1826"/>
    <w:rsid w:val="639130C5"/>
    <w:rsid w:val="639A641D"/>
    <w:rsid w:val="63E31B72"/>
    <w:rsid w:val="63FA3360"/>
    <w:rsid w:val="64740A1C"/>
    <w:rsid w:val="64947B20"/>
    <w:rsid w:val="64B33C3A"/>
    <w:rsid w:val="64D0777F"/>
    <w:rsid w:val="64D92F75"/>
    <w:rsid w:val="65165F77"/>
    <w:rsid w:val="651E4E2C"/>
    <w:rsid w:val="655B1BDC"/>
    <w:rsid w:val="655F0AB3"/>
    <w:rsid w:val="657607C4"/>
    <w:rsid w:val="65907AD8"/>
    <w:rsid w:val="65A25A5D"/>
    <w:rsid w:val="65BA2DA7"/>
    <w:rsid w:val="65DB1185"/>
    <w:rsid w:val="65EE47FE"/>
    <w:rsid w:val="66056365"/>
    <w:rsid w:val="660D1128"/>
    <w:rsid w:val="663F32AC"/>
    <w:rsid w:val="66723681"/>
    <w:rsid w:val="669435F8"/>
    <w:rsid w:val="66A650D9"/>
    <w:rsid w:val="66C20165"/>
    <w:rsid w:val="673D77EB"/>
    <w:rsid w:val="67760F4F"/>
    <w:rsid w:val="67852F40"/>
    <w:rsid w:val="67AE693B"/>
    <w:rsid w:val="67DA14DE"/>
    <w:rsid w:val="67DF6AF4"/>
    <w:rsid w:val="67F9777D"/>
    <w:rsid w:val="68122083"/>
    <w:rsid w:val="6817003C"/>
    <w:rsid w:val="686B7E94"/>
    <w:rsid w:val="68802085"/>
    <w:rsid w:val="688B0A2A"/>
    <w:rsid w:val="688F051A"/>
    <w:rsid w:val="68A407F3"/>
    <w:rsid w:val="68BC5088"/>
    <w:rsid w:val="68D40634"/>
    <w:rsid w:val="68F20AA9"/>
    <w:rsid w:val="691B0000"/>
    <w:rsid w:val="692E7D33"/>
    <w:rsid w:val="69916C0F"/>
    <w:rsid w:val="699D073F"/>
    <w:rsid w:val="69E83A3A"/>
    <w:rsid w:val="6A6A2BB1"/>
    <w:rsid w:val="6A745C1A"/>
    <w:rsid w:val="6A773014"/>
    <w:rsid w:val="6B2313EE"/>
    <w:rsid w:val="6B2D5DC9"/>
    <w:rsid w:val="6B5415A7"/>
    <w:rsid w:val="6B60619E"/>
    <w:rsid w:val="6B851761"/>
    <w:rsid w:val="6B8E4AB9"/>
    <w:rsid w:val="6BB12CE4"/>
    <w:rsid w:val="6BB169FA"/>
    <w:rsid w:val="6BCC3834"/>
    <w:rsid w:val="6BD85D34"/>
    <w:rsid w:val="6BF568E6"/>
    <w:rsid w:val="6BF637A3"/>
    <w:rsid w:val="6C257701"/>
    <w:rsid w:val="6C2B67AC"/>
    <w:rsid w:val="6C423AF6"/>
    <w:rsid w:val="6C523D39"/>
    <w:rsid w:val="6C615D2A"/>
    <w:rsid w:val="6C9102FF"/>
    <w:rsid w:val="6CEC5088"/>
    <w:rsid w:val="6CF070AE"/>
    <w:rsid w:val="6CF62502"/>
    <w:rsid w:val="6D01750D"/>
    <w:rsid w:val="6D372F2F"/>
    <w:rsid w:val="6DC5053A"/>
    <w:rsid w:val="6E0A419F"/>
    <w:rsid w:val="6E183840"/>
    <w:rsid w:val="6E1A189A"/>
    <w:rsid w:val="6E5A0C83"/>
    <w:rsid w:val="6E625D89"/>
    <w:rsid w:val="6E7066F8"/>
    <w:rsid w:val="6E837D5D"/>
    <w:rsid w:val="6EB72579"/>
    <w:rsid w:val="6EBA3E17"/>
    <w:rsid w:val="6F347726"/>
    <w:rsid w:val="6F38357B"/>
    <w:rsid w:val="6F3E67F6"/>
    <w:rsid w:val="6F434908"/>
    <w:rsid w:val="6F440EDC"/>
    <w:rsid w:val="6FDB5DF3"/>
    <w:rsid w:val="6FE258A8"/>
    <w:rsid w:val="6FFE5F86"/>
    <w:rsid w:val="700C41FF"/>
    <w:rsid w:val="70131A31"/>
    <w:rsid w:val="703B4AE4"/>
    <w:rsid w:val="70703CF7"/>
    <w:rsid w:val="707450FE"/>
    <w:rsid w:val="709661BE"/>
    <w:rsid w:val="70AE3508"/>
    <w:rsid w:val="70C920F0"/>
    <w:rsid w:val="70D07922"/>
    <w:rsid w:val="70ED4030"/>
    <w:rsid w:val="70FF1136"/>
    <w:rsid w:val="719852BE"/>
    <w:rsid w:val="71E82A49"/>
    <w:rsid w:val="720A29C0"/>
    <w:rsid w:val="725F23FC"/>
    <w:rsid w:val="727B7D1E"/>
    <w:rsid w:val="72A05985"/>
    <w:rsid w:val="72A252EE"/>
    <w:rsid w:val="72A2709C"/>
    <w:rsid w:val="730C0387"/>
    <w:rsid w:val="730E4BC3"/>
    <w:rsid w:val="731D6B1E"/>
    <w:rsid w:val="732444A5"/>
    <w:rsid w:val="734819F2"/>
    <w:rsid w:val="735D0D8C"/>
    <w:rsid w:val="7379604F"/>
    <w:rsid w:val="73BB0416"/>
    <w:rsid w:val="73C51294"/>
    <w:rsid w:val="73CD1EF7"/>
    <w:rsid w:val="73D17C39"/>
    <w:rsid w:val="73D239B1"/>
    <w:rsid w:val="73E86D31"/>
    <w:rsid w:val="73EF4563"/>
    <w:rsid w:val="73F456D6"/>
    <w:rsid w:val="74212243"/>
    <w:rsid w:val="742C1313"/>
    <w:rsid w:val="74312486"/>
    <w:rsid w:val="745F3497"/>
    <w:rsid w:val="74A72748"/>
    <w:rsid w:val="74BD15B2"/>
    <w:rsid w:val="74C27582"/>
    <w:rsid w:val="74FB1AD0"/>
    <w:rsid w:val="75412B9C"/>
    <w:rsid w:val="7557416E"/>
    <w:rsid w:val="757E5780"/>
    <w:rsid w:val="758D7B90"/>
    <w:rsid w:val="75A60C51"/>
    <w:rsid w:val="75B55338"/>
    <w:rsid w:val="75C07B2A"/>
    <w:rsid w:val="75D43A11"/>
    <w:rsid w:val="75D92DD5"/>
    <w:rsid w:val="75E077BA"/>
    <w:rsid w:val="760A191D"/>
    <w:rsid w:val="760F4A49"/>
    <w:rsid w:val="7634625D"/>
    <w:rsid w:val="763C5112"/>
    <w:rsid w:val="76593F16"/>
    <w:rsid w:val="7662101C"/>
    <w:rsid w:val="76C9029F"/>
    <w:rsid w:val="76D31F1A"/>
    <w:rsid w:val="76E41A31"/>
    <w:rsid w:val="76F42322"/>
    <w:rsid w:val="76F679B7"/>
    <w:rsid w:val="770F2826"/>
    <w:rsid w:val="772D4056"/>
    <w:rsid w:val="772E7150"/>
    <w:rsid w:val="773F1043"/>
    <w:rsid w:val="77423C84"/>
    <w:rsid w:val="774424D0"/>
    <w:rsid w:val="77B51620"/>
    <w:rsid w:val="77B5517C"/>
    <w:rsid w:val="77BC650A"/>
    <w:rsid w:val="77E12415"/>
    <w:rsid w:val="780B7492"/>
    <w:rsid w:val="780F0D30"/>
    <w:rsid w:val="78156FC1"/>
    <w:rsid w:val="78264746"/>
    <w:rsid w:val="78282AAC"/>
    <w:rsid w:val="78324398"/>
    <w:rsid w:val="78393FFF"/>
    <w:rsid w:val="784F3822"/>
    <w:rsid w:val="7854754E"/>
    <w:rsid w:val="78591FAB"/>
    <w:rsid w:val="7866291A"/>
    <w:rsid w:val="78736EB2"/>
    <w:rsid w:val="78AD0C80"/>
    <w:rsid w:val="78EC1071"/>
    <w:rsid w:val="78EF161E"/>
    <w:rsid w:val="790C34C1"/>
    <w:rsid w:val="79584959"/>
    <w:rsid w:val="795E506D"/>
    <w:rsid w:val="79621333"/>
    <w:rsid w:val="797177C8"/>
    <w:rsid w:val="79954C24"/>
    <w:rsid w:val="79A656C4"/>
    <w:rsid w:val="79AC0800"/>
    <w:rsid w:val="79CD2C51"/>
    <w:rsid w:val="79D12015"/>
    <w:rsid w:val="7A5B47EA"/>
    <w:rsid w:val="7A6F34F2"/>
    <w:rsid w:val="7A923E9A"/>
    <w:rsid w:val="7B1228E5"/>
    <w:rsid w:val="7B1B5DEE"/>
    <w:rsid w:val="7B38234C"/>
    <w:rsid w:val="7B4D4F7A"/>
    <w:rsid w:val="7B784E3E"/>
    <w:rsid w:val="7B9D2AF7"/>
    <w:rsid w:val="7BCD256E"/>
    <w:rsid w:val="7BCD518A"/>
    <w:rsid w:val="7C264C3C"/>
    <w:rsid w:val="7C305C49"/>
    <w:rsid w:val="7C352D2F"/>
    <w:rsid w:val="7C3945CD"/>
    <w:rsid w:val="7C3D3992"/>
    <w:rsid w:val="7C4111CA"/>
    <w:rsid w:val="7C4D0079"/>
    <w:rsid w:val="7C4E5B9F"/>
    <w:rsid w:val="7C4F1257"/>
    <w:rsid w:val="7C657356"/>
    <w:rsid w:val="7C756814"/>
    <w:rsid w:val="7C8B0BA1"/>
    <w:rsid w:val="7CA13F21"/>
    <w:rsid w:val="7CBE4AD3"/>
    <w:rsid w:val="7CD75B94"/>
    <w:rsid w:val="7D083FA0"/>
    <w:rsid w:val="7D2C7C8E"/>
    <w:rsid w:val="7D730350"/>
    <w:rsid w:val="7D831878"/>
    <w:rsid w:val="7D8D7D6E"/>
    <w:rsid w:val="7DA939D5"/>
    <w:rsid w:val="7DAC0DCF"/>
    <w:rsid w:val="7DD7346B"/>
    <w:rsid w:val="7E0230E5"/>
    <w:rsid w:val="7E266DD3"/>
    <w:rsid w:val="7E2748F9"/>
    <w:rsid w:val="7E4A3A57"/>
    <w:rsid w:val="7E5A4CCF"/>
    <w:rsid w:val="7E663B18"/>
    <w:rsid w:val="7E8A7362"/>
    <w:rsid w:val="7EC147CD"/>
    <w:rsid w:val="7EC26E79"/>
    <w:rsid w:val="7ECA59B1"/>
    <w:rsid w:val="7ECD36F3"/>
    <w:rsid w:val="7EEA1BAF"/>
    <w:rsid w:val="7EF3101C"/>
    <w:rsid w:val="7F10538E"/>
    <w:rsid w:val="7F25708B"/>
    <w:rsid w:val="7F2D1F8D"/>
    <w:rsid w:val="7F584C46"/>
    <w:rsid w:val="7F587460"/>
    <w:rsid w:val="7F923FF5"/>
    <w:rsid w:val="7FB4040F"/>
    <w:rsid w:val="7FB87EFF"/>
    <w:rsid w:val="7FC208FC"/>
    <w:rsid w:val="7FDA60C7"/>
    <w:rsid w:val="7FEA5BDF"/>
    <w:rsid w:val="7FF475C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99" w:semiHidden="0" w:name="toc 2" w:locked="1"/>
    <w:lsdException w:qFormat="1" w:unhideWhenUsed="0" w:uiPriority="99" w:semiHidden="0"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iPriority="99"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42"/>
    <w:qFormat/>
    <w:uiPriority w:val="99"/>
    <w:pPr>
      <w:keepNext/>
      <w:widowControl/>
      <w:tabs>
        <w:tab w:val="left" w:pos="432"/>
      </w:tabs>
      <w:ind w:left="432" w:hanging="432"/>
      <w:jc w:val="center"/>
      <w:outlineLvl w:val="0"/>
    </w:pPr>
    <w:rPr>
      <w:rFonts w:ascii="黑体" w:hAnsi="Times New Roman" w:eastAsia="黑体" w:cs="黑体"/>
      <w:kern w:val="0"/>
      <w:sz w:val="52"/>
      <w:szCs w:val="52"/>
    </w:rPr>
  </w:style>
  <w:style w:type="paragraph" w:styleId="5">
    <w:name w:val="heading 2"/>
    <w:basedOn w:val="1"/>
    <w:next w:val="1"/>
    <w:link w:val="43"/>
    <w:qFormat/>
    <w:uiPriority w:val="99"/>
    <w:pPr>
      <w:keepNext/>
      <w:keepLines/>
      <w:spacing w:before="260" w:after="260"/>
      <w:jc w:val="center"/>
      <w:outlineLvl w:val="1"/>
    </w:pPr>
    <w:rPr>
      <w:rFonts w:ascii="Arial" w:hAnsi="Arial" w:cs="Arial"/>
      <w:b/>
      <w:bCs/>
      <w:sz w:val="32"/>
      <w:szCs w:val="32"/>
    </w:rPr>
  </w:style>
  <w:style w:type="paragraph" w:styleId="6">
    <w:name w:val="heading 3"/>
    <w:basedOn w:val="1"/>
    <w:next w:val="7"/>
    <w:link w:val="44"/>
    <w:qFormat/>
    <w:uiPriority w:val="99"/>
    <w:pPr>
      <w:keepNext/>
      <w:keepLines/>
      <w:widowControl/>
      <w:tabs>
        <w:tab w:val="left" w:pos="720"/>
      </w:tabs>
      <w:spacing w:before="120" w:after="120" w:line="360" w:lineRule="auto"/>
      <w:ind w:left="720" w:hanging="720"/>
      <w:jc w:val="center"/>
      <w:outlineLvl w:val="2"/>
    </w:pPr>
    <w:rPr>
      <w:rFonts w:ascii="Times New Roman" w:hAnsi="Times New Roman" w:cs="Times New Roman"/>
      <w:b/>
      <w:bCs/>
      <w:kern w:val="0"/>
      <w:sz w:val="32"/>
      <w:szCs w:val="32"/>
    </w:rPr>
  </w:style>
  <w:style w:type="paragraph" w:styleId="8">
    <w:name w:val="heading 4"/>
    <w:basedOn w:val="1"/>
    <w:next w:val="1"/>
    <w:link w:val="45"/>
    <w:qFormat/>
    <w:uiPriority w:val="99"/>
    <w:pPr>
      <w:keepNext/>
      <w:keepLines/>
      <w:widowControl/>
      <w:spacing w:before="120" w:after="120" w:line="360" w:lineRule="auto"/>
      <w:jc w:val="center"/>
      <w:outlineLvl w:val="3"/>
    </w:pPr>
    <w:rPr>
      <w:rFonts w:ascii="Arial" w:hAnsi="Arial" w:eastAsia="黑体" w:cs="Arial"/>
      <w:kern w:val="0"/>
      <w:sz w:val="28"/>
      <w:szCs w:val="28"/>
    </w:rPr>
  </w:style>
  <w:style w:type="paragraph" w:styleId="9">
    <w:name w:val="heading 5"/>
    <w:basedOn w:val="1"/>
    <w:next w:val="1"/>
    <w:link w:val="46"/>
    <w:qFormat/>
    <w:uiPriority w:val="99"/>
    <w:pPr>
      <w:keepNext/>
      <w:keepLines/>
      <w:widowControl/>
      <w:spacing w:before="120" w:after="120" w:line="360" w:lineRule="auto"/>
      <w:ind w:firstLine="499"/>
      <w:jc w:val="left"/>
      <w:outlineLvl w:val="4"/>
    </w:pPr>
    <w:rPr>
      <w:rFonts w:ascii="宋体" w:hAnsi="宋体" w:cs="宋体"/>
      <w:b/>
      <w:bCs/>
      <w:kern w:val="0"/>
      <w:sz w:val="24"/>
      <w:szCs w:val="24"/>
    </w:rPr>
  </w:style>
  <w:style w:type="paragraph" w:styleId="10">
    <w:name w:val="heading 6"/>
    <w:basedOn w:val="1"/>
    <w:next w:val="1"/>
    <w:link w:val="47"/>
    <w:qFormat/>
    <w:uiPriority w:val="99"/>
    <w:pPr>
      <w:keepNext/>
      <w:keepLines/>
      <w:widowControl/>
      <w:tabs>
        <w:tab w:val="left" w:pos="1440"/>
      </w:tabs>
      <w:spacing w:before="240" w:after="64" w:line="317" w:lineRule="auto"/>
      <w:ind w:left="1152" w:hanging="1152"/>
      <w:jc w:val="left"/>
      <w:outlineLvl w:val="5"/>
    </w:pPr>
    <w:rPr>
      <w:rFonts w:ascii="Arial" w:hAnsi="Arial" w:eastAsia="黑体" w:cs="Arial"/>
      <w:b/>
      <w:bCs/>
      <w:kern w:val="0"/>
      <w:sz w:val="24"/>
      <w:szCs w:val="24"/>
    </w:rPr>
  </w:style>
  <w:style w:type="paragraph" w:styleId="11">
    <w:name w:val="heading 7"/>
    <w:basedOn w:val="1"/>
    <w:next w:val="1"/>
    <w:link w:val="48"/>
    <w:qFormat/>
    <w:uiPriority w:val="99"/>
    <w:pPr>
      <w:keepNext/>
      <w:keepLines/>
      <w:widowControl/>
      <w:tabs>
        <w:tab w:val="left" w:pos="2520"/>
      </w:tabs>
      <w:spacing w:before="240" w:after="64" w:line="317" w:lineRule="auto"/>
      <w:ind w:left="1296" w:hanging="1296"/>
      <w:jc w:val="left"/>
      <w:outlineLvl w:val="6"/>
    </w:pPr>
    <w:rPr>
      <w:rFonts w:ascii="Times New Roman" w:hAnsi="Times New Roman" w:cs="Times New Roman"/>
      <w:b/>
      <w:bCs/>
      <w:kern w:val="0"/>
      <w:sz w:val="24"/>
      <w:szCs w:val="24"/>
    </w:rPr>
  </w:style>
  <w:style w:type="paragraph" w:styleId="12">
    <w:name w:val="heading 8"/>
    <w:basedOn w:val="1"/>
    <w:next w:val="1"/>
    <w:link w:val="49"/>
    <w:qFormat/>
    <w:uiPriority w:val="99"/>
    <w:pPr>
      <w:keepNext/>
      <w:keepLines/>
      <w:widowControl/>
      <w:tabs>
        <w:tab w:val="left" w:pos="1440"/>
      </w:tabs>
      <w:spacing w:before="240" w:after="64" w:line="317" w:lineRule="auto"/>
      <w:ind w:left="1440" w:hanging="1440"/>
      <w:jc w:val="left"/>
      <w:outlineLvl w:val="7"/>
    </w:pPr>
    <w:rPr>
      <w:rFonts w:ascii="Arial" w:hAnsi="Arial" w:eastAsia="黑体" w:cs="Arial"/>
      <w:kern w:val="0"/>
      <w:sz w:val="24"/>
      <w:szCs w:val="24"/>
    </w:rPr>
  </w:style>
  <w:style w:type="paragraph" w:styleId="13">
    <w:name w:val="heading 9"/>
    <w:basedOn w:val="1"/>
    <w:next w:val="1"/>
    <w:link w:val="50"/>
    <w:qFormat/>
    <w:uiPriority w:val="99"/>
    <w:pPr>
      <w:keepNext/>
      <w:keepLines/>
      <w:widowControl/>
      <w:tabs>
        <w:tab w:val="left" w:pos="1584"/>
      </w:tabs>
      <w:spacing w:before="240" w:after="64" w:line="317" w:lineRule="auto"/>
      <w:ind w:left="1584" w:hanging="1584"/>
      <w:jc w:val="left"/>
      <w:outlineLvl w:val="8"/>
    </w:pPr>
    <w:rPr>
      <w:rFonts w:ascii="Arial" w:hAnsi="Arial" w:eastAsia="黑体" w:cs="Arial"/>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3"/>
    <w:qFormat/>
    <w:uiPriority w:val="99"/>
    <w:rPr>
      <w:rFonts w:ascii="仿宋_GB2312" w:hAnsi="Times New Roman" w:eastAsia="仿宋_GB2312" w:cs="仿宋_GB2312"/>
      <w:sz w:val="28"/>
      <w:szCs w:val="28"/>
    </w:rPr>
  </w:style>
  <w:style w:type="paragraph" w:customStyle="1" w:styleId="3">
    <w:name w:val="目录 82"/>
    <w:next w:val="1"/>
    <w:qFormat/>
    <w:uiPriority w:val="0"/>
    <w:pPr>
      <w:wordWrap w:val="0"/>
      <w:ind w:left="2550"/>
      <w:jc w:val="both"/>
    </w:pPr>
    <w:rPr>
      <w:rFonts w:ascii="Calibri" w:hAnsi="Calibri" w:eastAsia="宋体" w:cs="Times New Roman"/>
      <w:sz w:val="21"/>
      <w:lang w:val="en-US" w:eastAsia="zh-CN" w:bidi="ar-SA"/>
    </w:rPr>
  </w:style>
  <w:style w:type="paragraph" w:styleId="7">
    <w:name w:val="Normal Indent"/>
    <w:basedOn w:val="1"/>
    <w:link w:val="73"/>
    <w:qFormat/>
    <w:uiPriority w:val="99"/>
    <w:pPr>
      <w:ind w:firstLine="420"/>
    </w:pPr>
    <w:rPr>
      <w:rFonts w:ascii="Times New Roman" w:hAnsi="Times New Roman" w:cs="Times New Roman"/>
      <w:kern w:val="0"/>
      <w:sz w:val="20"/>
      <w:szCs w:val="20"/>
    </w:rPr>
  </w:style>
  <w:style w:type="paragraph" w:styleId="14">
    <w:name w:val="toa heading"/>
    <w:basedOn w:val="1"/>
    <w:next w:val="1"/>
    <w:semiHidden/>
    <w:qFormat/>
    <w:uiPriority w:val="99"/>
    <w:pPr>
      <w:adjustRightInd w:val="0"/>
      <w:spacing w:line="360" w:lineRule="atLeast"/>
      <w:jc w:val="center"/>
      <w:textAlignment w:val="baseline"/>
    </w:pPr>
    <w:rPr>
      <w:rFonts w:ascii="Arial" w:hAnsi="Arial" w:eastAsia="黑体" w:cs="Arial"/>
      <w:kern w:val="0"/>
      <w:sz w:val="36"/>
      <w:szCs w:val="36"/>
    </w:rPr>
  </w:style>
  <w:style w:type="paragraph" w:styleId="15">
    <w:name w:val="annotation text"/>
    <w:basedOn w:val="1"/>
    <w:link w:val="51"/>
    <w:qFormat/>
    <w:uiPriority w:val="99"/>
    <w:pPr>
      <w:jc w:val="left"/>
    </w:pPr>
  </w:style>
  <w:style w:type="paragraph" w:styleId="16">
    <w:name w:val="Body Text Indent"/>
    <w:basedOn w:val="1"/>
    <w:next w:val="17"/>
    <w:link w:val="54"/>
    <w:qFormat/>
    <w:uiPriority w:val="99"/>
    <w:pPr>
      <w:spacing w:line="360" w:lineRule="auto"/>
      <w:ind w:firstLine="425"/>
    </w:pPr>
    <w:rPr>
      <w:rFonts w:ascii="Times New Roman" w:hAnsi="Times New Roman" w:cs="Times New Roman"/>
    </w:rPr>
  </w:style>
  <w:style w:type="paragraph" w:styleId="17">
    <w:name w:val="envelope return"/>
    <w:basedOn w:val="1"/>
    <w:unhideWhenUsed/>
    <w:qFormat/>
    <w:locked/>
    <w:uiPriority w:val="99"/>
    <w:pPr>
      <w:snapToGrid w:val="0"/>
    </w:pPr>
    <w:rPr>
      <w:rFonts w:ascii="Arial" w:hAnsi="Arial"/>
    </w:rPr>
  </w:style>
  <w:style w:type="paragraph" w:styleId="18">
    <w:name w:val="Block Text"/>
    <w:basedOn w:val="1"/>
    <w:qFormat/>
    <w:locked/>
    <w:uiPriority w:val="0"/>
    <w:pPr>
      <w:spacing w:line="360" w:lineRule="auto"/>
      <w:ind w:right="210" w:rightChars="100" w:firstLine="560" w:firstLineChars="200"/>
    </w:pPr>
    <w:rPr>
      <w:rFonts w:ascii="宋体" w:hAnsi="宋体"/>
      <w:color w:val="000000"/>
      <w:spacing w:val="20"/>
      <w:kern w:val="24"/>
      <w:sz w:val="24"/>
      <w:szCs w:val="18"/>
    </w:rPr>
  </w:style>
  <w:style w:type="paragraph" w:styleId="19">
    <w:name w:val="toc 3"/>
    <w:basedOn w:val="1"/>
    <w:next w:val="1"/>
    <w:qFormat/>
    <w:locked/>
    <w:uiPriority w:val="99"/>
    <w:pPr>
      <w:ind w:left="840" w:leftChars="400"/>
    </w:pPr>
  </w:style>
  <w:style w:type="paragraph" w:styleId="20">
    <w:name w:val="Plain Text"/>
    <w:basedOn w:val="1"/>
    <w:link w:val="66"/>
    <w:qFormat/>
    <w:uiPriority w:val="99"/>
    <w:rPr>
      <w:rFonts w:ascii="宋体" w:hAnsi="Courier New" w:cs="宋体"/>
      <w:sz w:val="24"/>
      <w:szCs w:val="24"/>
    </w:rPr>
  </w:style>
  <w:style w:type="paragraph" w:styleId="21">
    <w:name w:val="Date"/>
    <w:basedOn w:val="1"/>
    <w:next w:val="1"/>
    <w:link w:val="56"/>
    <w:qFormat/>
    <w:uiPriority w:val="99"/>
    <w:rPr>
      <w:rFonts w:ascii="Times New Roman" w:hAnsi="Times New Roman" w:cs="Times New Roman"/>
      <w:sz w:val="24"/>
      <w:szCs w:val="24"/>
    </w:rPr>
  </w:style>
  <w:style w:type="paragraph" w:styleId="22">
    <w:name w:val="Body Text Indent 2"/>
    <w:basedOn w:val="1"/>
    <w:link w:val="57"/>
    <w:qFormat/>
    <w:uiPriority w:val="99"/>
    <w:pPr>
      <w:spacing w:line="420" w:lineRule="exact"/>
      <w:ind w:firstLine="525"/>
    </w:pPr>
    <w:rPr>
      <w:rFonts w:ascii="仿宋_GB2312" w:hAnsi="Times New Roman" w:eastAsia="仿宋_GB2312" w:cs="仿宋_GB2312"/>
      <w:sz w:val="24"/>
      <w:szCs w:val="24"/>
    </w:rPr>
  </w:style>
  <w:style w:type="paragraph" w:styleId="23">
    <w:name w:val="Balloon Text"/>
    <w:basedOn w:val="1"/>
    <w:link w:val="58"/>
    <w:semiHidden/>
    <w:qFormat/>
    <w:uiPriority w:val="99"/>
    <w:rPr>
      <w:rFonts w:ascii="Times New Roman" w:hAnsi="Times New Roman" w:cs="Times New Roman"/>
      <w:sz w:val="18"/>
      <w:szCs w:val="18"/>
    </w:rPr>
  </w:style>
  <w:style w:type="paragraph" w:styleId="24">
    <w:name w:val="footer"/>
    <w:basedOn w:val="1"/>
    <w:link w:val="59"/>
    <w:qFormat/>
    <w:uiPriority w:val="99"/>
    <w:pPr>
      <w:tabs>
        <w:tab w:val="center" w:pos="4153"/>
        <w:tab w:val="right" w:pos="8306"/>
      </w:tabs>
      <w:snapToGrid w:val="0"/>
      <w:jc w:val="left"/>
    </w:pPr>
    <w:rPr>
      <w:sz w:val="18"/>
      <w:szCs w:val="18"/>
    </w:rPr>
  </w:style>
  <w:style w:type="paragraph" w:styleId="25">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8296"/>
      </w:tabs>
    </w:pPr>
    <w:rPr>
      <w:rFonts w:ascii="宋体" w:hAnsi="Times New Roman" w:eastAsia="楷体_GB2312" w:cs="宋体"/>
      <w:b/>
      <w:bCs/>
      <w:kern w:val="0"/>
      <w:sz w:val="28"/>
      <w:szCs w:val="28"/>
    </w:rPr>
  </w:style>
  <w:style w:type="paragraph" w:styleId="27">
    <w:name w:val="Body Text Indent 3"/>
    <w:basedOn w:val="1"/>
    <w:link w:val="61"/>
    <w:qFormat/>
    <w:uiPriority w:val="99"/>
    <w:pPr>
      <w:widowControl/>
      <w:overflowPunct w:val="0"/>
      <w:autoSpaceDE w:val="0"/>
      <w:autoSpaceDN w:val="0"/>
      <w:adjustRightInd w:val="0"/>
      <w:spacing w:line="360" w:lineRule="auto"/>
      <w:ind w:firstLine="540"/>
      <w:textAlignment w:val="baseline"/>
    </w:pPr>
    <w:rPr>
      <w:rFonts w:ascii="宋体" w:hAnsi="MS Sans Serif" w:cs="宋体"/>
      <w:color w:val="000000"/>
      <w:kern w:val="0"/>
      <w:sz w:val="24"/>
      <w:szCs w:val="24"/>
    </w:rPr>
  </w:style>
  <w:style w:type="paragraph" w:styleId="28">
    <w:name w:val="toc 2"/>
    <w:basedOn w:val="1"/>
    <w:next w:val="1"/>
    <w:qFormat/>
    <w:locked/>
    <w:uiPriority w:val="99"/>
    <w:pPr>
      <w:ind w:left="420" w:leftChars="200"/>
    </w:pPr>
  </w:style>
  <w:style w:type="paragraph" w:styleId="29">
    <w:name w:val="Body Text 2"/>
    <w:basedOn w:val="1"/>
    <w:link w:val="62"/>
    <w:qFormat/>
    <w:uiPriority w:val="99"/>
    <w:pPr>
      <w:spacing w:after="120" w:line="480" w:lineRule="auto"/>
    </w:pPr>
    <w:rPr>
      <w:rFonts w:ascii="Times New Roman" w:hAnsi="Times New Roman" w:cs="Times New Roman"/>
    </w:rPr>
  </w:style>
  <w:style w:type="paragraph" w:styleId="30">
    <w:name w:val="HTML Preformatted"/>
    <w:basedOn w:val="1"/>
    <w:link w:val="86"/>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5"/>
    <w:next w:val="15"/>
    <w:link w:val="52"/>
    <w:semiHidden/>
    <w:qFormat/>
    <w:uiPriority w:val="99"/>
    <w:rPr>
      <w:rFonts w:ascii="Times New Roman" w:hAnsi="Times New Roman" w:cs="Times New Roman"/>
      <w:b/>
      <w:bCs/>
    </w:rPr>
  </w:style>
  <w:style w:type="paragraph" w:styleId="33">
    <w:name w:val="Body Text First Indent"/>
    <w:basedOn w:val="2"/>
    <w:qFormat/>
    <w:locked/>
    <w:uiPriority w:val="0"/>
    <w:pPr>
      <w:ind w:firstLine="420" w:firstLineChars="100"/>
    </w:pPr>
    <w:rPr>
      <w:szCs w:val="24"/>
    </w:rPr>
  </w:style>
  <w:style w:type="paragraph" w:styleId="34">
    <w:name w:val="Body Text First Indent 2"/>
    <w:basedOn w:val="16"/>
    <w:unhideWhenUsed/>
    <w:qFormat/>
    <w:locked/>
    <w:uiPriority w:val="99"/>
    <w:pPr>
      <w:ind w:firstLine="420" w:firstLineChars="200"/>
    </w:pPr>
  </w:style>
  <w:style w:type="table" w:styleId="36">
    <w:name w:val="Table Grid"/>
    <w:basedOn w:val="35"/>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locked/>
    <w:uiPriority w:val="0"/>
    <w:rPr>
      <w:b/>
    </w:rPr>
  </w:style>
  <w:style w:type="character" w:styleId="39">
    <w:name w:val="page number"/>
    <w:basedOn w:val="37"/>
    <w:qFormat/>
    <w:uiPriority w:val="99"/>
    <w:rPr>
      <w:rFonts w:cs="Times New Roman"/>
    </w:rPr>
  </w:style>
  <w:style w:type="character" w:styleId="40">
    <w:name w:val="Hyperlink"/>
    <w:qFormat/>
    <w:uiPriority w:val="99"/>
    <w:rPr>
      <w:rFonts w:cs="Times New Roman"/>
      <w:color w:val="0563C1"/>
      <w:u w:val="single"/>
    </w:rPr>
  </w:style>
  <w:style w:type="character" w:styleId="41">
    <w:name w:val="annotation reference"/>
    <w:qFormat/>
    <w:uiPriority w:val="99"/>
    <w:rPr>
      <w:rFonts w:cs="Times New Roman"/>
      <w:sz w:val="21"/>
      <w:szCs w:val="21"/>
    </w:rPr>
  </w:style>
  <w:style w:type="character" w:customStyle="1" w:styleId="42">
    <w:name w:val="标题 1 Char"/>
    <w:link w:val="4"/>
    <w:qFormat/>
    <w:locked/>
    <w:uiPriority w:val="99"/>
    <w:rPr>
      <w:rFonts w:ascii="黑体" w:hAnsi="Times New Roman" w:eastAsia="黑体" w:cs="黑体"/>
      <w:kern w:val="0"/>
      <w:sz w:val="20"/>
      <w:szCs w:val="20"/>
    </w:rPr>
  </w:style>
  <w:style w:type="character" w:customStyle="1" w:styleId="43">
    <w:name w:val="标题 2 Char"/>
    <w:link w:val="5"/>
    <w:qFormat/>
    <w:locked/>
    <w:uiPriority w:val="99"/>
    <w:rPr>
      <w:rFonts w:ascii="Arial" w:hAnsi="Arial" w:eastAsia="宋体" w:cs="Arial"/>
      <w:b/>
      <w:bCs/>
      <w:sz w:val="32"/>
      <w:szCs w:val="32"/>
    </w:rPr>
  </w:style>
  <w:style w:type="character" w:customStyle="1" w:styleId="44">
    <w:name w:val="标题 3 Char"/>
    <w:link w:val="6"/>
    <w:qFormat/>
    <w:locked/>
    <w:uiPriority w:val="99"/>
    <w:rPr>
      <w:rFonts w:ascii="Times New Roman" w:hAnsi="Times New Roman" w:eastAsia="宋体" w:cs="Times New Roman"/>
      <w:b/>
      <w:bCs/>
      <w:kern w:val="0"/>
      <w:sz w:val="20"/>
      <w:szCs w:val="20"/>
    </w:rPr>
  </w:style>
  <w:style w:type="character" w:customStyle="1" w:styleId="45">
    <w:name w:val="标题 4 Char"/>
    <w:link w:val="8"/>
    <w:qFormat/>
    <w:locked/>
    <w:uiPriority w:val="99"/>
    <w:rPr>
      <w:rFonts w:ascii="Arial" w:hAnsi="Arial" w:eastAsia="黑体" w:cs="Arial"/>
      <w:kern w:val="0"/>
      <w:sz w:val="20"/>
      <w:szCs w:val="20"/>
    </w:rPr>
  </w:style>
  <w:style w:type="character" w:customStyle="1" w:styleId="46">
    <w:name w:val="标题 5 Char"/>
    <w:link w:val="9"/>
    <w:qFormat/>
    <w:locked/>
    <w:uiPriority w:val="99"/>
    <w:rPr>
      <w:rFonts w:ascii="宋体" w:hAnsi="宋体" w:eastAsia="宋体" w:cs="宋体"/>
      <w:b/>
      <w:bCs/>
      <w:kern w:val="0"/>
      <w:sz w:val="20"/>
      <w:szCs w:val="20"/>
    </w:rPr>
  </w:style>
  <w:style w:type="character" w:customStyle="1" w:styleId="47">
    <w:name w:val="标题 6 Char"/>
    <w:link w:val="10"/>
    <w:qFormat/>
    <w:locked/>
    <w:uiPriority w:val="99"/>
    <w:rPr>
      <w:rFonts w:ascii="Arial" w:hAnsi="Arial" w:eastAsia="黑体" w:cs="Arial"/>
      <w:b/>
      <w:bCs/>
      <w:kern w:val="0"/>
      <w:sz w:val="20"/>
      <w:szCs w:val="20"/>
    </w:rPr>
  </w:style>
  <w:style w:type="character" w:customStyle="1" w:styleId="48">
    <w:name w:val="标题 7 Char"/>
    <w:link w:val="11"/>
    <w:qFormat/>
    <w:locked/>
    <w:uiPriority w:val="99"/>
    <w:rPr>
      <w:rFonts w:ascii="Times New Roman" w:hAnsi="Times New Roman" w:eastAsia="宋体" w:cs="Times New Roman"/>
      <w:b/>
      <w:bCs/>
      <w:kern w:val="0"/>
      <w:sz w:val="20"/>
      <w:szCs w:val="20"/>
    </w:rPr>
  </w:style>
  <w:style w:type="character" w:customStyle="1" w:styleId="49">
    <w:name w:val="标题 8 Char"/>
    <w:link w:val="12"/>
    <w:qFormat/>
    <w:locked/>
    <w:uiPriority w:val="99"/>
    <w:rPr>
      <w:rFonts w:ascii="Arial" w:hAnsi="Arial" w:eastAsia="黑体" w:cs="Arial"/>
      <w:kern w:val="0"/>
      <w:sz w:val="20"/>
      <w:szCs w:val="20"/>
    </w:rPr>
  </w:style>
  <w:style w:type="character" w:customStyle="1" w:styleId="50">
    <w:name w:val="标题 9 Char"/>
    <w:link w:val="13"/>
    <w:qFormat/>
    <w:locked/>
    <w:uiPriority w:val="99"/>
    <w:rPr>
      <w:rFonts w:ascii="Arial" w:hAnsi="Arial" w:eastAsia="黑体" w:cs="Arial"/>
      <w:kern w:val="0"/>
      <w:sz w:val="20"/>
      <w:szCs w:val="20"/>
    </w:rPr>
  </w:style>
  <w:style w:type="character" w:customStyle="1" w:styleId="51">
    <w:name w:val="批注文字 Char"/>
    <w:link w:val="15"/>
    <w:qFormat/>
    <w:locked/>
    <w:uiPriority w:val="99"/>
    <w:rPr>
      <w:rFonts w:cs="Times New Roman"/>
    </w:rPr>
  </w:style>
  <w:style w:type="character" w:customStyle="1" w:styleId="52">
    <w:name w:val="批注主题 Char"/>
    <w:link w:val="32"/>
    <w:qFormat/>
    <w:locked/>
    <w:uiPriority w:val="99"/>
    <w:rPr>
      <w:rFonts w:ascii="Times New Roman" w:hAnsi="Times New Roman" w:eastAsia="宋体" w:cs="Times New Roman"/>
      <w:b/>
      <w:bCs/>
      <w:sz w:val="20"/>
      <w:szCs w:val="20"/>
    </w:rPr>
  </w:style>
  <w:style w:type="character" w:customStyle="1" w:styleId="53">
    <w:name w:val="正文文本 Char"/>
    <w:link w:val="2"/>
    <w:qFormat/>
    <w:locked/>
    <w:uiPriority w:val="99"/>
    <w:rPr>
      <w:rFonts w:ascii="仿宋_GB2312" w:hAnsi="Times New Roman" w:eastAsia="仿宋_GB2312" w:cs="仿宋_GB2312"/>
      <w:sz w:val="24"/>
      <w:szCs w:val="24"/>
    </w:rPr>
  </w:style>
  <w:style w:type="character" w:customStyle="1" w:styleId="54">
    <w:name w:val="正文文本缩进 Char"/>
    <w:link w:val="16"/>
    <w:qFormat/>
    <w:locked/>
    <w:uiPriority w:val="99"/>
    <w:rPr>
      <w:rFonts w:ascii="Times New Roman" w:hAnsi="Times New Roman" w:eastAsia="宋体" w:cs="Times New Roman"/>
      <w:sz w:val="20"/>
      <w:szCs w:val="20"/>
    </w:rPr>
  </w:style>
  <w:style w:type="character" w:customStyle="1" w:styleId="55">
    <w:name w:val="Plain Text Char"/>
    <w:qFormat/>
    <w:locked/>
    <w:uiPriority w:val="99"/>
    <w:rPr>
      <w:rFonts w:ascii="宋体" w:hAnsi="Courier New" w:eastAsia="宋体" w:cs="宋体"/>
      <w:sz w:val="21"/>
      <w:szCs w:val="21"/>
    </w:rPr>
  </w:style>
  <w:style w:type="character" w:customStyle="1" w:styleId="56">
    <w:name w:val="日期 Char"/>
    <w:link w:val="21"/>
    <w:qFormat/>
    <w:locked/>
    <w:uiPriority w:val="99"/>
    <w:rPr>
      <w:rFonts w:ascii="Times New Roman" w:hAnsi="Times New Roman" w:eastAsia="宋体" w:cs="Times New Roman"/>
      <w:sz w:val="20"/>
      <w:szCs w:val="20"/>
    </w:rPr>
  </w:style>
  <w:style w:type="character" w:customStyle="1" w:styleId="57">
    <w:name w:val="正文文本缩进 2 Char"/>
    <w:link w:val="22"/>
    <w:qFormat/>
    <w:locked/>
    <w:uiPriority w:val="99"/>
    <w:rPr>
      <w:rFonts w:ascii="仿宋_GB2312" w:hAnsi="Times New Roman" w:eastAsia="仿宋_GB2312" w:cs="仿宋_GB2312"/>
      <w:sz w:val="20"/>
      <w:szCs w:val="20"/>
    </w:rPr>
  </w:style>
  <w:style w:type="character" w:customStyle="1" w:styleId="58">
    <w:name w:val="批注框文本 Char"/>
    <w:link w:val="23"/>
    <w:qFormat/>
    <w:locked/>
    <w:uiPriority w:val="99"/>
    <w:rPr>
      <w:rFonts w:ascii="Times New Roman" w:hAnsi="Times New Roman" w:eastAsia="宋体" w:cs="Times New Roman"/>
      <w:sz w:val="18"/>
      <w:szCs w:val="18"/>
    </w:rPr>
  </w:style>
  <w:style w:type="character" w:customStyle="1" w:styleId="59">
    <w:name w:val="页脚 Char"/>
    <w:link w:val="24"/>
    <w:qFormat/>
    <w:locked/>
    <w:uiPriority w:val="99"/>
    <w:rPr>
      <w:rFonts w:cs="Times New Roman"/>
      <w:sz w:val="18"/>
      <w:szCs w:val="18"/>
    </w:rPr>
  </w:style>
  <w:style w:type="character" w:customStyle="1" w:styleId="60">
    <w:name w:val="页眉 Char"/>
    <w:link w:val="25"/>
    <w:qFormat/>
    <w:locked/>
    <w:uiPriority w:val="99"/>
    <w:rPr>
      <w:rFonts w:cs="Times New Roman"/>
      <w:sz w:val="18"/>
      <w:szCs w:val="18"/>
    </w:rPr>
  </w:style>
  <w:style w:type="character" w:customStyle="1" w:styleId="61">
    <w:name w:val="正文文本缩进 3 Char"/>
    <w:link w:val="27"/>
    <w:qFormat/>
    <w:locked/>
    <w:uiPriority w:val="99"/>
    <w:rPr>
      <w:rFonts w:ascii="宋体" w:hAnsi="MS Sans Serif" w:eastAsia="宋体" w:cs="宋体"/>
      <w:color w:val="000000"/>
      <w:kern w:val="0"/>
      <w:sz w:val="20"/>
      <w:szCs w:val="20"/>
    </w:rPr>
  </w:style>
  <w:style w:type="character" w:customStyle="1" w:styleId="62">
    <w:name w:val="正文文本 2 Char"/>
    <w:link w:val="29"/>
    <w:qFormat/>
    <w:locked/>
    <w:uiPriority w:val="99"/>
    <w:rPr>
      <w:rFonts w:ascii="Times New Roman" w:hAnsi="Times New Roman" w:eastAsia="宋体" w:cs="Times New Roman"/>
      <w:sz w:val="20"/>
      <w:szCs w:val="20"/>
    </w:rPr>
  </w:style>
  <w:style w:type="character" w:customStyle="1" w:styleId="63">
    <w:name w:val="纯文本 Char"/>
    <w:qFormat/>
    <w:uiPriority w:val="99"/>
    <w:rPr>
      <w:rFonts w:ascii="宋体" w:hAnsi="Courier New" w:eastAsia="宋体" w:cs="宋体"/>
      <w:sz w:val="21"/>
      <w:szCs w:val="21"/>
    </w:rPr>
  </w:style>
  <w:style w:type="paragraph" w:customStyle="1" w:styleId="64">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paragraph" w:customStyle="1" w:styleId="65">
    <w:name w:val="默认段落字体 Para Char Char Char Char"/>
    <w:basedOn w:val="1"/>
    <w:qFormat/>
    <w:uiPriority w:val="99"/>
    <w:rPr>
      <w:rFonts w:ascii="Times New Roman" w:hAnsi="Times New Roman" w:cs="Times New Roman"/>
    </w:rPr>
  </w:style>
  <w:style w:type="character" w:customStyle="1" w:styleId="66">
    <w:name w:val="纯文本 Char1"/>
    <w:link w:val="20"/>
    <w:qFormat/>
    <w:locked/>
    <w:uiPriority w:val="99"/>
    <w:rPr>
      <w:rFonts w:ascii="宋体" w:hAnsi="Courier New" w:eastAsia="宋体" w:cs="宋体"/>
      <w:sz w:val="24"/>
      <w:szCs w:val="24"/>
    </w:rPr>
  </w:style>
  <w:style w:type="paragraph" w:customStyle="1" w:styleId="67">
    <w:name w:val="Char Char Char Char"/>
    <w:basedOn w:val="1"/>
    <w:qFormat/>
    <w:uiPriority w:val="99"/>
    <w:rPr>
      <w:rFonts w:ascii="Times New Roman" w:hAnsi="Times New Roman" w:cs="Times New Roman"/>
    </w:rPr>
  </w:style>
  <w:style w:type="character" w:customStyle="1" w:styleId="68">
    <w:name w:val="Variable"/>
    <w:qFormat/>
    <w:uiPriority w:val="99"/>
    <w:rPr>
      <w:i/>
    </w:rPr>
  </w:style>
  <w:style w:type="paragraph" w:customStyle="1" w:styleId="69">
    <w:name w:val="flType"/>
    <w:basedOn w:val="1"/>
    <w:qFormat/>
    <w:uiPriority w:val="99"/>
    <w:pPr>
      <w:adjustRightInd w:val="0"/>
      <w:spacing w:after="284" w:line="113" w:lineRule="atLeast"/>
      <w:jc w:val="center"/>
      <w:textAlignment w:val="baseline"/>
    </w:pPr>
    <w:rPr>
      <w:rFonts w:ascii="Times New Roman" w:hAnsi="Times New Roman" w:cs="Times New Roman"/>
      <w:kern w:val="0"/>
      <w:sz w:val="24"/>
      <w:szCs w:val="24"/>
    </w:rPr>
  </w:style>
  <w:style w:type="paragraph" w:customStyle="1" w:styleId="70">
    <w:name w:val="样式 标题 1 + 宋体 居中 段前: 48 磅 段后: 12 磅 行距: 1.5 倍行距"/>
    <w:basedOn w:val="4"/>
    <w:qFormat/>
    <w:uiPriority w:val="99"/>
    <w:pPr>
      <w:keepNext w:val="0"/>
      <w:widowControl w:val="0"/>
      <w:tabs>
        <w:tab w:val="clear" w:pos="432"/>
      </w:tabs>
      <w:adjustRightInd w:val="0"/>
      <w:spacing w:line="360" w:lineRule="auto"/>
      <w:ind w:left="0" w:firstLine="0"/>
      <w:textAlignment w:val="baseline"/>
    </w:pPr>
    <w:rPr>
      <w:rFonts w:ascii="宋体" w:hAnsi="宋体" w:cs="宋体"/>
      <w:b/>
      <w:bCs/>
      <w:kern w:val="2"/>
      <w:sz w:val="32"/>
      <w:szCs w:val="32"/>
      <w:lang w:val="zh-CN"/>
    </w:rPr>
  </w:style>
  <w:style w:type="paragraph" w:customStyle="1" w:styleId="71">
    <w:name w:val="列出段落1"/>
    <w:basedOn w:val="1"/>
    <w:qFormat/>
    <w:uiPriority w:val="99"/>
    <w:pPr>
      <w:ind w:firstLine="420" w:firstLineChars="200"/>
    </w:pPr>
    <w:rPr>
      <w:rFonts w:ascii="Times New Roman" w:hAnsi="Times New Roman" w:cs="Times New Roman"/>
    </w:rPr>
  </w:style>
  <w:style w:type="paragraph" w:customStyle="1" w:styleId="72">
    <w:name w:val="列出段落11"/>
    <w:basedOn w:val="1"/>
    <w:qFormat/>
    <w:uiPriority w:val="99"/>
    <w:pPr>
      <w:ind w:firstLine="420" w:firstLineChars="200"/>
    </w:pPr>
    <w:rPr>
      <w:rFonts w:ascii="Times New Roman" w:hAnsi="Times New Roman" w:cs="Times New Roman"/>
    </w:rPr>
  </w:style>
  <w:style w:type="character" w:customStyle="1" w:styleId="73">
    <w:name w:val="正文缩进 Char"/>
    <w:link w:val="7"/>
    <w:qFormat/>
    <w:locked/>
    <w:uiPriority w:val="99"/>
    <w:rPr>
      <w:rFonts w:ascii="Times New Roman" w:hAnsi="Times New Roman" w:eastAsia="宋体"/>
      <w:sz w:val="20"/>
    </w:rPr>
  </w:style>
  <w:style w:type="paragraph" w:customStyle="1" w:styleId="74">
    <w:name w:val="列出段落2"/>
    <w:basedOn w:val="1"/>
    <w:qFormat/>
    <w:uiPriority w:val="99"/>
    <w:pPr>
      <w:ind w:firstLine="420" w:firstLineChars="200"/>
    </w:pPr>
  </w:style>
  <w:style w:type="paragraph" w:customStyle="1" w:styleId="75">
    <w:name w:val="报告-正文"/>
    <w:qFormat/>
    <w:uiPriority w:val="99"/>
    <w:pPr>
      <w:widowControl w:val="0"/>
      <w:kinsoku w:val="0"/>
      <w:overflowPunct w:val="0"/>
      <w:autoSpaceDE w:val="0"/>
      <w:autoSpaceDN w:val="0"/>
      <w:spacing w:line="360" w:lineRule="auto"/>
      <w:ind w:firstLine="200" w:firstLineChars="200"/>
      <w:jc w:val="both"/>
    </w:pPr>
    <w:rPr>
      <w:rFonts w:ascii="Times New Roman" w:hAnsi="Times New Roman" w:eastAsia="宋体" w:cs="Times New Roman"/>
      <w:kern w:val="2"/>
      <w:sz w:val="28"/>
      <w:szCs w:val="21"/>
      <w:lang w:val="en-US" w:eastAsia="zh-CN" w:bidi="ar-SA"/>
    </w:rPr>
  </w:style>
  <w:style w:type="paragraph" w:customStyle="1" w:styleId="76">
    <w:name w:val="修订1"/>
    <w:hidden/>
    <w:qFormat/>
    <w:uiPriority w:val="99"/>
    <w:rPr>
      <w:rFonts w:ascii="Calibri" w:hAnsi="Calibri" w:eastAsia="宋体" w:cs="Calibri"/>
      <w:kern w:val="2"/>
      <w:sz w:val="21"/>
      <w:szCs w:val="21"/>
      <w:lang w:val="en-US" w:eastAsia="zh-CN" w:bidi="ar-SA"/>
    </w:rPr>
  </w:style>
  <w:style w:type="paragraph" w:customStyle="1" w:styleId="77">
    <w:name w:val="正文缩进2格"/>
    <w:basedOn w:val="1"/>
    <w:link w:val="78"/>
    <w:qFormat/>
    <w:uiPriority w:val="99"/>
    <w:pPr>
      <w:spacing w:line="600" w:lineRule="exact"/>
      <w:ind w:firstLine="639" w:firstLineChars="206"/>
    </w:pPr>
    <w:rPr>
      <w:rFonts w:ascii="仿宋_GB2312" w:hAnsi="宋体" w:eastAsia="仿宋_GB2312" w:cs="Times New Roman"/>
      <w:sz w:val="31"/>
      <w:szCs w:val="28"/>
    </w:rPr>
  </w:style>
  <w:style w:type="character" w:customStyle="1" w:styleId="78">
    <w:name w:val="正文缩进2格 Char"/>
    <w:link w:val="77"/>
    <w:qFormat/>
    <w:locked/>
    <w:uiPriority w:val="99"/>
    <w:rPr>
      <w:rFonts w:ascii="仿宋_GB2312" w:hAnsi="宋体" w:eastAsia="仿宋_GB2312" w:cs="Times New Roman"/>
      <w:kern w:val="2"/>
      <w:sz w:val="28"/>
      <w:szCs w:val="28"/>
    </w:rPr>
  </w:style>
  <w:style w:type="paragraph" w:customStyle="1" w:styleId="79">
    <w:name w:val="段落正文"/>
    <w:qFormat/>
    <w:uiPriority w:val="99"/>
    <w:pPr>
      <w:spacing w:line="520" w:lineRule="exact"/>
      <w:ind w:firstLine="200" w:firstLineChars="200"/>
    </w:pPr>
    <w:rPr>
      <w:rFonts w:ascii="Times New Roman" w:hAnsi="Times New Roman" w:eastAsia="宋体" w:cs="Times New Roman"/>
      <w:bCs/>
      <w:kern w:val="44"/>
      <w:sz w:val="24"/>
      <w:szCs w:val="24"/>
      <w:lang w:val="en-US" w:eastAsia="zh-CN" w:bidi="ar-SA"/>
    </w:rPr>
  </w:style>
  <w:style w:type="paragraph" w:styleId="80">
    <w:name w:val="No Spacing"/>
    <w:qFormat/>
    <w:uiPriority w:val="1"/>
    <w:pPr>
      <w:widowControl w:val="0"/>
      <w:jc w:val="both"/>
    </w:pPr>
    <w:rPr>
      <w:rFonts w:ascii="Calibri" w:hAnsi="Calibri" w:eastAsia="宋体" w:cs="Calibri"/>
      <w:kern w:val="2"/>
      <w:sz w:val="21"/>
      <w:szCs w:val="21"/>
      <w:lang w:val="en-US" w:eastAsia="zh-CN" w:bidi="ar-SA"/>
    </w:rPr>
  </w:style>
  <w:style w:type="character" w:customStyle="1" w:styleId="81">
    <w:name w:val="NormalCharacter"/>
    <w:qFormat/>
    <w:uiPriority w:val="0"/>
  </w:style>
  <w:style w:type="paragraph" w:customStyle="1" w:styleId="82">
    <w:name w:val="BodyTextIndent3"/>
    <w:basedOn w:val="1"/>
    <w:qFormat/>
    <w:uiPriority w:val="0"/>
    <w:pPr>
      <w:spacing w:after="120"/>
      <w:ind w:left="420" w:leftChars="200"/>
    </w:pPr>
    <w:rPr>
      <w:sz w:val="16"/>
      <w:szCs w:val="16"/>
    </w:rPr>
  </w:style>
  <w:style w:type="paragraph" w:customStyle="1" w:styleId="8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84">
    <w:name w:val="List Paragraph"/>
    <w:basedOn w:val="1"/>
    <w:qFormat/>
    <w:uiPriority w:val="99"/>
    <w:pPr>
      <w:ind w:firstLine="420" w:firstLineChars="200"/>
    </w:pPr>
  </w:style>
  <w:style w:type="paragraph" w:customStyle="1" w:styleId="85">
    <w:name w:val="List Paragraph1"/>
    <w:basedOn w:val="1"/>
    <w:qFormat/>
    <w:uiPriority w:val="0"/>
    <w:pPr>
      <w:ind w:firstLine="420" w:firstLineChars="200"/>
    </w:pPr>
  </w:style>
  <w:style w:type="character" w:customStyle="1" w:styleId="86">
    <w:name w:val="HTML 预设格式 Char"/>
    <w:basedOn w:val="37"/>
    <w:link w:val="30"/>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8EBAF7-460A-42FD-95E1-9A8DF3A330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2489</Words>
  <Characters>2773</Characters>
  <Lines>102</Lines>
  <Paragraphs>28</Paragraphs>
  <TotalTime>4</TotalTime>
  <ScaleCrop>false</ScaleCrop>
  <LinksUpToDate>false</LinksUpToDate>
  <CharactersWithSpaces>2781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2023-08-04T05:41:00Z</dcterms:created>
  <dc:creator>Windows 用户</dc:creator>
  <cp:lastModifiedBy>user</cp:lastModifiedBy>
  <cp:lastPrinted>2023-08-04T08:02:00Z</cp:lastPrinted>
  <dcterms:modified xsi:type="dcterms:W3CDTF">2025-10-10T10:05:36Z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4663B77CA89A453180C74BF591717D72_13</vt:lpwstr>
  </property>
  <property fmtid="{D5CDD505-2E9C-101B-9397-08002B2CF9AE}" pid="4" name="KSOTemplateDocerSaveRecord">
    <vt:lpwstr>eyJoZGlkIjoiYzZlMjYyYjAyYjVhMjNmZTZmNzg2MjU4YjU3YmFmYTIifQ==</vt:lpwstr>
  </property>
</Properties>
</file>