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Cs/>
          <w:sz w:val="28"/>
          <w:szCs w:val="28"/>
        </w:rPr>
      </w:pPr>
      <w:r>
        <w:rPr>
          <w:rFonts w:hint="eastAsia"/>
          <w:bCs/>
          <w:sz w:val="28"/>
          <w:szCs w:val="28"/>
        </w:rPr>
        <w:t xml:space="preserve"> </w:t>
      </w:r>
    </w:p>
    <w:p>
      <w:pPr>
        <w:spacing w:line="360" w:lineRule="auto"/>
        <w:jc w:val="center"/>
        <w:rPr>
          <w:rFonts w:cs="Calibri"/>
          <w:b/>
          <w:bCs/>
          <w:kern w:val="2"/>
          <w:sz w:val="48"/>
          <w:szCs w:val="48"/>
        </w:rPr>
      </w:pPr>
    </w:p>
    <w:p>
      <w:pPr>
        <w:spacing w:line="360" w:lineRule="auto"/>
        <w:jc w:val="center"/>
        <w:rPr>
          <w:rFonts w:cs="Calibri"/>
          <w:b/>
          <w:bCs/>
          <w:kern w:val="2"/>
          <w:sz w:val="48"/>
          <w:szCs w:val="48"/>
        </w:rPr>
      </w:pPr>
      <w:r>
        <w:rPr>
          <w:rFonts w:hint="eastAsia" w:cs="Calibri"/>
          <w:b/>
          <w:bCs/>
          <w:kern w:val="2"/>
          <w:sz w:val="48"/>
          <w:szCs w:val="48"/>
        </w:rPr>
        <w:t>202</w:t>
      </w:r>
      <w:r>
        <w:rPr>
          <w:rFonts w:hint="eastAsia" w:cs="Calibri"/>
          <w:b/>
          <w:bCs/>
          <w:kern w:val="2"/>
          <w:sz w:val="48"/>
          <w:szCs w:val="48"/>
          <w:lang w:val="en-US" w:eastAsia="zh-CN"/>
        </w:rPr>
        <w:t>3</w:t>
      </w:r>
      <w:r>
        <w:rPr>
          <w:rFonts w:hint="eastAsia" w:cs="Calibri"/>
          <w:b/>
          <w:bCs/>
          <w:kern w:val="2"/>
          <w:sz w:val="48"/>
          <w:szCs w:val="48"/>
        </w:rPr>
        <w:t>年度濠河景区十一立体花卉布置工程</w:t>
      </w:r>
    </w:p>
    <w:p>
      <w:pPr>
        <w:spacing w:line="360" w:lineRule="auto"/>
        <w:jc w:val="center"/>
        <w:rPr>
          <w:b/>
          <w:sz w:val="44"/>
          <w:szCs w:val="44"/>
        </w:rPr>
      </w:pPr>
      <w:r>
        <w:rPr>
          <w:rFonts w:hint="eastAsia" w:cs="Calibri"/>
          <w:b/>
          <w:bCs/>
          <w:kern w:val="2"/>
          <w:sz w:val="48"/>
          <w:szCs w:val="48"/>
        </w:rPr>
        <w:t>设计、施工总承包项目</w:t>
      </w:r>
      <w:r>
        <w:rPr>
          <w:rFonts w:hint="eastAsia"/>
          <w:b/>
          <w:sz w:val="44"/>
          <w:szCs w:val="44"/>
        </w:rPr>
        <w:t xml:space="preserve">  </w:t>
      </w:r>
    </w:p>
    <w:p>
      <w:pPr>
        <w:spacing w:line="360" w:lineRule="auto"/>
        <w:jc w:val="center"/>
        <w:rPr>
          <w:sz w:val="28"/>
          <w:szCs w:val="28"/>
        </w:rPr>
      </w:pPr>
    </w:p>
    <w:p>
      <w:pPr>
        <w:spacing w:line="360" w:lineRule="auto"/>
        <w:rPr>
          <w:sz w:val="72"/>
          <w:szCs w:val="72"/>
        </w:rPr>
      </w:pPr>
    </w:p>
    <w:p>
      <w:pPr>
        <w:spacing w:line="360" w:lineRule="auto"/>
        <w:jc w:val="center"/>
        <w:rPr>
          <w:sz w:val="36"/>
          <w:szCs w:val="36"/>
        </w:rPr>
      </w:pPr>
      <w:r>
        <w:rPr>
          <w:rFonts w:hint="eastAsia" w:cs="Calibri"/>
          <w:b/>
          <w:bCs/>
          <w:kern w:val="2"/>
          <w:sz w:val="52"/>
          <w:szCs w:val="52"/>
        </w:rPr>
        <w:t>招标文件</w:t>
      </w:r>
    </w:p>
    <w:p>
      <w:pPr>
        <w:ind w:firstLine="2560" w:firstLineChars="800"/>
        <w:rPr>
          <w:rFonts w:hint="default" w:ascii="宋体" w:hAnsi="宋体" w:eastAsia="宋体" w:cs="宋体"/>
          <w:color w:val="548DD4"/>
          <w:kern w:val="0"/>
          <w:sz w:val="24"/>
          <w:lang w:val="en-US" w:eastAsia="zh-CN"/>
        </w:rPr>
      </w:pPr>
      <w:r>
        <w:rPr>
          <w:sz w:val="32"/>
          <w:szCs w:val="32"/>
        </w:rPr>
        <w:t>项目</w:t>
      </w:r>
      <w:r>
        <w:rPr>
          <w:rFonts w:hint="eastAsia" w:cs="Calibri"/>
          <w:kern w:val="2"/>
          <w:sz w:val="32"/>
          <w:szCs w:val="32"/>
        </w:rPr>
        <w:t>编号：</w:t>
      </w:r>
      <w:r>
        <w:rPr>
          <w:sz w:val="32"/>
          <w:szCs w:val="32"/>
        </w:rPr>
        <w:t>CC20</w:t>
      </w:r>
      <w:r>
        <w:rPr>
          <w:rFonts w:hint="eastAsia"/>
          <w:sz w:val="32"/>
          <w:szCs w:val="32"/>
        </w:rPr>
        <w:t>23-</w:t>
      </w:r>
      <w:r>
        <w:rPr>
          <w:sz w:val="32"/>
          <w:szCs w:val="32"/>
        </w:rPr>
        <w:t>1</w:t>
      </w:r>
      <w:r>
        <w:rPr>
          <w:rFonts w:hint="eastAsia"/>
          <w:sz w:val="32"/>
          <w:szCs w:val="32"/>
          <w:lang w:val="en-US" w:eastAsia="zh-CN"/>
        </w:rPr>
        <w:t>33</w:t>
      </w:r>
    </w:p>
    <w:p>
      <w:pPr>
        <w:spacing w:line="360" w:lineRule="auto"/>
        <w:ind w:firstLine="2880" w:firstLineChars="900"/>
        <w:jc w:val="both"/>
        <w:rPr>
          <w:rFonts w:cs="Calibri"/>
          <w:kern w:val="2"/>
          <w:sz w:val="32"/>
          <w:szCs w:val="32"/>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rPr>
          <w:sz w:val="28"/>
          <w:szCs w:val="28"/>
        </w:rPr>
      </w:pPr>
    </w:p>
    <w:p>
      <w:pPr>
        <w:spacing w:line="360" w:lineRule="auto"/>
        <w:jc w:val="center"/>
        <w:rPr>
          <w:sz w:val="28"/>
          <w:szCs w:val="28"/>
        </w:rPr>
      </w:pPr>
    </w:p>
    <w:p>
      <w:pPr>
        <w:spacing w:line="360" w:lineRule="auto"/>
        <w:jc w:val="center"/>
        <w:rPr>
          <w:sz w:val="28"/>
          <w:szCs w:val="28"/>
        </w:rPr>
      </w:pPr>
    </w:p>
    <w:p>
      <w:pPr>
        <w:spacing w:line="360" w:lineRule="auto"/>
        <w:ind w:firstLine="790" w:firstLineChars="246"/>
        <w:jc w:val="left"/>
        <w:rPr>
          <w:rFonts w:cs="Calibri"/>
          <w:b/>
          <w:bCs/>
          <w:kern w:val="2"/>
          <w:sz w:val="32"/>
          <w:szCs w:val="32"/>
        </w:rPr>
      </w:pPr>
      <w:r>
        <w:rPr>
          <w:rFonts w:hint="eastAsia" w:cs="Calibri"/>
          <w:b/>
          <w:bCs/>
          <w:kern w:val="2"/>
          <w:sz w:val="32"/>
          <w:szCs w:val="32"/>
        </w:rPr>
        <w:t>招   标   人： 南通市濠河景区管理办公室</w:t>
      </w:r>
    </w:p>
    <w:p>
      <w:pPr>
        <w:spacing w:line="360" w:lineRule="auto"/>
        <w:ind w:firstLine="790" w:firstLineChars="246"/>
        <w:rPr>
          <w:rFonts w:hint="eastAsia" w:cs="Calibri"/>
          <w:b/>
          <w:bCs/>
          <w:kern w:val="2"/>
          <w:sz w:val="32"/>
          <w:szCs w:val="32"/>
        </w:rPr>
      </w:pPr>
      <w:r>
        <w:rPr>
          <w:rFonts w:hint="eastAsia" w:cs="Calibri"/>
          <w:b/>
          <w:bCs/>
          <w:kern w:val="2"/>
          <w:sz w:val="32"/>
          <w:szCs w:val="32"/>
        </w:rPr>
        <w:t xml:space="preserve">招标代理机构： </w:t>
      </w:r>
      <w:r>
        <w:rPr>
          <w:rFonts w:hint="eastAsia" w:cs="Calibri"/>
          <w:b/>
          <w:bCs/>
          <w:kern w:val="2"/>
          <w:sz w:val="32"/>
          <w:szCs w:val="32"/>
          <w:lang w:val="en-US" w:eastAsia="zh-CN"/>
        </w:rPr>
        <w:t>江苏华睿工程咨询有限公司</w:t>
      </w:r>
      <w:r>
        <w:rPr>
          <w:rFonts w:hint="eastAsia" w:cs="Calibri"/>
          <w:b/>
          <w:bCs/>
          <w:kern w:val="2"/>
          <w:sz w:val="32"/>
          <w:szCs w:val="32"/>
        </w:rPr>
        <w:t xml:space="preserve">           </w:t>
      </w:r>
    </w:p>
    <w:p>
      <w:pPr>
        <w:spacing w:line="360" w:lineRule="auto"/>
        <w:ind w:firstLine="2397" w:firstLineChars="746"/>
        <w:rPr>
          <w:rFonts w:cs="Calibri"/>
          <w:b/>
          <w:bCs/>
          <w:kern w:val="2"/>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346" w:bottom="1440" w:left="1680" w:header="851" w:footer="851" w:gutter="0"/>
          <w:cols w:space="720" w:num="1"/>
          <w:titlePg/>
          <w:docGrid w:linePitch="312" w:charSpace="0"/>
        </w:sectPr>
      </w:pPr>
      <w:r>
        <w:rPr>
          <w:rFonts w:hint="eastAsia" w:cs="Calibri"/>
          <w:b/>
          <w:bCs/>
          <w:kern w:val="2"/>
          <w:sz w:val="32"/>
          <w:szCs w:val="32"/>
          <w:highlight w:val="none"/>
        </w:rPr>
        <w:t>202</w:t>
      </w:r>
      <w:r>
        <w:rPr>
          <w:rFonts w:hint="eastAsia" w:cs="Calibri"/>
          <w:b/>
          <w:bCs/>
          <w:kern w:val="2"/>
          <w:sz w:val="32"/>
          <w:szCs w:val="32"/>
          <w:highlight w:val="none"/>
          <w:lang w:val="en-US" w:eastAsia="zh-CN"/>
        </w:rPr>
        <w:t>3</w:t>
      </w:r>
      <w:r>
        <w:rPr>
          <w:rFonts w:hint="eastAsia" w:cs="Calibri"/>
          <w:b/>
          <w:bCs/>
          <w:kern w:val="2"/>
          <w:sz w:val="32"/>
          <w:szCs w:val="32"/>
          <w:highlight w:val="none"/>
        </w:rPr>
        <w:t>年</w:t>
      </w:r>
      <w:r>
        <w:rPr>
          <w:rFonts w:hint="eastAsia" w:cs="Calibri"/>
          <w:b/>
          <w:bCs/>
          <w:kern w:val="2"/>
          <w:sz w:val="32"/>
          <w:szCs w:val="32"/>
          <w:highlight w:val="none"/>
          <w:lang w:val="en-US" w:eastAsia="zh-CN"/>
        </w:rPr>
        <w:t>7</w:t>
      </w:r>
      <w:r>
        <w:rPr>
          <w:rFonts w:hint="eastAsia" w:cs="Calibri"/>
          <w:b/>
          <w:bCs/>
          <w:kern w:val="2"/>
          <w:sz w:val="32"/>
          <w:szCs w:val="32"/>
          <w:highlight w:val="none"/>
        </w:rPr>
        <w:t>月</w:t>
      </w:r>
      <w:r>
        <w:rPr>
          <w:rFonts w:hint="eastAsia" w:cs="Calibri"/>
          <w:b/>
          <w:bCs/>
          <w:kern w:val="2"/>
          <w:sz w:val="32"/>
          <w:szCs w:val="32"/>
          <w:highlight w:val="none"/>
          <w:lang w:val="en-US" w:eastAsia="zh-CN"/>
        </w:rPr>
        <w:t>17</w:t>
      </w:r>
      <w:r>
        <w:rPr>
          <w:rFonts w:hint="eastAsia" w:cs="Calibri"/>
          <w:b/>
          <w:bCs/>
          <w:kern w:val="2"/>
          <w:sz w:val="32"/>
          <w:szCs w:val="32"/>
          <w:highlight w:val="none"/>
        </w:rPr>
        <w:t>日</w:t>
      </w:r>
    </w:p>
    <w:p>
      <w:pPr>
        <w:pStyle w:val="148"/>
        <w:jc w:val="center"/>
        <w:rPr>
          <w:rFonts w:ascii="宋体"/>
          <w:sz w:val="32"/>
        </w:rPr>
      </w:pPr>
      <w:r>
        <w:rPr>
          <w:rFonts w:hint="eastAsia" w:ascii="宋体"/>
          <w:sz w:val="32"/>
        </w:rPr>
        <w:t>工程招标文件备案表</w:t>
      </w:r>
    </w:p>
    <w:p>
      <w:pPr>
        <w:snapToGrid w:val="0"/>
        <w:spacing w:line="360" w:lineRule="auto"/>
        <w:rPr>
          <w:sz w:val="25"/>
        </w:rPr>
      </w:pPr>
    </w:p>
    <w:tbl>
      <w:tblPr>
        <w:tblStyle w:val="61"/>
        <w:tblW w:w="9404" w:type="dxa"/>
        <w:tblInd w:w="0" w:type="dxa"/>
        <w:tblLayout w:type="fixed"/>
        <w:tblCellMar>
          <w:top w:w="0" w:type="dxa"/>
          <w:left w:w="0" w:type="dxa"/>
          <w:bottom w:w="0" w:type="dxa"/>
          <w:right w:w="0" w:type="dxa"/>
        </w:tblCellMar>
      </w:tblPr>
      <w:tblGrid>
        <w:gridCol w:w="9404"/>
      </w:tblGrid>
      <w:tr>
        <w:tblPrEx>
          <w:tblCellMar>
            <w:top w:w="0" w:type="dxa"/>
            <w:left w:w="0" w:type="dxa"/>
            <w:bottom w:w="0" w:type="dxa"/>
            <w:right w:w="0" w:type="dxa"/>
          </w:tblCellMar>
        </w:tblPrEx>
        <w:trPr>
          <w:trHeight w:val="3471" w:hRule="atLeast"/>
          <w:tblHeader/>
        </w:trPr>
        <w:tc>
          <w:tcPr>
            <w:tcW w:w="9404" w:type="dxa"/>
            <w:tcBorders>
              <w:top w:val="single" w:color="000000" w:sz="4" w:space="0"/>
              <w:left w:val="single" w:color="000000" w:sz="2" w:space="0"/>
              <w:bottom w:val="single" w:color="000000" w:sz="2" w:space="0"/>
              <w:right w:val="single" w:color="000000" w:sz="2" w:space="0"/>
            </w:tcBorders>
            <w:tcMar>
              <w:top w:w="0" w:type="dxa"/>
              <w:left w:w="108" w:type="dxa"/>
              <w:bottom w:w="0" w:type="dxa"/>
              <w:right w:w="108" w:type="dxa"/>
            </w:tcMar>
          </w:tcPr>
          <w:p>
            <w:pPr>
              <w:snapToGrid w:val="0"/>
              <w:spacing w:line="360" w:lineRule="auto"/>
            </w:pPr>
          </w:p>
          <w:p>
            <w:pPr>
              <w:snapToGrid w:val="0"/>
              <w:spacing w:line="360" w:lineRule="auto"/>
            </w:pPr>
          </w:p>
          <w:p>
            <w:pPr>
              <w:spacing w:line="360" w:lineRule="auto"/>
              <w:ind w:firstLine="5040" w:firstLineChars="1800"/>
              <w:rPr>
                <w:rFonts w:cs="Calibri"/>
                <w:kern w:val="2"/>
                <w:sz w:val="28"/>
                <w:szCs w:val="28"/>
              </w:rPr>
            </w:pPr>
            <w:r>
              <w:rPr>
                <w:rFonts w:hint="eastAsia" w:cs="Calibri"/>
                <w:kern w:val="2"/>
                <w:sz w:val="28"/>
                <w:szCs w:val="28"/>
              </w:rPr>
              <w:t xml:space="preserve">编制人(组长签字)：   </w:t>
            </w:r>
          </w:p>
          <w:p>
            <w:pPr>
              <w:spacing w:line="360" w:lineRule="auto"/>
              <w:ind w:firstLine="5040" w:firstLineChars="1800"/>
              <w:rPr>
                <w:rFonts w:cs="Calibri"/>
                <w:kern w:val="2"/>
                <w:sz w:val="28"/>
                <w:szCs w:val="28"/>
              </w:rPr>
            </w:pPr>
          </w:p>
          <w:p>
            <w:pPr>
              <w:spacing w:line="360" w:lineRule="auto"/>
              <w:ind w:firstLine="5040" w:firstLineChars="1800"/>
            </w:pPr>
            <w:r>
              <w:rPr>
                <w:rFonts w:hint="eastAsia" w:cs="Calibri"/>
                <w:kern w:val="2"/>
                <w:sz w:val="28"/>
                <w:szCs w:val="28"/>
              </w:rPr>
              <w:t>日  期： 202</w:t>
            </w:r>
            <w:r>
              <w:rPr>
                <w:rFonts w:hint="eastAsia" w:cs="Calibri"/>
                <w:kern w:val="2"/>
                <w:sz w:val="28"/>
                <w:szCs w:val="28"/>
                <w:lang w:val="en-US" w:eastAsia="zh-CN"/>
              </w:rPr>
              <w:t>3</w:t>
            </w:r>
            <w:r>
              <w:rPr>
                <w:rFonts w:hint="eastAsia" w:cs="Calibri"/>
                <w:kern w:val="2"/>
                <w:sz w:val="28"/>
                <w:szCs w:val="28"/>
              </w:rPr>
              <w:t>年</w:t>
            </w:r>
            <w:r>
              <w:rPr>
                <w:rFonts w:hint="eastAsia" w:cs="Calibri"/>
                <w:kern w:val="2"/>
                <w:sz w:val="28"/>
                <w:szCs w:val="28"/>
                <w:lang w:val="en-US" w:eastAsia="zh-CN"/>
              </w:rPr>
              <w:t>7</w:t>
            </w:r>
            <w:r>
              <w:rPr>
                <w:rFonts w:hint="eastAsia" w:cs="Calibri"/>
                <w:kern w:val="2"/>
                <w:sz w:val="28"/>
                <w:szCs w:val="28"/>
              </w:rPr>
              <w:t>月</w:t>
            </w:r>
            <w:r>
              <w:rPr>
                <w:rFonts w:hint="eastAsia" w:cs="Calibri"/>
                <w:kern w:val="2"/>
                <w:sz w:val="28"/>
                <w:szCs w:val="28"/>
                <w:lang w:val="en-US" w:eastAsia="zh-CN"/>
              </w:rPr>
              <w:t>17</w:t>
            </w:r>
            <w:r>
              <w:rPr>
                <w:rFonts w:hint="eastAsia" w:cs="Calibri"/>
                <w:kern w:val="2"/>
                <w:sz w:val="28"/>
                <w:szCs w:val="28"/>
              </w:rPr>
              <w:t>日</w:t>
            </w:r>
          </w:p>
        </w:tc>
      </w:tr>
      <w:tr>
        <w:tblPrEx>
          <w:tblCellMar>
            <w:top w:w="0" w:type="dxa"/>
            <w:left w:w="0" w:type="dxa"/>
            <w:bottom w:w="0" w:type="dxa"/>
            <w:right w:w="0" w:type="dxa"/>
          </w:tblCellMar>
        </w:tblPrEx>
        <w:trPr>
          <w:trHeight w:val="3911" w:hRule="atLeast"/>
        </w:trPr>
        <w:tc>
          <w:tcPr>
            <w:tcW w:w="9404" w:type="dxa"/>
            <w:tcBorders>
              <w:top w:val="single" w:color="000000" w:sz="2" w:space="0"/>
              <w:left w:val="single" w:color="000000" w:sz="2" w:space="0"/>
              <w:bottom w:val="single" w:color="000000" w:sz="2" w:space="0"/>
              <w:right w:val="single" w:color="000000" w:sz="2" w:space="0"/>
            </w:tcBorders>
            <w:tcMar>
              <w:top w:w="0" w:type="dxa"/>
              <w:left w:w="108" w:type="dxa"/>
              <w:bottom w:w="0" w:type="dxa"/>
              <w:right w:w="108" w:type="dxa"/>
            </w:tcMar>
          </w:tcPr>
          <w:p>
            <w:pPr>
              <w:snapToGrid w:val="0"/>
              <w:spacing w:line="360" w:lineRule="auto"/>
            </w:pPr>
          </w:p>
          <w:p>
            <w:pPr>
              <w:spacing w:line="360" w:lineRule="auto"/>
              <w:ind w:firstLine="840" w:firstLineChars="300"/>
              <w:rPr>
                <w:rFonts w:cs="Calibri"/>
                <w:kern w:val="2"/>
                <w:sz w:val="28"/>
                <w:szCs w:val="28"/>
              </w:rPr>
            </w:pPr>
            <w:r>
              <w:rPr>
                <w:rFonts w:hint="eastAsia" w:cs="Calibri"/>
                <w:kern w:val="2"/>
                <w:sz w:val="28"/>
                <w:szCs w:val="28"/>
              </w:rPr>
              <w:t>招标人(盖章)：              法定代表人(签字或盖章)：</w:t>
            </w:r>
          </w:p>
          <w:p>
            <w:pPr>
              <w:spacing w:line="360" w:lineRule="auto"/>
              <w:ind w:firstLine="840" w:firstLineChars="300"/>
              <w:rPr>
                <w:rFonts w:cs="Calibri"/>
                <w:kern w:val="2"/>
                <w:sz w:val="28"/>
                <w:szCs w:val="28"/>
              </w:rPr>
            </w:pPr>
            <w:r>
              <w:rPr>
                <w:rFonts w:hint="eastAsia" w:cs="Calibri"/>
                <w:kern w:val="2"/>
                <w:sz w:val="28"/>
                <w:szCs w:val="28"/>
              </w:rPr>
              <w:t xml:space="preserve"> </w:t>
            </w:r>
          </w:p>
          <w:p>
            <w:pPr>
              <w:spacing w:line="360" w:lineRule="auto"/>
              <w:ind w:firstLine="840" w:firstLineChars="300"/>
              <w:rPr>
                <w:rFonts w:cs="Calibri"/>
                <w:kern w:val="2"/>
                <w:sz w:val="28"/>
                <w:szCs w:val="28"/>
              </w:rPr>
            </w:pPr>
          </w:p>
          <w:p>
            <w:pPr>
              <w:spacing w:line="360" w:lineRule="auto"/>
              <w:ind w:firstLine="840" w:firstLineChars="300"/>
              <w:rPr>
                <w:rFonts w:cs="Calibri"/>
                <w:kern w:val="2"/>
                <w:sz w:val="28"/>
                <w:szCs w:val="28"/>
              </w:rPr>
            </w:pPr>
            <w:r>
              <w:rPr>
                <w:rFonts w:hint="eastAsia" w:cs="Calibri"/>
                <w:kern w:val="2"/>
                <w:sz w:val="28"/>
                <w:szCs w:val="28"/>
              </w:rPr>
              <w:t>招标代理机构(盖章)：           法定代表人(签字或盖章)：</w:t>
            </w:r>
          </w:p>
          <w:p>
            <w:pPr>
              <w:spacing w:line="360" w:lineRule="auto"/>
              <w:ind w:firstLine="840" w:firstLineChars="300"/>
              <w:rPr>
                <w:rFonts w:cs="Calibri"/>
                <w:kern w:val="2"/>
                <w:sz w:val="28"/>
                <w:szCs w:val="28"/>
              </w:rPr>
            </w:pPr>
          </w:p>
          <w:p>
            <w:pPr>
              <w:spacing w:line="360" w:lineRule="auto"/>
              <w:ind w:firstLine="840" w:firstLineChars="300"/>
              <w:rPr>
                <w:rFonts w:cs="Calibri"/>
                <w:kern w:val="2"/>
                <w:sz w:val="28"/>
                <w:szCs w:val="28"/>
              </w:rPr>
            </w:pPr>
          </w:p>
          <w:p>
            <w:pPr>
              <w:spacing w:line="360" w:lineRule="auto"/>
              <w:ind w:firstLine="5320" w:firstLineChars="1900"/>
            </w:pPr>
            <w:r>
              <w:rPr>
                <w:rFonts w:hint="eastAsia" w:cs="Calibri"/>
                <w:kern w:val="2"/>
                <w:sz w:val="28"/>
                <w:szCs w:val="28"/>
              </w:rPr>
              <w:t>日  期：202</w:t>
            </w:r>
            <w:r>
              <w:rPr>
                <w:rFonts w:hint="eastAsia" w:cs="Calibri"/>
                <w:kern w:val="2"/>
                <w:sz w:val="28"/>
                <w:szCs w:val="28"/>
                <w:lang w:val="en-US" w:eastAsia="zh-CN"/>
              </w:rPr>
              <w:t>3</w:t>
            </w:r>
            <w:r>
              <w:rPr>
                <w:rFonts w:hint="eastAsia" w:cs="Calibri"/>
                <w:kern w:val="2"/>
                <w:sz w:val="28"/>
                <w:szCs w:val="28"/>
              </w:rPr>
              <w:t>年</w:t>
            </w:r>
            <w:r>
              <w:rPr>
                <w:rFonts w:hint="eastAsia" w:cs="Calibri"/>
                <w:kern w:val="2"/>
                <w:sz w:val="28"/>
                <w:szCs w:val="28"/>
                <w:lang w:val="en-US" w:eastAsia="zh-CN"/>
              </w:rPr>
              <w:t>7</w:t>
            </w:r>
            <w:r>
              <w:rPr>
                <w:rFonts w:hint="eastAsia" w:cs="Calibri"/>
                <w:kern w:val="2"/>
                <w:sz w:val="28"/>
                <w:szCs w:val="28"/>
              </w:rPr>
              <w:t>月</w:t>
            </w:r>
            <w:r>
              <w:rPr>
                <w:rFonts w:hint="eastAsia" w:cs="Calibri"/>
                <w:kern w:val="2"/>
                <w:sz w:val="28"/>
                <w:szCs w:val="28"/>
                <w:lang w:val="en-US" w:eastAsia="zh-CN"/>
              </w:rPr>
              <w:t>17</w:t>
            </w:r>
            <w:r>
              <w:rPr>
                <w:rFonts w:hint="eastAsia" w:cs="Calibri"/>
                <w:kern w:val="2"/>
                <w:sz w:val="28"/>
                <w:szCs w:val="28"/>
              </w:rPr>
              <w:t>日</w:t>
            </w:r>
          </w:p>
        </w:tc>
      </w:tr>
      <w:tr>
        <w:tblPrEx>
          <w:tblCellMar>
            <w:top w:w="0" w:type="dxa"/>
            <w:left w:w="0" w:type="dxa"/>
            <w:bottom w:w="0" w:type="dxa"/>
            <w:right w:w="0" w:type="dxa"/>
          </w:tblCellMar>
        </w:tblPrEx>
        <w:trPr>
          <w:trHeight w:val="3911" w:hRule="atLeast"/>
        </w:trPr>
        <w:tc>
          <w:tcPr>
            <w:tcW w:w="9404" w:type="dxa"/>
            <w:tcBorders>
              <w:top w:val="single" w:color="000000" w:sz="2" w:space="0"/>
              <w:left w:val="single" w:color="000000" w:sz="2" w:space="0"/>
              <w:bottom w:val="single" w:color="000000" w:sz="6" w:space="0"/>
              <w:right w:val="single" w:color="000000" w:sz="2" w:space="0"/>
            </w:tcBorders>
            <w:tcMar>
              <w:top w:w="0" w:type="dxa"/>
              <w:left w:w="108" w:type="dxa"/>
              <w:bottom w:w="0" w:type="dxa"/>
              <w:right w:w="108" w:type="dxa"/>
            </w:tcMar>
            <w:vAlign w:val="center"/>
          </w:tcPr>
          <w:p>
            <w:pPr>
              <w:spacing w:line="360" w:lineRule="auto"/>
              <w:jc w:val="center"/>
            </w:pPr>
            <w:r>
              <w:rPr>
                <w:sz w:val="28"/>
                <w:szCs w:val="28"/>
              </w:rPr>
              <w:t>南通市崇川区公共资源交易管理办公室（备案）</w:t>
            </w:r>
          </w:p>
        </w:tc>
      </w:tr>
    </w:tbl>
    <w:p>
      <w:pPr>
        <w:spacing w:afterLines="100" w:line="540" w:lineRule="exact"/>
        <w:jc w:val="center"/>
        <w:rPr>
          <w:b/>
          <w:sz w:val="44"/>
          <w:szCs w:val="44"/>
        </w:rPr>
      </w:pPr>
    </w:p>
    <w:p>
      <w:pPr>
        <w:spacing w:afterLines="100" w:line="540" w:lineRule="exact"/>
        <w:jc w:val="center"/>
        <w:rPr>
          <w:b/>
          <w:sz w:val="44"/>
          <w:szCs w:val="44"/>
        </w:rPr>
        <w:sectPr>
          <w:footerReference r:id="rId9" w:type="default"/>
          <w:pgSz w:w="11906" w:h="16838"/>
          <w:pgMar w:top="1440" w:right="1558" w:bottom="1440" w:left="1276" w:header="851" w:footer="992" w:gutter="0"/>
          <w:cols w:space="720" w:num="1"/>
          <w:docGrid w:type="lines" w:linePitch="312" w:charSpace="0"/>
        </w:sectPr>
      </w:pPr>
    </w:p>
    <w:p>
      <w:pPr>
        <w:adjustRightInd w:val="0"/>
        <w:snapToGrid w:val="0"/>
        <w:spacing w:line="360" w:lineRule="auto"/>
        <w:jc w:val="center"/>
      </w:pPr>
      <w:bookmarkStart w:id="0" w:name="_Toc389065142"/>
      <w:r>
        <w:rPr>
          <w:rFonts w:cs="Calibri"/>
          <w:b/>
          <w:bCs/>
          <w:kern w:val="44"/>
          <w:sz w:val="36"/>
          <w:szCs w:val="44"/>
        </w:rPr>
        <w:t>第</w:t>
      </w:r>
      <w:r>
        <w:rPr>
          <w:rFonts w:hint="eastAsia" w:cs="Calibri"/>
          <w:b/>
          <w:bCs/>
          <w:kern w:val="44"/>
          <w:sz w:val="36"/>
          <w:szCs w:val="44"/>
        </w:rPr>
        <w:t>一</w:t>
      </w:r>
      <w:r>
        <w:rPr>
          <w:rFonts w:cs="Calibri"/>
          <w:b/>
          <w:bCs/>
          <w:kern w:val="44"/>
          <w:sz w:val="36"/>
          <w:szCs w:val="44"/>
        </w:rPr>
        <w:t xml:space="preserve">章  </w:t>
      </w:r>
      <w:bookmarkEnd w:id="0"/>
      <w:r>
        <w:rPr>
          <w:rFonts w:cs="Calibri"/>
          <w:b/>
          <w:bCs/>
          <w:kern w:val="44"/>
          <w:sz w:val="36"/>
          <w:szCs w:val="44"/>
        </w:rPr>
        <w:t>投标人须知及投标人须知前附表</w:t>
      </w:r>
    </w:p>
    <w:p>
      <w:pPr>
        <w:pStyle w:val="2"/>
        <w:spacing w:line="360" w:lineRule="auto"/>
        <w:jc w:val="center"/>
        <w:rPr>
          <w:rFonts w:ascii="宋体" w:hAnsi="宋体" w:eastAsia="宋体"/>
          <w:sz w:val="25"/>
        </w:rPr>
      </w:pPr>
      <w:bookmarkStart w:id="1" w:name="_Toc389065143"/>
      <w:bookmarkStart w:id="2" w:name="_Toc536214598"/>
      <w:r>
        <w:rPr>
          <w:rFonts w:hint="eastAsia" w:eastAsia="宋体"/>
        </w:rPr>
        <w:t>一、</w:t>
      </w:r>
      <w:bookmarkEnd w:id="1"/>
      <w:bookmarkEnd w:id="2"/>
      <w:bookmarkStart w:id="3" w:name="_Toc536214599"/>
      <w:bookmarkStart w:id="4" w:name="_Toc389065144"/>
      <w:r>
        <w:rPr>
          <w:rFonts w:ascii="宋体" w:hAnsi="宋体" w:eastAsia="宋体"/>
          <w:sz w:val="30"/>
        </w:rPr>
        <w:t>投标人须知前附表</w:t>
      </w:r>
    </w:p>
    <w:tbl>
      <w:tblPr>
        <w:tblStyle w:val="61"/>
        <w:tblW w:w="9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blHeader/>
          <w:jc w:val="center"/>
        </w:trPr>
        <w:tc>
          <w:tcPr>
            <w:tcW w:w="814" w:type="dxa"/>
            <w:vAlign w:val="center"/>
          </w:tcPr>
          <w:p>
            <w:pPr>
              <w:spacing w:line="360" w:lineRule="auto"/>
              <w:ind w:left="26" w:hanging="27" w:hangingChars="11"/>
              <w:jc w:val="center"/>
              <w:rPr>
                <w:b/>
              </w:rPr>
            </w:pPr>
            <w:r>
              <w:rPr>
                <w:b/>
              </w:rPr>
              <w:t>项号</w:t>
            </w:r>
          </w:p>
        </w:tc>
        <w:tc>
          <w:tcPr>
            <w:tcW w:w="992" w:type="dxa"/>
            <w:vAlign w:val="center"/>
          </w:tcPr>
          <w:p>
            <w:pPr>
              <w:spacing w:line="360" w:lineRule="auto"/>
              <w:jc w:val="center"/>
              <w:rPr>
                <w:b/>
              </w:rPr>
            </w:pPr>
            <w:r>
              <w:rPr>
                <w:b/>
              </w:rPr>
              <w:t>条款号</w:t>
            </w:r>
          </w:p>
        </w:tc>
        <w:tc>
          <w:tcPr>
            <w:tcW w:w="1843" w:type="dxa"/>
            <w:vAlign w:val="center"/>
          </w:tcPr>
          <w:p>
            <w:pPr>
              <w:spacing w:line="360" w:lineRule="auto"/>
              <w:jc w:val="center"/>
              <w:rPr>
                <w:b/>
              </w:rPr>
            </w:pPr>
            <w:r>
              <w:rPr>
                <w:b/>
              </w:rPr>
              <w:t>内容</w:t>
            </w:r>
          </w:p>
        </w:tc>
        <w:tc>
          <w:tcPr>
            <w:tcW w:w="5745" w:type="dxa"/>
            <w:vAlign w:val="center"/>
          </w:tcPr>
          <w:p>
            <w:pPr>
              <w:spacing w:line="360" w:lineRule="auto"/>
              <w:jc w:val="center"/>
              <w:rPr>
                <w:b/>
              </w:rPr>
            </w:pPr>
            <w:r>
              <w:rPr>
                <w:b/>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14" w:type="dxa"/>
            <w:vAlign w:val="center"/>
          </w:tcPr>
          <w:p>
            <w:pPr>
              <w:jc w:val="center"/>
            </w:pPr>
            <w:r>
              <w:t>1</w:t>
            </w:r>
          </w:p>
        </w:tc>
        <w:tc>
          <w:tcPr>
            <w:tcW w:w="992" w:type="dxa"/>
            <w:vAlign w:val="center"/>
          </w:tcPr>
          <w:p>
            <w:pPr>
              <w:jc w:val="center"/>
            </w:pPr>
            <w:r>
              <w:t>1.1</w:t>
            </w:r>
          </w:p>
        </w:tc>
        <w:tc>
          <w:tcPr>
            <w:tcW w:w="1843" w:type="dxa"/>
            <w:vAlign w:val="center"/>
          </w:tcPr>
          <w:p>
            <w:pPr>
              <w:snapToGrid w:val="0"/>
              <w:jc w:val="center"/>
              <w:rPr>
                <w:rFonts w:cs="Calibri"/>
              </w:rPr>
            </w:pPr>
            <w:r>
              <w:rPr>
                <w:rFonts w:hint="eastAsia" w:cs="Calibri"/>
              </w:rPr>
              <w:t>招标项目及标段名称</w:t>
            </w:r>
          </w:p>
        </w:tc>
        <w:tc>
          <w:tcPr>
            <w:tcW w:w="5745" w:type="dxa"/>
            <w:vAlign w:val="center"/>
          </w:tcPr>
          <w:p>
            <w:pPr>
              <w:snapToGrid w:val="0"/>
              <w:rPr>
                <w:rFonts w:cs="Calibri"/>
              </w:rPr>
            </w:pPr>
            <w:r>
              <w:rPr>
                <w:rFonts w:hint="eastAsia" w:cs="Calibri"/>
              </w:rPr>
              <w:t>202</w:t>
            </w:r>
            <w:r>
              <w:rPr>
                <w:rFonts w:hint="eastAsia" w:cs="Calibri"/>
                <w:lang w:val="en-US" w:eastAsia="zh-CN"/>
              </w:rPr>
              <w:t>3</w:t>
            </w:r>
            <w:r>
              <w:rPr>
                <w:rFonts w:hint="eastAsia" w:cs="Calibri"/>
              </w:rPr>
              <w:t>年度濠河景区十一立体花卉布置工程设计、施工总承包项目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14" w:type="dxa"/>
            <w:vAlign w:val="center"/>
          </w:tcPr>
          <w:p>
            <w:pPr>
              <w:jc w:val="center"/>
            </w:pPr>
            <w:r>
              <w:t>2</w:t>
            </w:r>
          </w:p>
        </w:tc>
        <w:tc>
          <w:tcPr>
            <w:tcW w:w="992" w:type="dxa"/>
            <w:vAlign w:val="center"/>
          </w:tcPr>
          <w:p>
            <w:pPr>
              <w:jc w:val="center"/>
            </w:pPr>
            <w:r>
              <w:t>1.1</w:t>
            </w:r>
          </w:p>
        </w:tc>
        <w:tc>
          <w:tcPr>
            <w:tcW w:w="1843" w:type="dxa"/>
            <w:vAlign w:val="center"/>
          </w:tcPr>
          <w:p>
            <w:pPr>
              <w:jc w:val="center"/>
            </w:pPr>
            <w:r>
              <w:t>建设地点</w:t>
            </w:r>
          </w:p>
        </w:tc>
        <w:tc>
          <w:tcPr>
            <w:tcW w:w="5745" w:type="dxa"/>
            <w:vAlign w:val="center"/>
          </w:tcPr>
          <w:p>
            <w:pPr>
              <w:snapToGrid w:val="0"/>
              <w:rPr>
                <w:rFonts w:hint="default" w:eastAsia="宋体"/>
                <w:lang w:val="en-US" w:eastAsia="zh-CN"/>
              </w:rPr>
            </w:pPr>
            <w:r>
              <w:rPr>
                <w:rFonts w:hint="eastAsia"/>
              </w:rPr>
              <w:t>南通市崇川区环西广场、钟楼广场、西公园、濠北路游客中心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14" w:type="dxa"/>
            <w:vAlign w:val="center"/>
          </w:tcPr>
          <w:p>
            <w:pPr>
              <w:jc w:val="center"/>
            </w:pPr>
            <w:r>
              <w:t>3</w:t>
            </w:r>
          </w:p>
        </w:tc>
        <w:tc>
          <w:tcPr>
            <w:tcW w:w="992" w:type="dxa"/>
            <w:vAlign w:val="center"/>
          </w:tcPr>
          <w:p>
            <w:pPr>
              <w:jc w:val="center"/>
            </w:pPr>
            <w:r>
              <w:t>1.1</w:t>
            </w:r>
          </w:p>
        </w:tc>
        <w:tc>
          <w:tcPr>
            <w:tcW w:w="1843" w:type="dxa"/>
            <w:vAlign w:val="center"/>
          </w:tcPr>
          <w:p>
            <w:pPr>
              <w:jc w:val="center"/>
            </w:pPr>
            <w:r>
              <w:t>建设规模</w:t>
            </w:r>
          </w:p>
        </w:tc>
        <w:tc>
          <w:tcPr>
            <w:tcW w:w="5745" w:type="dxa"/>
            <w:vAlign w:val="center"/>
          </w:tcPr>
          <w:p>
            <w:pPr>
              <w:snapToGrid w:val="0"/>
              <w:rPr>
                <w:rFonts w:cs="Calibri"/>
              </w:rPr>
            </w:pPr>
            <w:r>
              <w:rPr>
                <w:rFonts w:hint="eastAsia" w:cs="Calibri"/>
              </w:rPr>
              <w:t>主要包括立体花卉约550㎡、平面摆花约400㎡等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14" w:type="dxa"/>
            <w:vAlign w:val="center"/>
          </w:tcPr>
          <w:p>
            <w:pPr>
              <w:jc w:val="center"/>
            </w:pPr>
            <w:r>
              <w:rPr>
                <w:rFonts w:hint="eastAsia"/>
              </w:rPr>
              <w:t>4</w:t>
            </w:r>
          </w:p>
        </w:tc>
        <w:tc>
          <w:tcPr>
            <w:tcW w:w="992" w:type="dxa"/>
            <w:vAlign w:val="center"/>
          </w:tcPr>
          <w:p>
            <w:pPr>
              <w:jc w:val="center"/>
            </w:pPr>
            <w:r>
              <w:t>1.</w:t>
            </w:r>
            <w:r>
              <w:rPr>
                <w:rFonts w:hint="eastAsia"/>
              </w:rPr>
              <w:t>1</w:t>
            </w:r>
          </w:p>
        </w:tc>
        <w:tc>
          <w:tcPr>
            <w:tcW w:w="1843" w:type="dxa"/>
            <w:vAlign w:val="center"/>
          </w:tcPr>
          <w:p>
            <w:pPr>
              <w:jc w:val="center"/>
            </w:pPr>
            <w:r>
              <w:t>资金来源</w:t>
            </w:r>
          </w:p>
        </w:tc>
        <w:tc>
          <w:tcPr>
            <w:tcW w:w="5745" w:type="dxa"/>
            <w:vAlign w:val="center"/>
          </w:tcPr>
          <w:p>
            <w:r>
              <w:rPr>
                <w:rFonts w:hint="eastAsia" w:cs="Calibri"/>
              </w:rPr>
              <w:t>财政专项资金（城市维护费）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14" w:type="dxa"/>
            <w:vAlign w:val="center"/>
          </w:tcPr>
          <w:p>
            <w:pPr>
              <w:jc w:val="center"/>
            </w:pPr>
            <w:r>
              <w:rPr>
                <w:rFonts w:hint="eastAsia"/>
              </w:rPr>
              <w:t>5</w:t>
            </w:r>
          </w:p>
        </w:tc>
        <w:tc>
          <w:tcPr>
            <w:tcW w:w="992" w:type="dxa"/>
            <w:vAlign w:val="center"/>
          </w:tcPr>
          <w:p>
            <w:pPr>
              <w:jc w:val="center"/>
              <w:rPr>
                <w:rFonts w:ascii="Arial" w:hAnsi="Arial" w:cs="Times New Roman"/>
                <w:b/>
                <w:bCs/>
                <w:kern w:val="2"/>
                <w:sz w:val="21"/>
                <w:szCs w:val="28"/>
              </w:rPr>
            </w:pPr>
            <w:r>
              <w:rPr>
                <w:rFonts w:hint="eastAsia"/>
              </w:rPr>
              <w:t>1.3.1</w:t>
            </w:r>
          </w:p>
        </w:tc>
        <w:tc>
          <w:tcPr>
            <w:tcW w:w="1843" w:type="dxa"/>
            <w:vAlign w:val="center"/>
          </w:tcPr>
          <w:p>
            <w:pPr>
              <w:jc w:val="center"/>
            </w:pPr>
            <w:r>
              <w:t>招标范围</w:t>
            </w:r>
          </w:p>
        </w:tc>
        <w:tc>
          <w:tcPr>
            <w:tcW w:w="5745" w:type="dxa"/>
            <w:vAlign w:val="center"/>
          </w:tcPr>
          <w:p>
            <w:pPr>
              <w:rPr>
                <w:color w:val="FF0000"/>
              </w:rPr>
            </w:pPr>
            <w:r>
              <w:rPr>
                <w:rFonts w:hint="eastAsia" w:cs="Calibri"/>
              </w:rPr>
              <w:t>招标文件所示的全部内容，设计阶段：包括但不限于方案设计、方案优化、平面图、效果图、材料详细说明、尺寸标注、结构设计、亮化设计；施工阶段：包括但不限于立体花卉布置、成品保护及巡视管理、草花养护、到期后拆除撤场及草坪恢复等发包人要求的所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14" w:type="dxa"/>
            <w:vAlign w:val="center"/>
          </w:tcPr>
          <w:p>
            <w:pPr>
              <w:jc w:val="center"/>
            </w:pPr>
            <w:r>
              <w:rPr>
                <w:rFonts w:hint="eastAsia"/>
              </w:rPr>
              <w:t>6</w:t>
            </w:r>
          </w:p>
        </w:tc>
        <w:tc>
          <w:tcPr>
            <w:tcW w:w="992" w:type="dxa"/>
            <w:vAlign w:val="center"/>
          </w:tcPr>
          <w:p>
            <w:pPr>
              <w:jc w:val="center"/>
            </w:pPr>
            <w:r>
              <w:t>1.</w:t>
            </w:r>
            <w:r>
              <w:rPr>
                <w:rFonts w:hint="eastAsia"/>
              </w:rPr>
              <w:t>3.2</w:t>
            </w:r>
          </w:p>
        </w:tc>
        <w:tc>
          <w:tcPr>
            <w:tcW w:w="1843" w:type="dxa"/>
            <w:vAlign w:val="center"/>
          </w:tcPr>
          <w:p>
            <w:pPr>
              <w:jc w:val="center"/>
            </w:pPr>
            <w:r>
              <w:t>工期要求</w:t>
            </w:r>
          </w:p>
        </w:tc>
        <w:tc>
          <w:tcPr>
            <w:tcW w:w="5745" w:type="dxa"/>
            <w:vAlign w:val="center"/>
          </w:tcPr>
          <w:p>
            <w:pPr>
              <w:snapToGrid w:val="0"/>
              <w:rPr>
                <w:rFonts w:cs="Calibri"/>
              </w:rPr>
            </w:pPr>
            <w:r>
              <w:rPr>
                <w:rFonts w:hint="eastAsia" w:cs="Calibri"/>
              </w:rPr>
              <w:t>要求工期：</w:t>
            </w:r>
            <w:r>
              <w:rPr>
                <w:rFonts w:hint="eastAsia" w:cs="Calibri"/>
                <w:u w:val="single"/>
              </w:rPr>
              <w:t xml:space="preserve"> 60 日历天</w:t>
            </w:r>
            <w:r>
              <w:rPr>
                <w:rFonts w:hint="eastAsia" w:cs="Calibri"/>
              </w:rPr>
              <w:t>（具体开工时间以建设单位或监理单位发出的开工令为准）</w:t>
            </w:r>
          </w:p>
          <w:p>
            <w:pPr>
              <w:snapToGrid w:val="0"/>
              <w:rPr>
                <w:rFonts w:cs="Calibri"/>
              </w:rPr>
            </w:pPr>
            <w:r>
              <w:rPr>
                <w:rFonts w:hint="eastAsia" w:cs="Calibri"/>
              </w:rPr>
              <w:t>设计方案调整、优化时间、施工图设计时间为7个日历天，施工期为53个日历天。</w:t>
            </w:r>
            <w:r>
              <w:rPr>
                <w:rFonts w:hint="eastAsia" w:cs="Calibri"/>
                <w:highlight w:val="none"/>
              </w:rPr>
              <w:t>施工计划开工日期：202</w:t>
            </w:r>
            <w:r>
              <w:rPr>
                <w:rFonts w:hint="eastAsia" w:cs="Calibri"/>
                <w:highlight w:val="none"/>
                <w:lang w:val="en-US" w:eastAsia="zh-CN"/>
              </w:rPr>
              <w:t>3</w:t>
            </w:r>
            <w:r>
              <w:rPr>
                <w:rFonts w:hint="eastAsia" w:cs="Calibri"/>
                <w:highlight w:val="none"/>
              </w:rPr>
              <w:t>年8月4日，竣工日期：202</w:t>
            </w:r>
            <w:r>
              <w:rPr>
                <w:rFonts w:hint="eastAsia" w:cs="Calibri"/>
                <w:highlight w:val="none"/>
                <w:lang w:val="en-US" w:eastAsia="zh-CN"/>
              </w:rPr>
              <w:t>3</w:t>
            </w:r>
            <w:r>
              <w:rPr>
                <w:rFonts w:hint="eastAsia" w:cs="Calibri"/>
                <w:highlight w:val="none"/>
              </w:rPr>
              <w:t>年9月25日。预计202</w:t>
            </w:r>
            <w:r>
              <w:rPr>
                <w:rFonts w:hint="eastAsia" w:cs="Calibri"/>
                <w:highlight w:val="none"/>
                <w:lang w:val="en-US" w:eastAsia="zh-CN"/>
              </w:rPr>
              <w:t>3</w:t>
            </w:r>
            <w:r>
              <w:rPr>
                <w:rFonts w:hint="eastAsia" w:cs="Calibri"/>
                <w:highlight w:val="none"/>
              </w:rPr>
              <w:t>年10月底</w:t>
            </w:r>
            <w:r>
              <w:rPr>
                <w:rFonts w:hint="eastAsia" w:cs="Calibri"/>
              </w:rPr>
              <w:t>撤除立体花卉、平面草花，视实际情况招标人可要求适当延期拆除，拆除后三日内完成草坪及场地恢复，并须得到招标人确认（</w:t>
            </w:r>
            <w:r>
              <w:rPr>
                <w:rFonts w:hint="eastAsia"/>
              </w:rPr>
              <w:t>环西广场</w:t>
            </w:r>
            <w:r>
              <w:rPr>
                <w:rFonts w:hint="eastAsia" w:cs="Calibri"/>
              </w:rPr>
              <w:t>暂定为市菊花展点位，相应工期根据招标人要求，维护期不变）。竣工后至接到撤除通知期间的维护费（含草花更换）均包含在合同价中，如因上级部门要求，需延迟撤除的，超期两周内所需的维护费（含草花更换）不予另行签证支付，已包含在合同价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14" w:type="dxa"/>
            <w:vAlign w:val="center"/>
          </w:tcPr>
          <w:p>
            <w:pPr>
              <w:jc w:val="center"/>
            </w:pPr>
            <w:r>
              <w:rPr>
                <w:rFonts w:hint="eastAsia"/>
              </w:rPr>
              <w:t>7</w:t>
            </w:r>
          </w:p>
        </w:tc>
        <w:tc>
          <w:tcPr>
            <w:tcW w:w="992" w:type="dxa"/>
            <w:vAlign w:val="center"/>
          </w:tcPr>
          <w:p>
            <w:pPr>
              <w:jc w:val="center"/>
            </w:pPr>
            <w:r>
              <w:t>1.</w:t>
            </w:r>
            <w:r>
              <w:rPr>
                <w:rFonts w:hint="eastAsia"/>
              </w:rPr>
              <w:t>3.3</w:t>
            </w:r>
          </w:p>
        </w:tc>
        <w:tc>
          <w:tcPr>
            <w:tcW w:w="1843" w:type="dxa"/>
            <w:vAlign w:val="center"/>
          </w:tcPr>
          <w:p>
            <w:pPr>
              <w:jc w:val="center"/>
            </w:pPr>
            <w:r>
              <w:t>质量标准</w:t>
            </w:r>
          </w:p>
        </w:tc>
        <w:tc>
          <w:tcPr>
            <w:tcW w:w="5745" w:type="dxa"/>
            <w:vAlign w:val="center"/>
          </w:tcPr>
          <w:p>
            <w:pPr>
              <w:snapToGrid w:val="0"/>
              <w:rPr>
                <w:rFonts w:hint="eastAsia"/>
              </w:rPr>
            </w:pPr>
            <w:r>
              <w:rPr>
                <w:rFonts w:hint="eastAsia"/>
              </w:rPr>
              <w:t>设计要求的质量标准：设计质量必须达到国家有关要求，并须通过招标人组织的审查；物资采购要求的质量标准：工程所有物资（花卉、草木、设施、材料设备等）产品质量须符合相关标准规范的要求，合格率达到 100%；</w:t>
            </w:r>
          </w:p>
          <w:p>
            <w:pPr>
              <w:snapToGrid w:val="0"/>
              <w:rPr>
                <w:rFonts w:cs="Calibri"/>
              </w:rPr>
            </w:pPr>
            <w:r>
              <w:rPr>
                <w:rFonts w:hint="eastAsia"/>
              </w:rPr>
              <w:t>施工要求的质量标准：合格。</w:t>
            </w:r>
            <w:r>
              <w:rPr>
                <w:rFonts w:hint="eastAsia" w:cs="Calibri"/>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14" w:type="dxa"/>
            <w:vAlign w:val="center"/>
          </w:tcPr>
          <w:p>
            <w:pPr>
              <w:jc w:val="center"/>
            </w:pPr>
            <w:r>
              <w:rPr>
                <w:rFonts w:hint="eastAsia"/>
              </w:rPr>
              <w:t>8</w:t>
            </w:r>
          </w:p>
        </w:tc>
        <w:tc>
          <w:tcPr>
            <w:tcW w:w="992" w:type="dxa"/>
            <w:vAlign w:val="center"/>
          </w:tcPr>
          <w:p>
            <w:pPr>
              <w:jc w:val="center"/>
            </w:pPr>
            <w:r>
              <w:t>12</w:t>
            </w:r>
          </w:p>
        </w:tc>
        <w:tc>
          <w:tcPr>
            <w:tcW w:w="1843" w:type="dxa"/>
            <w:vAlign w:val="center"/>
          </w:tcPr>
          <w:p>
            <w:pPr>
              <w:jc w:val="center"/>
            </w:pPr>
            <w:r>
              <w:t>投标有效期</w:t>
            </w:r>
          </w:p>
        </w:tc>
        <w:tc>
          <w:tcPr>
            <w:tcW w:w="5745" w:type="dxa"/>
            <w:vAlign w:val="center"/>
          </w:tcPr>
          <w:p>
            <w:pPr>
              <w:jc w:val="left"/>
            </w:pPr>
            <w:r>
              <w:rPr>
                <w:u w:val="single"/>
              </w:rPr>
              <w:t xml:space="preserve">  45  </w:t>
            </w:r>
            <w: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14" w:type="dxa"/>
            <w:vAlign w:val="center"/>
          </w:tcPr>
          <w:p>
            <w:pPr>
              <w:jc w:val="center"/>
            </w:pPr>
            <w:r>
              <w:rPr>
                <w:rFonts w:hint="eastAsia"/>
              </w:rPr>
              <w:t>9</w:t>
            </w:r>
          </w:p>
        </w:tc>
        <w:tc>
          <w:tcPr>
            <w:tcW w:w="992" w:type="dxa"/>
            <w:vAlign w:val="center"/>
          </w:tcPr>
          <w:p>
            <w:pPr>
              <w:jc w:val="center"/>
            </w:pPr>
            <w:r>
              <w:t>1</w:t>
            </w:r>
            <w:r>
              <w:rPr>
                <w:rFonts w:hint="eastAsia"/>
              </w:rPr>
              <w:t>3</w:t>
            </w:r>
          </w:p>
        </w:tc>
        <w:tc>
          <w:tcPr>
            <w:tcW w:w="1843" w:type="dxa"/>
            <w:vAlign w:val="center"/>
          </w:tcPr>
          <w:p>
            <w:pPr>
              <w:jc w:val="center"/>
            </w:pPr>
            <w:r>
              <w:t>投标保证金额</w:t>
            </w:r>
          </w:p>
        </w:tc>
        <w:tc>
          <w:tcPr>
            <w:tcW w:w="5745" w:type="dxa"/>
            <w:vAlign w:val="center"/>
          </w:tcPr>
          <w:p>
            <w:pPr>
              <w:adjustRightInd w:val="0"/>
              <w:snapToGrid w:val="0"/>
              <w:spacing w:line="400" w:lineRule="exact"/>
              <w:rPr>
                <w:szCs w:val="24"/>
              </w:rPr>
            </w:pPr>
            <w:r>
              <w:rPr>
                <w:rFonts w:hint="eastAsia"/>
                <w:szCs w:val="24"/>
              </w:rPr>
              <w:t>1、投标保证金的形式：银行汇票，并非将保证金打入指定账户，在开标时和投标文件同时递交，请勿和投标文件密封。</w:t>
            </w:r>
          </w:p>
          <w:p>
            <w:pPr>
              <w:adjustRightInd w:val="0"/>
              <w:snapToGrid w:val="0"/>
              <w:spacing w:line="400" w:lineRule="exact"/>
              <w:rPr>
                <w:szCs w:val="24"/>
              </w:rPr>
            </w:pPr>
            <w:r>
              <w:rPr>
                <w:rFonts w:hint="eastAsia"/>
                <w:szCs w:val="24"/>
              </w:rPr>
              <w:t>2、投标保证金的金额：</w:t>
            </w:r>
            <w:r>
              <w:rPr>
                <w:rFonts w:hint="eastAsia"/>
                <w:b/>
                <w:szCs w:val="24"/>
                <w:u w:val="single"/>
              </w:rPr>
              <w:t>人民币贰万元。</w:t>
            </w:r>
          </w:p>
          <w:p>
            <w:pPr>
              <w:adjustRightInd w:val="0"/>
              <w:snapToGrid w:val="0"/>
              <w:spacing w:line="400" w:lineRule="exact"/>
              <w:rPr>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814" w:type="dxa"/>
            <w:vAlign w:val="center"/>
          </w:tcPr>
          <w:p>
            <w:pPr>
              <w:jc w:val="center"/>
            </w:pPr>
            <w:r>
              <w:rPr>
                <w:rFonts w:hint="eastAsia"/>
              </w:rPr>
              <w:t>10</w:t>
            </w:r>
          </w:p>
        </w:tc>
        <w:tc>
          <w:tcPr>
            <w:tcW w:w="992" w:type="dxa"/>
            <w:vAlign w:val="center"/>
          </w:tcPr>
          <w:p>
            <w:pPr>
              <w:pStyle w:val="6"/>
              <w:jc w:val="center"/>
            </w:pPr>
            <w:r>
              <w:rPr>
                <w:rFonts w:hint="eastAsia" w:ascii="宋体" w:hAnsi="宋体" w:cs="宋体"/>
                <w:b w:val="0"/>
                <w:bCs w:val="0"/>
                <w:kern w:val="0"/>
                <w:sz w:val="24"/>
                <w:szCs w:val="20"/>
              </w:rPr>
              <w:t>15</w:t>
            </w:r>
          </w:p>
        </w:tc>
        <w:tc>
          <w:tcPr>
            <w:tcW w:w="1843" w:type="dxa"/>
            <w:vAlign w:val="center"/>
          </w:tcPr>
          <w:p>
            <w:pPr>
              <w:adjustRightInd w:val="0"/>
              <w:snapToGrid w:val="0"/>
              <w:spacing w:line="400" w:lineRule="exact"/>
              <w:jc w:val="center"/>
              <w:rPr>
                <w:szCs w:val="24"/>
              </w:rPr>
            </w:pPr>
            <w:r>
              <w:rPr>
                <w:rFonts w:hint="eastAsia"/>
                <w:szCs w:val="24"/>
              </w:rPr>
              <w:t>合同价格形式</w:t>
            </w:r>
          </w:p>
        </w:tc>
        <w:tc>
          <w:tcPr>
            <w:tcW w:w="5745" w:type="dxa"/>
            <w:vAlign w:val="center"/>
          </w:tcPr>
          <w:p>
            <w:pPr>
              <w:adjustRightInd w:val="0"/>
              <w:snapToGrid w:val="0"/>
              <w:spacing w:line="400" w:lineRule="exact"/>
              <w:rPr>
                <w:szCs w:val="24"/>
              </w:rPr>
            </w:pPr>
            <w:r>
              <w:rPr>
                <w:rFonts w:hint="eastAsia"/>
                <w:b/>
                <w:szCs w:val="24"/>
              </w:rPr>
              <w:fldChar w:fldCharType="begin"/>
            </w:r>
            <w:r>
              <w:rPr>
                <w:rFonts w:hint="eastAsia"/>
                <w:b/>
                <w:szCs w:val="24"/>
              </w:rPr>
              <w:instrText xml:space="preserve"> eq \o\ac(</w:instrText>
            </w:r>
            <w:r>
              <w:rPr>
                <w:rFonts w:hint="eastAsia"/>
                <w:b/>
                <w:position w:val="-4"/>
                <w:sz w:val="36"/>
                <w:szCs w:val="24"/>
              </w:rPr>
              <w:instrText xml:space="preserve">□</w:instrText>
            </w:r>
            <w:r>
              <w:rPr>
                <w:rFonts w:hint="eastAsia"/>
                <w:b/>
                <w:szCs w:val="24"/>
              </w:rPr>
              <w:instrText xml:space="preserve">,√)</w:instrText>
            </w:r>
            <w:r>
              <w:rPr>
                <w:rFonts w:hint="eastAsia"/>
                <w:b/>
                <w:szCs w:val="24"/>
              </w:rPr>
              <w:fldChar w:fldCharType="end"/>
            </w:r>
            <w:r>
              <w:rPr>
                <w:rFonts w:hint="eastAsia"/>
                <w:szCs w:val="24"/>
              </w:rPr>
              <w:t>单价合同</w:t>
            </w:r>
          </w:p>
          <w:p>
            <w:pPr>
              <w:adjustRightInd w:val="0"/>
              <w:snapToGrid w:val="0"/>
              <w:spacing w:line="400" w:lineRule="exact"/>
              <w:rPr>
                <w:szCs w:val="24"/>
              </w:rPr>
            </w:pPr>
            <w:r>
              <w:rPr>
                <w:rFonts w:hint="eastAsia"/>
                <w:b/>
                <w:szCs w:val="24"/>
              </w:rPr>
              <w:fldChar w:fldCharType="begin"/>
            </w:r>
            <w:r>
              <w:rPr>
                <w:rFonts w:hint="eastAsia"/>
                <w:b/>
                <w:szCs w:val="24"/>
              </w:rPr>
              <w:instrText xml:space="preserve"> eq \o\ac(</w:instrText>
            </w:r>
            <w:r>
              <w:rPr>
                <w:rFonts w:hint="eastAsia"/>
                <w:b/>
                <w:position w:val="-4"/>
                <w:sz w:val="36"/>
                <w:szCs w:val="24"/>
              </w:rPr>
              <w:instrText xml:space="preserve">□</w:instrText>
            </w:r>
            <w:r>
              <w:rPr>
                <w:rFonts w:hint="eastAsia"/>
                <w:b/>
                <w:szCs w:val="24"/>
              </w:rPr>
              <w:instrText xml:space="preserve">)</w:instrText>
            </w:r>
            <w:r>
              <w:rPr>
                <w:rFonts w:hint="eastAsia"/>
                <w:b/>
                <w:szCs w:val="24"/>
              </w:rPr>
              <w:fldChar w:fldCharType="end"/>
            </w:r>
            <w:r>
              <w:rPr>
                <w:rFonts w:hint="eastAsia"/>
                <w:szCs w:val="24"/>
              </w:rPr>
              <w:t>总价合同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814" w:type="dxa"/>
            <w:vAlign w:val="center"/>
          </w:tcPr>
          <w:p>
            <w:pPr>
              <w:jc w:val="center"/>
            </w:pPr>
            <w:r>
              <w:t>1</w:t>
            </w:r>
            <w:r>
              <w:rPr>
                <w:rFonts w:hint="eastAsia"/>
              </w:rPr>
              <w:t>1</w:t>
            </w:r>
          </w:p>
        </w:tc>
        <w:tc>
          <w:tcPr>
            <w:tcW w:w="992" w:type="dxa"/>
            <w:vAlign w:val="center"/>
          </w:tcPr>
          <w:p>
            <w:pPr>
              <w:jc w:val="center"/>
            </w:pPr>
            <w:r>
              <w:t>6.2</w:t>
            </w:r>
          </w:p>
        </w:tc>
        <w:tc>
          <w:tcPr>
            <w:tcW w:w="1843" w:type="dxa"/>
            <w:vAlign w:val="center"/>
          </w:tcPr>
          <w:p>
            <w:pPr>
              <w:jc w:val="center"/>
            </w:pPr>
            <w:r>
              <w:t>提交疑问材料</w:t>
            </w:r>
          </w:p>
          <w:p>
            <w:pPr>
              <w:jc w:val="center"/>
            </w:pPr>
            <w:r>
              <w:t>时间及方式</w:t>
            </w:r>
          </w:p>
        </w:tc>
        <w:tc>
          <w:tcPr>
            <w:tcW w:w="5745" w:type="dxa"/>
            <w:vAlign w:val="center"/>
          </w:tcPr>
          <w:p>
            <w:pPr>
              <w:adjustRightInd w:val="0"/>
              <w:snapToGrid w:val="0"/>
            </w:pPr>
            <w:r>
              <w:t>如有疑问需要招标人澄清应在</w:t>
            </w:r>
            <w:r>
              <w:rPr>
                <w:rFonts w:hint="eastAsia"/>
                <w:highlight w:val="none"/>
                <w:u w:val="single"/>
              </w:rPr>
              <w:t>202</w:t>
            </w:r>
            <w:r>
              <w:rPr>
                <w:rFonts w:hint="eastAsia"/>
                <w:highlight w:val="none"/>
                <w:u w:val="single"/>
                <w:lang w:val="en-US" w:eastAsia="zh-CN"/>
              </w:rPr>
              <w:t>3</w:t>
            </w:r>
            <w:r>
              <w:rPr>
                <w:highlight w:val="none"/>
                <w:u w:val="single"/>
              </w:rPr>
              <w:t>年</w:t>
            </w:r>
            <w:r>
              <w:rPr>
                <w:rFonts w:hint="eastAsia"/>
                <w:highlight w:val="none"/>
                <w:u w:val="single"/>
                <w:lang w:val="en-US" w:eastAsia="zh-CN"/>
              </w:rPr>
              <w:t>7</w:t>
            </w:r>
            <w:r>
              <w:rPr>
                <w:highlight w:val="none"/>
                <w:u w:val="single"/>
              </w:rPr>
              <w:t>月</w:t>
            </w:r>
            <w:r>
              <w:rPr>
                <w:rFonts w:hint="eastAsia"/>
                <w:highlight w:val="none"/>
                <w:u w:val="single"/>
                <w:lang w:val="en-US" w:eastAsia="zh-CN"/>
              </w:rPr>
              <w:t>20</w:t>
            </w:r>
            <w:r>
              <w:rPr>
                <w:highlight w:val="none"/>
                <w:u w:val="single"/>
              </w:rPr>
              <w:t>日17时</w:t>
            </w:r>
            <w:r>
              <w:t>前以电子文件形式（不具单位名称、不加盖单位公章）发送至指定邮箱</w:t>
            </w:r>
            <w:r>
              <w:rPr>
                <w:u w:val="single"/>
              </w:rPr>
              <w:t>（</w:t>
            </w:r>
            <w:r>
              <w:rPr>
                <w:rFonts w:hint="eastAsia"/>
                <w:u w:val="single"/>
                <w:lang w:val="en-US" w:eastAsia="zh-CN"/>
              </w:rPr>
              <w:t>1140550919</w:t>
            </w:r>
            <w:r>
              <w:rPr>
                <w:rFonts w:hint="eastAsia"/>
                <w:u w:val="single"/>
              </w:rPr>
              <w:t>@qq.com</w:t>
            </w:r>
            <w:r>
              <w:rPr>
                <w:u w:val="single"/>
              </w:rPr>
              <w:t>）</w:t>
            </w:r>
            <w:r>
              <w:t>向招标人提出，招标人予以解答，解答的内容报崇川区公共资源交易管理办公室备案后，将在</w:t>
            </w:r>
            <w:r>
              <w:rPr>
                <w:rFonts w:hint="eastAsia"/>
              </w:rPr>
              <w:t xml:space="preserve"> “南通市崇川区人民政府网”（www.chongchuan.gov.cn）-政府采购</w:t>
            </w:r>
            <w:r>
              <w:rPr>
                <w:rFonts w:hint="eastAsia"/>
                <w:lang w:val="en-US" w:eastAsia="zh-CN"/>
              </w:rPr>
              <w:t>与</w:t>
            </w:r>
            <w:r>
              <w:rPr>
                <w:rFonts w:hint="eastAsia"/>
              </w:rPr>
              <w:t>工程招标板块公布。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814" w:type="dxa"/>
            <w:vAlign w:val="center"/>
          </w:tcPr>
          <w:p>
            <w:pPr>
              <w:jc w:val="center"/>
            </w:pPr>
            <w:r>
              <w:rPr>
                <w:rFonts w:hint="eastAsia"/>
              </w:rPr>
              <w:t>12</w:t>
            </w:r>
          </w:p>
        </w:tc>
        <w:tc>
          <w:tcPr>
            <w:tcW w:w="992" w:type="dxa"/>
            <w:vAlign w:val="center"/>
          </w:tcPr>
          <w:p>
            <w:pPr>
              <w:pStyle w:val="6"/>
              <w:jc w:val="center"/>
            </w:pPr>
            <w:r>
              <w:rPr>
                <w:rFonts w:hint="eastAsia" w:ascii="宋体" w:hAnsi="宋体" w:cs="宋体"/>
                <w:b w:val="0"/>
                <w:bCs w:val="0"/>
                <w:kern w:val="0"/>
                <w:sz w:val="24"/>
                <w:szCs w:val="20"/>
              </w:rPr>
              <w:t>2.3</w:t>
            </w:r>
          </w:p>
        </w:tc>
        <w:tc>
          <w:tcPr>
            <w:tcW w:w="1843" w:type="dxa"/>
            <w:vAlign w:val="center"/>
          </w:tcPr>
          <w:p>
            <w:pPr>
              <w:adjustRightInd w:val="0"/>
              <w:snapToGrid w:val="0"/>
              <w:jc w:val="center"/>
              <w:rPr>
                <w:szCs w:val="21"/>
              </w:rPr>
            </w:pPr>
            <w:r>
              <w:rPr>
                <w:rFonts w:hint="eastAsia"/>
                <w:szCs w:val="21"/>
              </w:rPr>
              <w:t>是否接受联合体投标</w:t>
            </w:r>
          </w:p>
        </w:tc>
        <w:tc>
          <w:tcPr>
            <w:tcW w:w="5745" w:type="dxa"/>
            <w:vAlign w:val="center"/>
          </w:tcPr>
          <w:p>
            <w:pPr>
              <w:adjustRightInd w:val="0"/>
              <w:snapToGrid w:val="0"/>
              <w:rPr>
                <w:szCs w:val="21"/>
              </w:rPr>
            </w:pPr>
            <w:r>
              <w:rPr>
                <w:rFonts w:hint="eastAsia"/>
                <w:szCs w:val="21"/>
                <w:lang w:val="en-US" w:eastAsia="zh-CN"/>
              </w:rPr>
              <w:t>不</w:t>
            </w:r>
            <w:r>
              <w:rPr>
                <w:rFonts w:hint="eastAsia"/>
                <w:szCs w:val="21"/>
              </w:rPr>
              <w:t>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14" w:type="dxa"/>
            <w:vAlign w:val="center"/>
          </w:tcPr>
          <w:p>
            <w:pPr>
              <w:jc w:val="center"/>
            </w:pPr>
            <w:r>
              <w:t>13</w:t>
            </w:r>
          </w:p>
        </w:tc>
        <w:tc>
          <w:tcPr>
            <w:tcW w:w="992" w:type="dxa"/>
            <w:vAlign w:val="center"/>
          </w:tcPr>
          <w:p>
            <w:pPr>
              <w:jc w:val="center"/>
            </w:pPr>
            <w:r>
              <w:rPr>
                <w:rFonts w:hint="eastAsia"/>
              </w:rPr>
              <w:t>4</w:t>
            </w:r>
          </w:p>
        </w:tc>
        <w:tc>
          <w:tcPr>
            <w:tcW w:w="1843" w:type="dxa"/>
            <w:vAlign w:val="center"/>
          </w:tcPr>
          <w:p>
            <w:pPr>
              <w:jc w:val="center"/>
            </w:pPr>
            <w:r>
              <w:t>踏勘现场答疑时间</w:t>
            </w:r>
          </w:p>
        </w:tc>
        <w:tc>
          <w:tcPr>
            <w:tcW w:w="5745" w:type="dxa"/>
            <w:vAlign w:val="center"/>
          </w:tcPr>
          <w:p>
            <w:pPr>
              <w:tabs>
                <w:tab w:val="center" w:pos="2764"/>
              </w:tabs>
              <w:jc w:val="left"/>
            </w:pPr>
            <w:r>
              <w:t>投标人自行踏勘现场</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14" w:type="dxa"/>
            <w:vAlign w:val="center"/>
          </w:tcPr>
          <w:p>
            <w:pPr>
              <w:jc w:val="center"/>
            </w:pPr>
            <w:r>
              <w:t>1</w:t>
            </w:r>
            <w:r>
              <w:rPr>
                <w:rFonts w:hint="eastAsia"/>
              </w:rPr>
              <w:t>4</w:t>
            </w:r>
          </w:p>
        </w:tc>
        <w:tc>
          <w:tcPr>
            <w:tcW w:w="992" w:type="dxa"/>
            <w:vAlign w:val="center"/>
          </w:tcPr>
          <w:p>
            <w:pPr>
              <w:jc w:val="center"/>
            </w:pPr>
            <w:r>
              <w:rPr>
                <w:rFonts w:hint="eastAsia"/>
              </w:rPr>
              <w:t>16</w:t>
            </w:r>
          </w:p>
        </w:tc>
        <w:tc>
          <w:tcPr>
            <w:tcW w:w="1843" w:type="dxa"/>
            <w:vAlign w:val="center"/>
          </w:tcPr>
          <w:p>
            <w:pPr>
              <w:jc w:val="center"/>
            </w:pPr>
            <w:r>
              <w:t>招标控制价</w:t>
            </w:r>
          </w:p>
        </w:tc>
        <w:tc>
          <w:tcPr>
            <w:tcW w:w="5745" w:type="dxa"/>
            <w:vAlign w:val="center"/>
          </w:tcPr>
          <w:p>
            <w:pPr>
              <w:jc w:val="left"/>
            </w:pPr>
            <w:r>
              <w:rPr>
                <w:rFonts w:hint="eastAsia"/>
              </w:rPr>
              <w:t>130万元。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14" w:type="dxa"/>
            <w:vAlign w:val="center"/>
          </w:tcPr>
          <w:p>
            <w:pPr>
              <w:jc w:val="center"/>
            </w:pPr>
            <w:r>
              <w:t>1</w:t>
            </w:r>
            <w:r>
              <w:rPr>
                <w:rFonts w:hint="eastAsia"/>
              </w:rPr>
              <w:t>5</w:t>
            </w:r>
          </w:p>
        </w:tc>
        <w:tc>
          <w:tcPr>
            <w:tcW w:w="992" w:type="dxa"/>
            <w:vAlign w:val="center"/>
          </w:tcPr>
          <w:p>
            <w:pPr>
              <w:pStyle w:val="6"/>
              <w:jc w:val="center"/>
            </w:pPr>
            <w:r>
              <w:rPr>
                <w:rFonts w:hint="eastAsia" w:ascii="宋体" w:hAnsi="宋体" w:cs="宋体"/>
                <w:b w:val="0"/>
                <w:bCs w:val="0"/>
                <w:kern w:val="0"/>
                <w:sz w:val="24"/>
                <w:szCs w:val="20"/>
              </w:rPr>
              <w:t>17.2</w:t>
            </w:r>
          </w:p>
        </w:tc>
        <w:tc>
          <w:tcPr>
            <w:tcW w:w="1843" w:type="dxa"/>
            <w:vAlign w:val="center"/>
          </w:tcPr>
          <w:p>
            <w:pPr>
              <w:jc w:val="center"/>
              <w:rPr>
                <w:szCs w:val="24"/>
              </w:rPr>
            </w:pPr>
            <w:r>
              <w:rPr>
                <w:szCs w:val="24"/>
              </w:rPr>
              <w:t>投标文件份数</w:t>
            </w:r>
          </w:p>
        </w:tc>
        <w:tc>
          <w:tcPr>
            <w:tcW w:w="5745" w:type="dxa"/>
            <w:vAlign w:val="center"/>
          </w:tcPr>
          <w:p>
            <w:pPr>
              <w:spacing w:line="400" w:lineRule="exact"/>
              <w:jc w:val="left"/>
              <w:rPr>
                <w:b/>
                <w:snapToGrid w:val="0"/>
                <w:szCs w:val="24"/>
              </w:rPr>
            </w:pPr>
            <w:r>
              <w:rPr>
                <w:b/>
                <w:bCs/>
                <w:snapToGrid w:val="0"/>
                <w:kern w:val="0"/>
                <w:sz w:val="24"/>
              </w:rPr>
              <w:t>纸质文件</w:t>
            </w:r>
            <w:r>
              <w:rPr>
                <w:snapToGrid w:val="0"/>
                <w:kern w:val="0"/>
                <w:sz w:val="24"/>
              </w:rPr>
              <w:t>正本</w:t>
            </w:r>
            <w:r>
              <w:rPr>
                <w:b/>
                <w:bCs/>
                <w:snapToGrid w:val="0"/>
                <w:kern w:val="0"/>
                <w:sz w:val="24"/>
                <w:u w:val="single"/>
              </w:rPr>
              <w:t>壹</w:t>
            </w:r>
            <w:r>
              <w:rPr>
                <w:snapToGrid w:val="0"/>
                <w:kern w:val="0"/>
                <w:sz w:val="24"/>
              </w:rPr>
              <w:t>份</w:t>
            </w:r>
            <w:r>
              <w:rPr>
                <w:bCs/>
                <w:sz w:val="24"/>
              </w:rPr>
              <w:t>，副本</w:t>
            </w:r>
            <w:r>
              <w:rPr>
                <w:b/>
                <w:sz w:val="24"/>
                <w:u w:val="single"/>
              </w:rPr>
              <w:t>肆</w:t>
            </w:r>
            <w:r>
              <w:rPr>
                <w:bCs/>
                <w:sz w:val="24"/>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14" w:type="dxa"/>
            <w:vAlign w:val="center"/>
          </w:tcPr>
          <w:p>
            <w:pPr>
              <w:jc w:val="center"/>
            </w:pPr>
            <w:r>
              <w:rPr>
                <w:rFonts w:hint="eastAsia"/>
              </w:rPr>
              <w:t>16</w:t>
            </w:r>
          </w:p>
        </w:tc>
        <w:tc>
          <w:tcPr>
            <w:tcW w:w="992" w:type="dxa"/>
            <w:vAlign w:val="center"/>
          </w:tcPr>
          <w:p>
            <w:pPr>
              <w:adjustRightInd w:val="0"/>
              <w:snapToGrid w:val="0"/>
              <w:spacing w:line="400" w:lineRule="exact"/>
              <w:jc w:val="center"/>
              <w:rPr>
                <w:kern w:val="2"/>
                <w:szCs w:val="24"/>
              </w:rPr>
            </w:pPr>
            <w:r>
              <w:rPr>
                <w:rFonts w:hint="eastAsia"/>
                <w:szCs w:val="24"/>
              </w:rPr>
              <w:t>9.2</w:t>
            </w:r>
          </w:p>
        </w:tc>
        <w:tc>
          <w:tcPr>
            <w:tcW w:w="1843" w:type="dxa"/>
            <w:vAlign w:val="center"/>
          </w:tcPr>
          <w:p>
            <w:pPr>
              <w:adjustRightInd w:val="0"/>
              <w:snapToGrid w:val="0"/>
              <w:spacing w:line="400" w:lineRule="exact"/>
              <w:rPr>
                <w:kern w:val="2"/>
                <w:szCs w:val="24"/>
              </w:rPr>
            </w:pPr>
            <w:r>
              <w:rPr>
                <w:rFonts w:hint="eastAsia"/>
                <w:szCs w:val="24"/>
              </w:rPr>
              <w:t>技术标暗标编制要求</w:t>
            </w:r>
          </w:p>
        </w:tc>
        <w:tc>
          <w:tcPr>
            <w:tcW w:w="5745" w:type="dxa"/>
            <w:vAlign w:val="center"/>
          </w:tcPr>
          <w:p>
            <w:pPr>
              <w:adjustRightInd w:val="0"/>
              <w:snapToGrid w:val="0"/>
              <w:jc w:val="left"/>
              <w:rPr>
                <w:b/>
                <w:bCs/>
              </w:rPr>
            </w:pPr>
            <w:r>
              <w:rPr>
                <w:rFonts w:hint="eastAsia"/>
                <w:szCs w:val="24"/>
              </w:rPr>
              <w:t xml:space="preserve">□不采用 </w:t>
            </w:r>
            <w:r>
              <w:rPr>
                <w:rFonts w:hint="eastAsia"/>
                <w:szCs w:val="24"/>
              </w:rPr>
              <w:fldChar w:fldCharType="begin"/>
            </w:r>
            <w:r>
              <w:rPr>
                <w:rFonts w:hint="eastAsia"/>
                <w:szCs w:val="24"/>
              </w:rPr>
              <w:instrText xml:space="preserve"> eq \o \ac(</w:instrText>
            </w:r>
            <w:r>
              <w:rPr>
                <w:rFonts w:hint="eastAsia"/>
                <w:position w:val="-4"/>
                <w:sz w:val="36"/>
                <w:szCs w:val="24"/>
              </w:rPr>
              <w:instrText xml:space="preserve">□</w:instrText>
            </w:r>
            <w:r>
              <w:rPr>
                <w:rFonts w:hint="eastAsia"/>
                <w:szCs w:val="24"/>
              </w:rPr>
              <w:instrText xml:space="preserve">,√)</w:instrText>
            </w:r>
            <w:r>
              <w:rPr>
                <w:rFonts w:hint="eastAsia"/>
                <w:szCs w:val="24"/>
              </w:rPr>
              <w:fldChar w:fldCharType="end"/>
            </w:r>
            <w:r>
              <w:rPr>
                <w:rFonts w:hint="eastAsia"/>
                <w:szCs w:val="24"/>
              </w:rPr>
              <w:t>采用。</w:t>
            </w:r>
          </w:p>
          <w:p>
            <w:pPr>
              <w:autoSpaceDE w:val="0"/>
              <w:autoSpaceDN w:val="0"/>
              <w:adjustRightInd w:val="0"/>
              <w:spacing w:line="360" w:lineRule="auto"/>
              <w:ind w:firstLine="482" w:firstLineChars="200"/>
              <w:contextualSpacing/>
              <w:jc w:val="left"/>
              <w:rPr>
                <w:b/>
                <w:bCs/>
              </w:rPr>
            </w:pPr>
            <w:r>
              <w:rPr>
                <w:rFonts w:hint="eastAsia"/>
                <w:b/>
                <w:bCs/>
              </w:rPr>
              <w:t>本工程技术标采用暗标评审,技术标5份，不分正、副本。页面尺寸一律采用A4格式（图纸除外，图纸可采用A3格式），技术标无需制作封面、目录。</w:t>
            </w:r>
          </w:p>
          <w:p>
            <w:pPr>
              <w:autoSpaceDE w:val="0"/>
              <w:autoSpaceDN w:val="0"/>
              <w:adjustRightInd w:val="0"/>
              <w:spacing w:line="360" w:lineRule="auto"/>
              <w:ind w:firstLine="482" w:firstLineChars="200"/>
              <w:contextualSpacing/>
              <w:jc w:val="left"/>
              <w:rPr>
                <w:b/>
                <w:bCs/>
              </w:rPr>
            </w:pPr>
            <w:r>
              <w:rPr>
                <w:rFonts w:hint="eastAsia"/>
                <w:b/>
                <w:bCs/>
              </w:rPr>
              <w:t>文本均采用胶装。正文文本统一单面打印，</w:t>
            </w:r>
            <w:r>
              <w:rPr>
                <w:rFonts w:hint="eastAsia"/>
                <w:b/>
                <w:kern w:val="2"/>
              </w:rPr>
              <w:t>字体统一用小四号宋体字，上边距 2 厘米，下边距 2.5 厘米，左边距（含装订线）3 厘米，右边距 2.5 厘米，段落行距为1.5 倍行距，</w:t>
            </w:r>
            <w:r>
              <w:rPr>
                <w:rFonts w:hint="eastAsia"/>
                <w:b/>
                <w:bCs/>
              </w:rPr>
              <w:t>不得设置页眉、页脚、页码，不得有任何加粗、斜体、下划线、边框、阴影等标记，</w:t>
            </w:r>
            <w:r>
              <w:rPr>
                <w:rFonts w:hint="eastAsia"/>
                <w:b/>
                <w:kern w:val="2"/>
              </w:rPr>
              <w:t>不得出现修改和行间插字或其他标记等手写字样，图表、图框、图片可使用彩色，但不得</w:t>
            </w:r>
            <w:r>
              <w:rPr>
                <w:rFonts w:hint="eastAsia"/>
                <w:b/>
                <w:bCs/>
              </w:rPr>
              <w:t>出现明示或暗示投标人身份或特征的任何字符和徽标（包括标识、标志、人员姓名、企业名称、</w:t>
            </w:r>
            <w:r>
              <w:rPr>
                <w:rFonts w:hint="eastAsia"/>
                <w:b/>
                <w:kern w:val="2"/>
              </w:rPr>
              <w:t>投标人承接过的业绩名称</w:t>
            </w:r>
            <w:r>
              <w:rPr>
                <w:rFonts w:hint="eastAsia"/>
                <w:b/>
                <w:bCs/>
              </w:rPr>
              <w:t>、投标人独有的企业标准或编号等）。</w:t>
            </w:r>
          </w:p>
          <w:p>
            <w:pPr>
              <w:autoSpaceDE w:val="0"/>
              <w:autoSpaceDN w:val="0"/>
              <w:adjustRightInd w:val="0"/>
              <w:spacing w:line="360" w:lineRule="auto"/>
              <w:ind w:firstLine="482" w:firstLineChars="200"/>
              <w:contextualSpacing/>
              <w:jc w:val="left"/>
              <w:rPr>
                <w:b/>
                <w:kern w:val="2"/>
                <w:szCs w:val="24"/>
                <w:u w:val="single"/>
              </w:rPr>
            </w:pPr>
            <w:r>
              <w:rPr>
                <w:rFonts w:hint="eastAsia"/>
                <w:b/>
                <w:bCs/>
              </w:rPr>
              <w:t>若投标人的投标文件违反招标文件暗标要求的，其技术标部分评审不通过，按废标处理，不再参与下一阶段的评审。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14" w:type="dxa"/>
            <w:vAlign w:val="center"/>
          </w:tcPr>
          <w:p>
            <w:pPr>
              <w:jc w:val="center"/>
            </w:pPr>
            <w:r>
              <w:t>1</w:t>
            </w:r>
            <w:r>
              <w:rPr>
                <w:rFonts w:hint="eastAsia"/>
              </w:rPr>
              <w:t>7</w:t>
            </w:r>
          </w:p>
        </w:tc>
        <w:tc>
          <w:tcPr>
            <w:tcW w:w="992" w:type="dxa"/>
            <w:vAlign w:val="center"/>
          </w:tcPr>
          <w:p>
            <w:pPr>
              <w:jc w:val="center"/>
            </w:pPr>
            <w:r>
              <w:rPr>
                <w:rFonts w:hint="eastAsia"/>
              </w:rPr>
              <w:t>18</w:t>
            </w:r>
          </w:p>
        </w:tc>
        <w:tc>
          <w:tcPr>
            <w:tcW w:w="1843" w:type="dxa"/>
            <w:vAlign w:val="center"/>
          </w:tcPr>
          <w:p>
            <w:pPr>
              <w:jc w:val="center"/>
            </w:pPr>
            <w:r>
              <w:t>投标文件提交地点及截止时间</w:t>
            </w:r>
          </w:p>
        </w:tc>
        <w:tc>
          <w:tcPr>
            <w:tcW w:w="5745" w:type="dxa"/>
            <w:vAlign w:val="center"/>
          </w:tcPr>
          <w:p>
            <w:pPr>
              <w:jc w:val="left"/>
              <w:rPr>
                <w:rFonts w:hint="default" w:eastAsia="宋体"/>
                <w:b/>
                <w:lang w:val="en-US" w:eastAsia="zh-CN"/>
              </w:rPr>
            </w:pPr>
            <w:r>
              <w:rPr>
                <w:b/>
              </w:rPr>
              <w:t>收件人：</w:t>
            </w:r>
            <w:r>
              <w:rPr>
                <w:rFonts w:hint="eastAsia"/>
                <w:b/>
                <w:lang w:val="en-US" w:eastAsia="zh-CN"/>
              </w:rPr>
              <w:t>江苏华睿工程咨询有限公司</w:t>
            </w:r>
          </w:p>
          <w:p>
            <w:pPr>
              <w:jc w:val="left"/>
              <w:rPr>
                <w:b/>
                <w:highlight w:val="none"/>
                <w:u w:val="single"/>
              </w:rPr>
            </w:pPr>
            <w:r>
              <w:rPr>
                <w:b/>
              </w:rPr>
              <w:t>截止时间：</w:t>
            </w:r>
            <w:r>
              <w:rPr>
                <w:rFonts w:hint="eastAsia"/>
                <w:b/>
                <w:highlight w:val="none"/>
                <w:u w:val="single"/>
              </w:rPr>
              <w:t>202</w:t>
            </w:r>
            <w:r>
              <w:rPr>
                <w:rFonts w:hint="eastAsia"/>
                <w:b/>
                <w:highlight w:val="none"/>
                <w:u w:val="single"/>
                <w:lang w:val="en-US" w:eastAsia="zh-CN"/>
              </w:rPr>
              <w:t>3</w:t>
            </w:r>
            <w:r>
              <w:rPr>
                <w:b/>
                <w:highlight w:val="none"/>
                <w:u w:val="single"/>
              </w:rPr>
              <w:t>年</w:t>
            </w:r>
            <w:r>
              <w:rPr>
                <w:rFonts w:hint="eastAsia"/>
                <w:b/>
                <w:highlight w:val="none"/>
                <w:u w:val="single"/>
                <w:lang w:val="en-US" w:eastAsia="zh-CN"/>
              </w:rPr>
              <w:t>8</w:t>
            </w:r>
            <w:r>
              <w:rPr>
                <w:rFonts w:hint="eastAsia"/>
                <w:b/>
                <w:highlight w:val="none"/>
                <w:u w:val="single"/>
              </w:rPr>
              <w:t xml:space="preserve"> </w:t>
            </w:r>
            <w:r>
              <w:rPr>
                <w:b/>
                <w:highlight w:val="none"/>
                <w:u w:val="single"/>
              </w:rPr>
              <w:t>月</w:t>
            </w:r>
            <w:r>
              <w:rPr>
                <w:rFonts w:hint="eastAsia"/>
                <w:b/>
                <w:highlight w:val="none"/>
                <w:u w:val="single"/>
                <w:lang w:val="en-US" w:eastAsia="zh-CN"/>
              </w:rPr>
              <w:t>8</w:t>
            </w:r>
            <w:r>
              <w:rPr>
                <w:b/>
                <w:highlight w:val="none"/>
                <w:u w:val="single"/>
              </w:rPr>
              <w:t>日</w:t>
            </w:r>
            <w:r>
              <w:rPr>
                <w:rFonts w:hint="eastAsia"/>
                <w:b/>
                <w:highlight w:val="none"/>
                <w:u w:val="single"/>
                <w:lang w:val="en-US" w:eastAsia="zh-CN"/>
              </w:rPr>
              <w:t>14</w:t>
            </w:r>
            <w:r>
              <w:rPr>
                <w:rFonts w:hint="eastAsia"/>
                <w:b/>
                <w:highlight w:val="none"/>
                <w:u w:val="single"/>
              </w:rPr>
              <w:t xml:space="preserve"> </w:t>
            </w:r>
            <w:r>
              <w:rPr>
                <w:rFonts w:hint="eastAsia"/>
                <w:b/>
                <w:bCs/>
                <w:highlight w:val="none"/>
                <w:u w:val="single"/>
              </w:rPr>
              <w:t>时</w:t>
            </w:r>
            <w:r>
              <w:rPr>
                <w:rFonts w:hint="eastAsia"/>
                <w:b/>
                <w:bCs/>
                <w:highlight w:val="none"/>
                <w:u w:val="single"/>
                <w:lang w:val="en-US" w:eastAsia="zh-CN"/>
              </w:rPr>
              <w:t>00</w:t>
            </w:r>
            <w:r>
              <w:rPr>
                <w:rFonts w:hint="eastAsia"/>
                <w:b/>
                <w:bCs/>
                <w:highlight w:val="none"/>
                <w:u w:val="single"/>
              </w:rPr>
              <w:t xml:space="preserve"> 分</w:t>
            </w:r>
            <w:r>
              <w:rPr>
                <w:b/>
                <w:highlight w:val="none"/>
                <w:u w:val="single"/>
              </w:rPr>
              <w:t>（以开标室电子时钟显示时间为准）</w:t>
            </w:r>
          </w:p>
          <w:p>
            <w:pPr>
              <w:jc w:val="left"/>
              <w:rPr>
                <w:u w:val="single"/>
              </w:rPr>
            </w:pPr>
            <w:r>
              <w:rPr>
                <w:b/>
              </w:rPr>
              <w:t>提交地点：</w:t>
            </w:r>
            <w:r>
              <w:rPr>
                <w:b/>
                <w:snapToGrid w:val="0"/>
              </w:rPr>
              <w:t>南通市崇川区青年中路128号，崇川区便民服务中心</w:t>
            </w:r>
            <w:r>
              <w:rPr>
                <w:b/>
                <w:snapToGrid w:val="0"/>
                <w:u w:val="single"/>
              </w:rPr>
              <w:t xml:space="preserve"> </w:t>
            </w:r>
            <w:r>
              <w:rPr>
                <w:rFonts w:hint="eastAsia"/>
                <w:b/>
                <w:snapToGrid w:val="0"/>
                <w:u w:val="single"/>
              </w:rPr>
              <w:t>314</w:t>
            </w:r>
            <w:r>
              <w:rPr>
                <w:b/>
                <w:snapToGrid w:val="0"/>
              </w:rPr>
              <w:t>会议室（东楼）</w:t>
            </w:r>
          </w:p>
          <w:p>
            <w:pPr>
              <w:jc w:val="left"/>
              <w:rPr>
                <w:u w:val="single"/>
              </w:rPr>
            </w:pPr>
            <w:r>
              <w:rPr>
                <w:b/>
                <w:snapToGrid w:val="0"/>
              </w:rPr>
              <w:t>特别提醒：崇川区便民服务中心停车位有限，请各潜在投标人合理选择交通工具，或提前到达投标地点。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pPr>
              <w:jc w:val="center"/>
            </w:pPr>
            <w:r>
              <w:t>1</w:t>
            </w:r>
            <w:r>
              <w:rPr>
                <w:rFonts w:hint="eastAsia"/>
              </w:rPr>
              <w:t>8</w:t>
            </w:r>
          </w:p>
        </w:tc>
        <w:tc>
          <w:tcPr>
            <w:tcW w:w="992" w:type="dxa"/>
            <w:vAlign w:val="center"/>
          </w:tcPr>
          <w:p>
            <w:pPr>
              <w:jc w:val="center"/>
            </w:pPr>
            <w:r>
              <w:t>2</w:t>
            </w:r>
            <w:r>
              <w:rPr>
                <w:rFonts w:hint="eastAsia"/>
              </w:rPr>
              <w:t>1</w:t>
            </w:r>
          </w:p>
        </w:tc>
        <w:tc>
          <w:tcPr>
            <w:tcW w:w="1843" w:type="dxa"/>
            <w:vAlign w:val="center"/>
          </w:tcPr>
          <w:p>
            <w:pPr>
              <w:jc w:val="center"/>
            </w:pPr>
            <w:r>
              <w:rPr>
                <w:rFonts w:hint="eastAsia" w:cs="Calibri"/>
              </w:rPr>
              <w:t>开标时间和地点</w:t>
            </w:r>
          </w:p>
        </w:tc>
        <w:tc>
          <w:tcPr>
            <w:tcW w:w="5745" w:type="dxa"/>
            <w:vAlign w:val="center"/>
          </w:tcPr>
          <w:p>
            <w:pPr>
              <w:jc w:val="left"/>
              <w:rPr>
                <w:b/>
                <w:u w:val="single"/>
              </w:rPr>
            </w:pPr>
            <w:r>
              <w:rPr>
                <w:b/>
              </w:rPr>
              <w:t>开标时间：</w:t>
            </w:r>
            <w:r>
              <w:rPr>
                <w:rFonts w:hint="eastAsia"/>
                <w:b/>
                <w:u w:val="single"/>
              </w:rPr>
              <w:t>202</w:t>
            </w:r>
            <w:r>
              <w:rPr>
                <w:rFonts w:hint="eastAsia"/>
                <w:b/>
                <w:u w:val="single"/>
                <w:lang w:val="en-US" w:eastAsia="zh-CN"/>
              </w:rPr>
              <w:t>3</w:t>
            </w:r>
            <w:r>
              <w:rPr>
                <w:b/>
                <w:u w:val="single"/>
              </w:rPr>
              <w:t>年</w:t>
            </w:r>
            <w:r>
              <w:rPr>
                <w:rFonts w:hint="eastAsia"/>
                <w:b/>
                <w:u w:val="single"/>
                <w:lang w:val="en-US" w:eastAsia="zh-CN"/>
              </w:rPr>
              <w:t>8</w:t>
            </w:r>
            <w:r>
              <w:rPr>
                <w:rFonts w:hint="eastAsia"/>
                <w:b/>
                <w:u w:val="single"/>
              </w:rPr>
              <w:t xml:space="preserve"> </w:t>
            </w:r>
            <w:r>
              <w:rPr>
                <w:b/>
                <w:u w:val="single"/>
              </w:rPr>
              <w:t>月</w:t>
            </w:r>
            <w:r>
              <w:rPr>
                <w:rFonts w:hint="eastAsia"/>
                <w:b/>
                <w:u w:val="single"/>
                <w:lang w:val="en-US" w:eastAsia="zh-CN"/>
              </w:rPr>
              <w:t>8</w:t>
            </w:r>
            <w:r>
              <w:rPr>
                <w:b/>
                <w:u w:val="single"/>
              </w:rPr>
              <w:t>日</w:t>
            </w:r>
            <w:r>
              <w:rPr>
                <w:rFonts w:hint="eastAsia"/>
                <w:b/>
                <w:u w:val="single"/>
                <w:lang w:val="en-US" w:eastAsia="zh-CN"/>
              </w:rPr>
              <w:t>14</w:t>
            </w:r>
            <w:r>
              <w:rPr>
                <w:rFonts w:hint="eastAsia"/>
                <w:b/>
                <w:u w:val="single"/>
              </w:rPr>
              <w:t xml:space="preserve"> </w:t>
            </w:r>
            <w:r>
              <w:rPr>
                <w:rFonts w:hint="eastAsia"/>
                <w:b/>
                <w:bCs/>
                <w:u w:val="single"/>
              </w:rPr>
              <w:t>时</w:t>
            </w:r>
            <w:r>
              <w:rPr>
                <w:rFonts w:hint="eastAsia"/>
                <w:b/>
                <w:bCs/>
                <w:u w:val="single"/>
                <w:lang w:val="en-US" w:eastAsia="zh-CN"/>
              </w:rPr>
              <w:t>00</w:t>
            </w:r>
            <w:r>
              <w:rPr>
                <w:rFonts w:hint="eastAsia"/>
                <w:b/>
                <w:bCs/>
                <w:u w:val="single"/>
              </w:rPr>
              <w:t xml:space="preserve"> 分</w:t>
            </w:r>
            <w:r>
              <w:rPr>
                <w:b/>
                <w:u w:val="single"/>
              </w:rPr>
              <w:t>（以开标室电子时钟显示时间为准）</w:t>
            </w:r>
          </w:p>
          <w:p>
            <w:pPr>
              <w:jc w:val="left"/>
            </w:pPr>
            <w:r>
              <w:rPr>
                <w:b/>
              </w:rPr>
              <w:t>开标地点：</w:t>
            </w:r>
            <w:r>
              <w:rPr>
                <w:b/>
                <w:snapToGrid w:val="0"/>
              </w:rPr>
              <w:t>南通市崇川区青年中路128号，崇川区便民服务中心</w:t>
            </w:r>
            <w:r>
              <w:rPr>
                <w:b/>
                <w:snapToGrid w:val="0"/>
                <w:u w:val="single"/>
              </w:rPr>
              <w:t xml:space="preserve"> 314</w:t>
            </w:r>
            <w:r>
              <w:rPr>
                <w:b/>
                <w:snapToGrid w:val="0"/>
              </w:rPr>
              <w:t>会议室（东楼）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814" w:type="dxa"/>
            <w:vAlign w:val="center"/>
          </w:tcPr>
          <w:p>
            <w:pPr>
              <w:jc w:val="center"/>
            </w:pPr>
            <w:r>
              <w:rPr>
                <w:rFonts w:hint="eastAsia"/>
              </w:rPr>
              <w:t>19</w:t>
            </w:r>
          </w:p>
        </w:tc>
        <w:tc>
          <w:tcPr>
            <w:tcW w:w="992" w:type="dxa"/>
            <w:vAlign w:val="center"/>
          </w:tcPr>
          <w:p>
            <w:pPr>
              <w:jc w:val="center"/>
            </w:pPr>
            <w:r>
              <w:t>2</w:t>
            </w:r>
            <w:r>
              <w:rPr>
                <w:rFonts w:hint="eastAsia"/>
              </w:rPr>
              <w:t>2</w:t>
            </w:r>
          </w:p>
        </w:tc>
        <w:tc>
          <w:tcPr>
            <w:tcW w:w="1843" w:type="dxa"/>
            <w:vAlign w:val="center"/>
          </w:tcPr>
          <w:p>
            <w:pPr>
              <w:jc w:val="center"/>
            </w:pPr>
            <w:r>
              <w:t>评标委员会</w:t>
            </w:r>
          </w:p>
        </w:tc>
        <w:tc>
          <w:tcPr>
            <w:tcW w:w="5745" w:type="dxa"/>
            <w:vAlign w:val="center"/>
          </w:tcPr>
          <w:p>
            <w:pPr>
              <w:jc w:val="left"/>
            </w:pPr>
            <w:r>
              <w:t>评标专家确定方式：在政府组建的专家库中随机抽取，采用语音系统自动通知。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814" w:type="dxa"/>
            <w:vAlign w:val="center"/>
          </w:tcPr>
          <w:p>
            <w:pPr>
              <w:jc w:val="center"/>
            </w:pPr>
            <w:r>
              <w:t>2</w:t>
            </w:r>
            <w:r>
              <w:rPr>
                <w:rFonts w:hint="eastAsia"/>
              </w:rPr>
              <w:t>0</w:t>
            </w:r>
          </w:p>
        </w:tc>
        <w:tc>
          <w:tcPr>
            <w:tcW w:w="992" w:type="dxa"/>
            <w:vAlign w:val="center"/>
          </w:tcPr>
          <w:p>
            <w:pPr>
              <w:jc w:val="center"/>
            </w:pPr>
            <w:r>
              <w:t>3</w:t>
            </w:r>
            <w:r>
              <w:rPr>
                <w:rFonts w:hint="eastAsia"/>
              </w:rPr>
              <w:t>0</w:t>
            </w:r>
          </w:p>
        </w:tc>
        <w:tc>
          <w:tcPr>
            <w:tcW w:w="1843" w:type="dxa"/>
            <w:vAlign w:val="center"/>
          </w:tcPr>
          <w:p>
            <w:pPr>
              <w:jc w:val="center"/>
            </w:pPr>
            <w:r>
              <w:t>履约担保金额</w:t>
            </w:r>
          </w:p>
        </w:tc>
        <w:tc>
          <w:tcPr>
            <w:tcW w:w="5745" w:type="dxa"/>
            <w:vAlign w:val="center"/>
          </w:tcPr>
          <w:p>
            <w:pPr>
              <w:adjustRightInd w:val="0"/>
              <w:snapToGrid w:val="0"/>
              <w:spacing w:line="0" w:lineRule="atLeast"/>
              <w:rPr>
                <w:szCs w:val="24"/>
                <w:highlight w:val="none"/>
              </w:rPr>
            </w:pPr>
            <w:r>
              <w:rPr>
                <w:rFonts w:hint="eastAsia"/>
                <w:szCs w:val="24"/>
                <w:highlight w:val="none"/>
              </w:rPr>
              <w:sym w:font="Wingdings 2" w:char="0052"/>
            </w:r>
            <w:r>
              <w:rPr>
                <w:rFonts w:hint="eastAsia"/>
                <w:szCs w:val="24"/>
                <w:highlight w:val="none"/>
              </w:rPr>
              <w:t>是  履约保证金的形式：</w:t>
            </w:r>
            <w:r>
              <w:rPr>
                <w:rFonts w:hint="eastAsia"/>
                <w:szCs w:val="24"/>
                <w:highlight w:val="none"/>
                <w:u w:val="single"/>
              </w:rPr>
              <w:t>银行转账</w:t>
            </w:r>
            <w:r>
              <w:rPr>
                <w:rFonts w:hint="eastAsia"/>
                <w:szCs w:val="24"/>
                <w:highlight w:val="none"/>
                <w:u w:val="single"/>
                <w:lang w:val="en-US" w:eastAsia="zh-CN"/>
              </w:rPr>
              <w:t>或银行保函</w:t>
            </w:r>
            <w:r>
              <w:rPr>
                <w:rFonts w:hint="eastAsia"/>
                <w:szCs w:val="24"/>
                <w:highlight w:val="none"/>
                <w:u w:val="single"/>
              </w:rPr>
              <w:t xml:space="preserve"> </w:t>
            </w:r>
          </w:p>
          <w:p>
            <w:pPr>
              <w:adjustRightInd w:val="0"/>
              <w:snapToGrid w:val="0"/>
              <w:rPr>
                <w:highlight w:val="yellow"/>
              </w:rPr>
            </w:pPr>
            <w:r>
              <w:rPr>
                <w:rFonts w:hint="eastAsia"/>
                <w:szCs w:val="24"/>
                <w:highlight w:val="none"/>
              </w:rPr>
              <w:t>履约保证金的金额：为合同价的</w:t>
            </w:r>
            <w:r>
              <w:rPr>
                <w:rFonts w:hint="eastAsia"/>
                <w:szCs w:val="24"/>
                <w:highlight w:val="none"/>
                <w:u w:val="single"/>
              </w:rPr>
              <w:t>5%</w:t>
            </w:r>
            <w:r>
              <w:rPr>
                <w:rFonts w:hint="eastAsia"/>
                <w:szCs w:val="24"/>
                <w:highlight w:val="none"/>
              </w:rPr>
              <w:t>，投标人在收到中标通知书后，须在</w:t>
            </w:r>
            <w:r>
              <w:rPr>
                <w:rFonts w:hint="eastAsia"/>
                <w:szCs w:val="24"/>
                <w:highlight w:val="none"/>
                <w:u w:val="single"/>
              </w:rPr>
              <w:t xml:space="preserve">  10  </w:t>
            </w:r>
            <w:r>
              <w:rPr>
                <w:rFonts w:hint="eastAsia"/>
                <w:szCs w:val="24"/>
                <w:highlight w:val="none"/>
              </w:rPr>
              <w:t>日内向招标人足额提交履约保证金，否则招标人可以取消其中标资格。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jc w:val="center"/>
        </w:trPr>
        <w:tc>
          <w:tcPr>
            <w:tcW w:w="814" w:type="dxa"/>
            <w:tcBorders>
              <w:left w:val="single" w:color="auto" w:sz="4" w:space="0"/>
              <w:bottom w:val="single" w:color="auto" w:sz="4" w:space="0"/>
              <w:right w:val="single" w:color="auto" w:sz="4" w:space="0"/>
            </w:tcBorders>
            <w:vAlign w:val="center"/>
          </w:tcPr>
          <w:p>
            <w:pPr>
              <w:jc w:val="center"/>
            </w:pPr>
            <w:r>
              <w:t>2</w:t>
            </w:r>
            <w:r>
              <w:rPr>
                <w:rFonts w:hint="eastAsia"/>
              </w:rPr>
              <w:t>1</w:t>
            </w:r>
          </w:p>
        </w:tc>
        <w:tc>
          <w:tcPr>
            <w:tcW w:w="2835" w:type="dxa"/>
            <w:gridSpan w:val="2"/>
            <w:tcBorders>
              <w:left w:val="single" w:color="auto" w:sz="4" w:space="0"/>
              <w:bottom w:val="single" w:color="auto" w:sz="4" w:space="0"/>
              <w:right w:val="single" w:color="auto" w:sz="4" w:space="0"/>
            </w:tcBorders>
            <w:vAlign w:val="center"/>
          </w:tcPr>
          <w:p>
            <w:pPr>
              <w:adjustRightInd w:val="0"/>
              <w:snapToGrid w:val="0"/>
              <w:spacing w:line="340" w:lineRule="exact"/>
              <w:jc w:val="center"/>
              <w:rPr>
                <w:szCs w:val="24"/>
              </w:rPr>
            </w:pPr>
            <w:r>
              <w:rPr>
                <w:rFonts w:hint="eastAsia"/>
                <w:szCs w:val="24"/>
              </w:rPr>
              <w:t>招标人</w:t>
            </w:r>
          </w:p>
        </w:tc>
        <w:tc>
          <w:tcPr>
            <w:tcW w:w="5745"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4"/>
              </w:rPr>
            </w:pPr>
            <w:r>
              <w:rPr>
                <w:rFonts w:hint="eastAsia"/>
                <w:szCs w:val="24"/>
              </w:rPr>
              <w:t>名称：南通市濠河景区管理办公室</w:t>
            </w:r>
          </w:p>
          <w:p>
            <w:pPr>
              <w:adjustRightInd w:val="0"/>
              <w:snapToGrid w:val="0"/>
              <w:rPr>
                <w:szCs w:val="24"/>
              </w:rPr>
            </w:pPr>
            <w:r>
              <w:rPr>
                <w:rFonts w:hint="eastAsia"/>
                <w:szCs w:val="24"/>
              </w:rPr>
              <w:t>地址：南通市崇川区濠西路92号物华大厦4楼</w:t>
            </w:r>
          </w:p>
          <w:p>
            <w:pPr>
              <w:adjustRightInd w:val="0"/>
              <w:snapToGrid w:val="0"/>
              <w:rPr>
                <w:szCs w:val="24"/>
              </w:rPr>
            </w:pPr>
            <w:r>
              <w:rPr>
                <w:rFonts w:hint="eastAsia"/>
                <w:szCs w:val="24"/>
              </w:rPr>
              <w:t>联系人：</w:t>
            </w:r>
            <w:r>
              <w:rPr>
                <w:rFonts w:hint="eastAsia"/>
                <w:szCs w:val="24"/>
                <w:lang w:val="en-US" w:eastAsia="zh-CN"/>
              </w:rPr>
              <w:t>张</w:t>
            </w:r>
            <w:r>
              <w:rPr>
                <w:rFonts w:hint="eastAsia"/>
                <w:szCs w:val="24"/>
              </w:rPr>
              <w:t>先生</w:t>
            </w:r>
          </w:p>
          <w:p>
            <w:pPr>
              <w:adjustRightInd w:val="0"/>
              <w:snapToGrid w:val="0"/>
              <w:spacing w:line="340" w:lineRule="exact"/>
              <w:jc w:val="left"/>
              <w:rPr>
                <w:rFonts w:hint="eastAsia" w:eastAsia="宋体"/>
                <w:szCs w:val="24"/>
                <w:lang w:eastAsia="zh-CN"/>
              </w:rPr>
            </w:pPr>
            <w:r>
              <w:rPr>
                <w:rFonts w:hint="eastAsia"/>
                <w:szCs w:val="24"/>
              </w:rPr>
              <w:t>电话：0513-8909059</w:t>
            </w:r>
            <w:r>
              <w:rPr>
                <w:rFonts w:hint="eastAsia"/>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7" w:hRule="atLeast"/>
          <w:jc w:val="center"/>
        </w:trPr>
        <w:tc>
          <w:tcPr>
            <w:tcW w:w="814" w:type="dxa"/>
            <w:tcBorders>
              <w:left w:val="single" w:color="auto" w:sz="4" w:space="0"/>
              <w:bottom w:val="single" w:color="auto" w:sz="4" w:space="0"/>
              <w:right w:val="single" w:color="auto" w:sz="4" w:space="0"/>
            </w:tcBorders>
            <w:vAlign w:val="center"/>
          </w:tcPr>
          <w:p>
            <w:pPr>
              <w:jc w:val="center"/>
            </w:pPr>
            <w:r>
              <w:t>2</w:t>
            </w:r>
            <w:r>
              <w:rPr>
                <w:rFonts w:hint="eastAsia"/>
              </w:rPr>
              <w:t>2</w:t>
            </w:r>
          </w:p>
        </w:tc>
        <w:tc>
          <w:tcPr>
            <w:tcW w:w="2835" w:type="dxa"/>
            <w:gridSpan w:val="2"/>
            <w:tcBorders>
              <w:left w:val="single" w:color="auto" w:sz="4" w:space="0"/>
              <w:bottom w:val="single" w:color="auto" w:sz="4" w:space="0"/>
              <w:right w:val="single" w:color="auto" w:sz="4" w:space="0"/>
            </w:tcBorders>
            <w:vAlign w:val="center"/>
          </w:tcPr>
          <w:p>
            <w:pPr>
              <w:adjustRightInd w:val="0"/>
              <w:snapToGrid w:val="0"/>
              <w:spacing w:line="340" w:lineRule="exact"/>
              <w:jc w:val="center"/>
              <w:rPr>
                <w:szCs w:val="24"/>
              </w:rPr>
            </w:pPr>
            <w:r>
              <w:rPr>
                <w:rFonts w:hint="eastAsia"/>
                <w:szCs w:val="24"/>
              </w:rPr>
              <w:t>招标代理机构</w:t>
            </w:r>
          </w:p>
        </w:tc>
        <w:tc>
          <w:tcPr>
            <w:tcW w:w="57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eastAsia="宋体"/>
                <w:szCs w:val="24"/>
                <w:lang w:val="en-US" w:eastAsia="zh-CN"/>
              </w:rPr>
            </w:pPr>
            <w:r>
              <w:rPr>
                <w:rFonts w:hint="eastAsia"/>
                <w:szCs w:val="24"/>
              </w:rPr>
              <w:t>名 称：</w:t>
            </w:r>
            <w:r>
              <w:rPr>
                <w:rFonts w:hint="eastAsia"/>
                <w:szCs w:val="24"/>
                <w:lang w:val="en-US" w:eastAsia="zh-CN"/>
              </w:rPr>
              <w:t>江苏华睿工程咨询有限公司</w:t>
            </w:r>
          </w:p>
          <w:p>
            <w:pPr>
              <w:adjustRightInd w:val="0"/>
              <w:snapToGrid w:val="0"/>
              <w:rPr>
                <w:rFonts w:hint="eastAsia"/>
                <w:szCs w:val="24"/>
                <w:lang w:val="en-US" w:eastAsia="zh-CN"/>
              </w:rPr>
            </w:pPr>
            <w:r>
              <w:rPr>
                <w:rFonts w:hint="eastAsia"/>
                <w:szCs w:val="24"/>
              </w:rPr>
              <w:t>地 址：江苏省南通市</w:t>
            </w:r>
            <w:r>
              <w:rPr>
                <w:rFonts w:hint="eastAsia"/>
                <w:szCs w:val="24"/>
                <w:lang w:val="en-US" w:eastAsia="zh-CN"/>
              </w:rPr>
              <w:t>城山路129号3号楼202室</w:t>
            </w:r>
          </w:p>
          <w:p>
            <w:pPr>
              <w:adjustRightInd w:val="0"/>
              <w:snapToGrid w:val="0"/>
              <w:rPr>
                <w:rFonts w:hint="eastAsia" w:eastAsia="宋体"/>
                <w:szCs w:val="24"/>
                <w:lang w:eastAsia="zh-CN"/>
              </w:rPr>
            </w:pPr>
            <w:r>
              <w:rPr>
                <w:rFonts w:hint="eastAsia"/>
                <w:szCs w:val="24"/>
              </w:rPr>
              <w:t>联系人：</w:t>
            </w:r>
            <w:r>
              <w:rPr>
                <w:rFonts w:hint="eastAsia"/>
                <w:szCs w:val="24"/>
                <w:lang w:val="en-US" w:eastAsia="zh-CN"/>
              </w:rPr>
              <w:t>张静炜</w:t>
            </w:r>
          </w:p>
          <w:p>
            <w:pPr>
              <w:adjustRightInd w:val="0"/>
              <w:snapToGrid w:val="0"/>
              <w:rPr>
                <w:rFonts w:hint="default" w:eastAsia="宋体"/>
                <w:szCs w:val="24"/>
                <w:lang w:val="en-US" w:eastAsia="zh-CN"/>
              </w:rPr>
            </w:pPr>
            <w:r>
              <w:rPr>
                <w:rFonts w:hint="eastAsia"/>
                <w:szCs w:val="24"/>
              </w:rPr>
              <w:t>联系电话：1</w:t>
            </w:r>
            <w:r>
              <w:rPr>
                <w:rFonts w:hint="eastAsia"/>
                <w:szCs w:val="24"/>
                <w:lang w:val="en-US" w:eastAsia="zh-CN"/>
              </w:rPr>
              <w:t>5262758956</w:t>
            </w:r>
          </w:p>
          <w:p>
            <w:pPr>
              <w:adjustRightInd w:val="0"/>
              <w:snapToGrid w:val="0"/>
              <w:rPr>
                <w:szCs w:val="24"/>
              </w:rPr>
            </w:pPr>
            <w:r>
              <w:rPr>
                <w:rFonts w:hint="eastAsia"/>
                <w:szCs w:val="24"/>
              </w:rPr>
              <w:t>电子邮箱：</w:t>
            </w:r>
            <w:r>
              <w:rPr>
                <w:rFonts w:hint="eastAsia"/>
                <w:szCs w:val="24"/>
                <w:lang w:val="en-US" w:eastAsia="zh-CN"/>
              </w:rPr>
              <w:t>1140550919</w:t>
            </w:r>
            <w:r>
              <w:rPr>
                <w:rFonts w:hint="eastAsia"/>
                <w:szCs w:val="24"/>
              </w:rPr>
              <w:t>@qq.com</w:t>
            </w:r>
          </w:p>
          <w:p>
            <w:pPr>
              <w:adjustRightInd w:val="0"/>
              <w:snapToGrid w:val="0"/>
              <w:rPr>
                <w:rFonts w:hint="eastAsia" w:eastAsia="宋体"/>
                <w:szCs w:val="24"/>
                <w:lang w:eastAsia="zh-CN"/>
              </w:rPr>
            </w:pPr>
            <w:r>
              <w:rPr>
                <w:rFonts w:hint="eastAsia"/>
                <w:szCs w:val="24"/>
              </w:rPr>
              <w:t>传真：</w:t>
            </w:r>
            <w:r>
              <w:rPr>
                <w:rFonts w:hint="eastAsia"/>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 w:hRule="atLeast"/>
          <w:jc w:val="center"/>
        </w:trPr>
        <w:tc>
          <w:tcPr>
            <w:tcW w:w="814" w:type="dxa"/>
            <w:tcBorders>
              <w:left w:val="single" w:color="auto" w:sz="4" w:space="0"/>
              <w:bottom w:val="single" w:color="auto" w:sz="4" w:space="0"/>
              <w:right w:val="single" w:color="auto" w:sz="4" w:space="0"/>
            </w:tcBorders>
            <w:vAlign w:val="center"/>
          </w:tcPr>
          <w:p>
            <w:pPr>
              <w:spacing w:line="360" w:lineRule="auto"/>
              <w:jc w:val="center"/>
            </w:pPr>
            <w:r>
              <w:t>2</w:t>
            </w:r>
            <w:r>
              <w:rPr>
                <w:rFonts w:hint="eastAsia"/>
              </w:rPr>
              <w:t>3</w:t>
            </w:r>
          </w:p>
        </w:tc>
        <w:tc>
          <w:tcPr>
            <w:tcW w:w="8580" w:type="dxa"/>
            <w:gridSpan w:val="3"/>
            <w:tcBorders>
              <w:left w:val="single" w:color="auto" w:sz="4" w:space="0"/>
              <w:bottom w:val="single" w:color="auto" w:sz="4" w:space="0"/>
              <w:right w:val="single" w:color="auto" w:sz="4" w:space="0"/>
            </w:tcBorders>
            <w:vAlign w:val="center"/>
          </w:tcPr>
          <w:p>
            <w:pPr>
              <w:spacing w:line="340" w:lineRule="exact"/>
              <w:rPr>
                <w:b/>
                <w:kern w:val="2"/>
                <w:szCs w:val="24"/>
              </w:rPr>
            </w:pPr>
            <w:r>
              <w:rPr>
                <w:rFonts w:hint="eastAsia"/>
                <w:b/>
                <w:kern w:val="2"/>
                <w:szCs w:val="24"/>
              </w:rPr>
              <w:t>特别提醒：</w:t>
            </w:r>
          </w:p>
          <w:p>
            <w:pPr>
              <w:spacing w:line="360" w:lineRule="auto"/>
              <w:ind w:right="84" w:rightChars="35" w:firstLine="472" w:firstLineChars="196"/>
              <w:rPr>
                <w:b/>
                <w:bCs/>
                <w:szCs w:val="24"/>
              </w:rPr>
            </w:pPr>
            <w:r>
              <w:rPr>
                <w:rFonts w:hint="eastAsia"/>
                <w:b/>
                <w:kern w:val="2"/>
                <w:szCs w:val="24"/>
                <w:lang w:val="en-US" w:eastAsia="zh-CN"/>
              </w:rPr>
              <w:t>1</w:t>
            </w:r>
            <w:r>
              <w:rPr>
                <w:rFonts w:hint="eastAsia"/>
                <w:b/>
                <w:kern w:val="2"/>
                <w:szCs w:val="24"/>
              </w:rPr>
              <w:t>、</w:t>
            </w:r>
            <w:r>
              <w:rPr>
                <w:b/>
                <w:bCs/>
              </w:rPr>
              <w:t>投标人投标文件的编制和递交，应依照招标文件的规定进行。如未按招标文件要求编制、递交投标文件，将可能导致废标，其后果由投标人自负。</w:t>
            </w:r>
          </w:p>
          <w:p>
            <w:pPr>
              <w:spacing w:line="360" w:lineRule="auto"/>
              <w:ind w:right="84" w:rightChars="35" w:firstLine="472" w:firstLineChars="196"/>
              <w:rPr>
                <w:b/>
                <w:bCs/>
              </w:rPr>
            </w:pPr>
            <w:r>
              <w:rPr>
                <w:rFonts w:hint="eastAsia"/>
                <w:b/>
                <w:bCs/>
                <w:lang w:val="en-US" w:eastAsia="zh-CN"/>
              </w:rPr>
              <w:t>2</w:t>
            </w:r>
            <w:r>
              <w:rPr>
                <w:b/>
                <w:bCs/>
              </w:rPr>
              <w:t>、</w:t>
            </w:r>
            <w:r>
              <w:rPr>
                <w:rFonts w:hint="eastAsia"/>
                <w:b/>
                <w:kern w:val="2"/>
                <w:szCs w:val="24"/>
              </w:rPr>
              <w:t>请各投标人慎重考虑投标风险。中标后必须无条件服从招标人的各项安排，如若不能按相关要求执行，视情况处以违约金处</w:t>
            </w:r>
            <w:r>
              <w:rPr>
                <w:rFonts w:hint="eastAsia"/>
                <w:b/>
                <w:kern w:val="2"/>
                <w:szCs w:val="24"/>
                <w:lang w:val="en-US" w:eastAsia="zh-CN"/>
              </w:rPr>
              <w:t>理</w:t>
            </w:r>
            <w:r>
              <w:rPr>
                <w:rFonts w:hint="eastAsia"/>
                <w:b/>
                <w:kern w:val="2"/>
                <w:szCs w:val="24"/>
              </w:rPr>
              <w:t>，直至退场。</w:t>
            </w:r>
          </w:p>
        </w:tc>
      </w:tr>
    </w:tbl>
    <w:p>
      <w:pPr>
        <w:pStyle w:val="25"/>
      </w:pPr>
    </w:p>
    <w:p>
      <w:pPr>
        <w:pStyle w:val="25"/>
      </w:pPr>
    </w:p>
    <w:p>
      <w:pPr>
        <w:pStyle w:val="4"/>
        <w:jc w:val="center"/>
        <w:rPr>
          <w:rFonts w:eastAsia="宋体"/>
        </w:rPr>
      </w:pPr>
      <w:r>
        <w:rPr>
          <w:rFonts w:eastAsia="宋体"/>
        </w:rPr>
        <w:br w:type="page"/>
      </w:r>
      <w:r>
        <w:rPr>
          <w:rFonts w:hint="eastAsia" w:eastAsia="宋体"/>
        </w:rPr>
        <w:t>二、</w:t>
      </w:r>
      <w:r>
        <w:rPr>
          <w:rFonts w:eastAsia="宋体"/>
        </w:rPr>
        <w:t>投标人须知</w:t>
      </w:r>
      <w:bookmarkEnd w:id="3"/>
      <w:bookmarkEnd w:id="4"/>
    </w:p>
    <w:p>
      <w:pPr>
        <w:pStyle w:val="5"/>
        <w:jc w:val="center"/>
        <w:rPr>
          <w:sz w:val="24"/>
          <w:szCs w:val="24"/>
        </w:rPr>
      </w:pPr>
      <w:bookmarkStart w:id="5" w:name="_Toc536214601"/>
      <w:bookmarkStart w:id="6" w:name="_Toc389065146"/>
      <w:r>
        <w:rPr>
          <w:rFonts w:hint="eastAsia" w:ascii="宋体" w:hAnsi="宋体" w:eastAsia="宋体"/>
          <w:color w:val="000000"/>
          <w:sz w:val="30"/>
          <w:szCs w:val="30"/>
        </w:rPr>
        <w:t>（一）总则</w:t>
      </w:r>
    </w:p>
    <w:bookmarkEnd w:id="5"/>
    <w:bookmarkEnd w:id="6"/>
    <w:p>
      <w:pPr>
        <w:snapToGrid w:val="0"/>
        <w:spacing w:line="360" w:lineRule="auto"/>
        <w:ind w:firstLine="482" w:firstLineChars="200"/>
        <w:rPr>
          <w:b/>
          <w:bCs/>
          <w:szCs w:val="24"/>
        </w:rPr>
      </w:pPr>
      <w:bookmarkStart w:id="7" w:name="_Toc389065148"/>
      <w:bookmarkStart w:id="8" w:name="_Toc536214603"/>
      <w:r>
        <w:rPr>
          <w:rFonts w:hint="eastAsia"/>
          <w:b/>
          <w:bCs/>
          <w:szCs w:val="24"/>
        </w:rPr>
        <w:t>1、工程说明</w:t>
      </w:r>
    </w:p>
    <w:p>
      <w:pPr>
        <w:snapToGrid w:val="0"/>
        <w:spacing w:line="360" w:lineRule="auto"/>
        <w:ind w:firstLine="480" w:firstLineChars="200"/>
        <w:rPr>
          <w:szCs w:val="24"/>
        </w:rPr>
      </w:pPr>
      <w:r>
        <w:rPr>
          <w:rFonts w:hint="eastAsia"/>
          <w:szCs w:val="24"/>
        </w:rPr>
        <w:t>1.1</w:t>
      </w:r>
      <w:r>
        <w:t>本招标工程项目说明详见本须知前附表第1项～第</w:t>
      </w:r>
      <w:r>
        <w:rPr>
          <w:rFonts w:hint="eastAsia"/>
        </w:rPr>
        <w:t>4</w:t>
      </w:r>
      <w:r>
        <w:t>项</w:t>
      </w:r>
      <w:r>
        <w:rPr>
          <w:rFonts w:hint="eastAsia"/>
          <w:szCs w:val="24"/>
        </w:rPr>
        <w:t>。</w:t>
      </w:r>
    </w:p>
    <w:p>
      <w:pPr>
        <w:snapToGrid w:val="0"/>
        <w:spacing w:line="360" w:lineRule="auto"/>
        <w:ind w:firstLine="480" w:firstLineChars="200"/>
        <w:rPr>
          <w:szCs w:val="24"/>
        </w:rPr>
      </w:pPr>
      <w:r>
        <w:rPr>
          <w:rFonts w:hint="eastAsia"/>
          <w:szCs w:val="24"/>
        </w:rPr>
        <w:t>1.2本招标工程项目按照《中华人民共和国招标投标法》等有关法律、行政法规和部门规章以及地方政府部门有关规定。通过</w:t>
      </w:r>
      <w:r>
        <w:rPr>
          <w:b/>
          <w:u w:val="single"/>
        </w:rPr>
        <w:t>公开招标、资格后审</w:t>
      </w:r>
      <w:r>
        <w:t>招标方式，择优选定施工单位。</w:t>
      </w:r>
    </w:p>
    <w:p>
      <w:pPr>
        <w:pStyle w:val="5"/>
        <w:keepNext w:val="0"/>
        <w:keepLines w:val="0"/>
        <w:snapToGrid w:val="0"/>
        <w:ind w:firstLine="456" w:firstLineChars="200"/>
        <w:rPr>
          <w:rFonts w:ascii="宋体" w:hAnsi="宋体" w:eastAsia="宋体" w:cs="宋体"/>
          <w:sz w:val="24"/>
          <w:szCs w:val="24"/>
        </w:rPr>
      </w:pPr>
      <w:r>
        <w:rPr>
          <w:rFonts w:hint="eastAsia" w:ascii="宋体" w:hAnsi="宋体" w:eastAsia="宋体" w:cs="宋体"/>
          <w:b w:val="0"/>
          <w:bCs w:val="0"/>
          <w:spacing w:val="-6"/>
          <w:kern w:val="0"/>
          <w:sz w:val="24"/>
          <w:szCs w:val="24"/>
        </w:rPr>
        <w:t>1.3招标范围、计划工期和质量要求</w:t>
      </w:r>
      <w:bookmarkEnd w:id="7"/>
      <w:bookmarkEnd w:id="8"/>
    </w:p>
    <w:p>
      <w:pPr>
        <w:snapToGrid w:val="0"/>
        <w:spacing w:line="360" w:lineRule="auto"/>
        <w:ind w:firstLine="480" w:firstLineChars="200"/>
        <w:rPr>
          <w:szCs w:val="24"/>
        </w:rPr>
      </w:pPr>
      <w:r>
        <w:rPr>
          <w:rFonts w:hint="eastAsia"/>
          <w:szCs w:val="24"/>
        </w:rPr>
        <w:t>1.3.1本次招标范围：见“投标人须知前附表”。</w:t>
      </w:r>
    </w:p>
    <w:p>
      <w:pPr>
        <w:snapToGrid w:val="0"/>
        <w:spacing w:line="360" w:lineRule="auto"/>
        <w:ind w:firstLine="480" w:firstLineChars="200"/>
        <w:rPr>
          <w:szCs w:val="21"/>
        </w:rPr>
      </w:pPr>
      <w:r>
        <w:rPr>
          <w:rFonts w:hint="eastAsia"/>
          <w:szCs w:val="24"/>
        </w:rPr>
        <w:t>1.3.2本标段的要</w:t>
      </w:r>
      <w:r>
        <w:rPr>
          <w:rFonts w:hint="eastAsia"/>
          <w:szCs w:val="21"/>
        </w:rPr>
        <w:t>求工期：见“投标人须知前附表”。</w:t>
      </w:r>
    </w:p>
    <w:p>
      <w:pPr>
        <w:snapToGrid w:val="0"/>
        <w:spacing w:line="360" w:lineRule="auto"/>
        <w:ind w:firstLine="480" w:firstLineChars="200"/>
        <w:rPr>
          <w:szCs w:val="21"/>
        </w:rPr>
      </w:pPr>
      <w:r>
        <w:rPr>
          <w:rFonts w:hint="eastAsia"/>
          <w:szCs w:val="21"/>
        </w:rPr>
        <w:t>1.3.3本标段的质量要求：见“投标人须知前附表”。</w:t>
      </w:r>
      <w:bookmarkStart w:id="9" w:name="_Toc536214604"/>
      <w:bookmarkStart w:id="10" w:name="_Toc389065149"/>
    </w:p>
    <w:p>
      <w:pPr>
        <w:snapToGrid w:val="0"/>
        <w:spacing w:line="360" w:lineRule="auto"/>
        <w:ind w:firstLine="482" w:firstLineChars="200"/>
      </w:pPr>
      <w:r>
        <w:rPr>
          <w:rFonts w:hint="eastAsia"/>
          <w:b/>
          <w:bCs/>
          <w:szCs w:val="24"/>
        </w:rPr>
        <w:t>2、投标人资格要求</w:t>
      </w:r>
      <w:bookmarkEnd w:id="9"/>
      <w:bookmarkEnd w:id="10"/>
    </w:p>
    <w:p>
      <w:pPr>
        <w:adjustRightInd w:val="0"/>
        <w:snapToGrid w:val="0"/>
        <w:spacing w:line="360" w:lineRule="auto"/>
        <w:ind w:firstLine="480" w:firstLineChars="200"/>
        <w:rPr>
          <w:bCs/>
          <w:color w:val="333333"/>
          <w:szCs w:val="24"/>
        </w:rPr>
      </w:pPr>
      <w:r>
        <w:rPr>
          <w:rFonts w:hint="eastAsia"/>
          <w:szCs w:val="21"/>
        </w:rPr>
        <w:t xml:space="preserve">2.1 </w:t>
      </w:r>
      <w:r>
        <w:rPr>
          <w:rFonts w:hint="eastAsia"/>
          <w:szCs w:val="24"/>
        </w:rPr>
        <w:t>投标人</w:t>
      </w:r>
      <w:r>
        <w:rPr>
          <w:rFonts w:hint="eastAsia"/>
          <w:bCs/>
          <w:color w:val="333333"/>
          <w:szCs w:val="24"/>
        </w:rPr>
        <w:t>须满足以下条件：</w:t>
      </w:r>
    </w:p>
    <w:p>
      <w:pPr>
        <w:adjustRightInd w:val="0"/>
        <w:snapToGrid w:val="0"/>
        <w:spacing w:line="360" w:lineRule="auto"/>
        <w:ind w:firstLine="482" w:firstLineChars="200"/>
        <w:rPr>
          <w:b/>
          <w:bCs/>
          <w:color w:val="333333"/>
          <w:szCs w:val="24"/>
          <w:u w:val="single"/>
        </w:rPr>
      </w:pPr>
      <w:r>
        <w:rPr>
          <w:rFonts w:hint="eastAsia"/>
          <w:b/>
          <w:bCs/>
          <w:color w:val="333333"/>
          <w:szCs w:val="24"/>
          <w:u w:val="single"/>
        </w:rPr>
        <w:t>（1）具有独立订立合同的能力，具备含有园林绿化经营范围的有效的企业法人营业执照；且投标人自</w:t>
      </w:r>
      <w:r>
        <w:rPr>
          <w:rFonts w:hint="eastAsia"/>
          <w:b/>
          <w:bCs/>
          <w:color w:val="333333"/>
          <w:szCs w:val="24"/>
          <w:highlight w:val="none"/>
          <w:u w:val="single"/>
        </w:rPr>
        <w:t>201</w:t>
      </w:r>
      <w:r>
        <w:rPr>
          <w:rFonts w:hint="eastAsia"/>
          <w:b/>
          <w:bCs/>
          <w:color w:val="333333"/>
          <w:szCs w:val="24"/>
          <w:highlight w:val="none"/>
          <w:u w:val="single"/>
          <w:lang w:val="en-US" w:eastAsia="zh-CN"/>
        </w:rPr>
        <w:t>9</w:t>
      </w:r>
      <w:r>
        <w:rPr>
          <w:rFonts w:hint="eastAsia"/>
          <w:b/>
          <w:bCs/>
          <w:color w:val="333333"/>
          <w:szCs w:val="24"/>
          <w:u w:val="single"/>
        </w:rPr>
        <w:t>年1月1日以来（以合同签订时间为准）承担过单项工程造</w:t>
      </w:r>
      <w:r>
        <w:rPr>
          <w:rFonts w:hint="eastAsia"/>
          <w:b/>
          <w:bCs/>
          <w:szCs w:val="24"/>
          <w:u w:val="single"/>
        </w:rPr>
        <w:t>价在</w:t>
      </w:r>
      <w:r>
        <w:rPr>
          <w:rFonts w:hint="eastAsia"/>
          <w:b/>
          <w:bCs/>
          <w:szCs w:val="24"/>
          <w:u w:val="single"/>
          <w:lang w:val="en-US" w:eastAsia="zh-CN"/>
        </w:rPr>
        <w:t>30</w:t>
      </w:r>
      <w:r>
        <w:rPr>
          <w:rFonts w:hint="eastAsia"/>
          <w:b/>
          <w:bCs/>
          <w:szCs w:val="24"/>
          <w:u w:val="single"/>
        </w:rPr>
        <w:t>万元及以</w:t>
      </w:r>
      <w:r>
        <w:rPr>
          <w:rFonts w:hint="eastAsia"/>
          <w:b/>
          <w:bCs/>
          <w:color w:val="333333"/>
          <w:szCs w:val="24"/>
          <w:u w:val="single"/>
        </w:rPr>
        <w:t>上立体花卉或节日环境布置工程施工。</w:t>
      </w:r>
    </w:p>
    <w:p>
      <w:pPr>
        <w:pStyle w:val="55"/>
        <w:widowControl w:val="0"/>
        <w:shd w:val="clear" w:color="auto" w:fill="FFFFFF"/>
        <w:snapToGrid w:val="0"/>
        <w:spacing w:before="0" w:beforeAutospacing="0" w:after="0" w:afterAutospacing="0" w:line="360" w:lineRule="auto"/>
        <w:ind w:firstLine="422"/>
        <w:rPr>
          <w:rFonts w:hint="eastAsia"/>
          <w:color w:val="333333"/>
          <w:szCs w:val="24"/>
        </w:rPr>
      </w:pPr>
      <w:r>
        <w:rPr>
          <w:rFonts w:hint="eastAsia"/>
          <w:color w:val="333333"/>
          <w:szCs w:val="24"/>
        </w:rPr>
        <w:t>2.2投标人拟派项目负责人要求：</w:t>
      </w:r>
    </w:p>
    <w:p>
      <w:pPr>
        <w:pStyle w:val="55"/>
        <w:widowControl w:val="0"/>
        <w:shd w:val="clear" w:color="auto" w:fill="FFFFFF"/>
        <w:snapToGrid w:val="0"/>
        <w:spacing w:before="0" w:beforeAutospacing="0" w:after="0" w:afterAutospacing="0" w:line="360" w:lineRule="auto"/>
        <w:ind w:firstLine="420"/>
        <w:rPr>
          <w:b/>
          <w:bCs/>
          <w:color w:val="333333"/>
          <w:szCs w:val="24"/>
          <w:u w:val="single"/>
        </w:rPr>
      </w:pPr>
      <w:r>
        <w:rPr>
          <w:rFonts w:hint="eastAsia"/>
          <w:b/>
          <w:bCs/>
          <w:color w:val="333333"/>
          <w:szCs w:val="24"/>
          <w:u w:val="single"/>
        </w:rPr>
        <w:t>（1）项目负责人：须获得国家级园林绿化及相关专业中级及以上职称的技术人员；</w:t>
      </w:r>
    </w:p>
    <w:p>
      <w:pPr>
        <w:pStyle w:val="55"/>
        <w:widowControl w:val="0"/>
        <w:shd w:val="clear" w:color="auto" w:fill="FFFFFF"/>
        <w:snapToGrid w:val="0"/>
        <w:spacing w:before="0" w:beforeAutospacing="0" w:after="0" w:afterAutospacing="0" w:line="360" w:lineRule="auto"/>
        <w:ind w:firstLine="420"/>
        <w:rPr>
          <w:b/>
          <w:bCs/>
          <w:color w:val="333333"/>
          <w:szCs w:val="24"/>
          <w:u w:val="single"/>
        </w:rPr>
      </w:pPr>
      <w:r>
        <w:rPr>
          <w:rFonts w:hint="eastAsia"/>
          <w:b/>
          <w:bCs/>
          <w:color w:val="333333"/>
          <w:szCs w:val="24"/>
          <w:u w:val="single"/>
        </w:rPr>
        <w:t>（2）项目施工负责人须具备以下①②③条件之一即可：</w:t>
      </w:r>
    </w:p>
    <w:p>
      <w:pPr>
        <w:snapToGrid w:val="0"/>
        <w:spacing w:line="360" w:lineRule="auto"/>
        <w:ind w:firstLine="482" w:firstLineChars="200"/>
        <w:jc w:val="left"/>
        <w:rPr>
          <w:b/>
          <w:bCs/>
          <w:color w:val="333333"/>
          <w:szCs w:val="24"/>
          <w:u w:val="single"/>
        </w:rPr>
      </w:pPr>
      <w:r>
        <w:rPr>
          <w:rFonts w:hint="eastAsia"/>
          <w:b/>
          <w:bCs/>
          <w:color w:val="333333"/>
          <w:szCs w:val="24"/>
          <w:u w:val="single"/>
        </w:rPr>
        <w:t>①获得国家级园林绿化及相关专业中级及以上职称的技术人员；</w:t>
      </w:r>
    </w:p>
    <w:p>
      <w:pPr>
        <w:pStyle w:val="55"/>
        <w:widowControl w:val="0"/>
        <w:shd w:val="clear" w:color="auto" w:fill="FFFFFF"/>
        <w:snapToGrid w:val="0"/>
        <w:spacing w:before="0" w:beforeAutospacing="0" w:after="0" w:afterAutospacing="0" w:line="360" w:lineRule="auto"/>
        <w:ind w:firstLine="420"/>
        <w:rPr>
          <w:b/>
          <w:bCs/>
          <w:color w:val="333333"/>
          <w:szCs w:val="24"/>
          <w:u w:val="single"/>
        </w:rPr>
      </w:pPr>
      <w:r>
        <w:rPr>
          <w:rFonts w:hint="eastAsia"/>
          <w:b/>
          <w:bCs/>
          <w:color w:val="333333"/>
          <w:szCs w:val="24"/>
          <w:u w:val="single"/>
        </w:rPr>
        <w:t>②具有中专以上（含中专）学历、获得园林绿化及相关专业初级职称3年以上的技术人员；</w:t>
      </w:r>
    </w:p>
    <w:p>
      <w:pPr>
        <w:pStyle w:val="55"/>
        <w:widowControl w:val="0"/>
        <w:shd w:val="clear" w:color="auto" w:fill="FFFFFF"/>
        <w:snapToGrid w:val="0"/>
        <w:spacing w:before="0" w:beforeAutospacing="0" w:after="0" w:afterAutospacing="0" w:line="360" w:lineRule="auto"/>
        <w:ind w:firstLine="420"/>
        <w:rPr>
          <w:b/>
          <w:bCs/>
          <w:color w:val="333333"/>
          <w:szCs w:val="24"/>
          <w:u w:val="single"/>
        </w:rPr>
      </w:pPr>
      <w:r>
        <w:rPr>
          <w:rFonts w:hint="eastAsia"/>
          <w:b/>
          <w:bCs/>
          <w:color w:val="333333"/>
          <w:szCs w:val="24"/>
          <w:u w:val="single"/>
        </w:rPr>
        <w:t>③获得园林绿化及相关专业初级职称且从事园林绿化工作8年以上的技术人员。</w:t>
      </w:r>
    </w:p>
    <w:p>
      <w:pPr>
        <w:pStyle w:val="55"/>
        <w:widowControl w:val="0"/>
        <w:shd w:val="clear" w:color="auto" w:fill="FFFFFF"/>
        <w:snapToGrid w:val="0"/>
        <w:spacing w:before="0" w:beforeAutospacing="0" w:after="0" w:afterAutospacing="0" w:line="360" w:lineRule="auto"/>
        <w:ind w:firstLine="422"/>
        <w:rPr>
          <w:rFonts w:hint="eastAsia"/>
          <w:b/>
          <w:bCs/>
          <w:color w:val="333333"/>
          <w:szCs w:val="24"/>
          <w:u w:val="single"/>
        </w:rPr>
      </w:pPr>
      <w:r>
        <w:rPr>
          <w:rFonts w:hint="eastAsia"/>
          <w:b/>
          <w:bCs/>
          <w:color w:val="333333"/>
          <w:szCs w:val="24"/>
          <w:u w:val="single"/>
        </w:rPr>
        <w:t>注：园林绿化及相关专业：包括园林（含园林规划设计、园林植物、风景园林、园林绿化等）、园艺、城市规划、景观、植物（含植保、森保等）、风景旅游、环境艺术等专业；</w:t>
      </w:r>
    </w:p>
    <w:p>
      <w:pPr>
        <w:pStyle w:val="55"/>
        <w:widowControl w:val="0"/>
        <w:shd w:val="clear" w:color="auto" w:fill="FFFFFF"/>
        <w:snapToGrid w:val="0"/>
        <w:spacing w:before="0" w:beforeAutospacing="0" w:after="0" w:afterAutospacing="0" w:line="360" w:lineRule="auto"/>
        <w:ind w:firstLine="422"/>
        <w:rPr>
          <w:b/>
          <w:bCs/>
          <w:color w:val="333333"/>
          <w:szCs w:val="24"/>
          <w:u w:val="single"/>
        </w:rPr>
      </w:pPr>
      <w:r>
        <w:rPr>
          <w:rFonts w:hint="eastAsia"/>
          <w:b/>
          <w:bCs/>
          <w:color w:val="333333"/>
          <w:szCs w:val="24"/>
          <w:u w:val="single"/>
          <w:lang w:eastAsia="zh-CN"/>
        </w:rPr>
        <w:t>（</w:t>
      </w:r>
      <w:r>
        <w:rPr>
          <w:rFonts w:hint="eastAsia"/>
          <w:b/>
          <w:bCs/>
          <w:color w:val="333333"/>
          <w:szCs w:val="24"/>
          <w:u w:val="single"/>
          <w:lang w:val="en-US" w:eastAsia="zh-CN"/>
        </w:rPr>
        <w:t>3）</w:t>
      </w:r>
      <w:r>
        <w:rPr>
          <w:rFonts w:hint="eastAsia"/>
          <w:b/>
          <w:bCs/>
          <w:color w:val="333333"/>
          <w:szCs w:val="24"/>
          <w:u w:val="single"/>
        </w:rPr>
        <w:t>施工负责人为投标单位的正式员工，但不得为企业法定代表人或企业董事长或总经理。</w:t>
      </w:r>
    </w:p>
    <w:p>
      <w:pPr>
        <w:pStyle w:val="55"/>
        <w:widowControl w:val="0"/>
        <w:shd w:val="clear" w:color="auto" w:fill="FFFFFF"/>
        <w:snapToGrid w:val="0"/>
        <w:spacing w:before="0" w:beforeAutospacing="0" w:after="0" w:afterAutospacing="0" w:line="360" w:lineRule="auto"/>
        <w:ind w:firstLine="420"/>
        <w:jc w:val="both"/>
        <w:rPr>
          <w:color w:val="333333"/>
          <w:szCs w:val="24"/>
        </w:rPr>
      </w:pPr>
      <w:r>
        <w:rPr>
          <w:rFonts w:hint="eastAsia"/>
          <w:color w:val="333333"/>
          <w:szCs w:val="24"/>
        </w:rPr>
        <w:t>且必须满足下列条件：</w:t>
      </w:r>
    </w:p>
    <w:p>
      <w:pPr>
        <w:pStyle w:val="55"/>
        <w:widowControl w:val="0"/>
        <w:shd w:val="clear" w:color="auto" w:fill="FFFFFF"/>
        <w:snapToGrid w:val="0"/>
        <w:spacing w:before="0" w:beforeAutospacing="0" w:after="0" w:afterAutospacing="0" w:line="360" w:lineRule="auto"/>
        <w:ind w:firstLine="425"/>
        <w:jc w:val="both"/>
        <w:rPr>
          <w:color w:val="333333"/>
          <w:szCs w:val="24"/>
        </w:rPr>
      </w:pPr>
      <w:r>
        <w:rPr>
          <w:rFonts w:hint="eastAsia"/>
          <w:color w:val="333333"/>
          <w:szCs w:val="24"/>
        </w:rPr>
        <w:t>①项目负责人不得同时在两个或者两个以上单位受聘或者执业。即：ⅰ.未同时在两个及以上单位签订劳动合同或交纳社会保险；ⅱ.未将本人执（职）业资格证书同时注册在两个及以上单位。</w:t>
      </w:r>
    </w:p>
    <w:p>
      <w:pPr>
        <w:pStyle w:val="55"/>
        <w:widowControl w:val="0"/>
        <w:shd w:val="clear" w:color="auto" w:fill="FFFFFF"/>
        <w:snapToGrid w:val="0"/>
        <w:spacing w:before="0" w:beforeAutospacing="0" w:after="0" w:afterAutospacing="0" w:line="360" w:lineRule="auto"/>
        <w:ind w:firstLine="424"/>
        <w:jc w:val="both"/>
        <w:rPr>
          <w:color w:val="333333"/>
          <w:szCs w:val="24"/>
        </w:rPr>
      </w:pPr>
      <w:r>
        <w:rPr>
          <w:rFonts w:hint="eastAsia"/>
          <w:color w:val="333333"/>
          <w:szCs w:val="24"/>
        </w:rPr>
        <w:t>②项目</w:t>
      </w:r>
      <w:r>
        <w:rPr>
          <w:rFonts w:hint="eastAsia"/>
          <w:color w:val="333333"/>
          <w:szCs w:val="24"/>
          <w:lang w:val="en-US" w:eastAsia="zh-CN"/>
        </w:rPr>
        <w:t>施工</w:t>
      </w:r>
      <w:r>
        <w:rPr>
          <w:rFonts w:hint="eastAsia"/>
          <w:color w:val="333333"/>
          <w:szCs w:val="24"/>
        </w:rPr>
        <w:t>负责人是非变更后无在建工程，或项目</w:t>
      </w:r>
      <w:r>
        <w:rPr>
          <w:rFonts w:hint="eastAsia"/>
          <w:color w:val="333333"/>
          <w:szCs w:val="24"/>
          <w:lang w:val="en-US" w:eastAsia="zh-CN"/>
        </w:rPr>
        <w:t>施工</w:t>
      </w:r>
      <w:r>
        <w:rPr>
          <w:rFonts w:hint="eastAsia"/>
          <w:color w:val="333333"/>
          <w:szCs w:val="24"/>
        </w:rPr>
        <w:t>负责人是变更后无在建工程（必须原合同工期已满且变更备案之日已满6个月），或因非承包方原因致使工程项目停工或因故不能按期开工、且已办理了项目</w:t>
      </w:r>
      <w:r>
        <w:rPr>
          <w:rFonts w:hint="eastAsia"/>
          <w:color w:val="333333"/>
          <w:szCs w:val="24"/>
          <w:lang w:val="en-US" w:eastAsia="zh-CN"/>
        </w:rPr>
        <w:t>施工</w:t>
      </w:r>
      <w:r>
        <w:rPr>
          <w:rFonts w:hint="eastAsia"/>
          <w:color w:val="333333"/>
          <w:szCs w:val="24"/>
        </w:rPr>
        <w:t>负责人解锁手续，或项目</w:t>
      </w:r>
      <w:r>
        <w:rPr>
          <w:rFonts w:hint="eastAsia"/>
          <w:color w:val="333333"/>
          <w:szCs w:val="24"/>
          <w:lang w:val="en-US" w:eastAsia="zh-CN"/>
        </w:rPr>
        <w:t>施工</w:t>
      </w:r>
      <w:r>
        <w:rPr>
          <w:rFonts w:hint="eastAsia"/>
          <w:color w:val="333333"/>
          <w:szCs w:val="24"/>
        </w:rPr>
        <w:t>负责人有在建工程，但该在建工程与本次招标的工程属于同一工程项目、同一项目批文、同一施工地点分段发包或分期施工的情况且总的工程规模在项目</w:t>
      </w:r>
      <w:r>
        <w:rPr>
          <w:rFonts w:hint="eastAsia"/>
          <w:color w:val="333333"/>
          <w:szCs w:val="24"/>
          <w:lang w:val="en-US" w:eastAsia="zh-CN"/>
        </w:rPr>
        <w:t>施工</w:t>
      </w:r>
      <w:r>
        <w:rPr>
          <w:rFonts w:hint="eastAsia"/>
          <w:color w:val="333333"/>
          <w:szCs w:val="24"/>
        </w:rPr>
        <w:t>负责人执业范围之内。注：以上在建工程是指在其他项目担任项目</w:t>
      </w:r>
      <w:r>
        <w:rPr>
          <w:rFonts w:hint="eastAsia"/>
          <w:color w:val="333333"/>
          <w:szCs w:val="24"/>
          <w:lang w:val="en-US" w:eastAsia="zh-CN"/>
        </w:rPr>
        <w:t>施工</w:t>
      </w:r>
      <w:r>
        <w:rPr>
          <w:rFonts w:hint="eastAsia"/>
          <w:color w:val="333333"/>
          <w:szCs w:val="24"/>
        </w:rPr>
        <w:t>负责人职务。</w:t>
      </w:r>
    </w:p>
    <w:p>
      <w:pPr>
        <w:snapToGrid w:val="0"/>
        <w:spacing w:line="360" w:lineRule="auto"/>
        <w:ind w:firstLine="480" w:firstLineChars="200"/>
        <w:jc w:val="left"/>
        <w:rPr>
          <w:rFonts w:hint="eastAsia" w:cs="Times New Roman"/>
          <w:bCs/>
          <w:color w:val="000000"/>
        </w:rPr>
      </w:pPr>
      <w:r>
        <w:rPr>
          <w:rFonts w:hint="eastAsia" w:cs="Times New Roman"/>
          <w:bCs/>
          <w:color w:val="000000"/>
        </w:rPr>
        <w:t>③项目负责人无行贿犯罪行为记录；或者有行贿犯罪行为记录，但自记录之日起已超过5年的。</w:t>
      </w:r>
    </w:p>
    <w:p>
      <w:pPr>
        <w:pStyle w:val="55"/>
        <w:widowControl w:val="0"/>
        <w:shd w:val="clear" w:color="auto" w:fill="FFFFFF"/>
        <w:snapToGrid w:val="0"/>
        <w:spacing w:before="0" w:beforeAutospacing="0" w:after="0" w:afterAutospacing="0" w:line="360" w:lineRule="auto"/>
        <w:ind w:firstLine="425"/>
        <w:jc w:val="both"/>
      </w:pPr>
      <w:r>
        <w:rPr>
          <w:rFonts w:hint="eastAsia" w:cs="Times New Roman"/>
          <w:bCs/>
          <w:color w:val="000000"/>
          <w:highlight w:val="none"/>
        </w:rPr>
        <w:t>④拟派项目负责人必须为投标人的正式员工。须提供：投标企业与其双方签订的有效劳动合同书扫描件或复印</w:t>
      </w:r>
      <w:r>
        <w:rPr>
          <w:rFonts w:hint="eastAsia"/>
          <w:szCs w:val="24"/>
          <w:highlight w:val="none"/>
        </w:rPr>
        <w:t>件；</w:t>
      </w:r>
    </w:p>
    <w:p>
      <w:pPr>
        <w:pStyle w:val="55"/>
        <w:widowControl w:val="0"/>
        <w:shd w:val="clear" w:color="auto" w:fill="FFFFFF"/>
        <w:snapToGrid w:val="0"/>
        <w:spacing w:before="0" w:beforeAutospacing="0" w:after="0" w:afterAutospacing="0" w:line="360" w:lineRule="auto"/>
        <w:ind w:firstLine="420"/>
        <w:jc w:val="both"/>
        <w:rPr>
          <w:color w:val="333333"/>
          <w:szCs w:val="24"/>
          <w:highlight w:val="yellow"/>
        </w:rPr>
      </w:pPr>
      <w:r>
        <w:rPr>
          <w:rFonts w:hint="eastAsia"/>
          <w:color w:val="333333"/>
          <w:szCs w:val="24"/>
          <w:highlight w:val="none"/>
        </w:rPr>
        <w:t>2.3 本次招标</w:t>
      </w:r>
      <w:r>
        <w:rPr>
          <w:rFonts w:hint="eastAsia"/>
          <w:color w:val="333333"/>
          <w:szCs w:val="24"/>
          <w:highlight w:val="none"/>
          <w:lang w:val="en-US" w:eastAsia="zh-CN"/>
        </w:rPr>
        <w:t>其余相关</w:t>
      </w:r>
      <w:r>
        <w:rPr>
          <w:rFonts w:hint="eastAsia"/>
          <w:color w:val="333333"/>
          <w:szCs w:val="24"/>
          <w:highlight w:val="none"/>
        </w:rPr>
        <w:t>要求：</w:t>
      </w:r>
    </w:p>
    <w:p>
      <w:pPr>
        <w:pStyle w:val="55"/>
        <w:widowControl w:val="0"/>
        <w:shd w:val="clear" w:color="auto" w:fill="FFFFFF"/>
        <w:snapToGrid w:val="0"/>
        <w:spacing w:before="0" w:beforeAutospacing="0" w:after="0" w:afterAutospacing="0" w:line="360" w:lineRule="auto"/>
        <w:ind w:firstLine="420"/>
        <w:rPr>
          <w:color w:val="000000" w:themeColor="text1"/>
          <w:szCs w:val="21"/>
          <w:highlight w:val="none"/>
          <w14:textFill>
            <w14:solidFill>
              <w14:schemeClr w14:val="tx1"/>
            </w14:solidFill>
          </w14:textFill>
        </w:rPr>
      </w:pPr>
      <w:r>
        <w:rPr>
          <w:rFonts w:hint="eastAsia"/>
          <w:color w:val="333333"/>
          <w:szCs w:val="24"/>
          <w:highlight w:val="none"/>
        </w:rPr>
        <w:t>①</w:t>
      </w:r>
      <w:r>
        <w:rPr>
          <w:rFonts w:hint="eastAsia" w:ascii="宋体" w:hAnsi="宋体" w:eastAsia="宋体" w:cs="宋体"/>
          <w:b/>
          <w:bCs/>
          <w:color w:val="000000" w:themeColor="text1"/>
          <w:kern w:val="0"/>
          <w:sz w:val="24"/>
          <w:szCs w:val="24"/>
          <w:highlight w:val="none"/>
          <w:u w:val="single"/>
          <w:lang w:val="en-US" w:eastAsia="zh-CN" w:bidi="ar-SA"/>
          <w14:textFill>
            <w14:solidFill>
              <w14:schemeClr w14:val="tx1"/>
            </w14:solidFill>
          </w14:textFill>
        </w:rPr>
        <w:t xml:space="preserve"> 如</w:t>
      </w:r>
      <w:r>
        <w:rPr>
          <w:rFonts w:hint="eastAsia" w:cs="宋体"/>
          <w:b/>
          <w:bCs/>
          <w:color w:val="000000" w:themeColor="text1"/>
          <w:kern w:val="0"/>
          <w:sz w:val="24"/>
          <w:szCs w:val="24"/>
          <w:highlight w:val="none"/>
          <w:u w:val="single"/>
          <w:lang w:val="en-US" w:eastAsia="zh-CN" w:bidi="ar-SA"/>
          <w14:textFill>
            <w14:solidFill>
              <w14:schemeClr w14:val="tx1"/>
            </w14:solidFill>
          </w14:textFill>
        </w:rPr>
        <w:t>投标人</w:t>
      </w:r>
      <w:r>
        <w:rPr>
          <w:rFonts w:hint="eastAsia" w:ascii="宋体" w:hAnsi="宋体" w:cs="宋体"/>
          <w:b/>
          <w:bCs/>
          <w:color w:val="000000" w:themeColor="text1"/>
          <w:kern w:val="0"/>
          <w:sz w:val="24"/>
          <w:szCs w:val="24"/>
          <w:highlight w:val="none"/>
          <w:u w:val="single"/>
          <w:lang w:val="en-US" w:eastAsia="zh-CN" w:bidi="ar-SA"/>
          <w14:textFill>
            <w14:solidFill>
              <w14:schemeClr w14:val="tx1"/>
            </w14:solidFill>
          </w14:textFill>
        </w:rPr>
        <w:t>没有</w:t>
      </w:r>
      <w:r>
        <w:rPr>
          <w:rFonts w:hint="eastAsia" w:cs="宋体"/>
          <w:b/>
          <w:bCs/>
          <w:color w:val="000000" w:themeColor="text1"/>
          <w:kern w:val="0"/>
          <w:sz w:val="24"/>
          <w:szCs w:val="24"/>
          <w:highlight w:val="none"/>
          <w:u w:val="single"/>
          <w:lang w:val="en-US" w:eastAsia="zh-CN" w:bidi="ar-SA"/>
          <w14:textFill>
            <w14:solidFill>
              <w14:schemeClr w14:val="tx1"/>
            </w14:solidFill>
          </w14:textFill>
        </w:rPr>
        <w:t>相应</w:t>
      </w:r>
      <w:r>
        <w:rPr>
          <w:rFonts w:hint="eastAsia" w:ascii="宋体" w:hAnsi="宋体" w:cs="宋体"/>
          <w:b/>
          <w:bCs/>
          <w:color w:val="000000" w:themeColor="text1"/>
          <w:kern w:val="0"/>
          <w:sz w:val="24"/>
          <w:szCs w:val="24"/>
          <w:highlight w:val="none"/>
          <w:u w:val="single"/>
          <w:lang w:val="en-US" w:eastAsia="zh-CN" w:bidi="ar-SA"/>
          <w14:textFill>
            <w14:solidFill>
              <w14:schemeClr w14:val="tx1"/>
            </w14:solidFill>
          </w14:textFill>
        </w:rPr>
        <w:t>设计资质的，</w:t>
      </w:r>
      <w:r>
        <w:rPr>
          <w:rFonts w:hint="eastAsia" w:cs="宋体"/>
          <w:b/>
          <w:bCs/>
          <w:color w:val="000000" w:themeColor="text1"/>
          <w:kern w:val="0"/>
          <w:sz w:val="24"/>
          <w:szCs w:val="24"/>
          <w:highlight w:val="none"/>
          <w:u w:val="single"/>
          <w:lang w:val="en-US" w:eastAsia="zh-CN" w:bidi="ar-SA"/>
          <w14:textFill>
            <w14:solidFill>
              <w14:schemeClr w14:val="tx1"/>
            </w14:solidFill>
          </w14:textFill>
        </w:rPr>
        <w:t>应委托具有相应</w:t>
      </w:r>
      <w:r>
        <w:rPr>
          <w:rFonts w:hint="eastAsia" w:ascii="宋体" w:hAnsi="宋体" w:cs="宋体"/>
          <w:b/>
          <w:bCs/>
          <w:color w:val="000000" w:themeColor="text1"/>
          <w:kern w:val="0"/>
          <w:sz w:val="24"/>
          <w:szCs w:val="24"/>
          <w:highlight w:val="none"/>
          <w:u w:val="single"/>
          <w:lang w:val="en-US" w:eastAsia="zh-CN" w:bidi="ar-SA"/>
          <w14:textFill>
            <w14:solidFill>
              <w14:schemeClr w14:val="tx1"/>
            </w14:solidFill>
          </w14:textFill>
        </w:rPr>
        <w:t>设计资质</w:t>
      </w:r>
      <w:r>
        <w:rPr>
          <w:rFonts w:hint="eastAsia" w:cs="宋体"/>
          <w:b/>
          <w:bCs/>
          <w:color w:val="000000" w:themeColor="text1"/>
          <w:kern w:val="0"/>
          <w:sz w:val="24"/>
          <w:szCs w:val="24"/>
          <w:highlight w:val="none"/>
          <w:u w:val="single"/>
          <w:lang w:val="en-US" w:eastAsia="zh-CN" w:bidi="ar-SA"/>
          <w14:textFill>
            <w14:solidFill>
              <w14:schemeClr w14:val="tx1"/>
            </w14:solidFill>
          </w14:textFill>
        </w:rPr>
        <w:t>的</w:t>
      </w:r>
      <w:r>
        <w:rPr>
          <w:rFonts w:hint="eastAsia" w:ascii="宋体" w:hAnsi="宋体" w:cs="宋体"/>
          <w:b/>
          <w:bCs/>
          <w:color w:val="000000" w:themeColor="text1"/>
          <w:kern w:val="0"/>
          <w:sz w:val="24"/>
          <w:szCs w:val="24"/>
          <w:highlight w:val="none"/>
          <w:u w:val="single"/>
          <w:lang w:val="en-US" w:eastAsia="zh-CN" w:bidi="ar-SA"/>
          <w14:textFill>
            <w14:solidFill>
              <w14:schemeClr w14:val="tx1"/>
            </w14:solidFill>
          </w14:textFill>
        </w:rPr>
        <w:t>单位</w:t>
      </w:r>
      <w:r>
        <w:rPr>
          <w:rFonts w:hint="eastAsia" w:cs="宋体"/>
          <w:b/>
          <w:bCs/>
          <w:color w:val="000000" w:themeColor="text1"/>
          <w:kern w:val="0"/>
          <w:sz w:val="24"/>
          <w:szCs w:val="24"/>
          <w:highlight w:val="none"/>
          <w:u w:val="single"/>
          <w:lang w:val="en-US" w:eastAsia="zh-CN" w:bidi="ar-SA"/>
          <w14:textFill>
            <w14:solidFill>
              <w14:schemeClr w14:val="tx1"/>
            </w14:solidFill>
          </w14:textFill>
        </w:rPr>
        <w:t>进行施工图设计</w:t>
      </w:r>
      <w:r>
        <w:rPr>
          <w:rFonts w:hint="eastAsia" w:ascii="宋体" w:hAnsi="宋体" w:cs="宋体"/>
          <w:b/>
          <w:bCs/>
          <w:color w:val="000000" w:themeColor="text1"/>
          <w:kern w:val="0"/>
          <w:sz w:val="24"/>
          <w:szCs w:val="24"/>
          <w:highlight w:val="none"/>
          <w:u w:val="single"/>
          <w:lang w:val="en-US" w:eastAsia="zh-CN" w:bidi="ar-SA"/>
          <w14:textFill>
            <w14:solidFill>
              <w14:schemeClr w14:val="tx1"/>
            </w14:solidFill>
          </w14:textFill>
        </w:rPr>
        <w:t>。</w:t>
      </w:r>
    </w:p>
    <w:p>
      <w:pPr>
        <w:snapToGrid w:val="0"/>
        <w:spacing w:line="360" w:lineRule="auto"/>
        <w:ind w:firstLine="480" w:firstLineChars="200"/>
        <w:rPr>
          <w:szCs w:val="21"/>
        </w:rPr>
      </w:pPr>
      <w:r>
        <w:rPr>
          <w:rFonts w:hint="eastAsia"/>
          <w:szCs w:val="21"/>
        </w:rPr>
        <w:t>2.4 投标人不得存在下列情形之一：</w:t>
      </w:r>
    </w:p>
    <w:p>
      <w:pPr>
        <w:snapToGrid w:val="0"/>
        <w:spacing w:line="360" w:lineRule="auto"/>
        <w:ind w:firstLine="480" w:firstLineChars="200"/>
        <w:rPr>
          <w:szCs w:val="21"/>
        </w:rPr>
      </w:pPr>
      <w:r>
        <w:rPr>
          <w:rFonts w:hint="eastAsia"/>
          <w:szCs w:val="21"/>
        </w:rPr>
        <w:t>（1）为招标人不具有独立法人资格的附属机构（单位）；</w:t>
      </w:r>
    </w:p>
    <w:p>
      <w:pPr>
        <w:snapToGrid w:val="0"/>
        <w:spacing w:line="360" w:lineRule="auto"/>
        <w:ind w:firstLine="480" w:firstLineChars="200"/>
        <w:rPr>
          <w:szCs w:val="21"/>
        </w:rPr>
      </w:pPr>
      <w:r>
        <w:rPr>
          <w:rFonts w:hint="eastAsia"/>
          <w:szCs w:val="21"/>
        </w:rPr>
        <w:t>（2）为本招标项目的监理人、代建人、项目管理人，以及为本招标项目提供招标代理服务的；</w:t>
      </w:r>
    </w:p>
    <w:p>
      <w:pPr>
        <w:snapToGrid w:val="0"/>
        <w:spacing w:line="360" w:lineRule="auto"/>
        <w:ind w:firstLine="480" w:firstLineChars="200"/>
        <w:rPr>
          <w:szCs w:val="21"/>
        </w:rPr>
      </w:pPr>
      <w:r>
        <w:rPr>
          <w:rFonts w:hint="eastAsia"/>
          <w:szCs w:val="21"/>
        </w:rPr>
        <w:t>（3）与本招标项目的监理人、代建人、招标代理机构同为一个法定代表人的，或者相互控股、参股的；</w:t>
      </w:r>
    </w:p>
    <w:p>
      <w:pPr>
        <w:snapToGrid w:val="0"/>
        <w:spacing w:line="360" w:lineRule="auto"/>
        <w:ind w:firstLine="480" w:firstLineChars="200"/>
        <w:rPr>
          <w:szCs w:val="21"/>
        </w:rPr>
      </w:pPr>
      <w:r>
        <w:rPr>
          <w:rFonts w:hint="eastAsia"/>
          <w:szCs w:val="21"/>
        </w:rPr>
        <w:t>（4）与招标人存在利害关系可能影响招标公正性的；</w:t>
      </w:r>
    </w:p>
    <w:p>
      <w:pPr>
        <w:snapToGrid w:val="0"/>
        <w:spacing w:line="360" w:lineRule="auto"/>
        <w:ind w:firstLine="480" w:firstLineChars="200"/>
        <w:rPr>
          <w:szCs w:val="21"/>
        </w:rPr>
      </w:pPr>
      <w:r>
        <w:rPr>
          <w:rFonts w:hint="eastAsia"/>
          <w:szCs w:val="21"/>
        </w:rPr>
        <w:t>（5）单位负责人为同一人或者存在控股、管理关系的不同单位；</w:t>
      </w:r>
    </w:p>
    <w:p>
      <w:pPr>
        <w:snapToGrid w:val="0"/>
        <w:spacing w:line="360" w:lineRule="auto"/>
        <w:ind w:firstLine="480" w:firstLineChars="200"/>
        <w:rPr>
          <w:szCs w:val="21"/>
        </w:rPr>
      </w:pPr>
      <w:r>
        <w:rPr>
          <w:rFonts w:hint="eastAsia"/>
          <w:szCs w:val="21"/>
        </w:rPr>
        <w:t>（6）处于被责令停业、财产被接管、冻结和破产状态，以及投标资格被取消或者被暂停且在暂停期内；</w:t>
      </w:r>
    </w:p>
    <w:p>
      <w:pPr>
        <w:snapToGrid w:val="0"/>
        <w:spacing w:line="360" w:lineRule="auto"/>
        <w:ind w:firstLine="480" w:firstLineChars="200"/>
        <w:rPr>
          <w:szCs w:val="21"/>
        </w:rPr>
      </w:pPr>
      <w:r>
        <w:rPr>
          <w:rFonts w:hint="eastAsia"/>
          <w:szCs w:val="21"/>
        </w:rPr>
        <w:t>（7）因拖欠工人工资或者发生质量安全事故被有关部门限制在招标项目所在地承接工程的。</w:t>
      </w:r>
    </w:p>
    <w:p>
      <w:pPr>
        <w:snapToGrid w:val="0"/>
        <w:spacing w:line="360" w:lineRule="auto"/>
        <w:ind w:firstLine="480" w:firstLineChars="200"/>
        <w:rPr>
          <w:szCs w:val="21"/>
        </w:rPr>
      </w:pPr>
      <w:r>
        <w:rPr>
          <w:rFonts w:hint="eastAsia"/>
          <w:szCs w:val="21"/>
        </w:rPr>
        <w:t>（8）投标人近3年内有行贿犯罪行为且被记录，或者法定代表人有行贿犯罪记录且</w:t>
      </w:r>
      <w:r>
        <w:rPr>
          <w:szCs w:val="21"/>
        </w:rPr>
        <w:t>自</w:t>
      </w:r>
      <w:r>
        <w:rPr>
          <w:rFonts w:hint="eastAsia"/>
          <w:szCs w:val="21"/>
        </w:rPr>
        <w:t>记录</w:t>
      </w:r>
      <w:r>
        <w:rPr>
          <w:szCs w:val="21"/>
        </w:rPr>
        <w:t>之日起未超过</w:t>
      </w:r>
      <w:r>
        <w:rPr>
          <w:rFonts w:hint="eastAsia"/>
          <w:szCs w:val="21"/>
        </w:rPr>
        <w:t>5年的。</w:t>
      </w:r>
    </w:p>
    <w:p>
      <w:pPr>
        <w:snapToGrid w:val="0"/>
        <w:spacing w:line="360" w:lineRule="auto"/>
        <w:ind w:firstLine="480" w:firstLineChars="200"/>
        <w:rPr>
          <w:szCs w:val="21"/>
        </w:rPr>
      </w:pPr>
      <w:r>
        <w:rPr>
          <w:rFonts w:hint="eastAsia"/>
          <w:szCs w:val="21"/>
        </w:rPr>
        <w:t>（9）投标人被“信用中国”网站列入失信被执行人、重大税收违法案件当事人名单、政府采购严重违法失信行为记录名单。</w:t>
      </w:r>
    </w:p>
    <w:p>
      <w:pPr>
        <w:pStyle w:val="6"/>
        <w:keepNext w:val="0"/>
        <w:keepLines w:val="0"/>
        <w:snapToGrid w:val="0"/>
        <w:ind w:firstLine="482" w:firstLineChars="200"/>
      </w:pPr>
      <w:r>
        <w:rPr>
          <w:rFonts w:hint="eastAsia" w:ascii="宋体" w:hAnsi="宋体"/>
          <w:sz w:val="24"/>
        </w:rPr>
        <w:t>2.</w:t>
      </w:r>
      <w:r>
        <w:rPr>
          <w:rFonts w:hint="eastAsia" w:ascii="宋体" w:hAnsi="宋体"/>
          <w:sz w:val="24"/>
          <w:lang w:val="en-US" w:eastAsia="zh-CN"/>
        </w:rPr>
        <w:t>4</w:t>
      </w:r>
      <w:r>
        <w:rPr>
          <w:rFonts w:ascii="宋体" w:hAnsi="宋体"/>
          <w:sz w:val="24"/>
        </w:rPr>
        <w:t>未尽之处具体详见第二章“评标办法”中的“资格审查标准汇总表”。</w:t>
      </w:r>
    </w:p>
    <w:p>
      <w:pPr>
        <w:pStyle w:val="5"/>
        <w:keepNext w:val="0"/>
        <w:keepLines w:val="0"/>
        <w:snapToGrid w:val="0"/>
        <w:ind w:firstLine="482" w:firstLineChars="200"/>
        <w:rPr>
          <w:rFonts w:ascii="宋体" w:hAnsi="宋体" w:eastAsia="宋体" w:cs="宋体"/>
          <w:sz w:val="24"/>
          <w:szCs w:val="24"/>
        </w:rPr>
      </w:pPr>
      <w:r>
        <w:rPr>
          <w:rFonts w:hint="eastAsia" w:ascii="宋体" w:hAnsi="宋体" w:eastAsia="宋体" w:cs="宋体"/>
          <w:kern w:val="0"/>
          <w:sz w:val="24"/>
          <w:szCs w:val="24"/>
        </w:rPr>
        <w:t>3、投标费用</w:t>
      </w:r>
    </w:p>
    <w:p>
      <w:pPr>
        <w:snapToGrid w:val="0"/>
        <w:spacing w:line="360" w:lineRule="auto"/>
        <w:ind w:firstLine="480" w:firstLineChars="200"/>
        <w:rPr>
          <w:bCs/>
          <w:szCs w:val="21"/>
        </w:rPr>
      </w:pPr>
      <w:r>
        <w:rPr>
          <w:rFonts w:hint="eastAsia"/>
          <w:bCs/>
        </w:rPr>
        <w:t>3.1投标人在提交投标文件的同时提交</w:t>
      </w:r>
      <w:r>
        <w:rPr>
          <w:rFonts w:hint="eastAsia"/>
          <w:bCs/>
          <w:u w:val="single"/>
        </w:rPr>
        <w:t>300元</w:t>
      </w:r>
      <w:r>
        <w:rPr>
          <w:rFonts w:hint="eastAsia"/>
          <w:bCs/>
        </w:rPr>
        <w:t>招标文件相关费用，凡不缴纳招标文件等费用的，视为放弃投标。无论是否中标，该费用不予退还。</w:t>
      </w:r>
      <w:r>
        <w:rPr>
          <w:rFonts w:hint="eastAsia"/>
          <w:bCs/>
          <w:szCs w:val="21"/>
        </w:rPr>
        <w:t xml:space="preserve"> </w:t>
      </w:r>
    </w:p>
    <w:p>
      <w:pPr>
        <w:snapToGrid w:val="0"/>
        <w:spacing w:line="360" w:lineRule="auto"/>
        <w:ind w:firstLine="480" w:firstLineChars="200"/>
        <w:rPr>
          <w:bCs/>
          <w:szCs w:val="21"/>
        </w:rPr>
      </w:pPr>
      <w:r>
        <w:rPr>
          <w:rFonts w:hint="eastAsia"/>
          <w:bCs/>
          <w:szCs w:val="21"/>
        </w:rPr>
        <w:t>3.2投标人应承担其编制投标文件以及递交投标文件所涉及的一切费用。无论投标结果如何，招标人对上述费用不负任何责任。</w:t>
      </w:r>
    </w:p>
    <w:p>
      <w:pPr>
        <w:snapToGrid w:val="0"/>
        <w:spacing w:line="360" w:lineRule="auto"/>
        <w:ind w:firstLine="480" w:firstLineChars="200"/>
      </w:pPr>
      <w:r>
        <w:rPr>
          <w:rFonts w:hint="eastAsia"/>
          <w:bCs/>
          <w:kern w:val="2"/>
          <w:szCs w:val="24"/>
        </w:rPr>
        <w:t>3.3中标后，中标</w:t>
      </w:r>
      <w:r>
        <w:rPr>
          <w:rFonts w:hint="eastAsia" w:ascii="Calibri" w:hAnsi="Calibri" w:cs="Times New Roman"/>
          <w:kern w:val="2"/>
          <w:szCs w:val="24"/>
        </w:rPr>
        <w:t>人</w:t>
      </w:r>
      <w:r>
        <w:rPr>
          <w:rFonts w:hint="eastAsia"/>
          <w:kern w:val="2"/>
          <w:szCs w:val="24"/>
        </w:rPr>
        <w:t>须向招标代理机构缴纳招标代理服务费人民币5000.00元及专家评审费（</w:t>
      </w:r>
      <w:r>
        <w:rPr>
          <w:rFonts w:hint="eastAsia"/>
          <w:szCs w:val="24"/>
        </w:rPr>
        <w:t>按规定结算，按实缴清</w:t>
      </w:r>
      <w:r>
        <w:rPr>
          <w:rFonts w:hint="eastAsia"/>
          <w:kern w:val="2"/>
          <w:szCs w:val="24"/>
        </w:rPr>
        <w:t>）。</w:t>
      </w:r>
      <w:r>
        <w:rPr>
          <w:rFonts w:hint="eastAsia"/>
          <w:szCs w:val="21"/>
        </w:rPr>
        <w:t>各投标单位在投标报价时</w:t>
      </w:r>
      <w:r>
        <w:rPr>
          <w:rFonts w:hint="eastAsia"/>
          <w:kern w:val="2"/>
          <w:szCs w:val="24"/>
        </w:rPr>
        <w:t>须综合考虑该部分费用到投标报价中，不得单</w:t>
      </w:r>
      <w:r>
        <w:rPr>
          <w:rFonts w:hint="eastAsia" w:ascii="Calibri" w:hAnsi="Calibri" w:cs="Times New Roman"/>
          <w:kern w:val="2"/>
          <w:szCs w:val="24"/>
        </w:rPr>
        <w:t>列。上述费用领取中标通知书前，向代理公司一次性缴清。</w:t>
      </w:r>
    </w:p>
    <w:p>
      <w:pPr>
        <w:autoSpaceDE w:val="0"/>
        <w:autoSpaceDN w:val="0"/>
        <w:adjustRightInd w:val="0"/>
        <w:snapToGrid w:val="0"/>
        <w:spacing w:line="360" w:lineRule="auto"/>
        <w:ind w:left="500"/>
        <w:jc w:val="left"/>
        <w:rPr>
          <w:b/>
        </w:rPr>
      </w:pPr>
      <w:bookmarkStart w:id="11" w:name="_Toc536214606"/>
      <w:bookmarkStart w:id="12" w:name="_Toc389065151"/>
      <w:r>
        <w:rPr>
          <w:b/>
        </w:rPr>
        <w:t>4、踏勘现场</w:t>
      </w:r>
    </w:p>
    <w:p>
      <w:pPr>
        <w:numPr>
          <w:ilvl w:val="0"/>
          <w:numId w:val="1"/>
        </w:numPr>
        <w:tabs>
          <w:tab w:val="left" w:pos="875"/>
          <w:tab w:val="clear" w:pos="720"/>
        </w:tabs>
        <w:overflowPunct w:val="0"/>
        <w:autoSpaceDE w:val="0"/>
        <w:autoSpaceDN w:val="0"/>
        <w:adjustRightInd w:val="0"/>
        <w:snapToGrid w:val="0"/>
        <w:spacing w:line="360" w:lineRule="auto"/>
        <w:ind w:left="0" w:firstLine="498"/>
      </w:pPr>
      <w:r>
        <w:t>经招标人允许，投标人可为踏勘目的进入招标人的项目现场，但投标人不得因此使招标人承担有关的责任和蒙受损失，投标人应承担踏勘现场的责任和风险。</w:t>
      </w:r>
    </w:p>
    <w:p>
      <w:pPr>
        <w:numPr>
          <w:ilvl w:val="0"/>
          <w:numId w:val="1"/>
        </w:numPr>
        <w:tabs>
          <w:tab w:val="left" w:pos="875"/>
          <w:tab w:val="clear" w:pos="720"/>
        </w:tabs>
        <w:overflowPunct w:val="0"/>
        <w:autoSpaceDE w:val="0"/>
        <w:autoSpaceDN w:val="0"/>
        <w:adjustRightInd w:val="0"/>
        <w:snapToGrid w:val="0"/>
        <w:spacing w:line="360" w:lineRule="auto"/>
        <w:ind w:left="0" w:firstLine="498"/>
      </w:pPr>
      <w:r>
        <w:t>投标人自行对工程现场及周围环境进行踏勘，以便投标人获取有关编制投标文件和签署合同所涉及的现场资料。投标人承担踏勘现场发生的一切费用。</w:t>
      </w:r>
    </w:p>
    <w:p>
      <w:pPr>
        <w:numPr>
          <w:ilvl w:val="0"/>
          <w:numId w:val="1"/>
        </w:numPr>
        <w:tabs>
          <w:tab w:val="left" w:pos="875"/>
          <w:tab w:val="clear" w:pos="720"/>
        </w:tabs>
        <w:overflowPunct w:val="0"/>
        <w:autoSpaceDE w:val="0"/>
        <w:autoSpaceDN w:val="0"/>
        <w:adjustRightInd w:val="0"/>
        <w:snapToGrid w:val="0"/>
        <w:spacing w:line="360" w:lineRule="auto"/>
        <w:ind w:left="0" w:firstLine="498"/>
      </w:pPr>
      <w:r>
        <w:t>招标人向投标人提供的有关现场的数据和资料，是招标人现有的能被投标人利用的资料，招标人对投标人作出的任何推论、理解和结论均不负责任。</w:t>
      </w:r>
    </w:p>
    <w:p>
      <w:pPr>
        <w:numPr>
          <w:ilvl w:val="0"/>
          <w:numId w:val="1"/>
        </w:numPr>
        <w:tabs>
          <w:tab w:val="left" w:pos="875"/>
          <w:tab w:val="clear" w:pos="720"/>
        </w:tabs>
        <w:overflowPunct w:val="0"/>
        <w:autoSpaceDE w:val="0"/>
        <w:autoSpaceDN w:val="0"/>
        <w:adjustRightInd w:val="0"/>
        <w:snapToGrid w:val="0"/>
        <w:spacing w:line="360" w:lineRule="auto"/>
        <w:ind w:left="0" w:firstLine="498"/>
        <w:rPr>
          <w:szCs w:val="21"/>
        </w:rPr>
      </w:pPr>
      <w:r>
        <w:t>投标人应充分考虑标书制作过程中的数据变化因素，检查确认标书内容的正确完整和对招标文件的响应程度。</w:t>
      </w:r>
      <w:bookmarkEnd w:id="11"/>
      <w:bookmarkEnd w:id="12"/>
    </w:p>
    <w:p>
      <w:pPr>
        <w:numPr>
          <w:ilvl w:val="0"/>
          <w:numId w:val="1"/>
        </w:numPr>
        <w:tabs>
          <w:tab w:val="left" w:pos="875"/>
          <w:tab w:val="clear" w:pos="720"/>
        </w:tabs>
        <w:overflowPunct w:val="0"/>
        <w:autoSpaceDE w:val="0"/>
        <w:autoSpaceDN w:val="0"/>
        <w:adjustRightInd w:val="0"/>
        <w:snapToGrid w:val="0"/>
        <w:spacing w:line="360" w:lineRule="auto"/>
        <w:ind w:left="0" w:firstLine="498"/>
        <w:rPr>
          <w:szCs w:val="21"/>
        </w:rPr>
      </w:pPr>
      <w:r>
        <w:rPr>
          <w:rFonts w:hint="eastAsia"/>
          <w:szCs w:val="21"/>
        </w:rPr>
        <w:t>投标人自行负责在踏勘现场中所发生的人员伤亡和财产损失。</w:t>
      </w:r>
    </w:p>
    <w:p>
      <w:pPr>
        <w:numPr>
          <w:ilvl w:val="0"/>
          <w:numId w:val="1"/>
        </w:numPr>
        <w:tabs>
          <w:tab w:val="left" w:pos="875"/>
          <w:tab w:val="clear" w:pos="720"/>
        </w:tabs>
        <w:overflowPunct w:val="0"/>
        <w:autoSpaceDE w:val="0"/>
        <w:autoSpaceDN w:val="0"/>
        <w:adjustRightInd w:val="0"/>
        <w:snapToGrid w:val="0"/>
        <w:spacing w:line="360" w:lineRule="auto"/>
        <w:ind w:left="0" w:firstLine="498"/>
        <w:rPr>
          <w:szCs w:val="21"/>
        </w:rPr>
      </w:pPr>
      <w:r>
        <w:rPr>
          <w:rFonts w:hint="eastAsia"/>
          <w:szCs w:val="21"/>
        </w:rPr>
        <w:t>现场条件</w:t>
      </w:r>
    </w:p>
    <w:p>
      <w:pPr>
        <w:snapToGrid w:val="0"/>
        <w:spacing w:line="360" w:lineRule="auto"/>
        <w:ind w:firstLine="480" w:firstLineChars="200"/>
        <w:rPr>
          <w:szCs w:val="21"/>
        </w:rPr>
      </w:pPr>
      <w:r>
        <w:rPr>
          <w:rFonts w:hint="eastAsia"/>
          <w:szCs w:val="21"/>
        </w:rPr>
        <w:t xml:space="preserve">(1)施工现场拆迁及平整情况：招标人提供的现状场地，投标人必须无条件接受并依据踏勘现场的结构自行制定相应措施，相应费用含在投标报价内。  </w:t>
      </w:r>
    </w:p>
    <w:p>
      <w:pPr>
        <w:snapToGrid w:val="0"/>
        <w:spacing w:line="360" w:lineRule="auto"/>
        <w:ind w:firstLine="480" w:firstLineChars="200"/>
        <w:rPr>
          <w:szCs w:val="21"/>
        </w:rPr>
      </w:pPr>
      <w:r>
        <w:rPr>
          <w:rFonts w:hint="eastAsia"/>
          <w:szCs w:val="21"/>
        </w:rPr>
        <w:t xml:space="preserve">(2)施工用水、电：场内临时供水供电及施工中所用的水、电费用由承包人自行承担。  </w:t>
      </w:r>
    </w:p>
    <w:p>
      <w:pPr>
        <w:snapToGrid w:val="0"/>
        <w:spacing w:line="360" w:lineRule="auto"/>
        <w:ind w:firstLine="480" w:firstLineChars="200"/>
        <w:rPr>
          <w:szCs w:val="21"/>
        </w:rPr>
      </w:pPr>
      <w:r>
        <w:rPr>
          <w:rFonts w:hint="eastAsia"/>
          <w:szCs w:val="21"/>
        </w:rPr>
        <w:t xml:space="preserve">(3)场内外道路：施工便道由投标人自行考虑，并列入投标报价，工程结算时不作调整。  </w:t>
      </w:r>
    </w:p>
    <w:p>
      <w:pPr>
        <w:snapToGrid w:val="0"/>
        <w:spacing w:line="360" w:lineRule="auto"/>
        <w:ind w:firstLine="480" w:firstLineChars="200"/>
        <w:rPr>
          <w:szCs w:val="21"/>
        </w:rPr>
      </w:pPr>
      <w:r>
        <w:rPr>
          <w:rFonts w:hint="eastAsia"/>
          <w:szCs w:val="21"/>
        </w:rPr>
        <w:t xml:space="preserve">(4)其他：投标人应认真对现场环境进行踏勘，对施工现场情况和影响施工的因素以及困难条件进行周密的勘察和研究，作出自己的判断结论和估价。中标后，承包人均不得以不了解现场情况为由，提出任何形式增加工程造价的要求，施工时因场地问题引起的成本费用增加，均由承包人自行承担，结算时不予调整。 </w:t>
      </w:r>
    </w:p>
    <w:p>
      <w:pPr>
        <w:snapToGrid w:val="0"/>
        <w:spacing w:line="360" w:lineRule="auto"/>
        <w:ind w:firstLine="480" w:firstLineChars="200"/>
        <w:rPr>
          <w:szCs w:val="21"/>
        </w:rPr>
      </w:pPr>
      <w:r>
        <w:rPr>
          <w:rFonts w:hint="eastAsia"/>
          <w:szCs w:val="21"/>
        </w:rPr>
        <w:t xml:space="preserve">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监理单位的协调、管理，做好与其他专业分包单位的配套、成品保护、防盗等工作。 </w:t>
      </w:r>
    </w:p>
    <w:p>
      <w:pPr>
        <w:snapToGrid w:val="0"/>
        <w:spacing w:line="360" w:lineRule="auto"/>
        <w:ind w:firstLine="484" w:firstLineChars="202"/>
        <w:jc w:val="left"/>
        <w:rPr>
          <w:szCs w:val="21"/>
        </w:rPr>
      </w:pPr>
      <w:r>
        <w:rPr>
          <w:rFonts w:hint="eastAsia"/>
          <w:szCs w:val="21"/>
        </w:rPr>
        <w:t>因本工程的四个地点均位于市中心地带，请投标单位充分考虑周边场地情况，不得以任何要求增加费用，各投标单位应提前踏勘现场，自行考虑交通、材料堆放等困难产生的费用，结算时不作调整。</w:t>
      </w:r>
    </w:p>
    <w:p>
      <w:pPr>
        <w:spacing w:line="360" w:lineRule="auto"/>
        <w:ind w:firstLine="410" w:firstLineChars="171"/>
      </w:pPr>
      <w:bookmarkStart w:id="13" w:name="_Toc389065158"/>
    </w:p>
    <w:bookmarkEnd w:id="13"/>
    <w:p>
      <w:pPr>
        <w:pStyle w:val="2"/>
        <w:keepNext w:val="0"/>
        <w:keepLines w:val="0"/>
        <w:snapToGrid w:val="0"/>
        <w:spacing w:before="0" w:after="0" w:line="360" w:lineRule="auto"/>
        <w:jc w:val="center"/>
        <w:rPr>
          <w:rFonts w:ascii="宋体" w:hAnsi="宋体" w:eastAsia="宋体"/>
          <w:color w:val="000000"/>
          <w:sz w:val="30"/>
          <w:szCs w:val="30"/>
        </w:rPr>
      </w:pPr>
      <w:bookmarkStart w:id="14" w:name="_Toc380681015"/>
      <w:bookmarkStart w:id="15" w:name="_Toc380681234"/>
      <w:bookmarkStart w:id="16" w:name="_Toc380680822"/>
      <w:r>
        <w:rPr>
          <w:rFonts w:hint="eastAsia" w:ascii="宋体" w:hAnsi="宋体" w:eastAsia="宋体"/>
          <w:color w:val="000000"/>
          <w:sz w:val="30"/>
          <w:szCs w:val="30"/>
        </w:rPr>
        <w:t>（二）招标文件</w:t>
      </w:r>
      <w:bookmarkEnd w:id="14"/>
      <w:bookmarkEnd w:id="15"/>
      <w:bookmarkEnd w:id="16"/>
    </w:p>
    <w:p>
      <w:pPr>
        <w:pStyle w:val="5"/>
        <w:snapToGrid w:val="0"/>
        <w:ind w:firstLine="482" w:firstLineChars="200"/>
        <w:rPr>
          <w:rFonts w:ascii="宋体" w:hAnsi="宋体" w:eastAsia="宋体" w:cs="宋体"/>
          <w:sz w:val="24"/>
          <w:szCs w:val="24"/>
        </w:rPr>
      </w:pPr>
      <w:bookmarkStart w:id="17" w:name="_Toc536214615"/>
      <w:bookmarkStart w:id="18" w:name="_Toc389065159"/>
      <w:r>
        <w:rPr>
          <w:rFonts w:hint="eastAsia" w:ascii="宋体" w:hAnsi="宋体" w:eastAsia="宋体" w:cs="宋体"/>
          <w:sz w:val="24"/>
          <w:szCs w:val="24"/>
        </w:rPr>
        <w:t>5、招标文件的组成</w:t>
      </w:r>
      <w:bookmarkEnd w:id="17"/>
      <w:bookmarkEnd w:id="18"/>
    </w:p>
    <w:p>
      <w:pPr>
        <w:snapToGrid w:val="0"/>
        <w:spacing w:line="360" w:lineRule="auto"/>
        <w:ind w:firstLine="480" w:firstLineChars="200"/>
        <w:rPr>
          <w:szCs w:val="21"/>
        </w:rPr>
      </w:pPr>
      <w:r>
        <w:rPr>
          <w:rFonts w:hint="eastAsia"/>
          <w:szCs w:val="21"/>
        </w:rPr>
        <w:t>5.1 本招标文件包括：</w:t>
      </w:r>
    </w:p>
    <w:p>
      <w:pPr>
        <w:snapToGrid w:val="0"/>
        <w:spacing w:line="360" w:lineRule="auto"/>
        <w:ind w:firstLine="480" w:firstLineChars="200"/>
        <w:rPr>
          <w:szCs w:val="21"/>
        </w:rPr>
      </w:pPr>
      <w:r>
        <w:t>第一章：</w:t>
      </w:r>
      <w:r>
        <w:rPr>
          <w:rFonts w:hint="eastAsia"/>
          <w:szCs w:val="21"/>
        </w:rPr>
        <w:t>投标人须知；</w:t>
      </w:r>
    </w:p>
    <w:p>
      <w:pPr>
        <w:snapToGrid w:val="0"/>
        <w:spacing w:line="360" w:lineRule="auto"/>
        <w:ind w:firstLine="480" w:firstLineChars="200"/>
        <w:rPr>
          <w:szCs w:val="21"/>
        </w:rPr>
      </w:pPr>
      <w:r>
        <w:t>第二章：</w:t>
      </w:r>
      <w:r>
        <w:rPr>
          <w:rFonts w:hint="eastAsia"/>
          <w:szCs w:val="21"/>
        </w:rPr>
        <w:t>评标办法；</w:t>
      </w:r>
    </w:p>
    <w:p>
      <w:pPr>
        <w:snapToGrid w:val="0"/>
        <w:spacing w:line="360" w:lineRule="auto"/>
        <w:ind w:firstLine="480" w:firstLineChars="200"/>
        <w:rPr>
          <w:szCs w:val="21"/>
        </w:rPr>
      </w:pPr>
      <w:r>
        <w:t>第三章：</w:t>
      </w:r>
      <w:r>
        <w:rPr>
          <w:rFonts w:hint="eastAsia"/>
          <w:szCs w:val="21"/>
        </w:rPr>
        <w:t>合同条款及格式；</w:t>
      </w:r>
    </w:p>
    <w:p>
      <w:pPr>
        <w:snapToGrid w:val="0"/>
        <w:spacing w:line="360" w:lineRule="auto"/>
        <w:ind w:firstLine="480" w:firstLineChars="200"/>
        <w:rPr>
          <w:szCs w:val="21"/>
        </w:rPr>
      </w:pPr>
      <w:r>
        <w:t>第四章：</w:t>
      </w:r>
      <w:r>
        <w:rPr>
          <w:rFonts w:hint="eastAsia"/>
          <w:szCs w:val="21"/>
        </w:rPr>
        <w:t>技术标准和要求；</w:t>
      </w:r>
    </w:p>
    <w:p>
      <w:pPr>
        <w:snapToGrid w:val="0"/>
        <w:spacing w:line="360" w:lineRule="auto"/>
        <w:ind w:firstLine="480" w:firstLineChars="200"/>
        <w:rPr>
          <w:szCs w:val="21"/>
        </w:rPr>
      </w:pPr>
      <w:r>
        <w:t>第五章：</w:t>
      </w:r>
      <w:r>
        <w:rPr>
          <w:rFonts w:hint="eastAsia"/>
          <w:szCs w:val="21"/>
        </w:rPr>
        <w:t>投标文件格式；</w:t>
      </w:r>
    </w:p>
    <w:p>
      <w:pPr>
        <w:snapToGrid w:val="0"/>
        <w:spacing w:line="360" w:lineRule="auto"/>
        <w:ind w:firstLine="480" w:firstLineChars="200"/>
        <w:rPr>
          <w:szCs w:val="21"/>
        </w:rPr>
      </w:pPr>
      <w:r>
        <w:rPr>
          <w:rFonts w:hint="eastAsia"/>
          <w:szCs w:val="21"/>
        </w:rPr>
        <w:t>5.2 根据本章</w:t>
      </w:r>
      <w:r>
        <w:t>第6、7款</w:t>
      </w:r>
      <w:r>
        <w:rPr>
          <w:rFonts w:hint="eastAsia"/>
          <w:szCs w:val="21"/>
        </w:rPr>
        <w:t>对招标文件所作的澄清、修改，构成招标文件的组成部分。</w:t>
      </w:r>
      <w:r>
        <w:t>投标人在投标截止时间前，应通过将在</w:t>
      </w:r>
      <w:r>
        <w:rPr>
          <w:rFonts w:hint="eastAsia"/>
        </w:rPr>
        <w:t>“南通市崇川区人民政府网”（www.chongchuan.gov.cn）</w:t>
      </w:r>
      <w:r>
        <w:t>-政府采购工程招标板块随时查阅有关该工程招标文件的澄清、招标文件的修改(招标答疑、补遗文件)等内容。</w:t>
      </w:r>
      <w:r>
        <w:rPr>
          <w:b/>
        </w:rPr>
        <w:t>投标人查阅如有遗漏，其风险应由投标人自行承担。</w:t>
      </w:r>
    </w:p>
    <w:p>
      <w:pPr>
        <w:pStyle w:val="5"/>
        <w:snapToGrid w:val="0"/>
        <w:ind w:firstLine="482" w:firstLineChars="200"/>
        <w:rPr>
          <w:rFonts w:ascii="宋体" w:hAnsi="宋体" w:eastAsia="宋体" w:cs="宋体"/>
          <w:sz w:val="24"/>
          <w:szCs w:val="24"/>
        </w:rPr>
      </w:pPr>
      <w:r>
        <w:rPr>
          <w:rFonts w:hint="eastAsia" w:ascii="宋体" w:hAnsi="宋体" w:eastAsia="宋体" w:cs="宋体"/>
          <w:sz w:val="24"/>
          <w:szCs w:val="24"/>
        </w:rPr>
        <w:t>6、招标文件的澄清</w:t>
      </w:r>
    </w:p>
    <w:p>
      <w:pPr>
        <w:snapToGrid w:val="0"/>
        <w:spacing w:line="360" w:lineRule="auto"/>
        <w:ind w:firstLine="480" w:firstLineChars="200"/>
      </w:pPr>
      <w:r>
        <w:rPr>
          <w:rFonts w:hint="eastAsia"/>
          <w:szCs w:val="21"/>
        </w:rPr>
        <w:t xml:space="preserve">6.1 </w:t>
      </w:r>
      <w:r>
        <w:t>投标人从</w:t>
      </w:r>
      <w:r>
        <w:rPr>
          <w:rFonts w:hint="eastAsia"/>
        </w:rPr>
        <w:t>“南通市崇川区人民政府网”（www.chongchuan.gov.cn）</w:t>
      </w:r>
      <w:r>
        <w:t>-政府采购工程招标板块下载招标文件后应仔细阅读和检查招标文件的全部内容。如发现缺页或附件不全，应及时向招标人提出，以便补齐。</w:t>
      </w:r>
    </w:p>
    <w:p>
      <w:pPr>
        <w:snapToGrid w:val="0"/>
        <w:spacing w:line="360" w:lineRule="auto"/>
        <w:ind w:firstLine="480"/>
      </w:pPr>
      <w:r>
        <w:rPr>
          <w:rFonts w:hint="eastAsia"/>
        </w:rPr>
        <w:t>6.2</w:t>
      </w:r>
      <w:r>
        <w:rPr>
          <w:rFonts w:hint="eastAsia"/>
          <w:szCs w:val="21"/>
        </w:rPr>
        <w:t xml:space="preserve"> </w:t>
      </w:r>
      <w:r>
        <w:t>招标人不组织集中答疑，投标人如对招标公告、招标文件、招标文件等文件存在前后矛盾，部分条款说明不清、存在歧义、违反相关法律法规，存在限制性条款等有疑问的应在</w:t>
      </w:r>
      <w:r>
        <w:rPr>
          <w:rFonts w:hint="eastAsia"/>
          <w:b/>
          <w:highlight w:val="none"/>
          <w:u w:val="single"/>
        </w:rPr>
        <w:t>202</w:t>
      </w:r>
      <w:r>
        <w:rPr>
          <w:rFonts w:hint="eastAsia"/>
          <w:b/>
          <w:highlight w:val="none"/>
          <w:u w:val="single"/>
          <w:lang w:val="en-US" w:eastAsia="zh-CN"/>
        </w:rPr>
        <w:t>3</w:t>
      </w:r>
      <w:r>
        <w:rPr>
          <w:b/>
          <w:highlight w:val="none"/>
          <w:u w:val="single"/>
        </w:rPr>
        <w:t>年</w:t>
      </w:r>
      <w:r>
        <w:rPr>
          <w:rFonts w:hint="eastAsia"/>
          <w:b/>
          <w:highlight w:val="none"/>
          <w:u w:val="single"/>
          <w:lang w:val="en-US" w:eastAsia="zh-CN"/>
        </w:rPr>
        <w:t>7</w:t>
      </w:r>
      <w:r>
        <w:rPr>
          <w:rFonts w:hint="eastAsia"/>
          <w:b/>
          <w:highlight w:val="none"/>
          <w:u w:val="single"/>
        </w:rPr>
        <w:t>月</w:t>
      </w:r>
      <w:r>
        <w:rPr>
          <w:rFonts w:hint="eastAsia"/>
          <w:b/>
          <w:highlight w:val="none"/>
          <w:u w:val="single"/>
          <w:lang w:val="en-US" w:eastAsia="zh-CN"/>
        </w:rPr>
        <w:t>20</w:t>
      </w:r>
      <w:r>
        <w:rPr>
          <w:b/>
          <w:highlight w:val="none"/>
          <w:u w:val="single"/>
        </w:rPr>
        <w:t>日17时前</w:t>
      </w:r>
      <w:bookmarkStart w:id="67" w:name="_GoBack"/>
      <w:bookmarkEnd w:id="67"/>
      <w:r>
        <w:t>向招标人提出澄清要求，</w:t>
      </w:r>
      <w:r>
        <w:fldChar w:fldCharType="begin"/>
      </w:r>
      <w:r>
        <w:instrText xml:space="preserve"> HYPERLINK "mailto:以电子文件形式发送至550362779@qq.com" </w:instrText>
      </w:r>
      <w:r>
        <w:fldChar w:fldCharType="separate"/>
      </w:r>
      <w:r>
        <w:t>以电子文件形式发送至</w:t>
      </w:r>
      <w:r>
        <w:fldChar w:fldCharType="end"/>
      </w:r>
      <w:r>
        <w:t>指定邮箱：</w:t>
      </w:r>
      <w:r>
        <w:fldChar w:fldCharType="begin"/>
      </w:r>
      <w:r>
        <w:instrText xml:space="preserve"> HYPERLINK "mailto:252119303@qq.com（不具单位名称，不加盖单位公章）。招标人在收到疑问材料后于2022年" </w:instrText>
      </w:r>
      <w:r>
        <w:fldChar w:fldCharType="separate"/>
      </w:r>
      <w:r>
        <w:rPr>
          <w:rStyle w:val="70"/>
          <w:rFonts w:hint="eastAsia"/>
          <w:lang w:val="en-US" w:eastAsia="zh-CN"/>
        </w:rPr>
        <w:t>1140550919</w:t>
      </w:r>
      <w:r>
        <w:rPr>
          <w:rStyle w:val="70"/>
          <w:rFonts w:hint="eastAsia"/>
        </w:rPr>
        <w:t>@qq.com</w:t>
      </w:r>
      <w:r>
        <w:rPr>
          <w:rStyle w:val="70"/>
        </w:rPr>
        <w:t>（不具单位名称，不加盖单位公章）。招标人在收到疑问材料后于</w:t>
      </w:r>
      <w:r>
        <w:rPr>
          <w:rStyle w:val="70"/>
          <w:rFonts w:hint="eastAsia"/>
          <w:b/>
          <w:u w:val="single"/>
        </w:rPr>
        <w:t>202</w:t>
      </w:r>
      <w:r>
        <w:rPr>
          <w:rStyle w:val="70"/>
          <w:rFonts w:hint="eastAsia"/>
          <w:b/>
          <w:u w:val="single"/>
          <w:lang w:val="en-US" w:eastAsia="zh-CN"/>
        </w:rPr>
        <w:t>3</w:t>
      </w:r>
      <w:r>
        <w:rPr>
          <w:rStyle w:val="70"/>
          <w:b/>
          <w:u w:val="single"/>
        </w:rPr>
        <w:t>年</w:t>
      </w:r>
      <w:r>
        <w:rPr>
          <w:rStyle w:val="70"/>
          <w:b/>
          <w:u w:val="single"/>
        </w:rPr>
        <w:fldChar w:fldCharType="end"/>
      </w:r>
      <w:r>
        <w:rPr>
          <w:rStyle w:val="70"/>
          <w:rFonts w:hint="eastAsia"/>
          <w:b/>
          <w:u w:val="single"/>
          <w:lang w:val="en-US" w:eastAsia="zh-CN"/>
        </w:rPr>
        <w:t>7</w:t>
      </w:r>
      <w:r>
        <w:rPr>
          <w:rFonts w:hint="eastAsia"/>
          <w:b/>
          <w:u w:val="single"/>
        </w:rPr>
        <w:t xml:space="preserve"> 月</w:t>
      </w:r>
      <w:r>
        <w:rPr>
          <w:rFonts w:hint="eastAsia"/>
          <w:b/>
          <w:u w:val="single"/>
          <w:lang w:val="en-US" w:eastAsia="zh-CN"/>
        </w:rPr>
        <w:t>21</w:t>
      </w:r>
      <w:r>
        <w:rPr>
          <w:b/>
          <w:u w:val="single"/>
        </w:rPr>
        <w:t>日</w:t>
      </w:r>
      <w:r>
        <w:rPr>
          <w:rFonts w:hint="eastAsia"/>
          <w:b/>
          <w:u w:val="single"/>
          <w:lang w:val="en-US" w:eastAsia="zh-CN"/>
        </w:rPr>
        <w:t>17</w:t>
      </w:r>
      <w:r>
        <w:rPr>
          <w:rFonts w:hint="eastAsia"/>
          <w:b/>
          <w:u w:val="single"/>
        </w:rPr>
        <w:t>时</w:t>
      </w:r>
      <w:r>
        <w:rPr>
          <w:rFonts w:hint="eastAsia"/>
          <w:b/>
          <w:u w:val="single"/>
          <w:lang w:val="en-US" w:eastAsia="zh-CN"/>
        </w:rPr>
        <w:t>前</w:t>
      </w:r>
      <w:r>
        <w:t>将解答内容（若有）以电子文档上传至</w:t>
      </w:r>
      <w:r>
        <w:rPr>
          <w:rFonts w:hint="eastAsia"/>
        </w:rPr>
        <w:t>“南通市崇川区人民政府网”（www.chongchuan.gov.cn）</w:t>
      </w:r>
      <w:r>
        <w:t>-政府采购</w:t>
      </w:r>
      <w:r>
        <w:rPr>
          <w:rFonts w:hint="eastAsia"/>
          <w:lang w:val="en-US" w:eastAsia="zh-CN"/>
        </w:rPr>
        <w:t>与</w:t>
      </w:r>
      <w:r>
        <w:t>工程招标板块，请各潜在投标人在</w:t>
      </w:r>
      <w:r>
        <w:rPr>
          <w:rFonts w:hint="eastAsia"/>
        </w:rPr>
        <w:t>“南通市崇川区人民政府网”（www.chongchuan.gov.cn）</w:t>
      </w:r>
      <w:r>
        <w:t>-政府采购</w:t>
      </w:r>
      <w:r>
        <w:rPr>
          <w:rFonts w:hint="eastAsia"/>
          <w:lang w:val="en-US" w:eastAsia="zh-CN"/>
        </w:rPr>
        <w:t>与</w:t>
      </w:r>
      <w:r>
        <w:t>工程招标板块自行下载。</w:t>
      </w:r>
    </w:p>
    <w:p>
      <w:pPr>
        <w:snapToGrid w:val="0"/>
        <w:spacing w:line="360" w:lineRule="auto"/>
        <w:ind w:firstLine="482" w:firstLineChars="200"/>
        <w:rPr>
          <w:szCs w:val="21"/>
        </w:rPr>
      </w:pPr>
      <w:r>
        <w:rPr>
          <w:b/>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r>
        <w:rPr>
          <w:rFonts w:hint="eastAsia"/>
          <w:szCs w:val="21"/>
        </w:rPr>
        <w:t xml:space="preserve"> </w:t>
      </w:r>
    </w:p>
    <w:p>
      <w:pPr>
        <w:snapToGrid w:val="0"/>
        <w:spacing w:line="360" w:lineRule="auto"/>
        <w:ind w:firstLine="480" w:firstLineChars="200"/>
        <w:rPr>
          <w:szCs w:val="21"/>
        </w:rPr>
      </w:pPr>
      <w:r>
        <w:rPr>
          <w:rFonts w:hint="eastAsia"/>
          <w:szCs w:val="21"/>
        </w:rPr>
        <w:t xml:space="preserve">6.3 </w:t>
      </w:r>
      <w:r>
        <w:t>招标文件的澄清答疑将在投标人须知前附表规定的时间前，在</w:t>
      </w:r>
      <w:r>
        <w:rPr>
          <w:rFonts w:hint="eastAsia"/>
        </w:rPr>
        <w:t>“南通市崇川区人民政府网”（www.chongchuan.gov.cn）</w:t>
      </w:r>
      <w:r>
        <w:t>-政府采购</w:t>
      </w:r>
      <w:r>
        <w:rPr>
          <w:rFonts w:hint="eastAsia"/>
          <w:lang w:val="en-US" w:eastAsia="zh-CN"/>
        </w:rPr>
        <w:t>与</w:t>
      </w:r>
      <w:r>
        <w:t>工程招标板块向所有投标人公示，同时报崇川区公共资源交易管理办公室备案，但招标人不指明澄清问题的来源</w:t>
      </w:r>
      <w:r>
        <w:rPr>
          <w:rFonts w:hint="eastAsia"/>
          <w:szCs w:val="21"/>
        </w:rPr>
        <w:t>，招标人不再另行通知。</w:t>
      </w:r>
    </w:p>
    <w:p>
      <w:pPr>
        <w:snapToGrid w:val="0"/>
        <w:spacing w:line="360" w:lineRule="auto"/>
        <w:ind w:firstLine="480"/>
      </w:pPr>
      <w:r>
        <w:t>投标人对招标人提供的招标文件所做出的推论、解释和结论，招标人概不负责。投标人由于对招标文件的任何推论和误解均由投标人自负。</w:t>
      </w:r>
    </w:p>
    <w:p>
      <w:pPr>
        <w:snapToGrid w:val="0"/>
        <w:spacing w:line="360" w:lineRule="auto"/>
        <w:ind w:firstLine="480"/>
      </w:pPr>
      <w:r>
        <w:t>在投标截止时间</w:t>
      </w:r>
      <w:r>
        <w:rPr>
          <w:rFonts w:hint="eastAsia"/>
        </w:rPr>
        <w:t>3</w:t>
      </w:r>
      <w:r>
        <w:t>天前，招标人可以修改招标文件，并以书面形式经崇川区公共资源交易管理办公室备案后以电子文档形式在</w:t>
      </w:r>
      <w:r>
        <w:rPr>
          <w:rFonts w:hint="eastAsia"/>
        </w:rPr>
        <w:t>“南通市崇川区人民政府网”（www.chongchuan.gov.cn）</w:t>
      </w:r>
      <w:r>
        <w:t>-政府采购工程招标板块发布。如果修改招标文件的时间距投标截止时间不足</w:t>
      </w:r>
      <w:r>
        <w:rPr>
          <w:rFonts w:hint="eastAsia"/>
        </w:rPr>
        <w:t>3</w:t>
      </w:r>
      <w:r>
        <w:t>天，相应延长投标截止时间。</w:t>
      </w:r>
    </w:p>
    <w:p>
      <w:pPr>
        <w:autoSpaceDE w:val="0"/>
        <w:autoSpaceDN w:val="0"/>
        <w:adjustRightInd w:val="0"/>
        <w:snapToGrid w:val="0"/>
        <w:spacing w:line="360" w:lineRule="auto"/>
        <w:ind w:left="500"/>
        <w:jc w:val="left"/>
        <w:rPr>
          <w:b/>
        </w:rPr>
      </w:pPr>
      <w:r>
        <w:rPr>
          <w:b/>
        </w:rPr>
        <w:t>7、招标文件的修改</w:t>
      </w:r>
    </w:p>
    <w:p>
      <w:pPr>
        <w:snapToGrid w:val="0"/>
        <w:spacing w:line="360" w:lineRule="auto"/>
        <w:ind w:firstLine="480" w:firstLineChars="200"/>
        <w:rPr>
          <w:szCs w:val="21"/>
        </w:rPr>
      </w:pPr>
      <w:r>
        <w:rPr>
          <w:rFonts w:hint="eastAsia"/>
          <w:szCs w:val="21"/>
        </w:rPr>
        <w:t xml:space="preserve">7.1 </w:t>
      </w:r>
      <w:r>
        <w:t>招标文件发布后，在投标截止期前，确需对招标文件进行修改的，招标人以招标文件澄清、答疑方式，经</w:t>
      </w:r>
      <w:r>
        <w:rPr>
          <w:rFonts w:hint="eastAsia"/>
        </w:rPr>
        <w:t>“南通市崇川区人民政府网”（www.chongchuan.gov.cn）</w:t>
      </w:r>
      <w:r>
        <w:t>-政府采购工程招标板块向所有投标人公示，并报招投标监管部门备案。</w:t>
      </w:r>
    </w:p>
    <w:p>
      <w:pPr>
        <w:snapToGrid w:val="0"/>
        <w:spacing w:line="360" w:lineRule="auto"/>
        <w:ind w:firstLine="480"/>
      </w:pPr>
      <w:r>
        <w:rPr>
          <w:rFonts w:hint="eastAsia"/>
        </w:rPr>
        <w:t>7.2</w:t>
      </w:r>
      <w:r>
        <w:t>招标人在投标截止期前对招标文件的所作澄清、答疑、修改作为招标文件的组成部分，对招标人、投标人均具有约束力。如果修改招标文件时间距投标截止时间不足</w:t>
      </w:r>
      <w:r>
        <w:rPr>
          <w:rFonts w:hint="eastAsia"/>
        </w:rPr>
        <w:t>3</w:t>
      </w:r>
      <w:r>
        <w:t>天，为保证投标人合理时间编制投标文件，招标人应合理延长递交投标文件的截止日期。</w:t>
      </w:r>
    </w:p>
    <w:p>
      <w:pPr>
        <w:snapToGrid w:val="0"/>
        <w:spacing w:line="360" w:lineRule="auto"/>
        <w:ind w:firstLine="480" w:firstLineChars="200"/>
        <w:rPr>
          <w:szCs w:val="21"/>
        </w:rPr>
      </w:pPr>
      <w:r>
        <w:rPr>
          <w:rFonts w:hint="eastAsia"/>
        </w:rPr>
        <w:t>7.3</w:t>
      </w:r>
      <w:r>
        <w:t>本工程采用电子答疑，招标人对招标文件的所作澄清、答疑、修改均以</w:t>
      </w:r>
      <w:r>
        <w:rPr>
          <w:rFonts w:hint="eastAsia"/>
        </w:rPr>
        <w:t>“南通市崇川区人民政府网”（www.chongchuan.gov.cn）</w:t>
      </w:r>
      <w:r>
        <w:t>-政府采购工程招标板块上公布的内容为准。招标文件的答疑内容前后期相互矛盾时，以公示时间在后的文件为准。投标人应在投标截止时间前随时查看</w:t>
      </w:r>
      <w:r>
        <w:rPr>
          <w:rFonts w:hint="eastAsia"/>
        </w:rPr>
        <w:t>“南通市崇川区人民政府网”（www.chongchuan.gov.cn）</w:t>
      </w:r>
      <w:r>
        <w:t>-政府采购工程招标板块中有关该工程招标文件的答疑内容。投标人因自身原因未能及时掌握上述网上公示信息，由此造成投标损失自负。</w:t>
      </w:r>
    </w:p>
    <w:p>
      <w:pPr>
        <w:spacing w:line="360" w:lineRule="auto"/>
        <w:ind w:firstLine="480" w:firstLineChars="200"/>
        <w:rPr>
          <w:szCs w:val="21"/>
        </w:rPr>
      </w:pPr>
      <w:bookmarkStart w:id="19" w:name="_Toc473034303"/>
      <w:r>
        <w:rPr>
          <w:rFonts w:hint="eastAsia"/>
        </w:rPr>
        <w:t xml:space="preserve"> </w:t>
      </w:r>
      <w:bookmarkEnd w:id="19"/>
      <w:bookmarkStart w:id="20" w:name="_Toc389065162"/>
    </w:p>
    <w:p>
      <w:pPr>
        <w:pStyle w:val="2"/>
        <w:keepNext w:val="0"/>
        <w:keepLines w:val="0"/>
        <w:snapToGrid w:val="0"/>
        <w:spacing w:before="0" w:after="0" w:line="360" w:lineRule="auto"/>
        <w:jc w:val="center"/>
        <w:rPr>
          <w:rFonts w:ascii="宋体" w:hAnsi="宋体" w:eastAsia="宋体"/>
          <w:color w:val="000000"/>
          <w:sz w:val="30"/>
          <w:szCs w:val="30"/>
        </w:rPr>
      </w:pPr>
      <w:bookmarkStart w:id="21" w:name="_Toc536214619"/>
      <w:r>
        <w:rPr>
          <w:rFonts w:hint="eastAsia" w:ascii="宋体" w:hAnsi="宋体" w:eastAsia="宋体"/>
          <w:color w:val="000000"/>
          <w:sz w:val="30"/>
          <w:szCs w:val="30"/>
        </w:rPr>
        <w:t>（三）投标文件</w:t>
      </w:r>
      <w:bookmarkEnd w:id="20"/>
      <w:bookmarkEnd w:id="21"/>
    </w:p>
    <w:p>
      <w:pPr>
        <w:snapToGrid w:val="0"/>
        <w:spacing w:line="360" w:lineRule="auto"/>
        <w:ind w:firstLine="480" w:firstLineChars="200"/>
        <w:rPr>
          <w:bCs/>
        </w:rPr>
      </w:pPr>
      <w:bookmarkStart w:id="22" w:name="_Toc389065164"/>
      <w:r>
        <w:rPr>
          <w:bCs/>
        </w:rPr>
        <w:t>8</w:t>
      </w:r>
      <w:r>
        <w:rPr>
          <w:rFonts w:hint="eastAsia"/>
          <w:bCs/>
        </w:rPr>
        <w:t>、</w:t>
      </w:r>
      <w:r>
        <w:rPr>
          <w:bCs/>
        </w:rPr>
        <w:t>投标人应认真阅读招标文件所有内容，未按招标文件要求编制的投标文件将被拒绝或者作为废标处理。</w:t>
      </w:r>
    </w:p>
    <w:p>
      <w:pPr>
        <w:snapToGrid w:val="0"/>
        <w:spacing w:line="360" w:lineRule="auto"/>
        <w:ind w:firstLine="480" w:firstLineChars="200"/>
      </w:pPr>
      <w:r>
        <w:rPr>
          <w:bCs/>
        </w:rPr>
        <w:t>9</w:t>
      </w:r>
      <w:r>
        <w:rPr>
          <w:rFonts w:hint="eastAsia"/>
          <w:bCs/>
        </w:rPr>
        <w:t>、</w:t>
      </w:r>
      <w:r>
        <w:rPr>
          <w:bCs/>
        </w:rPr>
        <w:t>本工程</w:t>
      </w:r>
      <w:r>
        <w:t>投标文件由</w:t>
      </w:r>
      <w:r>
        <w:rPr>
          <w:b/>
          <w:u w:val="single"/>
        </w:rPr>
        <w:t>资格审查</w:t>
      </w:r>
      <w:r>
        <w:rPr>
          <w:rFonts w:hint="eastAsia"/>
          <w:b/>
          <w:u w:val="single"/>
        </w:rPr>
        <w:t>文件</w:t>
      </w:r>
      <w:r>
        <w:rPr>
          <w:b/>
          <w:u w:val="single"/>
        </w:rPr>
        <w:t>、</w:t>
      </w:r>
      <w:r>
        <w:rPr>
          <w:rFonts w:hint="eastAsia"/>
          <w:b/>
          <w:u w:val="single"/>
        </w:rPr>
        <w:t>技术标文件、</w:t>
      </w:r>
      <w:r>
        <w:rPr>
          <w:b/>
          <w:u w:val="single"/>
        </w:rPr>
        <w:t>商务标</w:t>
      </w:r>
      <w:r>
        <w:rPr>
          <w:rFonts w:hint="eastAsia"/>
          <w:b/>
          <w:u w:val="single"/>
        </w:rPr>
        <w:t>文件三</w:t>
      </w:r>
      <w:r>
        <w:t>部分组成，具体应包括以下内容：</w:t>
      </w:r>
    </w:p>
    <w:p>
      <w:pPr>
        <w:snapToGrid w:val="0"/>
        <w:spacing w:line="360" w:lineRule="auto"/>
        <w:ind w:firstLine="482" w:firstLineChars="200"/>
        <w:rPr>
          <w:b/>
        </w:rPr>
      </w:pPr>
      <w:r>
        <w:rPr>
          <w:b/>
        </w:rPr>
        <w:t>9.1 资格审查</w:t>
      </w:r>
      <w:r>
        <w:rPr>
          <w:rFonts w:hint="eastAsia"/>
          <w:b/>
        </w:rPr>
        <w:t>文件（单独密封）</w:t>
      </w:r>
      <w:r>
        <w:rPr>
          <w:rFonts w:hint="eastAsia"/>
          <w:b/>
          <w:bCs/>
        </w:rPr>
        <w:t>（</w:t>
      </w:r>
      <w:r>
        <w:rPr>
          <w:rFonts w:hint="eastAsia"/>
          <w:b/>
        </w:rPr>
        <w:t>正本壹份，副本肆份</w:t>
      </w:r>
      <w:r>
        <w:rPr>
          <w:rFonts w:hint="eastAsia"/>
          <w:b/>
          <w:bCs/>
        </w:rPr>
        <w:t>）</w:t>
      </w:r>
      <w:r>
        <w:rPr>
          <w:b/>
        </w:rPr>
        <w:t>：</w:t>
      </w:r>
    </w:p>
    <w:p>
      <w:pPr>
        <w:snapToGrid w:val="0"/>
        <w:spacing w:line="360" w:lineRule="auto"/>
        <w:ind w:firstLine="480" w:firstLineChars="200"/>
      </w:pPr>
      <w:r>
        <w:t>(1)有效的企业法人营业执照复印件</w:t>
      </w:r>
      <w:r>
        <w:rPr>
          <w:rFonts w:hint="eastAsia"/>
        </w:rPr>
        <w:t>或扫描件</w:t>
      </w:r>
      <w:r>
        <w:t>；</w:t>
      </w:r>
    </w:p>
    <w:p>
      <w:pPr>
        <w:keepNext w:val="0"/>
        <w:keepLines w:val="0"/>
        <w:pageBreakBefore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lang w:val="en-US" w:eastAsia="zh-CN"/>
        </w:rPr>
      </w:pPr>
      <w:r>
        <w:t>(</w:t>
      </w:r>
      <w:r>
        <w:rPr>
          <w:rFonts w:hint="eastAsia"/>
        </w:rPr>
        <w:t>2</w:t>
      </w:r>
      <w:r>
        <w:t>)</w:t>
      </w:r>
      <w:r>
        <w:rPr>
          <w:rFonts w:hint="eastAsia" w:ascii="宋体" w:hAnsi="宋体" w:eastAsia="宋体" w:cs="宋体"/>
          <w:sz w:val="24"/>
          <w:szCs w:val="24"/>
          <w:lang w:val="en-US" w:eastAsia="zh-CN"/>
        </w:rPr>
        <w:t>法定代表人身份证明书，法定代表人身份证复印件复印件或扫描件</w:t>
      </w:r>
      <w:r>
        <w:rPr>
          <w:rFonts w:hint="eastAsia" w:ascii="宋体" w:hAnsi="宋体" w:eastAsia="宋体" w:cs="宋体"/>
          <w:lang w:val="en-US" w:eastAsia="zh-CN"/>
        </w:rPr>
        <w:t>；</w:t>
      </w:r>
    </w:p>
    <w:p>
      <w:pPr>
        <w:keepNext w:val="0"/>
        <w:keepLines w:val="0"/>
        <w:pageBreakBefore w:val="0"/>
        <w:kinsoku/>
        <w:wordWrap/>
        <w:overflowPunct/>
        <w:topLinePunct w:val="0"/>
        <w:autoSpaceDE/>
        <w:autoSpaceDN/>
        <w:bidi w:val="0"/>
        <w:adjustRightInd/>
        <w:snapToGrid w:val="0"/>
        <w:spacing w:line="360" w:lineRule="auto"/>
        <w:ind w:firstLine="480"/>
        <w:textAlignment w:val="auto"/>
      </w:pPr>
      <w:r>
        <w:rPr>
          <w:rFonts w:ascii="宋体" w:hAnsi="宋体"/>
          <w:sz w:val="24"/>
        </w:rPr>
        <w:t>(</w:t>
      </w:r>
      <w:r>
        <w:rPr>
          <w:rFonts w:hint="eastAsia" w:ascii="宋体" w:hAnsi="宋体"/>
          <w:sz w:val="24"/>
          <w:lang w:val="en-US" w:eastAsia="zh-CN"/>
        </w:rPr>
        <w:t>3</w:t>
      </w:r>
      <w:r>
        <w:rPr>
          <w:rFonts w:ascii="宋体" w:hAnsi="宋体"/>
          <w:sz w:val="24"/>
        </w:rPr>
        <w:t>)</w:t>
      </w:r>
      <w:r>
        <w:rPr>
          <w:rFonts w:hint="eastAsia" w:ascii="宋体" w:hAnsi="宋体"/>
          <w:bCs/>
          <w:color w:val="000000"/>
          <w:sz w:val="24"/>
          <w:lang w:val="en-US" w:eastAsia="zh-CN"/>
        </w:rPr>
        <w:t>法人</w:t>
      </w:r>
      <w:r>
        <w:rPr>
          <w:rFonts w:hint="eastAsia" w:ascii="宋体" w:hAnsi="宋体" w:eastAsia="宋体" w:cs="宋体"/>
          <w:sz w:val="24"/>
          <w:szCs w:val="24"/>
        </w:rPr>
        <w:t>授权委托书(如有授权)，</w:t>
      </w:r>
      <w:r>
        <w:rPr>
          <w:rFonts w:hint="eastAsia" w:ascii="宋体" w:hAnsi="宋体" w:eastAsia="宋体" w:cs="宋体"/>
          <w:kern w:val="0"/>
          <w:sz w:val="24"/>
          <w:szCs w:val="24"/>
          <w:lang w:val="en-US" w:eastAsia="zh-CN"/>
        </w:rPr>
        <w:t>授权委托人身份证复印件复印件或扫描件</w:t>
      </w:r>
      <w:r>
        <w:rPr>
          <w:rFonts w:hint="eastAsia" w:ascii="宋体" w:hAnsi="宋体" w:eastAsia="宋体" w:cs="宋体"/>
          <w:lang w:val="zh-CN" w:eastAsia="zh-CN"/>
        </w:rPr>
        <w:t>。</w:t>
      </w:r>
    </w:p>
    <w:p>
      <w:pPr>
        <w:snapToGrid w:val="0"/>
        <w:spacing w:line="360" w:lineRule="auto"/>
        <w:ind w:firstLine="480" w:firstLineChars="200"/>
      </w:pPr>
      <w:r>
        <w:t>(</w:t>
      </w:r>
      <w:r>
        <w:rPr>
          <w:rFonts w:hint="eastAsia"/>
          <w:lang w:val="en-US" w:eastAsia="zh-CN"/>
        </w:rPr>
        <w:t>4</w:t>
      </w:r>
      <w:r>
        <w:t>)</w:t>
      </w:r>
      <w:r>
        <w:rPr>
          <w:rFonts w:hint="eastAsia"/>
        </w:rPr>
        <w:t>投标人业绩</w:t>
      </w:r>
      <w:r>
        <w:t>证明材料复印件</w:t>
      </w:r>
      <w:r>
        <w:rPr>
          <w:rFonts w:hint="eastAsia"/>
        </w:rPr>
        <w:t>或扫描件</w:t>
      </w:r>
      <w:r>
        <w:t>；</w:t>
      </w:r>
    </w:p>
    <w:p>
      <w:pPr>
        <w:snapToGrid w:val="0"/>
        <w:spacing w:line="360" w:lineRule="auto"/>
        <w:ind w:firstLine="480" w:firstLineChars="200"/>
      </w:pPr>
      <w:r>
        <w:t>(</w:t>
      </w:r>
      <w:r>
        <w:rPr>
          <w:rFonts w:hint="eastAsia"/>
          <w:lang w:val="en-US" w:eastAsia="zh-CN"/>
        </w:rPr>
        <w:t>5</w:t>
      </w:r>
      <w:r>
        <w:t>)</w:t>
      </w:r>
      <w:r>
        <w:rPr>
          <w:rFonts w:hint="eastAsia"/>
        </w:rPr>
        <w:t>拟派项目负责人的职称证书复印件或扫描件</w:t>
      </w:r>
      <w:r>
        <w:t>；</w:t>
      </w:r>
    </w:p>
    <w:p>
      <w:pPr>
        <w:snapToGrid w:val="0"/>
        <w:spacing w:line="360" w:lineRule="auto"/>
        <w:ind w:firstLine="480" w:firstLineChars="200"/>
        <w:rPr>
          <w:rFonts w:hint="eastAsia" w:eastAsia="宋体"/>
          <w:szCs w:val="24"/>
          <w:highlight w:val="none"/>
          <w:lang w:eastAsia="zh-CN"/>
        </w:rPr>
      </w:pPr>
      <w:r>
        <w:rPr>
          <w:highlight w:val="none"/>
        </w:rPr>
        <w:t>(</w:t>
      </w:r>
      <w:r>
        <w:rPr>
          <w:rFonts w:hint="eastAsia"/>
          <w:highlight w:val="none"/>
          <w:lang w:val="en-US" w:eastAsia="zh-CN"/>
        </w:rPr>
        <w:t>6</w:t>
      </w:r>
      <w:r>
        <w:rPr>
          <w:highlight w:val="none"/>
        </w:rPr>
        <w:t>)拟派项目</w:t>
      </w:r>
      <w:r>
        <w:rPr>
          <w:rFonts w:hint="eastAsia"/>
          <w:highlight w:val="none"/>
        </w:rPr>
        <w:t>施工</w:t>
      </w:r>
      <w:r>
        <w:rPr>
          <w:highlight w:val="none"/>
        </w:rPr>
        <w:t>负责人为投标企业正式人员证明材料复印件</w:t>
      </w:r>
      <w:r>
        <w:rPr>
          <w:rFonts w:hint="eastAsia"/>
          <w:highlight w:val="none"/>
        </w:rPr>
        <w:t>或</w:t>
      </w:r>
      <w:r>
        <w:rPr>
          <w:rFonts w:hint="eastAsia" w:ascii="宋体" w:hAnsi="宋体" w:eastAsia="宋体" w:cs="宋体"/>
          <w:highlight w:val="none"/>
        </w:rPr>
        <w:t>扫描件。</w:t>
      </w:r>
      <w:r>
        <w:rPr>
          <w:highlight w:val="none"/>
        </w:rPr>
        <w:t>（</w:t>
      </w:r>
      <w:r>
        <w:rPr>
          <w:rFonts w:hint="eastAsia" w:cs="Times New Roman"/>
          <w:bCs/>
          <w:color w:val="000000"/>
          <w:highlight w:val="none"/>
        </w:rPr>
        <w:t>须提供：投标企业与其双方签订的有效劳动合同书</w:t>
      </w:r>
      <w:r>
        <w:rPr>
          <w:rFonts w:hint="eastAsia"/>
          <w:szCs w:val="24"/>
          <w:highlight w:val="none"/>
        </w:rPr>
        <w:t>的扫描件或复印件</w:t>
      </w:r>
      <w:r>
        <w:rPr>
          <w:rFonts w:hint="eastAsia"/>
          <w:szCs w:val="24"/>
          <w:highlight w:val="none"/>
          <w:lang w:eastAsia="zh-CN"/>
        </w:rPr>
        <w:t>）</w:t>
      </w:r>
    </w:p>
    <w:p>
      <w:pPr>
        <w:snapToGrid w:val="0"/>
        <w:spacing w:line="360" w:lineRule="auto"/>
        <w:ind w:firstLine="480" w:firstLineChars="200"/>
      </w:pPr>
      <w:r>
        <w:t>(</w:t>
      </w:r>
      <w:r>
        <w:rPr>
          <w:rFonts w:hint="eastAsia"/>
          <w:lang w:val="en-US" w:eastAsia="zh-CN"/>
        </w:rPr>
        <w:t>7</w:t>
      </w:r>
      <w:r>
        <w:t>)</w:t>
      </w:r>
      <w:r>
        <w:rPr>
          <w:rFonts w:cs="Times New Roman"/>
          <w:bCs/>
          <w:color w:val="000000"/>
          <w:lang w:val="zh-CN"/>
        </w:rPr>
        <w:t>拟派项目</w:t>
      </w:r>
      <w:r>
        <w:rPr>
          <w:rFonts w:hint="eastAsia" w:cs="Times New Roman"/>
          <w:bCs/>
          <w:color w:val="000000"/>
          <w:lang w:val="en-US" w:eastAsia="zh-CN"/>
        </w:rPr>
        <w:t>施工</w:t>
      </w:r>
      <w:r>
        <w:rPr>
          <w:rFonts w:cs="Times New Roman"/>
          <w:bCs/>
          <w:color w:val="000000"/>
          <w:lang w:val="zh-CN"/>
        </w:rPr>
        <w:t>负责人</w:t>
      </w:r>
      <w:r>
        <w:rPr>
          <w:rFonts w:cs="Times New Roman"/>
          <w:bCs/>
          <w:color w:val="000000"/>
        </w:rPr>
        <w:t>无在建工程</w:t>
      </w:r>
      <w:r>
        <w:rPr>
          <w:rFonts w:cs="Times New Roman"/>
          <w:bCs/>
          <w:color w:val="000000"/>
          <w:lang w:val="zh-CN"/>
        </w:rPr>
        <w:t>承诺书</w:t>
      </w:r>
      <w:r>
        <w:rPr>
          <w:rFonts w:hint="eastAsia" w:cs="Times New Roman"/>
          <w:bCs/>
          <w:color w:val="000000"/>
        </w:rPr>
        <w:t>原件</w:t>
      </w:r>
      <w:r>
        <w:t>（</w:t>
      </w:r>
      <w:r>
        <w:rPr>
          <w:rFonts w:cs="Calibri"/>
        </w:rPr>
        <w:t>格式详见第</w:t>
      </w:r>
      <w:r>
        <w:rPr>
          <w:rFonts w:hint="eastAsia" w:cs="Calibri"/>
        </w:rPr>
        <w:t>五</w:t>
      </w:r>
      <w:r>
        <w:rPr>
          <w:rFonts w:cs="Calibri"/>
        </w:rPr>
        <w:t>章</w:t>
      </w:r>
      <w:r>
        <w:t>）；</w:t>
      </w:r>
    </w:p>
    <w:p>
      <w:pPr>
        <w:snapToGrid w:val="0"/>
        <w:spacing w:line="360" w:lineRule="auto"/>
        <w:ind w:firstLine="480" w:firstLineChars="200"/>
        <w:rPr>
          <w:rFonts w:cs="Calibri"/>
        </w:rPr>
      </w:pPr>
      <w:r>
        <w:t>(</w:t>
      </w:r>
      <w:r>
        <w:rPr>
          <w:rFonts w:hint="eastAsia"/>
          <w:lang w:val="en-US" w:eastAsia="zh-CN"/>
        </w:rPr>
        <w:t>8</w:t>
      </w:r>
      <w:r>
        <w:t>)</w:t>
      </w:r>
      <w:r>
        <w:rPr>
          <w:rFonts w:cs="Calibri"/>
        </w:rPr>
        <w:t>诚信承诺书</w:t>
      </w:r>
      <w:r>
        <w:rPr>
          <w:rFonts w:hint="eastAsia" w:cs="Calibri"/>
        </w:rPr>
        <w:t>原件</w:t>
      </w:r>
      <w:r>
        <w:rPr>
          <w:rFonts w:cs="Calibri"/>
        </w:rPr>
        <w:t>（格式详见第</w:t>
      </w:r>
      <w:r>
        <w:rPr>
          <w:rFonts w:hint="eastAsia" w:cs="Calibri"/>
        </w:rPr>
        <w:t>五</w:t>
      </w:r>
      <w:r>
        <w:rPr>
          <w:rFonts w:cs="Calibri"/>
        </w:rPr>
        <w:t>章）</w:t>
      </w:r>
      <w:r>
        <w:rPr>
          <w:rFonts w:hint="eastAsia" w:cs="Calibri"/>
        </w:rPr>
        <w:t>；</w:t>
      </w:r>
    </w:p>
    <w:p>
      <w:pPr>
        <w:snapToGrid w:val="0"/>
        <w:spacing w:line="360" w:lineRule="auto"/>
        <w:ind w:firstLine="480" w:firstLineChars="200"/>
      </w:pPr>
      <w:r>
        <w:t>(</w:t>
      </w:r>
      <w:r>
        <w:rPr>
          <w:rFonts w:hint="eastAsia"/>
          <w:lang w:val="en-US" w:eastAsia="zh-CN"/>
        </w:rPr>
        <w:t>9</w:t>
      </w:r>
      <w:r>
        <w:t>)</w:t>
      </w:r>
      <w:r>
        <w:rPr>
          <w:rFonts w:hint="eastAsia" w:cs="Calibri"/>
        </w:rPr>
        <w:t>第五章投标</w:t>
      </w:r>
      <w:r>
        <w:rPr>
          <w:rFonts w:hint="eastAsia"/>
          <w:szCs w:val="24"/>
        </w:rPr>
        <w:t>文件格式所需提供的其他文件</w:t>
      </w:r>
      <w:r>
        <w:t>。</w:t>
      </w:r>
    </w:p>
    <w:p>
      <w:pPr>
        <w:snapToGrid w:val="0"/>
        <w:spacing w:line="360" w:lineRule="auto"/>
        <w:ind w:firstLine="602" w:firstLineChars="250"/>
      </w:pPr>
      <w:r>
        <w:rPr>
          <w:b/>
          <w:u w:val="single"/>
        </w:rPr>
        <w:t>具体要求详见本招标文件第二章中《资格审查标准汇总表》。提供的资格审查材料及审查标准，前后矛盾的以《资格审查标准汇总表》为准。</w:t>
      </w:r>
    </w:p>
    <w:p>
      <w:pPr>
        <w:snapToGrid w:val="0"/>
        <w:spacing w:line="360" w:lineRule="auto"/>
        <w:ind w:firstLine="602" w:firstLineChars="250"/>
        <w:rPr>
          <w:szCs w:val="24"/>
        </w:rPr>
      </w:pPr>
      <w:r>
        <w:rPr>
          <w:b/>
          <w:u w:val="single"/>
        </w:rPr>
        <w:t>以</w:t>
      </w:r>
      <w:r>
        <w:rPr>
          <w:b/>
          <w:szCs w:val="24"/>
          <w:u w:val="single"/>
        </w:rPr>
        <w:t>上复印件</w:t>
      </w:r>
      <w:r>
        <w:rPr>
          <w:rFonts w:hint="eastAsia"/>
          <w:b/>
          <w:szCs w:val="24"/>
          <w:u w:val="single"/>
        </w:rPr>
        <w:t>或扫描件</w:t>
      </w:r>
      <w:r>
        <w:rPr>
          <w:b/>
          <w:szCs w:val="24"/>
          <w:u w:val="single"/>
        </w:rPr>
        <w:t>须加盖投标单位公章，所有材料须统一密封在一个封袋中并编写材料目录，以便在开标时核查，并在封袋上加盖投标人单位公章和法定代表人印章。</w:t>
      </w:r>
    </w:p>
    <w:p>
      <w:pPr>
        <w:snapToGrid w:val="0"/>
        <w:spacing w:line="360" w:lineRule="auto"/>
        <w:ind w:firstLine="482" w:firstLineChars="200"/>
        <w:rPr>
          <w:b/>
          <w:szCs w:val="24"/>
        </w:rPr>
      </w:pPr>
      <w:r>
        <w:rPr>
          <w:b/>
          <w:szCs w:val="24"/>
        </w:rPr>
        <w:t xml:space="preserve">9.2 </w:t>
      </w:r>
      <w:r>
        <w:rPr>
          <w:rFonts w:hint="eastAsia"/>
          <w:b/>
          <w:szCs w:val="24"/>
        </w:rPr>
        <w:t>技术标</w:t>
      </w:r>
      <w:r>
        <w:rPr>
          <w:rFonts w:hint="eastAsia"/>
          <w:b/>
          <w:bCs/>
        </w:rPr>
        <w:t>（单独密封，暗标）</w:t>
      </w:r>
    </w:p>
    <w:p>
      <w:pPr>
        <w:snapToGrid w:val="0"/>
        <w:spacing w:line="360" w:lineRule="auto"/>
        <w:ind w:firstLine="482" w:firstLineChars="200"/>
        <w:rPr>
          <w:b/>
          <w:szCs w:val="24"/>
        </w:rPr>
      </w:pPr>
      <w:r>
        <w:rPr>
          <w:rFonts w:hint="eastAsia"/>
          <w:b/>
          <w:szCs w:val="24"/>
        </w:rPr>
        <w:t>设计方案</w:t>
      </w:r>
    </w:p>
    <w:p>
      <w:pPr>
        <w:autoSpaceDE w:val="0"/>
        <w:autoSpaceDN w:val="0"/>
        <w:adjustRightInd w:val="0"/>
        <w:spacing w:line="360" w:lineRule="auto"/>
        <w:ind w:firstLine="482" w:firstLineChars="200"/>
        <w:contextualSpacing/>
        <w:jc w:val="left"/>
        <w:rPr>
          <w:b/>
          <w:bCs/>
          <w:color w:val="FF0000"/>
        </w:rPr>
      </w:pPr>
      <w:r>
        <w:rPr>
          <w:rFonts w:hint="eastAsia"/>
          <w:b/>
          <w:bCs/>
          <w:color w:val="FF0000"/>
        </w:rPr>
        <w:t>本工程技术标采用暗标评审,技术标5份，不分正、副本。页面尺寸一律采用A4格式（图纸除外，图纸可采用A3格式），技术标无需制作封面、目录。</w:t>
      </w:r>
    </w:p>
    <w:p>
      <w:pPr>
        <w:autoSpaceDE w:val="0"/>
        <w:autoSpaceDN w:val="0"/>
        <w:adjustRightInd w:val="0"/>
        <w:spacing w:line="360" w:lineRule="auto"/>
        <w:ind w:firstLine="482" w:firstLineChars="200"/>
        <w:contextualSpacing/>
        <w:jc w:val="left"/>
        <w:rPr>
          <w:b/>
          <w:bCs/>
          <w:color w:val="FF0000"/>
        </w:rPr>
      </w:pPr>
      <w:r>
        <w:rPr>
          <w:rFonts w:hint="eastAsia"/>
          <w:b/>
          <w:bCs/>
          <w:color w:val="FF0000"/>
        </w:rPr>
        <w:t>文本均采用胶装。正文文本统一单面打印，</w:t>
      </w:r>
      <w:r>
        <w:rPr>
          <w:rFonts w:hint="eastAsia"/>
          <w:b/>
          <w:color w:val="FF0000"/>
          <w:kern w:val="2"/>
        </w:rPr>
        <w:t>字体统一用小四号宋体字，上边距 2 厘米，下边距 2.5 厘米，左边距（含装订线）3 厘米，右边距 2.5 厘米，段落行距为1.5 倍行距，</w:t>
      </w:r>
      <w:r>
        <w:rPr>
          <w:rFonts w:hint="eastAsia"/>
          <w:b/>
          <w:bCs/>
          <w:color w:val="FF0000"/>
        </w:rPr>
        <w:t>不得设置页眉、页脚、页码，不得有任何加粗、斜体、下划线、边框、阴影等标记，</w:t>
      </w:r>
      <w:r>
        <w:rPr>
          <w:rFonts w:hint="eastAsia"/>
          <w:b/>
          <w:color w:val="FF0000"/>
          <w:kern w:val="2"/>
        </w:rPr>
        <w:t>不得出现修改和行间插字或其他标记等手写字样，图表、图框、图片可使用彩色，但不得</w:t>
      </w:r>
      <w:r>
        <w:rPr>
          <w:rFonts w:hint="eastAsia"/>
          <w:b/>
          <w:bCs/>
          <w:color w:val="FF0000"/>
        </w:rPr>
        <w:t>出现明示或暗示投标人身份或特征的任何字符和徽标（包括标识、标志、人员姓名、企业名称、</w:t>
      </w:r>
      <w:r>
        <w:rPr>
          <w:rFonts w:hint="eastAsia"/>
          <w:b/>
          <w:color w:val="FF0000"/>
          <w:kern w:val="2"/>
        </w:rPr>
        <w:t>投标人承接过的业绩名称</w:t>
      </w:r>
      <w:r>
        <w:rPr>
          <w:rFonts w:hint="eastAsia"/>
          <w:b/>
          <w:bCs/>
          <w:color w:val="FF0000"/>
        </w:rPr>
        <w:t>、投标人独有的企业标准或编号等）。</w:t>
      </w:r>
    </w:p>
    <w:p>
      <w:pPr>
        <w:snapToGrid w:val="0"/>
        <w:spacing w:line="360" w:lineRule="auto"/>
        <w:ind w:firstLine="482" w:firstLineChars="200"/>
      </w:pPr>
      <w:r>
        <w:rPr>
          <w:b/>
          <w:szCs w:val="24"/>
          <w:u w:val="single"/>
        </w:rPr>
        <w:t>具体要求详见本招标文件第二章</w:t>
      </w:r>
      <w:r>
        <w:rPr>
          <w:rFonts w:hint="eastAsia"/>
          <w:b/>
          <w:szCs w:val="24"/>
          <w:u w:val="single"/>
        </w:rPr>
        <w:t>评标办法中</w:t>
      </w:r>
      <w:r>
        <w:rPr>
          <w:rFonts w:hint="eastAsia"/>
          <w:b/>
          <w:u w:val="single"/>
        </w:rPr>
        <w:t>技术标评审。</w:t>
      </w:r>
    </w:p>
    <w:p>
      <w:pPr>
        <w:snapToGrid w:val="0"/>
        <w:spacing w:line="360" w:lineRule="auto"/>
        <w:ind w:firstLine="482" w:firstLineChars="200"/>
        <w:rPr>
          <w:b/>
          <w:color w:val="FF0000"/>
        </w:rPr>
      </w:pPr>
      <w:r>
        <w:rPr>
          <w:rFonts w:hint="eastAsia"/>
          <w:b/>
        </w:rPr>
        <w:t>9.3</w:t>
      </w:r>
      <w:r>
        <w:rPr>
          <w:b/>
        </w:rPr>
        <w:t>商务标</w:t>
      </w:r>
      <w:r>
        <w:rPr>
          <w:rFonts w:hint="eastAsia"/>
          <w:b/>
        </w:rPr>
        <w:t>（单独密封）</w:t>
      </w:r>
      <w:r>
        <w:rPr>
          <w:rFonts w:hint="eastAsia"/>
          <w:b/>
          <w:bCs/>
        </w:rPr>
        <w:t>（</w:t>
      </w:r>
      <w:r>
        <w:rPr>
          <w:rFonts w:hint="eastAsia"/>
          <w:b/>
        </w:rPr>
        <w:t>正本壹份，副本肆份</w:t>
      </w:r>
      <w:r>
        <w:rPr>
          <w:rFonts w:hint="eastAsia"/>
          <w:b/>
          <w:bCs/>
        </w:rPr>
        <w:t>）</w:t>
      </w:r>
    </w:p>
    <w:p>
      <w:pPr>
        <w:numPr>
          <w:ilvl w:val="0"/>
          <w:numId w:val="2"/>
        </w:numPr>
        <w:snapToGrid w:val="0"/>
        <w:spacing w:line="360" w:lineRule="auto"/>
        <w:ind w:firstLine="480" w:firstLineChars="200"/>
        <w:rPr>
          <w:color w:val="000000"/>
        </w:rPr>
      </w:pPr>
      <w:r>
        <w:rPr>
          <w:color w:val="000000"/>
        </w:rPr>
        <w:t>投标函；</w:t>
      </w:r>
    </w:p>
    <w:p>
      <w:pPr>
        <w:numPr>
          <w:ilvl w:val="0"/>
          <w:numId w:val="2"/>
        </w:numPr>
        <w:snapToGrid w:val="0"/>
        <w:spacing w:line="360" w:lineRule="auto"/>
        <w:ind w:firstLine="480" w:firstLineChars="200"/>
        <w:rPr>
          <w:szCs w:val="24"/>
        </w:rPr>
      </w:pPr>
      <w:r>
        <w:rPr>
          <w:rFonts w:hint="eastAsia"/>
          <w:szCs w:val="24"/>
        </w:rPr>
        <w:t>企业及拟派项目施工负责人实力；</w:t>
      </w:r>
    </w:p>
    <w:p>
      <w:pPr>
        <w:numPr>
          <w:ilvl w:val="0"/>
          <w:numId w:val="2"/>
        </w:numPr>
        <w:snapToGrid w:val="0"/>
        <w:spacing w:line="360" w:lineRule="auto"/>
        <w:ind w:firstLine="480" w:firstLineChars="200"/>
      </w:pPr>
      <w:r>
        <w:rPr>
          <w:rFonts w:hint="eastAsia"/>
          <w:szCs w:val="24"/>
        </w:rPr>
        <w:t>投标人市场信用评价</w:t>
      </w:r>
      <w:r>
        <w:t>。</w:t>
      </w:r>
    </w:p>
    <w:p>
      <w:pPr>
        <w:pStyle w:val="6"/>
        <w:keepNext w:val="0"/>
        <w:keepLines w:val="0"/>
        <w:snapToGrid w:val="0"/>
        <w:ind w:firstLine="482" w:firstLineChars="200"/>
        <w:rPr>
          <w:rFonts w:ascii="宋体" w:hAnsi="宋体" w:cs="宋体"/>
          <w:sz w:val="24"/>
          <w:u w:val="single"/>
        </w:rPr>
      </w:pPr>
      <w:r>
        <w:rPr>
          <w:rFonts w:ascii="宋体" w:hAnsi="宋体" w:cs="宋体"/>
          <w:sz w:val="24"/>
          <w:u w:val="single"/>
        </w:rPr>
        <w:t>具体要求详见本招标文件第二章</w:t>
      </w:r>
      <w:r>
        <w:rPr>
          <w:rFonts w:hint="eastAsia" w:ascii="宋体" w:hAnsi="宋体" w:cs="宋体"/>
          <w:sz w:val="24"/>
          <w:u w:val="single"/>
        </w:rPr>
        <w:t>评标办法中商务标评审。</w:t>
      </w:r>
    </w:p>
    <w:p>
      <w:pPr>
        <w:snapToGrid w:val="0"/>
        <w:spacing w:line="360" w:lineRule="auto"/>
        <w:ind w:firstLine="482" w:firstLineChars="200"/>
      </w:pPr>
      <w:r>
        <w:rPr>
          <w:b/>
          <w:u w:val="single"/>
        </w:rPr>
        <w:t>以上</w:t>
      </w:r>
      <w:r>
        <w:rPr>
          <w:rFonts w:hint="eastAsia"/>
          <w:b/>
          <w:u w:val="single"/>
        </w:rPr>
        <w:t>证明材料均</w:t>
      </w:r>
      <w:r>
        <w:rPr>
          <w:b/>
          <w:u w:val="single"/>
        </w:rPr>
        <w:t>须加盖投标单位公章，所有材料须统一密封在一个封袋中并编写材料目录，以便在开标时核查，并在封袋上加盖投标人单位公章和法定代表人印章。</w:t>
      </w:r>
    </w:p>
    <w:p>
      <w:pPr>
        <w:snapToGrid w:val="0"/>
        <w:spacing w:line="360" w:lineRule="auto"/>
        <w:ind w:firstLine="480"/>
        <w:rPr>
          <w:bCs/>
        </w:rPr>
      </w:pPr>
      <w:r>
        <w:rPr>
          <w:bCs/>
        </w:rPr>
        <w:t>10</w:t>
      </w:r>
      <w:r>
        <w:rPr>
          <w:rFonts w:hint="eastAsia"/>
          <w:bCs/>
        </w:rPr>
        <w:t>、</w:t>
      </w:r>
      <w:r>
        <w:rPr>
          <w:rFonts w:hint="eastAsia"/>
          <w:szCs w:val="21"/>
        </w:rPr>
        <w:t>投标文件应按第五章“投标文件格式”进行编写，如有必要可自行增加，作为投标文件的组成部分。</w:t>
      </w:r>
    </w:p>
    <w:p>
      <w:pPr>
        <w:snapToGrid w:val="0"/>
        <w:spacing w:line="360" w:lineRule="auto"/>
        <w:ind w:firstLine="480" w:firstLineChars="200"/>
        <w:outlineLvl w:val="3"/>
        <w:rPr>
          <w:color w:val="FF0000"/>
        </w:rPr>
      </w:pPr>
      <w:r>
        <w:rPr>
          <w:bCs/>
        </w:rPr>
        <w:t>11</w:t>
      </w:r>
      <w:r>
        <w:rPr>
          <w:rFonts w:hint="eastAsia"/>
          <w:bCs/>
        </w:rPr>
        <w:t>、</w:t>
      </w:r>
      <w:r>
        <w:t>投标文件正本须用不能擦去的墨水书写或打印，投标文件副本可以复印，其正、副本都应装订成册，并在封面上正确标明“正本”、“副本”字样。</w:t>
      </w:r>
      <w:r>
        <w:rPr>
          <w:rFonts w:hint="eastAsia"/>
          <w:b/>
          <w:bCs/>
        </w:rPr>
        <w:t>资格审查文件、技术标文件、商务标分开装袋密封</w:t>
      </w:r>
      <w:r>
        <w:t>。</w:t>
      </w:r>
    </w:p>
    <w:p>
      <w:pPr>
        <w:snapToGrid w:val="0"/>
        <w:spacing w:line="360" w:lineRule="auto"/>
        <w:ind w:firstLine="480" w:firstLineChars="200"/>
        <w:outlineLvl w:val="3"/>
      </w:pPr>
      <w:r>
        <w:t>全套投标文件应无修改和行间插字。如有修改，须在修改处加盖投标人法定代表人或其代理人的印鉴。</w:t>
      </w:r>
    </w:p>
    <w:p>
      <w:pPr>
        <w:autoSpaceDE w:val="0"/>
        <w:autoSpaceDN w:val="0"/>
        <w:adjustRightInd w:val="0"/>
        <w:snapToGrid w:val="0"/>
        <w:spacing w:line="360" w:lineRule="auto"/>
        <w:ind w:left="500"/>
        <w:jc w:val="left"/>
        <w:rPr>
          <w:b/>
        </w:rPr>
      </w:pPr>
      <w:r>
        <w:rPr>
          <w:b/>
        </w:rPr>
        <w:t>12</w:t>
      </w:r>
      <w:r>
        <w:rPr>
          <w:rFonts w:hint="eastAsia"/>
          <w:b/>
        </w:rPr>
        <w:t>、</w:t>
      </w:r>
      <w:r>
        <w:rPr>
          <w:b/>
        </w:rPr>
        <w:t>投标有效期</w:t>
      </w:r>
    </w:p>
    <w:p>
      <w:pPr>
        <w:autoSpaceDE w:val="0"/>
        <w:autoSpaceDN w:val="0"/>
        <w:adjustRightInd w:val="0"/>
        <w:snapToGrid w:val="0"/>
        <w:spacing w:line="360" w:lineRule="auto"/>
        <w:ind w:left="500"/>
        <w:jc w:val="left"/>
        <w:rPr>
          <w:b/>
        </w:rPr>
      </w:pPr>
      <w:r>
        <w:t>投标文件自投标截止时间起至投标须知前附表规定的时间内有效。</w:t>
      </w:r>
    </w:p>
    <w:p>
      <w:pPr>
        <w:autoSpaceDE w:val="0"/>
        <w:autoSpaceDN w:val="0"/>
        <w:adjustRightInd w:val="0"/>
        <w:snapToGrid w:val="0"/>
        <w:spacing w:line="360" w:lineRule="auto"/>
        <w:ind w:firstLine="482" w:firstLineChars="200"/>
        <w:jc w:val="left"/>
        <w:rPr>
          <w:b/>
        </w:rPr>
      </w:pPr>
      <w:r>
        <w:rPr>
          <w:b/>
        </w:rPr>
        <w:t>13</w:t>
      </w:r>
      <w:r>
        <w:rPr>
          <w:rFonts w:hint="eastAsia"/>
          <w:b/>
        </w:rPr>
        <w:t>、</w:t>
      </w:r>
      <w:r>
        <w:rPr>
          <w:b/>
        </w:rPr>
        <w:t>投标保证金</w:t>
      </w:r>
    </w:p>
    <w:p>
      <w:pPr>
        <w:snapToGrid w:val="0"/>
        <w:spacing w:line="360" w:lineRule="auto"/>
        <w:ind w:firstLine="482" w:firstLineChars="200"/>
        <w:rPr>
          <w:b/>
        </w:rPr>
      </w:pPr>
      <w:r>
        <w:rPr>
          <w:b/>
        </w:rPr>
        <w:t>13.1</w:t>
      </w:r>
      <w:r>
        <w:rPr>
          <w:rFonts w:hint="eastAsia"/>
          <w:b/>
        </w:rPr>
        <w:t>投标人必须按照前附表第11项规定于投标文件提交截止时间前将投标保证金汇票和基本账户开户许可证复印件或扫描件（加盖单位公章）或《</w:t>
      </w:r>
      <w:r>
        <w:rPr>
          <w:rFonts w:hint="eastAsia"/>
          <w:b/>
          <w:bCs/>
        </w:rPr>
        <w:t>基本存款账户信息</w:t>
      </w:r>
      <w:r>
        <w:rPr>
          <w:rFonts w:hint="eastAsia"/>
          <w:b/>
        </w:rPr>
        <w:t>》复印件或扫描件（加盖单位公章）交给招标代理查验；投标保证金（银行汇票形式）上必须注明收款人：南通市崇川区财政局</w:t>
      </w:r>
      <w:r>
        <w:rPr>
          <w:rFonts w:hint="eastAsia" w:cs="Calibri"/>
          <w:b/>
        </w:rPr>
        <w:t>，</w:t>
      </w:r>
      <w:r>
        <w:rPr>
          <w:rFonts w:hint="eastAsia"/>
          <w:b/>
          <w:color w:val="FF0000"/>
          <w:highlight w:val="none"/>
        </w:rPr>
        <w:t>用途：</w:t>
      </w:r>
      <w:r>
        <w:rPr>
          <w:rFonts w:hint="eastAsia"/>
          <w:b/>
          <w:color w:val="FF0000"/>
          <w:highlight w:val="none"/>
          <w:lang w:val="en-US" w:eastAsia="zh-CN"/>
        </w:rPr>
        <w:t>133</w:t>
      </w:r>
      <w:r>
        <w:rPr>
          <w:rFonts w:hint="eastAsia"/>
          <w:b/>
          <w:color w:val="FF0000"/>
          <w:highlight w:val="none"/>
        </w:rPr>
        <w:t>号投标保证金</w:t>
      </w:r>
      <w:r>
        <w:rPr>
          <w:rFonts w:hint="eastAsia"/>
          <w:b/>
        </w:rPr>
        <w:t>；汇款人：</w:t>
      </w:r>
      <w:r>
        <w:rPr>
          <w:rFonts w:hint="eastAsia"/>
          <w:b/>
          <w:u w:val="single"/>
        </w:rPr>
        <w:t>投标单位名称</w:t>
      </w:r>
      <w:r>
        <w:rPr>
          <w:rFonts w:hint="eastAsia"/>
          <w:b/>
        </w:rPr>
        <w:t>。（帐户名：南通市崇川区财政局，开户行：江苏银行南通汇丰支行，账号：50030188000003292）。中标单位的投标保证金有效期在投标截止日后45天内有效；特别提醒：</w:t>
      </w:r>
    </w:p>
    <w:p>
      <w:pPr>
        <w:numPr>
          <w:ilvl w:val="0"/>
          <w:numId w:val="3"/>
        </w:numPr>
        <w:snapToGrid w:val="0"/>
        <w:spacing w:line="360" w:lineRule="auto"/>
        <w:ind w:firstLine="482" w:firstLineChars="200"/>
        <w:rPr>
          <w:b/>
        </w:rPr>
      </w:pPr>
      <w:r>
        <w:rPr>
          <w:b/>
        </w:rPr>
        <w:t>本工程投标保证金的形式必须为银行汇票（并非将保证金款打入指定账户）。若投标人以其他形式提交投标保证金的，其投标文件不予接收。</w:t>
      </w:r>
    </w:p>
    <w:p>
      <w:pPr>
        <w:numPr>
          <w:ilvl w:val="0"/>
          <w:numId w:val="0"/>
        </w:numPr>
        <w:snapToGrid w:val="0"/>
        <w:spacing w:line="360" w:lineRule="auto"/>
        <w:ind w:firstLine="482" w:firstLineChars="200"/>
        <w:rPr>
          <w:b/>
        </w:rPr>
      </w:pPr>
      <w:r>
        <w:rPr>
          <w:b/>
        </w:rPr>
        <w:t>（2）保证金形式，收款人、用途、汇款人等必须符合招标文件规定，否则其投标文件不予接收。</w:t>
      </w:r>
    </w:p>
    <w:p>
      <w:pPr>
        <w:snapToGrid w:val="0"/>
        <w:spacing w:line="360" w:lineRule="auto"/>
        <w:ind w:firstLine="482" w:firstLineChars="200"/>
        <w:rPr>
          <w:b/>
        </w:rPr>
      </w:pPr>
      <w:r>
        <w:rPr>
          <w:b/>
        </w:rPr>
        <w:t>（3）投标保证金必须由企业法人基本存款帐户汇出，否则不予接受。</w:t>
      </w:r>
    </w:p>
    <w:p>
      <w:pPr>
        <w:snapToGrid w:val="0"/>
        <w:spacing w:line="360" w:lineRule="auto"/>
        <w:ind w:firstLine="482" w:firstLineChars="200"/>
        <w:rPr>
          <w:b/>
        </w:rPr>
      </w:pPr>
      <w:r>
        <w:rPr>
          <w:b/>
        </w:rPr>
        <w:t>（4）各投标人在递交投标文件的同时需递交投标保证金银行汇票原件（无须密封）和基本账户开户许可证</w:t>
      </w:r>
      <w:r>
        <w:rPr>
          <w:rFonts w:hint="eastAsia"/>
          <w:b/>
        </w:rPr>
        <w:t>复印件或扫描件</w:t>
      </w:r>
      <w:r>
        <w:rPr>
          <w:b/>
        </w:rPr>
        <w:t>（须加盖单位公章，无须密封）或</w:t>
      </w:r>
      <w:r>
        <w:rPr>
          <w:rFonts w:hint="eastAsia"/>
          <w:b/>
        </w:rPr>
        <w:t>《</w:t>
      </w:r>
      <w:r>
        <w:rPr>
          <w:rFonts w:hint="eastAsia"/>
          <w:b/>
          <w:bCs/>
        </w:rPr>
        <w:t>基本存款账户信息</w:t>
      </w:r>
      <w:r>
        <w:rPr>
          <w:rFonts w:hint="eastAsia"/>
          <w:b/>
        </w:rPr>
        <w:t>》复印件或扫描件</w:t>
      </w:r>
      <w:r>
        <w:rPr>
          <w:b/>
        </w:rPr>
        <w:t>（须加盖单位公章，无须密封）供招标人代表查验，否则其投标文件不予接收。</w:t>
      </w:r>
    </w:p>
    <w:p>
      <w:pPr>
        <w:snapToGrid w:val="0"/>
        <w:spacing w:line="360" w:lineRule="auto"/>
        <w:ind w:firstLine="482" w:firstLineChars="200"/>
        <w:rPr>
          <w:b/>
        </w:rPr>
      </w:pPr>
      <w:r>
        <w:rPr>
          <w:b/>
        </w:rPr>
        <w:t>14</w:t>
      </w:r>
      <w:r>
        <w:rPr>
          <w:rFonts w:hint="eastAsia"/>
          <w:b/>
        </w:rPr>
        <w:t>、</w:t>
      </w:r>
      <w:r>
        <w:rPr>
          <w:b/>
        </w:rPr>
        <w:t>投标保证金退还</w:t>
      </w:r>
    </w:p>
    <w:p>
      <w:pPr>
        <w:snapToGrid w:val="0"/>
        <w:spacing w:line="360" w:lineRule="auto"/>
        <w:ind w:firstLine="482" w:firstLineChars="200"/>
        <w:rPr>
          <w:b/>
        </w:rPr>
      </w:pPr>
      <w:r>
        <w:rPr>
          <w:b/>
        </w:rPr>
        <w:t>14.1 未中标单位的投标保证金在其定标后予以退还。</w:t>
      </w:r>
    </w:p>
    <w:p>
      <w:pPr>
        <w:snapToGrid w:val="0"/>
        <w:spacing w:line="360" w:lineRule="auto"/>
        <w:ind w:firstLine="482" w:firstLineChars="200"/>
        <w:rPr>
          <w:b/>
        </w:rPr>
      </w:pPr>
      <w:r>
        <w:rPr>
          <w:b/>
        </w:rPr>
        <w:t>14.2 中标单位的投标保证金在施工合同生效后一周内予以退还。</w:t>
      </w:r>
    </w:p>
    <w:p>
      <w:pPr>
        <w:snapToGrid w:val="0"/>
        <w:spacing w:line="360" w:lineRule="auto"/>
        <w:ind w:firstLine="482" w:firstLineChars="200"/>
        <w:rPr>
          <w:b/>
        </w:rPr>
      </w:pPr>
      <w:r>
        <w:rPr>
          <w:b/>
        </w:rPr>
        <w:t>14.3 投标人出现下列情况，其投标保证金一律不予退还。</w:t>
      </w:r>
    </w:p>
    <w:p>
      <w:pPr>
        <w:snapToGrid w:val="0"/>
        <w:spacing w:line="360" w:lineRule="auto"/>
        <w:ind w:firstLine="482" w:firstLineChars="200"/>
        <w:rPr>
          <w:b/>
        </w:rPr>
      </w:pPr>
      <w:r>
        <w:rPr>
          <w:b/>
        </w:rPr>
        <w:t>14.3.1投标人在投标有效期内撤回其投标文件；</w:t>
      </w:r>
    </w:p>
    <w:p>
      <w:pPr>
        <w:snapToGrid w:val="0"/>
        <w:spacing w:line="360" w:lineRule="auto"/>
        <w:ind w:firstLine="482" w:firstLineChars="200"/>
        <w:rPr>
          <w:b/>
        </w:rPr>
      </w:pPr>
      <w:r>
        <w:rPr>
          <w:b/>
        </w:rPr>
        <w:t>14.3.2投标人存在《江苏省房屋建筑和市政基础设施工程招标投标中串通投标和弄虚作假行为认定处理办法（试行）》（苏建规字〔2014〕2号）第四条、第五条、第六条、第七条规定的串通投标、弄虚作假等行为的；</w:t>
      </w:r>
    </w:p>
    <w:p>
      <w:pPr>
        <w:snapToGrid w:val="0"/>
        <w:spacing w:line="360" w:lineRule="auto"/>
        <w:ind w:firstLine="482" w:firstLineChars="200"/>
        <w:rPr>
          <w:b/>
        </w:rPr>
      </w:pPr>
      <w:r>
        <w:rPr>
          <w:b/>
        </w:rPr>
        <w:t>14.3.3不同投标人的投标文件、已标价的工程量清单经清标软件分析，出现了评标委员会认为不应当雷同的情况（相同错误）的，且被评委认定为串标的。</w:t>
      </w:r>
    </w:p>
    <w:p>
      <w:pPr>
        <w:snapToGrid w:val="0"/>
        <w:spacing w:line="360" w:lineRule="auto"/>
        <w:ind w:firstLine="482" w:firstLineChars="200"/>
        <w:rPr>
          <w:b/>
        </w:rPr>
      </w:pPr>
      <w:r>
        <w:rPr>
          <w:b/>
        </w:rPr>
        <w:t>14.3.4投标人已签订《诚信承诺书》（详见招标文件标准格式）的，自投标之日起，中标公示结束之日止，经举报或区招标监管机构（评标委员会）复核，有悖于《诚信承诺书》相关承诺的，且查证属实的。</w:t>
      </w:r>
    </w:p>
    <w:p>
      <w:pPr>
        <w:snapToGrid w:val="0"/>
        <w:spacing w:line="360" w:lineRule="auto"/>
        <w:ind w:firstLine="482" w:firstLineChars="200"/>
        <w:rPr>
          <w:b/>
        </w:rPr>
      </w:pPr>
      <w:r>
        <w:rPr>
          <w:b/>
        </w:rPr>
        <w:t>14.4中标通知书发出后，除不可抗力情况外，中标人出现下列情形之一的，招标人必须取消其中标资格，并不予退还其投标保证金：</w:t>
      </w:r>
    </w:p>
    <w:p>
      <w:pPr>
        <w:snapToGrid w:val="0"/>
        <w:spacing w:line="360" w:lineRule="auto"/>
        <w:ind w:firstLine="482" w:firstLineChars="200"/>
        <w:rPr>
          <w:b/>
        </w:rPr>
      </w:pPr>
      <w:r>
        <w:rPr>
          <w:b/>
        </w:rPr>
        <w:t>14.4.1放弃中标项目的；</w:t>
      </w:r>
    </w:p>
    <w:p>
      <w:pPr>
        <w:snapToGrid w:val="0"/>
        <w:spacing w:line="360" w:lineRule="auto"/>
        <w:ind w:firstLine="482" w:firstLineChars="200"/>
        <w:rPr>
          <w:b/>
        </w:rPr>
      </w:pPr>
      <w:r>
        <w:rPr>
          <w:b/>
        </w:rPr>
        <w:t>14.4.2拒不按照招标文件的要求提交履约保证金的；</w:t>
      </w:r>
    </w:p>
    <w:p>
      <w:pPr>
        <w:snapToGrid w:val="0"/>
        <w:spacing w:line="360" w:lineRule="auto"/>
        <w:ind w:firstLine="482" w:firstLineChars="200"/>
        <w:rPr>
          <w:b/>
        </w:rPr>
      </w:pPr>
      <w:r>
        <w:rPr>
          <w:b/>
        </w:rPr>
        <w:t>14.4.3除不可抗力情况外不执行本招标文件第一章第34条款、35条款的</w:t>
      </w:r>
    </w:p>
    <w:p>
      <w:pPr>
        <w:snapToGrid w:val="0"/>
        <w:spacing w:line="360" w:lineRule="auto"/>
        <w:ind w:firstLine="482" w:firstLineChars="200"/>
        <w:rPr>
          <w:b/>
        </w:rPr>
      </w:pPr>
      <w:r>
        <w:rPr>
          <w:b/>
        </w:rPr>
        <w:t>14.4.4不与招标人签订合同的，或者在签订合同时向招标人提出附加条件或者更改合同实质性内容的。</w:t>
      </w:r>
    </w:p>
    <w:p>
      <w:pPr>
        <w:pStyle w:val="6"/>
        <w:keepNext w:val="0"/>
        <w:keepLines w:val="0"/>
        <w:snapToGrid w:val="0"/>
        <w:ind w:firstLine="482" w:firstLineChars="200"/>
      </w:pPr>
      <w:r>
        <w:rPr>
          <w:rFonts w:ascii="宋体" w:hAnsi="宋体"/>
          <w:sz w:val="24"/>
        </w:rPr>
        <w:t>存在上述14.3--14.4行为的，招标人不退还投标保证金并上交国库，并自认定之日起一年内不得参与崇川区任何招投标活动。参与投标的企业将视为遵守以上处理条款。</w:t>
      </w:r>
    </w:p>
    <w:bookmarkEnd w:id="22"/>
    <w:p>
      <w:pPr>
        <w:spacing w:line="360" w:lineRule="auto"/>
        <w:ind w:firstLine="482" w:firstLineChars="200"/>
        <w:jc w:val="center"/>
        <w:rPr>
          <w:b/>
        </w:rPr>
      </w:pPr>
    </w:p>
    <w:p>
      <w:pPr>
        <w:spacing w:line="360" w:lineRule="auto"/>
        <w:ind w:firstLine="602" w:firstLineChars="200"/>
        <w:jc w:val="center"/>
      </w:pPr>
      <w:r>
        <w:rPr>
          <w:rFonts w:hint="eastAsia" w:cs="Times New Roman"/>
          <w:b/>
          <w:bCs/>
          <w:color w:val="000000"/>
          <w:kern w:val="2"/>
          <w:sz w:val="30"/>
          <w:szCs w:val="30"/>
        </w:rPr>
        <w:t>（四）投标报价</w:t>
      </w:r>
    </w:p>
    <w:p>
      <w:pPr>
        <w:snapToGrid w:val="0"/>
        <w:spacing w:line="360" w:lineRule="auto"/>
        <w:ind w:firstLine="480" w:firstLineChars="200"/>
        <w:rPr>
          <w:b/>
          <w:szCs w:val="24"/>
          <w:lang w:val="zh-TW"/>
        </w:rPr>
      </w:pPr>
      <w:bookmarkStart w:id="23" w:name="_Toc536214623"/>
      <w:bookmarkStart w:id="24" w:name="_Toc389065165"/>
      <w:r>
        <w:rPr>
          <w:rFonts w:hint="eastAsia"/>
          <w:szCs w:val="21"/>
        </w:rPr>
        <w:t>15、</w:t>
      </w:r>
      <w:r>
        <w:rPr>
          <w:b/>
        </w:rPr>
        <w:t>投标报价方式：</w:t>
      </w:r>
      <w:r>
        <w:rPr>
          <w:rFonts w:hint="eastAsia"/>
          <w:szCs w:val="21"/>
        </w:rPr>
        <w:t>本</w:t>
      </w:r>
      <w:r>
        <w:rPr>
          <w:rFonts w:hint="eastAsia"/>
          <w:szCs w:val="24"/>
        </w:rPr>
        <w:t>工程采用</w:t>
      </w:r>
      <w:r>
        <w:rPr>
          <w:rFonts w:hint="eastAsia"/>
          <w:b/>
          <w:szCs w:val="24"/>
          <w:u w:val="single"/>
          <w:lang w:val="zh-TW"/>
        </w:rPr>
        <w:t>固定单价报价</w:t>
      </w:r>
      <w:r>
        <w:rPr>
          <w:rFonts w:hint="eastAsia"/>
          <w:b/>
          <w:szCs w:val="24"/>
        </w:rPr>
        <w:t>方</w:t>
      </w:r>
      <w:r>
        <w:rPr>
          <w:rFonts w:hint="eastAsia"/>
          <w:b/>
          <w:szCs w:val="24"/>
          <w:lang w:val="zh-TW"/>
        </w:rPr>
        <w:t>式。</w:t>
      </w:r>
    </w:p>
    <w:p>
      <w:pPr>
        <w:snapToGrid w:val="0"/>
        <w:spacing w:line="360" w:lineRule="auto"/>
        <w:ind w:firstLine="480" w:firstLineChars="200"/>
        <w:rPr>
          <w:szCs w:val="24"/>
        </w:rPr>
      </w:pPr>
      <w:r>
        <w:rPr>
          <w:rFonts w:hint="eastAsia"/>
          <w:szCs w:val="24"/>
        </w:rPr>
        <w:t>15.1报价均以人民币为报价币种。</w:t>
      </w:r>
    </w:p>
    <w:p>
      <w:pPr>
        <w:pStyle w:val="19"/>
        <w:snapToGrid w:val="0"/>
        <w:spacing w:line="360" w:lineRule="auto"/>
        <w:ind w:firstLine="480" w:firstLineChars="200"/>
        <w:jc w:val="both"/>
        <w:rPr>
          <w:sz w:val="24"/>
        </w:rPr>
      </w:pPr>
      <w:r>
        <w:rPr>
          <w:rFonts w:hint="eastAsia" w:ascii="宋体" w:hAnsi="宋体" w:cs="宋体"/>
          <w:kern w:val="0"/>
          <w:sz w:val="24"/>
        </w:rPr>
        <w:t>15.2费用组成详见下表：</w:t>
      </w:r>
    </w:p>
    <w:tbl>
      <w:tblPr>
        <w:tblStyle w:val="61"/>
        <w:tblW w:w="95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
        <w:gridCol w:w="1759"/>
        <w:gridCol w:w="738"/>
        <w:gridCol w:w="1133"/>
        <w:gridCol w:w="1296"/>
        <w:gridCol w:w="1484"/>
        <w:gridCol w:w="2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4" w:type="dxa"/>
            <w:vAlign w:val="center"/>
          </w:tcPr>
          <w:p>
            <w:pPr>
              <w:contextualSpacing/>
              <w:jc w:val="center"/>
              <w:rPr>
                <w:szCs w:val="21"/>
              </w:rPr>
            </w:pPr>
            <w:r>
              <w:rPr>
                <w:rFonts w:hint="eastAsia"/>
                <w:szCs w:val="21"/>
              </w:rPr>
              <w:t>一</w:t>
            </w:r>
          </w:p>
        </w:tc>
        <w:tc>
          <w:tcPr>
            <w:tcW w:w="9099" w:type="dxa"/>
            <w:gridSpan w:val="6"/>
            <w:vAlign w:val="center"/>
          </w:tcPr>
          <w:p>
            <w:pPr>
              <w:contextualSpacing/>
              <w:rPr>
                <w:szCs w:val="21"/>
              </w:rPr>
            </w:pPr>
            <w:r>
              <w:rPr>
                <w:rFonts w:hint="eastAsia"/>
                <w:szCs w:val="21"/>
              </w:rPr>
              <w:t>设计费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94" w:type="dxa"/>
            <w:vAlign w:val="center"/>
          </w:tcPr>
          <w:p>
            <w:pPr>
              <w:contextualSpacing/>
              <w:jc w:val="center"/>
              <w:rPr>
                <w:szCs w:val="21"/>
              </w:rPr>
            </w:pPr>
            <w:r>
              <w:rPr>
                <w:rFonts w:hint="eastAsia"/>
                <w:szCs w:val="21"/>
              </w:rPr>
              <w:t>序号</w:t>
            </w:r>
          </w:p>
        </w:tc>
        <w:tc>
          <w:tcPr>
            <w:tcW w:w="1797" w:type="dxa"/>
            <w:vAlign w:val="center"/>
          </w:tcPr>
          <w:p>
            <w:pPr>
              <w:contextualSpacing/>
              <w:jc w:val="center"/>
              <w:rPr>
                <w:color w:val="auto"/>
                <w:szCs w:val="21"/>
              </w:rPr>
            </w:pPr>
            <w:r>
              <w:rPr>
                <w:rFonts w:hint="eastAsia"/>
                <w:color w:val="auto"/>
                <w:szCs w:val="21"/>
              </w:rPr>
              <w:t>项目名称</w:t>
            </w:r>
          </w:p>
        </w:tc>
        <w:tc>
          <w:tcPr>
            <w:tcW w:w="748" w:type="dxa"/>
            <w:vAlign w:val="center"/>
          </w:tcPr>
          <w:p>
            <w:pPr>
              <w:contextualSpacing/>
              <w:jc w:val="center"/>
              <w:rPr>
                <w:color w:val="auto"/>
                <w:szCs w:val="21"/>
              </w:rPr>
            </w:pPr>
            <w:r>
              <w:rPr>
                <w:rFonts w:hint="eastAsia"/>
                <w:color w:val="auto"/>
                <w:szCs w:val="21"/>
              </w:rPr>
              <w:t>单位</w:t>
            </w:r>
          </w:p>
        </w:tc>
        <w:tc>
          <w:tcPr>
            <w:tcW w:w="1153" w:type="dxa"/>
            <w:vAlign w:val="center"/>
          </w:tcPr>
          <w:p>
            <w:pPr>
              <w:contextualSpacing/>
              <w:jc w:val="center"/>
              <w:rPr>
                <w:color w:val="auto"/>
                <w:szCs w:val="21"/>
              </w:rPr>
            </w:pPr>
            <w:r>
              <w:rPr>
                <w:rFonts w:hint="eastAsia"/>
                <w:color w:val="auto"/>
                <w:szCs w:val="21"/>
              </w:rPr>
              <w:t>数量</w:t>
            </w:r>
          </w:p>
        </w:tc>
        <w:tc>
          <w:tcPr>
            <w:tcW w:w="1161" w:type="dxa"/>
            <w:vAlign w:val="center"/>
          </w:tcPr>
          <w:p>
            <w:pPr>
              <w:contextualSpacing/>
              <w:jc w:val="center"/>
              <w:rPr>
                <w:rFonts w:hint="eastAsia" w:eastAsia="宋体"/>
                <w:color w:val="auto"/>
                <w:szCs w:val="21"/>
                <w:lang w:eastAsia="zh-CN"/>
              </w:rPr>
            </w:pPr>
            <w:r>
              <w:rPr>
                <w:rFonts w:hint="eastAsia"/>
                <w:color w:val="auto"/>
                <w:szCs w:val="21"/>
              </w:rPr>
              <w:t>单价</w:t>
            </w:r>
            <w:r>
              <w:rPr>
                <w:rFonts w:hint="eastAsia"/>
                <w:color w:val="auto"/>
                <w:szCs w:val="21"/>
                <w:lang w:eastAsia="zh-CN"/>
              </w:rPr>
              <w:t>（元）</w:t>
            </w:r>
          </w:p>
        </w:tc>
        <w:tc>
          <w:tcPr>
            <w:tcW w:w="1486" w:type="dxa"/>
            <w:vAlign w:val="center"/>
          </w:tcPr>
          <w:p>
            <w:pPr>
              <w:contextualSpacing/>
              <w:jc w:val="center"/>
              <w:rPr>
                <w:rFonts w:hint="eastAsia" w:eastAsia="宋体"/>
                <w:color w:val="auto"/>
                <w:szCs w:val="21"/>
                <w:lang w:eastAsia="zh-CN"/>
              </w:rPr>
            </w:pPr>
            <w:r>
              <w:rPr>
                <w:rFonts w:hint="eastAsia"/>
                <w:color w:val="auto"/>
                <w:szCs w:val="21"/>
              </w:rPr>
              <w:t>合计</w:t>
            </w:r>
            <w:r>
              <w:rPr>
                <w:rFonts w:hint="eastAsia"/>
                <w:color w:val="auto"/>
                <w:szCs w:val="21"/>
                <w:lang w:eastAsia="zh-CN"/>
              </w:rPr>
              <w:t>（元）</w:t>
            </w:r>
          </w:p>
        </w:tc>
        <w:tc>
          <w:tcPr>
            <w:tcW w:w="2754" w:type="dxa"/>
            <w:vAlign w:val="center"/>
          </w:tcPr>
          <w:p>
            <w:pPr>
              <w:contextualSpacing/>
              <w:jc w:val="center"/>
              <w:rPr>
                <w:color w:val="auto"/>
                <w:szCs w:val="21"/>
              </w:rPr>
            </w:pPr>
            <w:r>
              <w:rPr>
                <w:rFonts w:hint="eastAsia"/>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494" w:type="dxa"/>
            <w:vAlign w:val="center"/>
          </w:tcPr>
          <w:p>
            <w:pPr>
              <w:contextualSpacing/>
              <w:jc w:val="center"/>
              <w:rPr>
                <w:szCs w:val="21"/>
              </w:rPr>
            </w:pPr>
            <w:r>
              <w:rPr>
                <w:rFonts w:hint="eastAsia"/>
                <w:szCs w:val="21"/>
              </w:rPr>
              <w:t>1</w:t>
            </w:r>
          </w:p>
        </w:tc>
        <w:tc>
          <w:tcPr>
            <w:tcW w:w="1797" w:type="dxa"/>
            <w:vAlign w:val="center"/>
          </w:tcPr>
          <w:p>
            <w:pPr>
              <w:contextualSpacing/>
              <w:rPr>
                <w:color w:val="auto"/>
                <w:szCs w:val="21"/>
              </w:rPr>
            </w:pPr>
            <w:r>
              <w:rPr>
                <w:rFonts w:hint="eastAsia"/>
                <w:color w:val="auto"/>
                <w:szCs w:val="21"/>
              </w:rPr>
              <w:t>设计费</w:t>
            </w:r>
          </w:p>
        </w:tc>
        <w:tc>
          <w:tcPr>
            <w:tcW w:w="748" w:type="dxa"/>
            <w:vAlign w:val="center"/>
          </w:tcPr>
          <w:p>
            <w:pPr>
              <w:contextualSpacing/>
              <w:jc w:val="center"/>
              <w:rPr>
                <w:color w:val="auto"/>
                <w:szCs w:val="21"/>
              </w:rPr>
            </w:pPr>
            <w:r>
              <w:rPr>
                <w:rFonts w:hint="eastAsia"/>
                <w:color w:val="auto"/>
                <w:szCs w:val="21"/>
              </w:rPr>
              <w:t>项</w:t>
            </w:r>
          </w:p>
        </w:tc>
        <w:tc>
          <w:tcPr>
            <w:tcW w:w="1153" w:type="dxa"/>
            <w:vAlign w:val="center"/>
          </w:tcPr>
          <w:p>
            <w:pPr>
              <w:contextualSpacing/>
              <w:jc w:val="center"/>
              <w:rPr>
                <w:color w:val="auto"/>
                <w:szCs w:val="21"/>
              </w:rPr>
            </w:pPr>
            <w:r>
              <w:rPr>
                <w:rFonts w:hint="eastAsia"/>
                <w:color w:val="auto"/>
                <w:szCs w:val="21"/>
              </w:rPr>
              <w:t>1</w:t>
            </w:r>
          </w:p>
        </w:tc>
        <w:tc>
          <w:tcPr>
            <w:tcW w:w="1161" w:type="dxa"/>
            <w:vAlign w:val="center"/>
          </w:tcPr>
          <w:p>
            <w:pPr>
              <w:contextualSpacing/>
              <w:jc w:val="center"/>
              <w:rPr>
                <w:color w:val="auto"/>
                <w:szCs w:val="21"/>
              </w:rPr>
            </w:pPr>
            <w:r>
              <w:rPr>
                <w:rFonts w:hint="eastAsia"/>
                <w:color w:val="auto"/>
                <w:szCs w:val="21"/>
              </w:rPr>
              <w:t>5</w:t>
            </w:r>
            <w:r>
              <w:rPr>
                <w:rFonts w:hint="eastAsia"/>
                <w:color w:val="auto"/>
                <w:szCs w:val="21"/>
                <w:lang w:val="en-US" w:eastAsia="zh-CN"/>
              </w:rPr>
              <w:t>5</w:t>
            </w:r>
            <w:r>
              <w:rPr>
                <w:rFonts w:hint="eastAsia"/>
                <w:color w:val="auto"/>
                <w:szCs w:val="21"/>
              </w:rPr>
              <w:t>000.00</w:t>
            </w:r>
          </w:p>
        </w:tc>
        <w:tc>
          <w:tcPr>
            <w:tcW w:w="1486" w:type="dxa"/>
            <w:vAlign w:val="center"/>
          </w:tcPr>
          <w:p>
            <w:pPr>
              <w:contextualSpacing/>
              <w:jc w:val="center"/>
              <w:rPr>
                <w:color w:val="auto"/>
                <w:szCs w:val="21"/>
              </w:rPr>
            </w:pPr>
            <w:r>
              <w:rPr>
                <w:rFonts w:hint="eastAsia"/>
                <w:color w:val="auto"/>
                <w:szCs w:val="21"/>
              </w:rPr>
              <w:t>5</w:t>
            </w:r>
            <w:r>
              <w:rPr>
                <w:rFonts w:hint="eastAsia"/>
                <w:color w:val="auto"/>
                <w:szCs w:val="21"/>
                <w:lang w:val="en-US" w:eastAsia="zh-CN"/>
              </w:rPr>
              <w:t>5</w:t>
            </w:r>
            <w:r>
              <w:rPr>
                <w:rFonts w:hint="eastAsia"/>
                <w:color w:val="auto"/>
                <w:szCs w:val="21"/>
              </w:rPr>
              <w:t>000.00</w:t>
            </w:r>
          </w:p>
        </w:tc>
        <w:tc>
          <w:tcPr>
            <w:tcW w:w="2754" w:type="dxa"/>
            <w:vAlign w:val="center"/>
          </w:tcPr>
          <w:p>
            <w:pPr>
              <w:contextualSpacing/>
              <w:jc w:val="left"/>
              <w:rPr>
                <w:color w:val="auto"/>
                <w:szCs w:val="21"/>
              </w:rPr>
            </w:pPr>
            <w:r>
              <w:rPr>
                <w:rFonts w:hint="eastAsia"/>
                <w:color w:val="auto"/>
                <w:szCs w:val="21"/>
              </w:rPr>
              <w:t>1、各投标人在报价时不得调整该费用。结算时按最终施工结算审计价的</w:t>
            </w:r>
            <w:r>
              <w:rPr>
                <w:rFonts w:hint="eastAsia"/>
                <w:color w:val="auto"/>
                <w:szCs w:val="21"/>
                <w:lang w:val="en-US" w:eastAsia="zh-CN"/>
              </w:rPr>
              <w:t>4.5</w:t>
            </w:r>
            <w:r>
              <w:rPr>
                <w:rFonts w:hint="eastAsia"/>
                <w:color w:val="auto"/>
                <w:szCs w:val="21"/>
              </w:rPr>
              <w:t>%计算。</w:t>
            </w:r>
          </w:p>
          <w:p>
            <w:pPr>
              <w:contextualSpacing/>
              <w:jc w:val="left"/>
              <w:rPr>
                <w:color w:val="auto"/>
                <w:szCs w:val="21"/>
              </w:rPr>
            </w:pPr>
            <w:r>
              <w:rPr>
                <w:rFonts w:hint="eastAsia"/>
                <w:color w:val="auto"/>
                <w:szCs w:val="21"/>
              </w:rPr>
              <w:t>2、详见招标文件投标人须知15.3。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4" w:type="dxa"/>
            <w:vAlign w:val="center"/>
          </w:tcPr>
          <w:p>
            <w:pPr>
              <w:contextualSpacing/>
              <w:jc w:val="center"/>
              <w:rPr>
                <w:szCs w:val="21"/>
              </w:rPr>
            </w:pPr>
          </w:p>
        </w:tc>
        <w:tc>
          <w:tcPr>
            <w:tcW w:w="1797" w:type="dxa"/>
            <w:vAlign w:val="center"/>
          </w:tcPr>
          <w:p>
            <w:pPr>
              <w:contextualSpacing/>
              <w:jc w:val="center"/>
              <w:rPr>
                <w:color w:val="auto"/>
                <w:szCs w:val="21"/>
              </w:rPr>
            </w:pPr>
            <w:r>
              <w:rPr>
                <w:rFonts w:hint="eastAsia"/>
                <w:color w:val="auto"/>
                <w:szCs w:val="21"/>
              </w:rPr>
              <w:t>小计</w:t>
            </w:r>
          </w:p>
        </w:tc>
        <w:tc>
          <w:tcPr>
            <w:tcW w:w="748" w:type="dxa"/>
            <w:vAlign w:val="center"/>
          </w:tcPr>
          <w:p>
            <w:pPr>
              <w:contextualSpacing/>
              <w:jc w:val="center"/>
              <w:rPr>
                <w:color w:val="auto"/>
                <w:szCs w:val="21"/>
              </w:rPr>
            </w:pPr>
          </w:p>
        </w:tc>
        <w:tc>
          <w:tcPr>
            <w:tcW w:w="1153" w:type="dxa"/>
            <w:vAlign w:val="center"/>
          </w:tcPr>
          <w:p>
            <w:pPr>
              <w:contextualSpacing/>
              <w:jc w:val="center"/>
              <w:rPr>
                <w:color w:val="auto"/>
                <w:szCs w:val="21"/>
              </w:rPr>
            </w:pPr>
          </w:p>
        </w:tc>
        <w:tc>
          <w:tcPr>
            <w:tcW w:w="1161" w:type="dxa"/>
            <w:vAlign w:val="center"/>
          </w:tcPr>
          <w:p>
            <w:pPr>
              <w:contextualSpacing/>
              <w:jc w:val="center"/>
              <w:rPr>
                <w:color w:val="auto"/>
                <w:szCs w:val="21"/>
              </w:rPr>
            </w:pPr>
          </w:p>
        </w:tc>
        <w:tc>
          <w:tcPr>
            <w:tcW w:w="1486" w:type="dxa"/>
            <w:vAlign w:val="center"/>
          </w:tcPr>
          <w:p>
            <w:pPr>
              <w:contextualSpacing/>
              <w:jc w:val="center"/>
              <w:rPr>
                <w:color w:val="auto"/>
                <w:szCs w:val="21"/>
              </w:rPr>
            </w:pPr>
            <w:r>
              <w:rPr>
                <w:rFonts w:hint="eastAsia"/>
                <w:color w:val="auto"/>
                <w:szCs w:val="21"/>
              </w:rPr>
              <w:t>5</w:t>
            </w:r>
            <w:r>
              <w:rPr>
                <w:rFonts w:hint="eastAsia"/>
                <w:color w:val="auto"/>
                <w:szCs w:val="21"/>
                <w:lang w:val="en-US" w:eastAsia="zh-CN"/>
              </w:rPr>
              <w:t>5</w:t>
            </w:r>
            <w:r>
              <w:rPr>
                <w:rFonts w:hint="eastAsia"/>
                <w:color w:val="auto"/>
                <w:szCs w:val="21"/>
              </w:rPr>
              <w:t>000.00</w:t>
            </w:r>
          </w:p>
        </w:tc>
        <w:tc>
          <w:tcPr>
            <w:tcW w:w="2754" w:type="dxa"/>
            <w:vAlign w:val="center"/>
          </w:tcPr>
          <w:p>
            <w:pPr>
              <w:contextualSpacing/>
              <w:jc w:val="left"/>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4" w:type="dxa"/>
            <w:vAlign w:val="center"/>
          </w:tcPr>
          <w:p>
            <w:pPr>
              <w:contextualSpacing/>
              <w:jc w:val="center"/>
              <w:rPr>
                <w:szCs w:val="21"/>
              </w:rPr>
            </w:pPr>
            <w:r>
              <w:rPr>
                <w:rFonts w:hint="eastAsia"/>
                <w:szCs w:val="21"/>
              </w:rPr>
              <w:t>二</w:t>
            </w:r>
          </w:p>
        </w:tc>
        <w:tc>
          <w:tcPr>
            <w:tcW w:w="9099" w:type="dxa"/>
            <w:gridSpan w:val="6"/>
            <w:vAlign w:val="center"/>
          </w:tcPr>
          <w:p>
            <w:pPr>
              <w:contextualSpacing/>
              <w:rPr>
                <w:color w:val="auto"/>
                <w:szCs w:val="21"/>
              </w:rPr>
            </w:pPr>
            <w:r>
              <w:rPr>
                <w:rFonts w:hint="eastAsia"/>
                <w:color w:val="auto"/>
                <w:szCs w:val="21"/>
              </w:rPr>
              <w:t>施工费（含1.5个月的养护期）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494" w:type="dxa"/>
            <w:vAlign w:val="center"/>
          </w:tcPr>
          <w:p>
            <w:pPr>
              <w:contextualSpacing/>
              <w:jc w:val="center"/>
              <w:rPr>
                <w:szCs w:val="21"/>
              </w:rPr>
            </w:pPr>
            <w:r>
              <w:rPr>
                <w:rFonts w:hint="eastAsia"/>
                <w:szCs w:val="21"/>
              </w:rPr>
              <w:t>序号</w:t>
            </w:r>
          </w:p>
        </w:tc>
        <w:tc>
          <w:tcPr>
            <w:tcW w:w="1797" w:type="dxa"/>
            <w:vAlign w:val="center"/>
          </w:tcPr>
          <w:p>
            <w:pPr>
              <w:contextualSpacing/>
              <w:jc w:val="center"/>
              <w:rPr>
                <w:color w:val="auto"/>
                <w:szCs w:val="21"/>
              </w:rPr>
            </w:pPr>
            <w:r>
              <w:rPr>
                <w:rFonts w:hint="eastAsia"/>
                <w:color w:val="auto"/>
                <w:szCs w:val="21"/>
              </w:rPr>
              <w:t>项目名称</w:t>
            </w:r>
          </w:p>
        </w:tc>
        <w:tc>
          <w:tcPr>
            <w:tcW w:w="748" w:type="dxa"/>
            <w:vAlign w:val="center"/>
          </w:tcPr>
          <w:p>
            <w:pPr>
              <w:contextualSpacing/>
              <w:jc w:val="center"/>
              <w:rPr>
                <w:color w:val="auto"/>
                <w:szCs w:val="21"/>
              </w:rPr>
            </w:pPr>
            <w:r>
              <w:rPr>
                <w:rFonts w:hint="eastAsia"/>
                <w:color w:val="auto"/>
                <w:szCs w:val="21"/>
              </w:rPr>
              <w:t>单位</w:t>
            </w:r>
          </w:p>
        </w:tc>
        <w:tc>
          <w:tcPr>
            <w:tcW w:w="1153" w:type="dxa"/>
            <w:vAlign w:val="center"/>
          </w:tcPr>
          <w:p>
            <w:pPr>
              <w:contextualSpacing/>
              <w:jc w:val="center"/>
              <w:rPr>
                <w:color w:val="auto"/>
                <w:szCs w:val="21"/>
              </w:rPr>
            </w:pPr>
            <w:r>
              <w:rPr>
                <w:rFonts w:hint="eastAsia"/>
                <w:color w:val="auto"/>
                <w:szCs w:val="21"/>
              </w:rPr>
              <w:t>暂定面积</w:t>
            </w:r>
          </w:p>
          <w:p>
            <w:pPr>
              <w:contextualSpacing/>
              <w:jc w:val="center"/>
              <w:rPr>
                <w:color w:val="auto"/>
                <w:szCs w:val="21"/>
              </w:rPr>
            </w:pPr>
            <w:r>
              <w:rPr>
                <w:rFonts w:hint="eastAsia"/>
                <w:color w:val="auto"/>
                <w:szCs w:val="21"/>
              </w:rPr>
              <w:t>或数量</w:t>
            </w:r>
          </w:p>
        </w:tc>
        <w:tc>
          <w:tcPr>
            <w:tcW w:w="1161" w:type="dxa"/>
            <w:vAlign w:val="center"/>
          </w:tcPr>
          <w:p>
            <w:pPr>
              <w:contextualSpacing/>
              <w:jc w:val="center"/>
              <w:rPr>
                <w:rFonts w:hint="eastAsia" w:eastAsia="宋体"/>
                <w:color w:val="auto"/>
                <w:szCs w:val="21"/>
                <w:lang w:eastAsia="zh-CN"/>
              </w:rPr>
            </w:pPr>
            <w:r>
              <w:rPr>
                <w:rFonts w:hint="eastAsia"/>
                <w:color w:val="auto"/>
                <w:szCs w:val="21"/>
              </w:rPr>
              <w:t>单价</w:t>
            </w:r>
            <w:r>
              <w:rPr>
                <w:rFonts w:hint="eastAsia"/>
                <w:color w:val="auto"/>
                <w:szCs w:val="21"/>
                <w:lang w:eastAsia="zh-CN"/>
              </w:rPr>
              <w:t>（元）</w:t>
            </w:r>
          </w:p>
        </w:tc>
        <w:tc>
          <w:tcPr>
            <w:tcW w:w="1486" w:type="dxa"/>
            <w:vAlign w:val="center"/>
          </w:tcPr>
          <w:p>
            <w:pPr>
              <w:contextualSpacing/>
              <w:jc w:val="center"/>
              <w:rPr>
                <w:rFonts w:hint="eastAsia" w:eastAsia="宋体"/>
                <w:color w:val="auto"/>
                <w:szCs w:val="21"/>
                <w:lang w:eastAsia="zh-CN"/>
              </w:rPr>
            </w:pPr>
            <w:r>
              <w:rPr>
                <w:rFonts w:hint="eastAsia"/>
                <w:color w:val="auto"/>
                <w:szCs w:val="21"/>
              </w:rPr>
              <w:t>合计</w:t>
            </w:r>
            <w:r>
              <w:rPr>
                <w:rFonts w:hint="eastAsia"/>
                <w:color w:val="auto"/>
                <w:szCs w:val="21"/>
                <w:lang w:eastAsia="zh-CN"/>
              </w:rPr>
              <w:t>（元）</w:t>
            </w:r>
          </w:p>
        </w:tc>
        <w:tc>
          <w:tcPr>
            <w:tcW w:w="2754" w:type="dxa"/>
            <w:vAlign w:val="center"/>
          </w:tcPr>
          <w:p>
            <w:pPr>
              <w:contextualSpacing/>
              <w:jc w:val="center"/>
              <w:rPr>
                <w:color w:val="auto"/>
                <w:szCs w:val="21"/>
              </w:rPr>
            </w:pPr>
            <w:r>
              <w:rPr>
                <w:rFonts w:hint="eastAsia"/>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4" w:type="dxa"/>
            <w:vAlign w:val="center"/>
          </w:tcPr>
          <w:p>
            <w:pPr>
              <w:contextualSpacing/>
              <w:jc w:val="center"/>
              <w:rPr>
                <w:b/>
                <w:szCs w:val="21"/>
              </w:rPr>
            </w:pPr>
            <w:r>
              <w:rPr>
                <w:rFonts w:hint="eastAsia"/>
                <w:szCs w:val="21"/>
              </w:rPr>
              <w:t>1</w:t>
            </w:r>
          </w:p>
        </w:tc>
        <w:tc>
          <w:tcPr>
            <w:tcW w:w="1797" w:type="dxa"/>
            <w:vAlign w:val="center"/>
          </w:tcPr>
          <w:p>
            <w:pPr>
              <w:contextualSpacing/>
              <w:jc w:val="left"/>
              <w:rPr>
                <w:b/>
                <w:color w:val="auto"/>
                <w:szCs w:val="21"/>
              </w:rPr>
            </w:pPr>
            <w:r>
              <w:rPr>
                <w:rFonts w:hint="eastAsia"/>
                <w:color w:val="auto"/>
                <w:szCs w:val="21"/>
              </w:rPr>
              <w:t>立体花卉（含骨架、基质及草花）</w:t>
            </w:r>
          </w:p>
        </w:tc>
        <w:tc>
          <w:tcPr>
            <w:tcW w:w="748" w:type="dxa"/>
            <w:vAlign w:val="center"/>
          </w:tcPr>
          <w:p>
            <w:pPr>
              <w:contextualSpacing/>
              <w:jc w:val="center"/>
              <w:rPr>
                <w:b/>
                <w:color w:val="auto"/>
                <w:szCs w:val="21"/>
              </w:rPr>
            </w:pPr>
            <w:r>
              <w:rPr>
                <w:rFonts w:hint="eastAsia"/>
                <w:color w:val="auto"/>
                <w:szCs w:val="21"/>
              </w:rPr>
              <w:t>㎡</w:t>
            </w:r>
          </w:p>
        </w:tc>
        <w:tc>
          <w:tcPr>
            <w:tcW w:w="1153" w:type="dxa"/>
            <w:vAlign w:val="center"/>
          </w:tcPr>
          <w:p>
            <w:pPr>
              <w:contextualSpacing/>
              <w:jc w:val="center"/>
              <w:rPr>
                <w:b/>
                <w:color w:val="auto"/>
                <w:szCs w:val="21"/>
              </w:rPr>
            </w:pPr>
            <w:r>
              <w:rPr>
                <w:rFonts w:hint="eastAsia"/>
                <w:color w:val="auto"/>
                <w:szCs w:val="21"/>
              </w:rPr>
              <w:t>550</w:t>
            </w:r>
          </w:p>
        </w:tc>
        <w:tc>
          <w:tcPr>
            <w:tcW w:w="1161" w:type="dxa"/>
            <w:vAlign w:val="center"/>
          </w:tcPr>
          <w:p>
            <w:pPr>
              <w:contextualSpacing/>
              <w:jc w:val="center"/>
              <w:rPr>
                <w:b/>
                <w:color w:val="auto"/>
                <w:szCs w:val="21"/>
              </w:rPr>
            </w:pPr>
            <w:r>
              <w:rPr>
                <w:rFonts w:hint="eastAsia"/>
                <w:color w:val="auto"/>
                <w:szCs w:val="21"/>
              </w:rPr>
              <w:t>1100.00</w:t>
            </w:r>
          </w:p>
        </w:tc>
        <w:tc>
          <w:tcPr>
            <w:tcW w:w="1486" w:type="dxa"/>
            <w:vAlign w:val="center"/>
          </w:tcPr>
          <w:p>
            <w:pPr>
              <w:contextualSpacing/>
              <w:jc w:val="center"/>
              <w:rPr>
                <w:color w:val="auto"/>
                <w:szCs w:val="21"/>
              </w:rPr>
            </w:pPr>
            <w:r>
              <w:rPr>
                <w:rFonts w:hint="eastAsia"/>
                <w:color w:val="auto"/>
                <w:szCs w:val="21"/>
              </w:rPr>
              <w:t>按设计展开面积自主报价</w:t>
            </w:r>
          </w:p>
        </w:tc>
        <w:tc>
          <w:tcPr>
            <w:tcW w:w="2754" w:type="dxa"/>
            <w:vAlign w:val="center"/>
          </w:tcPr>
          <w:p>
            <w:pPr>
              <w:contextualSpacing/>
              <w:jc w:val="left"/>
              <w:rPr>
                <w:color w:val="auto"/>
                <w:szCs w:val="21"/>
              </w:rPr>
            </w:pPr>
            <w:r>
              <w:rPr>
                <w:rFonts w:hint="eastAsia"/>
                <w:color w:val="auto"/>
                <w:szCs w:val="21"/>
              </w:rPr>
              <w:t>1、每个地段主体造型一般不得低于5.5米。</w:t>
            </w:r>
          </w:p>
          <w:p>
            <w:pPr>
              <w:contextualSpacing/>
              <w:jc w:val="left"/>
              <w:rPr>
                <w:b/>
                <w:color w:val="auto"/>
                <w:szCs w:val="21"/>
              </w:rPr>
            </w:pPr>
            <w:r>
              <w:rPr>
                <w:rFonts w:hint="eastAsia"/>
                <w:color w:val="auto"/>
                <w:szCs w:val="21"/>
              </w:rPr>
              <w:t>2、详见招标文件投标人须知15.4。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4" w:type="dxa"/>
            <w:vAlign w:val="center"/>
          </w:tcPr>
          <w:p>
            <w:pPr>
              <w:contextualSpacing/>
              <w:jc w:val="center"/>
              <w:rPr>
                <w:szCs w:val="21"/>
              </w:rPr>
            </w:pPr>
            <w:r>
              <w:rPr>
                <w:rFonts w:hint="eastAsia"/>
                <w:szCs w:val="21"/>
              </w:rPr>
              <w:t>2</w:t>
            </w:r>
          </w:p>
        </w:tc>
        <w:tc>
          <w:tcPr>
            <w:tcW w:w="1797" w:type="dxa"/>
            <w:vAlign w:val="center"/>
          </w:tcPr>
          <w:p>
            <w:pPr>
              <w:contextualSpacing/>
              <w:rPr>
                <w:color w:val="auto"/>
                <w:szCs w:val="21"/>
              </w:rPr>
            </w:pPr>
            <w:r>
              <w:rPr>
                <w:rFonts w:hint="eastAsia"/>
                <w:color w:val="auto"/>
                <w:szCs w:val="21"/>
              </w:rPr>
              <w:t>平面摆花</w:t>
            </w:r>
          </w:p>
        </w:tc>
        <w:tc>
          <w:tcPr>
            <w:tcW w:w="748" w:type="dxa"/>
            <w:vAlign w:val="center"/>
          </w:tcPr>
          <w:p>
            <w:pPr>
              <w:contextualSpacing/>
              <w:jc w:val="center"/>
              <w:rPr>
                <w:color w:val="auto"/>
                <w:szCs w:val="21"/>
              </w:rPr>
            </w:pPr>
            <w:r>
              <w:rPr>
                <w:rFonts w:hint="eastAsia"/>
                <w:color w:val="auto"/>
                <w:szCs w:val="21"/>
              </w:rPr>
              <w:t>㎡</w:t>
            </w:r>
          </w:p>
        </w:tc>
        <w:tc>
          <w:tcPr>
            <w:tcW w:w="1153" w:type="dxa"/>
            <w:vAlign w:val="center"/>
          </w:tcPr>
          <w:p>
            <w:pPr>
              <w:contextualSpacing/>
              <w:jc w:val="center"/>
              <w:rPr>
                <w:color w:val="auto"/>
                <w:szCs w:val="21"/>
              </w:rPr>
            </w:pPr>
            <w:r>
              <w:rPr>
                <w:rFonts w:hint="eastAsia"/>
                <w:color w:val="auto"/>
                <w:szCs w:val="21"/>
              </w:rPr>
              <w:t>400</w:t>
            </w:r>
          </w:p>
        </w:tc>
        <w:tc>
          <w:tcPr>
            <w:tcW w:w="1161" w:type="dxa"/>
            <w:vAlign w:val="center"/>
          </w:tcPr>
          <w:p>
            <w:pPr>
              <w:contextualSpacing/>
              <w:jc w:val="center"/>
              <w:rPr>
                <w:color w:val="auto"/>
                <w:szCs w:val="21"/>
              </w:rPr>
            </w:pPr>
            <w:r>
              <w:rPr>
                <w:rFonts w:hint="eastAsia"/>
                <w:color w:val="auto"/>
                <w:szCs w:val="21"/>
              </w:rPr>
              <w:t>200.00</w:t>
            </w:r>
          </w:p>
        </w:tc>
        <w:tc>
          <w:tcPr>
            <w:tcW w:w="1486" w:type="dxa"/>
            <w:vAlign w:val="center"/>
          </w:tcPr>
          <w:p>
            <w:pPr>
              <w:jc w:val="center"/>
              <w:rPr>
                <w:color w:val="auto"/>
              </w:rPr>
            </w:pPr>
            <w:r>
              <w:rPr>
                <w:rFonts w:hint="eastAsia"/>
                <w:color w:val="auto"/>
                <w:szCs w:val="21"/>
              </w:rPr>
              <w:t>按设计展开面积自主报价</w:t>
            </w:r>
          </w:p>
        </w:tc>
        <w:tc>
          <w:tcPr>
            <w:tcW w:w="2754" w:type="dxa"/>
            <w:vAlign w:val="center"/>
          </w:tcPr>
          <w:p>
            <w:pPr>
              <w:contextualSpacing/>
              <w:rPr>
                <w:color w:val="auto"/>
                <w:szCs w:val="21"/>
              </w:rPr>
            </w:pPr>
            <w:r>
              <w:rPr>
                <w:rFonts w:hint="eastAsia"/>
                <w:color w:val="auto"/>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94" w:type="dxa"/>
            <w:vAlign w:val="center"/>
          </w:tcPr>
          <w:p>
            <w:pPr>
              <w:contextualSpacing/>
              <w:jc w:val="center"/>
              <w:rPr>
                <w:szCs w:val="21"/>
              </w:rPr>
            </w:pPr>
            <w:r>
              <w:rPr>
                <w:rFonts w:hint="eastAsia"/>
                <w:szCs w:val="21"/>
              </w:rPr>
              <w:t>3</w:t>
            </w:r>
          </w:p>
        </w:tc>
        <w:tc>
          <w:tcPr>
            <w:tcW w:w="1797" w:type="dxa"/>
            <w:vAlign w:val="center"/>
          </w:tcPr>
          <w:p>
            <w:pPr>
              <w:contextualSpacing/>
              <w:rPr>
                <w:color w:val="auto"/>
                <w:szCs w:val="21"/>
              </w:rPr>
            </w:pPr>
            <w:r>
              <w:rPr>
                <w:rFonts w:hint="eastAsia"/>
                <w:color w:val="auto"/>
                <w:szCs w:val="21"/>
              </w:rPr>
              <w:t>花球</w:t>
            </w:r>
          </w:p>
        </w:tc>
        <w:tc>
          <w:tcPr>
            <w:tcW w:w="748" w:type="dxa"/>
            <w:vAlign w:val="center"/>
          </w:tcPr>
          <w:p>
            <w:pPr>
              <w:contextualSpacing/>
              <w:jc w:val="center"/>
              <w:rPr>
                <w:color w:val="auto"/>
                <w:szCs w:val="21"/>
              </w:rPr>
            </w:pPr>
            <w:r>
              <w:rPr>
                <w:rFonts w:hint="eastAsia"/>
                <w:color w:val="auto"/>
                <w:szCs w:val="21"/>
              </w:rPr>
              <w:t>㎡</w:t>
            </w:r>
          </w:p>
        </w:tc>
        <w:tc>
          <w:tcPr>
            <w:tcW w:w="1153" w:type="dxa"/>
            <w:vAlign w:val="center"/>
          </w:tcPr>
          <w:p>
            <w:pPr>
              <w:contextualSpacing/>
              <w:jc w:val="center"/>
              <w:rPr>
                <w:color w:val="auto"/>
                <w:szCs w:val="21"/>
              </w:rPr>
            </w:pPr>
            <w:r>
              <w:rPr>
                <w:rFonts w:hint="eastAsia"/>
                <w:color w:val="auto"/>
                <w:szCs w:val="21"/>
              </w:rPr>
              <w:t>150</w:t>
            </w:r>
          </w:p>
        </w:tc>
        <w:tc>
          <w:tcPr>
            <w:tcW w:w="1161" w:type="dxa"/>
            <w:vAlign w:val="center"/>
          </w:tcPr>
          <w:p>
            <w:pPr>
              <w:contextualSpacing/>
              <w:jc w:val="center"/>
              <w:rPr>
                <w:color w:val="auto"/>
                <w:szCs w:val="21"/>
              </w:rPr>
            </w:pPr>
            <w:r>
              <w:rPr>
                <w:rFonts w:hint="eastAsia"/>
                <w:color w:val="auto"/>
                <w:szCs w:val="21"/>
              </w:rPr>
              <w:t>300.00</w:t>
            </w:r>
          </w:p>
        </w:tc>
        <w:tc>
          <w:tcPr>
            <w:tcW w:w="1486" w:type="dxa"/>
            <w:vAlign w:val="center"/>
          </w:tcPr>
          <w:p>
            <w:pPr>
              <w:jc w:val="center"/>
              <w:rPr>
                <w:color w:val="auto"/>
              </w:rPr>
            </w:pPr>
            <w:r>
              <w:rPr>
                <w:rFonts w:hint="eastAsia"/>
                <w:color w:val="auto"/>
                <w:szCs w:val="21"/>
              </w:rPr>
              <w:t>按设计展开面积自主报价</w:t>
            </w:r>
          </w:p>
        </w:tc>
        <w:tc>
          <w:tcPr>
            <w:tcW w:w="2754" w:type="dxa"/>
            <w:vAlign w:val="center"/>
          </w:tcPr>
          <w:p>
            <w:pPr>
              <w:contextualSpacing/>
              <w:rPr>
                <w:color w:val="auto"/>
                <w:szCs w:val="21"/>
              </w:rPr>
            </w:pPr>
            <w:r>
              <w:rPr>
                <w:rFonts w:hint="eastAsia"/>
                <w:color w:val="auto"/>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94" w:type="dxa"/>
            <w:vAlign w:val="center"/>
          </w:tcPr>
          <w:p>
            <w:pPr>
              <w:contextualSpacing/>
              <w:jc w:val="center"/>
              <w:rPr>
                <w:szCs w:val="21"/>
              </w:rPr>
            </w:pPr>
            <w:r>
              <w:rPr>
                <w:rFonts w:hint="eastAsia"/>
                <w:szCs w:val="21"/>
              </w:rPr>
              <w:t>4</w:t>
            </w:r>
          </w:p>
        </w:tc>
        <w:tc>
          <w:tcPr>
            <w:tcW w:w="1797" w:type="dxa"/>
            <w:vAlign w:val="center"/>
          </w:tcPr>
          <w:p>
            <w:pPr>
              <w:contextualSpacing/>
              <w:rPr>
                <w:color w:val="auto"/>
                <w:szCs w:val="21"/>
              </w:rPr>
            </w:pPr>
            <w:r>
              <w:rPr>
                <w:rFonts w:hint="eastAsia"/>
                <w:color w:val="auto"/>
                <w:szCs w:val="21"/>
              </w:rPr>
              <w:t>花境</w:t>
            </w:r>
          </w:p>
        </w:tc>
        <w:tc>
          <w:tcPr>
            <w:tcW w:w="748" w:type="dxa"/>
            <w:vAlign w:val="center"/>
          </w:tcPr>
          <w:p>
            <w:pPr>
              <w:contextualSpacing/>
              <w:jc w:val="center"/>
              <w:rPr>
                <w:color w:val="auto"/>
                <w:szCs w:val="21"/>
              </w:rPr>
            </w:pPr>
            <w:r>
              <w:rPr>
                <w:rFonts w:hint="eastAsia"/>
                <w:color w:val="auto"/>
                <w:szCs w:val="21"/>
              </w:rPr>
              <w:t>㎡</w:t>
            </w:r>
          </w:p>
        </w:tc>
        <w:tc>
          <w:tcPr>
            <w:tcW w:w="1153" w:type="dxa"/>
            <w:vAlign w:val="center"/>
          </w:tcPr>
          <w:p>
            <w:pPr>
              <w:contextualSpacing/>
              <w:jc w:val="center"/>
              <w:rPr>
                <w:color w:val="auto"/>
                <w:szCs w:val="21"/>
              </w:rPr>
            </w:pPr>
            <w:r>
              <w:rPr>
                <w:rFonts w:hint="eastAsia"/>
                <w:color w:val="auto"/>
                <w:szCs w:val="21"/>
              </w:rPr>
              <w:t>60</w:t>
            </w:r>
          </w:p>
        </w:tc>
        <w:tc>
          <w:tcPr>
            <w:tcW w:w="1161" w:type="dxa"/>
            <w:vAlign w:val="center"/>
          </w:tcPr>
          <w:p>
            <w:pPr>
              <w:contextualSpacing/>
              <w:jc w:val="center"/>
              <w:rPr>
                <w:color w:val="auto"/>
                <w:szCs w:val="21"/>
              </w:rPr>
            </w:pPr>
            <w:r>
              <w:rPr>
                <w:rFonts w:hint="eastAsia"/>
                <w:color w:val="auto"/>
                <w:szCs w:val="21"/>
              </w:rPr>
              <w:t>500.00</w:t>
            </w:r>
          </w:p>
        </w:tc>
        <w:tc>
          <w:tcPr>
            <w:tcW w:w="1486" w:type="dxa"/>
            <w:vAlign w:val="center"/>
          </w:tcPr>
          <w:p>
            <w:pPr>
              <w:jc w:val="center"/>
              <w:rPr>
                <w:color w:val="auto"/>
              </w:rPr>
            </w:pPr>
            <w:r>
              <w:rPr>
                <w:rFonts w:hint="eastAsia"/>
                <w:color w:val="auto"/>
                <w:szCs w:val="21"/>
              </w:rPr>
              <w:t>按设计展开面积自主报价</w:t>
            </w:r>
          </w:p>
        </w:tc>
        <w:tc>
          <w:tcPr>
            <w:tcW w:w="2754" w:type="dxa"/>
            <w:vAlign w:val="center"/>
          </w:tcPr>
          <w:p>
            <w:pPr>
              <w:contextualSpacing/>
              <w:rPr>
                <w:color w:val="auto"/>
                <w:szCs w:val="21"/>
              </w:rPr>
            </w:pPr>
            <w:r>
              <w:rPr>
                <w:rFonts w:hint="eastAsia"/>
                <w:color w:val="auto"/>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Align w:val="center"/>
          </w:tcPr>
          <w:p>
            <w:pPr>
              <w:contextualSpacing/>
              <w:jc w:val="center"/>
              <w:rPr>
                <w:szCs w:val="21"/>
              </w:rPr>
            </w:pPr>
            <w:r>
              <w:rPr>
                <w:rFonts w:hint="eastAsia"/>
                <w:szCs w:val="21"/>
              </w:rPr>
              <w:t>5</w:t>
            </w:r>
          </w:p>
        </w:tc>
        <w:tc>
          <w:tcPr>
            <w:tcW w:w="1797" w:type="dxa"/>
            <w:vAlign w:val="center"/>
          </w:tcPr>
          <w:p>
            <w:pPr>
              <w:contextualSpacing/>
              <w:rPr>
                <w:color w:val="auto"/>
                <w:szCs w:val="21"/>
              </w:rPr>
            </w:pPr>
            <w:r>
              <w:rPr>
                <w:rFonts w:hint="eastAsia"/>
                <w:color w:val="auto"/>
                <w:szCs w:val="21"/>
              </w:rPr>
              <w:t>配饰物等</w:t>
            </w:r>
          </w:p>
        </w:tc>
        <w:tc>
          <w:tcPr>
            <w:tcW w:w="748" w:type="dxa"/>
            <w:vAlign w:val="center"/>
          </w:tcPr>
          <w:p>
            <w:pPr>
              <w:contextualSpacing/>
              <w:jc w:val="center"/>
              <w:rPr>
                <w:color w:val="auto"/>
                <w:szCs w:val="21"/>
              </w:rPr>
            </w:pPr>
            <w:r>
              <w:rPr>
                <w:rFonts w:hint="eastAsia"/>
                <w:color w:val="auto"/>
                <w:szCs w:val="21"/>
              </w:rPr>
              <w:t>项</w:t>
            </w:r>
          </w:p>
        </w:tc>
        <w:tc>
          <w:tcPr>
            <w:tcW w:w="1153" w:type="dxa"/>
            <w:vAlign w:val="center"/>
          </w:tcPr>
          <w:p>
            <w:pPr>
              <w:contextualSpacing/>
              <w:jc w:val="center"/>
              <w:rPr>
                <w:color w:val="auto"/>
                <w:szCs w:val="21"/>
              </w:rPr>
            </w:pPr>
            <w:r>
              <w:rPr>
                <w:rFonts w:hint="eastAsia"/>
                <w:color w:val="auto"/>
                <w:szCs w:val="21"/>
              </w:rPr>
              <w:t>1</w:t>
            </w:r>
          </w:p>
        </w:tc>
        <w:tc>
          <w:tcPr>
            <w:tcW w:w="1161" w:type="dxa"/>
            <w:vAlign w:val="center"/>
          </w:tcPr>
          <w:p>
            <w:pPr>
              <w:contextualSpacing/>
              <w:jc w:val="center"/>
              <w:rPr>
                <w:color w:val="auto"/>
                <w:szCs w:val="21"/>
              </w:rPr>
            </w:pPr>
          </w:p>
        </w:tc>
        <w:tc>
          <w:tcPr>
            <w:tcW w:w="1486" w:type="dxa"/>
            <w:vAlign w:val="center"/>
          </w:tcPr>
          <w:p>
            <w:pPr>
              <w:contextualSpacing/>
              <w:jc w:val="center"/>
              <w:rPr>
                <w:color w:val="auto"/>
                <w:szCs w:val="21"/>
              </w:rPr>
            </w:pPr>
            <w:r>
              <w:rPr>
                <w:rFonts w:hint="eastAsia"/>
                <w:color w:val="auto"/>
                <w:szCs w:val="21"/>
              </w:rPr>
              <w:t>自主报价</w:t>
            </w:r>
          </w:p>
        </w:tc>
        <w:tc>
          <w:tcPr>
            <w:tcW w:w="2754" w:type="dxa"/>
          </w:tcPr>
          <w:p>
            <w:pPr>
              <w:contextualSpacing/>
              <w:rPr>
                <w:color w:val="auto"/>
                <w:szCs w:val="21"/>
              </w:rPr>
            </w:pPr>
            <w:r>
              <w:rPr>
                <w:rFonts w:hint="eastAsia"/>
                <w:color w:val="auto"/>
                <w:szCs w:val="21"/>
              </w:rPr>
              <w:t>小品、栅栏、绢花等配饰物，根据设计方案自行填报，表格自行扩展，单位、数量、单价根据方案设计自行确定。如未填此项，则视为对招标人的优惠。结算时不予调整该费用。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Align w:val="center"/>
          </w:tcPr>
          <w:p>
            <w:pPr>
              <w:contextualSpacing/>
              <w:jc w:val="center"/>
              <w:rPr>
                <w:color w:val="auto"/>
                <w:szCs w:val="21"/>
              </w:rPr>
            </w:pPr>
            <w:r>
              <w:rPr>
                <w:rFonts w:hint="eastAsia"/>
                <w:color w:val="auto"/>
                <w:szCs w:val="21"/>
              </w:rPr>
              <w:t>6</w:t>
            </w:r>
          </w:p>
        </w:tc>
        <w:tc>
          <w:tcPr>
            <w:tcW w:w="1797" w:type="dxa"/>
            <w:vAlign w:val="center"/>
          </w:tcPr>
          <w:p>
            <w:pPr>
              <w:contextualSpacing/>
              <w:rPr>
                <w:color w:val="auto"/>
                <w:szCs w:val="21"/>
              </w:rPr>
            </w:pPr>
            <w:r>
              <w:rPr>
                <w:rFonts w:hint="eastAsia"/>
                <w:color w:val="auto"/>
                <w:szCs w:val="21"/>
              </w:rPr>
              <w:t>亮化设施</w:t>
            </w:r>
          </w:p>
        </w:tc>
        <w:tc>
          <w:tcPr>
            <w:tcW w:w="748" w:type="dxa"/>
            <w:vAlign w:val="center"/>
          </w:tcPr>
          <w:p>
            <w:pPr>
              <w:contextualSpacing/>
              <w:jc w:val="center"/>
              <w:rPr>
                <w:color w:val="auto"/>
                <w:szCs w:val="21"/>
              </w:rPr>
            </w:pPr>
            <w:r>
              <w:rPr>
                <w:rFonts w:hint="eastAsia"/>
                <w:color w:val="auto"/>
                <w:szCs w:val="21"/>
              </w:rPr>
              <w:t>项</w:t>
            </w:r>
          </w:p>
        </w:tc>
        <w:tc>
          <w:tcPr>
            <w:tcW w:w="1153" w:type="dxa"/>
            <w:vAlign w:val="center"/>
          </w:tcPr>
          <w:p>
            <w:pPr>
              <w:contextualSpacing/>
              <w:jc w:val="center"/>
              <w:rPr>
                <w:color w:val="auto"/>
                <w:szCs w:val="21"/>
              </w:rPr>
            </w:pPr>
            <w:r>
              <w:rPr>
                <w:rFonts w:hint="eastAsia"/>
                <w:color w:val="auto"/>
                <w:szCs w:val="21"/>
              </w:rPr>
              <w:t>1</w:t>
            </w:r>
          </w:p>
        </w:tc>
        <w:tc>
          <w:tcPr>
            <w:tcW w:w="1161" w:type="dxa"/>
            <w:vAlign w:val="center"/>
          </w:tcPr>
          <w:p>
            <w:pPr>
              <w:contextualSpacing/>
              <w:jc w:val="center"/>
              <w:rPr>
                <w:color w:val="auto"/>
                <w:szCs w:val="21"/>
                <w:highlight w:val="none"/>
              </w:rPr>
            </w:pPr>
            <w:r>
              <w:rPr>
                <w:rFonts w:hint="eastAsia"/>
                <w:color w:val="auto"/>
                <w:szCs w:val="21"/>
                <w:highlight w:val="none"/>
              </w:rPr>
              <w:t>1</w:t>
            </w:r>
            <w:r>
              <w:rPr>
                <w:rFonts w:hint="eastAsia"/>
                <w:color w:val="auto"/>
                <w:szCs w:val="21"/>
                <w:highlight w:val="none"/>
                <w:lang w:val="en-US" w:eastAsia="zh-CN"/>
              </w:rPr>
              <w:t>4</w:t>
            </w:r>
            <w:r>
              <w:rPr>
                <w:rFonts w:hint="eastAsia"/>
                <w:color w:val="auto"/>
                <w:szCs w:val="21"/>
                <w:highlight w:val="none"/>
              </w:rPr>
              <w:t>5000.00</w:t>
            </w:r>
          </w:p>
        </w:tc>
        <w:tc>
          <w:tcPr>
            <w:tcW w:w="1486" w:type="dxa"/>
            <w:vAlign w:val="center"/>
          </w:tcPr>
          <w:p>
            <w:pPr>
              <w:contextualSpacing/>
              <w:jc w:val="center"/>
              <w:rPr>
                <w:color w:val="auto"/>
                <w:szCs w:val="21"/>
                <w:highlight w:val="none"/>
              </w:rPr>
            </w:pPr>
            <w:r>
              <w:rPr>
                <w:rFonts w:hint="eastAsia"/>
                <w:color w:val="auto"/>
                <w:szCs w:val="21"/>
                <w:highlight w:val="none"/>
              </w:rPr>
              <w:t>1</w:t>
            </w:r>
            <w:r>
              <w:rPr>
                <w:rFonts w:hint="eastAsia"/>
                <w:color w:val="auto"/>
                <w:szCs w:val="21"/>
                <w:highlight w:val="none"/>
                <w:lang w:val="en-US" w:eastAsia="zh-CN"/>
              </w:rPr>
              <w:t>4</w:t>
            </w:r>
            <w:r>
              <w:rPr>
                <w:rFonts w:hint="eastAsia"/>
                <w:color w:val="auto"/>
                <w:szCs w:val="21"/>
                <w:highlight w:val="none"/>
              </w:rPr>
              <w:t>5000.00</w:t>
            </w:r>
          </w:p>
        </w:tc>
        <w:tc>
          <w:tcPr>
            <w:tcW w:w="2754" w:type="dxa"/>
          </w:tcPr>
          <w:p>
            <w:pPr>
              <w:contextualSpacing/>
              <w:rPr>
                <w:color w:val="auto"/>
                <w:szCs w:val="21"/>
              </w:rPr>
            </w:pPr>
            <w:r>
              <w:rPr>
                <w:rFonts w:hint="eastAsia"/>
                <w:color w:val="auto"/>
                <w:szCs w:val="21"/>
              </w:rPr>
              <w:t>1、各投标人在报价时不得调整该费用。</w:t>
            </w:r>
          </w:p>
          <w:p>
            <w:pPr>
              <w:contextualSpacing/>
              <w:rPr>
                <w:color w:val="auto"/>
                <w:szCs w:val="21"/>
              </w:rPr>
            </w:pPr>
            <w:r>
              <w:rPr>
                <w:rFonts w:hint="eastAsia"/>
                <w:color w:val="auto"/>
                <w:szCs w:val="21"/>
              </w:rPr>
              <w:t>2、详见招标文件投标人须知15.6。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Align w:val="center"/>
          </w:tcPr>
          <w:p>
            <w:pPr>
              <w:contextualSpacing/>
              <w:jc w:val="center"/>
              <w:rPr>
                <w:color w:val="auto"/>
                <w:szCs w:val="21"/>
              </w:rPr>
            </w:pPr>
            <w:r>
              <w:rPr>
                <w:rFonts w:hint="eastAsia"/>
                <w:color w:val="auto"/>
                <w:szCs w:val="21"/>
              </w:rPr>
              <w:t>7</w:t>
            </w:r>
          </w:p>
        </w:tc>
        <w:tc>
          <w:tcPr>
            <w:tcW w:w="1797" w:type="dxa"/>
            <w:vAlign w:val="center"/>
          </w:tcPr>
          <w:p>
            <w:pPr>
              <w:contextualSpacing/>
              <w:rPr>
                <w:color w:val="auto"/>
                <w:szCs w:val="21"/>
              </w:rPr>
            </w:pPr>
            <w:r>
              <w:rPr>
                <w:rFonts w:hint="eastAsia"/>
                <w:color w:val="auto"/>
                <w:szCs w:val="21"/>
              </w:rPr>
              <w:t>暂列金额</w:t>
            </w:r>
          </w:p>
        </w:tc>
        <w:tc>
          <w:tcPr>
            <w:tcW w:w="748" w:type="dxa"/>
            <w:vAlign w:val="center"/>
          </w:tcPr>
          <w:p>
            <w:pPr>
              <w:contextualSpacing/>
              <w:jc w:val="center"/>
              <w:rPr>
                <w:color w:val="auto"/>
                <w:szCs w:val="21"/>
              </w:rPr>
            </w:pPr>
            <w:r>
              <w:rPr>
                <w:rFonts w:hint="eastAsia"/>
                <w:color w:val="auto"/>
                <w:szCs w:val="21"/>
              </w:rPr>
              <w:t>项</w:t>
            </w:r>
          </w:p>
        </w:tc>
        <w:tc>
          <w:tcPr>
            <w:tcW w:w="1153" w:type="dxa"/>
            <w:vAlign w:val="center"/>
          </w:tcPr>
          <w:p>
            <w:pPr>
              <w:contextualSpacing/>
              <w:jc w:val="center"/>
              <w:rPr>
                <w:color w:val="auto"/>
                <w:szCs w:val="21"/>
              </w:rPr>
            </w:pPr>
            <w:r>
              <w:rPr>
                <w:rFonts w:hint="eastAsia"/>
                <w:color w:val="auto"/>
                <w:szCs w:val="21"/>
              </w:rPr>
              <w:t>1</w:t>
            </w:r>
          </w:p>
        </w:tc>
        <w:tc>
          <w:tcPr>
            <w:tcW w:w="1161" w:type="dxa"/>
            <w:vAlign w:val="center"/>
          </w:tcPr>
          <w:p>
            <w:pPr>
              <w:contextualSpacing/>
              <w:jc w:val="center"/>
              <w:rPr>
                <w:color w:val="auto"/>
                <w:szCs w:val="21"/>
              </w:rPr>
            </w:pPr>
            <w:r>
              <w:rPr>
                <w:rFonts w:hint="eastAsia"/>
                <w:color w:val="auto"/>
                <w:szCs w:val="21"/>
              </w:rPr>
              <w:t>150000.00</w:t>
            </w:r>
          </w:p>
        </w:tc>
        <w:tc>
          <w:tcPr>
            <w:tcW w:w="1486" w:type="dxa"/>
            <w:vAlign w:val="center"/>
          </w:tcPr>
          <w:p>
            <w:pPr>
              <w:contextualSpacing/>
              <w:jc w:val="center"/>
              <w:rPr>
                <w:color w:val="auto"/>
                <w:szCs w:val="21"/>
              </w:rPr>
            </w:pPr>
            <w:r>
              <w:rPr>
                <w:rFonts w:hint="eastAsia"/>
                <w:color w:val="auto"/>
                <w:szCs w:val="21"/>
              </w:rPr>
              <w:t>150000.00</w:t>
            </w:r>
          </w:p>
        </w:tc>
        <w:tc>
          <w:tcPr>
            <w:tcW w:w="2754" w:type="dxa"/>
          </w:tcPr>
          <w:p>
            <w:pPr>
              <w:contextualSpacing/>
              <w:rPr>
                <w:color w:val="auto"/>
                <w:szCs w:val="21"/>
              </w:rPr>
            </w:pPr>
            <w:r>
              <w:rPr>
                <w:rFonts w:hint="eastAsia"/>
                <w:color w:val="auto"/>
                <w:szCs w:val="21"/>
              </w:rPr>
              <w:t>1、各投标人在报价时不得调整该费用。</w:t>
            </w:r>
          </w:p>
          <w:p>
            <w:pPr>
              <w:contextualSpacing/>
              <w:rPr>
                <w:color w:val="auto"/>
                <w:szCs w:val="21"/>
              </w:rPr>
            </w:pPr>
            <w:r>
              <w:rPr>
                <w:rFonts w:hint="eastAsia"/>
                <w:color w:val="auto"/>
                <w:szCs w:val="21"/>
              </w:rPr>
              <w:t>2、详见招标文件投标人须知15.7。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494" w:type="dxa"/>
            <w:vAlign w:val="center"/>
          </w:tcPr>
          <w:p>
            <w:pPr>
              <w:contextualSpacing/>
              <w:jc w:val="center"/>
              <w:rPr>
                <w:color w:val="auto"/>
                <w:szCs w:val="21"/>
              </w:rPr>
            </w:pPr>
          </w:p>
        </w:tc>
        <w:tc>
          <w:tcPr>
            <w:tcW w:w="1797" w:type="dxa"/>
            <w:vAlign w:val="center"/>
          </w:tcPr>
          <w:p>
            <w:pPr>
              <w:contextualSpacing/>
              <w:jc w:val="center"/>
              <w:rPr>
                <w:color w:val="auto"/>
                <w:szCs w:val="21"/>
              </w:rPr>
            </w:pPr>
            <w:r>
              <w:rPr>
                <w:rFonts w:hint="eastAsia"/>
                <w:color w:val="auto"/>
                <w:szCs w:val="21"/>
              </w:rPr>
              <w:t>小计</w:t>
            </w:r>
          </w:p>
        </w:tc>
        <w:tc>
          <w:tcPr>
            <w:tcW w:w="748" w:type="dxa"/>
            <w:vAlign w:val="center"/>
          </w:tcPr>
          <w:p>
            <w:pPr>
              <w:contextualSpacing/>
              <w:jc w:val="center"/>
              <w:rPr>
                <w:color w:val="auto"/>
                <w:szCs w:val="21"/>
              </w:rPr>
            </w:pPr>
          </w:p>
        </w:tc>
        <w:tc>
          <w:tcPr>
            <w:tcW w:w="1153" w:type="dxa"/>
            <w:vAlign w:val="center"/>
          </w:tcPr>
          <w:p>
            <w:pPr>
              <w:contextualSpacing/>
              <w:jc w:val="center"/>
              <w:rPr>
                <w:color w:val="auto"/>
                <w:szCs w:val="21"/>
              </w:rPr>
            </w:pPr>
          </w:p>
        </w:tc>
        <w:tc>
          <w:tcPr>
            <w:tcW w:w="1161" w:type="dxa"/>
          </w:tcPr>
          <w:p>
            <w:pPr>
              <w:contextualSpacing/>
              <w:rPr>
                <w:color w:val="auto"/>
                <w:szCs w:val="21"/>
              </w:rPr>
            </w:pPr>
          </w:p>
        </w:tc>
        <w:tc>
          <w:tcPr>
            <w:tcW w:w="1486" w:type="dxa"/>
            <w:vAlign w:val="center"/>
          </w:tcPr>
          <w:p>
            <w:pPr>
              <w:contextualSpacing/>
              <w:jc w:val="center"/>
              <w:rPr>
                <w:color w:val="auto"/>
                <w:szCs w:val="21"/>
              </w:rPr>
            </w:pPr>
            <w:r>
              <w:rPr>
                <w:color w:val="auto"/>
                <w:szCs w:val="21"/>
              </w:rPr>
              <w:fldChar w:fldCharType="begin"/>
            </w:r>
            <w:r>
              <w:rPr>
                <w:color w:val="auto"/>
                <w:szCs w:val="21"/>
              </w:rPr>
              <w:instrText xml:space="preserve"> =SUM(ABOVE) </w:instrText>
            </w:r>
            <w:r>
              <w:rPr>
                <w:color w:val="auto"/>
                <w:szCs w:val="21"/>
              </w:rPr>
              <w:fldChar w:fldCharType="separate"/>
            </w:r>
            <w:r>
              <w:rPr>
                <w:color w:val="auto"/>
                <w:szCs w:val="21"/>
              </w:rPr>
              <w:t>12</w:t>
            </w:r>
            <w:r>
              <w:rPr>
                <w:rFonts w:hint="eastAsia"/>
                <w:color w:val="auto"/>
                <w:szCs w:val="21"/>
                <w:lang w:val="en-US" w:eastAsia="zh-CN"/>
              </w:rPr>
              <w:t>35</w:t>
            </w:r>
            <w:r>
              <w:rPr>
                <w:color w:val="auto"/>
                <w:szCs w:val="21"/>
              </w:rPr>
              <w:t>000</w:t>
            </w:r>
            <w:r>
              <w:rPr>
                <w:color w:val="auto"/>
                <w:szCs w:val="21"/>
              </w:rPr>
              <w:fldChar w:fldCharType="end"/>
            </w:r>
            <w:r>
              <w:rPr>
                <w:rFonts w:hint="eastAsia"/>
                <w:color w:val="auto"/>
                <w:szCs w:val="21"/>
              </w:rPr>
              <w:t>.00</w:t>
            </w:r>
          </w:p>
        </w:tc>
        <w:tc>
          <w:tcPr>
            <w:tcW w:w="2754" w:type="dxa"/>
          </w:tcPr>
          <w:p>
            <w:pPr>
              <w:contextualSpacing/>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4" w:type="dxa"/>
            <w:vAlign w:val="center"/>
          </w:tcPr>
          <w:p>
            <w:pPr>
              <w:contextualSpacing/>
              <w:jc w:val="center"/>
              <w:rPr>
                <w:color w:val="auto"/>
                <w:szCs w:val="21"/>
              </w:rPr>
            </w:pPr>
            <w:r>
              <w:rPr>
                <w:rFonts w:hint="eastAsia"/>
                <w:color w:val="auto"/>
                <w:szCs w:val="21"/>
              </w:rPr>
              <w:t>三</w:t>
            </w:r>
          </w:p>
        </w:tc>
        <w:tc>
          <w:tcPr>
            <w:tcW w:w="9099" w:type="dxa"/>
            <w:gridSpan w:val="6"/>
            <w:vAlign w:val="center"/>
          </w:tcPr>
          <w:p>
            <w:pPr>
              <w:contextualSpacing/>
              <w:rPr>
                <w:color w:val="auto"/>
                <w:szCs w:val="21"/>
              </w:rPr>
            </w:pPr>
            <w:r>
              <w:rPr>
                <w:rFonts w:hint="eastAsia"/>
                <w:color w:val="auto"/>
                <w:szCs w:val="21"/>
              </w:rPr>
              <w:t>其他费用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494" w:type="dxa"/>
            <w:vAlign w:val="center"/>
          </w:tcPr>
          <w:p>
            <w:pPr>
              <w:contextualSpacing/>
              <w:jc w:val="center"/>
              <w:rPr>
                <w:color w:val="auto"/>
                <w:szCs w:val="21"/>
              </w:rPr>
            </w:pPr>
            <w:r>
              <w:rPr>
                <w:rFonts w:hint="eastAsia"/>
                <w:color w:val="auto"/>
                <w:szCs w:val="21"/>
              </w:rPr>
              <w:t>序号</w:t>
            </w:r>
          </w:p>
        </w:tc>
        <w:tc>
          <w:tcPr>
            <w:tcW w:w="1797" w:type="dxa"/>
            <w:vAlign w:val="center"/>
          </w:tcPr>
          <w:p>
            <w:pPr>
              <w:contextualSpacing/>
              <w:jc w:val="center"/>
              <w:rPr>
                <w:color w:val="auto"/>
                <w:szCs w:val="21"/>
              </w:rPr>
            </w:pPr>
            <w:r>
              <w:rPr>
                <w:rFonts w:hint="eastAsia"/>
                <w:color w:val="auto"/>
                <w:szCs w:val="21"/>
              </w:rPr>
              <w:t>项目名称</w:t>
            </w:r>
          </w:p>
        </w:tc>
        <w:tc>
          <w:tcPr>
            <w:tcW w:w="748" w:type="dxa"/>
            <w:vAlign w:val="center"/>
          </w:tcPr>
          <w:p>
            <w:pPr>
              <w:contextualSpacing/>
              <w:jc w:val="center"/>
              <w:rPr>
                <w:color w:val="auto"/>
                <w:szCs w:val="21"/>
              </w:rPr>
            </w:pPr>
            <w:r>
              <w:rPr>
                <w:rFonts w:hint="eastAsia"/>
                <w:color w:val="auto"/>
                <w:szCs w:val="21"/>
              </w:rPr>
              <w:t>单位</w:t>
            </w:r>
          </w:p>
        </w:tc>
        <w:tc>
          <w:tcPr>
            <w:tcW w:w="1153" w:type="dxa"/>
            <w:vAlign w:val="center"/>
          </w:tcPr>
          <w:p>
            <w:pPr>
              <w:contextualSpacing/>
              <w:jc w:val="center"/>
              <w:rPr>
                <w:color w:val="auto"/>
                <w:szCs w:val="21"/>
              </w:rPr>
            </w:pPr>
            <w:r>
              <w:rPr>
                <w:rFonts w:hint="eastAsia"/>
                <w:color w:val="auto"/>
                <w:szCs w:val="21"/>
              </w:rPr>
              <w:t>数量</w:t>
            </w:r>
          </w:p>
        </w:tc>
        <w:tc>
          <w:tcPr>
            <w:tcW w:w="1161" w:type="dxa"/>
            <w:vAlign w:val="center"/>
          </w:tcPr>
          <w:p>
            <w:pPr>
              <w:contextualSpacing/>
              <w:jc w:val="center"/>
              <w:rPr>
                <w:rFonts w:hint="eastAsia" w:eastAsia="宋体"/>
                <w:color w:val="auto"/>
                <w:szCs w:val="21"/>
                <w:lang w:eastAsia="zh-CN"/>
              </w:rPr>
            </w:pPr>
            <w:r>
              <w:rPr>
                <w:rFonts w:hint="eastAsia"/>
                <w:color w:val="auto"/>
                <w:szCs w:val="21"/>
              </w:rPr>
              <w:t>单价</w:t>
            </w:r>
            <w:r>
              <w:rPr>
                <w:rFonts w:hint="eastAsia"/>
                <w:color w:val="auto"/>
                <w:szCs w:val="21"/>
                <w:lang w:eastAsia="zh-CN"/>
              </w:rPr>
              <w:t>（元）</w:t>
            </w:r>
          </w:p>
        </w:tc>
        <w:tc>
          <w:tcPr>
            <w:tcW w:w="1486" w:type="dxa"/>
            <w:vAlign w:val="center"/>
          </w:tcPr>
          <w:p>
            <w:pPr>
              <w:contextualSpacing/>
              <w:jc w:val="center"/>
              <w:rPr>
                <w:rFonts w:hint="eastAsia" w:eastAsia="宋体"/>
                <w:color w:val="auto"/>
                <w:szCs w:val="21"/>
                <w:lang w:eastAsia="zh-CN"/>
              </w:rPr>
            </w:pPr>
            <w:r>
              <w:rPr>
                <w:rFonts w:hint="eastAsia"/>
                <w:color w:val="auto"/>
                <w:szCs w:val="21"/>
              </w:rPr>
              <w:t>合计</w:t>
            </w:r>
            <w:r>
              <w:rPr>
                <w:rFonts w:hint="eastAsia"/>
                <w:color w:val="auto"/>
                <w:szCs w:val="21"/>
                <w:lang w:eastAsia="zh-CN"/>
              </w:rPr>
              <w:t>（元）</w:t>
            </w:r>
          </w:p>
        </w:tc>
        <w:tc>
          <w:tcPr>
            <w:tcW w:w="2754" w:type="dxa"/>
            <w:vAlign w:val="center"/>
          </w:tcPr>
          <w:p>
            <w:pPr>
              <w:contextualSpacing/>
              <w:jc w:val="center"/>
              <w:rPr>
                <w:color w:val="auto"/>
                <w:szCs w:val="21"/>
              </w:rPr>
            </w:pPr>
            <w:r>
              <w:rPr>
                <w:rFonts w:hint="eastAsia"/>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494" w:type="dxa"/>
            <w:vAlign w:val="center"/>
          </w:tcPr>
          <w:p>
            <w:pPr>
              <w:contextualSpacing/>
              <w:jc w:val="center"/>
              <w:rPr>
                <w:color w:val="auto"/>
                <w:szCs w:val="21"/>
              </w:rPr>
            </w:pPr>
            <w:r>
              <w:rPr>
                <w:rFonts w:hint="eastAsia"/>
                <w:color w:val="auto"/>
                <w:szCs w:val="21"/>
              </w:rPr>
              <w:t>1</w:t>
            </w:r>
          </w:p>
        </w:tc>
        <w:tc>
          <w:tcPr>
            <w:tcW w:w="1797" w:type="dxa"/>
            <w:vAlign w:val="center"/>
          </w:tcPr>
          <w:p>
            <w:pPr>
              <w:contextualSpacing/>
              <w:rPr>
                <w:color w:val="auto"/>
                <w:szCs w:val="21"/>
              </w:rPr>
            </w:pPr>
            <w:r>
              <w:rPr>
                <w:rFonts w:hint="eastAsia"/>
                <w:color w:val="auto"/>
                <w:szCs w:val="21"/>
              </w:rPr>
              <w:t>代理费、评审费</w:t>
            </w:r>
          </w:p>
        </w:tc>
        <w:tc>
          <w:tcPr>
            <w:tcW w:w="748" w:type="dxa"/>
            <w:vAlign w:val="center"/>
          </w:tcPr>
          <w:p>
            <w:pPr>
              <w:contextualSpacing/>
              <w:jc w:val="center"/>
              <w:rPr>
                <w:color w:val="auto"/>
                <w:szCs w:val="21"/>
              </w:rPr>
            </w:pPr>
            <w:r>
              <w:rPr>
                <w:rFonts w:hint="eastAsia"/>
                <w:color w:val="auto"/>
                <w:szCs w:val="21"/>
              </w:rPr>
              <w:t>项</w:t>
            </w:r>
          </w:p>
        </w:tc>
        <w:tc>
          <w:tcPr>
            <w:tcW w:w="1153" w:type="dxa"/>
            <w:vAlign w:val="center"/>
          </w:tcPr>
          <w:p>
            <w:pPr>
              <w:contextualSpacing/>
              <w:jc w:val="center"/>
              <w:rPr>
                <w:color w:val="auto"/>
                <w:szCs w:val="21"/>
              </w:rPr>
            </w:pPr>
            <w:r>
              <w:rPr>
                <w:rFonts w:hint="eastAsia"/>
                <w:color w:val="auto"/>
                <w:szCs w:val="21"/>
              </w:rPr>
              <w:t>1</w:t>
            </w:r>
          </w:p>
        </w:tc>
        <w:tc>
          <w:tcPr>
            <w:tcW w:w="1161" w:type="dxa"/>
            <w:vAlign w:val="center"/>
          </w:tcPr>
          <w:p>
            <w:pPr>
              <w:contextualSpacing/>
              <w:jc w:val="center"/>
              <w:rPr>
                <w:color w:val="auto"/>
                <w:szCs w:val="21"/>
              </w:rPr>
            </w:pPr>
            <w:r>
              <w:rPr>
                <w:rFonts w:hint="eastAsia"/>
                <w:color w:val="auto"/>
                <w:szCs w:val="21"/>
              </w:rPr>
              <w:t>10000.00</w:t>
            </w:r>
          </w:p>
        </w:tc>
        <w:tc>
          <w:tcPr>
            <w:tcW w:w="1486" w:type="dxa"/>
            <w:vAlign w:val="center"/>
          </w:tcPr>
          <w:p>
            <w:pPr>
              <w:contextualSpacing/>
              <w:jc w:val="center"/>
              <w:rPr>
                <w:color w:val="auto"/>
                <w:szCs w:val="21"/>
              </w:rPr>
            </w:pPr>
            <w:r>
              <w:rPr>
                <w:rFonts w:hint="eastAsia"/>
                <w:color w:val="auto"/>
                <w:szCs w:val="21"/>
              </w:rPr>
              <w:t>10000.00</w:t>
            </w:r>
          </w:p>
        </w:tc>
        <w:tc>
          <w:tcPr>
            <w:tcW w:w="2754" w:type="dxa"/>
          </w:tcPr>
          <w:p>
            <w:pPr>
              <w:contextualSpacing/>
              <w:rPr>
                <w:color w:val="auto"/>
                <w:szCs w:val="24"/>
              </w:rPr>
            </w:pPr>
            <w:r>
              <w:rPr>
                <w:rFonts w:hint="eastAsia"/>
                <w:color w:val="auto"/>
                <w:szCs w:val="21"/>
              </w:rPr>
              <w:t>1、各投标人在报价时不得调整该费用，在领取中标通知书时一次性向代理单位</w:t>
            </w:r>
            <w:r>
              <w:rPr>
                <w:rFonts w:hint="eastAsia"/>
                <w:color w:val="auto"/>
                <w:szCs w:val="24"/>
              </w:rPr>
              <w:t>按规定结算，按实缴清。</w:t>
            </w:r>
          </w:p>
          <w:p>
            <w:pPr>
              <w:contextualSpacing/>
              <w:rPr>
                <w:color w:val="auto"/>
                <w:szCs w:val="21"/>
              </w:rPr>
            </w:pPr>
            <w:r>
              <w:rPr>
                <w:rFonts w:hint="eastAsia"/>
                <w:color w:val="auto"/>
                <w:szCs w:val="21"/>
              </w:rPr>
              <w:t>2、详见招标文件投标人须知15.8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494" w:type="dxa"/>
            <w:vAlign w:val="center"/>
          </w:tcPr>
          <w:p>
            <w:pPr>
              <w:contextualSpacing/>
              <w:jc w:val="center"/>
              <w:rPr>
                <w:color w:val="auto"/>
                <w:szCs w:val="21"/>
              </w:rPr>
            </w:pPr>
          </w:p>
        </w:tc>
        <w:tc>
          <w:tcPr>
            <w:tcW w:w="1797" w:type="dxa"/>
            <w:vAlign w:val="center"/>
          </w:tcPr>
          <w:p>
            <w:pPr>
              <w:contextualSpacing/>
              <w:jc w:val="center"/>
              <w:rPr>
                <w:color w:val="auto"/>
                <w:szCs w:val="21"/>
              </w:rPr>
            </w:pPr>
            <w:r>
              <w:rPr>
                <w:rFonts w:hint="eastAsia"/>
                <w:color w:val="auto"/>
                <w:szCs w:val="21"/>
              </w:rPr>
              <w:t>小计</w:t>
            </w:r>
          </w:p>
        </w:tc>
        <w:tc>
          <w:tcPr>
            <w:tcW w:w="748" w:type="dxa"/>
            <w:vAlign w:val="center"/>
          </w:tcPr>
          <w:p>
            <w:pPr>
              <w:contextualSpacing/>
              <w:jc w:val="center"/>
              <w:rPr>
                <w:color w:val="auto"/>
                <w:szCs w:val="21"/>
              </w:rPr>
            </w:pPr>
          </w:p>
        </w:tc>
        <w:tc>
          <w:tcPr>
            <w:tcW w:w="1153" w:type="dxa"/>
            <w:vAlign w:val="center"/>
          </w:tcPr>
          <w:p>
            <w:pPr>
              <w:contextualSpacing/>
              <w:jc w:val="center"/>
              <w:rPr>
                <w:color w:val="auto"/>
                <w:szCs w:val="21"/>
              </w:rPr>
            </w:pPr>
          </w:p>
        </w:tc>
        <w:tc>
          <w:tcPr>
            <w:tcW w:w="1161" w:type="dxa"/>
            <w:vAlign w:val="center"/>
          </w:tcPr>
          <w:p>
            <w:pPr>
              <w:contextualSpacing/>
              <w:jc w:val="center"/>
              <w:rPr>
                <w:color w:val="auto"/>
                <w:szCs w:val="21"/>
              </w:rPr>
            </w:pPr>
          </w:p>
        </w:tc>
        <w:tc>
          <w:tcPr>
            <w:tcW w:w="1486" w:type="dxa"/>
            <w:vAlign w:val="center"/>
          </w:tcPr>
          <w:p>
            <w:pPr>
              <w:contextualSpacing/>
              <w:jc w:val="center"/>
              <w:rPr>
                <w:color w:val="auto"/>
                <w:szCs w:val="21"/>
              </w:rPr>
            </w:pPr>
            <w:r>
              <w:rPr>
                <w:rFonts w:hint="eastAsia"/>
                <w:color w:val="auto"/>
                <w:szCs w:val="21"/>
              </w:rPr>
              <w:t>10000.00</w:t>
            </w:r>
          </w:p>
        </w:tc>
        <w:tc>
          <w:tcPr>
            <w:tcW w:w="2754" w:type="dxa"/>
          </w:tcPr>
          <w:p>
            <w:pPr>
              <w:contextualSpacing/>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494" w:type="dxa"/>
            <w:vAlign w:val="center"/>
          </w:tcPr>
          <w:p>
            <w:pPr>
              <w:contextualSpacing/>
              <w:jc w:val="center"/>
              <w:rPr>
                <w:color w:val="auto"/>
                <w:szCs w:val="21"/>
              </w:rPr>
            </w:pPr>
            <w:r>
              <w:rPr>
                <w:rFonts w:hint="eastAsia"/>
                <w:color w:val="auto"/>
                <w:szCs w:val="21"/>
              </w:rPr>
              <w:t>四</w:t>
            </w:r>
          </w:p>
        </w:tc>
        <w:tc>
          <w:tcPr>
            <w:tcW w:w="1797" w:type="dxa"/>
            <w:vAlign w:val="center"/>
          </w:tcPr>
          <w:p>
            <w:pPr>
              <w:contextualSpacing/>
              <w:jc w:val="center"/>
              <w:rPr>
                <w:color w:val="auto"/>
                <w:szCs w:val="21"/>
              </w:rPr>
            </w:pPr>
            <w:r>
              <w:rPr>
                <w:rFonts w:hint="eastAsia"/>
                <w:color w:val="auto"/>
                <w:szCs w:val="21"/>
              </w:rPr>
              <w:t>以上合计</w:t>
            </w:r>
          </w:p>
        </w:tc>
        <w:tc>
          <w:tcPr>
            <w:tcW w:w="748" w:type="dxa"/>
            <w:vAlign w:val="center"/>
          </w:tcPr>
          <w:p>
            <w:pPr>
              <w:contextualSpacing/>
              <w:jc w:val="center"/>
              <w:rPr>
                <w:color w:val="auto"/>
                <w:szCs w:val="21"/>
              </w:rPr>
            </w:pPr>
          </w:p>
        </w:tc>
        <w:tc>
          <w:tcPr>
            <w:tcW w:w="1153" w:type="dxa"/>
            <w:vAlign w:val="center"/>
          </w:tcPr>
          <w:p>
            <w:pPr>
              <w:contextualSpacing/>
              <w:jc w:val="center"/>
              <w:rPr>
                <w:color w:val="auto"/>
                <w:szCs w:val="21"/>
              </w:rPr>
            </w:pPr>
          </w:p>
        </w:tc>
        <w:tc>
          <w:tcPr>
            <w:tcW w:w="1161" w:type="dxa"/>
          </w:tcPr>
          <w:p>
            <w:pPr>
              <w:contextualSpacing/>
              <w:rPr>
                <w:color w:val="auto"/>
                <w:szCs w:val="21"/>
              </w:rPr>
            </w:pPr>
          </w:p>
        </w:tc>
        <w:tc>
          <w:tcPr>
            <w:tcW w:w="1486" w:type="dxa"/>
            <w:vAlign w:val="center"/>
          </w:tcPr>
          <w:p>
            <w:pPr>
              <w:contextualSpacing/>
              <w:jc w:val="center"/>
              <w:rPr>
                <w:color w:val="auto"/>
                <w:szCs w:val="21"/>
              </w:rPr>
            </w:pPr>
            <w:r>
              <w:rPr>
                <w:rFonts w:hint="eastAsia"/>
                <w:color w:val="auto"/>
                <w:szCs w:val="21"/>
              </w:rPr>
              <w:t>1300000.00</w:t>
            </w:r>
          </w:p>
        </w:tc>
        <w:tc>
          <w:tcPr>
            <w:tcW w:w="2754" w:type="dxa"/>
          </w:tcPr>
          <w:p>
            <w:pPr>
              <w:contextualSpacing/>
              <w:rPr>
                <w:color w:val="auto"/>
                <w:szCs w:val="21"/>
              </w:rPr>
            </w:pPr>
          </w:p>
        </w:tc>
      </w:tr>
    </w:tbl>
    <w:p>
      <w:pPr>
        <w:pStyle w:val="19"/>
        <w:snapToGrid w:val="0"/>
        <w:spacing w:line="360" w:lineRule="auto"/>
        <w:ind w:firstLine="482" w:firstLineChars="200"/>
        <w:jc w:val="both"/>
        <w:rPr>
          <w:rFonts w:ascii="宋体" w:hAnsi="宋体" w:cs="宋体"/>
          <w:b/>
          <w:kern w:val="0"/>
          <w:sz w:val="24"/>
        </w:rPr>
      </w:pPr>
      <w:r>
        <w:rPr>
          <w:rFonts w:hint="eastAsia" w:ascii="宋体" w:hAnsi="宋体" w:cs="宋体"/>
          <w:b/>
          <w:color w:val="auto"/>
          <w:kern w:val="0"/>
          <w:sz w:val="24"/>
        </w:rPr>
        <w:t>15.3设计费</w:t>
      </w:r>
      <w:r>
        <w:rPr>
          <w:rFonts w:hint="eastAsia" w:ascii="宋体" w:hAnsi="宋体" w:cs="宋体"/>
          <w:b/>
          <w:color w:val="auto"/>
          <w:kern w:val="0"/>
          <w:sz w:val="24"/>
          <w:lang w:val="zh-TW"/>
        </w:rPr>
        <w:t>为从本工程投标开始至本工程养护期结束的所有专业设计费用（含</w:t>
      </w:r>
      <w:r>
        <w:rPr>
          <w:rFonts w:hint="eastAsia" w:ascii="宋体" w:hAnsi="宋体" w:cs="宋体"/>
          <w:b/>
          <w:kern w:val="0"/>
          <w:sz w:val="24"/>
        </w:rPr>
        <w:t>方案设计费、方案优化设计费、施工图设计费、施工图优化设计费、设计变更费用等</w:t>
      </w:r>
      <w:r>
        <w:rPr>
          <w:rFonts w:hint="eastAsia" w:ascii="宋体" w:hAnsi="宋体" w:cs="宋体"/>
          <w:b/>
          <w:kern w:val="0"/>
          <w:sz w:val="24"/>
          <w:lang w:val="zh-TW"/>
        </w:rPr>
        <w:t>）。施工图阶段的任何形式、类型、规模的设计变更均不另行支付变更费用及相关图纸费用，投标人在投标报价中须充分考虑。中标后须根据招标人要求对方案进行调整优化，直至通过方案认定。</w:t>
      </w:r>
    </w:p>
    <w:p>
      <w:pPr>
        <w:pStyle w:val="19"/>
        <w:snapToGrid w:val="0"/>
        <w:spacing w:line="360" w:lineRule="auto"/>
        <w:ind w:firstLine="482" w:firstLineChars="200"/>
        <w:rPr>
          <w:rFonts w:ascii="宋体" w:hAnsi="宋体" w:cs="宋体"/>
          <w:b/>
          <w:kern w:val="0"/>
          <w:sz w:val="24"/>
          <w:lang w:val="zh-TW"/>
        </w:rPr>
      </w:pPr>
      <w:r>
        <w:rPr>
          <w:rFonts w:hint="eastAsia" w:ascii="宋体" w:hAnsi="宋体" w:cs="宋体"/>
          <w:b/>
          <w:sz w:val="24"/>
        </w:rPr>
        <w:t>15.4</w:t>
      </w:r>
      <w:r>
        <w:rPr>
          <w:rFonts w:hint="eastAsia" w:ascii="宋体" w:hAnsi="宋体" w:cs="宋体"/>
          <w:b/>
          <w:kern w:val="0"/>
          <w:sz w:val="24"/>
          <w:lang w:val="zh-TW"/>
        </w:rPr>
        <w:t>环西广场暂定为市菊花展点位，市菊花展具体点位待上级部门确定后再行通知。由此产生的方案调整设计费由投标人自行考虑纳入投标报价。立体花卉、平面摆花、花球、花境及各类配饰物，由各投标人根据设计方案自行测算，并保证自行测算数据的准确性。设计时要求展开面积必须大于</w:t>
      </w:r>
      <w:r>
        <w:rPr>
          <w:rFonts w:ascii="宋体" w:hAnsi="宋体" w:cs="宋体"/>
          <w:b/>
          <w:kern w:val="0"/>
          <w:sz w:val="24"/>
          <w:lang w:val="zh-TW"/>
        </w:rPr>
        <w:t>15.2表中的暂定面积，投标报价时工程量按设计方案数量填写，投标单价必须小于15.2表中的单价金额。竣工结算时，根据实际完成并验收合格的展开面积及投标单价进行结算。菊花摆花密度根据菊花实际尺寸确定，各类艺菊、单盆精品菊花作为配饰物自行考虑。除菊花展点位方案调</w:t>
      </w:r>
      <w:r>
        <w:rPr>
          <w:rFonts w:hint="eastAsia" w:ascii="宋体" w:hAnsi="宋体" w:cs="宋体"/>
          <w:b/>
          <w:kern w:val="0"/>
          <w:sz w:val="24"/>
          <w:lang w:val="zh-TW"/>
        </w:rPr>
        <w:t>整外，其余点位如工程量调增幅度超过</w:t>
      </w:r>
      <w:r>
        <w:rPr>
          <w:rFonts w:ascii="宋体" w:hAnsi="宋体" w:cs="宋体"/>
          <w:b/>
          <w:kern w:val="0"/>
          <w:sz w:val="24"/>
          <w:lang w:val="zh-TW"/>
        </w:rPr>
        <w:t>5%时，则超过5%的部分不予结算，相关费用由中标人自行承担。</w:t>
      </w:r>
      <w:r>
        <w:rPr>
          <w:rFonts w:hint="eastAsia" w:ascii="宋体" w:hAnsi="宋体" w:cs="宋体"/>
          <w:b/>
          <w:kern w:val="0"/>
          <w:sz w:val="24"/>
          <w:lang w:val="zh-TW"/>
        </w:rPr>
        <w:t xml:space="preserve">     </w:t>
      </w:r>
    </w:p>
    <w:p>
      <w:pPr>
        <w:pStyle w:val="19"/>
        <w:snapToGrid w:val="0"/>
        <w:spacing w:line="360" w:lineRule="auto"/>
        <w:ind w:firstLine="482" w:firstLineChars="200"/>
        <w:rPr>
          <w:rFonts w:ascii="宋体" w:hAnsi="宋体" w:cs="宋体"/>
          <w:b/>
          <w:sz w:val="24"/>
        </w:rPr>
      </w:pPr>
      <w:r>
        <w:rPr>
          <w:rFonts w:hint="eastAsia" w:ascii="宋体" w:hAnsi="宋体" w:cs="宋体"/>
          <w:b/>
          <w:sz w:val="24"/>
        </w:rPr>
        <w:t>15.5中标后，中标人须根据招标人的意见进行方案优化、调整，但结算时仍按投标单价计算，不得以结构和体量变化、品种更换等原因提出单价调整的要求；</w:t>
      </w:r>
    </w:p>
    <w:p>
      <w:pPr>
        <w:pStyle w:val="19"/>
        <w:snapToGrid w:val="0"/>
        <w:spacing w:line="360" w:lineRule="auto"/>
        <w:ind w:firstLine="482" w:firstLineChars="200"/>
        <w:jc w:val="both"/>
        <w:rPr>
          <w:rFonts w:ascii="宋体" w:hAnsi="宋体" w:cs="宋体"/>
          <w:b/>
          <w:sz w:val="24"/>
        </w:rPr>
      </w:pPr>
      <w:r>
        <w:rPr>
          <w:rFonts w:hint="eastAsia" w:ascii="宋体" w:hAnsi="宋体" w:cs="宋体"/>
          <w:b/>
          <w:sz w:val="24"/>
        </w:rPr>
        <w:t>15.6亮化设施最终按实际完成的合格工程量进行结算，套用相关定额及信息价【缺项材料报招标人审定确定单价（不下浮）】后下浮20%列入结算，但最终结算价不得超</w:t>
      </w:r>
      <w:r>
        <w:rPr>
          <w:rFonts w:hint="eastAsia" w:ascii="宋体" w:hAnsi="宋体" w:cs="宋体"/>
          <w:b/>
          <w:color w:val="auto"/>
          <w:sz w:val="24"/>
        </w:rPr>
        <w:t>过1</w:t>
      </w:r>
      <w:r>
        <w:rPr>
          <w:rFonts w:hint="eastAsia" w:ascii="宋体" w:hAnsi="宋体" w:cs="宋体"/>
          <w:b/>
          <w:color w:val="auto"/>
          <w:sz w:val="24"/>
          <w:lang w:val="en-US" w:eastAsia="zh-CN"/>
        </w:rPr>
        <w:t>4.5</w:t>
      </w:r>
      <w:r>
        <w:rPr>
          <w:rFonts w:hint="eastAsia" w:ascii="宋体" w:hAnsi="宋体" w:cs="宋体"/>
          <w:b/>
          <w:color w:val="auto"/>
          <w:sz w:val="24"/>
        </w:rPr>
        <w:t>万元</w:t>
      </w:r>
      <w:r>
        <w:rPr>
          <w:rFonts w:hint="eastAsia" w:ascii="宋体" w:hAnsi="宋体" w:cs="宋体"/>
          <w:b/>
          <w:sz w:val="24"/>
        </w:rPr>
        <w:t>，超出部分由中标人自行承担；</w:t>
      </w:r>
    </w:p>
    <w:p>
      <w:pPr>
        <w:pStyle w:val="19"/>
        <w:snapToGrid w:val="0"/>
        <w:spacing w:line="360" w:lineRule="auto"/>
        <w:ind w:firstLine="482" w:firstLineChars="200"/>
        <w:jc w:val="both"/>
        <w:rPr>
          <w:rFonts w:ascii="宋体" w:hAnsi="宋体" w:cs="宋体"/>
          <w:b/>
          <w:sz w:val="24"/>
        </w:rPr>
      </w:pPr>
      <w:r>
        <w:rPr>
          <w:rFonts w:hint="eastAsia" w:ascii="宋体" w:hAnsi="宋体" w:cs="宋体"/>
          <w:b/>
          <w:sz w:val="24"/>
        </w:rPr>
        <w:t>15.7暂列金额根据发包人指令完成相关工作，原投标清单中有相同项目的按原投标单价和实际完成的合格工程量进行结算，原投标清单中无相同项目的，套用相关定额及信息价【缺项材料报招标人审定确定单价（不下浮）】后下浮20%列入结算。</w:t>
      </w:r>
    </w:p>
    <w:p>
      <w:pPr>
        <w:pStyle w:val="19"/>
        <w:snapToGrid w:val="0"/>
        <w:spacing w:line="360" w:lineRule="auto"/>
        <w:ind w:firstLine="482" w:firstLineChars="200"/>
        <w:jc w:val="both"/>
        <w:rPr>
          <w:rFonts w:ascii="宋体" w:hAnsi="宋体" w:cs="宋体"/>
          <w:b/>
          <w:sz w:val="24"/>
        </w:rPr>
      </w:pPr>
      <w:r>
        <w:rPr>
          <w:rFonts w:hint="eastAsia" w:ascii="宋体" w:hAnsi="宋体" w:cs="宋体"/>
          <w:b/>
          <w:sz w:val="24"/>
        </w:rPr>
        <w:t>15.8代理费人民币5000元、评委费（按规定结算，按实缴清），在领取中标通知书前缴纳该项费用。</w:t>
      </w:r>
    </w:p>
    <w:p>
      <w:pPr>
        <w:pStyle w:val="19"/>
        <w:snapToGrid w:val="0"/>
        <w:spacing w:line="360" w:lineRule="auto"/>
        <w:ind w:firstLine="482" w:firstLineChars="200"/>
        <w:jc w:val="both"/>
        <w:rPr>
          <w:rFonts w:ascii="宋体" w:hAnsi="宋体" w:cs="宋体"/>
          <w:b/>
          <w:sz w:val="24"/>
        </w:rPr>
      </w:pPr>
      <w:r>
        <w:rPr>
          <w:rFonts w:hint="eastAsia" w:ascii="宋体" w:hAnsi="宋体" w:cs="宋体"/>
          <w:b/>
          <w:sz w:val="24"/>
        </w:rPr>
        <w:t>15.9本工程最终审计决算价（含设计费、施工费、其他费用等）不得超过人民币130万元，如有超出，由中标人自行承担相关费用。</w:t>
      </w:r>
    </w:p>
    <w:p>
      <w:pPr>
        <w:snapToGrid w:val="0"/>
        <w:spacing w:line="360" w:lineRule="auto"/>
        <w:ind w:firstLine="484" w:firstLineChars="201"/>
        <w:rPr>
          <w:b/>
          <w:sz w:val="36"/>
          <w:szCs w:val="36"/>
        </w:rPr>
      </w:pPr>
      <w:r>
        <w:rPr>
          <w:rFonts w:hint="eastAsia"/>
          <w:b/>
          <w:szCs w:val="24"/>
        </w:rPr>
        <w:t>15.10本工程确保达到招标人的</w:t>
      </w:r>
      <w:r>
        <w:rPr>
          <w:rFonts w:hint="eastAsia"/>
          <w:b/>
          <w:szCs w:val="24"/>
          <w:lang w:val="en-US" w:eastAsia="zh-CN"/>
        </w:rPr>
        <w:t>要求</w:t>
      </w:r>
      <w:r>
        <w:rPr>
          <w:rFonts w:hint="eastAsia"/>
          <w:b/>
          <w:szCs w:val="24"/>
        </w:rPr>
        <w:t>。投标报价中包含招标范围内的全部设计和施工内容，以及为完成上述内容所必须的附属工程、临时工程、材料、劳务、机械、成品保护、脚手架搭设使用、与各工种间的协调配合工作、清洗、养护、验收、安全措施、技术措施、缺陷修补、维护、撤出、恢复、赶工费、夜间施工费、管理、利润、规费、税金、技术措施、施工方</w:t>
      </w:r>
      <w:r>
        <w:rPr>
          <w:rFonts w:hint="eastAsia"/>
          <w:b/>
          <w:szCs w:val="21"/>
        </w:rPr>
        <w:t>法、工程档案、合同履行过程中可能发生的各种因素的风险、招标代理费、专家评审费</w:t>
      </w:r>
      <w:r>
        <w:rPr>
          <w:rFonts w:hint="eastAsia"/>
          <w:b/>
          <w:szCs w:val="21"/>
          <w:lang w:val="en-US" w:eastAsia="zh-CN"/>
        </w:rPr>
        <w:t>等</w:t>
      </w:r>
      <w:r>
        <w:rPr>
          <w:rFonts w:hint="eastAsia"/>
          <w:b/>
          <w:szCs w:val="21"/>
        </w:rPr>
        <w:t>所需的全部费用。</w:t>
      </w:r>
    </w:p>
    <w:p>
      <w:pPr>
        <w:snapToGrid w:val="0"/>
        <w:spacing w:line="360" w:lineRule="auto"/>
        <w:ind w:firstLine="482" w:firstLineChars="201"/>
        <w:rPr>
          <w:szCs w:val="21"/>
        </w:rPr>
      </w:pPr>
      <w:r>
        <w:rPr>
          <w:rFonts w:hint="eastAsia"/>
          <w:szCs w:val="21"/>
        </w:rPr>
        <w:t>15.11</w:t>
      </w:r>
      <w:r>
        <w:rPr>
          <w:szCs w:val="21"/>
        </w:rPr>
        <w:t>其他未尽事宜在书面答疑、补充、修改文件及第四章合同条款中明确。</w:t>
      </w:r>
    </w:p>
    <w:p>
      <w:pPr>
        <w:snapToGrid w:val="0"/>
        <w:spacing w:line="360" w:lineRule="auto"/>
        <w:ind w:firstLine="484" w:firstLineChars="201"/>
      </w:pPr>
      <w:r>
        <w:rPr>
          <w:b/>
        </w:rPr>
        <w:t>1</w:t>
      </w:r>
      <w:r>
        <w:rPr>
          <w:rFonts w:hint="eastAsia"/>
          <w:b/>
        </w:rPr>
        <w:t>6、</w:t>
      </w:r>
      <w:r>
        <w:rPr>
          <w:b/>
        </w:rPr>
        <w:t>招标控制价</w:t>
      </w:r>
    </w:p>
    <w:bookmarkEnd w:id="23"/>
    <w:bookmarkEnd w:id="24"/>
    <w:p>
      <w:pPr>
        <w:adjustRightInd w:val="0"/>
        <w:snapToGrid w:val="0"/>
        <w:spacing w:line="360" w:lineRule="auto"/>
        <w:ind w:firstLine="480" w:firstLineChars="200"/>
      </w:pPr>
      <w:r>
        <w:t>1</w:t>
      </w:r>
      <w:r>
        <w:rPr>
          <w:rFonts w:hint="eastAsia"/>
        </w:rPr>
        <w:t>6</w:t>
      </w:r>
      <w:r>
        <w:t>.</w:t>
      </w:r>
      <w:r>
        <w:rPr>
          <w:rFonts w:hint="eastAsia"/>
        </w:rPr>
        <w:t>1</w:t>
      </w:r>
      <w:r>
        <w:t xml:space="preserve"> </w:t>
      </w:r>
      <w:r>
        <w:rPr>
          <w:rFonts w:hint="eastAsia"/>
          <w:szCs w:val="21"/>
        </w:rPr>
        <w:t>本工程采用限额设计，设计概算总价不得超过130万元，设计概算总价超过130万元的，超过部分由中标人承担所有费用。设计概算费用至少包含设计费、施工费、其他费用，具体费用项目见本章第15条。</w:t>
      </w:r>
    </w:p>
    <w:p>
      <w:pPr>
        <w:spacing w:line="360" w:lineRule="auto"/>
        <w:ind w:firstLine="480" w:firstLineChars="200"/>
      </w:pPr>
      <w:r>
        <w:rPr>
          <w:rFonts w:hint="eastAsia"/>
        </w:rPr>
        <w:t xml:space="preserve">16.2 </w:t>
      </w:r>
      <w:r>
        <w:t xml:space="preserve"> 招标控制价异议处理：</w:t>
      </w:r>
    </w:p>
    <w:p>
      <w:pPr>
        <w:spacing w:line="360" w:lineRule="auto"/>
        <w:ind w:firstLine="480" w:firstLineChars="200"/>
        <w:rPr>
          <w:b/>
          <w:u w:val="single"/>
        </w:rPr>
      </w:pPr>
      <w:r>
        <w:t>投标人对招标控制价有异议的，应在控制价发布后2日内向招标人书面提出；招标人不答复或对招标人答复不满意时，投标人可按规定程序向工程所在地造价管理机构投诉。</w:t>
      </w:r>
      <w:r>
        <w:rPr>
          <w:b/>
          <w:u w:val="single"/>
        </w:rPr>
        <w:t>具体请参照通建工【2014】369号文。</w:t>
      </w:r>
    </w:p>
    <w:p>
      <w:pPr>
        <w:spacing w:line="360" w:lineRule="auto"/>
        <w:ind w:firstLine="480" w:firstLineChars="200"/>
        <w:rPr>
          <w:szCs w:val="21"/>
        </w:rPr>
      </w:pPr>
      <w:r>
        <w:t>招标人根据招标控制价复查结论需要重新公布招标控制价的，其最终公布的时间至招标文件要求提交投标文件截止时间不足</w:t>
      </w:r>
      <w:r>
        <w:rPr>
          <w:rFonts w:hint="eastAsia"/>
        </w:rPr>
        <w:t>3</w:t>
      </w:r>
      <w:r>
        <w:t>天的，将相应延长投标文件的截止时间。</w:t>
      </w:r>
    </w:p>
    <w:p>
      <w:pPr>
        <w:pStyle w:val="2"/>
        <w:spacing w:before="0" w:after="0" w:line="360" w:lineRule="auto"/>
        <w:jc w:val="center"/>
        <w:rPr>
          <w:rFonts w:ascii="宋体" w:hAnsi="宋体" w:eastAsia="宋体"/>
          <w:color w:val="000000"/>
          <w:sz w:val="30"/>
          <w:szCs w:val="30"/>
        </w:rPr>
      </w:pPr>
      <w:bookmarkStart w:id="25" w:name="_Toc536214650"/>
      <w:bookmarkStart w:id="26" w:name="_Toc358476596"/>
    </w:p>
    <w:p>
      <w:pPr>
        <w:pStyle w:val="2"/>
        <w:spacing w:before="0" w:after="0" w:line="360" w:lineRule="auto"/>
        <w:jc w:val="center"/>
        <w:rPr>
          <w:rFonts w:ascii="宋体" w:hAnsi="宋体" w:eastAsia="宋体"/>
          <w:color w:val="000000"/>
          <w:sz w:val="30"/>
          <w:szCs w:val="30"/>
        </w:rPr>
      </w:pPr>
      <w:r>
        <w:rPr>
          <w:rFonts w:ascii="宋体" w:hAnsi="宋体" w:eastAsia="宋体"/>
          <w:color w:val="000000"/>
          <w:sz w:val="30"/>
          <w:szCs w:val="30"/>
        </w:rPr>
        <w:t>(</w:t>
      </w:r>
      <w:r>
        <w:rPr>
          <w:rFonts w:hint="eastAsia" w:ascii="宋体" w:hAnsi="宋体" w:eastAsia="宋体"/>
          <w:color w:val="000000"/>
          <w:sz w:val="30"/>
          <w:szCs w:val="30"/>
        </w:rPr>
        <w:t>五</w:t>
      </w:r>
      <w:r>
        <w:rPr>
          <w:rFonts w:ascii="宋体" w:hAnsi="宋体" w:eastAsia="宋体"/>
          <w:color w:val="000000"/>
          <w:sz w:val="30"/>
          <w:szCs w:val="30"/>
        </w:rPr>
        <w:t xml:space="preserve">) </w:t>
      </w:r>
      <w:r>
        <w:rPr>
          <w:rFonts w:hint="eastAsia" w:ascii="宋体" w:hAnsi="宋体" w:eastAsia="宋体"/>
          <w:color w:val="000000"/>
          <w:sz w:val="30"/>
          <w:szCs w:val="30"/>
        </w:rPr>
        <w:t>投标文件的密封和递交</w:t>
      </w:r>
    </w:p>
    <w:p>
      <w:pPr>
        <w:snapToGrid w:val="0"/>
        <w:spacing w:line="360" w:lineRule="auto"/>
        <w:ind w:firstLine="480" w:firstLineChars="200"/>
        <w:rPr>
          <w:bCs/>
          <w:color w:val="000000"/>
        </w:rPr>
      </w:pPr>
      <w:r>
        <w:rPr>
          <w:rFonts w:hint="eastAsia"/>
          <w:bCs/>
          <w:color w:val="000000"/>
        </w:rPr>
        <w:t>17、投标文件的密封与标志</w:t>
      </w:r>
    </w:p>
    <w:p>
      <w:pPr>
        <w:snapToGrid w:val="0"/>
        <w:spacing w:line="360" w:lineRule="auto"/>
        <w:ind w:firstLine="480" w:firstLineChars="200"/>
        <w:rPr>
          <w:bCs/>
        </w:rPr>
      </w:pPr>
      <w:r>
        <w:rPr>
          <w:rFonts w:hint="eastAsia"/>
          <w:bCs/>
          <w:color w:val="000000"/>
        </w:rPr>
        <w:t>17</w:t>
      </w:r>
      <w:r>
        <w:rPr>
          <w:bCs/>
          <w:color w:val="000000"/>
        </w:rPr>
        <w:t xml:space="preserve">.1 </w:t>
      </w:r>
      <w:r>
        <w:rPr>
          <w:rFonts w:hint="eastAsia"/>
          <w:bCs/>
          <w:color w:val="000000"/>
        </w:rPr>
        <w:t>本工程投标文</w:t>
      </w:r>
      <w:r>
        <w:rPr>
          <w:rFonts w:hint="eastAsia"/>
          <w:bCs/>
        </w:rPr>
        <w:t>件由</w:t>
      </w:r>
      <w:r>
        <w:rPr>
          <w:rFonts w:hint="eastAsia"/>
          <w:b/>
          <w:u w:val="single"/>
        </w:rPr>
        <w:t>资格审查文件、技术标文件、商务标文件</w:t>
      </w:r>
      <w:r>
        <w:rPr>
          <w:rFonts w:hint="eastAsia"/>
          <w:bCs/>
        </w:rPr>
        <w:t>三部分组成。</w:t>
      </w:r>
    </w:p>
    <w:p>
      <w:pPr>
        <w:spacing w:line="360" w:lineRule="auto"/>
        <w:ind w:firstLine="480"/>
      </w:pPr>
      <w:r>
        <w:rPr>
          <w:rFonts w:hint="eastAsia"/>
        </w:rPr>
        <w:t>17.2投标人应准备三部分完整的投标文件，分别装订。第一部分为资格审查文件，第二部分技术标，第三部分为商务标。其中资格审查文件和商务标正本壹份，副本肆份，并标明“正本”或“副本”字样，当正本与副本有不一致时，以正本为准。技术标伍份，不分正、副本。</w:t>
      </w:r>
    </w:p>
    <w:p>
      <w:pPr>
        <w:spacing w:line="360" w:lineRule="auto"/>
        <w:ind w:firstLine="480"/>
      </w:pPr>
      <w:r>
        <w:rPr>
          <w:rFonts w:hint="eastAsia"/>
        </w:rPr>
        <w:t>17</w:t>
      </w:r>
      <w:r>
        <w:t>.</w:t>
      </w:r>
      <w:r>
        <w:rPr>
          <w:rFonts w:hint="eastAsia"/>
        </w:rPr>
        <w:t>3投标文件必须分三部分单独密封。第一部分为资格审查资料包，第二部分技术标，第三部分为商务标。三部分投标文件应分别密封，并在封袋标明“资格审查文件”、“技术标”、“商务标”，同时还要写明招标人名称、项目名称及投标人名称。</w:t>
      </w:r>
    </w:p>
    <w:p>
      <w:pPr>
        <w:spacing w:line="360" w:lineRule="auto"/>
        <w:ind w:firstLine="480"/>
      </w:pPr>
      <w:r>
        <w:rPr>
          <w:rFonts w:hint="eastAsia"/>
        </w:rPr>
        <w:t>17.4所有投标文件都必须在封袋处以显著标志密封（</w:t>
      </w:r>
      <w:r>
        <w:rPr>
          <w:rFonts w:hint="eastAsia"/>
          <w:b/>
        </w:rPr>
        <w:t>在封袋上加盖投标人公章和法定代表人章</w:t>
      </w:r>
      <w:r>
        <w:rPr>
          <w:rFonts w:hint="eastAsia"/>
        </w:rPr>
        <w:t>）。</w:t>
      </w:r>
    </w:p>
    <w:p>
      <w:pPr>
        <w:spacing w:line="360" w:lineRule="auto"/>
        <w:ind w:firstLine="480"/>
      </w:pPr>
      <w:r>
        <w:rPr>
          <w:rFonts w:hint="eastAsia"/>
        </w:rPr>
        <w:t>17.</w:t>
      </w:r>
      <w:r>
        <w:rPr>
          <w:rFonts w:hint="eastAsia"/>
          <w:lang w:val="en-US" w:eastAsia="zh-CN"/>
        </w:rPr>
        <w:t>5</w:t>
      </w:r>
      <w:r>
        <w:rPr>
          <w:rFonts w:hint="eastAsia"/>
        </w:rPr>
        <w:t>投标人未按上述规定提交投标文件，其投标文件将被拒绝，并退还给投标人。</w:t>
      </w:r>
    </w:p>
    <w:p>
      <w:pPr>
        <w:spacing w:line="360" w:lineRule="auto"/>
        <w:ind w:firstLine="482" w:firstLineChars="200"/>
        <w:rPr>
          <w:b/>
          <w:bCs/>
        </w:rPr>
      </w:pPr>
      <w:r>
        <w:rPr>
          <w:rFonts w:hint="eastAsia"/>
          <w:b/>
          <w:bCs/>
        </w:rPr>
        <w:t>18、投标文件的递交</w:t>
      </w:r>
    </w:p>
    <w:p>
      <w:pPr>
        <w:spacing w:line="360" w:lineRule="auto"/>
        <w:ind w:firstLine="480" w:firstLineChars="200"/>
      </w:pPr>
      <w:r>
        <w:rPr>
          <w:rFonts w:hint="eastAsia"/>
        </w:rPr>
        <w:t xml:space="preserve">18.1投标人应在投标人须知前附表规定的投标文件递交截止时间之前完成投标文件的递交。招标人延长递交投标文件截止时间的，招标人与投标人在原投标截止期的全部权利、义务、责任将适用于延长后新的投标截止期。 </w:t>
      </w:r>
    </w:p>
    <w:p>
      <w:pPr>
        <w:spacing w:line="360" w:lineRule="auto"/>
        <w:ind w:firstLine="480" w:firstLineChars="200"/>
        <w:rPr>
          <w:b/>
          <w:bCs/>
        </w:rPr>
      </w:pPr>
      <w:r>
        <w:rPr>
          <w:rFonts w:hint="eastAsia"/>
        </w:rPr>
        <w:t>18.2</w:t>
      </w:r>
      <w:r>
        <w:rPr>
          <w:rFonts w:hint="eastAsia"/>
          <w:b/>
          <w:bCs/>
        </w:rPr>
        <w:t>投标人在开标现场递交投标文件时，必须由授权委托人随身携带并当场出示授权委托书原件及本人身份证原件（如为法定代表人亲自参加投标，则须随身携带并当场出示法定代表人身份证明原件及身份证原件），准时参加开标会议并亲自递交投标文件，否则投标文件将可能被拒绝接收。逾期送达的或者非法定代表人或其授权代理人本人递交投标文件的，其投标文件将被拒绝，并原封退还给投标人。</w:t>
      </w:r>
    </w:p>
    <w:p>
      <w:pPr>
        <w:spacing w:line="360" w:lineRule="auto"/>
        <w:ind w:firstLine="480" w:firstLineChars="200"/>
      </w:pPr>
      <w:r>
        <w:rPr>
          <w:rFonts w:hint="eastAsia"/>
        </w:rPr>
        <w:t>18.3投标人应按投标人须知前附表中规定，在投标文件递交截止时间之前将投标文件递交给招标人。</w:t>
      </w:r>
    </w:p>
    <w:p>
      <w:pPr>
        <w:snapToGrid w:val="0"/>
        <w:spacing w:line="360" w:lineRule="auto"/>
        <w:ind w:firstLine="480" w:firstLineChars="200"/>
        <w:rPr>
          <w:bCs/>
          <w:color w:val="000000"/>
        </w:rPr>
      </w:pPr>
      <w:r>
        <w:rPr>
          <w:rFonts w:hint="eastAsia"/>
        </w:rPr>
        <w:t>18.4投标人未按上述规定提交投标文件，其投标文件将被拒绝，并退还给投标人。</w:t>
      </w:r>
    </w:p>
    <w:p>
      <w:pPr>
        <w:snapToGrid w:val="0"/>
        <w:spacing w:line="360" w:lineRule="auto"/>
        <w:ind w:firstLine="480" w:firstLineChars="200"/>
        <w:rPr>
          <w:bCs/>
          <w:color w:val="000000"/>
        </w:rPr>
      </w:pPr>
      <w:r>
        <w:rPr>
          <w:rFonts w:hint="eastAsia"/>
          <w:bCs/>
          <w:color w:val="000000"/>
        </w:rPr>
        <w:t>19、投标文件的修改与撤回</w:t>
      </w:r>
    </w:p>
    <w:p>
      <w:pPr>
        <w:snapToGrid w:val="0"/>
        <w:spacing w:line="360" w:lineRule="auto"/>
        <w:ind w:firstLine="480" w:firstLineChars="200"/>
        <w:rPr>
          <w:bCs/>
          <w:color w:val="000000"/>
        </w:rPr>
      </w:pPr>
      <w:r>
        <w:rPr>
          <w:rFonts w:hint="eastAsia"/>
          <w:bCs/>
          <w:color w:val="000000"/>
        </w:rPr>
        <w:t>投标截止时间之前，投标人可对所递交的投标文件进行修改或撤回，但所递交的修改或撤回通知必须按招标文件的规定进行编制、密封、标志</w:t>
      </w:r>
      <w:r>
        <w:rPr>
          <w:bCs/>
          <w:color w:val="000000"/>
        </w:rPr>
        <w:t>(</w:t>
      </w:r>
      <w:r>
        <w:rPr>
          <w:rFonts w:hint="eastAsia"/>
          <w:bCs/>
          <w:color w:val="000000"/>
        </w:rPr>
        <w:t>在包封上标明</w:t>
      </w:r>
      <w:r>
        <w:rPr>
          <w:bCs/>
          <w:color w:val="000000"/>
        </w:rPr>
        <w:t>“</w:t>
      </w:r>
      <w:r>
        <w:rPr>
          <w:rFonts w:hint="eastAsia"/>
          <w:bCs/>
          <w:color w:val="000000"/>
        </w:rPr>
        <w:t>修改</w:t>
      </w:r>
      <w:r>
        <w:rPr>
          <w:bCs/>
          <w:color w:val="000000"/>
        </w:rPr>
        <w:t>”</w:t>
      </w:r>
      <w:r>
        <w:rPr>
          <w:rFonts w:hint="eastAsia"/>
          <w:bCs/>
          <w:color w:val="000000"/>
        </w:rPr>
        <w:t>或</w:t>
      </w:r>
      <w:r>
        <w:rPr>
          <w:bCs/>
          <w:color w:val="000000"/>
        </w:rPr>
        <w:t>“</w:t>
      </w:r>
      <w:r>
        <w:rPr>
          <w:rFonts w:hint="eastAsia"/>
          <w:bCs/>
          <w:color w:val="000000"/>
        </w:rPr>
        <w:t>撤回</w:t>
      </w:r>
      <w:r>
        <w:rPr>
          <w:bCs/>
          <w:color w:val="000000"/>
        </w:rPr>
        <w:t>”</w:t>
      </w:r>
      <w:r>
        <w:rPr>
          <w:rFonts w:hint="eastAsia"/>
          <w:bCs/>
          <w:color w:val="000000"/>
        </w:rPr>
        <w:t>字样，并注明修改或撤回的时间</w:t>
      </w:r>
      <w:r>
        <w:rPr>
          <w:bCs/>
          <w:color w:val="000000"/>
        </w:rPr>
        <w:t>)</w:t>
      </w:r>
      <w:r>
        <w:rPr>
          <w:rFonts w:hint="eastAsia"/>
          <w:bCs/>
          <w:color w:val="000000"/>
        </w:rPr>
        <w:t>和递交。投标截止时间之后，投标人不得修改或撤回投标文件。</w:t>
      </w:r>
    </w:p>
    <w:p>
      <w:pPr>
        <w:pStyle w:val="2"/>
        <w:spacing w:before="0" w:after="0" w:line="360" w:lineRule="auto"/>
        <w:jc w:val="center"/>
        <w:rPr>
          <w:rFonts w:ascii="宋体" w:hAnsi="宋体" w:eastAsia="宋体"/>
          <w:color w:val="000000"/>
          <w:sz w:val="30"/>
          <w:szCs w:val="30"/>
        </w:rPr>
      </w:pPr>
      <w:r>
        <w:rPr>
          <w:rFonts w:ascii="宋体" w:hAnsi="宋体" w:eastAsia="宋体"/>
          <w:color w:val="000000"/>
          <w:sz w:val="30"/>
          <w:szCs w:val="30"/>
        </w:rPr>
        <w:t xml:space="preserve"> </w:t>
      </w:r>
    </w:p>
    <w:p>
      <w:pPr>
        <w:pStyle w:val="2"/>
        <w:snapToGrid w:val="0"/>
        <w:spacing w:before="0" w:after="0" w:line="360" w:lineRule="auto"/>
        <w:jc w:val="center"/>
        <w:rPr>
          <w:rFonts w:ascii="宋体" w:hAnsi="宋体" w:eastAsia="宋体"/>
          <w:color w:val="000000"/>
          <w:sz w:val="30"/>
          <w:szCs w:val="30"/>
        </w:rPr>
      </w:pPr>
      <w:r>
        <w:rPr>
          <w:rFonts w:ascii="宋体" w:hAnsi="宋体" w:eastAsia="宋体"/>
          <w:color w:val="000000"/>
          <w:sz w:val="30"/>
          <w:szCs w:val="30"/>
        </w:rPr>
        <w:t>(</w:t>
      </w:r>
      <w:r>
        <w:rPr>
          <w:rFonts w:hint="eastAsia" w:ascii="宋体" w:hAnsi="宋体" w:eastAsia="宋体"/>
          <w:color w:val="000000"/>
          <w:sz w:val="30"/>
          <w:szCs w:val="30"/>
        </w:rPr>
        <w:t>六</w:t>
      </w:r>
      <w:r>
        <w:rPr>
          <w:rFonts w:ascii="宋体" w:hAnsi="宋体" w:eastAsia="宋体"/>
          <w:color w:val="000000"/>
          <w:sz w:val="30"/>
          <w:szCs w:val="30"/>
        </w:rPr>
        <w:t xml:space="preserve">) </w:t>
      </w:r>
      <w:r>
        <w:rPr>
          <w:rFonts w:hint="eastAsia" w:ascii="宋体" w:hAnsi="宋体" w:eastAsia="宋体"/>
          <w:color w:val="000000"/>
          <w:sz w:val="30"/>
          <w:szCs w:val="30"/>
        </w:rPr>
        <w:t>开标、评标和定标</w:t>
      </w:r>
    </w:p>
    <w:p>
      <w:pPr>
        <w:snapToGrid w:val="0"/>
        <w:spacing w:line="360" w:lineRule="auto"/>
        <w:ind w:firstLine="480" w:firstLineChars="200"/>
        <w:rPr>
          <w:bCs/>
          <w:color w:val="000000"/>
        </w:rPr>
      </w:pPr>
      <w:r>
        <w:rPr>
          <w:bCs/>
          <w:color w:val="000000"/>
        </w:rPr>
        <w:t>2</w:t>
      </w:r>
      <w:r>
        <w:rPr>
          <w:rFonts w:hint="eastAsia"/>
          <w:bCs/>
          <w:color w:val="000000"/>
        </w:rPr>
        <w:t>0、本工程评标、定标办法采用下列</w:t>
      </w:r>
      <w:r>
        <w:rPr>
          <w:bCs/>
          <w:color w:val="000000"/>
          <w:u w:val="single"/>
        </w:rPr>
        <w:t xml:space="preserve">  2</w:t>
      </w:r>
      <w:r>
        <w:rPr>
          <w:rFonts w:hint="eastAsia"/>
          <w:bCs/>
          <w:color w:val="000000"/>
          <w:u w:val="single"/>
        </w:rPr>
        <w:t>0</w:t>
      </w:r>
      <w:r>
        <w:rPr>
          <w:bCs/>
          <w:color w:val="000000"/>
          <w:u w:val="single"/>
        </w:rPr>
        <w:t>.</w:t>
      </w:r>
      <w:r>
        <w:rPr>
          <w:rFonts w:hint="eastAsia"/>
          <w:bCs/>
          <w:color w:val="000000"/>
          <w:u w:val="single"/>
        </w:rPr>
        <w:t>3</w:t>
      </w:r>
      <w:r>
        <w:rPr>
          <w:bCs/>
          <w:color w:val="000000"/>
          <w:u w:val="single"/>
        </w:rPr>
        <w:t xml:space="preserve"> </w:t>
      </w:r>
      <w:r>
        <w:rPr>
          <w:bCs/>
          <w:color w:val="000000"/>
        </w:rPr>
        <w:t xml:space="preserve"> </w:t>
      </w:r>
      <w:r>
        <w:rPr>
          <w:rFonts w:hint="eastAsia"/>
          <w:bCs/>
          <w:color w:val="000000"/>
        </w:rPr>
        <w:t>种方式</w:t>
      </w:r>
    </w:p>
    <w:p>
      <w:pPr>
        <w:snapToGrid w:val="0"/>
        <w:spacing w:line="360" w:lineRule="auto"/>
        <w:ind w:firstLine="480" w:firstLineChars="200"/>
        <w:rPr>
          <w:bCs/>
          <w:color w:val="000000"/>
        </w:rPr>
      </w:pPr>
      <w:r>
        <w:rPr>
          <w:bCs/>
          <w:color w:val="000000"/>
        </w:rPr>
        <w:t>2</w:t>
      </w:r>
      <w:r>
        <w:rPr>
          <w:rFonts w:hint="eastAsia"/>
          <w:bCs/>
          <w:color w:val="000000"/>
        </w:rPr>
        <w:t>0</w:t>
      </w:r>
      <w:r>
        <w:rPr>
          <w:bCs/>
          <w:color w:val="000000"/>
        </w:rPr>
        <w:t>.1</w:t>
      </w:r>
      <w:r>
        <w:rPr>
          <w:rFonts w:hint="eastAsia"/>
          <w:bCs/>
          <w:color w:val="000000"/>
        </w:rPr>
        <w:t>价格单因素评标办法</w:t>
      </w:r>
    </w:p>
    <w:p>
      <w:pPr>
        <w:snapToGrid w:val="0"/>
        <w:spacing w:line="360" w:lineRule="auto"/>
        <w:ind w:firstLine="480" w:firstLineChars="200"/>
        <w:rPr>
          <w:bCs/>
          <w:color w:val="000000"/>
        </w:rPr>
      </w:pPr>
      <w:r>
        <w:rPr>
          <w:bCs/>
          <w:color w:val="000000"/>
        </w:rPr>
        <w:t>2</w:t>
      </w:r>
      <w:r>
        <w:rPr>
          <w:rFonts w:hint="eastAsia"/>
          <w:bCs/>
          <w:color w:val="000000"/>
        </w:rPr>
        <w:t>0</w:t>
      </w:r>
      <w:r>
        <w:rPr>
          <w:bCs/>
          <w:color w:val="000000"/>
        </w:rPr>
        <w:t>.2</w:t>
      </w:r>
      <w:r>
        <w:rPr>
          <w:rFonts w:hint="eastAsia"/>
          <w:bCs/>
          <w:color w:val="000000"/>
        </w:rPr>
        <w:t>含施工组织设计的价格单因素评标方法</w:t>
      </w:r>
    </w:p>
    <w:p>
      <w:pPr>
        <w:snapToGrid w:val="0"/>
        <w:spacing w:line="360" w:lineRule="auto"/>
        <w:ind w:firstLine="480" w:firstLineChars="200"/>
        <w:rPr>
          <w:bCs/>
          <w:color w:val="000000"/>
        </w:rPr>
      </w:pPr>
      <w:r>
        <w:rPr>
          <w:bCs/>
          <w:color w:val="000000"/>
        </w:rPr>
        <w:t>2</w:t>
      </w:r>
      <w:r>
        <w:rPr>
          <w:rFonts w:hint="eastAsia"/>
          <w:bCs/>
          <w:color w:val="000000"/>
        </w:rPr>
        <w:t>0</w:t>
      </w:r>
      <w:r>
        <w:rPr>
          <w:bCs/>
          <w:color w:val="000000"/>
        </w:rPr>
        <w:t>.3</w:t>
      </w:r>
      <w:r>
        <w:rPr>
          <w:rFonts w:hint="eastAsia"/>
          <w:bCs/>
          <w:color w:val="000000"/>
        </w:rPr>
        <w:t>综合评估法</w:t>
      </w:r>
    </w:p>
    <w:p>
      <w:pPr>
        <w:snapToGrid w:val="0"/>
        <w:spacing w:line="360" w:lineRule="auto"/>
        <w:ind w:firstLine="480" w:firstLineChars="200"/>
        <w:rPr>
          <w:bCs/>
          <w:color w:val="000000"/>
        </w:rPr>
      </w:pPr>
      <w:r>
        <w:rPr>
          <w:rFonts w:hint="eastAsia"/>
          <w:bCs/>
          <w:color w:val="000000"/>
        </w:rPr>
        <w:t>21、招标人按投标须知前附表规定的时间、地点公开开标。开标会由招标代理机构主持，由投标人或投标人代表检查投标文件的密封情况。</w:t>
      </w:r>
    </w:p>
    <w:p>
      <w:pPr>
        <w:snapToGrid w:val="0"/>
        <w:spacing w:line="360" w:lineRule="auto"/>
        <w:ind w:firstLine="480" w:firstLineChars="200"/>
        <w:rPr>
          <w:bCs/>
          <w:color w:val="000000"/>
        </w:rPr>
      </w:pPr>
      <w:r>
        <w:rPr>
          <w:rFonts w:hint="eastAsia"/>
          <w:bCs/>
          <w:color w:val="000000"/>
        </w:rPr>
        <w:t>22、</w:t>
      </w:r>
      <w:r>
        <w:rPr>
          <w:rFonts w:hint="eastAsia"/>
          <w:b/>
          <w:bCs/>
        </w:rPr>
        <w:t>评标委员会</w:t>
      </w:r>
    </w:p>
    <w:p>
      <w:pPr>
        <w:snapToGrid w:val="0"/>
        <w:spacing w:line="360" w:lineRule="auto"/>
        <w:ind w:firstLine="480" w:firstLineChars="200"/>
        <w:rPr>
          <w:bCs/>
          <w:color w:val="000000"/>
        </w:rPr>
      </w:pPr>
      <w:r>
        <w:rPr>
          <w:rFonts w:hint="eastAsia"/>
          <w:bCs/>
          <w:color w:val="000000"/>
        </w:rPr>
        <w:t>22.1评标由招标人依法组建的评标委员会负责。评标委员会由有关技术、经济等方面的专家组成。评标评标委员会成员人数以及技术、经济等方面专家的确定方式见投标须知前附表。</w:t>
      </w:r>
    </w:p>
    <w:p>
      <w:pPr>
        <w:snapToGrid w:val="0"/>
        <w:spacing w:line="360" w:lineRule="auto"/>
        <w:ind w:firstLine="480" w:firstLineChars="200"/>
        <w:rPr>
          <w:bCs/>
        </w:rPr>
      </w:pPr>
      <w:r>
        <w:rPr>
          <w:rFonts w:hint="eastAsia"/>
          <w:bCs/>
        </w:rPr>
        <w:t>22.2招标代理机构的人员不得担任其代理招标项目的评标委员会成员。</w:t>
      </w:r>
    </w:p>
    <w:p>
      <w:pPr>
        <w:snapToGrid w:val="0"/>
        <w:spacing w:line="360" w:lineRule="auto"/>
        <w:ind w:firstLine="480" w:firstLineChars="200"/>
        <w:rPr>
          <w:szCs w:val="21"/>
        </w:rPr>
      </w:pPr>
      <w:r>
        <w:rPr>
          <w:rFonts w:hint="eastAsia"/>
          <w:szCs w:val="21"/>
        </w:rPr>
        <w:t>22.3评标委员会成员有下列情形之一的，应当回避：</w:t>
      </w:r>
    </w:p>
    <w:p>
      <w:pPr>
        <w:snapToGrid w:val="0"/>
        <w:spacing w:line="360" w:lineRule="auto"/>
        <w:ind w:firstLine="480" w:firstLineChars="200"/>
        <w:rPr>
          <w:szCs w:val="21"/>
        </w:rPr>
      </w:pPr>
      <w:r>
        <w:rPr>
          <w:rFonts w:hint="eastAsia"/>
          <w:szCs w:val="21"/>
        </w:rPr>
        <w:t>（1）投标人或投标人的主要负责人的近亲属；</w:t>
      </w:r>
    </w:p>
    <w:p>
      <w:pPr>
        <w:snapToGrid w:val="0"/>
        <w:spacing w:line="360" w:lineRule="auto"/>
        <w:ind w:firstLine="480" w:firstLineChars="200"/>
        <w:rPr>
          <w:szCs w:val="21"/>
        </w:rPr>
      </w:pPr>
      <w:r>
        <w:rPr>
          <w:rFonts w:hint="eastAsia"/>
          <w:szCs w:val="21"/>
        </w:rPr>
        <w:t>（2）项目主管部门或者行政监督部门的人员；</w:t>
      </w:r>
    </w:p>
    <w:p>
      <w:pPr>
        <w:snapToGrid w:val="0"/>
        <w:spacing w:line="360" w:lineRule="auto"/>
        <w:ind w:firstLine="480" w:firstLineChars="200"/>
        <w:rPr>
          <w:szCs w:val="21"/>
        </w:rPr>
      </w:pPr>
      <w:r>
        <w:rPr>
          <w:rFonts w:hint="eastAsia"/>
          <w:szCs w:val="21"/>
        </w:rPr>
        <w:t>（3）与投标人有经济利益关系，可能影响对投标公正评审的；</w:t>
      </w:r>
    </w:p>
    <w:p>
      <w:pPr>
        <w:snapToGrid w:val="0"/>
        <w:spacing w:line="360" w:lineRule="auto"/>
        <w:ind w:firstLine="480" w:firstLineChars="200"/>
        <w:rPr>
          <w:szCs w:val="21"/>
        </w:rPr>
      </w:pPr>
      <w:r>
        <w:rPr>
          <w:rFonts w:hint="eastAsia"/>
          <w:szCs w:val="21"/>
        </w:rPr>
        <w:t>（4）曾因在招标、评标以及其他与招标投标有关活动中从事违法行为而受过行政处罚或刑事处罚的。</w:t>
      </w:r>
    </w:p>
    <w:p>
      <w:pPr>
        <w:snapToGrid w:val="0"/>
        <w:spacing w:line="360" w:lineRule="auto"/>
        <w:ind w:firstLine="480"/>
      </w:pPr>
      <w:r>
        <w:rPr>
          <w:rFonts w:hint="eastAsia"/>
          <w:szCs w:val="21"/>
        </w:rPr>
        <w:t>22.4</w:t>
      </w:r>
      <w:r>
        <w:t>评标委员会应当审查每一投标文件是否对招标文件提出的所有实质性要求和条件作出响应。</w:t>
      </w:r>
    </w:p>
    <w:p>
      <w:pPr>
        <w:autoSpaceDN w:val="0"/>
        <w:snapToGrid w:val="0"/>
        <w:spacing w:line="360" w:lineRule="auto"/>
        <w:ind w:firstLine="482"/>
        <w:rPr>
          <w:b/>
        </w:rPr>
      </w:pPr>
      <w:r>
        <w:rPr>
          <w:rFonts w:hint="eastAsia"/>
          <w:b/>
        </w:rPr>
        <w:t>23、凡投标文件有下列情况之一的，属于重大偏差，视同未能对招标文件作出实质性响应，按废标处理：</w:t>
      </w:r>
    </w:p>
    <w:p>
      <w:pPr>
        <w:autoSpaceDN w:val="0"/>
        <w:snapToGrid w:val="0"/>
        <w:spacing w:line="360" w:lineRule="auto"/>
        <w:ind w:firstLine="482"/>
        <w:rPr>
          <w:b/>
        </w:rPr>
      </w:pPr>
      <w:r>
        <w:rPr>
          <w:rFonts w:hint="eastAsia"/>
          <w:b/>
        </w:rPr>
        <w:t>23</w:t>
      </w:r>
      <w:r>
        <w:rPr>
          <w:b/>
        </w:rPr>
        <w:t>.</w:t>
      </w:r>
      <w:r>
        <w:rPr>
          <w:rFonts w:hint="eastAsia"/>
          <w:b/>
        </w:rPr>
        <w:t>1 投标文件中的投标函未加盖投标人的公章；</w:t>
      </w:r>
    </w:p>
    <w:p>
      <w:pPr>
        <w:autoSpaceDN w:val="0"/>
        <w:snapToGrid w:val="0"/>
        <w:spacing w:line="360" w:lineRule="auto"/>
        <w:ind w:firstLine="482"/>
      </w:pPr>
      <w:r>
        <w:rPr>
          <w:rFonts w:hint="eastAsia"/>
          <w:b/>
        </w:rPr>
        <w:t>23.2 投标文件中的投标函未加盖企业法定代表人（或企业法定代表人委托代理人）印章（或签字）的；</w:t>
      </w:r>
    </w:p>
    <w:p>
      <w:pPr>
        <w:autoSpaceDN w:val="0"/>
        <w:snapToGrid w:val="0"/>
        <w:spacing w:line="360" w:lineRule="auto"/>
        <w:ind w:firstLine="482"/>
      </w:pPr>
      <w:r>
        <w:rPr>
          <w:rFonts w:hint="eastAsia"/>
          <w:b/>
        </w:rPr>
        <w:t>23</w:t>
      </w:r>
      <w:r>
        <w:rPr>
          <w:b/>
        </w:rPr>
        <w:t>.</w:t>
      </w:r>
      <w:r>
        <w:rPr>
          <w:rFonts w:hint="eastAsia"/>
          <w:b/>
        </w:rPr>
        <w:t xml:space="preserve">3 </w:t>
      </w:r>
      <w:r>
        <w:rPr>
          <w:rFonts w:hint="eastAsia" w:cs="Calibri"/>
          <w:b/>
          <w:color w:val="000000"/>
        </w:rPr>
        <w:t>投标函加盖企业法定代表人委托代理人印章（或签字），企业法定代表人委托代理人没有合法、有效的委托书（原件）的；</w:t>
      </w:r>
    </w:p>
    <w:p>
      <w:pPr>
        <w:autoSpaceDN w:val="0"/>
        <w:snapToGrid w:val="0"/>
        <w:spacing w:line="360" w:lineRule="auto"/>
        <w:ind w:firstLine="482"/>
        <w:rPr>
          <w:rFonts w:cs="Calibri"/>
          <w:b/>
          <w:color w:val="000000"/>
        </w:rPr>
      </w:pPr>
      <w:r>
        <w:rPr>
          <w:rFonts w:hint="eastAsia" w:cs="Calibri"/>
          <w:b/>
          <w:color w:val="000000"/>
        </w:rPr>
        <w:t>23.4 投标人资质条件不符合国家有关规定，或者不满足招标文件规定的资格条件的；</w:t>
      </w:r>
    </w:p>
    <w:p>
      <w:pPr>
        <w:autoSpaceDN w:val="0"/>
        <w:snapToGrid w:val="0"/>
        <w:spacing w:line="360" w:lineRule="auto"/>
        <w:ind w:firstLine="482"/>
        <w:rPr>
          <w:rFonts w:hint="eastAsia" w:cs="Calibri"/>
          <w:b/>
          <w:color w:val="000000"/>
        </w:rPr>
      </w:pPr>
      <w:r>
        <w:rPr>
          <w:rFonts w:hint="eastAsia" w:cs="Calibri"/>
          <w:b/>
          <w:color w:val="000000"/>
        </w:rPr>
        <w:t>23.5 投标人名称或组织结构与资格预审时不一致的；</w:t>
      </w:r>
    </w:p>
    <w:p>
      <w:pPr>
        <w:autoSpaceDN w:val="0"/>
        <w:snapToGrid w:val="0"/>
        <w:spacing w:line="360" w:lineRule="auto"/>
        <w:ind w:firstLine="482"/>
        <w:rPr>
          <w:rFonts w:cs="Calibri"/>
          <w:b/>
          <w:color w:val="000000"/>
        </w:rPr>
      </w:pPr>
      <w:r>
        <w:rPr>
          <w:rFonts w:hint="eastAsia" w:cs="Calibri"/>
          <w:b/>
          <w:color w:val="000000"/>
        </w:rPr>
        <w:t>23.6 除在投标截止时间前经招标人书面同意外，项目负责人与资格预审时不一致的；</w:t>
      </w:r>
    </w:p>
    <w:p>
      <w:pPr>
        <w:autoSpaceDN w:val="0"/>
        <w:snapToGrid w:val="0"/>
        <w:spacing w:line="360" w:lineRule="auto"/>
        <w:ind w:firstLine="482"/>
        <w:rPr>
          <w:rFonts w:hint="eastAsia" w:cs="Calibri"/>
          <w:b/>
          <w:color w:val="000000"/>
        </w:rPr>
      </w:pPr>
      <w:r>
        <w:rPr>
          <w:rFonts w:hint="eastAsia" w:cs="Calibri"/>
          <w:b/>
          <w:color w:val="000000"/>
        </w:rPr>
        <w:t>23.7</w:t>
      </w:r>
      <w:r>
        <w:rPr>
          <w:rFonts w:hint="eastAsia" w:cs="Calibri"/>
          <w:b/>
          <w:color w:val="000000"/>
          <w:lang w:val="en-US" w:eastAsia="zh-CN"/>
        </w:rPr>
        <w:t xml:space="preserve"> </w:t>
      </w:r>
      <w:r>
        <w:rPr>
          <w:rFonts w:hint="eastAsia" w:cs="Calibri"/>
          <w:b/>
          <w:color w:val="000000"/>
        </w:rPr>
        <w:t>投标报价低于工程成本高于或者等于招标文件设定的招标控制价的；</w:t>
      </w:r>
    </w:p>
    <w:p>
      <w:pPr>
        <w:autoSpaceDN w:val="0"/>
        <w:snapToGrid w:val="0"/>
        <w:spacing w:line="360" w:lineRule="auto"/>
        <w:ind w:firstLine="482"/>
        <w:rPr>
          <w:rFonts w:cs="Calibri"/>
          <w:b/>
          <w:color w:val="000000"/>
        </w:rPr>
      </w:pPr>
      <w:r>
        <w:rPr>
          <w:rFonts w:hint="eastAsia" w:cs="Calibri"/>
          <w:b/>
          <w:color w:val="000000"/>
        </w:rPr>
        <w:t>23.</w:t>
      </w:r>
      <w:r>
        <w:rPr>
          <w:rFonts w:hint="eastAsia" w:cs="Calibri"/>
          <w:b/>
          <w:color w:val="000000"/>
          <w:lang w:val="en-US" w:eastAsia="zh-CN"/>
        </w:rPr>
        <w:t xml:space="preserve">8 </w:t>
      </w:r>
      <w:r>
        <w:rPr>
          <w:rFonts w:hint="eastAsia" w:cs="Calibri"/>
          <w:b/>
          <w:color w:val="000000"/>
        </w:rPr>
        <w:t>同一投标人提交两个及以上不同的投标文件或者投</w:t>
      </w:r>
      <w:r>
        <w:rPr>
          <w:rFonts w:hint="eastAsia"/>
          <w:b/>
          <w:color w:val="000000"/>
        </w:rPr>
        <w:t>标报价，但招标文件要求提交备选投标的除外；</w:t>
      </w:r>
    </w:p>
    <w:p>
      <w:pPr>
        <w:autoSpaceDN w:val="0"/>
        <w:snapToGrid w:val="0"/>
        <w:spacing w:line="360" w:lineRule="auto"/>
        <w:ind w:firstLine="482"/>
        <w:rPr>
          <w:rFonts w:hint="eastAsia" w:cs="Calibri"/>
          <w:b/>
          <w:color w:val="000000"/>
          <w:lang w:val="en-US" w:eastAsia="zh-CN"/>
        </w:rPr>
      </w:pPr>
      <w:r>
        <w:rPr>
          <w:rFonts w:hint="eastAsia" w:cs="Calibri"/>
          <w:b/>
          <w:color w:val="000000"/>
        </w:rPr>
        <w:t>23.</w:t>
      </w:r>
      <w:r>
        <w:rPr>
          <w:rFonts w:hint="eastAsia" w:cs="Calibri"/>
          <w:b/>
          <w:color w:val="000000"/>
          <w:lang w:val="en-US" w:eastAsia="zh-CN"/>
        </w:rPr>
        <w:t xml:space="preserve">9 </w:t>
      </w:r>
      <w:r>
        <w:rPr>
          <w:rFonts w:hint="eastAsia"/>
          <w:b/>
          <w:color w:val="000000"/>
        </w:rPr>
        <w:t>投标文件中已标价工程量清单与招标文件规定的暂估价、暂列金额及甲供材料价格不一致的；</w:t>
      </w:r>
    </w:p>
    <w:p>
      <w:pPr>
        <w:autoSpaceDN w:val="0"/>
        <w:snapToGrid w:val="0"/>
        <w:spacing w:line="360" w:lineRule="auto"/>
        <w:ind w:firstLine="482"/>
        <w:rPr>
          <w:rFonts w:hint="eastAsia"/>
          <w:b/>
          <w:color w:val="000000"/>
        </w:rPr>
      </w:pPr>
      <w:r>
        <w:rPr>
          <w:rFonts w:hint="eastAsia" w:cs="Calibri"/>
          <w:b/>
          <w:color w:val="000000"/>
        </w:rPr>
        <w:t>23</w:t>
      </w:r>
      <w:r>
        <w:rPr>
          <w:rFonts w:hint="eastAsia"/>
          <w:b/>
          <w:color w:val="000000"/>
        </w:rPr>
        <w:t>.1</w:t>
      </w:r>
      <w:r>
        <w:rPr>
          <w:rFonts w:hint="eastAsia"/>
          <w:b/>
          <w:color w:val="000000"/>
          <w:lang w:val="en-US" w:eastAsia="zh-CN"/>
        </w:rPr>
        <w:t>0</w:t>
      </w:r>
      <w:r>
        <w:rPr>
          <w:rFonts w:hint="eastAsia"/>
          <w:b/>
          <w:color w:val="000000"/>
        </w:rPr>
        <w:t xml:space="preserve"> 未按招标文件要求提供投标保证金的；</w:t>
      </w:r>
    </w:p>
    <w:p>
      <w:pPr>
        <w:autoSpaceDN w:val="0"/>
        <w:snapToGrid w:val="0"/>
        <w:spacing w:line="360" w:lineRule="auto"/>
        <w:ind w:firstLine="482"/>
      </w:pPr>
      <w:r>
        <w:rPr>
          <w:rFonts w:hint="eastAsia" w:cs="Calibri"/>
          <w:b/>
          <w:color w:val="000000"/>
        </w:rPr>
        <w:t>23</w:t>
      </w:r>
      <w:r>
        <w:rPr>
          <w:rFonts w:hint="eastAsia"/>
          <w:b/>
          <w:color w:val="000000"/>
        </w:rPr>
        <w:t>.1</w:t>
      </w:r>
      <w:r>
        <w:rPr>
          <w:rFonts w:hint="eastAsia"/>
          <w:b/>
          <w:color w:val="000000"/>
          <w:lang w:val="en-US" w:eastAsia="zh-CN"/>
        </w:rPr>
        <w:t>1</w:t>
      </w:r>
      <w:r>
        <w:rPr>
          <w:rFonts w:hint="eastAsia"/>
          <w:b/>
          <w:color w:val="000000"/>
        </w:rPr>
        <w:t xml:space="preserve"> 投标文件载明的招标项目完成期限超过招标文件规定的期限的；</w:t>
      </w:r>
    </w:p>
    <w:p>
      <w:pPr>
        <w:autoSpaceDN w:val="0"/>
        <w:snapToGrid w:val="0"/>
        <w:spacing w:line="360" w:lineRule="auto"/>
        <w:ind w:firstLine="482"/>
      </w:pPr>
      <w:r>
        <w:rPr>
          <w:rFonts w:hint="eastAsia" w:cs="Calibri"/>
          <w:b/>
          <w:color w:val="000000"/>
        </w:rPr>
        <w:t>23</w:t>
      </w:r>
      <w:r>
        <w:rPr>
          <w:rFonts w:hint="eastAsia"/>
          <w:b/>
          <w:color w:val="000000"/>
        </w:rPr>
        <w:t>.1</w:t>
      </w:r>
      <w:r>
        <w:rPr>
          <w:rFonts w:hint="eastAsia"/>
          <w:b/>
          <w:color w:val="000000"/>
          <w:lang w:val="en-US" w:eastAsia="zh-CN"/>
        </w:rPr>
        <w:t xml:space="preserve">2 </w:t>
      </w:r>
      <w:r>
        <w:rPr>
          <w:rFonts w:hint="eastAsia"/>
          <w:b/>
          <w:color w:val="000000"/>
        </w:rPr>
        <w:t>明显不符合技术规范、技术标准的要求的；</w:t>
      </w:r>
    </w:p>
    <w:p>
      <w:pPr>
        <w:autoSpaceDN w:val="0"/>
        <w:snapToGrid w:val="0"/>
        <w:spacing w:line="360" w:lineRule="auto"/>
        <w:ind w:firstLine="482"/>
      </w:pPr>
      <w:r>
        <w:rPr>
          <w:rFonts w:hint="eastAsia" w:cs="Calibri"/>
          <w:b/>
          <w:color w:val="000000"/>
        </w:rPr>
        <w:t>23</w:t>
      </w:r>
      <w:r>
        <w:rPr>
          <w:rFonts w:hint="eastAsia"/>
          <w:b/>
          <w:color w:val="000000"/>
        </w:rPr>
        <w:t>.1</w:t>
      </w:r>
      <w:r>
        <w:rPr>
          <w:rFonts w:hint="eastAsia"/>
          <w:b/>
          <w:color w:val="000000"/>
          <w:lang w:val="en-US" w:eastAsia="zh-CN"/>
        </w:rPr>
        <w:t>3</w:t>
      </w:r>
      <w:r>
        <w:rPr>
          <w:rFonts w:hint="eastAsia"/>
          <w:b/>
          <w:color w:val="000000"/>
        </w:rPr>
        <w:t xml:space="preserve"> 投标文件载明的货物包装方式、检验标准和方法等不符合招标文件的要求的；</w:t>
      </w:r>
    </w:p>
    <w:p>
      <w:pPr>
        <w:autoSpaceDN w:val="0"/>
        <w:snapToGrid w:val="0"/>
        <w:spacing w:line="360" w:lineRule="auto"/>
        <w:ind w:firstLine="482"/>
      </w:pPr>
      <w:r>
        <w:rPr>
          <w:rFonts w:hint="eastAsia" w:cs="Calibri"/>
          <w:b/>
          <w:color w:val="000000"/>
        </w:rPr>
        <w:t>23</w:t>
      </w:r>
      <w:r>
        <w:rPr>
          <w:rFonts w:hint="eastAsia"/>
          <w:b/>
          <w:color w:val="000000"/>
        </w:rPr>
        <w:t>.1</w:t>
      </w:r>
      <w:r>
        <w:rPr>
          <w:rFonts w:hint="eastAsia"/>
          <w:b/>
          <w:color w:val="000000"/>
          <w:lang w:val="en-US" w:eastAsia="zh-CN"/>
        </w:rPr>
        <w:t xml:space="preserve">4 </w:t>
      </w:r>
      <w:r>
        <w:rPr>
          <w:rFonts w:hint="eastAsia"/>
          <w:b/>
          <w:color w:val="000000"/>
        </w:rPr>
        <w:t>投标文件提出了不能满足招标文件要求或招标人不能接受的工程验收、计量、价款结算和支付办法的；</w:t>
      </w:r>
    </w:p>
    <w:p>
      <w:pPr>
        <w:autoSpaceDN w:val="0"/>
        <w:snapToGrid w:val="0"/>
        <w:spacing w:line="360" w:lineRule="auto"/>
        <w:ind w:firstLine="482"/>
        <w:rPr>
          <w:rFonts w:hint="eastAsia"/>
          <w:b/>
          <w:color w:val="000000"/>
        </w:rPr>
      </w:pPr>
      <w:r>
        <w:rPr>
          <w:rFonts w:hint="eastAsia" w:cs="Calibri"/>
          <w:b/>
          <w:color w:val="000000"/>
        </w:rPr>
        <w:t>23</w:t>
      </w:r>
      <w:r>
        <w:rPr>
          <w:rFonts w:hint="eastAsia"/>
          <w:b/>
          <w:color w:val="000000"/>
        </w:rPr>
        <w:t>.1</w:t>
      </w:r>
      <w:r>
        <w:rPr>
          <w:rFonts w:hint="eastAsia"/>
          <w:b/>
          <w:color w:val="000000"/>
          <w:lang w:val="en-US" w:eastAsia="zh-CN"/>
        </w:rPr>
        <w:t>5</w:t>
      </w:r>
      <w:r>
        <w:rPr>
          <w:rFonts w:hint="eastAsia"/>
          <w:b/>
          <w:color w:val="000000"/>
        </w:rPr>
        <w:t xml:space="preserve"> 不同投标人的投标文件以及投标文件制作过程出现了评标委员会认为不应当雷同的情况的；</w:t>
      </w:r>
    </w:p>
    <w:p>
      <w:pPr>
        <w:autoSpaceDN w:val="0"/>
        <w:snapToGrid w:val="0"/>
        <w:spacing w:line="360" w:lineRule="auto"/>
        <w:ind w:firstLine="482"/>
      </w:pPr>
      <w:r>
        <w:rPr>
          <w:rFonts w:hint="eastAsia" w:cs="Calibri"/>
          <w:b/>
          <w:color w:val="000000"/>
        </w:rPr>
        <w:t>23</w:t>
      </w:r>
      <w:r>
        <w:rPr>
          <w:rFonts w:hint="eastAsia"/>
          <w:b/>
          <w:color w:val="000000"/>
        </w:rPr>
        <w:t>.1</w:t>
      </w:r>
      <w:r>
        <w:rPr>
          <w:rFonts w:hint="eastAsia"/>
          <w:b/>
          <w:color w:val="000000"/>
          <w:lang w:val="en-US" w:eastAsia="zh-CN"/>
        </w:rPr>
        <w:t>6</w:t>
      </w:r>
      <w:r>
        <w:rPr>
          <w:rFonts w:hint="eastAsia"/>
          <w:b/>
          <w:color w:val="000000"/>
        </w:rPr>
        <w:t xml:space="preserve"> 以他人的名义投标、串通投标、以行贿手段谋取中标或者以其他弄虚作假方式投标的；</w:t>
      </w:r>
    </w:p>
    <w:p>
      <w:pPr>
        <w:autoSpaceDN w:val="0"/>
        <w:snapToGrid w:val="0"/>
        <w:spacing w:line="360" w:lineRule="auto"/>
        <w:ind w:firstLine="482"/>
        <w:rPr>
          <w:rFonts w:hint="eastAsia"/>
          <w:b/>
          <w:color w:val="000000"/>
        </w:rPr>
      </w:pPr>
      <w:r>
        <w:rPr>
          <w:rFonts w:hint="eastAsia" w:cs="Calibri"/>
          <w:b/>
          <w:color w:val="000000"/>
        </w:rPr>
        <w:t>23</w:t>
      </w:r>
      <w:r>
        <w:rPr>
          <w:rFonts w:hint="eastAsia"/>
          <w:b/>
          <w:color w:val="000000"/>
        </w:rPr>
        <w:t>.</w:t>
      </w:r>
      <w:r>
        <w:rPr>
          <w:rFonts w:hint="eastAsia"/>
          <w:b/>
          <w:color w:val="000000"/>
          <w:lang w:val="en-US" w:eastAsia="zh-CN"/>
        </w:rPr>
        <w:t>17</w:t>
      </w:r>
      <w:r>
        <w:rPr>
          <w:rFonts w:hint="eastAsia"/>
          <w:b/>
          <w:color w:val="000000"/>
        </w:rPr>
        <w:t xml:space="preserve"> </w:t>
      </w:r>
      <w:r>
        <w:rPr>
          <w:rFonts w:hint="eastAsia" w:cs="Calibri"/>
          <w:b/>
          <w:color w:val="000000"/>
        </w:rPr>
        <w:t>投标文件关键内容模糊、无法辨认的，或未招标文件要求格式填写的；</w:t>
      </w:r>
    </w:p>
    <w:p>
      <w:pPr>
        <w:autoSpaceDN w:val="0"/>
        <w:snapToGrid w:val="0"/>
        <w:spacing w:line="360" w:lineRule="auto"/>
        <w:ind w:firstLine="482"/>
        <w:rPr>
          <w:rFonts w:cs="Calibri"/>
          <w:b/>
          <w:color w:val="000000"/>
        </w:rPr>
      </w:pPr>
      <w:r>
        <w:rPr>
          <w:rFonts w:hint="eastAsia" w:cs="Calibri"/>
          <w:b/>
          <w:color w:val="000000"/>
        </w:rPr>
        <w:t>23</w:t>
      </w:r>
      <w:r>
        <w:rPr>
          <w:rFonts w:hint="eastAsia"/>
          <w:b/>
          <w:bCs/>
        </w:rPr>
        <w:t>.</w:t>
      </w:r>
      <w:r>
        <w:rPr>
          <w:rFonts w:hint="eastAsia"/>
          <w:b/>
          <w:bCs/>
          <w:lang w:val="en-US" w:eastAsia="zh-CN"/>
        </w:rPr>
        <w:t>18</w:t>
      </w:r>
      <w:r>
        <w:rPr>
          <w:rFonts w:hint="eastAsia"/>
          <w:b/>
          <w:bCs/>
        </w:rPr>
        <w:t xml:space="preserve"> </w:t>
      </w:r>
      <w:r>
        <w:rPr>
          <w:rFonts w:hint="eastAsia" w:cs="Calibri"/>
          <w:b/>
          <w:color w:val="000000"/>
        </w:rPr>
        <w:t>设计方案存在明显技术方案错误、或者不符合招标文件有关暗标要求的；</w:t>
      </w:r>
    </w:p>
    <w:p>
      <w:pPr>
        <w:autoSpaceDN w:val="0"/>
        <w:snapToGrid w:val="0"/>
        <w:spacing w:line="360" w:lineRule="auto"/>
        <w:ind w:firstLine="482"/>
        <w:rPr>
          <w:rFonts w:cs="Calibri"/>
          <w:b/>
          <w:color w:val="000000"/>
        </w:rPr>
      </w:pPr>
      <w:r>
        <w:rPr>
          <w:rFonts w:hint="eastAsia" w:cs="Calibri"/>
          <w:b/>
          <w:color w:val="000000"/>
        </w:rPr>
        <w:t>23.</w:t>
      </w:r>
      <w:r>
        <w:rPr>
          <w:rFonts w:hint="eastAsia" w:cs="Calibri"/>
          <w:b/>
          <w:color w:val="000000"/>
          <w:lang w:val="en-US" w:eastAsia="zh-CN"/>
        </w:rPr>
        <w:t>19</w:t>
      </w:r>
      <w:r>
        <w:rPr>
          <w:rFonts w:hint="eastAsia" w:cs="Calibri"/>
          <w:b/>
          <w:color w:val="000000"/>
        </w:rPr>
        <w:t xml:space="preserve"> 未按招标文件要求递交投标文件的；</w:t>
      </w:r>
    </w:p>
    <w:p>
      <w:pPr>
        <w:autoSpaceDN w:val="0"/>
        <w:snapToGrid w:val="0"/>
        <w:spacing w:line="360" w:lineRule="auto"/>
        <w:ind w:firstLine="482"/>
        <w:rPr>
          <w:rFonts w:cs="Calibri"/>
          <w:b/>
          <w:color w:val="000000"/>
        </w:rPr>
      </w:pPr>
      <w:r>
        <w:rPr>
          <w:rFonts w:hint="eastAsia" w:cs="Calibri"/>
          <w:b/>
          <w:color w:val="000000"/>
        </w:rPr>
        <w:t>23.</w:t>
      </w:r>
      <w:r>
        <w:rPr>
          <w:rFonts w:hint="eastAsia" w:cs="Calibri"/>
          <w:b/>
          <w:color w:val="000000"/>
          <w:lang w:val="en-US" w:eastAsia="zh-CN"/>
        </w:rPr>
        <w:t>20</w:t>
      </w:r>
      <w:r>
        <w:rPr>
          <w:rFonts w:hint="eastAsia" w:cs="Calibri"/>
          <w:b/>
          <w:color w:val="000000"/>
        </w:rPr>
        <w:t xml:space="preserve"> 投标文件组成不符合招标文件要求的。</w:t>
      </w:r>
    </w:p>
    <w:p>
      <w:pPr>
        <w:snapToGrid w:val="0"/>
        <w:spacing w:line="360" w:lineRule="auto"/>
        <w:ind w:firstLine="480" w:firstLineChars="200"/>
        <w:rPr>
          <w:bCs/>
          <w:color w:val="000000"/>
        </w:rPr>
      </w:pPr>
      <w:r>
        <w:rPr>
          <w:rFonts w:hint="eastAsia"/>
          <w:bCs/>
          <w:color w:val="000000"/>
        </w:rPr>
        <w:t>24、投标文件的澄清</w:t>
      </w:r>
    </w:p>
    <w:p>
      <w:pPr>
        <w:autoSpaceDN w:val="0"/>
        <w:snapToGrid w:val="0"/>
        <w:spacing w:line="360" w:lineRule="auto"/>
        <w:ind w:firstLine="480"/>
      </w:pPr>
      <w:r>
        <w:rPr>
          <w:rFonts w:hint="eastAsia"/>
          <w:color w:val="000000"/>
        </w:rPr>
        <w:t>在评标过程中，评标委员会认为需要，可以要求投标人对投标文件中的有关问题进行澄清或提供补充说明及有关资料，投标人应作出书面答复。书面答复中不得有变更价格、工期、自报质量等级等实质性内容。</w:t>
      </w:r>
    </w:p>
    <w:p>
      <w:pPr>
        <w:snapToGrid w:val="0"/>
        <w:spacing w:line="360" w:lineRule="auto"/>
        <w:ind w:firstLine="472" w:firstLineChars="200"/>
        <w:rPr>
          <w:bCs/>
          <w:color w:val="000000"/>
        </w:rPr>
      </w:pPr>
      <w:r>
        <w:rPr>
          <w:rFonts w:hint="eastAsia"/>
          <w:color w:val="000000"/>
          <w:spacing w:val="-2"/>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color w:val="000000"/>
        </w:rPr>
        <w:t>。</w:t>
      </w:r>
    </w:p>
    <w:p>
      <w:pPr>
        <w:snapToGrid w:val="0"/>
        <w:spacing w:line="360" w:lineRule="auto"/>
        <w:ind w:firstLine="480" w:firstLineChars="200"/>
        <w:rPr>
          <w:bCs/>
          <w:color w:val="000000"/>
        </w:rPr>
      </w:pPr>
      <w:r>
        <w:rPr>
          <w:rFonts w:hint="eastAsia"/>
          <w:bCs/>
          <w:color w:val="000000"/>
        </w:rPr>
        <w:t>25、</w:t>
      </w:r>
      <w:r>
        <w:rPr>
          <w:rFonts w:hint="eastAsia"/>
          <w:color w:val="000000"/>
        </w:rPr>
        <w:t>评标委员会在对实质性响应招标文件要求的投标进行报价评估时，除招标文件另有约定外，应当按下列原则进行修正：</w:t>
      </w:r>
      <w:r>
        <w:rPr>
          <w:color w:val="000000"/>
        </w:rPr>
        <w:t>(</w:t>
      </w:r>
      <w:r>
        <w:rPr>
          <w:rFonts w:hint="eastAsia"/>
          <w:color w:val="000000"/>
        </w:rPr>
        <w:t>一</w:t>
      </w:r>
      <w:r>
        <w:rPr>
          <w:color w:val="000000"/>
        </w:rPr>
        <w:t>)</w:t>
      </w:r>
      <w:r>
        <w:rPr>
          <w:rFonts w:hint="eastAsia"/>
          <w:color w:val="000000"/>
        </w:rPr>
        <w:t>投标文件中的大写金额与小写金额不一致，以大写金额为准；</w:t>
      </w:r>
      <w:r>
        <w:rPr>
          <w:color w:val="000000"/>
        </w:rPr>
        <w:t>(</w:t>
      </w:r>
      <w:r>
        <w:rPr>
          <w:rFonts w:hint="eastAsia"/>
          <w:color w:val="000000"/>
        </w:rPr>
        <w:t>二</w:t>
      </w:r>
      <w:r>
        <w:rPr>
          <w:color w:val="000000"/>
        </w:rPr>
        <w:t>)</w:t>
      </w:r>
      <w:r>
        <w:rPr>
          <w:rFonts w:hint="eastAsia"/>
          <w:color w:val="000000"/>
        </w:rPr>
        <w:t>总价金额与按单价汇总金额不一致的，以单价金额计算结果为准；单价金额小数点有明显错位的，应以总价为准，并修改单价；</w:t>
      </w:r>
      <w:r>
        <w:rPr>
          <w:color w:val="000000"/>
        </w:rPr>
        <w:t>(</w:t>
      </w:r>
      <w:r>
        <w:rPr>
          <w:rFonts w:hint="eastAsia"/>
          <w:color w:val="000000"/>
        </w:rPr>
        <w:t>三</w:t>
      </w:r>
      <w:r>
        <w:rPr>
          <w:color w:val="000000"/>
        </w:rPr>
        <w:t>)</w:t>
      </w:r>
      <w:r>
        <w:rPr>
          <w:rFonts w:hint="eastAsia"/>
          <w:color w:val="000000"/>
        </w:rPr>
        <w:t>对不同文字文本投标文件的解释发生异议的，以中文文本为准。</w:t>
      </w:r>
    </w:p>
    <w:p>
      <w:pPr>
        <w:snapToGrid w:val="0"/>
        <w:spacing w:line="360" w:lineRule="auto"/>
        <w:ind w:firstLine="480" w:firstLineChars="200"/>
        <w:rPr>
          <w:bCs/>
          <w:color w:val="000000"/>
        </w:rPr>
      </w:pPr>
      <w:r>
        <w:rPr>
          <w:rFonts w:hint="eastAsia"/>
          <w:bCs/>
          <w:color w:val="000000"/>
        </w:rPr>
        <w:t>26、在投标文件的审查、澄清、评价和比较以及授予合同的过程中，投标人对招标人和评标组织成员施加影响的任何行为，都将导致取消其中标资格。</w:t>
      </w:r>
    </w:p>
    <w:p>
      <w:pPr>
        <w:widowControl/>
        <w:snapToGrid w:val="0"/>
        <w:spacing w:line="360" w:lineRule="auto"/>
        <w:ind w:firstLine="480" w:firstLineChars="200"/>
        <w:rPr>
          <w:bCs/>
          <w:color w:val="000000"/>
        </w:rPr>
      </w:pPr>
      <w:r>
        <w:rPr>
          <w:rFonts w:hint="eastAsia"/>
          <w:bCs/>
          <w:color w:val="000000"/>
        </w:rPr>
        <w:t>27、</w:t>
      </w:r>
      <w:r>
        <w:rPr>
          <w:rFonts w:hint="eastAsia"/>
          <w:bCs/>
          <w:color w:val="000000"/>
          <w:spacing w:val="-2"/>
        </w:rPr>
        <w:t>评标委员会在评标工作完成后，将在评标报告之外按照统一格式公布下列评标结果公开的内容，</w:t>
      </w:r>
      <w:r>
        <w:rPr>
          <w:rFonts w:hint="eastAsia" w:ascii="宋体" w:hAnsi="宋体"/>
          <w:spacing w:val="-2"/>
          <w:sz w:val="24"/>
        </w:rPr>
        <w:t>在中标结果公示的同时一并在</w:t>
      </w:r>
      <w:r>
        <w:rPr>
          <w:rFonts w:hint="eastAsia" w:ascii="宋体" w:hAnsi="宋体"/>
          <w:sz w:val="24"/>
        </w:rPr>
        <w:t>“南通市崇川区人民政府网”（www.chongchuan.gov.cn）</w:t>
      </w:r>
      <w:r>
        <w:rPr>
          <w:rFonts w:ascii="宋体" w:hAnsi="宋体"/>
          <w:sz w:val="24"/>
        </w:rPr>
        <w:t>-政府采购</w:t>
      </w:r>
      <w:r>
        <w:rPr>
          <w:rFonts w:hint="eastAsia"/>
          <w:sz w:val="24"/>
          <w:lang w:val="en-US" w:eastAsia="zh-CN"/>
        </w:rPr>
        <w:t>与</w:t>
      </w:r>
      <w:r>
        <w:rPr>
          <w:rFonts w:ascii="宋体" w:hAnsi="宋体"/>
          <w:sz w:val="24"/>
        </w:rPr>
        <w:t>工程招标板块</w:t>
      </w:r>
      <w:r>
        <w:rPr>
          <w:rFonts w:hint="eastAsia" w:ascii="宋体" w:hAnsi="宋体"/>
          <w:spacing w:val="-2"/>
          <w:sz w:val="24"/>
        </w:rPr>
        <w:t>中标结果公告栏公示，公布的时间为三日。</w:t>
      </w:r>
    </w:p>
    <w:p>
      <w:pPr>
        <w:pStyle w:val="2"/>
        <w:snapToGrid w:val="0"/>
        <w:spacing w:before="0" w:after="0" w:line="360" w:lineRule="auto"/>
        <w:jc w:val="center"/>
        <w:rPr>
          <w:rFonts w:ascii="宋体" w:hAnsi="宋体" w:eastAsia="宋体"/>
          <w:color w:val="000000"/>
          <w:sz w:val="30"/>
          <w:szCs w:val="30"/>
        </w:rPr>
      </w:pPr>
    </w:p>
    <w:p>
      <w:pPr>
        <w:pStyle w:val="2"/>
        <w:snapToGrid w:val="0"/>
        <w:spacing w:before="0" w:after="0" w:line="360" w:lineRule="auto"/>
        <w:jc w:val="center"/>
        <w:rPr>
          <w:rFonts w:ascii="宋体" w:hAnsi="宋体" w:eastAsia="宋体"/>
          <w:b w:val="0"/>
          <w:color w:val="000000"/>
          <w:sz w:val="30"/>
        </w:rPr>
      </w:pPr>
      <w:r>
        <w:rPr>
          <w:rFonts w:hint="eastAsia" w:ascii="宋体" w:hAnsi="宋体" w:eastAsia="宋体"/>
          <w:color w:val="000000"/>
          <w:sz w:val="30"/>
          <w:szCs w:val="30"/>
        </w:rPr>
        <w:t>（七）授予合同</w:t>
      </w:r>
    </w:p>
    <w:p>
      <w:pPr>
        <w:snapToGrid w:val="0"/>
        <w:spacing w:line="360" w:lineRule="auto"/>
        <w:ind w:firstLine="480" w:firstLineChars="200"/>
        <w:jc w:val="left"/>
        <w:rPr>
          <w:bCs/>
        </w:rPr>
      </w:pPr>
      <w:r>
        <w:rPr>
          <w:rFonts w:hint="eastAsia"/>
          <w:bCs/>
          <w:color w:val="000000"/>
        </w:rPr>
        <w:t>28、</w:t>
      </w:r>
      <w:r>
        <w:rPr>
          <w:rFonts w:hint="eastAsia"/>
          <w:bCs/>
        </w:rPr>
        <w:t>定标后，招标人在</w:t>
      </w:r>
      <w:r>
        <w:rPr>
          <w:bCs/>
        </w:rPr>
        <w:t>15</w:t>
      </w:r>
      <w:r>
        <w:rPr>
          <w:rFonts w:hint="eastAsia"/>
          <w:bCs/>
        </w:rPr>
        <w:t>日内向工程所在地建设行政主管部门提交施工招投标情况的书面报告，书面报告应包括下列内容：</w:t>
      </w:r>
    </w:p>
    <w:p>
      <w:pPr>
        <w:spacing w:line="360" w:lineRule="auto"/>
        <w:ind w:firstLine="480" w:firstLineChars="200"/>
        <w:jc w:val="left"/>
        <w:rPr>
          <w:bCs/>
        </w:rPr>
      </w:pPr>
      <w:r>
        <w:rPr>
          <w:rFonts w:hint="eastAsia"/>
          <w:bCs/>
        </w:rPr>
        <w:t>28</w:t>
      </w:r>
      <w:r>
        <w:rPr>
          <w:bCs/>
        </w:rPr>
        <w:t>.1</w:t>
      </w:r>
      <w:r>
        <w:rPr>
          <w:rFonts w:hint="eastAsia"/>
          <w:bCs/>
        </w:rPr>
        <w:t>施工招标投标的基本情况，包括施工招标范围、施工招标方式、资格审查、开标评标过程和确定中标人的方式及理由等。</w:t>
      </w:r>
    </w:p>
    <w:p>
      <w:pPr>
        <w:spacing w:line="360" w:lineRule="auto"/>
        <w:ind w:firstLine="480" w:firstLineChars="200"/>
        <w:jc w:val="left"/>
        <w:rPr>
          <w:bCs/>
        </w:rPr>
      </w:pPr>
      <w:r>
        <w:rPr>
          <w:rFonts w:hint="eastAsia"/>
          <w:bCs/>
        </w:rPr>
        <w:t>28</w:t>
      </w:r>
      <w:r>
        <w:rPr>
          <w:bCs/>
        </w:rPr>
        <w:t>.2</w:t>
      </w:r>
      <w:r>
        <w:rPr>
          <w:rFonts w:hint="eastAsia"/>
          <w:bCs/>
        </w:rPr>
        <w:t>相关的文件资料包括招标公告或者投标邀请书、投标报名表、资格审查文件、招标文件、评标委员会的评标报告</w:t>
      </w:r>
      <w:r>
        <w:rPr>
          <w:bCs/>
        </w:rPr>
        <w:t>(</w:t>
      </w:r>
      <w:r>
        <w:rPr>
          <w:rFonts w:hint="eastAsia"/>
          <w:bCs/>
        </w:rPr>
        <w:t>应当附招标控制价组成文件</w:t>
      </w:r>
      <w:r>
        <w:rPr>
          <w:bCs/>
        </w:rPr>
        <w:t>)</w:t>
      </w:r>
      <w:r>
        <w:rPr>
          <w:rFonts w:hint="eastAsia"/>
          <w:bCs/>
        </w:rPr>
        <w:t>、中标人的投标文件。委托工程招标代理的，应当附工程施工招标代理委托合同。</w:t>
      </w:r>
    </w:p>
    <w:p>
      <w:pPr>
        <w:spacing w:line="360" w:lineRule="auto"/>
        <w:ind w:firstLine="480" w:firstLineChars="200"/>
        <w:rPr>
          <w:bCs/>
          <w:color w:val="000000"/>
        </w:rPr>
      </w:pPr>
      <w:r>
        <w:rPr>
          <w:rFonts w:hint="eastAsia"/>
          <w:bCs/>
          <w:color w:val="000000"/>
        </w:rPr>
        <w:t>29、</w:t>
      </w:r>
      <w:r>
        <w:rPr>
          <w:bCs/>
          <w:spacing w:val="-2"/>
        </w:rPr>
        <w:t>招</w:t>
      </w:r>
      <w:r>
        <w:rPr>
          <w:bCs/>
          <w:spacing w:val="-6"/>
        </w:rPr>
        <w:t>标人和中标人应当自中标通知书发出之日起</w:t>
      </w:r>
      <w:r>
        <w:rPr>
          <w:rFonts w:hint="eastAsia"/>
          <w:bCs/>
          <w:spacing w:val="-6"/>
        </w:rPr>
        <w:t>30</w:t>
      </w:r>
      <w:r>
        <w:rPr>
          <w:bCs/>
          <w:spacing w:val="-6"/>
        </w:rPr>
        <w:t>日内，</w:t>
      </w:r>
      <w:r>
        <w:rPr>
          <w:rFonts w:hint="eastAsia"/>
          <w:bCs/>
          <w:color w:val="000000"/>
          <w:spacing w:val="-6"/>
        </w:rPr>
        <w:t>按照本招标文件和中标人的投标文件订立书面合同。招标人和中标人不得再订立背离合同实质性内容的其他协议</w:t>
      </w:r>
      <w:r>
        <w:rPr>
          <w:rFonts w:hint="eastAsia"/>
          <w:bCs/>
          <w:color w:val="000000"/>
        </w:rPr>
        <w:t>。</w:t>
      </w:r>
    </w:p>
    <w:p>
      <w:pPr>
        <w:spacing w:line="360" w:lineRule="auto"/>
        <w:ind w:firstLine="480" w:firstLineChars="200"/>
        <w:rPr>
          <w:bCs/>
          <w:color w:val="000000"/>
        </w:rPr>
      </w:pPr>
      <w:r>
        <w:rPr>
          <w:bCs/>
          <w:color w:val="000000"/>
        </w:rPr>
        <w:t>3</w:t>
      </w:r>
      <w:r>
        <w:rPr>
          <w:rFonts w:hint="eastAsia"/>
          <w:bCs/>
          <w:color w:val="000000"/>
        </w:rPr>
        <w:t>0、中标通知书发出后10</w:t>
      </w:r>
      <w:r>
        <w:rPr>
          <w:bCs/>
        </w:rPr>
        <w:t>日内，</w:t>
      </w:r>
      <w:r>
        <w:rPr>
          <w:rFonts w:hint="eastAsia"/>
          <w:bCs/>
          <w:color w:val="000000"/>
        </w:rPr>
        <w:t>签订合同前，中标人应按投标须知前附表规定的金额向招标人提交</w:t>
      </w:r>
      <w:r>
        <w:rPr>
          <w:rFonts w:hint="eastAsia"/>
          <w:bCs/>
          <w:snapToGrid w:val="0"/>
          <w:color w:val="000000"/>
        </w:rPr>
        <w:t>履约保证金</w:t>
      </w:r>
      <w:r>
        <w:rPr>
          <w:rFonts w:hint="eastAsia"/>
          <w:bCs/>
          <w:color w:val="000000"/>
        </w:rPr>
        <w:t>。</w:t>
      </w:r>
    </w:p>
    <w:p>
      <w:pPr>
        <w:spacing w:line="360" w:lineRule="auto"/>
        <w:ind w:firstLine="436" w:firstLineChars="182"/>
        <w:jc w:val="left"/>
        <w:rPr>
          <w:bCs/>
        </w:rPr>
      </w:pPr>
      <w:r>
        <w:rPr>
          <w:rFonts w:hint="eastAsia"/>
          <w:bCs/>
          <w:color w:val="000000"/>
        </w:rPr>
        <w:t>31、若中标人不能按本须知第29条、</w:t>
      </w:r>
      <w:r>
        <w:rPr>
          <w:bCs/>
          <w:color w:val="000000"/>
        </w:rPr>
        <w:t>3</w:t>
      </w:r>
      <w:r>
        <w:rPr>
          <w:rFonts w:hint="eastAsia"/>
          <w:bCs/>
          <w:color w:val="000000"/>
        </w:rPr>
        <w:t>0条款的规定执行，招标人将有充分的理由认为中标人放弃中标项目及签订合同的权利，并没收其投标保证金，中标人的行为给招标人造成损失超过投标保证金数额的，还应当对超过部分予以赔偿。</w:t>
      </w:r>
      <w:r>
        <w:rPr>
          <w:bCs/>
        </w:rPr>
        <w:t>中标人由第二中标候选人替补，以此类推。</w:t>
      </w:r>
    </w:p>
    <w:p>
      <w:pPr>
        <w:spacing w:line="360" w:lineRule="auto"/>
        <w:ind w:firstLine="480" w:firstLineChars="200"/>
      </w:pPr>
      <w:r>
        <w:rPr>
          <w:rFonts w:hint="eastAsia"/>
          <w:bCs/>
          <w:color w:val="000000"/>
        </w:rPr>
        <w:t>32、</w:t>
      </w:r>
      <w:r>
        <w:t>中标人在中标后或施工期间不得随意变更中标项目负责人。如果出现特殊情况，确需更换的，应当经招标人同意，并提供必要的证明文件。</w:t>
      </w:r>
    </w:p>
    <w:p>
      <w:pPr>
        <w:spacing w:line="360" w:lineRule="auto"/>
        <w:ind w:firstLine="480" w:firstLineChars="200"/>
        <w:jc w:val="center"/>
        <w:rPr>
          <w:b/>
          <w:bCs/>
          <w:sz w:val="32"/>
          <w:szCs w:val="22"/>
        </w:rPr>
      </w:pPr>
      <w:r>
        <w:br w:type="page"/>
      </w:r>
      <w:r>
        <w:rPr>
          <w:rFonts w:hint="eastAsia"/>
          <w:b/>
          <w:bCs/>
          <w:sz w:val="32"/>
          <w:szCs w:val="22"/>
        </w:rPr>
        <w:t>第二章 评标办法（综合评估法）</w:t>
      </w:r>
      <w:bookmarkEnd w:id="25"/>
    </w:p>
    <w:p>
      <w:pPr>
        <w:snapToGrid w:val="0"/>
        <w:spacing w:line="360" w:lineRule="auto"/>
        <w:ind w:firstLine="482" w:firstLineChars="200"/>
        <w:rPr>
          <w:b/>
          <w:bCs/>
        </w:rPr>
      </w:pPr>
      <w:bookmarkStart w:id="27" w:name="br1_54"/>
      <w:bookmarkEnd w:id="27"/>
      <w:bookmarkStart w:id="28" w:name="br1_52"/>
      <w:bookmarkEnd w:id="28"/>
      <w:bookmarkStart w:id="29" w:name="br1_56"/>
      <w:bookmarkEnd w:id="29"/>
      <w:bookmarkStart w:id="30" w:name="br1_59"/>
      <w:bookmarkEnd w:id="30"/>
      <w:bookmarkStart w:id="31" w:name="br1_53"/>
      <w:bookmarkEnd w:id="31"/>
      <w:bookmarkStart w:id="32" w:name="br1_57"/>
      <w:bookmarkEnd w:id="32"/>
      <w:bookmarkStart w:id="33" w:name="br1_58"/>
      <w:bookmarkEnd w:id="33"/>
    </w:p>
    <w:p>
      <w:pPr>
        <w:snapToGrid w:val="0"/>
        <w:spacing w:line="360" w:lineRule="auto"/>
        <w:ind w:firstLine="482" w:firstLineChars="200"/>
      </w:pPr>
      <w:r>
        <w:rPr>
          <w:b/>
          <w:bCs/>
        </w:rPr>
        <w:t>本工程采用</w:t>
      </w:r>
      <w:r>
        <w:rPr>
          <w:rFonts w:hint="eastAsia"/>
          <w:b/>
          <w:bCs/>
        </w:rPr>
        <w:t>综合评估法</w:t>
      </w:r>
      <w:r>
        <w:rPr>
          <w:b/>
          <w:bCs/>
        </w:rPr>
        <w:t>，且采用资格后审，具体资格审查及评标细则如下：</w:t>
      </w:r>
    </w:p>
    <w:p>
      <w:pPr>
        <w:widowControl/>
        <w:snapToGrid w:val="0"/>
        <w:spacing w:line="360" w:lineRule="auto"/>
        <w:ind w:firstLine="480" w:firstLineChars="200"/>
        <w:jc w:val="left"/>
        <w:rPr>
          <w:rFonts w:hint="eastAsia" w:ascii="Cambria Math" w:hAnsi="Cambria Math"/>
          <w:bCs/>
        </w:rPr>
      </w:pPr>
      <w:r>
        <w:rPr>
          <w:rFonts w:hint="eastAsia" w:ascii="Cambria Math" w:hAnsi="Cambria Math"/>
          <w:bCs/>
        </w:rPr>
        <w:t>一、</w:t>
      </w:r>
      <w:r>
        <w:rPr>
          <w:rFonts w:ascii="Cambria Math" w:hAnsi="Cambria Math"/>
          <w:bCs/>
        </w:rPr>
        <w:t>评标程序</w:t>
      </w:r>
    </w:p>
    <w:p>
      <w:pPr>
        <w:snapToGrid w:val="0"/>
        <w:spacing w:line="360" w:lineRule="auto"/>
        <w:ind w:firstLine="482" w:firstLineChars="200"/>
        <w:rPr>
          <w:rFonts w:cs="仿宋_GB2312"/>
          <w:bCs/>
        </w:rPr>
      </w:pPr>
      <w:r>
        <w:rPr>
          <w:rFonts w:hint="eastAsia"/>
          <w:b/>
          <w:bCs/>
          <w:szCs w:val="24"/>
          <w:lang w:val="zh-CN"/>
        </w:rPr>
        <w:t>本次资格审查采用资格后审，各</w:t>
      </w:r>
      <w:r>
        <w:rPr>
          <w:rFonts w:hint="eastAsia"/>
          <w:b/>
          <w:bCs/>
          <w:szCs w:val="24"/>
        </w:rPr>
        <w:t>投标人</w:t>
      </w:r>
      <w:r>
        <w:rPr>
          <w:rFonts w:hint="eastAsia"/>
          <w:b/>
          <w:bCs/>
          <w:szCs w:val="24"/>
          <w:lang w:val="zh-CN"/>
        </w:rPr>
        <w:t>资格审查通过后方能进入技术标的开标。先开技术标，技术标打分结束后再开商务标。</w:t>
      </w:r>
    </w:p>
    <w:p>
      <w:pPr>
        <w:snapToGrid w:val="0"/>
        <w:spacing w:line="360" w:lineRule="auto"/>
        <w:ind w:firstLine="480" w:firstLineChars="200"/>
        <w:rPr>
          <w:rFonts w:cs="仿宋_GB2312"/>
          <w:bCs/>
        </w:rPr>
      </w:pPr>
      <w:r>
        <w:rPr>
          <w:rFonts w:hint="eastAsia" w:cs="仿宋_GB2312"/>
          <w:bCs/>
        </w:rPr>
        <w:t>二、资格审查程序及办法</w:t>
      </w:r>
    </w:p>
    <w:p>
      <w:pPr>
        <w:snapToGrid w:val="0"/>
        <w:spacing w:line="360" w:lineRule="auto"/>
        <w:ind w:firstLine="480" w:firstLineChars="200"/>
        <w:rPr>
          <w:rFonts w:cs="仿宋_GB2312"/>
          <w:bCs/>
        </w:rPr>
      </w:pPr>
      <w:r>
        <w:rPr>
          <w:rFonts w:hint="eastAsia" w:cs="仿宋_GB2312"/>
          <w:bCs/>
        </w:rPr>
        <w:t>1、评标入围</w:t>
      </w:r>
    </w:p>
    <w:p>
      <w:pPr>
        <w:snapToGrid w:val="0"/>
        <w:spacing w:line="360" w:lineRule="auto"/>
        <w:ind w:firstLine="480" w:firstLineChars="200"/>
        <w:rPr>
          <w:rFonts w:cs="仿宋_GB2312"/>
          <w:bCs/>
        </w:rPr>
      </w:pPr>
      <w:r>
        <w:rPr>
          <w:rFonts w:hint="eastAsia" w:cs="仿宋_GB2312"/>
          <w:bCs/>
        </w:rPr>
        <w:t>（1）至投标截止时间止，投标单位未足额递交投标保证金，不再进行后续评标；</w:t>
      </w:r>
    </w:p>
    <w:p>
      <w:pPr>
        <w:snapToGrid w:val="0"/>
        <w:spacing w:line="360" w:lineRule="auto"/>
        <w:ind w:firstLine="480" w:firstLineChars="200"/>
        <w:rPr>
          <w:rFonts w:cs="仿宋_GB2312"/>
          <w:bCs/>
        </w:rPr>
      </w:pPr>
      <w:r>
        <w:rPr>
          <w:rFonts w:hint="eastAsia" w:cs="仿宋_GB2312"/>
          <w:bCs/>
        </w:rPr>
        <w:t>（2）评标入围方法：全部入围。</w:t>
      </w:r>
    </w:p>
    <w:p>
      <w:pPr>
        <w:snapToGrid w:val="0"/>
        <w:spacing w:line="360" w:lineRule="auto"/>
        <w:ind w:firstLine="480" w:firstLineChars="200"/>
        <w:rPr>
          <w:rFonts w:cs="仿宋_GB2312"/>
          <w:bCs/>
        </w:rPr>
      </w:pPr>
      <w:r>
        <w:rPr>
          <w:rFonts w:hint="eastAsia" w:cs="仿宋_GB2312"/>
          <w:bCs/>
        </w:rPr>
        <w:t>2、资格审查</w:t>
      </w:r>
    </w:p>
    <w:p>
      <w:pPr>
        <w:snapToGrid w:val="0"/>
        <w:spacing w:line="360" w:lineRule="auto"/>
        <w:ind w:firstLine="480" w:firstLineChars="200"/>
        <w:rPr>
          <w:rFonts w:cs="仿宋_GB2312"/>
          <w:bCs/>
        </w:rPr>
      </w:pPr>
      <w:r>
        <w:rPr>
          <w:rFonts w:hint="eastAsia" w:cs="仿宋_GB2312"/>
          <w:bCs/>
        </w:rPr>
        <w:t>由本评标委员会根据参加资格审查的投标人递交的资格证明文件，并按照本项目招标文件《资格审查标准汇总表》对投标人的资格进行审查。</w:t>
      </w:r>
    </w:p>
    <w:p>
      <w:pPr>
        <w:widowControl/>
        <w:spacing w:line="360" w:lineRule="auto"/>
        <w:ind w:firstLine="482" w:firstLineChars="200"/>
        <w:jc w:val="center"/>
      </w:pPr>
      <w:r>
        <w:rPr>
          <w:b/>
          <w:u w:val="single"/>
        </w:rPr>
        <w:t>资格审查标准汇总表</w:t>
      </w:r>
    </w:p>
    <w:tbl>
      <w:tblPr>
        <w:tblStyle w:val="61"/>
        <w:tblW w:w="9845" w:type="dxa"/>
        <w:tblInd w:w="10" w:type="dxa"/>
        <w:tblLayout w:type="fixed"/>
        <w:tblCellMar>
          <w:top w:w="0" w:type="dxa"/>
          <w:left w:w="10" w:type="dxa"/>
          <w:bottom w:w="0" w:type="dxa"/>
          <w:right w:w="10" w:type="dxa"/>
        </w:tblCellMar>
      </w:tblPr>
      <w:tblGrid>
        <w:gridCol w:w="540"/>
        <w:gridCol w:w="2012"/>
        <w:gridCol w:w="3492"/>
        <w:gridCol w:w="3801"/>
      </w:tblGrid>
      <w:tr>
        <w:tblPrEx>
          <w:tblCellMar>
            <w:top w:w="0" w:type="dxa"/>
            <w:left w:w="10" w:type="dxa"/>
            <w:bottom w:w="0" w:type="dxa"/>
            <w:right w:w="10" w:type="dxa"/>
          </w:tblCellMar>
        </w:tblPrEx>
        <w:trPr>
          <w:trHeight w:val="529" w:hRule="atLeast"/>
        </w:trPr>
        <w:tc>
          <w:tcPr>
            <w:tcW w:w="540" w:type="dxa"/>
            <w:tcBorders>
              <w:top w:val="single" w:color="auto" w:sz="6" w:space="0"/>
              <w:left w:val="single" w:color="auto" w:sz="6" w:space="0"/>
              <w:bottom w:val="single" w:color="auto" w:sz="6" w:space="0"/>
              <w:right w:val="single" w:color="auto" w:sz="6" w:space="0"/>
            </w:tcBorders>
            <w:vAlign w:val="center"/>
          </w:tcPr>
          <w:p>
            <w:pPr>
              <w:spacing w:line="280" w:lineRule="exact"/>
              <w:jc w:val="center"/>
              <w:rPr>
                <w:szCs w:val="21"/>
                <w:lang w:val="zh-CN"/>
              </w:rPr>
            </w:pPr>
            <w:r>
              <w:rPr>
                <w:szCs w:val="21"/>
                <w:lang w:val="zh-CN"/>
              </w:rPr>
              <w:t>序号</w:t>
            </w:r>
          </w:p>
        </w:tc>
        <w:tc>
          <w:tcPr>
            <w:tcW w:w="2012" w:type="dxa"/>
            <w:tcBorders>
              <w:top w:val="single" w:color="auto" w:sz="6" w:space="0"/>
              <w:left w:val="single" w:color="auto" w:sz="6" w:space="0"/>
              <w:bottom w:val="single" w:color="auto" w:sz="6" w:space="0"/>
              <w:right w:val="single" w:color="auto" w:sz="6" w:space="0"/>
            </w:tcBorders>
            <w:vAlign w:val="center"/>
          </w:tcPr>
          <w:p>
            <w:pPr>
              <w:spacing w:line="280" w:lineRule="exact"/>
              <w:jc w:val="center"/>
              <w:rPr>
                <w:szCs w:val="21"/>
                <w:lang w:val="zh-CN"/>
              </w:rPr>
            </w:pPr>
            <w:r>
              <w:rPr>
                <w:szCs w:val="21"/>
                <w:lang w:val="zh-CN"/>
              </w:rPr>
              <w:t>项目内容</w:t>
            </w:r>
          </w:p>
        </w:tc>
        <w:tc>
          <w:tcPr>
            <w:tcW w:w="3492" w:type="dxa"/>
            <w:tcBorders>
              <w:top w:val="single" w:color="auto" w:sz="6" w:space="0"/>
              <w:left w:val="single" w:color="auto" w:sz="6" w:space="0"/>
              <w:bottom w:val="single" w:color="auto" w:sz="6" w:space="0"/>
              <w:right w:val="single" w:color="auto" w:sz="6" w:space="0"/>
            </w:tcBorders>
            <w:vAlign w:val="center"/>
          </w:tcPr>
          <w:p>
            <w:pPr>
              <w:spacing w:line="280" w:lineRule="exact"/>
              <w:jc w:val="center"/>
              <w:rPr>
                <w:szCs w:val="21"/>
                <w:lang w:val="zh-CN"/>
              </w:rPr>
            </w:pPr>
            <w:r>
              <w:rPr>
                <w:szCs w:val="21"/>
                <w:lang w:val="zh-CN"/>
              </w:rPr>
              <w:t>合格条件</w:t>
            </w:r>
          </w:p>
        </w:tc>
        <w:tc>
          <w:tcPr>
            <w:tcW w:w="3801" w:type="dxa"/>
            <w:tcBorders>
              <w:top w:val="single" w:color="auto" w:sz="6" w:space="0"/>
              <w:left w:val="single" w:color="auto" w:sz="6" w:space="0"/>
              <w:bottom w:val="single" w:color="auto" w:sz="6" w:space="0"/>
              <w:right w:val="single" w:color="auto" w:sz="6" w:space="0"/>
            </w:tcBorders>
            <w:vAlign w:val="center"/>
          </w:tcPr>
          <w:p>
            <w:pPr>
              <w:spacing w:line="280" w:lineRule="exact"/>
              <w:ind w:firstLine="480"/>
              <w:jc w:val="center"/>
              <w:rPr>
                <w:szCs w:val="21"/>
                <w:lang w:val="zh-CN"/>
              </w:rPr>
            </w:pPr>
            <w:r>
              <w:rPr>
                <w:szCs w:val="21"/>
                <w:lang w:val="zh-CN"/>
              </w:rPr>
              <w:t>需提供的证明材料</w:t>
            </w:r>
          </w:p>
        </w:tc>
      </w:tr>
      <w:tr>
        <w:tblPrEx>
          <w:tblCellMar>
            <w:top w:w="0" w:type="dxa"/>
            <w:left w:w="10" w:type="dxa"/>
            <w:bottom w:w="0" w:type="dxa"/>
            <w:right w:w="10" w:type="dxa"/>
          </w:tblCellMar>
        </w:tblPrEx>
        <w:trPr>
          <w:trHeight w:val="1166" w:hRule="atLeast"/>
        </w:trPr>
        <w:tc>
          <w:tcPr>
            <w:tcW w:w="540" w:type="dxa"/>
            <w:tcBorders>
              <w:top w:val="single" w:color="auto" w:sz="6" w:space="0"/>
              <w:left w:val="single" w:color="auto" w:sz="6" w:space="0"/>
              <w:bottom w:val="single" w:color="auto" w:sz="6" w:space="0"/>
              <w:right w:val="single" w:color="auto" w:sz="6" w:space="0"/>
            </w:tcBorders>
            <w:vAlign w:val="center"/>
          </w:tcPr>
          <w:p>
            <w:pPr>
              <w:widowControl/>
              <w:snapToGrid w:val="0"/>
              <w:jc w:val="center"/>
              <w:rPr>
                <w:rFonts w:hint="default" w:eastAsia="宋体"/>
                <w:lang w:val="en-US" w:eastAsia="zh-CN"/>
              </w:rPr>
            </w:pPr>
            <w:r>
              <w:rPr>
                <w:rFonts w:hint="eastAsia"/>
                <w:lang w:val="en-US" w:eastAsia="zh-CN"/>
              </w:rPr>
              <w:t>1</w:t>
            </w:r>
          </w:p>
        </w:tc>
        <w:tc>
          <w:tcPr>
            <w:tcW w:w="2012" w:type="dxa"/>
            <w:tcBorders>
              <w:top w:val="single" w:color="auto" w:sz="6" w:space="0"/>
              <w:left w:val="single" w:color="auto" w:sz="6" w:space="0"/>
              <w:bottom w:val="single" w:color="auto" w:sz="6" w:space="0"/>
              <w:right w:val="single" w:color="auto" w:sz="6" w:space="0"/>
            </w:tcBorders>
            <w:vAlign w:val="center"/>
          </w:tcPr>
          <w:p>
            <w:pPr>
              <w:spacing w:line="280" w:lineRule="exact"/>
              <w:rPr>
                <w:rFonts w:hint="eastAsia" w:ascii="宋体" w:hAnsi="宋体" w:eastAsia="宋体" w:cs="宋体"/>
                <w:sz w:val="24"/>
                <w:szCs w:val="21"/>
                <w:lang w:val="en-US" w:eastAsia="zh-CN" w:bidi="ar-SA"/>
              </w:rPr>
            </w:pPr>
            <w:r>
              <w:rPr>
                <w:rFonts w:hint="eastAsia" w:ascii="宋体" w:hAnsi="宋体"/>
                <w:szCs w:val="21"/>
                <w:lang w:val="en-US" w:eastAsia="zh-CN"/>
              </w:rPr>
              <w:t>法定代表人身份证明书</w:t>
            </w:r>
          </w:p>
        </w:tc>
        <w:tc>
          <w:tcPr>
            <w:tcW w:w="3492" w:type="dxa"/>
            <w:tcBorders>
              <w:top w:val="single" w:color="auto" w:sz="6" w:space="0"/>
              <w:left w:val="single" w:color="auto" w:sz="6" w:space="0"/>
              <w:bottom w:val="single" w:color="auto" w:sz="6" w:space="0"/>
              <w:right w:val="single" w:color="auto" w:sz="6" w:space="0"/>
            </w:tcBorders>
            <w:vAlign w:val="center"/>
          </w:tcPr>
          <w:p>
            <w:pPr>
              <w:spacing w:line="280" w:lineRule="exact"/>
              <w:ind w:right="151" w:rightChars="63"/>
              <w:rPr>
                <w:rFonts w:hint="eastAsia" w:ascii="宋体" w:hAnsi="宋体" w:eastAsia="宋体" w:cs="宋体"/>
                <w:sz w:val="24"/>
                <w:szCs w:val="21"/>
                <w:lang w:val="en-US" w:eastAsia="zh-CN" w:bidi="ar-SA"/>
              </w:rPr>
            </w:pPr>
            <w:r>
              <w:rPr>
                <w:rFonts w:hint="eastAsia" w:ascii="宋体" w:hAnsi="宋体"/>
                <w:szCs w:val="21"/>
                <w:lang w:val="en-US" w:eastAsia="zh-CN"/>
              </w:rPr>
              <w:t>必须加盖投标人单位公章</w:t>
            </w:r>
          </w:p>
        </w:tc>
        <w:tc>
          <w:tcPr>
            <w:tcW w:w="3801" w:type="dxa"/>
            <w:tcBorders>
              <w:top w:val="single" w:color="auto" w:sz="6" w:space="0"/>
              <w:left w:val="single" w:color="auto" w:sz="6" w:space="0"/>
              <w:bottom w:val="single" w:color="auto" w:sz="6" w:space="0"/>
              <w:right w:val="single" w:color="auto" w:sz="6" w:space="0"/>
            </w:tcBorders>
            <w:vAlign w:val="center"/>
          </w:tcPr>
          <w:p>
            <w:pPr>
              <w:spacing w:line="240" w:lineRule="auto"/>
              <w:rPr>
                <w:rFonts w:hint="eastAsia" w:ascii="宋体" w:hAnsi="宋体" w:eastAsia="宋体" w:cs="宋体"/>
                <w:lang w:val="en-US" w:eastAsia="zh-CN"/>
              </w:rPr>
            </w:pPr>
            <w:r>
              <w:rPr>
                <w:rFonts w:hint="eastAsia" w:ascii="宋体" w:hAnsi="宋体" w:eastAsia="宋体" w:cs="宋体"/>
                <w:lang w:val="en-US" w:eastAsia="zh-CN"/>
              </w:rPr>
              <w:t>法定代表人身份证明书（格式详见第五章投标文件格式）</w:t>
            </w:r>
          </w:p>
          <w:p>
            <w:pPr>
              <w:spacing w:line="240" w:lineRule="auto"/>
              <w:rPr>
                <w:rFonts w:hint="eastAsia" w:ascii="宋体" w:hAnsi="宋体" w:eastAsia="宋体" w:cs="宋体"/>
                <w:lang w:val="zh-CN" w:eastAsia="zh-CN"/>
              </w:rPr>
            </w:pPr>
          </w:p>
        </w:tc>
      </w:tr>
      <w:tr>
        <w:tblPrEx>
          <w:tblCellMar>
            <w:top w:w="0" w:type="dxa"/>
            <w:left w:w="10" w:type="dxa"/>
            <w:bottom w:w="0" w:type="dxa"/>
            <w:right w:w="10" w:type="dxa"/>
          </w:tblCellMar>
        </w:tblPrEx>
        <w:trPr>
          <w:trHeight w:val="1229" w:hRule="atLeast"/>
        </w:trPr>
        <w:tc>
          <w:tcPr>
            <w:tcW w:w="540" w:type="dxa"/>
            <w:tcBorders>
              <w:top w:val="single" w:color="auto" w:sz="6" w:space="0"/>
              <w:left w:val="single" w:color="auto" w:sz="6" w:space="0"/>
              <w:bottom w:val="single" w:color="auto" w:sz="6" w:space="0"/>
              <w:right w:val="single" w:color="auto" w:sz="6" w:space="0"/>
            </w:tcBorders>
            <w:vAlign w:val="center"/>
          </w:tcPr>
          <w:p>
            <w:pPr>
              <w:widowControl/>
              <w:snapToGrid w:val="0"/>
              <w:jc w:val="center"/>
              <w:rPr>
                <w:rFonts w:hint="default"/>
                <w:lang w:val="en-US" w:eastAsia="zh-CN"/>
              </w:rPr>
            </w:pPr>
            <w:r>
              <w:rPr>
                <w:rFonts w:hint="eastAsia"/>
                <w:lang w:val="en-US" w:eastAsia="zh-CN"/>
              </w:rPr>
              <w:t>2</w:t>
            </w:r>
          </w:p>
        </w:tc>
        <w:tc>
          <w:tcPr>
            <w:tcW w:w="2012" w:type="dxa"/>
            <w:tcBorders>
              <w:top w:val="single" w:color="auto" w:sz="6" w:space="0"/>
              <w:left w:val="single" w:color="auto" w:sz="6" w:space="0"/>
              <w:bottom w:val="single" w:color="auto" w:sz="6" w:space="0"/>
              <w:right w:val="single" w:color="auto" w:sz="6" w:space="0"/>
            </w:tcBorders>
            <w:vAlign w:val="center"/>
          </w:tcPr>
          <w:p>
            <w:pPr>
              <w:spacing w:line="280" w:lineRule="exact"/>
              <w:rPr>
                <w:rFonts w:hint="eastAsia" w:ascii="宋体" w:hAnsi="宋体" w:eastAsia="宋体" w:cs="宋体"/>
                <w:sz w:val="24"/>
                <w:szCs w:val="21"/>
                <w:lang w:val="zh-CN" w:eastAsia="zh-CN" w:bidi="ar-SA"/>
              </w:rPr>
            </w:pPr>
            <w:r>
              <w:rPr>
                <w:rFonts w:hint="eastAsia" w:ascii="宋体" w:hAnsi="宋体" w:eastAsia="宋体" w:cs="Times New Roman"/>
                <w:szCs w:val="21"/>
                <w:lang w:val="en-US" w:eastAsia="zh-CN"/>
              </w:rPr>
              <w:t>法人授权委托书(如有授权)</w:t>
            </w:r>
          </w:p>
        </w:tc>
        <w:tc>
          <w:tcPr>
            <w:tcW w:w="3492" w:type="dxa"/>
            <w:tcBorders>
              <w:top w:val="single" w:color="auto" w:sz="6" w:space="0"/>
              <w:left w:val="single" w:color="auto" w:sz="6" w:space="0"/>
              <w:bottom w:val="single" w:color="auto" w:sz="6" w:space="0"/>
              <w:right w:val="single" w:color="auto" w:sz="6" w:space="0"/>
            </w:tcBorders>
            <w:vAlign w:val="center"/>
          </w:tcPr>
          <w:p>
            <w:pPr>
              <w:spacing w:line="280" w:lineRule="exact"/>
              <w:ind w:right="151" w:rightChars="63"/>
              <w:rPr>
                <w:rFonts w:hint="eastAsia" w:ascii="宋体" w:hAnsi="宋体" w:eastAsia="宋体" w:cs="宋体"/>
                <w:sz w:val="24"/>
                <w:szCs w:val="21"/>
                <w:lang w:val="en-US" w:eastAsia="zh-CN" w:bidi="ar-SA"/>
              </w:rPr>
            </w:pPr>
            <w:r>
              <w:rPr>
                <w:rFonts w:hint="eastAsia" w:ascii="宋体" w:hAnsi="宋体"/>
                <w:szCs w:val="21"/>
                <w:lang w:val="en-US" w:eastAsia="zh-CN"/>
              </w:rPr>
              <w:t>必须加盖投标人法定代表人章（或签字）及投标人单位公章</w:t>
            </w:r>
          </w:p>
        </w:tc>
        <w:tc>
          <w:tcPr>
            <w:tcW w:w="3801" w:type="dxa"/>
            <w:tcBorders>
              <w:top w:val="single" w:color="auto" w:sz="6" w:space="0"/>
              <w:left w:val="single" w:color="auto" w:sz="6" w:space="0"/>
              <w:bottom w:val="single" w:color="auto" w:sz="6" w:space="0"/>
              <w:right w:val="single" w:color="auto" w:sz="6" w:space="0"/>
            </w:tcBorders>
            <w:vAlign w:val="center"/>
          </w:tcPr>
          <w:p>
            <w:pPr>
              <w:spacing w:line="240" w:lineRule="auto"/>
              <w:rPr>
                <w:rFonts w:hint="eastAsia"/>
                <w:lang w:val="en-US" w:eastAsia="zh-CN"/>
              </w:rPr>
            </w:pPr>
            <w:r>
              <w:rPr>
                <w:rFonts w:hint="eastAsia"/>
                <w:lang w:val="en-US" w:eastAsia="zh-CN"/>
              </w:rPr>
              <w:t>法人授权委托书（如有授权，</w:t>
            </w:r>
            <w:r>
              <w:rPr>
                <w:rFonts w:hint="eastAsia" w:ascii="宋体" w:hAnsi="宋体" w:eastAsia="宋体" w:cs="宋体"/>
                <w:lang w:val="en-US" w:eastAsia="zh-CN"/>
              </w:rPr>
              <w:t>格式详见第五章投标文件格式）</w:t>
            </w:r>
          </w:p>
          <w:p>
            <w:pPr>
              <w:spacing w:line="240" w:lineRule="auto"/>
              <w:rPr>
                <w:rFonts w:hint="eastAsia"/>
                <w:lang w:val="zh-CN" w:eastAsia="zh-CN"/>
              </w:rPr>
            </w:pPr>
          </w:p>
        </w:tc>
      </w:tr>
      <w:tr>
        <w:tblPrEx>
          <w:tblCellMar>
            <w:top w:w="0" w:type="dxa"/>
            <w:left w:w="10" w:type="dxa"/>
            <w:bottom w:w="0" w:type="dxa"/>
            <w:right w:w="10" w:type="dxa"/>
          </w:tblCellMar>
        </w:tblPrEx>
        <w:trPr>
          <w:trHeight w:val="707" w:hRule="atLeast"/>
        </w:trPr>
        <w:tc>
          <w:tcPr>
            <w:tcW w:w="540" w:type="dxa"/>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hint="eastAsia" w:eastAsia="宋体"/>
                <w:szCs w:val="21"/>
                <w:lang w:val="en-US" w:eastAsia="zh-CN"/>
              </w:rPr>
            </w:pPr>
            <w:r>
              <w:rPr>
                <w:rFonts w:hint="eastAsia"/>
                <w:szCs w:val="21"/>
                <w:lang w:val="en-US" w:eastAsia="zh-CN"/>
              </w:rPr>
              <w:t>3</w:t>
            </w:r>
          </w:p>
        </w:tc>
        <w:tc>
          <w:tcPr>
            <w:tcW w:w="2012" w:type="dxa"/>
            <w:tcBorders>
              <w:top w:val="single" w:color="auto" w:sz="6" w:space="0"/>
              <w:left w:val="single" w:color="auto" w:sz="6" w:space="0"/>
              <w:bottom w:val="single" w:color="auto" w:sz="6" w:space="0"/>
              <w:right w:val="single" w:color="auto" w:sz="6" w:space="0"/>
            </w:tcBorders>
            <w:vAlign w:val="center"/>
          </w:tcPr>
          <w:p>
            <w:pPr>
              <w:spacing w:line="280" w:lineRule="exact"/>
              <w:rPr>
                <w:kern w:val="2"/>
                <w:sz w:val="21"/>
                <w:szCs w:val="21"/>
                <w:lang w:val="zh-CN"/>
              </w:rPr>
            </w:pPr>
            <w:r>
              <w:rPr>
                <w:szCs w:val="21"/>
                <w:lang w:val="zh-CN"/>
              </w:rPr>
              <w:t>企业法人营业执照</w:t>
            </w:r>
          </w:p>
        </w:tc>
        <w:tc>
          <w:tcPr>
            <w:tcW w:w="3492" w:type="dxa"/>
            <w:tcBorders>
              <w:top w:val="single" w:color="auto" w:sz="6" w:space="0"/>
              <w:left w:val="single" w:color="auto" w:sz="6" w:space="0"/>
              <w:bottom w:val="single" w:color="auto" w:sz="6" w:space="0"/>
              <w:right w:val="single" w:color="auto" w:sz="6" w:space="0"/>
            </w:tcBorders>
            <w:vAlign w:val="center"/>
          </w:tcPr>
          <w:p>
            <w:pPr>
              <w:spacing w:line="280" w:lineRule="exact"/>
              <w:ind w:right="151" w:rightChars="63"/>
              <w:rPr>
                <w:kern w:val="2"/>
                <w:sz w:val="21"/>
                <w:szCs w:val="21"/>
                <w:lang w:val="zh-CN"/>
              </w:rPr>
            </w:pPr>
            <w:r>
              <w:rPr>
                <w:szCs w:val="21"/>
                <w:lang w:val="zh-CN"/>
              </w:rPr>
              <w:t>工商行政管理部门颁发的法人营业执照</w:t>
            </w:r>
          </w:p>
        </w:tc>
        <w:tc>
          <w:tcPr>
            <w:tcW w:w="3801" w:type="dxa"/>
            <w:tcBorders>
              <w:top w:val="single" w:color="auto" w:sz="6" w:space="0"/>
              <w:left w:val="single" w:color="auto" w:sz="6" w:space="0"/>
              <w:bottom w:val="single" w:color="auto" w:sz="6" w:space="0"/>
              <w:right w:val="single" w:color="auto" w:sz="6" w:space="0"/>
            </w:tcBorders>
            <w:vAlign w:val="center"/>
          </w:tcPr>
          <w:p>
            <w:pPr>
              <w:spacing w:line="280" w:lineRule="exact"/>
              <w:rPr>
                <w:rFonts w:hint="default" w:eastAsia="宋体"/>
                <w:bCs/>
                <w:color w:val="333333"/>
                <w:szCs w:val="21"/>
                <w:lang w:val="en-US" w:eastAsia="zh-CN"/>
              </w:rPr>
            </w:pPr>
            <w:r>
              <w:rPr>
                <w:rFonts w:hint="eastAsia"/>
                <w:bCs/>
                <w:color w:val="333333"/>
                <w:szCs w:val="21"/>
              </w:rPr>
              <w:t>含有园林绿化经营范围的有效的企业法人营业执照</w:t>
            </w:r>
            <w:r>
              <w:rPr>
                <w:rFonts w:hint="eastAsia"/>
                <w:bCs/>
                <w:color w:val="333333"/>
                <w:szCs w:val="21"/>
                <w:lang w:val="en-US" w:eastAsia="zh-CN"/>
              </w:rPr>
              <w:t>的复印件或扫描件，并加盖投标人公章。</w:t>
            </w:r>
          </w:p>
          <w:p>
            <w:pPr>
              <w:spacing w:line="280" w:lineRule="exact"/>
              <w:rPr>
                <w:rFonts w:hint="default" w:eastAsia="宋体"/>
                <w:kern w:val="2"/>
                <w:sz w:val="21"/>
                <w:szCs w:val="21"/>
                <w:lang w:val="en-US" w:eastAsia="zh-CN"/>
              </w:rPr>
            </w:pPr>
          </w:p>
        </w:tc>
      </w:tr>
      <w:tr>
        <w:tblPrEx>
          <w:tblCellMar>
            <w:top w:w="0" w:type="dxa"/>
            <w:left w:w="10" w:type="dxa"/>
            <w:bottom w:w="0" w:type="dxa"/>
            <w:right w:w="10" w:type="dxa"/>
          </w:tblCellMar>
        </w:tblPrEx>
        <w:trPr>
          <w:trHeight w:val="834" w:hRule="atLeast"/>
        </w:trPr>
        <w:tc>
          <w:tcPr>
            <w:tcW w:w="540" w:type="dxa"/>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hint="eastAsia" w:eastAsia="宋体"/>
                <w:szCs w:val="21"/>
                <w:lang w:val="en-US" w:eastAsia="zh-CN"/>
              </w:rPr>
            </w:pPr>
            <w:r>
              <w:rPr>
                <w:rFonts w:hint="eastAsia"/>
                <w:szCs w:val="21"/>
                <w:lang w:val="en-US" w:eastAsia="zh-CN"/>
              </w:rPr>
              <w:t>4</w:t>
            </w:r>
          </w:p>
        </w:tc>
        <w:tc>
          <w:tcPr>
            <w:tcW w:w="2012" w:type="dxa"/>
            <w:tcBorders>
              <w:top w:val="single" w:color="auto" w:sz="6" w:space="0"/>
              <w:left w:val="single" w:color="auto" w:sz="6" w:space="0"/>
              <w:bottom w:val="single" w:color="auto" w:sz="6" w:space="0"/>
              <w:right w:val="single" w:color="auto" w:sz="6" w:space="0"/>
            </w:tcBorders>
            <w:vAlign w:val="center"/>
          </w:tcPr>
          <w:p>
            <w:pPr>
              <w:spacing w:line="280" w:lineRule="exact"/>
            </w:pPr>
            <w:r>
              <w:t>投标人业绩</w:t>
            </w:r>
          </w:p>
        </w:tc>
        <w:tc>
          <w:tcPr>
            <w:tcW w:w="3492" w:type="dxa"/>
            <w:tcBorders>
              <w:top w:val="single" w:color="auto" w:sz="6" w:space="0"/>
              <w:left w:val="single" w:color="auto" w:sz="6" w:space="0"/>
              <w:bottom w:val="single" w:color="auto" w:sz="6" w:space="0"/>
              <w:right w:val="single" w:color="auto" w:sz="6" w:space="0"/>
            </w:tcBorders>
            <w:vAlign w:val="center"/>
          </w:tcPr>
          <w:p>
            <w:pPr>
              <w:jc w:val="left"/>
              <w:rPr>
                <w:bCs/>
                <w:szCs w:val="21"/>
              </w:rPr>
            </w:pPr>
            <w:r>
              <w:rPr>
                <w:rFonts w:hint="eastAsia"/>
                <w:bCs/>
                <w:szCs w:val="21"/>
              </w:rPr>
              <w:t>投标人自201</w:t>
            </w:r>
            <w:r>
              <w:rPr>
                <w:rFonts w:hint="eastAsia"/>
                <w:bCs/>
                <w:szCs w:val="21"/>
                <w:lang w:val="en-US" w:eastAsia="zh-CN"/>
              </w:rPr>
              <w:t>9</w:t>
            </w:r>
            <w:r>
              <w:rPr>
                <w:rFonts w:hint="eastAsia"/>
                <w:bCs/>
                <w:szCs w:val="21"/>
              </w:rPr>
              <w:t>年1月1日以来（以合同签订时间为准）承担过单项工程造价在</w:t>
            </w:r>
            <w:r>
              <w:rPr>
                <w:rFonts w:hint="eastAsia"/>
                <w:bCs/>
                <w:szCs w:val="21"/>
                <w:lang w:val="en-US" w:eastAsia="zh-CN"/>
              </w:rPr>
              <w:t>30</w:t>
            </w:r>
            <w:r>
              <w:rPr>
                <w:rFonts w:hint="eastAsia"/>
                <w:bCs/>
                <w:szCs w:val="21"/>
              </w:rPr>
              <w:t>万元及以上立体花卉或节日环境布置工程施工。</w:t>
            </w:r>
          </w:p>
        </w:tc>
        <w:tc>
          <w:tcPr>
            <w:tcW w:w="3801" w:type="dxa"/>
            <w:tcBorders>
              <w:top w:val="single" w:color="auto" w:sz="6" w:space="0"/>
              <w:left w:val="single" w:color="auto" w:sz="6" w:space="0"/>
              <w:bottom w:val="single" w:color="auto" w:sz="6" w:space="0"/>
              <w:right w:val="single" w:color="auto" w:sz="6" w:space="0"/>
            </w:tcBorders>
            <w:vAlign w:val="center"/>
          </w:tcPr>
          <w:p>
            <w:pPr>
              <w:spacing w:line="280" w:lineRule="exact"/>
              <w:rPr>
                <w:rFonts w:hint="eastAsia"/>
              </w:rPr>
            </w:pPr>
            <w:r>
              <w:rPr>
                <w:rFonts w:hint="eastAsia"/>
              </w:rPr>
              <w:t>业绩证明材料须提供施工合同</w:t>
            </w:r>
            <w:r>
              <w:rPr>
                <w:rFonts w:hint="eastAsia"/>
                <w:bCs/>
                <w:color w:val="333333"/>
                <w:szCs w:val="21"/>
                <w:lang w:val="en-US" w:eastAsia="zh-CN"/>
              </w:rPr>
              <w:t>的复印件或扫描件，并加盖投标人公章。</w:t>
            </w:r>
            <w:r>
              <w:rPr>
                <w:rFonts w:hint="eastAsia"/>
              </w:rPr>
              <w:t>如施工合同不能充分证明评审要素（工程性质、工程内容等要求），投标人还须另行提供有效的证明材料（非投标人自行证明）。</w:t>
            </w:r>
          </w:p>
          <w:p>
            <w:pPr>
              <w:spacing w:line="280" w:lineRule="exact"/>
            </w:pPr>
          </w:p>
        </w:tc>
      </w:tr>
      <w:tr>
        <w:tblPrEx>
          <w:tblCellMar>
            <w:top w:w="0" w:type="dxa"/>
            <w:left w:w="10" w:type="dxa"/>
            <w:bottom w:w="0" w:type="dxa"/>
            <w:right w:w="10" w:type="dxa"/>
          </w:tblCellMar>
        </w:tblPrEx>
        <w:trPr>
          <w:trHeight w:val="1245" w:hRule="atLeast"/>
        </w:trPr>
        <w:tc>
          <w:tcPr>
            <w:tcW w:w="540" w:type="dxa"/>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hint="eastAsia" w:eastAsia="宋体"/>
                <w:szCs w:val="21"/>
                <w:lang w:val="en-US" w:eastAsia="zh-CN"/>
              </w:rPr>
            </w:pPr>
            <w:r>
              <w:rPr>
                <w:rFonts w:hint="eastAsia"/>
                <w:szCs w:val="21"/>
                <w:lang w:val="en-US" w:eastAsia="zh-CN"/>
              </w:rPr>
              <w:t>5</w:t>
            </w:r>
          </w:p>
        </w:tc>
        <w:tc>
          <w:tcPr>
            <w:tcW w:w="2012" w:type="dxa"/>
            <w:tcBorders>
              <w:top w:val="single" w:color="auto" w:sz="6" w:space="0"/>
              <w:left w:val="single" w:color="auto" w:sz="6" w:space="0"/>
              <w:bottom w:val="single" w:color="auto" w:sz="6" w:space="0"/>
              <w:right w:val="single" w:color="auto" w:sz="6" w:space="0"/>
            </w:tcBorders>
            <w:vAlign w:val="center"/>
          </w:tcPr>
          <w:p>
            <w:pPr>
              <w:spacing w:line="280" w:lineRule="exact"/>
              <w:rPr>
                <w:szCs w:val="21"/>
                <w:lang w:val="zh-CN"/>
              </w:rPr>
            </w:pPr>
            <w:r>
              <w:t>拟派项目</w:t>
            </w:r>
            <w:r>
              <w:rPr>
                <w:rFonts w:hint="eastAsia"/>
              </w:rPr>
              <w:t>施工</w:t>
            </w:r>
            <w:r>
              <w:t>负责人要求</w:t>
            </w:r>
          </w:p>
        </w:tc>
        <w:tc>
          <w:tcPr>
            <w:tcW w:w="3492" w:type="dxa"/>
            <w:tcBorders>
              <w:top w:val="single" w:color="auto" w:sz="6" w:space="0"/>
              <w:left w:val="single" w:color="auto" w:sz="6" w:space="0"/>
              <w:bottom w:val="single" w:color="auto" w:sz="6" w:space="0"/>
              <w:right w:val="single" w:color="auto" w:sz="6" w:space="0"/>
            </w:tcBorders>
            <w:vAlign w:val="center"/>
          </w:tcPr>
          <w:p>
            <w:pPr>
              <w:jc w:val="left"/>
              <w:rPr>
                <w:bCs/>
                <w:color w:val="333333"/>
                <w:szCs w:val="21"/>
              </w:rPr>
            </w:pPr>
            <w:r>
              <w:rPr>
                <w:rFonts w:hint="eastAsia"/>
                <w:bCs/>
                <w:color w:val="333333"/>
                <w:szCs w:val="21"/>
              </w:rPr>
              <w:t>（</w:t>
            </w:r>
            <w:r>
              <w:rPr>
                <w:rFonts w:hint="eastAsia"/>
                <w:bCs/>
                <w:color w:val="333333"/>
                <w:szCs w:val="21"/>
                <w:lang w:val="en-US" w:eastAsia="zh-CN"/>
              </w:rPr>
              <w:t>1</w:t>
            </w:r>
            <w:r>
              <w:rPr>
                <w:rFonts w:hint="eastAsia"/>
                <w:bCs/>
                <w:color w:val="333333"/>
                <w:szCs w:val="21"/>
              </w:rPr>
              <w:t>）项目施工负责人须具备以下①②③条件之一即可：</w:t>
            </w:r>
          </w:p>
          <w:p>
            <w:pPr>
              <w:jc w:val="left"/>
              <w:rPr>
                <w:bCs/>
                <w:color w:val="333333"/>
                <w:szCs w:val="21"/>
              </w:rPr>
            </w:pPr>
            <w:r>
              <w:rPr>
                <w:rFonts w:hint="eastAsia"/>
                <w:bCs/>
                <w:color w:val="333333"/>
                <w:szCs w:val="21"/>
              </w:rPr>
              <w:t>①获得国家级园林绿化及相关专业中级及以上职称的技术人员；</w:t>
            </w:r>
          </w:p>
          <w:p>
            <w:pPr>
              <w:jc w:val="left"/>
              <w:rPr>
                <w:bCs/>
                <w:color w:val="333333"/>
                <w:szCs w:val="24"/>
              </w:rPr>
            </w:pPr>
            <w:r>
              <w:rPr>
                <w:rFonts w:hint="eastAsia"/>
                <w:bCs/>
                <w:color w:val="333333"/>
                <w:szCs w:val="21"/>
              </w:rPr>
              <w:t>②</w:t>
            </w:r>
            <w:r>
              <w:rPr>
                <w:rFonts w:hint="eastAsia"/>
                <w:bCs/>
                <w:color w:val="333333"/>
                <w:szCs w:val="24"/>
              </w:rPr>
              <w:t>具有中专以上（含中专）学历、获得园林绿化及相关专业初级职称</w:t>
            </w:r>
            <w:r>
              <w:rPr>
                <w:bCs/>
                <w:color w:val="333333"/>
                <w:szCs w:val="24"/>
              </w:rPr>
              <w:t>3</w:t>
            </w:r>
            <w:r>
              <w:rPr>
                <w:rFonts w:hint="eastAsia"/>
                <w:bCs/>
                <w:color w:val="333333"/>
                <w:szCs w:val="24"/>
              </w:rPr>
              <w:t>年以上的技术人员；</w:t>
            </w:r>
          </w:p>
          <w:p>
            <w:pPr>
              <w:jc w:val="left"/>
              <w:rPr>
                <w:bCs/>
                <w:color w:val="333333"/>
                <w:szCs w:val="24"/>
              </w:rPr>
            </w:pPr>
            <w:r>
              <w:rPr>
                <w:rFonts w:hint="eastAsia"/>
                <w:bCs/>
                <w:color w:val="333333"/>
                <w:szCs w:val="24"/>
              </w:rPr>
              <w:t>③获得园林绿化及相关专业初级职称且从事园林绿化工作</w:t>
            </w:r>
            <w:r>
              <w:rPr>
                <w:bCs/>
                <w:color w:val="333333"/>
                <w:szCs w:val="24"/>
              </w:rPr>
              <w:t>8</w:t>
            </w:r>
            <w:r>
              <w:rPr>
                <w:rFonts w:hint="eastAsia"/>
                <w:bCs/>
                <w:color w:val="333333"/>
                <w:szCs w:val="24"/>
              </w:rPr>
              <w:t>年以上的技术人员。</w:t>
            </w:r>
          </w:p>
          <w:p>
            <w:pPr>
              <w:spacing w:line="280" w:lineRule="exact"/>
              <w:ind w:right="151" w:rightChars="63"/>
              <w:rPr>
                <w:rFonts w:hint="eastAsia"/>
                <w:color w:val="333333"/>
                <w:szCs w:val="24"/>
                <w:lang w:eastAsia="zh-CN"/>
              </w:rPr>
            </w:pPr>
            <w:r>
              <w:rPr>
                <w:rFonts w:hint="eastAsia"/>
                <w:color w:val="333333"/>
                <w:szCs w:val="24"/>
              </w:rPr>
              <w:t>注：园林绿化及相关专业：包括园林（含园林规划设计、园林植物、风景园林、园林绿化等）、园艺、城市规划、景观、植物（含植保、森保等）、风景旅游、环境艺术等专业</w:t>
            </w:r>
            <w:r>
              <w:rPr>
                <w:rFonts w:hint="eastAsia"/>
                <w:color w:val="333333"/>
                <w:szCs w:val="24"/>
                <w:lang w:eastAsia="zh-CN"/>
              </w:rPr>
              <w:t>。</w:t>
            </w:r>
          </w:p>
          <w:p>
            <w:pPr>
              <w:spacing w:line="280" w:lineRule="exact"/>
              <w:ind w:right="151" w:rightChars="63"/>
              <w:rPr>
                <w:szCs w:val="21"/>
                <w:lang w:val="zh-CN"/>
              </w:rPr>
            </w:pPr>
            <w:r>
              <w:rPr>
                <w:rFonts w:hint="eastAsia"/>
                <w:color w:val="333333"/>
                <w:szCs w:val="24"/>
                <w:lang w:eastAsia="zh-CN"/>
              </w:rPr>
              <w:t>（</w:t>
            </w:r>
            <w:r>
              <w:rPr>
                <w:rFonts w:hint="eastAsia"/>
                <w:color w:val="333333"/>
                <w:szCs w:val="24"/>
                <w:lang w:val="en-US" w:eastAsia="zh-CN"/>
              </w:rPr>
              <w:t>4）项目</w:t>
            </w:r>
            <w:r>
              <w:rPr>
                <w:rFonts w:hint="eastAsia"/>
                <w:color w:val="333333"/>
                <w:szCs w:val="24"/>
              </w:rPr>
              <w:t>施工负责人为投标单位的正式员工。</w:t>
            </w:r>
          </w:p>
        </w:tc>
        <w:tc>
          <w:tcPr>
            <w:tcW w:w="3801" w:type="dxa"/>
            <w:tcBorders>
              <w:top w:val="single" w:color="auto" w:sz="6" w:space="0"/>
              <w:left w:val="single" w:color="auto" w:sz="6" w:space="0"/>
              <w:bottom w:val="single" w:color="auto" w:sz="6" w:space="0"/>
              <w:right w:val="single" w:color="auto" w:sz="6" w:space="0"/>
            </w:tcBorders>
            <w:vAlign w:val="center"/>
          </w:tcPr>
          <w:p>
            <w:pPr>
              <w:spacing w:line="280" w:lineRule="exact"/>
              <w:rPr>
                <w:rFonts w:hint="eastAsia"/>
                <w:lang w:val="en-US" w:eastAsia="zh-CN"/>
              </w:rPr>
            </w:pPr>
            <w:r>
              <w:rPr>
                <w:rFonts w:hint="eastAsia"/>
              </w:rPr>
              <w:t>项目负责人园林绿化及相关专业职称证书等证明材料（若职称证书不能显示园林绿化及相关专业的，须同时提供毕业证书及相关证明、园林绿化及相关专业从业年限证明）</w:t>
            </w:r>
            <w:r>
              <w:rPr>
                <w:rFonts w:hint="eastAsia"/>
                <w:lang w:val="en-US" w:eastAsia="zh-CN"/>
              </w:rPr>
              <w:t>的复印件或扫描件，并加盖投标人公章。</w:t>
            </w:r>
          </w:p>
          <w:p>
            <w:pPr>
              <w:spacing w:line="280" w:lineRule="exact"/>
              <w:rPr>
                <w:rFonts w:hint="eastAsia"/>
                <w:lang w:val="en-US" w:eastAsia="zh-CN"/>
              </w:rPr>
            </w:pPr>
          </w:p>
          <w:p>
            <w:pPr>
              <w:spacing w:line="280" w:lineRule="exact"/>
              <w:rPr>
                <w:rFonts w:hint="default"/>
                <w:lang w:val="en-US"/>
              </w:rPr>
            </w:pPr>
          </w:p>
        </w:tc>
      </w:tr>
      <w:tr>
        <w:tblPrEx>
          <w:tblCellMar>
            <w:top w:w="0" w:type="dxa"/>
            <w:left w:w="10" w:type="dxa"/>
            <w:bottom w:w="0" w:type="dxa"/>
            <w:right w:w="10" w:type="dxa"/>
          </w:tblCellMar>
        </w:tblPrEx>
        <w:trPr>
          <w:trHeight w:val="1824" w:hRule="atLeast"/>
        </w:trPr>
        <w:tc>
          <w:tcPr>
            <w:tcW w:w="540" w:type="dxa"/>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hint="eastAsia" w:eastAsia="宋体"/>
                <w:szCs w:val="21"/>
                <w:lang w:val="en-US" w:eastAsia="zh-CN"/>
              </w:rPr>
            </w:pPr>
            <w:r>
              <w:rPr>
                <w:rFonts w:hint="eastAsia"/>
                <w:szCs w:val="21"/>
                <w:lang w:val="en-US" w:eastAsia="zh-CN"/>
              </w:rPr>
              <w:t>6</w:t>
            </w:r>
          </w:p>
        </w:tc>
        <w:tc>
          <w:tcPr>
            <w:tcW w:w="2012" w:type="dxa"/>
            <w:tcBorders>
              <w:top w:val="single" w:color="auto" w:sz="6" w:space="0"/>
              <w:left w:val="single" w:color="auto" w:sz="6" w:space="0"/>
              <w:bottom w:val="single" w:color="auto" w:sz="6" w:space="0"/>
              <w:right w:val="single" w:color="auto" w:sz="6" w:space="0"/>
            </w:tcBorders>
            <w:vAlign w:val="center"/>
          </w:tcPr>
          <w:p>
            <w:pPr>
              <w:spacing w:line="280" w:lineRule="exact"/>
              <w:rPr>
                <w:szCs w:val="21"/>
              </w:rPr>
            </w:pPr>
            <w:r>
              <w:t>拟派项目</w:t>
            </w:r>
            <w:r>
              <w:rPr>
                <w:rFonts w:hint="eastAsia"/>
              </w:rPr>
              <w:t>施工</w:t>
            </w:r>
            <w:r>
              <w:t>负责人</w:t>
            </w:r>
            <w:r>
              <w:rPr>
                <w:szCs w:val="21"/>
              </w:rPr>
              <w:t>为投标企业正式人员</w:t>
            </w:r>
          </w:p>
        </w:tc>
        <w:tc>
          <w:tcPr>
            <w:tcW w:w="34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280" w:lineRule="exact"/>
              <w:ind w:right="151" w:rightChars="63"/>
              <w:rPr>
                <w:szCs w:val="21"/>
              </w:rPr>
            </w:pPr>
            <w:r>
              <w:t>拟派项目</w:t>
            </w:r>
            <w:r>
              <w:rPr>
                <w:rFonts w:hint="eastAsia"/>
              </w:rPr>
              <w:t>施工</w:t>
            </w:r>
            <w:r>
              <w:t>负责人</w:t>
            </w:r>
            <w:r>
              <w:rPr>
                <w:szCs w:val="21"/>
              </w:rPr>
              <w:t>为企业正式人员</w:t>
            </w:r>
            <w:r>
              <w:rPr>
                <w:rFonts w:hint="eastAsia"/>
                <w:szCs w:val="21"/>
              </w:rPr>
              <w:t>，</w:t>
            </w:r>
            <w:r>
              <w:rPr>
                <w:rFonts w:hint="eastAsia"/>
                <w:szCs w:val="21"/>
                <w:lang w:val="zh-CN"/>
              </w:rPr>
              <w:t>且不得为企业法定代表人或企业董事长或总经理</w:t>
            </w:r>
          </w:p>
        </w:tc>
        <w:tc>
          <w:tcPr>
            <w:tcW w:w="3801"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left"/>
            </w:pPr>
            <w:r>
              <w:rPr>
                <w:rFonts w:hint="eastAsia"/>
              </w:rPr>
              <w:t>投标企业与其双方签订的有效劳动合同书</w:t>
            </w:r>
            <w:r>
              <w:rPr>
                <w:rFonts w:hint="eastAsia"/>
                <w:lang w:val="en-US" w:eastAsia="zh-CN"/>
              </w:rPr>
              <w:t>的复印件或扫描件，并加盖投标人公章</w:t>
            </w:r>
            <w:r>
              <w:rPr>
                <w:rFonts w:hint="eastAsia"/>
              </w:rPr>
              <w:t>；</w:t>
            </w:r>
          </w:p>
          <w:p>
            <w:pPr>
              <w:widowControl/>
              <w:spacing w:line="280" w:lineRule="exact"/>
              <w:jc w:val="left"/>
            </w:pPr>
          </w:p>
        </w:tc>
      </w:tr>
      <w:tr>
        <w:tblPrEx>
          <w:tblCellMar>
            <w:top w:w="0" w:type="dxa"/>
            <w:left w:w="10" w:type="dxa"/>
            <w:bottom w:w="0" w:type="dxa"/>
            <w:right w:w="10" w:type="dxa"/>
          </w:tblCellMar>
        </w:tblPrEx>
        <w:trPr>
          <w:trHeight w:val="1769" w:hRule="atLeast"/>
        </w:trPr>
        <w:tc>
          <w:tcPr>
            <w:tcW w:w="540" w:type="dxa"/>
            <w:tcBorders>
              <w:top w:val="single" w:color="auto" w:sz="6" w:space="0"/>
              <w:left w:val="single" w:color="auto" w:sz="6" w:space="0"/>
              <w:bottom w:val="single" w:color="auto" w:sz="4" w:space="0"/>
              <w:right w:val="single" w:color="auto" w:sz="6" w:space="0"/>
            </w:tcBorders>
            <w:vAlign w:val="center"/>
          </w:tcPr>
          <w:p>
            <w:pPr>
              <w:spacing w:line="280" w:lineRule="exact"/>
              <w:jc w:val="center"/>
              <w:rPr>
                <w:rFonts w:hint="eastAsia" w:eastAsia="宋体"/>
                <w:szCs w:val="21"/>
                <w:lang w:val="en-US" w:eastAsia="zh-CN"/>
              </w:rPr>
            </w:pPr>
            <w:r>
              <w:rPr>
                <w:rFonts w:hint="eastAsia"/>
                <w:szCs w:val="21"/>
                <w:lang w:val="en-US" w:eastAsia="zh-CN"/>
              </w:rPr>
              <w:t>7</w:t>
            </w:r>
          </w:p>
        </w:tc>
        <w:tc>
          <w:tcPr>
            <w:tcW w:w="2012" w:type="dxa"/>
            <w:tcBorders>
              <w:top w:val="single" w:color="auto" w:sz="6" w:space="0"/>
              <w:left w:val="single" w:color="auto" w:sz="6" w:space="0"/>
              <w:bottom w:val="single" w:color="auto" w:sz="4" w:space="0"/>
              <w:right w:val="single" w:color="auto" w:sz="6" w:space="0"/>
            </w:tcBorders>
            <w:vAlign w:val="center"/>
          </w:tcPr>
          <w:p>
            <w:pPr>
              <w:spacing w:line="280" w:lineRule="exact"/>
              <w:rPr>
                <w:szCs w:val="21"/>
                <w:lang w:val="zh-CN"/>
              </w:rPr>
            </w:pPr>
            <w:r>
              <w:rPr>
                <w:szCs w:val="21"/>
              </w:rPr>
              <w:t>拟派项目</w:t>
            </w:r>
            <w:r>
              <w:rPr>
                <w:rFonts w:hint="eastAsia"/>
                <w:szCs w:val="21"/>
                <w:lang w:val="en-US" w:eastAsia="zh-CN"/>
              </w:rPr>
              <w:t>施工</w:t>
            </w:r>
            <w:r>
              <w:rPr>
                <w:szCs w:val="21"/>
              </w:rPr>
              <w:t>负责人无在建工程</w:t>
            </w:r>
          </w:p>
        </w:tc>
        <w:tc>
          <w:tcPr>
            <w:tcW w:w="3492" w:type="dxa"/>
            <w:tcBorders>
              <w:top w:val="single" w:color="auto" w:sz="6" w:space="0"/>
              <w:left w:val="single" w:color="auto" w:sz="6" w:space="0"/>
              <w:bottom w:val="single" w:color="auto" w:sz="4" w:space="0"/>
              <w:right w:val="single" w:color="auto" w:sz="6" w:space="0"/>
            </w:tcBorders>
            <w:vAlign w:val="center"/>
          </w:tcPr>
          <w:p>
            <w:pPr>
              <w:widowControl/>
              <w:spacing w:line="280" w:lineRule="exact"/>
              <w:ind w:left="130" w:right="151" w:rightChars="63"/>
              <w:jc w:val="left"/>
              <w:rPr>
                <w:lang w:val="zh-CN"/>
              </w:rPr>
            </w:pPr>
            <w:r>
              <w:rPr>
                <w:lang w:val="zh-CN"/>
              </w:rPr>
              <w:t>①项目负责人不得同时在两个或者两个以上单位受聘或者执业；</w:t>
            </w:r>
          </w:p>
          <w:p>
            <w:pPr>
              <w:widowControl/>
              <w:spacing w:line="280" w:lineRule="exact"/>
              <w:ind w:left="149" w:leftChars="62" w:firstLine="2"/>
              <w:jc w:val="left"/>
              <w:rPr>
                <w:lang w:val="zh-CN"/>
              </w:rPr>
            </w:pPr>
            <w:r>
              <w:rPr>
                <w:lang w:val="zh-CN"/>
              </w:rPr>
              <w:t>ⅰ.未同时在两个及以上单位签订劳动合同或交纳社会保险；</w:t>
            </w:r>
          </w:p>
          <w:p>
            <w:pPr>
              <w:widowControl/>
              <w:spacing w:line="280" w:lineRule="exact"/>
              <w:ind w:left="149" w:leftChars="62" w:right="151" w:rightChars="63" w:firstLine="2"/>
              <w:jc w:val="left"/>
              <w:rPr>
                <w:lang w:val="zh-CN"/>
              </w:rPr>
            </w:pPr>
            <w:r>
              <w:rPr>
                <w:lang w:val="zh-CN"/>
              </w:rPr>
              <w:t>ⅱ.未将本人执（职）业资格证书同时注册在两个及以上单位</w:t>
            </w:r>
            <w:r>
              <w:rPr>
                <w:rFonts w:hint="eastAsia"/>
                <w:lang w:val="zh-CN"/>
              </w:rPr>
              <w:t>。</w:t>
            </w:r>
          </w:p>
          <w:p>
            <w:pPr>
              <w:widowControl/>
              <w:spacing w:line="280" w:lineRule="exact"/>
              <w:ind w:left="130" w:right="151" w:rightChars="63"/>
              <w:jc w:val="left"/>
              <w:rPr>
                <w:lang w:val="zh-CN"/>
              </w:rPr>
            </w:pPr>
            <w:r>
              <w:rPr>
                <w:lang w:val="zh-CN"/>
              </w:rPr>
              <w:t>②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w:t>
            </w:r>
            <w:r>
              <w:rPr>
                <w:rFonts w:ascii="Times New Roman" w:hAnsi="Times New Roman" w:cs="Times New Roman"/>
                <w:lang w:val="zh-CN"/>
              </w:rPr>
              <w:t>施</w:t>
            </w:r>
            <w:r>
              <w:rPr>
                <w:rFonts w:hint="eastAsia"/>
                <w:lang w:val="zh-CN"/>
              </w:rPr>
              <w:t>工的情况且总的工程规模在项目负责人执业范围之内。</w:t>
            </w:r>
          </w:p>
          <w:p>
            <w:pPr>
              <w:widowControl/>
              <w:spacing w:line="280" w:lineRule="exact"/>
              <w:ind w:left="130" w:right="151" w:rightChars="63"/>
              <w:jc w:val="left"/>
              <w:rPr>
                <w:rFonts w:eastAsia="黑体"/>
              </w:rPr>
            </w:pPr>
            <w:r>
              <w:rPr>
                <w:rFonts w:hint="eastAsia"/>
              </w:rPr>
              <w:t>③</w:t>
            </w:r>
            <w:r>
              <w:rPr>
                <w:rFonts w:hint="eastAsia"/>
                <w:lang w:val="zh-CN"/>
              </w:rPr>
              <w:t>项目负责人无行贿犯罪行为记录；或者有行贿犯罪行为记录，但自记录之日起已超过 5 年的。</w:t>
            </w:r>
          </w:p>
        </w:tc>
        <w:tc>
          <w:tcPr>
            <w:tcW w:w="3801" w:type="dxa"/>
            <w:tcBorders>
              <w:top w:val="single" w:color="auto" w:sz="6" w:space="0"/>
              <w:left w:val="single" w:color="auto" w:sz="6" w:space="0"/>
              <w:bottom w:val="single" w:color="auto" w:sz="4" w:space="0"/>
              <w:right w:val="single" w:color="auto" w:sz="6" w:space="0"/>
            </w:tcBorders>
            <w:vAlign w:val="center"/>
          </w:tcPr>
          <w:p>
            <w:pPr>
              <w:widowControl/>
              <w:spacing w:line="360" w:lineRule="exact"/>
              <w:jc w:val="left"/>
              <w:rPr>
                <w:szCs w:val="21"/>
              </w:rPr>
            </w:pPr>
            <w:r>
              <w:rPr>
                <w:rFonts w:hint="eastAsia" w:ascii="Calibri" w:cs="Times New Roman"/>
                <w:szCs w:val="21"/>
              </w:rPr>
              <w:t>无在建工程承诺书</w:t>
            </w:r>
            <w:r>
              <w:rPr>
                <w:szCs w:val="21"/>
                <w:lang w:val="zh-CN"/>
              </w:rPr>
              <w:t>（格式见第</w:t>
            </w:r>
            <w:r>
              <w:rPr>
                <w:rFonts w:hint="eastAsia"/>
                <w:szCs w:val="21"/>
              </w:rPr>
              <w:t>五</w:t>
            </w:r>
            <w:r>
              <w:rPr>
                <w:szCs w:val="21"/>
                <w:lang w:val="zh-CN"/>
              </w:rPr>
              <w:t>章）</w:t>
            </w:r>
          </w:p>
          <w:p>
            <w:pPr>
              <w:autoSpaceDN w:val="0"/>
              <w:spacing w:line="280" w:lineRule="exact"/>
              <w:rPr>
                <w:szCs w:val="21"/>
                <w:lang w:val="zh-CN"/>
              </w:rPr>
            </w:pPr>
          </w:p>
        </w:tc>
      </w:tr>
      <w:tr>
        <w:tblPrEx>
          <w:tblCellMar>
            <w:top w:w="0" w:type="dxa"/>
            <w:left w:w="10" w:type="dxa"/>
            <w:bottom w:w="0" w:type="dxa"/>
            <w:right w:w="10" w:type="dxa"/>
          </w:tblCellMar>
        </w:tblPrEx>
        <w:trPr>
          <w:trHeight w:val="997" w:hRule="atLeast"/>
        </w:trPr>
        <w:tc>
          <w:tcPr>
            <w:tcW w:w="540" w:type="dxa"/>
            <w:tcBorders>
              <w:top w:val="single" w:color="auto" w:sz="4" w:space="0"/>
              <w:left w:val="single" w:color="auto" w:sz="6" w:space="0"/>
              <w:bottom w:val="single" w:color="auto" w:sz="6" w:space="0"/>
              <w:right w:val="single" w:color="auto" w:sz="6" w:space="0"/>
            </w:tcBorders>
            <w:vAlign w:val="center"/>
          </w:tcPr>
          <w:p>
            <w:pPr>
              <w:spacing w:line="280" w:lineRule="exact"/>
              <w:jc w:val="center"/>
              <w:rPr>
                <w:rFonts w:hint="default" w:eastAsia="宋体"/>
                <w:szCs w:val="21"/>
                <w:lang w:val="en-US" w:eastAsia="zh-CN"/>
              </w:rPr>
            </w:pPr>
            <w:r>
              <w:rPr>
                <w:rFonts w:hint="eastAsia"/>
                <w:szCs w:val="21"/>
                <w:lang w:val="en-US" w:eastAsia="zh-CN"/>
              </w:rPr>
              <w:t>8</w:t>
            </w:r>
          </w:p>
        </w:tc>
        <w:tc>
          <w:tcPr>
            <w:tcW w:w="2012" w:type="dxa"/>
            <w:tcBorders>
              <w:top w:val="single" w:color="auto" w:sz="4" w:space="0"/>
              <w:left w:val="single" w:color="auto" w:sz="6" w:space="0"/>
              <w:bottom w:val="single" w:color="auto" w:sz="6" w:space="0"/>
              <w:right w:val="single" w:color="auto" w:sz="6" w:space="0"/>
            </w:tcBorders>
            <w:vAlign w:val="center"/>
          </w:tcPr>
          <w:p>
            <w:pPr>
              <w:spacing w:line="280" w:lineRule="exact"/>
              <w:rPr>
                <w:szCs w:val="21"/>
                <w:lang w:val="zh-CN"/>
              </w:rPr>
            </w:pPr>
            <w:r>
              <w:rPr>
                <w:szCs w:val="21"/>
                <w:lang w:val="zh-CN"/>
              </w:rPr>
              <w:t>企业履约情况</w:t>
            </w:r>
          </w:p>
        </w:tc>
        <w:tc>
          <w:tcPr>
            <w:tcW w:w="3492" w:type="dxa"/>
            <w:tcBorders>
              <w:top w:val="single" w:color="auto" w:sz="4" w:space="0"/>
              <w:left w:val="single" w:color="auto" w:sz="6" w:space="0"/>
              <w:bottom w:val="single" w:color="auto" w:sz="6" w:space="0"/>
              <w:right w:val="single" w:color="auto" w:sz="6" w:space="0"/>
            </w:tcBorders>
            <w:vAlign w:val="center"/>
          </w:tcPr>
          <w:p>
            <w:pPr>
              <w:spacing w:line="280" w:lineRule="exact"/>
              <w:ind w:left="149" w:leftChars="62" w:right="149" w:rightChars="62"/>
              <w:rPr>
                <w:szCs w:val="21"/>
                <w:lang w:val="zh-CN"/>
              </w:rPr>
            </w:pPr>
            <w:r>
              <w:rPr>
                <w:rFonts w:hint="eastAsia"/>
                <w:szCs w:val="21"/>
              </w:rPr>
              <w:t>无因投标申请人违约或不恰当履约引起的合同争议纠纷及仲裁和诉讼记录。</w:t>
            </w:r>
          </w:p>
        </w:tc>
        <w:tc>
          <w:tcPr>
            <w:tcW w:w="3801" w:type="dxa"/>
            <w:tcBorders>
              <w:top w:val="single" w:color="auto" w:sz="4" w:space="0"/>
              <w:left w:val="single" w:color="auto" w:sz="6" w:space="0"/>
              <w:bottom w:val="single" w:color="auto" w:sz="6" w:space="0"/>
              <w:right w:val="single" w:color="auto" w:sz="6" w:space="0"/>
            </w:tcBorders>
            <w:vAlign w:val="center"/>
          </w:tcPr>
          <w:p>
            <w:pPr>
              <w:spacing w:line="280" w:lineRule="exact"/>
              <w:rPr>
                <w:szCs w:val="21"/>
              </w:rPr>
            </w:pPr>
            <w:r>
              <w:rPr>
                <w:rFonts w:hint="eastAsia"/>
                <w:szCs w:val="21"/>
              </w:rPr>
              <w:t>诚信承诺书</w:t>
            </w:r>
            <w:r>
              <w:rPr>
                <w:szCs w:val="21"/>
                <w:lang w:val="zh-CN"/>
              </w:rPr>
              <w:t>（格式见第</w:t>
            </w:r>
            <w:r>
              <w:rPr>
                <w:rFonts w:hint="eastAsia"/>
                <w:szCs w:val="21"/>
              </w:rPr>
              <w:t>五</w:t>
            </w:r>
            <w:r>
              <w:rPr>
                <w:szCs w:val="21"/>
                <w:lang w:val="zh-CN"/>
              </w:rPr>
              <w:t>章）</w:t>
            </w:r>
          </w:p>
        </w:tc>
      </w:tr>
      <w:tr>
        <w:tblPrEx>
          <w:tblCellMar>
            <w:top w:w="0" w:type="dxa"/>
            <w:left w:w="10" w:type="dxa"/>
            <w:bottom w:w="0" w:type="dxa"/>
            <w:right w:w="10" w:type="dxa"/>
          </w:tblCellMar>
        </w:tblPrEx>
        <w:trPr>
          <w:trHeight w:val="770" w:hRule="atLeast"/>
        </w:trPr>
        <w:tc>
          <w:tcPr>
            <w:tcW w:w="540" w:type="dxa"/>
            <w:tcBorders>
              <w:top w:val="single" w:color="auto" w:sz="6" w:space="0"/>
              <w:left w:val="single" w:color="auto" w:sz="6" w:space="0"/>
              <w:bottom w:val="single" w:color="auto" w:sz="6" w:space="0"/>
              <w:right w:val="single" w:color="auto" w:sz="6" w:space="0"/>
            </w:tcBorders>
            <w:vAlign w:val="center"/>
          </w:tcPr>
          <w:p>
            <w:pPr>
              <w:spacing w:line="280" w:lineRule="exact"/>
              <w:rPr>
                <w:szCs w:val="21"/>
              </w:rPr>
            </w:pPr>
            <w:r>
              <w:rPr>
                <w:szCs w:val="21"/>
                <w:lang w:val="zh-CN"/>
              </w:rPr>
              <w:t>备注</w:t>
            </w:r>
          </w:p>
        </w:tc>
        <w:tc>
          <w:tcPr>
            <w:tcW w:w="9305" w:type="dxa"/>
            <w:gridSpan w:val="3"/>
            <w:tcBorders>
              <w:top w:val="single" w:color="auto" w:sz="6" w:space="0"/>
              <w:left w:val="single" w:color="auto" w:sz="6" w:space="0"/>
              <w:bottom w:val="single" w:color="auto" w:sz="6" w:space="0"/>
              <w:right w:val="single" w:color="auto" w:sz="6" w:space="0"/>
            </w:tcBorders>
            <w:vAlign w:val="center"/>
          </w:tcPr>
          <w:p>
            <w:pPr>
              <w:spacing w:line="280" w:lineRule="exact"/>
              <w:rPr>
                <w:szCs w:val="21"/>
                <w:lang w:val="zh-CN"/>
              </w:rPr>
            </w:pPr>
            <w:r>
              <w:rPr>
                <w:rFonts w:hint="eastAsia" w:cs="Calibri"/>
                <w:szCs w:val="21"/>
                <w:lang w:val="zh-CN"/>
              </w:rPr>
              <w:t>以上材料如为复印件或扫描</w:t>
            </w:r>
            <w:r>
              <w:rPr>
                <w:rFonts w:hint="eastAsia" w:cs="Calibri"/>
                <w:szCs w:val="21"/>
              </w:rPr>
              <w:t>打印</w:t>
            </w:r>
            <w:r>
              <w:rPr>
                <w:rFonts w:hint="eastAsia" w:cs="Calibri"/>
                <w:szCs w:val="21"/>
                <w:lang w:val="zh-CN"/>
              </w:rPr>
              <w:t>件均须加盖单位公章，要求提供原件查验的，因携带原件不全而由此引起的后果由投标人自负。其他资料的原件须放入正本中。</w:t>
            </w:r>
          </w:p>
        </w:tc>
      </w:tr>
    </w:tbl>
    <w:p>
      <w:pPr>
        <w:widowControl/>
        <w:snapToGrid w:val="0"/>
        <w:spacing w:line="360" w:lineRule="auto"/>
        <w:ind w:firstLine="465"/>
        <w:jc w:val="left"/>
        <w:rPr>
          <w:rFonts w:hint="eastAsia" w:ascii="Cambria Math" w:hAnsi="Cambria Math"/>
        </w:rPr>
      </w:pPr>
      <w:r>
        <w:t>本次资格审查采用合格制，各投标人只有满足资格审查必要合格条件后，方可参与</w:t>
      </w:r>
      <w:r>
        <w:rPr>
          <w:rFonts w:hint="eastAsia"/>
          <w:lang w:val="en-US" w:eastAsia="zh-CN"/>
        </w:rPr>
        <w:t>技术标</w:t>
      </w:r>
      <w:r>
        <w:t>的评审。</w:t>
      </w:r>
    </w:p>
    <w:p>
      <w:pPr>
        <w:numPr>
          <w:ilvl w:val="0"/>
          <w:numId w:val="4"/>
        </w:numPr>
        <w:autoSpaceDE w:val="0"/>
        <w:autoSpaceDN w:val="0"/>
        <w:adjustRightInd w:val="0"/>
        <w:snapToGrid w:val="0"/>
        <w:spacing w:line="360" w:lineRule="auto"/>
        <w:ind w:firstLine="470" w:firstLineChars="196"/>
        <w:rPr>
          <w:szCs w:val="24"/>
        </w:rPr>
      </w:pPr>
      <w:r>
        <w:rPr>
          <w:rFonts w:hint="eastAsia"/>
        </w:rPr>
        <w:t>技术标评审（暗标）（70分）</w:t>
      </w:r>
    </w:p>
    <w:tbl>
      <w:tblPr>
        <w:tblStyle w:val="61"/>
        <w:tblW w:w="9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3"/>
        <w:gridCol w:w="616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blHeader/>
          <w:jc w:val="center"/>
        </w:trPr>
        <w:tc>
          <w:tcPr>
            <w:tcW w:w="1633" w:type="dxa"/>
            <w:vAlign w:val="center"/>
          </w:tcPr>
          <w:p>
            <w:pPr>
              <w:snapToGrid w:val="0"/>
              <w:jc w:val="center"/>
              <w:outlineLvl w:val="1"/>
              <w:rPr>
                <w:b/>
                <w:bCs/>
                <w:szCs w:val="24"/>
              </w:rPr>
            </w:pPr>
            <w:r>
              <w:rPr>
                <w:rFonts w:hint="eastAsia"/>
                <w:b/>
                <w:bCs/>
                <w:szCs w:val="24"/>
              </w:rPr>
              <w:t>评分因素</w:t>
            </w:r>
          </w:p>
        </w:tc>
        <w:tc>
          <w:tcPr>
            <w:tcW w:w="6167" w:type="dxa"/>
            <w:vAlign w:val="center"/>
          </w:tcPr>
          <w:p>
            <w:pPr>
              <w:snapToGrid w:val="0"/>
              <w:jc w:val="center"/>
              <w:outlineLvl w:val="1"/>
              <w:rPr>
                <w:b/>
                <w:bCs/>
                <w:szCs w:val="24"/>
              </w:rPr>
            </w:pPr>
            <w:r>
              <w:rPr>
                <w:rFonts w:hint="eastAsia"/>
                <w:b/>
                <w:bCs/>
                <w:szCs w:val="24"/>
              </w:rPr>
              <w:t>评分标准</w:t>
            </w:r>
          </w:p>
        </w:tc>
        <w:tc>
          <w:tcPr>
            <w:tcW w:w="1276" w:type="dxa"/>
            <w:vAlign w:val="center"/>
          </w:tcPr>
          <w:p>
            <w:pPr>
              <w:snapToGrid w:val="0"/>
              <w:jc w:val="center"/>
              <w:outlineLvl w:val="1"/>
              <w:rPr>
                <w:b/>
                <w:bCs/>
                <w:szCs w:val="24"/>
              </w:rPr>
            </w:pPr>
            <w:r>
              <w:rPr>
                <w:rFonts w:hint="eastAsia"/>
                <w:b/>
                <w:bCs/>
                <w:szCs w:val="24"/>
              </w:rPr>
              <w:t>满分分值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33" w:type="dxa"/>
            <w:vMerge w:val="restart"/>
            <w:vAlign w:val="center"/>
          </w:tcPr>
          <w:p>
            <w:pPr>
              <w:pStyle w:val="626"/>
              <w:jc w:val="center"/>
              <w:rPr>
                <w:rFonts w:ascii="宋体" w:hAnsi="宋体" w:cs="宋体"/>
                <w:color w:val="000000"/>
                <w:kern w:val="0"/>
                <w:sz w:val="24"/>
              </w:rPr>
            </w:pPr>
            <w:r>
              <w:rPr>
                <w:rFonts w:hint="eastAsia" w:ascii="宋体" w:hAnsi="宋体" w:cs="宋体"/>
                <w:color w:val="000000"/>
                <w:kern w:val="0"/>
                <w:sz w:val="24"/>
              </w:rPr>
              <w:t>设计方案</w:t>
            </w:r>
          </w:p>
        </w:tc>
        <w:tc>
          <w:tcPr>
            <w:tcW w:w="6167" w:type="dxa"/>
            <w:vAlign w:val="center"/>
          </w:tcPr>
          <w:p>
            <w:r>
              <w:rPr>
                <w:rFonts w:hint="eastAsia"/>
              </w:rPr>
              <w:t>整体设计方案：能对本项目初步设计方案充分解读。由评委横向比较后打分，优秀得7-10分，良好得4-6分，一般得1-3分，没有不得分。</w:t>
            </w:r>
          </w:p>
        </w:tc>
        <w:tc>
          <w:tcPr>
            <w:tcW w:w="1276" w:type="dxa"/>
            <w:vAlign w:val="center"/>
          </w:tcPr>
          <w:p>
            <w:pPr>
              <w:pStyle w:val="626"/>
              <w:jc w:val="center"/>
              <w:rPr>
                <w:rFonts w:ascii="宋体" w:hAnsi="宋体" w:cs="宋体"/>
                <w:color w:val="000000"/>
                <w:kern w:val="0"/>
                <w:sz w:val="24"/>
              </w:rPr>
            </w:pPr>
            <w:r>
              <w:rPr>
                <w:rFonts w:hint="eastAsia" w:ascii="宋体" w:hAnsi="宋体" w:cs="宋体"/>
                <w:color w:val="00000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33" w:type="dxa"/>
            <w:vMerge w:val="continue"/>
            <w:vAlign w:val="center"/>
          </w:tcPr>
          <w:p>
            <w:pPr>
              <w:pStyle w:val="626"/>
              <w:jc w:val="center"/>
              <w:rPr>
                <w:rFonts w:ascii="宋体" w:hAnsi="宋体" w:cs="宋体"/>
                <w:color w:val="000000"/>
                <w:kern w:val="0"/>
                <w:sz w:val="24"/>
              </w:rPr>
            </w:pPr>
          </w:p>
        </w:tc>
        <w:tc>
          <w:tcPr>
            <w:tcW w:w="6167" w:type="dxa"/>
            <w:vAlign w:val="center"/>
          </w:tcPr>
          <w:p>
            <w:r>
              <w:rPr>
                <w:rFonts w:hint="eastAsia"/>
              </w:rPr>
              <w:t>布局点位设计方案（含合理化建议）：结合本项目地理位置及相关特征制定设计方案，要满足交通流线及开口要求。由评委横向比较后打分，优秀得3-5分，良好得2-3分，一般得1-2分，没有不得分。</w:t>
            </w:r>
          </w:p>
        </w:tc>
        <w:tc>
          <w:tcPr>
            <w:tcW w:w="1276" w:type="dxa"/>
            <w:vAlign w:val="center"/>
          </w:tcPr>
          <w:p>
            <w:pPr>
              <w:pStyle w:val="626"/>
              <w:jc w:val="center"/>
              <w:rPr>
                <w:rFonts w:ascii="宋体" w:hAnsi="宋体" w:cs="宋体"/>
                <w:color w:val="000000"/>
                <w:kern w:val="0"/>
                <w:sz w:val="24"/>
              </w:rPr>
            </w:pPr>
            <w:r>
              <w:rPr>
                <w:rFonts w:hint="eastAsia" w:ascii="宋体" w:hAnsi="宋体" w:cs="宋体"/>
                <w:color w:val="000000"/>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33" w:type="dxa"/>
            <w:vMerge w:val="continue"/>
            <w:vAlign w:val="center"/>
          </w:tcPr>
          <w:p>
            <w:pPr>
              <w:pStyle w:val="626"/>
              <w:jc w:val="center"/>
              <w:rPr>
                <w:rFonts w:ascii="宋体" w:hAnsi="宋体" w:cs="宋体"/>
                <w:color w:val="000000"/>
                <w:kern w:val="0"/>
                <w:sz w:val="24"/>
              </w:rPr>
            </w:pPr>
          </w:p>
        </w:tc>
        <w:tc>
          <w:tcPr>
            <w:tcW w:w="6167" w:type="dxa"/>
            <w:vAlign w:val="center"/>
          </w:tcPr>
          <w:p>
            <w:r>
              <w:rPr>
                <w:rFonts w:hint="eastAsia"/>
              </w:rPr>
              <w:t>立体造型的设计方案：立体造型、比例尺度和谐美观。由评委横向比较后打分，优秀得14-20分，良好得7-13分，一般得1-6分，没有不得分。</w:t>
            </w:r>
          </w:p>
        </w:tc>
        <w:tc>
          <w:tcPr>
            <w:tcW w:w="1276" w:type="dxa"/>
            <w:vAlign w:val="center"/>
          </w:tcPr>
          <w:p>
            <w:pPr>
              <w:pStyle w:val="626"/>
              <w:jc w:val="center"/>
              <w:rPr>
                <w:rFonts w:ascii="宋体" w:hAnsi="宋体" w:cs="宋体"/>
                <w:color w:val="000000"/>
                <w:kern w:val="0"/>
                <w:sz w:val="24"/>
              </w:rPr>
            </w:pPr>
            <w:r>
              <w:rPr>
                <w:rFonts w:hint="eastAsia" w:ascii="宋体" w:hAnsi="宋体" w:cs="宋体"/>
                <w:color w:val="000000"/>
                <w:kern w:val="0"/>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33" w:type="dxa"/>
            <w:vMerge w:val="continue"/>
            <w:vAlign w:val="center"/>
          </w:tcPr>
          <w:p>
            <w:pPr>
              <w:pStyle w:val="626"/>
              <w:jc w:val="center"/>
              <w:rPr>
                <w:rFonts w:ascii="宋体" w:hAnsi="宋体" w:cs="宋体"/>
                <w:color w:val="000000"/>
                <w:kern w:val="0"/>
                <w:sz w:val="24"/>
              </w:rPr>
            </w:pPr>
          </w:p>
        </w:tc>
        <w:tc>
          <w:tcPr>
            <w:tcW w:w="6167" w:type="dxa"/>
            <w:vAlign w:val="center"/>
          </w:tcPr>
          <w:p>
            <w:r>
              <w:rPr>
                <w:rFonts w:hint="eastAsia"/>
              </w:rPr>
              <w:t>平面摆花的设计方案：平面摆花、比例尺度和谐美观。由评委横向比较后打分，优秀得7-10分，良好得4-6分，一般得1-3分，没有不得分。</w:t>
            </w:r>
          </w:p>
        </w:tc>
        <w:tc>
          <w:tcPr>
            <w:tcW w:w="1276" w:type="dxa"/>
            <w:vAlign w:val="center"/>
          </w:tcPr>
          <w:p>
            <w:pPr>
              <w:pStyle w:val="626"/>
              <w:jc w:val="center"/>
              <w:rPr>
                <w:rFonts w:ascii="宋体" w:hAnsi="宋体" w:cs="宋体"/>
                <w:color w:val="000000"/>
                <w:kern w:val="0"/>
                <w:sz w:val="24"/>
              </w:rPr>
            </w:pPr>
            <w:r>
              <w:rPr>
                <w:rFonts w:hint="eastAsia" w:ascii="宋体" w:hAnsi="宋体" w:cs="宋体"/>
                <w:color w:val="00000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33" w:type="dxa"/>
            <w:vMerge w:val="continue"/>
            <w:vAlign w:val="center"/>
          </w:tcPr>
          <w:p>
            <w:pPr>
              <w:pStyle w:val="626"/>
              <w:jc w:val="center"/>
              <w:rPr>
                <w:rFonts w:ascii="宋体" w:hAnsi="宋体" w:cs="宋体"/>
                <w:color w:val="000000"/>
                <w:kern w:val="0"/>
                <w:sz w:val="24"/>
              </w:rPr>
            </w:pPr>
          </w:p>
        </w:tc>
        <w:tc>
          <w:tcPr>
            <w:tcW w:w="6167" w:type="dxa"/>
            <w:vAlign w:val="center"/>
          </w:tcPr>
          <w:p>
            <w:r>
              <w:rPr>
                <w:rFonts w:hint="eastAsia"/>
              </w:rPr>
              <w:t>设计方案的立意阐述：符合设计任务要求。由评委横向比较后打分，优秀得3-5分，良好得2-3分，一般得1-2分，没有不得分。</w:t>
            </w:r>
          </w:p>
        </w:tc>
        <w:tc>
          <w:tcPr>
            <w:tcW w:w="1276" w:type="dxa"/>
            <w:vAlign w:val="center"/>
          </w:tcPr>
          <w:p>
            <w:pPr>
              <w:pStyle w:val="626"/>
              <w:jc w:val="center"/>
              <w:rPr>
                <w:rFonts w:ascii="宋体" w:hAnsi="宋体" w:cs="宋体"/>
                <w:color w:val="000000"/>
                <w:kern w:val="0"/>
                <w:sz w:val="24"/>
              </w:rPr>
            </w:pPr>
            <w:r>
              <w:rPr>
                <w:rFonts w:hint="eastAsia" w:ascii="宋体" w:hAnsi="宋体" w:cs="宋体"/>
                <w:color w:val="000000"/>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33" w:type="dxa"/>
            <w:vMerge w:val="continue"/>
            <w:vAlign w:val="center"/>
          </w:tcPr>
          <w:p>
            <w:pPr>
              <w:pStyle w:val="626"/>
              <w:jc w:val="center"/>
              <w:rPr>
                <w:rFonts w:ascii="宋体" w:hAnsi="宋体" w:cs="宋体"/>
                <w:color w:val="000000"/>
                <w:kern w:val="0"/>
                <w:sz w:val="24"/>
              </w:rPr>
            </w:pPr>
          </w:p>
        </w:tc>
        <w:tc>
          <w:tcPr>
            <w:tcW w:w="6167" w:type="dxa"/>
            <w:vAlign w:val="center"/>
          </w:tcPr>
          <w:p>
            <w:r>
              <w:rPr>
                <w:rFonts w:hint="eastAsia"/>
              </w:rPr>
              <w:t>结构设计方案：比例尺度和谐美观、结构符合规范及标准要求。由评委横向比较后打分，优秀得7-10分，良好得4-6分，一般得1-3分，没有不得分。</w:t>
            </w:r>
          </w:p>
        </w:tc>
        <w:tc>
          <w:tcPr>
            <w:tcW w:w="1276" w:type="dxa"/>
            <w:vAlign w:val="center"/>
          </w:tcPr>
          <w:p>
            <w:pPr>
              <w:pStyle w:val="626"/>
              <w:jc w:val="center"/>
              <w:rPr>
                <w:rFonts w:ascii="宋体" w:hAnsi="宋体" w:cs="宋体"/>
                <w:color w:val="000000"/>
                <w:kern w:val="0"/>
                <w:sz w:val="24"/>
              </w:rPr>
            </w:pPr>
            <w:r>
              <w:rPr>
                <w:rFonts w:hint="eastAsia" w:ascii="宋体" w:hAnsi="宋体" w:cs="宋体"/>
                <w:color w:val="00000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33" w:type="dxa"/>
            <w:vMerge w:val="continue"/>
            <w:vAlign w:val="center"/>
          </w:tcPr>
          <w:p>
            <w:pPr>
              <w:pStyle w:val="626"/>
              <w:jc w:val="center"/>
              <w:rPr>
                <w:rFonts w:ascii="宋体" w:hAnsi="宋体" w:cs="宋体"/>
                <w:color w:val="000000"/>
                <w:kern w:val="0"/>
                <w:sz w:val="24"/>
              </w:rPr>
            </w:pPr>
          </w:p>
        </w:tc>
        <w:tc>
          <w:tcPr>
            <w:tcW w:w="6167" w:type="dxa"/>
            <w:vAlign w:val="center"/>
          </w:tcPr>
          <w:p>
            <w:r>
              <w:rPr>
                <w:rFonts w:hint="eastAsia"/>
              </w:rPr>
              <w:t>亮化设施的设计方案：方案切实可行，符合国家及地方的有关绿色标准。由评委横向比较后打分，优秀得7-10分，良好得4-6分，一般得1-3分，没有不得分。</w:t>
            </w:r>
          </w:p>
        </w:tc>
        <w:tc>
          <w:tcPr>
            <w:tcW w:w="1276" w:type="dxa"/>
            <w:vAlign w:val="center"/>
          </w:tcPr>
          <w:p>
            <w:pPr>
              <w:pStyle w:val="626"/>
              <w:jc w:val="center"/>
              <w:rPr>
                <w:rFonts w:ascii="宋体" w:hAnsi="宋体" w:cs="宋体"/>
                <w:color w:val="000000"/>
                <w:kern w:val="0"/>
                <w:sz w:val="24"/>
              </w:rPr>
            </w:pPr>
            <w:r>
              <w:rPr>
                <w:rFonts w:hint="eastAsia" w:ascii="宋体" w:hAnsi="宋体" w:cs="宋体"/>
                <w:color w:val="000000"/>
                <w:kern w:val="0"/>
                <w:sz w:val="24"/>
              </w:rPr>
              <w:t>10</w:t>
            </w:r>
          </w:p>
        </w:tc>
      </w:tr>
    </w:tbl>
    <w:p>
      <w:pPr>
        <w:autoSpaceDE w:val="0"/>
        <w:autoSpaceDN w:val="0"/>
        <w:adjustRightInd w:val="0"/>
        <w:spacing w:line="360" w:lineRule="auto"/>
        <w:ind w:firstLine="482" w:firstLineChars="200"/>
        <w:contextualSpacing/>
        <w:jc w:val="left"/>
        <w:rPr>
          <w:b/>
          <w:bCs/>
        </w:rPr>
      </w:pPr>
      <w:r>
        <w:rPr>
          <w:rFonts w:hint="eastAsia"/>
          <w:b/>
          <w:bCs/>
          <w:szCs w:val="24"/>
        </w:rPr>
        <w:t>注：</w:t>
      </w:r>
      <w:r>
        <w:rPr>
          <w:rFonts w:hint="eastAsia"/>
          <w:b/>
          <w:bCs/>
          <w:szCs w:val="21"/>
        </w:rPr>
        <w:t>1、</w:t>
      </w:r>
      <w:r>
        <w:rPr>
          <w:rFonts w:hint="eastAsia"/>
          <w:b/>
          <w:bCs/>
        </w:rPr>
        <w:t>本工程技术标采用暗标评审,技术标5份，不分正、副本。页面尺寸一律采用A4格式（图纸除外，图纸可采用A3格式），技术标无需制作封面、目录。</w:t>
      </w:r>
    </w:p>
    <w:p>
      <w:pPr>
        <w:autoSpaceDE w:val="0"/>
        <w:autoSpaceDN w:val="0"/>
        <w:adjustRightInd w:val="0"/>
        <w:spacing w:line="360" w:lineRule="auto"/>
        <w:ind w:firstLine="482" w:firstLineChars="200"/>
        <w:contextualSpacing/>
        <w:jc w:val="left"/>
        <w:rPr>
          <w:b/>
          <w:bCs/>
        </w:rPr>
      </w:pPr>
      <w:r>
        <w:rPr>
          <w:rFonts w:hint="eastAsia"/>
          <w:b/>
          <w:bCs/>
        </w:rPr>
        <w:t>文本均采用胶装。正文文本统一单面打印，</w:t>
      </w:r>
      <w:r>
        <w:rPr>
          <w:rFonts w:hint="eastAsia"/>
          <w:b/>
          <w:kern w:val="2"/>
        </w:rPr>
        <w:t>字体统一用四号宋体字，上边距 2 厘米，下边距 2.5 厘米，左边距（含装订线）3 厘米，右边距 2.5 厘米，段落行距为1.5 倍行距，</w:t>
      </w:r>
      <w:r>
        <w:rPr>
          <w:rFonts w:hint="eastAsia"/>
          <w:b/>
          <w:bCs/>
        </w:rPr>
        <w:t>不得设置页眉、页脚、页码，不得有任何加粗、斜体、下划线、边框、阴影等标记，</w:t>
      </w:r>
      <w:r>
        <w:rPr>
          <w:rFonts w:hint="eastAsia"/>
          <w:b/>
          <w:kern w:val="2"/>
        </w:rPr>
        <w:t>不得出现修改和行间插字或其他标记等手写字样，图表、图框、图片可使用彩色，但不得</w:t>
      </w:r>
      <w:r>
        <w:rPr>
          <w:rFonts w:hint="eastAsia"/>
          <w:b/>
          <w:bCs/>
        </w:rPr>
        <w:t>出现明示或暗示投标人身份或特征的任何字符和徽标（包括标识、标志、人员姓名、企业名称、</w:t>
      </w:r>
      <w:r>
        <w:rPr>
          <w:rFonts w:hint="eastAsia"/>
          <w:b/>
          <w:kern w:val="2"/>
        </w:rPr>
        <w:t>投标人承接过的业绩名称</w:t>
      </w:r>
      <w:r>
        <w:rPr>
          <w:rFonts w:hint="eastAsia"/>
          <w:b/>
          <w:bCs/>
        </w:rPr>
        <w:t>、投标人独有的企业标准或编号等）。</w:t>
      </w:r>
    </w:p>
    <w:p>
      <w:pPr>
        <w:snapToGrid w:val="0"/>
        <w:spacing w:line="360" w:lineRule="auto"/>
        <w:ind w:firstLine="482" w:firstLineChars="200"/>
        <w:outlineLvl w:val="1"/>
        <w:rPr>
          <w:b/>
          <w:bCs/>
          <w:szCs w:val="24"/>
          <w:highlight w:val="yellow"/>
        </w:rPr>
      </w:pPr>
      <w:r>
        <w:rPr>
          <w:rFonts w:hint="eastAsia"/>
          <w:b/>
          <w:bCs/>
        </w:rPr>
        <w:t>若投标人的投标文件违反招标文件暗标要求的，其技术标部分评审不通过，按废标处理，不再参与下一阶段的评审。</w:t>
      </w:r>
    </w:p>
    <w:p>
      <w:pPr>
        <w:snapToGrid w:val="0"/>
        <w:spacing w:line="360" w:lineRule="auto"/>
        <w:ind w:firstLine="482" w:firstLineChars="200"/>
        <w:outlineLvl w:val="1"/>
        <w:rPr>
          <w:b/>
          <w:bCs/>
        </w:rPr>
      </w:pPr>
      <w:r>
        <w:rPr>
          <w:rFonts w:hint="eastAsia"/>
          <w:b/>
          <w:bCs/>
          <w:szCs w:val="24"/>
        </w:rPr>
        <w:t>2、</w:t>
      </w:r>
      <w:r>
        <w:rPr>
          <w:rFonts w:hint="eastAsia"/>
          <w:b/>
          <w:bCs/>
          <w:szCs w:val="21"/>
        </w:rPr>
        <w:t>方案设计得分取所有方案设计文件评委评分中分别去掉一个最高和一个最低评分后的平均值为最终得分，采用四舍五入法保留两位小数。</w:t>
      </w:r>
    </w:p>
    <w:p>
      <w:pPr>
        <w:autoSpaceDE w:val="0"/>
        <w:autoSpaceDN w:val="0"/>
        <w:adjustRightInd w:val="0"/>
        <w:snapToGrid w:val="0"/>
        <w:spacing w:line="360" w:lineRule="auto"/>
        <w:ind w:firstLine="470" w:firstLineChars="196"/>
      </w:pPr>
      <w:r>
        <w:rPr>
          <w:rFonts w:hint="eastAsia"/>
        </w:rPr>
        <w:t>四、商务标评审</w:t>
      </w:r>
      <w:r>
        <w:t>(</w:t>
      </w:r>
      <w:r>
        <w:rPr>
          <w:rFonts w:hint="eastAsia"/>
        </w:rPr>
        <w:t>30分</w:t>
      </w:r>
      <w:r>
        <w:t>)</w:t>
      </w:r>
    </w:p>
    <w:p>
      <w:pPr>
        <w:autoSpaceDE w:val="0"/>
        <w:autoSpaceDN w:val="0"/>
        <w:adjustRightInd w:val="0"/>
        <w:snapToGrid w:val="0"/>
        <w:spacing w:line="360" w:lineRule="auto"/>
        <w:ind w:firstLine="470" w:firstLineChars="196"/>
        <w:rPr>
          <w:b/>
        </w:rPr>
      </w:pPr>
      <w:r>
        <w:t>1)</w:t>
      </w:r>
      <w:r>
        <w:rPr>
          <w:rFonts w:hint="eastAsia"/>
        </w:rPr>
        <w:t xml:space="preserve"> </w:t>
      </w:r>
      <w:r>
        <w:rPr>
          <w:rFonts w:hint="eastAsia"/>
          <w:b/>
        </w:rPr>
        <w:t>本工程招标控制价：</w:t>
      </w:r>
      <w:r>
        <w:rPr>
          <w:rFonts w:hint="eastAsia"/>
          <w:b/>
          <w:u w:val="single"/>
        </w:rPr>
        <w:t xml:space="preserve"> 130万元</w:t>
      </w:r>
      <w:r>
        <w:rPr>
          <w:rFonts w:hint="eastAsia"/>
          <w:b/>
        </w:rPr>
        <w:t>。</w:t>
      </w:r>
    </w:p>
    <w:p>
      <w:pPr>
        <w:autoSpaceDE w:val="0"/>
        <w:autoSpaceDN w:val="0"/>
        <w:adjustRightInd w:val="0"/>
        <w:snapToGrid w:val="0"/>
        <w:spacing w:line="360" w:lineRule="auto"/>
        <w:ind w:firstLine="470" w:firstLineChars="196"/>
        <w:rPr>
          <w:b/>
        </w:rPr>
      </w:pPr>
      <w:r>
        <w:rPr>
          <w:rFonts w:hint="eastAsia"/>
        </w:rPr>
        <w:t>2）确定有效报价：有效报价是指投标人投标报价低于招标控制价，高于或等于招标控制价的，视为无效报价。</w:t>
      </w:r>
    </w:p>
    <w:p>
      <w:pPr>
        <w:autoSpaceDE w:val="0"/>
        <w:autoSpaceDN w:val="0"/>
        <w:adjustRightInd w:val="0"/>
        <w:snapToGrid w:val="0"/>
        <w:spacing w:line="360" w:lineRule="auto"/>
        <w:ind w:firstLine="470" w:firstLineChars="196"/>
      </w:pPr>
      <w:r>
        <w:rPr>
          <w:rFonts w:hint="eastAsia"/>
        </w:rPr>
        <w:t>3）无效报价、被宣布为废标的投标报价均不参与评标基准价的计算。</w:t>
      </w:r>
    </w:p>
    <w:p>
      <w:pPr>
        <w:snapToGrid w:val="0"/>
        <w:spacing w:line="360" w:lineRule="auto"/>
        <w:ind w:firstLine="480" w:firstLineChars="200"/>
      </w:pPr>
      <w:r>
        <w:rPr>
          <w:rFonts w:hint="eastAsia"/>
        </w:rPr>
        <w:t>4）商务标组成：</w:t>
      </w:r>
    </w:p>
    <w:tbl>
      <w:tblPr>
        <w:tblStyle w:val="61"/>
        <w:tblW w:w="9061"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34"/>
        <w:gridCol w:w="172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9" w:hRule="atLeast"/>
        </w:trPr>
        <w:tc>
          <w:tcPr>
            <w:tcW w:w="1134" w:type="dxa"/>
            <w:vAlign w:val="center"/>
          </w:tcPr>
          <w:p>
            <w:pPr>
              <w:jc w:val="center"/>
              <w:rPr>
                <w:szCs w:val="24"/>
              </w:rPr>
            </w:pPr>
            <w:r>
              <w:rPr>
                <w:rFonts w:hint="eastAsia"/>
                <w:szCs w:val="24"/>
              </w:rPr>
              <w:t>投标报价</w:t>
            </w:r>
          </w:p>
          <w:p>
            <w:pPr>
              <w:jc w:val="center"/>
              <w:rPr>
                <w:szCs w:val="24"/>
              </w:rPr>
            </w:pPr>
            <w:r>
              <w:rPr>
                <w:rFonts w:hint="eastAsia"/>
                <w:szCs w:val="24"/>
              </w:rPr>
              <w:t>（20分）</w:t>
            </w:r>
          </w:p>
        </w:tc>
        <w:tc>
          <w:tcPr>
            <w:tcW w:w="7927" w:type="dxa"/>
            <w:gridSpan w:val="2"/>
            <w:vAlign w:val="center"/>
          </w:tcPr>
          <w:p>
            <w:r>
              <w:rPr>
                <w:rFonts w:hint="eastAsia"/>
              </w:rPr>
              <w:t>评标基准价确定：为统一计算标准，在各投标人的有效报价中，按“立体花卉550㎡×投标单价+平面摆花400㎡×投标单价+花球150㎡×投标单价+花镜60㎡×投标单价”计算报价，所有有效报价的算术平均值为评标基准价。</w:t>
            </w:r>
          </w:p>
          <w:p>
            <w:r>
              <w:rPr>
                <w:rFonts w:hint="eastAsia"/>
              </w:rPr>
              <w:t>注：计算投标报价得分</w:t>
            </w:r>
          </w:p>
          <w:p>
            <w:r>
              <w:rPr>
                <w:rFonts w:hint="eastAsia"/>
              </w:rPr>
              <w:t>①投标人的投标报价与评标基准价相等的得20分；</w:t>
            </w:r>
          </w:p>
          <w:p>
            <w:r>
              <w:rPr>
                <w:rFonts w:hint="eastAsia"/>
              </w:rPr>
              <w:t>②投标人的投标报价与评标基准价相比，每上浮1%扣0.9分，每下浮1%扣0.6分（不足1%时采用插入法），得分保留小数点后两位；</w:t>
            </w:r>
          </w:p>
          <w:p>
            <w:pPr>
              <w:pStyle w:val="60"/>
              <w:ind w:left="0" w:leftChars="0" w:firstLine="0" w:firstLineChars="0"/>
            </w:pPr>
            <w:r>
              <w:rPr>
                <w:rFonts w:hint="eastAsia" w:ascii="宋体" w:hAnsi="宋体" w:eastAsia="宋体" w:cs="宋体"/>
                <w:sz w:val="24"/>
              </w:rPr>
              <w:t>③评标委员会在评标报告签字后，评标基准价不因招投标当事人质疑、投诉、复议以及其他任何情形而改变，但评标过程中的计算错误可作调整。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3" w:hRule="atLeast"/>
        </w:trPr>
        <w:tc>
          <w:tcPr>
            <w:tcW w:w="1134" w:type="dxa"/>
            <w:vMerge w:val="restart"/>
            <w:vAlign w:val="center"/>
          </w:tcPr>
          <w:p>
            <w:pPr>
              <w:jc w:val="center"/>
              <w:rPr>
                <w:szCs w:val="24"/>
              </w:rPr>
            </w:pPr>
            <w:r>
              <w:rPr>
                <w:rFonts w:hint="eastAsia"/>
                <w:szCs w:val="24"/>
              </w:rPr>
              <w:t>企业及拟派项目施工负责人实力</w:t>
            </w:r>
          </w:p>
          <w:p>
            <w:pPr>
              <w:jc w:val="center"/>
              <w:rPr>
                <w:kern w:val="2"/>
                <w:szCs w:val="24"/>
              </w:rPr>
            </w:pPr>
            <w:r>
              <w:rPr>
                <w:rFonts w:hint="eastAsia"/>
                <w:szCs w:val="24"/>
              </w:rPr>
              <w:t>（6分）</w:t>
            </w:r>
          </w:p>
          <w:p>
            <w:pPr>
              <w:jc w:val="center"/>
              <w:rPr>
                <w:szCs w:val="24"/>
              </w:rPr>
            </w:pPr>
          </w:p>
        </w:tc>
        <w:tc>
          <w:tcPr>
            <w:tcW w:w="1726" w:type="dxa"/>
            <w:vAlign w:val="center"/>
          </w:tcPr>
          <w:p>
            <w:pPr>
              <w:jc w:val="center"/>
              <w:rPr>
                <w:szCs w:val="24"/>
              </w:rPr>
            </w:pPr>
            <w:r>
              <w:rPr>
                <w:rFonts w:hint="eastAsia"/>
                <w:szCs w:val="24"/>
              </w:rPr>
              <w:t>企业业绩</w:t>
            </w:r>
          </w:p>
          <w:p>
            <w:pPr>
              <w:jc w:val="center"/>
              <w:rPr>
                <w:kern w:val="2"/>
                <w:szCs w:val="24"/>
              </w:rPr>
            </w:pPr>
            <w:r>
              <w:rPr>
                <w:rFonts w:hint="eastAsia"/>
                <w:szCs w:val="24"/>
              </w:rPr>
              <w:t>（</w:t>
            </w:r>
            <w:r>
              <w:rPr>
                <w:rFonts w:hint="eastAsia"/>
                <w:szCs w:val="24"/>
                <w:lang w:val="en-US" w:eastAsia="zh-CN"/>
              </w:rPr>
              <w:t>4</w:t>
            </w:r>
            <w:r>
              <w:rPr>
                <w:rFonts w:hint="eastAsia"/>
                <w:szCs w:val="24"/>
              </w:rPr>
              <w:t>分）</w:t>
            </w:r>
          </w:p>
          <w:p>
            <w:pPr>
              <w:jc w:val="center"/>
              <w:rPr>
                <w:szCs w:val="24"/>
              </w:rPr>
            </w:pPr>
          </w:p>
        </w:tc>
        <w:tc>
          <w:tcPr>
            <w:tcW w:w="6201" w:type="dxa"/>
            <w:vAlign w:val="center"/>
          </w:tcPr>
          <w:p>
            <w:pPr>
              <w:rPr>
                <w:szCs w:val="24"/>
              </w:rPr>
            </w:pPr>
            <w:r>
              <w:rPr>
                <w:rFonts w:hint="eastAsia"/>
                <w:szCs w:val="24"/>
              </w:rPr>
              <w:t>自</w:t>
            </w:r>
            <w:r>
              <w:rPr>
                <w:rFonts w:hint="eastAsia"/>
                <w:szCs w:val="24"/>
                <w:highlight w:val="none"/>
              </w:rPr>
              <w:t>201</w:t>
            </w:r>
            <w:r>
              <w:rPr>
                <w:rFonts w:hint="eastAsia"/>
                <w:szCs w:val="24"/>
                <w:highlight w:val="none"/>
                <w:lang w:val="en-US" w:eastAsia="zh-CN"/>
              </w:rPr>
              <w:t>9</w:t>
            </w:r>
            <w:r>
              <w:rPr>
                <w:rFonts w:hint="eastAsia"/>
                <w:szCs w:val="24"/>
              </w:rPr>
              <w:t>年1月1日以来（以合同签订时间为准）企业具有工程造价在80万及以上立体花卉或节日环境布置工程施工业绩的，每有1个得1分，最多得</w:t>
            </w:r>
            <w:r>
              <w:rPr>
                <w:rFonts w:hint="eastAsia"/>
                <w:szCs w:val="24"/>
                <w:lang w:val="en-US" w:eastAsia="zh-CN"/>
              </w:rPr>
              <w:t>4</w:t>
            </w:r>
            <w:r>
              <w:rPr>
                <w:rFonts w:hint="eastAsia"/>
                <w:szCs w:val="24"/>
              </w:rPr>
              <w:t>分。</w:t>
            </w:r>
          </w:p>
          <w:p>
            <w:pPr>
              <w:rPr>
                <w:kern w:val="2"/>
                <w:szCs w:val="24"/>
              </w:rPr>
            </w:pPr>
            <w:r>
              <w:rPr>
                <w:rFonts w:hint="eastAsia"/>
                <w:szCs w:val="24"/>
              </w:rPr>
              <w:t>须提供施工合同，如施工合同不能充分工程造价、施工内容等要求，投标人须另行提供有效的证明材料（非投标人自行证明）。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0" w:hRule="atLeast"/>
        </w:trPr>
        <w:tc>
          <w:tcPr>
            <w:tcW w:w="1134" w:type="dxa"/>
            <w:vMerge w:val="continue"/>
            <w:vAlign w:val="center"/>
          </w:tcPr>
          <w:p>
            <w:pPr>
              <w:jc w:val="center"/>
              <w:rPr>
                <w:szCs w:val="24"/>
              </w:rPr>
            </w:pPr>
          </w:p>
        </w:tc>
        <w:tc>
          <w:tcPr>
            <w:tcW w:w="1726" w:type="dxa"/>
            <w:vAlign w:val="center"/>
          </w:tcPr>
          <w:p>
            <w:pPr>
              <w:jc w:val="center"/>
              <w:rPr>
                <w:szCs w:val="24"/>
              </w:rPr>
            </w:pPr>
            <w:r>
              <w:rPr>
                <w:rFonts w:hint="eastAsia"/>
                <w:szCs w:val="24"/>
              </w:rPr>
              <w:t>项目施工负责人职称</w:t>
            </w:r>
          </w:p>
          <w:p>
            <w:pPr>
              <w:jc w:val="center"/>
              <w:rPr>
                <w:kern w:val="2"/>
                <w:szCs w:val="24"/>
              </w:rPr>
            </w:pPr>
            <w:r>
              <w:rPr>
                <w:rFonts w:hint="eastAsia"/>
                <w:szCs w:val="24"/>
              </w:rPr>
              <w:t>（</w:t>
            </w:r>
            <w:r>
              <w:rPr>
                <w:rFonts w:hint="eastAsia"/>
                <w:szCs w:val="24"/>
                <w:lang w:val="en-US" w:eastAsia="zh-CN"/>
              </w:rPr>
              <w:t>2</w:t>
            </w:r>
            <w:r>
              <w:rPr>
                <w:rFonts w:hint="eastAsia"/>
                <w:szCs w:val="24"/>
              </w:rPr>
              <w:t>分）</w:t>
            </w:r>
          </w:p>
        </w:tc>
        <w:tc>
          <w:tcPr>
            <w:tcW w:w="6201" w:type="dxa"/>
            <w:vAlign w:val="center"/>
          </w:tcPr>
          <w:p>
            <w:pPr>
              <w:rPr>
                <w:szCs w:val="24"/>
              </w:rPr>
            </w:pPr>
            <w:r>
              <w:rPr>
                <w:rFonts w:hint="eastAsia"/>
                <w:szCs w:val="24"/>
              </w:rPr>
              <w:t>拟派施工项目负责人具有国家级园林绿化及相关专业高级职称的，得</w:t>
            </w:r>
            <w:r>
              <w:rPr>
                <w:rFonts w:hint="eastAsia"/>
                <w:szCs w:val="24"/>
                <w:lang w:val="en-US" w:eastAsia="zh-CN"/>
              </w:rPr>
              <w:t>2</w:t>
            </w:r>
            <w:r>
              <w:rPr>
                <w:rFonts w:hint="eastAsia"/>
                <w:szCs w:val="24"/>
              </w:rPr>
              <w:t>分。</w:t>
            </w:r>
          </w:p>
          <w:p>
            <w:pPr>
              <w:rPr>
                <w:kern w:val="2"/>
                <w:szCs w:val="24"/>
              </w:rPr>
            </w:pPr>
            <w:r>
              <w:rPr>
                <w:rFonts w:hint="eastAsia"/>
                <w:szCs w:val="24"/>
              </w:rPr>
              <w:t>须提供证书。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0" w:hRule="atLeast"/>
        </w:trPr>
        <w:tc>
          <w:tcPr>
            <w:tcW w:w="2860" w:type="dxa"/>
            <w:gridSpan w:val="2"/>
            <w:vAlign w:val="center"/>
          </w:tcPr>
          <w:p>
            <w:pPr>
              <w:jc w:val="center"/>
              <w:rPr>
                <w:szCs w:val="24"/>
              </w:rPr>
            </w:pPr>
            <w:r>
              <w:rPr>
                <w:rFonts w:hint="eastAsia"/>
                <w:szCs w:val="24"/>
              </w:rPr>
              <w:t>投标人市场信用评价评分标准</w:t>
            </w:r>
          </w:p>
          <w:p>
            <w:pPr>
              <w:jc w:val="center"/>
              <w:rPr>
                <w:kern w:val="2"/>
                <w:szCs w:val="24"/>
                <w:highlight w:val="yellow"/>
              </w:rPr>
            </w:pPr>
            <w:r>
              <w:rPr>
                <w:rFonts w:hint="eastAsia"/>
                <w:szCs w:val="24"/>
              </w:rPr>
              <w:t>（4分）</w:t>
            </w:r>
          </w:p>
        </w:tc>
        <w:tc>
          <w:tcPr>
            <w:tcW w:w="6201" w:type="dxa"/>
            <w:vAlign w:val="center"/>
          </w:tcPr>
          <w:p>
            <w:pPr>
              <w:pStyle w:val="444"/>
              <w:spacing w:before="59"/>
              <w:ind w:left="-1"/>
              <w:rPr>
                <w:rFonts w:ascii="宋体"/>
                <w:sz w:val="24"/>
                <w:szCs w:val="24"/>
                <w:highlight w:val="yellow"/>
              </w:rPr>
            </w:pPr>
            <w:r>
              <w:rPr>
                <w:rFonts w:hint="eastAsia" w:ascii="宋体"/>
                <w:sz w:val="24"/>
                <w:szCs w:val="24"/>
              </w:rPr>
              <w:t>投标人市场信用评价得分</w:t>
            </w:r>
            <w:r>
              <w:rPr>
                <w:rFonts w:hint="eastAsia" w:ascii="宋体"/>
                <w:sz w:val="24"/>
                <w:szCs w:val="24"/>
                <w:u w:val="single" w:color="000000"/>
              </w:rPr>
              <w:t>=南通市园林绿化企业信用得分×4%</w:t>
            </w:r>
            <w:r>
              <w:rPr>
                <w:rFonts w:hint="eastAsia" w:ascii="宋体"/>
                <w:sz w:val="24"/>
                <w:szCs w:val="24"/>
              </w:rPr>
              <w:t>（计算结果四舍五入，保留两位小数）。企业信用得分以南通市市政和园林局最新发布的施工企业信用评价为准（http://58.221.115.19:9080/jsntsite/xypj/sgpj）。如未曾参与信用评价，则得0分。</w:t>
            </w:r>
          </w:p>
        </w:tc>
      </w:tr>
    </w:tbl>
    <w:p>
      <w:pPr>
        <w:widowControl/>
        <w:snapToGrid w:val="0"/>
        <w:spacing w:line="360" w:lineRule="auto"/>
        <w:ind w:firstLine="480" w:firstLineChars="200"/>
        <w:jc w:val="left"/>
        <w:rPr>
          <w:color w:val="000000"/>
        </w:rPr>
      </w:pPr>
      <w:r>
        <w:rPr>
          <w:rFonts w:hint="eastAsia"/>
          <w:color w:val="000000"/>
        </w:rPr>
        <w:t xml:space="preserve"> 5）确定中标候选人及中标价：</w:t>
      </w:r>
    </w:p>
    <w:p>
      <w:pPr>
        <w:widowControl/>
        <w:snapToGrid w:val="0"/>
        <w:spacing w:line="360" w:lineRule="auto"/>
        <w:ind w:firstLine="482" w:firstLineChars="200"/>
        <w:jc w:val="left"/>
        <w:rPr>
          <w:color w:val="000000"/>
        </w:rPr>
      </w:pPr>
      <w:r>
        <w:rPr>
          <w:rFonts w:hint="eastAsia"/>
          <w:b/>
          <w:bCs/>
          <w:szCs w:val="24"/>
        </w:rPr>
        <w:t>投标人的总得分=技术得分+商务得分</w:t>
      </w:r>
    </w:p>
    <w:p>
      <w:pPr>
        <w:widowControl/>
        <w:snapToGrid w:val="0"/>
        <w:spacing w:line="360" w:lineRule="auto"/>
        <w:ind w:firstLine="480" w:firstLineChars="200"/>
        <w:jc w:val="left"/>
        <w:rPr>
          <w:color w:val="000000"/>
        </w:rPr>
      </w:pPr>
      <w:r>
        <w:rPr>
          <w:rFonts w:hint="eastAsia"/>
          <w:color w:val="000000"/>
        </w:rPr>
        <w:t>评标委员会</w:t>
      </w:r>
      <w:r>
        <w:rPr>
          <w:rFonts w:hint="eastAsia"/>
          <w:szCs w:val="24"/>
        </w:rPr>
        <w:t>对各投标人的技术标、商务标等内容进行综合评审和评分，</w:t>
      </w:r>
      <w:r>
        <w:rPr>
          <w:rFonts w:hint="eastAsia"/>
          <w:color w:val="000000"/>
        </w:rPr>
        <w:t>按总得分从高到低的顺序确定前三名中标候选人，中标价为其投标报价。若总得分相同时，则按下列办法确定：</w:t>
      </w:r>
    </w:p>
    <w:p>
      <w:pPr>
        <w:widowControl/>
        <w:snapToGrid w:val="0"/>
        <w:spacing w:line="360" w:lineRule="auto"/>
        <w:ind w:firstLine="480" w:firstLineChars="200"/>
        <w:jc w:val="left"/>
        <w:rPr>
          <w:color w:val="000000"/>
        </w:rPr>
      </w:pPr>
      <w:r>
        <w:rPr>
          <w:rFonts w:hint="eastAsia"/>
          <w:color w:val="000000"/>
        </w:rPr>
        <w:t>①若总得分相同，则投标报价低者优先中标；</w:t>
      </w:r>
    </w:p>
    <w:p>
      <w:pPr>
        <w:widowControl/>
        <w:snapToGrid w:val="0"/>
        <w:spacing w:line="360" w:lineRule="auto"/>
        <w:ind w:firstLine="480" w:firstLineChars="200"/>
        <w:jc w:val="left"/>
        <w:rPr>
          <w:rFonts w:hint="eastAsia"/>
          <w:color w:val="000000"/>
        </w:rPr>
      </w:pPr>
      <w:r>
        <w:rPr>
          <w:rFonts w:hint="eastAsia"/>
          <w:color w:val="000000"/>
        </w:rPr>
        <w:t>②若总得分、投标报价均相同，则由招标人按照现场抽签（递交投标文件签到顺序为抽签顺序号）的方式确定最终的中标候选人。</w:t>
      </w:r>
    </w:p>
    <w:p>
      <w:pPr>
        <w:widowControl/>
        <w:snapToGrid w:val="0"/>
        <w:spacing w:line="360" w:lineRule="auto"/>
        <w:ind w:firstLine="482" w:firstLineChars="200"/>
        <w:jc w:val="left"/>
        <w:rPr>
          <w:b/>
          <w:color w:val="000000"/>
        </w:rPr>
      </w:pPr>
      <w:r>
        <w:rPr>
          <w:rFonts w:hint="eastAsia"/>
          <w:b/>
          <w:color w:val="000000"/>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snapToGrid w:val="0"/>
        <w:spacing w:line="360" w:lineRule="auto"/>
        <w:ind w:firstLine="569" w:firstLineChars="236"/>
        <w:rPr>
          <w:b/>
          <w:color w:val="000000"/>
        </w:rPr>
      </w:pPr>
      <w:r>
        <w:rPr>
          <w:rFonts w:hint="eastAsia"/>
          <w:b/>
          <w:color w:val="000000"/>
        </w:rPr>
        <w:t>评标过程中出现本评标办法未尽事宜，由评标委员会根据有关法律、法规讨论决定。</w:t>
      </w:r>
    </w:p>
    <w:bookmarkEnd w:id="26"/>
    <w:p>
      <w:pPr>
        <w:tabs>
          <w:tab w:val="left" w:pos="0"/>
        </w:tabs>
        <w:spacing w:line="540" w:lineRule="exact"/>
        <w:ind w:right="-36" w:firstLine="649" w:firstLineChars="202"/>
        <w:jc w:val="center"/>
        <w:rPr>
          <w:rFonts w:eastAsia="黑体"/>
          <w:b/>
          <w:bCs/>
          <w:kern w:val="44"/>
          <w:sz w:val="32"/>
          <w:szCs w:val="44"/>
          <w:highlight w:val="none"/>
        </w:rPr>
      </w:pPr>
      <w:bookmarkStart w:id="34" w:name="_Toc13841485"/>
      <w:bookmarkStart w:id="35" w:name="_Toc358569763"/>
      <w:bookmarkStart w:id="36" w:name="_Toc536214666"/>
      <w:r>
        <w:rPr>
          <w:rFonts w:eastAsia="黑体"/>
          <w:b/>
          <w:bCs/>
          <w:kern w:val="44"/>
          <w:sz w:val="32"/>
          <w:szCs w:val="44"/>
        </w:rPr>
        <w:br w:type="page"/>
      </w:r>
      <w:r>
        <w:rPr>
          <w:rFonts w:eastAsia="黑体"/>
          <w:b/>
          <w:bCs/>
          <w:kern w:val="44"/>
          <w:sz w:val="32"/>
          <w:szCs w:val="44"/>
          <w:highlight w:val="none"/>
        </w:rPr>
        <w:t>第</w:t>
      </w:r>
      <w:r>
        <w:rPr>
          <w:rFonts w:hint="eastAsia" w:eastAsia="黑体"/>
          <w:b/>
          <w:bCs/>
          <w:kern w:val="44"/>
          <w:sz w:val="32"/>
          <w:szCs w:val="44"/>
          <w:highlight w:val="none"/>
        </w:rPr>
        <w:t>三</w:t>
      </w:r>
      <w:r>
        <w:rPr>
          <w:rFonts w:eastAsia="黑体"/>
          <w:b/>
          <w:bCs/>
          <w:kern w:val="44"/>
          <w:sz w:val="32"/>
          <w:szCs w:val="44"/>
          <w:highlight w:val="none"/>
        </w:rPr>
        <w:t>章  合同条款及格式</w:t>
      </w:r>
    </w:p>
    <w:p>
      <w:pPr>
        <w:jc w:val="center"/>
        <w:rPr>
          <w:b/>
          <w:bCs/>
          <w:sz w:val="30"/>
          <w:szCs w:val="30"/>
        </w:rPr>
      </w:pPr>
    </w:p>
    <w:p>
      <w:pPr>
        <w:jc w:val="center"/>
        <w:rPr>
          <w:b/>
          <w:bCs/>
          <w:sz w:val="30"/>
          <w:szCs w:val="30"/>
        </w:rPr>
      </w:pPr>
      <w:r>
        <w:rPr>
          <w:rFonts w:hint="eastAsia"/>
          <w:b/>
          <w:bCs/>
          <w:sz w:val="30"/>
          <w:szCs w:val="30"/>
        </w:rPr>
        <w:t>GF-2011-0216</w:t>
      </w:r>
    </w:p>
    <w:p>
      <w:pPr>
        <w:jc w:val="center"/>
        <w:rPr>
          <w:b/>
          <w:bCs/>
          <w:sz w:val="48"/>
        </w:rPr>
      </w:pPr>
    </w:p>
    <w:p>
      <w:pPr>
        <w:jc w:val="center"/>
        <w:rPr>
          <w:b/>
          <w:bCs/>
          <w:sz w:val="48"/>
        </w:rPr>
      </w:pPr>
    </w:p>
    <w:p>
      <w:pPr>
        <w:jc w:val="center"/>
        <w:rPr>
          <w:b/>
          <w:bCs/>
          <w:sz w:val="48"/>
        </w:rPr>
      </w:pPr>
    </w:p>
    <w:p>
      <w:pPr>
        <w:jc w:val="center"/>
        <w:rPr>
          <w:b/>
          <w:bCs/>
          <w:sz w:val="48"/>
        </w:rPr>
      </w:pPr>
    </w:p>
    <w:p>
      <w:pPr>
        <w:jc w:val="center"/>
        <w:rPr>
          <w:b/>
          <w:bCs/>
          <w:sz w:val="48"/>
        </w:rPr>
      </w:pPr>
    </w:p>
    <w:p>
      <w:pPr>
        <w:jc w:val="center"/>
        <w:rPr>
          <w:b/>
          <w:bCs/>
          <w:sz w:val="48"/>
          <w:szCs w:val="48"/>
        </w:rPr>
      </w:pPr>
      <w:r>
        <w:rPr>
          <w:rFonts w:hint="eastAsia"/>
          <w:b/>
          <w:bCs/>
          <w:sz w:val="48"/>
        </w:rPr>
        <w:t>建设项目工程总承包合同</w:t>
      </w:r>
      <w:r>
        <w:rPr>
          <w:rFonts w:hint="eastAsia"/>
          <w:b/>
          <w:bCs/>
          <w:sz w:val="48"/>
          <w:szCs w:val="48"/>
        </w:rPr>
        <w:t>示范文本</w:t>
      </w:r>
    </w:p>
    <w:p>
      <w:pPr>
        <w:jc w:val="center"/>
        <w:rPr>
          <w:b/>
          <w:bCs/>
          <w:sz w:val="28"/>
        </w:rPr>
      </w:pPr>
    </w:p>
    <w:p>
      <w:pPr>
        <w:jc w:val="center"/>
        <w:rPr>
          <w:bCs/>
          <w:sz w:val="28"/>
        </w:rPr>
      </w:pPr>
    </w:p>
    <w:p>
      <w:pPr>
        <w:jc w:val="center"/>
        <w:rPr>
          <w:bCs/>
          <w:sz w:val="28"/>
        </w:rPr>
      </w:pPr>
    </w:p>
    <w:p>
      <w:pPr>
        <w:jc w:val="center"/>
        <w:rPr>
          <w:sz w:val="28"/>
          <w:szCs w:val="28"/>
        </w:rPr>
      </w:pPr>
    </w:p>
    <w:p>
      <w:pPr>
        <w:pStyle w:val="6"/>
        <w:rPr>
          <w:rFonts w:ascii="宋体" w:hAnsi="宋体" w:cs="宋体"/>
          <w:kern w:val="0"/>
          <w:sz w:val="28"/>
        </w:rPr>
      </w:pPr>
    </w:p>
    <w:p/>
    <w:p>
      <w:pPr>
        <w:jc w:val="center"/>
        <w:rPr>
          <w:sz w:val="28"/>
          <w:szCs w:val="28"/>
        </w:rPr>
      </w:pPr>
    </w:p>
    <w:p>
      <w:pPr>
        <w:jc w:val="center"/>
        <w:rPr>
          <w:sz w:val="28"/>
          <w:szCs w:val="28"/>
        </w:rPr>
      </w:pPr>
    </w:p>
    <w:p>
      <w:pPr>
        <w:spacing w:line="320" w:lineRule="exact"/>
        <w:jc w:val="center"/>
        <w:rPr>
          <w:sz w:val="28"/>
          <w:szCs w:val="28"/>
        </w:rPr>
      </w:pPr>
      <w:r>
        <w:rPr>
          <w:rFonts w:hint="eastAsia"/>
          <w:sz w:val="28"/>
          <w:szCs w:val="28"/>
        </w:rPr>
        <w:t>住房和城乡建设部</w:t>
      </w:r>
    </w:p>
    <w:p>
      <w:pPr>
        <w:spacing w:line="320" w:lineRule="exact"/>
        <w:ind w:left="4200" w:firstLine="420"/>
        <w:jc w:val="center"/>
        <w:rPr>
          <w:sz w:val="28"/>
          <w:szCs w:val="28"/>
        </w:rPr>
      </w:pPr>
      <w:r>
        <w:rPr>
          <w:rFonts w:hint="eastAsia"/>
          <w:sz w:val="28"/>
          <w:szCs w:val="28"/>
        </w:rPr>
        <w:t>制定</w:t>
      </w:r>
    </w:p>
    <w:p>
      <w:pPr>
        <w:spacing w:line="320" w:lineRule="exact"/>
        <w:jc w:val="center"/>
        <w:rPr>
          <w:sz w:val="28"/>
          <w:szCs w:val="28"/>
        </w:rPr>
      </w:pPr>
      <w:r>
        <w:rPr>
          <w:rFonts w:hint="eastAsia"/>
          <w:sz w:val="28"/>
          <w:szCs w:val="28"/>
        </w:rPr>
        <w:t>国家工商行政管理总局</w:t>
      </w:r>
    </w:p>
    <w:p>
      <w:pPr>
        <w:spacing w:beforeLines="100" w:afterLines="200"/>
        <w:jc w:val="center"/>
        <w:rPr>
          <w:sz w:val="44"/>
          <w:szCs w:val="44"/>
        </w:rPr>
      </w:pPr>
      <w:r>
        <w:rPr>
          <w:rFonts w:ascii="黑体" w:eastAsia="黑体"/>
          <w:b/>
          <w:sz w:val="44"/>
          <w:szCs w:val="44"/>
        </w:rPr>
        <w:br w:type="page"/>
      </w:r>
      <w:r>
        <w:rPr>
          <w:rFonts w:hint="eastAsia" w:ascii="华文中宋" w:hAnsi="华文中宋" w:eastAsia="华文中宋"/>
          <w:sz w:val="32"/>
          <w:szCs w:val="44"/>
        </w:rPr>
        <w:t>第一部分 合同协议书</w:t>
      </w:r>
    </w:p>
    <w:p>
      <w:pPr>
        <w:spacing w:line="360" w:lineRule="auto"/>
        <w:ind w:firstLine="480" w:firstLineChars="200"/>
        <w:rPr>
          <w:szCs w:val="21"/>
          <w:u w:val="single"/>
        </w:rPr>
      </w:pPr>
      <w:r>
        <w:rPr>
          <w:rFonts w:hint="eastAsia"/>
          <w:szCs w:val="21"/>
        </w:rPr>
        <w:t>发包人（全称）：</w:t>
      </w:r>
      <w:r>
        <w:rPr>
          <w:rFonts w:hint="eastAsia"/>
          <w:szCs w:val="21"/>
          <w:u w:val="single"/>
        </w:rPr>
        <w:t>南通市濠河景区管理办公室</w:t>
      </w:r>
    </w:p>
    <w:p>
      <w:pPr>
        <w:spacing w:line="360" w:lineRule="auto"/>
        <w:ind w:firstLine="480" w:firstLineChars="200"/>
        <w:contextualSpacing/>
        <w:rPr>
          <w:szCs w:val="21"/>
          <w:u w:val="single"/>
        </w:rPr>
      </w:pPr>
      <w:r>
        <w:rPr>
          <w:rFonts w:hint="eastAsia"/>
          <w:szCs w:val="21"/>
        </w:rPr>
        <w:t>承包人（全称）：</w:t>
      </w:r>
      <w:r>
        <w:rPr>
          <w:rFonts w:hint="eastAsia"/>
          <w:szCs w:val="21"/>
          <w:u w:val="single"/>
        </w:rPr>
        <w:t xml:space="preserve">                          </w:t>
      </w:r>
    </w:p>
    <w:p>
      <w:pPr>
        <w:spacing w:line="360" w:lineRule="auto"/>
        <w:ind w:firstLine="480" w:firstLineChars="200"/>
        <w:rPr>
          <w:szCs w:val="21"/>
        </w:rPr>
      </w:pPr>
      <w:r>
        <w:rPr>
          <w:rFonts w:hint="eastAsia"/>
          <w:szCs w:val="21"/>
        </w:rPr>
        <w:t>依照《中华人民共和国合同法》、《中华人民共和国建筑法》、《中华人民共和国招标投标法》及相关法律、行政法规，遵循平等、自愿、公平和诚信原则，合同双方就</w:t>
      </w:r>
      <w:r>
        <w:rPr>
          <w:rFonts w:hint="eastAsia"/>
          <w:szCs w:val="21"/>
          <w:u w:val="single"/>
        </w:rPr>
        <w:t xml:space="preserve"> 202</w:t>
      </w:r>
      <w:r>
        <w:rPr>
          <w:rFonts w:hint="eastAsia"/>
          <w:szCs w:val="21"/>
          <w:u w:val="single"/>
          <w:lang w:val="en-US" w:eastAsia="zh-CN"/>
        </w:rPr>
        <w:t>3</w:t>
      </w:r>
      <w:r>
        <w:rPr>
          <w:rFonts w:hint="eastAsia"/>
          <w:szCs w:val="21"/>
          <w:u w:val="single"/>
        </w:rPr>
        <w:t xml:space="preserve">年度濠河景区十一立体花卉布置工程设计、施工总承包项目 </w:t>
      </w:r>
      <w:r>
        <w:rPr>
          <w:rFonts w:hint="eastAsia"/>
          <w:szCs w:val="21"/>
        </w:rPr>
        <w:t>事宜经协商一致，订立本合同。</w:t>
      </w:r>
    </w:p>
    <w:p>
      <w:pPr>
        <w:snapToGrid w:val="0"/>
        <w:spacing w:line="360" w:lineRule="auto"/>
        <w:ind w:left="482"/>
        <w:rPr>
          <w:szCs w:val="21"/>
        </w:rPr>
      </w:pPr>
    </w:p>
    <w:p>
      <w:pPr>
        <w:snapToGrid w:val="0"/>
        <w:spacing w:line="360" w:lineRule="auto"/>
        <w:ind w:left="482"/>
        <w:rPr>
          <w:szCs w:val="21"/>
          <w:u w:val="single"/>
        </w:rPr>
      </w:pPr>
      <w:r>
        <w:rPr>
          <w:rFonts w:hint="eastAsia"/>
          <w:szCs w:val="21"/>
        </w:rPr>
        <w:t>一、工程概况</w:t>
      </w:r>
    </w:p>
    <w:p>
      <w:pPr>
        <w:snapToGrid w:val="0"/>
        <w:spacing w:line="360" w:lineRule="auto"/>
        <w:ind w:firstLine="480" w:firstLineChars="200"/>
        <w:rPr>
          <w:szCs w:val="21"/>
          <w:u w:val="single"/>
        </w:rPr>
      </w:pPr>
      <w:r>
        <w:rPr>
          <w:rFonts w:hint="eastAsia"/>
          <w:szCs w:val="21"/>
        </w:rPr>
        <w:t>工程名称：</w:t>
      </w:r>
      <w:r>
        <w:rPr>
          <w:rFonts w:hint="eastAsia"/>
          <w:szCs w:val="21"/>
          <w:u w:val="single"/>
        </w:rPr>
        <w:t xml:space="preserve"> 202</w:t>
      </w:r>
      <w:r>
        <w:rPr>
          <w:rFonts w:hint="eastAsia"/>
          <w:szCs w:val="21"/>
          <w:u w:val="single"/>
          <w:lang w:val="en-US" w:eastAsia="zh-CN"/>
        </w:rPr>
        <w:t>3</w:t>
      </w:r>
      <w:r>
        <w:rPr>
          <w:rFonts w:hint="eastAsia"/>
          <w:szCs w:val="21"/>
          <w:u w:val="single"/>
        </w:rPr>
        <w:t>年度濠河景区十一立体花卉布置工程设计、施工总承包项目</w:t>
      </w:r>
    </w:p>
    <w:p>
      <w:pPr>
        <w:snapToGrid w:val="0"/>
        <w:spacing w:line="360" w:lineRule="auto"/>
        <w:ind w:firstLine="480" w:firstLineChars="200"/>
        <w:rPr>
          <w:szCs w:val="21"/>
        </w:rPr>
      </w:pPr>
      <w:r>
        <w:rPr>
          <w:rFonts w:hint="eastAsia"/>
          <w:szCs w:val="21"/>
        </w:rPr>
        <w:t>工程批准、核准或备案文号：</w:t>
      </w:r>
      <w:r>
        <w:rPr>
          <w:rFonts w:hint="eastAsia"/>
          <w:szCs w:val="21"/>
          <w:u w:val="single"/>
        </w:rPr>
        <w:t xml:space="preserve">     /      </w:t>
      </w:r>
      <w:r>
        <w:rPr>
          <w:rFonts w:hint="eastAsia"/>
          <w:szCs w:val="21"/>
        </w:rPr>
        <w:t xml:space="preserve"> </w:t>
      </w:r>
    </w:p>
    <w:p>
      <w:pPr>
        <w:snapToGrid w:val="0"/>
        <w:spacing w:line="360" w:lineRule="auto"/>
        <w:ind w:firstLine="480" w:firstLineChars="200"/>
        <w:rPr>
          <w:szCs w:val="21"/>
          <w:u w:val="single"/>
        </w:rPr>
      </w:pPr>
      <w:r>
        <w:rPr>
          <w:rFonts w:hint="eastAsia"/>
          <w:szCs w:val="21"/>
        </w:rPr>
        <w:t>工程内容及规模</w:t>
      </w:r>
      <w:r>
        <w:rPr>
          <w:rFonts w:hint="eastAsia"/>
          <w:szCs w:val="21"/>
          <w:u w:val="single"/>
        </w:rPr>
        <w:t>：</w:t>
      </w:r>
      <w:r>
        <w:rPr>
          <w:rFonts w:hint="eastAsia"/>
          <w:szCs w:val="21"/>
          <w:highlight w:val="none"/>
          <w:u w:val="single"/>
        </w:rPr>
        <w:t xml:space="preserve">主要包括立体花卉约550㎡；平面摆花约400㎡，摆花密度达到140株/平方；花球约150㎡；花镜约60㎡；小品、栅栏、绢花等配饰物及夜间亮化设施。其中，环西广场暂定为市菊花展点位，摆花密度根据菊花实际尺寸确定，各类艺菊、单盆精品菊花作为配饰物自行考虑。 </w:t>
      </w:r>
    </w:p>
    <w:p>
      <w:pPr>
        <w:snapToGrid w:val="0"/>
        <w:spacing w:line="360" w:lineRule="auto"/>
        <w:ind w:firstLine="480" w:firstLineChars="200"/>
        <w:rPr>
          <w:szCs w:val="21"/>
          <w:u w:val="single"/>
        </w:rPr>
      </w:pPr>
      <w:r>
        <w:rPr>
          <w:rFonts w:hint="eastAsia"/>
          <w:szCs w:val="21"/>
        </w:rPr>
        <w:t>工程所在省市详细地址：</w:t>
      </w:r>
      <w:r>
        <w:rPr>
          <w:rFonts w:hint="eastAsia"/>
          <w:szCs w:val="21"/>
          <w:u w:val="single"/>
        </w:rPr>
        <w:t xml:space="preserve"> 南通市崇川区。</w:t>
      </w:r>
    </w:p>
    <w:p>
      <w:pPr>
        <w:snapToGrid w:val="0"/>
        <w:spacing w:line="360" w:lineRule="auto"/>
        <w:ind w:firstLine="480" w:firstLineChars="200"/>
        <w:rPr>
          <w:szCs w:val="21"/>
          <w:u w:val="single"/>
        </w:rPr>
      </w:pPr>
      <w:r>
        <w:rPr>
          <w:rFonts w:hint="eastAsia"/>
          <w:szCs w:val="21"/>
        </w:rPr>
        <w:t>主要实施内容:</w:t>
      </w:r>
      <w:r>
        <w:rPr>
          <w:rFonts w:hint="eastAsia"/>
          <w:szCs w:val="21"/>
          <w:u w:val="single"/>
        </w:rPr>
        <w:t xml:space="preserve"> 招标文件所示的全部内容，包括设计阶段：方案设计、方案优化、平面图、效果图、材料详细说明、尺寸标注、结构设计、亮化设计；施工阶段：包括但不限于立体花卉布置、成品保护及巡视管理、草花养护、到期后拆除撤场及草坪恢复等发包人要求的所有工作。</w:t>
      </w:r>
    </w:p>
    <w:p>
      <w:pPr>
        <w:snapToGrid w:val="0"/>
        <w:spacing w:line="360" w:lineRule="auto"/>
        <w:ind w:firstLine="480" w:firstLineChars="200"/>
        <w:rPr>
          <w:szCs w:val="21"/>
        </w:rPr>
      </w:pPr>
      <w:r>
        <w:rPr>
          <w:rFonts w:hint="eastAsia"/>
          <w:szCs w:val="21"/>
        </w:rPr>
        <w:t>工程承包范围：</w:t>
      </w:r>
      <w:r>
        <w:rPr>
          <w:rFonts w:hint="eastAsia"/>
          <w:szCs w:val="21"/>
          <w:u w:val="single"/>
        </w:rPr>
        <w:t>同主要实施内容。</w:t>
      </w:r>
    </w:p>
    <w:p>
      <w:pPr>
        <w:snapToGrid w:val="0"/>
        <w:spacing w:line="360" w:lineRule="auto"/>
        <w:ind w:firstLine="480" w:firstLineChars="200"/>
        <w:rPr>
          <w:szCs w:val="21"/>
        </w:rPr>
      </w:pPr>
      <w:r>
        <w:rPr>
          <w:rFonts w:hint="eastAsia"/>
          <w:szCs w:val="21"/>
        </w:rPr>
        <w:t>二、工程主要生产技术</w:t>
      </w:r>
      <w:r>
        <w:rPr>
          <w:szCs w:val="21"/>
        </w:rPr>
        <w:t>（</w:t>
      </w:r>
      <w:r>
        <w:rPr>
          <w:rFonts w:hint="eastAsia"/>
          <w:szCs w:val="21"/>
        </w:rPr>
        <w:t>或建筑设计方案）来源：/</w:t>
      </w:r>
    </w:p>
    <w:p>
      <w:pPr>
        <w:snapToGrid w:val="0"/>
        <w:spacing w:line="360" w:lineRule="auto"/>
        <w:ind w:left="482"/>
        <w:rPr>
          <w:szCs w:val="21"/>
        </w:rPr>
      </w:pPr>
      <w:r>
        <w:rPr>
          <w:rFonts w:hint="eastAsia"/>
          <w:szCs w:val="21"/>
        </w:rPr>
        <w:t xml:space="preserve">三、主要日期 </w:t>
      </w:r>
    </w:p>
    <w:p>
      <w:pPr>
        <w:snapToGrid w:val="0"/>
        <w:spacing w:line="360" w:lineRule="auto"/>
        <w:ind w:firstLine="459"/>
        <w:rPr>
          <w:szCs w:val="21"/>
        </w:rPr>
      </w:pPr>
      <w:r>
        <w:rPr>
          <w:rFonts w:hint="eastAsia"/>
          <w:szCs w:val="21"/>
        </w:rPr>
        <w:t>工期总日历天数：</w:t>
      </w:r>
      <w:r>
        <w:rPr>
          <w:rFonts w:hint="eastAsia"/>
          <w:szCs w:val="21"/>
          <w:u w:val="single"/>
        </w:rPr>
        <w:t xml:space="preserve"> </w:t>
      </w:r>
      <w:r>
        <w:rPr>
          <w:rFonts w:hint="eastAsia"/>
          <w:u w:val="single"/>
        </w:rPr>
        <w:t xml:space="preserve">60 </w:t>
      </w:r>
      <w:r>
        <w:rPr>
          <w:rFonts w:hint="eastAsia"/>
        </w:rPr>
        <w:t>日历天，</w:t>
      </w:r>
      <w:r>
        <w:rPr>
          <w:rFonts w:hint="eastAsia"/>
          <w:u w:val="single"/>
        </w:rPr>
        <w:t>设计方案调整、优化时间、施工图设计时间为7个日历天，施工期为53个日历天。施工计划开工日期：</w:t>
      </w:r>
      <w:r>
        <w:rPr>
          <w:rFonts w:hint="eastAsia"/>
          <w:highlight w:val="none"/>
          <w:u w:val="single"/>
        </w:rPr>
        <w:t>202</w:t>
      </w:r>
      <w:r>
        <w:rPr>
          <w:rFonts w:hint="eastAsia"/>
          <w:highlight w:val="none"/>
          <w:u w:val="single"/>
          <w:lang w:val="en-US" w:eastAsia="zh-CN"/>
        </w:rPr>
        <w:t>3</w:t>
      </w:r>
      <w:r>
        <w:rPr>
          <w:rFonts w:hint="eastAsia"/>
          <w:highlight w:val="none"/>
          <w:u w:val="single"/>
        </w:rPr>
        <w:t>年8月4日，竣工日期：202</w:t>
      </w:r>
      <w:r>
        <w:rPr>
          <w:rFonts w:hint="eastAsia"/>
          <w:highlight w:val="none"/>
          <w:u w:val="single"/>
          <w:lang w:val="en-US" w:eastAsia="zh-CN"/>
        </w:rPr>
        <w:t>3</w:t>
      </w:r>
      <w:r>
        <w:rPr>
          <w:rFonts w:hint="eastAsia"/>
          <w:highlight w:val="none"/>
          <w:u w:val="single"/>
        </w:rPr>
        <w:t>年9月25日。</w:t>
      </w:r>
      <w:r>
        <w:rPr>
          <w:rFonts w:hint="eastAsia"/>
          <w:szCs w:val="30"/>
          <w:highlight w:val="none"/>
          <w:u w:val="single"/>
        </w:rPr>
        <w:t>预计202</w:t>
      </w:r>
      <w:r>
        <w:rPr>
          <w:rFonts w:hint="eastAsia"/>
          <w:szCs w:val="30"/>
          <w:highlight w:val="none"/>
          <w:u w:val="single"/>
          <w:lang w:val="en-US" w:eastAsia="zh-CN"/>
        </w:rPr>
        <w:t>3</w:t>
      </w:r>
      <w:r>
        <w:rPr>
          <w:rFonts w:hint="eastAsia"/>
          <w:szCs w:val="30"/>
          <w:highlight w:val="none"/>
          <w:u w:val="single"/>
        </w:rPr>
        <w:t>年10月底撤除立体花卉、平面草花</w:t>
      </w:r>
      <w:r>
        <w:rPr>
          <w:rFonts w:hint="eastAsia"/>
          <w:szCs w:val="30"/>
          <w:u w:val="single"/>
        </w:rPr>
        <w:t>，视实际情况发包人可要求适当延期拆除，拆除后三日内完成草坪及场地恢复，并须得到发包人确认（濠北路游客中心点位需配合市菊花展，相应工期根据发包人要求，维护期不变）。竣工后至接到撤除通知期间的维护费（含草花更换）均包含在合同价中，如因上级部门要求，需延迟撤除的，超期两周内所需的维护费（含草花更换）不予另行签证支付，已包含在合同价中。</w:t>
      </w:r>
    </w:p>
    <w:p>
      <w:pPr>
        <w:snapToGrid w:val="0"/>
        <w:spacing w:line="360" w:lineRule="auto"/>
        <w:ind w:firstLine="459"/>
        <w:rPr>
          <w:b/>
          <w:bCs/>
          <w:color w:val="auto"/>
          <w:szCs w:val="21"/>
          <w:u w:val="single"/>
        </w:rPr>
      </w:pPr>
      <w:r>
        <w:rPr>
          <w:rFonts w:hint="eastAsia"/>
          <w:b/>
          <w:bCs/>
          <w:szCs w:val="21"/>
          <w:u w:val="single"/>
        </w:rPr>
        <w:t>中标后须根据</w:t>
      </w:r>
      <w:r>
        <w:rPr>
          <w:rFonts w:hint="eastAsia"/>
          <w:b/>
          <w:bCs/>
          <w:szCs w:val="30"/>
          <w:u w:val="single"/>
        </w:rPr>
        <w:t>发包人</w:t>
      </w:r>
      <w:r>
        <w:rPr>
          <w:rFonts w:hint="eastAsia"/>
          <w:b/>
          <w:bCs/>
          <w:szCs w:val="21"/>
          <w:u w:val="single"/>
        </w:rPr>
        <w:t>及主管部门要求对方案进行调整优化</w:t>
      </w:r>
      <w:r>
        <w:rPr>
          <w:rFonts w:hint="eastAsia"/>
          <w:b/>
          <w:bCs/>
          <w:szCs w:val="21"/>
          <w:u w:val="single"/>
          <w:lang w:eastAsia="zh-CN"/>
        </w:rPr>
        <w:t>，</w:t>
      </w:r>
      <w:r>
        <w:rPr>
          <w:rFonts w:hint="eastAsia"/>
          <w:b/>
          <w:bCs/>
          <w:szCs w:val="21"/>
          <w:u w:val="single"/>
        </w:rPr>
        <w:t>直至通过方案认定；</w:t>
      </w:r>
      <w:r>
        <w:rPr>
          <w:rFonts w:hint="eastAsia"/>
          <w:b/>
          <w:bCs/>
          <w:color w:val="auto"/>
          <w:szCs w:val="21"/>
          <w:u w:val="single"/>
          <w:lang w:eastAsia="zh-CN"/>
        </w:rPr>
        <w:t>施工图</w:t>
      </w:r>
      <w:r>
        <w:rPr>
          <w:rFonts w:hint="eastAsia"/>
          <w:b/>
          <w:bCs/>
          <w:color w:val="auto"/>
          <w:szCs w:val="21"/>
          <w:u w:val="single"/>
        </w:rPr>
        <w:t>必须委托具有</w:t>
      </w:r>
      <w:r>
        <w:rPr>
          <w:rFonts w:hint="eastAsia"/>
          <w:b/>
          <w:bCs/>
          <w:color w:val="auto"/>
          <w:szCs w:val="21"/>
          <w:u w:val="single"/>
          <w:lang w:eastAsia="zh-CN"/>
        </w:rPr>
        <w:t>相应设计</w:t>
      </w:r>
      <w:r>
        <w:rPr>
          <w:rFonts w:hint="eastAsia"/>
          <w:b/>
          <w:bCs/>
          <w:color w:val="auto"/>
          <w:szCs w:val="21"/>
          <w:u w:val="single"/>
        </w:rPr>
        <w:t>资质的单位设计</w:t>
      </w:r>
      <w:r>
        <w:rPr>
          <w:rFonts w:hint="eastAsia"/>
          <w:b/>
          <w:bCs/>
          <w:color w:val="auto"/>
          <w:szCs w:val="21"/>
          <w:u w:val="single"/>
          <w:lang w:eastAsia="zh-CN"/>
        </w:rPr>
        <w:t>并出图，</w:t>
      </w:r>
      <w:r>
        <w:rPr>
          <w:rFonts w:hint="eastAsia"/>
          <w:b/>
          <w:bCs/>
          <w:color w:val="auto"/>
          <w:szCs w:val="21"/>
          <w:u w:val="single"/>
        </w:rPr>
        <w:t>否则</w:t>
      </w:r>
      <w:r>
        <w:rPr>
          <w:rFonts w:hint="eastAsia"/>
          <w:b/>
          <w:bCs/>
          <w:color w:val="auto"/>
          <w:szCs w:val="30"/>
          <w:u w:val="single"/>
        </w:rPr>
        <w:t>发包人</w:t>
      </w:r>
      <w:r>
        <w:rPr>
          <w:rFonts w:hint="eastAsia"/>
          <w:b/>
          <w:bCs/>
          <w:color w:val="auto"/>
          <w:szCs w:val="21"/>
          <w:u w:val="single"/>
        </w:rPr>
        <w:t>有权另行委托，相关费用自承包人结算价中扣除，并由承包人承担因此造成的损失。</w:t>
      </w:r>
    </w:p>
    <w:p>
      <w:pPr>
        <w:snapToGrid w:val="0"/>
        <w:spacing w:line="360" w:lineRule="auto"/>
        <w:ind w:left="482"/>
        <w:rPr>
          <w:b/>
          <w:szCs w:val="21"/>
        </w:rPr>
      </w:pPr>
      <w:r>
        <w:rPr>
          <w:rFonts w:hint="eastAsia"/>
          <w:b/>
          <w:szCs w:val="21"/>
        </w:rPr>
        <w:t>四、工程质量标准</w:t>
      </w:r>
    </w:p>
    <w:p>
      <w:pPr>
        <w:snapToGrid w:val="0"/>
        <w:spacing w:line="360" w:lineRule="auto"/>
        <w:ind w:firstLine="459"/>
        <w:rPr>
          <w:szCs w:val="21"/>
        </w:rPr>
      </w:pPr>
      <w:r>
        <w:rPr>
          <w:rFonts w:hint="eastAsia"/>
          <w:szCs w:val="21"/>
        </w:rPr>
        <w:t>物资采购要求的质量标准：工程所有物资（花卉、草木、设施、材料设备等）产品质量须符合相关标准规范的要求，合格率达到100%；施工要求的质量标准：合格。</w:t>
      </w:r>
    </w:p>
    <w:p>
      <w:pPr>
        <w:snapToGrid w:val="0"/>
        <w:spacing w:line="360" w:lineRule="auto"/>
        <w:ind w:left="482"/>
        <w:rPr>
          <w:b/>
          <w:szCs w:val="21"/>
        </w:rPr>
      </w:pPr>
      <w:r>
        <w:rPr>
          <w:rFonts w:hint="eastAsia"/>
          <w:b/>
          <w:szCs w:val="21"/>
        </w:rPr>
        <w:t>五、合同价格和付款货币</w:t>
      </w:r>
    </w:p>
    <w:p>
      <w:pPr>
        <w:snapToGrid w:val="0"/>
        <w:spacing w:line="360" w:lineRule="auto"/>
        <w:ind w:firstLine="482" w:firstLineChars="200"/>
        <w:rPr>
          <w:b/>
          <w:bCs/>
          <w:szCs w:val="21"/>
        </w:rPr>
      </w:pPr>
      <w:r>
        <w:rPr>
          <w:rFonts w:hint="eastAsia"/>
          <w:b/>
          <w:bCs/>
          <w:szCs w:val="21"/>
          <w:lang w:val="en-US" w:eastAsia="zh-CN"/>
        </w:rPr>
        <w:t>1、</w:t>
      </w:r>
      <w:r>
        <w:rPr>
          <w:rFonts w:hint="eastAsia"/>
          <w:b/>
          <w:bCs/>
          <w:szCs w:val="21"/>
        </w:rPr>
        <w:t>签约合同价为：</w:t>
      </w:r>
    </w:p>
    <w:p>
      <w:pPr>
        <w:snapToGrid w:val="0"/>
        <w:spacing w:line="360" w:lineRule="auto"/>
        <w:ind w:firstLine="482" w:firstLineChars="200"/>
        <w:rPr>
          <w:b/>
          <w:bCs/>
          <w:szCs w:val="21"/>
        </w:rPr>
      </w:pPr>
      <w:r>
        <w:rPr>
          <w:rFonts w:hint="eastAsia"/>
          <w:b/>
          <w:bCs/>
          <w:szCs w:val="21"/>
        </w:rPr>
        <w:t>人民币（大写）</w:t>
      </w:r>
      <w:r>
        <w:rPr>
          <w:b/>
          <w:bCs/>
          <w:szCs w:val="21"/>
          <w:u w:val="single"/>
        </w:rPr>
        <w:t xml:space="preserve">                 </w:t>
      </w:r>
      <w:r>
        <w:rPr>
          <w:b/>
          <w:bCs/>
          <w:szCs w:val="21"/>
        </w:rPr>
        <w:t>(¥</w:t>
      </w:r>
      <w:r>
        <w:rPr>
          <w:b/>
          <w:bCs/>
          <w:szCs w:val="21"/>
          <w:u w:val="single"/>
        </w:rPr>
        <w:t xml:space="preserve">            </w:t>
      </w:r>
      <w:r>
        <w:rPr>
          <w:rFonts w:hint="eastAsia"/>
          <w:b/>
          <w:bCs/>
          <w:szCs w:val="21"/>
        </w:rPr>
        <w:t>元</w:t>
      </w:r>
      <w:r>
        <w:rPr>
          <w:b/>
          <w:bCs/>
          <w:szCs w:val="21"/>
        </w:rPr>
        <w:t>)</w:t>
      </w:r>
      <w:r>
        <w:rPr>
          <w:rFonts w:hint="eastAsia"/>
          <w:b/>
          <w:bCs/>
          <w:szCs w:val="21"/>
        </w:rPr>
        <w:t>；</w:t>
      </w:r>
    </w:p>
    <w:p>
      <w:pPr>
        <w:snapToGrid w:val="0"/>
        <w:spacing w:line="360" w:lineRule="auto"/>
        <w:ind w:firstLine="482" w:firstLineChars="200"/>
        <w:rPr>
          <w:b/>
          <w:bCs/>
          <w:szCs w:val="21"/>
        </w:rPr>
      </w:pPr>
      <w:r>
        <w:rPr>
          <w:rFonts w:hint="eastAsia"/>
          <w:b/>
          <w:bCs/>
          <w:szCs w:val="21"/>
        </w:rPr>
        <w:t>其中：</w:t>
      </w:r>
    </w:p>
    <w:p>
      <w:pPr>
        <w:snapToGrid w:val="0"/>
        <w:spacing w:line="360" w:lineRule="auto"/>
        <w:ind w:firstLine="482" w:firstLineChars="200"/>
        <w:rPr>
          <w:b/>
          <w:bCs/>
          <w:szCs w:val="21"/>
        </w:rPr>
      </w:pPr>
      <w:r>
        <w:rPr>
          <w:rFonts w:hint="eastAsia"/>
          <w:b/>
          <w:bCs/>
          <w:szCs w:val="21"/>
        </w:rPr>
        <w:t>（</w:t>
      </w:r>
      <w:r>
        <w:rPr>
          <w:b/>
          <w:bCs/>
          <w:szCs w:val="21"/>
        </w:rPr>
        <w:t>1</w:t>
      </w:r>
      <w:r>
        <w:rPr>
          <w:rFonts w:hint="eastAsia"/>
          <w:b/>
          <w:bCs/>
          <w:szCs w:val="21"/>
        </w:rPr>
        <w:t>）亮化设施暂估价金额：</w:t>
      </w:r>
    </w:p>
    <w:p>
      <w:pPr>
        <w:snapToGrid w:val="0"/>
        <w:spacing w:line="360" w:lineRule="auto"/>
        <w:ind w:firstLine="482" w:firstLineChars="200"/>
        <w:rPr>
          <w:b/>
          <w:bCs/>
          <w:color w:val="auto"/>
          <w:szCs w:val="21"/>
        </w:rPr>
      </w:pPr>
      <w:r>
        <w:rPr>
          <w:rFonts w:hint="eastAsia"/>
          <w:b/>
          <w:bCs/>
          <w:color w:val="auto"/>
          <w:szCs w:val="21"/>
        </w:rPr>
        <w:t>人民币（大写）</w:t>
      </w:r>
      <w:r>
        <w:rPr>
          <w:b/>
          <w:bCs/>
          <w:color w:val="auto"/>
          <w:szCs w:val="21"/>
          <w:u w:val="single"/>
        </w:rPr>
        <w:t xml:space="preserve"> </w:t>
      </w:r>
      <w:r>
        <w:rPr>
          <w:rFonts w:hint="eastAsia"/>
          <w:b/>
          <w:bCs/>
          <w:color w:val="auto"/>
          <w:szCs w:val="21"/>
          <w:u w:val="single"/>
        </w:rPr>
        <w:t xml:space="preserve"> </w:t>
      </w:r>
      <w:r>
        <w:rPr>
          <w:rFonts w:hint="eastAsia"/>
          <w:b/>
          <w:bCs/>
          <w:color w:val="auto"/>
          <w:szCs w:val="21"/>
          <w:u w:val="single"/>
          <w:lang w:eastAsia="zh-CN"/>
        </w:rPr>
        <w:t>壹拾肆万伍仟</w:t>
      </w:r>
      <w:r>
        <w:rPr>
          <w:b/>
          <w:bCs/>
          <w:color w:val="auto"/>
          <w:szCs w:val="21"/>
          <w:u w:val="single"/>
        </w:rPr>
        <w:t>元整</w:t>
      </w:r>
      <w:r>
        <w:rPr>
          <w:rFonts w:hint="eastAsia"/>
          <w:b/>
          <w:bCs/>
          <w:color w:val="auto"/>
          <w:szCs w:val="21"/>
          <w:u w:val="single"/>
        </w:rPr>
        <w:t xml:space="preserve"> </w:t>
      </w:r>
      <w:r>
        <w:rPr>
          <w:b/>
          <w:bCs/>
          <w:color w:val="auto"/>
          <w:szCs w:val="21"/>
          <w:u w:val="single"/>
        </w:rPr>
        <w:t xml:space="preserve"> </w:t>
      </w:r>
      <w:r>
        <w:rPr>
          <w:b/>
          <w:bCs/>
          <w:color w:val="auto"/>
          <w:szCs w:val="21"/>
        </w:rPr>
        <w:t xml:space="preserve"> (¥</w:t>
      </w:r>
      <w:r>
        <w:rPr>
          <w:b/>
          <w:bCs/>
          <w:color w:val="auto"/>
          <w:szCs w:val="21"/>
          <w:u w:val="single"/>
        </w:rPr>
        <w:t xml:space="preserve"> </w:t>
      </w:r>
      <w:r>
        <w:rPr>
          <w:rFonts w:hint="eastAsia"/>
          <w:b/>
          <w:bCs/>
          <w:color w:val="auto"/>
          <w:szCs w:val="21"/>
          <w:u w:val="single"/>
        </w:rPr>
        <w:t>1</w:t>
      </w:r>
      <w:r>
        <w:rPr>
          <w:rFonts w:hint="eastAsia"/>
          <w:b/>
          <w:bCs/>
          <w:color w:val="auto"/>
          <w:szCs w:val="21"/>
          <w:u w:val="single"/>
          <w:lang w:val="en-US" w:eastAsia="zh-CN"/>
        </w:rPr>
        <w:t>4</w:t>
      </w:r>
      <w:r>
        <w:rPr>
          <w:rFonts w:hint="eastAsia"/>
          <w:b/>
          <w:bCs/>
          <w:color w:val="auto"/>
          <w:szCs w:val="21"/>
          <w:u w:val="single"/>
        </w:rPr>
        <w:t>5000.00</w:t>
      </w:r>
      <w:r>
        <w:rPr>
          <w:b/>
          <w:bCs/>
          <w:color w:val="auto"/>
          <w:szCs w:val="21"/>
          <w:u w:val="single"/>
        </w:rPr>
        <w:t xml:space="preserve"> </w:t>
      </w:r>
      <w:r>
        <w:rPr>
          <w:rFonts w:hint="eastAsia"/>
          <w:b/>
          <w:bCs/>
          <w:color w:val="auto"/>
          <w:szCs w:val="21"/>
        </w:rPr>
        <w:t>元</w:t>
      </w:r>
      <w:r>
        <w:rPr>
          <w:b/>
          <w:bCs/>
          <w:color w:val="auto"/>
          <w:szCs w:val="21"/>
        </w:rPr>
        <w:t>)</w:t>
      </w:r>
      <w:r>
        <w:rPr>
          <w:rFonts w:hint="eastAsia"/>
          <w:b/>
          <w:bCs/>
          <w:color w:val="auto"/>
          <w:szCs w:val="21"/>
        </w:rPr>
        <w:t>；</w:t>
      </w:r>
    </w:p>
    <w:p>
      <w:pPr>
        <w:snapToGrid w:val="0"/>
        <w:spacing w:line="360" w:lineRule="auto"/>
        <w:ind w:firstLine="482" w:firstLineChars="200"/>
        <w:rPr>
          <w:b/>
          <w:bCs/>
          <w:color w:val="auto"/>
          <w:szCs w:val="21"/>
        </w:rPr>
      </w:pPr>
      <w:r>
        <w:rPr>
          <w:rFonts w:hint="eastAsia"/>
          <w:b/>
          <w:bCs/>
          <w:color w:val="auto"/>
          <w:szCs w:val="21"/>
        </w:rPr>
        <w:t>（</w:t>
      </w:r>
      <w:r>
        <w:rPr>
          <w:b/>
          <w:bCs/>
          <w:color w:val="auto"/>
          <w:szCs w:val="21"/>
        </w:rPr>
        <w:t>2</w:t>
      </w:r>
      <w:r>
        <w:rPr>
          <w:rFonts w:hint="eastAsia"/>
          <w:b/>
          <w:bCs/>
          <w:color w:val="auto"/>
          <w:szCs w:val="21"/>
        </w:rPr>
        <w:t>）暂列金额：</w:t>
      </w:r>
    </w:p>
    <w:p>
      <w:pPr>
        <w:snapToGrid w:val="0"/>
        <w:spacing w:line="360" w:lineRule="auto"/>
        <w:ind w:firstLine="482" w:firstLineChars="200"/>
        <w:rPr>
          <w:b/>
          <w:bCs/>
          <w:color w:val="auto"/>
          <w:szCs w:val="21"/>
        </w:rPr>
      </w:pPr>
      <w:r>
        <w:rPr>
          <w:rFonts w:hint="eastAsia"/>
          <w:b/>
          <w:bCs/>
          <w:color w:val="auto"/>
          <w:szCs w:val="21"/>
        </w:rPr>
        <w:t>人民币（大写）</w:t>
      </w:r>
      <w:r>
        <w:rPr>
          <w:b/>
          <w:bCs/>
          <w:color w:val="auto"/>
          <w:szCs w:val="21"/>
          <w:u w:val="single"/>
        </w:rPr>
        <w:t xml:space="preserve">  壹</w:t>
      </w:r>
      <w:r>
        <w:rPr>
          <w:rFonts w:hint="eastAsia"/>
          <w:b/>
          <w:bCs/>
          <w:color w:val="auto"/>
          <w:szCs w:val="21"/>
          <w:u w:val="single"/>
        </w:rPr>
        <w:t>拾伍万元整</w:t>
      </w:r>
      <w:r>
        <w:rPr>
          <w:b/>
          <w:bCs/>
          <w:color w:val="auto"/>
          <w:szCs w:val="21"/>
          <w:u w:val="single"/>
        </w:rPr>
        <w:t xml:space="preserve">  </w:t>
      </w:r>
      <w:r>
        <w:rPr>
          <w:b/>
          <w:bCs/>
          <w:color w:val="auto"/>
          <w:szCs w:val="21"/>
        </w:rPr>
        <w:t xml:space="preserve"> (¥</w:t>
      </w:r>
      <w:r>
        <w:rPr>
          <w:b/>
          <w:bCs/>
          <w:color w:val="auto"/>
          <w:szCs w:val="21"/>
          <w:u w:val="single"/>
        </w:rPr>
        <w:t xml:space="preserve"> </w:t>
      </w:r>
      <w:r>
        <w:rPr>
          <w:rFonts w:hint="eastAsia"/>
          <w:b/>
          <w:bCs/>
          <w:color w:val="auto"/>
          <w:szCs w:val="21"/>
          <w:u w:val="single"/>
        </w:rPr>
        <w:t>150000.00</w:t>
      </w:r>
      <w:r>
        <w:rPr>
          <w:rFonts w:hint="eastAsia"/>
          <w:b/>
          <w:bCs/>
          <w:color w:val="auto"/>
          <w:szCs w:val="21"/>
        </w:rPr>
        <w:t>元</w:t>
      </w:r>
      <w:r>
        <w:rPr>
          <w:b/>
          <w:bCs/>
          <w:color w:val="auto"/>
          <w:szCs w:val="21"/>
        </w:rPr>
        <w:t>)</w:t>
      </w:r>
      <w:r>
        <w:rPr>
          <w:rFonts w:hint="eastAsia"/>
          <w:b/>
          <w:bCs/>
          <w:color w:val="auto"/>
          <w:szCs w:val="21"/>
        </w:rPr>
        <w:t>；</w:t>
      </w:r>
    </w:p>
    <w:p>
      <w:pPr>
        <w:numPr>
          <w:ilvl w:val="0"/>
          <w:numId w:val="0"/>
        </w:numPr>
        <w:snapToGrid w:val="0"/>
        <w:spacing w:line="360" w:lineRule="auto"/>
        <w:ind w:firstLine="482" w:firstLineChars="200"/>
        <w:rPr>
          <w:b/>
          <w:color w:val="auto"/>
          <w:szCs w:val="21"/>
        </w:rPr>
      </w:pPr>
      <w:r>
        <w:rPr>
          <w:rFonts w:hint="eastAsia"/>
          <w:b/>
          <w:color w:val="auto"/>
          <w:szCs w:val="21"/>
          <w:lang w:eastAsia="zh-CN"/>
        </w:rPr>
        <w:t>（</w:t>
      </w:r>
      <w:r>
        <w:rPr>
          <w:rFonts w:hint="eastAsia"/>
          <w:b/>
          <w:color w:val="auto"/>
          <w:szCs w:val="21"/>
          <w:lang w:val="en-US" w:eastAsia="zh-CN"/>
        </w:rPr>
        <w:t>3</w:t>
      </w:r>
      <w:r>
        <w:rPr>
          <w:rFonts w:hint="eastAsia"/>
          <w:b/>
          <w:color w:val="auto"/>
          <w:szCs w:val="21"/>
          <w:lang w:eastAsia="zh-CN"/>
        </w:rPr>
        <w:t>）</w:t>
      </w:r>
      <w:r>
        <w:rPr>
          <w:rFonts w:hint="eastAsia"/>
          <w:b/>
          <w:color w:val="auto"/>
          <w:szCs w:val="21"/>
        </w:rPr>
        <w:t>设计费：</w:t>
      </w:r>
    </w:p>
    <w:p>
      <w:pPr>
        <w:snapToGrid w:val="0"/>
        <w:spacing w:line="360" w:lineRule="auto"/>
        <w:ind w:left="422"/>
        <w:jc w:val="left"/>
        <w:rPr>
          <w:b/>
          <w:color w:val="auto"/>
          <w:szCs w:val="21"/>
        </w:rPr>
      </w:pPr>
      <w:r>
        <w:rPr>
          <w:rFonts w:hint="eastAsia"/>
          <w:b/>
          <w:bCs/>
          <w:color w:val="auto"/>
          <w:szCs w:val="21"/>
        </w:rPr>
        <w:t>暂定人民币（大写）</w:t>
      </w:r>
      <w:r>
        <w:rPr>
          <w:rFonts w:hint="eastAsia"/>
          <w:b/>
          <w:color w:val="auto"/>
          <w:szCs w:val="21"/>
          <w:u w:val="single"/>
        </w:rPr>
        <w:t xml:space="preserve">  </w:t>
      </w:r>
      <w:r>
        <w:rPr>
          <w:rFonts w:hint="eastAsia"/>
          <w:b/>
          <w:color w:val="auto"/>
          <w:szCs w:val="21"/>
          <w:u w:val="single"/>
          <w:lang w:eastAsia="zh-CN"/>
        </w:rPr>
        <w:t>伍万伍仟</w:t>
      </w:r>
      <w:r>
        <w:rPr>
          <w:rFonts w:hint="eastAsia"/>
          <w:b/>
          <w:color w:val="auto"/>
          <w:szCs w:val="21"/>
          <w:u w:val="single"/>
        </w:rPr>
        <w:t xml:space="preserve">元整  </w:t>
      </w:r>
      <w:r>
        <w:rPr>
          <w:b/>
          <w:bCs/>
          <w:color w:val="auto"/>
          <w:szCs w:val="21"/>
        </w:rPr>
        <w:t>(¥</w:t>
      </w:r>
      <w:r>
        <w:rPr>
          <w:b/>
          <w:bCs/>
          <w:color w:val="auto"/>
          <w:szCs w:val="21"/>
          <w:u w:val="single"/>
        </w:rPr>
        <w:t xml:space="preserve"> </w:t>
      </w:r>
      <w:r>
        <w:rPr>
          <w:rFonts w:hint="eastAsia"/>
          <w:b/>
          <w:bCs/>
          <w:color w:val="auto"/>
          <w:szCs w:val="21"/>
          <w:u w:val="single"/>
        </w:rPr>
        <w:t>5</w:t>
      </w:r>
      <w:r>
        <w:rPr>
          <w:rFonts w:hint="eastAsia"/>
          <w:b/>
          <w:bCs/>
          <w:color w:val="auto"/>
          <w:szCs w:val="21"/>
          <w:u w:val="single"/>
          <w:lang w:val="en-US" w:eastAsia="zh-CN"/>
        </w:rPr>
        <w:t>5</w:t>
      </w:r>
      <w:r>
        <w:rPr>
          <w:rFonts w:hint="eastAsia"/>
          <w:b/>
          <w:bCs/>
          <w:color w:val="auto"/>
          <w:szCs w:val="21"/>
          <w:u w:val="single"/>
        </w:rPr>
        <w:t>000.00</w:t>
      </w:r>
      <w:r>
        <w:rPr>
          <w:b/>
          <w:bCs/>
          <w:color w:val="auto"/>
          <w:szCs w:val="21"/>
          <w:u w:val="single"/>
        </w:rPr>
        <w:t xml:space="preserve"> </w:t>
      </w:r>
      <w:r>
        <w:rPr>
          <w:rFonts w:hint="eastAsia"/>
          <w:b/>
          <w:bCs/>
          <w:color w:val="auto"/>
          <w:szCs w:val="21"/>
        </w:rPr>
        <w:t>元</w:t>
      </w:r>
      <w:r>
        <w:rPr>
          <w:b/>
          <w:bCs/>
          <w:color w:val="auto"/>
          <w:szCs w:val="21"/>
        </w:rPr>
        <w:t>)</w:t>
      </w:r>
      <w:r>
        <w:rPr>
          <w:rFonts w:hint="eastAsia"/>
          <w:b/>
          <w:color w:val="auto"/>
          <w:szCs w:val="21"/>
        </w:rPr>
        <w:t>，最终设计费按最终施工结算审计价的4</w:t>
      </w:r>
      <w:r>
        <w:rPr>
          <w:rFonts w:hint="eastAsia"/>
          <w:b/>
          <w:color w:val="auto"/>
          <w:szCs w:val="21"/>
          <w:lang w:val="en-US" w:eastAsia="zh-CN"/>
        </w:rPr>
        <w:t>.5</w:t>
      </w:r>
      <w:r>
        <w:rPr>
          <w:rFonts w:hint="eastAsia"/>
          <w:b/>
          <w:color w:val="auto"/>
          <w:szCs w:val="21"/>
        </w:rPr>
        <w:t>%计算。</w:t>
      </w:r>
    </w:p>
    <w:p>
      <w:pPr>
        <w:snapToGrid w:val="0"/>
        <w:spacing w:line="360" w:lineRule="auto"/>
        <w:ind w:firstLine="482" w:firstLineChars="200"/>
        <w:rPr>
          <w:b/>
          <w:bCs/>
          <w:color w:val="auto"/>
          <w:szCs w:val="21"/>
        </w:rPr>
      </w:pPr>
      <w:r>
        <w:rPr>
          <w:b/>
          <w:bCs/>
          <w:color w:val="auto"/>
          <w:szCs w:val="21"/>
        </w:rPr>
        <w:t>2</w:t>
      </w:r>
      <w:r>
        <w:rPr>
          <w:rFonts w:hint="eastAsia"/>
          <w:b/>
          <w:bCs/>
          <w:color w:val="auto"/>
          <w:szCs w:val="21"/>
          <w:lang w:eastAsia="zh-CN"/>
        </w:rPr>
        <w:t>、</w:t>
      </w:r>
      <w:r>
        <w:rPr>
          <w:rFonts w:hint="eastAsia"/>
          <w:b/>
          <w:bCs/>
          <w:color w:val="auto"/>
          <w:szCs w:val="21"/>
        </w:rPr>
        <w:t>合同价格形式：</w:t>
      </w:r>
      <w:r>
        <w:rPr>
          <w:b/>
          <w:bCs/>
          <w:color w:val="auto"/>
          <w:szCs w:val="21"/>
          <w:u w:val="single"/>
        </w:rPr>
        <w:t></w:t>
      </w:r>
      <w:r>
        <w:rPr>
          <w:rFonts w:hint="eastAsia"/>
          <w:b/>
          <w:bCs/>
          <w:color w:val="auto"/>
          <w:szCs w:val="21"/>
          <w:u w:val="single"/>
        </w:rPr>
        <w:t>固定单价合同</w:t>
      </w:r>
      <w:r>
        <w:rPr>
          <w:b/>
          <w:bCs/>
          <w:color w:val="auto"/>
          <w:szCs w:val="21"/>
          <w:u w:val="single"/>
        </w:rPr>
        <w:t></w:t>
      </w:r>
      <w:r>
        <w:rPr>
          <w:rFonts w:hint="eastAsia"/>
          <w:b/>
          <w:bCs/>
          <w:color w:val="auto"/>
          <w:szCs w:val="21"/>
        </w:rPr>
        <w:t>。</w:t>
      </w:r>
    </w:p>
    <w:p>
      <w:pPr>
        <w:snapToGrid w:val="0"/>
        <w:spacing w:line="360" w:lineRule="auto"/>
        <w:ind w:firstLine="482" w:firstLineChars="200"/>
        <w:rPr>
          <w:szCs w:val="21"/>
        </w:rPr>
      </w:pPr>
      <w:r>
        <w:rPr>
          <w:rFonts w:hint="eastAsia"/>
          <w:b/>
          <w:szCs w:val="21"/>
        </w:rPr>
        <w:t>六、定义与解释</w:t>
      </w:r>
    </w:p>
    <w:p>
      <w:pPr>
        <w:snapToGrid w:val="0"/>
        <w:spacing w:line="360" w:lineRule="auto"/>
        <w:ind w:left="482"/>
        <w:rPr>
          <w:szCs w:val="21"/>
        </w:rPr>
      </w:pPr>
      <w:r>
        <w:rPr>
          <w:rFonts w:hint="eastAsia"/>
          <w:szCs w:val="21"/>
        </w:rPr>
        <w:t>本协议书中有关词语的含义与通用条款中赋予的定义与解释相同。</w:t>
      </w:r>
    </w:p>
    <w:p>
      <w:pPr>
        <w:snapToGrid w:val="0"/>
        <w:spacing w:line="360" w:lineRule="auto"/>
        <w:ind w:left="482"/>
        <w:rPr>
          <w:b/>
          <w:szCs w:val="21"/>
        </w:rPr>
      </w:pPr>
      <w:r>
        <w:rPr>
          <w:rFonts w:hint="eastAsia"/>
          <w:b/>
          <w:szCs w:val="21"/>
        </w:rPr>
        <w:t>七、合同文件构成</w:t>
      </w:r>
    </w:p>
    <w:p>
      <w:pPr>
        <w:snapToGrid w:val="0"/>
        <w:spacing w:line="360" w:lineRule="auto"/>
        <w:ind w:left="482"/>
        <w:rPr>
          <w:bCs/>
          <w:szCs w:val="21"/>
        </w:rPr>
      </w:pPr>
      <w:r>
        <w:rPr>
          <w:rFonts w:hint="eastAsia"/>
          <w:bCs/>
          <w:szCs w:val="21"/>
        </w:rPr>
        <w:t>本协议书与下列文件一起构成合同文件：</w:t>
      </w:r>
    </w:p>
    <w:p>
      <w:pPr>
        <w:snapToGrid w:val="0"/>
        <w:spacing w:line="360" w:lineRule="auto"/>
        <w:ind w:left="482"/>
        <w:rPr>
          <w:bCs/>
          <w:szCs w:val="21"/>
        </w:rPr>
      </w:pPr>
      <w:r>
        <w:rPr>
          <w:rFonts w:hint="eastAsia"/>
          <w:bCs/>
          <w:szCs w:val="21"/>
        </w:rPr>
        <w:t>（1）中标通知书（如果有）；</w:t>
      </w:r>
    </w:p>
    <w:p>
      <w:pPr>
        <w:snapToGrid w:val="0"/>
        <w:spacing w:line="360" w:lineRule="auto"/>
        <w:ind w:left="482"/>
        <w:rPr>
          <w:bCs/>
          <w:szCs w:val="21"/>
        </w:rPr>
      </w:pPr>
      <w:r>
        <w:rPr>
          <w:rFonts w:hint="eastAsia"/>
          <w:bCs/>
          <w:szCs w:val="21"/>
        </w:rPr>
        <w:t xml:space="preserve">（2）投标函及其附录（如果有）； </w:t>
      </w:r>
    </w:p>
    <w:p>
      <w:pPr>
        <w:snapToGrid w:val="0"/>
        <w:spacing w:line="360" w:lineRule="auto"/>
        <w:ind w:left="482"/>
        <w:rPr>
          <w:bCs/>
          <w:szCs w:val="21"/>
        </w:rPr>
      </w:pPr>
      <w:r>
        <w:rPr>
          <w:rFonts w:hint="eastAsia"/>
          <w:bCs/>
          <w:szCs w:val="21"/>
        </w:rPr>
        <w:t>（3）专用合同条款及其附件；</w:t>
      </w:r>
    </w:p>
    <w:p>
      <w:pPr>
        <w:snapToGrid w:val="0"/>
        <w:spacing w:line="360" w:lineRule="auto"/>
        <w:ind w:left="482"/>
        <w:rPr>
          <w:bCs/>
          <w:szCs w:val="21"/>
        </w:rPr>
      </w:pPr>
      <w:r>
        <w:rPr>
          <w:rFonts w:hint="eastAsia"/>
          <w:bCs/>
          <w:szCs w:val="21"/>
        </w:rPr>
        <w:t>（4）通用合同条款；</w:t>
      </w:r>
    </w:p>
    <w:p>
      <w:pPr>
        <w:snapToGrid w:val="0"/>
        <w:spacing w:line="360" w:lineRule="auto"/>
        <w:ind w:left="482"/>
        <w:rPr>
          <w:bCs/>
          <w:szCs w:val="21"/>
        </w:rPr>
      </w:pPr>
      <w:r>
        <w:rPr>
          <w:rFonts w:hint="eastAsia"/>
          <w:bCs/>
          <w:szCs w:val="21"/>
        </w:rPr>
        <w:t>（5）技术标准和要求；</w:t>
      </w:r>
    </w:p>
    <w:p>
      <w:pPr>
        <w:snapToGrid w:val="0"/>
        <w:spacing w:line="360" w:lineRule="auto"/>
        <w:ind w:left="482"/>
        <w:rPr>
          <w:bCs/>
          <w:szCs w:val="21"/>
        </w:rPr>
      </w:pPr>
      <w:r>
        <w:rPr>
          <w:rFonts w:hint="eastAsia"/>
          <w:bCs/>
          <w:szCs w:val="21"/>
        </w:rPr>
        <w:t>（6）其他合同文件。</w:t>
      </w:r>
    </w:p>
    <w:p>
      <w:pPr>
        <w:snapToGrid w:val="0"/>
        <w:spacing w:line="360" w:lineRule="auto"/>
        <w:ind w:left="482"/>
        <w:rPr>
          <w:bCs/>
          <w:szCs w:val="21"/>
        </w:rPr>
      </w:pPr>
      <w:r>
        <w:rPr>
          <w:rFonts w:hint="eastAsia"/>
          <w:bCs/>
          <w:szCs w:val="21"/>
        </w:rPr>
        <w:t>在合同订立及履行过程中形成的与合同有关的文件均构成合同文件组成部分。</w:t>
      </w:r>
    </w:p>
    <w:p>
      <w:pPr>
        <w:snapToGrid w:val="0"/>
        <w:spacing w:line="360" w:lineRule="auto"/>
        <w:ind w:firstLine="480" w:firstLineChars="200"/>
        <w:rPr>
          <w:bCs/>
          <w:szCs w:val="21"/>
        </w:rPr>
      </w:pPr>
      <w:r>
        <w:rPr>
          <w:rFonts w:hint="eastAsia"/>
          <w:bCs/>
          <w:szCs w:val="21"/>
        </w:rPr>
        <w:t>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ind w:left="482"/>
        <w:rPr>
          <w:b/>
          <w:szCs w:val="21"/>
        </w:rPr>
      </w:pPr>
      <w:r>
        <w:rPr>
          <w:rFonts w:hint="eastAsia"/>
          <w:b/>
          <w:szCs w:val="21"/>
        </w:rPr>
        <w:t>八、合同生效</w:t>
      </w:r>
    </w:p>
    <w:p>
      <w:pPr>
        <w:snapToGrid w:val="0"/>
        <w:spacing w:line="360" w:lineRule="auto"/>
        <w:ind w:firstLine="480" w:firstLineChars="200"/>
        <w:rPr>
          <w:bCs/>
          <w:szCs w:val="21"/>
        </w:rPr>
      </w:pPr>
      <w:r>
        <w:rPr>
          <w:rFonts w:hint="eastAsia"/>
          <w:bCs/>
          <w:szCs w:val="21"/>
        </w:rPr>
        <w:t xml:space="preserve">本合同自 </w:t>
      </w:r>
      <w:r>
        <w:rPr>
          <w:rFonts w:hint="eastAsia"/>
          <w:bCs/>
          <w:szCs w:val="21"/>
          <w:u w:val="single"/>
        </w:rPr>
        <w:t xml:space="preserve"> 本合同自双方签字、盖章后成立，承包人向发包人提交符合要求的履约保函后 </w:t>
      </w:r>
      <w:r>
        <w:rPr>
          <w:rFonts w:hint="eastAsia"/>
          <w:bCs/>
          <w:szCs w:val="21"/>
        </w:rPr>
        <w:t>生效。</w:t>
      </w:r>
    </w:p>
    <w:p>
      <w:pPr>
        <w:snapToGrid w:val="0"/>
        <w:spacing w:line="360" w:lineRule="auto"/>
        <w:ind w:left="482"/>
        <w:rPr>
          <w:b/>
          <w:szCs w:val="21"/>
        </w:rPr>
      </w:pPr>
      <w:r>
        <w:rPr>
          <w:rFonts w:hint="eastAsia"/>
          <w:b/>
          <w:szCs w:val="21"/>
        </w:rPr>
        <w:t xml:space="preserve"> 九、合同份数</w:t>
      </w:r>
    </w:p>
    <w:p>
      <w:pPr>
        <w:snapToGrid w:val="0"/>
        <w:spacing w:line="360" w:lineRule="auto"/>
        <w:ind w:left="482"/>
        <w:rPr>
          <w:bCs/>
          <w:szCs w:val="21"/>
        </w:rPr>
      </w:pPr>
      <w:r>
        <w:rPr>
          <w:rFonts w:hint="eastAsia"/>
          <w:bCs/>
          <w:szCs w:val="21"/>
        </w:rPr>
        <w:t xml:space="preserve">本合同一式 </w:t>
      </w:r>
      <w:r>
        <w:rPr>
          <w:rFonts w:hint="eastAsia"/>
          <w:bCs/>
          <w:szCs w:val="21"/>
          <w:u w:val="single"/>
        </w:rPr>
        <w:t>捌</w:t>
      </w:r>
      <w:r>
        <w:rPr>
          <w:rFonts w:hint="eastAsia"/>
          <w:bCs/>
          <w:szCs w:val="21"/>
        </w:rPr>
        <w:t>份，均具有同等法律效力，发包人执</w:t>
      </w:r>
      <w:r>
        <w:rPr>
          <w:rFonts w:hint="eastAsia"/>
          <w:bCs/>
          <w:szCs w:val="21"/>
          <w:u w:val="single"/>
        </w:rPr>
        <w:t>肆</w:t>
      </w:r>
      <w:r>
        <w:rPr>
          <w:rFonts w:hint="eastAsia"/>
          <w:bCs/>
          <w:szCs w:val="21"/>
        </w:rPr>
        <w:t>份，承包人执</w:t>
      </w:r>
      <w:r>
        <w:rPr>
          <w:rFonts w:hint="eastAsia"/>
          <w:bCs/>
          <w:szCs w:val="21"/>
          <w:u w:val="single"/>
        </w:rPr>
        <w:t>肆</w:t>
      </w:r>
      <w:r>
        <w:rPr>
          <w:rFonts w:hint="eastAsia"/>
          <w:bCs/>
          <w:szCs w:val="21"/>
        </w:rPr>
        <w:t>份。</w:t>
      </w:r>
    </w:p>
    <w:p>
      <w:pPr>
        <w:spacing w:line="440" w:lineRule="exact"/>
        <w:rPr>
          <w:szCs w:val="21"/>
        </w:rPr>
      </w:pPr>
    </w:p>
    <w:p>
      <w:pPr>
        <w:spacing w:line="440" w:lineRule="exact"/>
        <w:rPr>
          <w:szCs w:val="21"/>
        </w:rPr>
      </w:pPr>
    </w:p>
    <w:p>
      <w:pPr>
        <w:spacing w:line="440" w:lineRule="exact"/>
        <w:rPr>
          <w:szCs w:val="21"/>
        </w:rPr>
      </w:pPr>
    </w:p>
    <w:p>
      <w:pPr>
        <w:spacing w:line="440" w:lineRule="exact"/>
        <w:ind w:firstLine="360" w:firstLineChars="150"/>
        <w:rPr>
          <w:szCs w:val="21"/>
        </w:rPr>
      </w:pPr>
      <w:r>
        <w:rPr>
          <w:rFonts w:hint="eastAsia"/>
          <w:szCs w:val="21"/>
        </w:rPr>
        <w:t>发包人：  (公章)                 承包人：  (公章)</w:t>
      </w:r>
    </w:p>
    <w:p>
      <w:pPr>
        <w:spacing w:line="440" w:lineRule="exact"/>
        <w:ind w:firstLine="360" w:firstLineChars="150"/>
        <w:rPr>
          <w:szCs w:val="21"/>
        </w:rPr>
      </w:pPr>
      <w:r>
        <w:rPr>
          <w:rFonts w:hint="eastAsia"/>
          <w:szCs w:val="21"/>
        </w:rPr>
        <w:t>法定代表人或其委托代理人：       法定代表人或其委托代理人：</w:t>
      </w:r>
    </w:p>
    <w:p>
      <w:pPr>
        <w:spacing w:line="440" w:lineRule="exact"/>
        <w:ind w:firstLine="360" w:firstLineChars="150"/>
        <w:rPr>
          <w:szCs w:val="21"/>
        </w:rPr>
      </w:pPr>
      <w:r>
        <w:rPr>
          <w:rFonts w:hint="eastAsia"/>
          <w:szCs w:val="21"/>
        </w:rPr>
        <w:t>（签字）                        （签字）</w:t>
      </w:r>
    </w:p>
    <w:p>
      <w:pPr>
        <w:tabs>
          <w:tab w:val="left" w:pos="4410"/>
        </w:tabs>
        <w:spacing w:line="440" w:lineRule="exact"/>
        <w:ind w:firstLine="360" w:firstLineChars="150"/>
        <w:rPr>
          <w:szCs w:val="21"/>
        </w:rPr>
      </w:pPr>
      <w:r>
        <w:rPr>
          <w:rFonts w:hint="eastAsia"/>
          <w:szCs w:val="21"/>
        </w:rPr>
        <w:t>组织机构代码：</w:t>
      </w:r>
      <w:r>
        <w:rPr>
          <w:rFonts w:hint="eastAsia"/>
          <w:szCs w:val="21"/>
          <w:u w:val="single"/>
        </w:rPr>
        <w:t xml:space="preserve">             </w:t>
      </w:r>
      <w:r>
        <w:rPr>
          <w:rFonts w:hint="eastAsia"/>
          <w:szCs w:val="21"/>
        </w:rPr>
        <w:t xml:space="preserve">      组织机构代码：</w:t>
      </w:r>
      <w:r>
        <w:rPr>
          <w:rFonts w:hint="eastAsia"/>
          <w:szCs w:val="21"/>
          <w:u w:val="single"/>
        </w:rPr>
        <w:t xml:space="preserve">                </w:t>
      </w:r>
    </w:p>
    <w:p>
      <w:pPr>
        <w:spacing w:line="440" w:lineRule="exact"/>
        <w:ind w:firstLine="360" w:firstLineChars="150"/>
        <w:rPr>
          <w:szCs w:val="21"/>
        </w:rPr>
      </w:pPr>
      <w:r>
        <w:rPr>
          <w:rFonts w:hint="eastAsia"/>
          <w:szCs w:val="21"/>
        </w:rPr>
        <w:t>地  址：</w:t>
      </w:r>
      <w:r>
        <w:rPr>
          <w:rFonts w:hint="eastAsia"/>
          <w:szCs w:val="21"/>
          <w:u w:val="single"/>
        </w:rPr>
        <w:t xml:space="preserve">                 </w:t>
      </w:r>
      <w:r>
        <w:rPr>
          <w:rFonts w:hint="eastAsia"/>
          <w:szCs w:val="21"/>
        </w:rPr>
        <w:t xml:space="preserve">        地  址：</w:t>
      </w:r>
      <w:r>
        <w:rPr>
          <w:rFonts w:hint="eastAsia"/>
          <w:szCs w:val="21"/>
          <w:u w:val="single"/>
        </w:rPr>
        <w:t xml:space="preserve">                 </w:t>
      </w:r>
      <w:r>
        <w:rPr>
          <w:rFonts w:hint="eastAsia"/>
          <w:szCs w:val="21"/>
        </w:rPr>
        <w:t xml:space="preserve"> </w:t>
      </w:r>
    </w:p>
    <w:p>
      <w:pPr>
        <w:spacing w:line="440" w:lineRule="exact"/>
        <w:ind w:firstLine="360" w:firstLineChars="150"/>
        <w:rPr>
          <w:szCs w:val="21"/>
        </w:rPr>
      </w:pPr>
      <w:r>
        <w:rPr>
          <w:rFonts w:hint="eastAsia"/>
          <w:szCs w:val="21"/>
        </w:rPr>
        <w:t>邮政编码：</w:t>
      </w:r>
      <w:r>
        <w:rPr>
          <w:rFonts w:hint="eastAsia"/>
          <w:szCs w:val="21"/>
          <w:u w:val="single"/>
        </w:rPr>
        <w:t xml:space="preserve">                 </w:t>
      </w:r>
      <w:r>
        <w:rPr>
          <w:rFonts w:hint="eastAsia"/>
          <w:szCs w:val="21"/>
        </w:rPr>
        <w:t xml:space="preserve">      邮政编码：</w:t>
      </w:r>
      <w:r>
        <w:rPr>
          <w:rFonts w:hint="eastAsia"/>
          <w:szCs w:val="21"/>
          <w:u w:val="single"/>
        </w:rPr>
        <w:t xml:space="preserve">                 </w:t>
      </w:r>
      <w:r>
        <w:rPr>
          <w:rFonts w:hint="eastAsia"/>
          <w:szCs w:val="21"/>
        </w:rPr>
        <w:t xml:space="preserve"> </w:t>
      </w:r>
    </w:p>
    <w:p>
      <w:pPr>
        <w:spacing w:line="440" w:lineRule="exact"/>
        <w:ind w:firstLine="360" w:firstLineChars="150"/>
        <w:rPr>
          <w:szCs w:val="21"/>
        </w:rPr>
      </w:pPr>
      <w:r>
        <w:rPr>
          <w:rFonts w:hint="eastAsia"/>
          <w:szCs w:val="21"/>
        </w:rPr>
        <w:t>法定代表人：</w:t>
      </w:r>
      <w:r>
        <w:rPr>
          <w:rFonts w:hint="eastAsia"/>
          <w:szCs w:val="21"/>
          <w:u w:val="single"/>
        </w:rPr>
        <w:t xml:space="preserve">                 </w:t>
      </w:r>
      <w:r>
        <w:rPr>
          <w:rFonts w:hint="eastAsia"/>
          <w:szCs w:val="21"/>
        </w:rPr>
        <w:t xml:space="preserve">    法定代表人：</w:t>
      </w:r>
      <w:r>
        <w:rPr>
          <w:rFonts w:hint="eastAsia"/>
          <w:szCs w:val="21"/>
          <w:u w:val="single"/>
        </w:rPr>
        <w:t xml:space="preserve">                 </w:t>
      </w:r>
      <w:r>
        <w:rPr>
          <w:rFonts w:hint="eastAsia"/>
          <w:szCs w:val="21"/>
        </w:rPr>
        <w:t xml:space="preserve"> </w:t>
      </w:r>
    </w:p>
    <w:p>
      <w:pPr>
        <w:spacing w:line="440" w:lineRule="exact"/>
        <w:ind w:firstLine="360" w:firstLineChars="150"/>
        <w:rPr>
          <w:szCs w:val="21"/>
        </w:rPr>
      </w:pPr>
      <w:r>
        <w:rPr>
          <w:rFonts w:hint="eastAsia"/>
          <w:szCs w:val="21"/>
        </w:rPr>
        <w:t>委托代理人：</w:t>
      </w:r>
      <w:r>
        <w:rPr>
          <w:rFonts w:hint="eastAsia"/>
          <w:szCs w:val="21"/>
          <w:u w:val="single"/>
        </w:rPr>
        <w:t xml:space="preserve">               </w:t>
      </w:r>
      <w:r>
        <w:rPr>
          <w:rFonts w:hint="eastAsia"/>
          <w:szCs w:val="21"/>
        </w:rPr>
        <w:t xml:space="preserve">      委托代理人：</w:t>
      </w:r>
      <w:r>
        <w:rPr>
          <w:rFonts w:hint="eastAsia"/>
          <w:szCs w:val="21"/>
          <w:u w:val="single"/>
        </w:rPr>
        <w:t xml:space="preserve">               </w:t>
      </w:r>
    </w:p>
    <w:p>
      <w:pPr>
        <w:spacing w:line="440" w:lineRule="exact"/>
        <w:ind w:firstLine="360" w:firstLineChars="150"/>
        <w:rPr>
          <w:szCs w:val="21"/>
        </w:rPr>
      </w:pPr>
      <w:r>
        <w:rPr>
          <w:rFonts w:hint="eastAsia"/>
          <w:szCs w:val="21"/>
        </w:rPr>
        <w:t>电  话：</w:t>
      </w:r>
      <w:r>
        <w:rPr>
          <w:rFonts w:hint="eastAsia"/>
          <w:szCs w:val="21"/>
          <w:u w:val="single"/>
        </w:rPr>
        <w:t xml:space="preserve">                 </w:t>
      </w:r>
      <w:r>
        <w:rPr>
          <w:rFonts w:hint="eastAsia"/>
          <w:szCs w:val="21"/>
        </w:rPr>
        <w:t xml:space="preserve">        电  话：</w:t>
      </w:r>
      <w:r>
        <w:rPr>
          <w:rFonts w:hint="eastAsia"/>
          <w:szCs w:val="21"/>
          <w:u w:val="single"/>
        </w:rPr>
        <w:t xml:space="preserve">                 </w:t>
      </w:r>
      <w:r>
        <w:rPr>
          <w:rFonts w:hint="eastAsia"/>
          <w:szCs w:val="21"/>
        </w:rPr>
        <w:t xml:space="preserve"> </w:t>
      </w:r>
    </w:p>
    <w:p>
      <w:pPr>
        <w:spacing w:line="440" w:lineRule="exact"/>
        <w:ind w:firstLine="360" w:firstLineChars="150"/>
        <w:rPr>
          <w:szCs w:val="21"/>
        </w:rPr>
      </w:pPr>
      <w:r>
        <w:rPr>
          <w:rFonts w:hint="eastAsia"/>
          <w:szCs w:val="21"/>
        </w:rPr>
        <w:t>传  真：</w:t>
      </w:r>
      <w:r>
        <w:rPr>
          <w:rFonts w:hint="eastAsia"/>
          <w:szCs w:val="21"/>
          <w:u w:val="single"/>
        </w:rPr>
        <w:t xml:space="preserve">                 </w:t>
      </w:r>
      <w:r>
        <w:rPr>
          <w:rFonts w:hint="eastAsia"/>
          <w:szCs w:val="21"/>
        </w:rPr>
        <w:t xml:space="preserve">        传  真：</w:t>
      </w:r>
      <w:r>
        <w:rPr>
          <w:rFonts w:hint="eastAsia"/>
          <w:szCs w:val="21"/>
          <w:u w:val="single"/>
        </w:rPr>
        <w:t xml:space="preserve">                 </w:t>
      </w:r>
      <w:r>
        <w:rPr>
          <w:rFonts w:hint="eastAsia"/>
          <w:szCs w:val="21"/>
        </w:rPr>
        <w:t xml:space="preserve"> </w:t>
      </w:r>
    </w:p>
    <w:p>
      <w:pPr>
        <w:spacing w:line="440" w:lineRule="exact"/>
        <w:ind w:firstLine="360" w:firstLineChars="150"/>
        <w:rPr>
          <w:szCs w:val="21"/>
        </w:rPr>
      </w:pPr>
      <w:r>
        <w:rPr>
          <w:rFonts w:hint="eastAsia"/>
          <w:szCs w:val="21"/>
        </w:rPr>
        <w:t>电子信箱：</w:t>
      </w:r>
      <w:r>
        <w:rPr>
          <w:rFonts w:hint="eastAsia"/>
          <w:szCs w:val="21"/>
          <w:u w:val="single"/>
        </w:rPr>
        <w:t xml:space="preserve">                 </w:t>
      </w:r>
      <w:r>
        <w:rPr>
          <w:rFonts w:hint="eastAsia"/>
          <w:szCs w:val="21"/>
        </w:rPr>
        <w:t xml:space="preserve">      电子信箱：</w:t>
      </w:r>
      <w:r>
        <w:rPr>
          <w:rFonts w:hint="eastAsia"/>
          <w:szCs w:val="21"/>
          <w:u w:val="single"/>
        </w:rPr>
        <w:t xml:space="preserve">                 </w:t>
      </w:r>
      <w:r>
        <w:rPr>
          <w:rFonts w:hint="eastAsia"/>
          <w:szCs w:val="21"/>
        </w:rPr>
        <w:t xml:space="preserve"> </w:t>
      </w:r>
    </w:p>
    <w:p>
      <w:pPr>
        <w:spacing w:line="440" w:lineRule="exact"/>
        <w:ind w:firstLine="360" w:firstLineChars="150"/>
        <w:rPr>
          <w:szCs w:val="21"/>
        </w:rPr>
      </w:pPr>
      <w:r>
        <w:rPr>
          <w:rFonts w:hint="eastAsia"/>
          <w:szCs w:val="21"/>
        </w:rPr>
        <w:t>开户银行：</w:t>
      </w:r>
      <w:r>
        <w:rPr>
          <w:rFonts w:hint="eastAsia"/>
          <w:szCs w:val="21"/>
          <w:u w:val="single"/>
        </w:rPr>
        <w:t xml:space="preserve">                 </w:t>
      </w:r>
      <w:r>
        <w:rPr>
          <w:rFonts w:hint="eastAsia"/>
          <w:szCs w:val="21"/>
        </w:rPr>
        <w:t xml:space="preserve">      开户银行：</w:t>
      </w:r>
      <w:r>
        <w:rPr>
          <w:rFonts w:hint="eastAsia"/>
          <w:szCs w:val="21"/>
          <w:u w:val="single"/>
        </w:rPr>
        <w:t xml:space="preserve">                 </w:t>
      </w:r>
      <w:r>
        <w:rPr>
          <w:rFonts w:hint="eastAsia"/>
          <w:szCs w:val="21"/>
        </w:rPr>
        <w:t xml:space="preserve">  </w:t>
      </w:r>
    </w:p>
    <w:p>
      <w:pPr>
        <w:spacing w:line="440" w:lineRule="exact"/>
        <w:ind w:firstLine="360" w:firstLineChars="150"/>
        <w:rPr>
          <w:szCs w:val="21"/>
        </w:rPr>
      </w:pPr>
      <w:r>
        <w:rPr>
          <w:rFonts w:hint="eastAsia"/>
          <w:szCs w:val="21"/>
        </w:rPr>
        <w:t>账  号：</w:t>
      </w:r>
      <w:r>
        <w:rPr>
          <w:rFonts w:hint="eastAsia"/>
          <w:szCs w:val="21"/>
          <w:u w:val="single"/>
        </w:rPr>
        <w:t xml:space="preserve">                 </w:t>
      </w:r>
      <w:r>
        <w:rPr>
          <w:rFonts w:hint="eastAsia"/>
          <w:szCs w:val="21"/>
        </w:rPr>
        <w:t xml:space="preserve">        账  号：</w:t>
      </w:r>
      <w:r>
        <w:rPr>
          <w:rFonts w:hint="eastAsia"/>
          <w:szCs w:val="21"/>
          <w:u w:val="single"/>
        </w:rPr>
        <w:t xml:space="preserve">                 </w:t>
      </w:r>
    </w:p>
    <w:p>
      <w:pPr>
        <w:rPr>
          <w:szCs w:val="21"/>
        </w:rPr>
      </w:pPr>
    </w:p>
    <w:p/>
    <w:p>
      <w:pPr>
        <w:pStyle w:val="5"/>
        <w:jc w:val="center"/>
        <w:rPr>
          <w:rFonts w:ascii="宋体" w:hAnsi="宋体" w:cs="宋体"/>
          <w:sz w:val="24"/>
        </w:rPr>
      </w:pPr>
      <w:r>
        <w:rPr>
          <w:rFonts w:ascii="宋体" w:hAnsi="宋体" w:cs="宋体"/>
          <w:sz w:val="24"/>
        </w:rPr>
        <w:br w:type="page"/>
      </w:r>
      <w:bookmarkStart w:id="37" w:name="_Toc13841479"/>
    </w:p>
    <w:p>
      <w:pPr>
        <w:pStyle w:val="5"/>
        <w:jc w:val="center"/>
        <w:rPr>
          <w:rFonts w:ascii="华文中宋" w:hAnsi="华文中宋" w:eastAsia="华文中宋"/>
          <w:b w:val="0"/>
          <w:bCs w:val="0"/>
          <w:sz w:val="32"/>
          <w:szCs w:val="44"/>
        </w:rPr>
      </w:pPr>
      <w:r>
        <w:rPr>
          <w:rFonts w:hint="eastAsia" w:ascii="华文中宋" w:hAnsi="华文中宋" w:eastAsia="华文中宋"/>
          <w:b w:val="0"/>
          <w:bCs w:val="0"/>
          <w:sz w:val="32"/>
          <w:szCs w:val="44"/>
        </w:rPr>
        <w:t>第二部分 通用合同条款</w:t>
      </w:r>
      <w:bookmarkEnd w:id="37"/>
    </w:p>
    <w:p>
      <w:pPr>
        <w:spacing w:line="360" w:lineRule="auto"/>
        <w:ind w:firstLine="482" w:firstLineChars="200"/>
        <w:rPr>
          <w:b/>
        </w:rPr>
      </w:pPr>
    </w:p>
    <w:p>
      <w:pPr>
        <w:spacing w:line="360" w:lineRule="auto"/>
        <w:ind w:firstLine="482" w:firstLineChars="200"/>
        <w:rPr>
          <w:b/>
          <w:szCs w:val="21"/>
        </w:rPr>
      </w:pPr>
      <w:r>
        <w:rPr>
          <w:rFonts w:hint="eastAsia"/>
          <w:b/>
          <w:szCs w:val="21"/>
        </w:rPr>
        <w:t>采用《建设项目工程总承包合同示范文本》</w:t>
      </w:r>
      <w:r>
        <w:rPr>
          <w:b/>
          <w:szCs w:val="21"/>
        </w:rPr>
        <w:t>（GF-2011-0216</w:t>
      </w:r>
      <w:r>
        <w:rPr>
          <w:rFonts w:hint="eastAsia"/>
          <w:b/>
          <w:szCs w:val="21"/>
        </w:rPr>
        <w:t>）。</w:t>
      </w:r>
    </w:p>
    <w:p/>
    <w:p>
      <w:pPr>
        <w:spacing w:beforeLines="50" w:afterLines="50" w:line="300" w:lineRule="auto"/>
        <w:jc w:val="center"/>
        <w:rPr>
          <w:rFonts w:ascii="华文中宋" w:hAnsi="华文中宋" w:eastAsia="华文中宋"/>
          <w:sz w:val="32"/>
          <w:szCs w:val="44"/>
        </w:rPr>
      </w:pPr>
      <w:r>
        <w:br w:type="page"/>
      </w:r>
      <w:r>
        <w:rPr>
          <w:rFonts w:hint="eastAsia" w:ascii="华文中宋" w:hAnsi="华文中宋" w:eastAsia="华文中宋"/>
          <w:sz w:val="32"/>
          <w:szCs w:val="44"/>
        </w:rPr>
        <w:t>第三部分专用条款</w:t>
      </w:r>
    </w:p>
    <w:p>
      <w:pPr>
        <w:snapToGrid w:val="0"/>
        <w:spacing w:line="360" w:lineRule="auto"/>
        <w:ind w:firstLine="472" w:firstLineChars="196"/>
        <w:rPr>
          <w:b/>
          <w:szCs w:val="21"/>
        </w:rPr>
      </w:pPr>
      <w:r>
        <w:rPr>
          <w:rFonts w:hint="eastAsia"/>
          <w:b/>
          <w:szCs w:val="21"/>
        </w:rPr>
        <w:t>第</w:t>
      </w:r>
      <w:r>
        <w:rPr>
          <w:b/>
          <w:szCs w:val="21"/>
        </w:rPr>
        <w:t>1</w:t>
      </w:r>
      <w:r>
        <w:rPr>
          <w:rFonts w:hint="eastAsia"/>
          <w:b/>
          <w:szCs w:val="21"/>
        </w:rPr>
        <w:t>条一般规定</w:t>
      </w:r>
    </w:p>
    <w:p>
      <w:pPr>
        <w:snapToGrid w:val="0"/>
        <w:spacing w:line="360" w:lineRule="auto"/>
        <w:ind w:firstLine="482" w:firstLineChars="200"/>
        <w:rPr>
          <w:b/>
          <w:szCs w:val="21"/>
        </w:rPr>
      </w:pPr>
      <w:r>
        <w:rPr>
          <w:rFonts w:hint="eastAsia"/>
          <w:b/>
          <w:szCs w:val="21"/>
        </w:rPr>
        <w:t>1.1  定义与解释</w:t>
      </w:r>
    </w:p>
    <w:p>
      <w:pPr>
        <w:tabs>
          <w:tab w:val="left" w:pos="1276"/>
        </w:tabs>
        <w:snapToGrid w:val="0"/>
        <w:spacing w:line="360" w:lineRule="auto"/>
        <w:ind w:firstLine="480" w:firstLineChars="200"/>
        <w:rPr>
          <w:szCs w:val="21"/>
          <w:u w:val="single"/>
        </w:rPr>
      </w:pPr>
      <w:r>
        <w:rPr>
          <w:rFonts w:hint="eastAsia"/>
          <w:szCs w:val="21"/>
        </w:rPr>
        <w:t>1.1.51 双方约定的视为不可抗力时间处理的其它情形如下：</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1.1.52 双方根据本合同工程的特点，补充约定的其它定义：</w:t>
      </w:r>
      <w:r>
        <w:rPr>
          <w:rFonts w:hint="eastAsia"/>
          <w:szCs w:val="21"/>
          <w:u w:val="single"/>
        </w:rPr>
        <w:t xml:space="preserve">  /  </w:t>
      </w:r>
    </w:p>
    <w:p>
      <w:pPr>
        <w:snapToGrid w:val="0"/>
        <w:spacing w:line="360" w:lineRule="auto"/>
        <w:ind w:firstLine="482" w:firstLineChars="200"/>
        <w:rPr>
          <w:b/>
          <w:szCs w:val="21"/>
        </w:rPr>
      </w:pPr>
      <w:r>
        <w:rPr>
          <w:rFonts w:hint="eastAsia"/>
          <w:b/>
          <w:szCs w:val="21"/>
        </w:rPr>
        <w:t>1.3  语言文字</w:t>
      </w:r>
    </w:p>
    <w:p>
      <w:pPr>
        <w:snapToGrid w:val="0"/>
        <w:spacing w:line="360" w:lineRule="auto"/>
        <w:ind w:firstLine="480" w:firstLineChars="200"/>
        <w:rPr>
          <w:szCs w:val="21"/>
        </w:rPr>
      </w:pPr>
      <w:r>
        <w:rPr>
          <w:rFonts w:hint="eastAsia"/>
          <w:szCs w:val="21"/>
        </w:rPr>
        <w:t>本合同除使用汉语外，还使用语言。</w:t>
      </w:r>
    </w:p>
    <w:p>
      <w:pPr>
        <w:snapToGrid w:val="0"/>
        <w:spacing w:line="360" w:lineRule="auto"/>
        <w:ind w:firstLine="482" w:firstLineChars="200"/>
        <w:rPr>
          <w:b/>
          <w:szCs w:val="21"/>
        </w:rPr>
      </w:pPr>
      <w:r>
        <w:rPr>
          <w:rFonts w:hint="eastAsia"/>
          <w:b/>
          <w:szCs w:val="21"/>
        </w:rPr>
        <w:t>1.4  适用法律</w:t>
      </w:r>
    </w:p>
    <w:p>
      <w:pPr>
        <w:tabs>
          <w:tab w:val="left" w:pos="1276"/>
        </w:tabs>
        <w:snapToGrid w:val="0"/>
        <w:spacing w:line="360" w:lineRule="auto"/>
        <w:ind w:firstLine="480" w:firstLineChars="200"/>
        <w:rPr>
          <w:szCs w:val="21"/>
        </w:rPr>
      </w:pPr>
      <w:r>
        <w:rPr>
          <w:rFonts w:hint="eastAsia"/>
          <w:szCs w:val="21"/>
        </w:rPr>
        <w:t>适用于合同的其他规范性文件：</w:t>
      </w:r>
      <w:r>
        <w:rPr>
          <w:rFonts w:hint="eastAsia"/>
          <w:szCs w:val="21"/>
          <w:u w:val="single"/>
        </w:rPr>
        <w:t xml:space="preserve">《中华人民共和国建筑法》、《中华人民共和国民法典》、《中华人民共和国招标投标法》、七部委第12号令《评标委员会和评标方法暂行规定》、建设部第89号令《房屋建筑和市政基础设施工程施工招标投标管理办法》、七部委第30号令、《建设工程质量管理条例》（国务院第279号令）、《江苏省工程建设管理条例》、《江苏省建筑市场管理条例》。 </w:t>
      </w:r>
    </w:p>
    <w:p>
      <w:pPr>
        <w:snapToGrid w:val="0"/>
        <w:spacing w:line="360" w:lineRule="auto"/>
        <w:ind w:firstLine="482" w:firstLineChars="200"/>
        <w:rPr>
          <w:b/>
          <w:szCs w:val="21"/>
        </w:rPr>
      </w:pPr>
      <w:r>
        <w:rPr>
          <w:rFonts w:hint="eastAsia"/>
          <w:b/>
          <w:szCs w:val="21"/>
        </w:rPr>
        <w:t>1.5  标准、规范</w:t>
      </w:r>
    </w:p>
    <w:p>
      <w:pPr>
        <w:tabs>
          <w:tab w:val="left" w:pos="1276"/>
        </w:tabs>
        <w:snapToGrid w:val="0"/>
        <w:spacing w:line="360" w:lineRule="auto"/>
        <w:ind w:firstLine="480" w:firstLineChars="200"/>
        <w:rPr>
          <w:szCs w:val="21"/>
          <w:u w:val="single"/>
        </w:rPr>
      </w:pPr>
      <w:r>
        <w:rPr>
          <w:rFonts w:hint="eastAsia"/>
          <w:szCs w:val="21"/>
        </w:rPr>
        <w:t>1.5.1 本合同适用的标准、规范（名称）：</w:t>
      </w:r>
      <w:r>
        <w:rPr>
          <w:rFonts w:hint="eastAsia"/>
          <w:szCs w:val="21"/>
          <w:u w:val="single"/>
        </w:rPr>
        <w:t>中华人民共和国建设部颁发的有关标准、规范及省、市有关规定，当对同一问题各种规定或与合同文件要求产生不一致时，以国家、行业或当地颁布的技术标准、规范、规定或合同文件中要求严格、标准高者为准。</w:t>
      </w:r>
    </w:p>
    <w:p>
      <w:pPr>
        <w:snapToGrid w:val="0"/>
        <w:spacing w:line="360" w:lineRule="auto"/>
        <w:ind w:firstLine="480" w:firstLineChars="200"/>
        <w:rPr>
          <w:szCs w:val="21"/>
        </w:rPr>
      </w:pPr>
      <w:r>
        <w:rPr>
          <w:rFonts w:hint="eastAsia"/>
          <w:szCs w:val="21"/>
        </w:rPr>
        <w:t>1.5.2  发包人提供的国外标准、规范的名称、份数和时间：</w:t>
      </w:r>
      <w:r>
        <w:rPr>
          <w:rFonts w:hint="eastAsia"/>
          <w:szCs w:val="21"/>
          <w:u w:val="single"/>
        </w:rPr>
        <w:t xml:space="preserve">  /  </w:t>
      </w:r>
      <w:r>
        <w:rPr>
          <w:rFonts w:hint="eastAsia"/>
          <w:szCs w:val="21"/>
        </w:rPr>
        <w:t>。</w:t>
      </w:r>
    </w:p>
    <w:p>
      <w:pPr>
        <w:snapToGrid w:val="0"/>
        <w:spacing w:line="360" w:lineRule="auto"/>
        <w:ind w:firstLine="480" w:firstLineChars="200"/>
        <w:rPr>
          <w:szCs w:val="21"/>
          <w:u w:val="single"/>
        </w:rPr>
      </w:pPr>
      <w:r>
        <w:rPr>
          <w:rFonts w:hint="eastAsia"/>
          <w:szCs w:val="21"/>
        </w:rPr>
        <w:t>1.5.3  没有成文规范、标准规定的约定：</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发包人的技术要求及提交时间：</w:t>
      </w:r>
      <w:r>
        <w:rPr>
          <w:rFonts w:hint="eastAsia"/>
          <w:szCs w:val="21"/>
          <w:u w:val="single"/>
        </w:rPr>
        <w:t xml:space="preserve">  /  。</w:t>
      </w:r>
    </w:p>
    <w:p>
      <w:pPr>
        <w:snapToGrid w:val="0"/>
        <w:spacing w:line="360" w:lineRule="auto"/>
        <w:ind w:firstLine="465"/>
        <w:rPr>
          <w:szCs w:val="21"/>
          <w:u w:val="single"/>
        </w:rPr>
      </w:pPr>
      <w:r>
        <w:rPr>
          <w:rFonts w:hint="eastAsia"/>
          <w:szCs w:val="21"/>
        </w:rPr>
        <w:t>承包人提交实施方法的时间：</w:t>
      </w:r>
      <w:r>
        <w:rPr>
          <w:rFonts w:hint="eastAsia"/>
          <w:szCs w:val="21"/>
          <w:u w:val="single"/>
        </w:rPr>
        <w:t xml:space="preserve">  /  。</w:t>
      </w:r>
    </w:p>
    <w:p>
      <w:pPr>
        <w:snapToGrid w:val="0"/>
        <w:spacing w:line="360" w:lineRule="auto"/>
        <w:ind w:firstLine="482" w:firstLineChars="200"/>
        <w:rPr>
          <w:b/>
          <w:bCs/>
          <w:szCs w:val="21"/>
        </w:rPr>
      </w:pPr>
      <w:r>
        <w:rPr>
          <w:rFonts w:hint="eastAsia"/>
          <w:b/>
          <w:bCs/>
          <w:szCs w:val="21"/>
        </w:rPr>
        <w:t>1.6合同文件的优先顺序</w:t>
      </w:r>
    </w:p>
    <w:p>
      <w:pPr>
        <w:snapToGrid w:val="0"/>
        <w:spacing w:line="360" w:lineRule="auto"/>
        <w:ind w:firstLine="480" w:firstLineChars="200"/>
        <w:rPr>
          <w:szCs w:val="21"/>
        </w:rPr>
      </w:pPr>
      <w:r>
        <w:rPr>
          <w:rFonts w:hint="eastAsia"/>
          <w:szCs w:val="21"/>
        </w:rPr>
        <w:t>合同文件组成及优先顺序为：</w:t>
      </w:r>
      <w:r>
        <w:rPr>
          <w:rFonts w:hint="eastAsia"/>
          <w:szCs w:val="21"/>
          <w:u w:val="single"/>
        </w:rPr>
        <w:t>（1）合同协议书；（2）中标通知书；（3）招标文件及修改、补充文件；（4）投标函及其附录；（5）专用合同条款及其附件；（6）通用合同条款；（7）技术标准和要求；（8）投标文件；（9）其他合同文件。</w:t>
      </w:r>
      <w:r>
        <w:rPr>
          <w:rFonts w:hint="eastAsia"/>
          <w:szCs w:val="21"/>
        </w:rPr>
        <w:t xml:space="preserve"> </w:t>
      </w:r>
    </w:p>
    <w:p>
      <w:pPr>
        <w:snapToGrid w:val="0"/>
        <w:spacing w:line="360" w:lineRule="auto"/>
        <w:ind w:firstLine="482" w:firstLineChars="200"/>
        <w:rPr>
          <w:b/>
          <w:bCs/>
          <w:szCs w:val="21"/>
        </w:rPr>
      </w:pPr>
      <w:r>
        <w:rPr>
          <w:rFonts w:hint="eastAsia"/>
          <w:b/>
          <w:bCs/>
          <w:szCs w:val="21"/>
        </w:rPr>
        <w:t>1.</w:t>
      </w:r>
      <w:r>
        <w:rPr>
          <w:rFonts w:hint="eastAsia"/>
          <w:b/>
          <w:bCs/>
          <w:szCs w:val="21"/>
          <w:lang w:val="en-US" w:eastAsia="zh-CN"/>
        </w:rPr>
        <w:t>8</w:t>
      </w:r>
      <w:r>
        <w:rPr>
          <w:rFonts w:hint="eastAsia"/>
          <w:b/>
          <w:bCs/>
          <w:szCs w:val="21"/>
        </w:rPr>
        <w:t>图纸和承包人文件</w:t>
      </w:r>
      <w:r>
        <w:rPr>
          <w:rFonts w:hint="eastAsia"/>
          <w:b/>
          <w:bCs/>
          <w:szCs w:val="21"/>
        </w:rPr>
        <w:tab/>
      </w:r>
    </w:p>
    <w:p>
      <w:pPr>
        <w:snapToGrid w:val="0"/>
        <w:spacing w:line="360" w:lineRule="auto"/>
        <w:ind w:firstLine="480" w:firstLineChars="200"/>
        <w:rPr>
          <w:szCs w:val="21"/>
        </w:rPr>
      </w:pPr>
      <w:r>
        <w:rPr>
          <w:rFonts w:hint="eastAsia"/>
          <w:szCs w:val="21"/>
        </w:rPr>
        <w:t>1.8.1 图纸的提供</w:t>
      </w:r>
    </w:p>
    <w:p>
      <w:pPr>
        <w:snapToGrid w:val="0"/>
        <w:spacing w:line="360" w:lineRule="auto"/>
        <w:ind w:firstLine="480" w:firstLineChars="200"/>
        <w:rPr>
          <w:szCs w:val="21"/>
        </w:rPr>
      </w:pPr>
      <w:r>
        <w:rPr>
          <w:rFonts w:hint="eastAsia"/>
          <w:szCs w:val="21"/>
        </w:rPr>
        <w:t>发包人向承包人提供图纸的期限：</w:t>
      </w:r>
      <w:r>
        <w:rPr>
          <w:rFonts w:hint="eastAsia"/>
          <w:szCs w:val="21"/>
          <w:u w:val="single"/>
        </w:rPr>
        <w:t xml:space="preserve">  /  。</w:t>
      </w:r>
    </w:p>
    <w:p>
      <w:pPr>
        <w:snapToGrid w:val="0"/>
        <w:spacing w:line="360" w:lineRule="auto"/>
        <w:ind w:firstLine="480" w:firstLineChars="200"/>
        <w:rPr>
          <w:szCs w:val="21"/>
        </w:rPr>
      </w:pPr>
      <w:r>
        <w:rPr>
          <w:rFonts w:hint="eastAsia"/>
          <w:szCs w:val="21"/>
        </w:rPr>
        <w:t>发包人向承包人提供图纸的数量：</w:t>
      </w:r>
      <w:r>
        <w:rPr>
          <w:rFonts w:hint="eastAsia"/>
          <w:szCs w:val="21"/>
          <w:u w:val="single"/>
        </w:rPr>
        <w:t xml:space="preserve">  /  。</w:t>
      </w:r>
    </w:p>
    <w:p>
      <w:pPr>
        <w:snapToGrid w:val="0"/>
        <w:spacing w:line="360" w:lineRule="auto"/>
        <w:ind w:firstLine="480" w:firstLineChars="200"/>
        <w:rPr>
          <w:szCs w:val="21"/>
        </w:rPr>
      </w:pPr>
      <w:r>
        <w:rPr>
          <w:rFonts w:hint="eastAsia"/>
          <w:szCs w:val="21"/>
        </w:rPr>
        <w:t>发包人向承包人提供图纸的内容：</w:t>
      </w:r>
      <w:r>
        <w:rPr>
          <w:rFonts w:hint="eastAsia"/>
          <w:szCs w:val="21"/>
          <w:u w:val="single"/>
        </w:rPr>
        <w:t xml:space="preserve">  /  。</w:t>
      </w:r>
    </w:p>
    <w:p>
      <w:pPr>
        <w:snapToGrid w:val="0"/>
        <w:spacing w:line="360" w:lineRule="auto"/>
        <w:ind w:firstLine="480" w:firstLineChars="200"/>
        <w:rPr>
          <w:szCs w:val="21"/>
        </w:rPr>
      </w:pPr>
      <w:r>
        <w:rPr>
          <w:rFonts w:hint="eastAsia"/>
          <w:szCs w:val="21"/>
        </w:rPr>
        <w:t>1.8.2 承包人文件</w:t>
      </w:r>
    </w:p>
    <w:p>
      <w:pPr>
        <w:snapToGrid w:val="0"/>
        <w:spacing w:line="360" w:lineRule="auto"/>
        <w:ind w:firstLine="480" w:firstLineChars="200"/>
        <w:rPr>
          <w:szCs w:val="21"/>
        </w:rPr>
      </w:pPr>
      <w:r>
        <w:rPr>
          <w:rFonts w:hint="eastAsia"/>
          <w:szCs w:val="21"/>
        </w:rPr>
        <w:t>A.设计</w:t>
      </w:r>
    </w:p>
    <w:p>
      <w:pPr>
        <w:snapToGrid w:val="0"/>
        <w:spacing w:line="360" w:lineRule="auto"/>
        <w:ind w:firstLine="480" w:firstLineChars="200"/>
        <w:rPr>
          <w:szCs w:val="21"/>
          <w:u w:val="single"/>
        </w:rPr>
      </w:pPr>
      <w:r>
        <w:rPr>
          <w:rFonts w:hint="eastAsia"/>
          <w:szCs w:val="21"/>
        </w:rPr>
        <w:t>需要由设计方提供的文件，包括：</w:t>
      </w:r>
      <w:r>
        <w:rPr>
          <w:rFonts w:hint="eastAsia"/>
          <w:szCs w:val="21"/>
          <w:u w:val="single"/>
          <w:lang w:val="zh-CN"/>
        </w:rPr>
        <w:t>方案设计、施工图、施工图电子文件等本项目所需的设计成果文件。</w:t>
      </w:r>
    </w:p>
    <w:p>
      <w:pPr>
        <w:snapToGrid w:val="0"/>
        <w:spacing w:line="360" w:lineRule="auto"/>
        <w:ind w:firstLine="480" w:firstLineChars="200"/>
        <w:rPr>
          <w:szCs w:val="21"/>
        </w:rPr>
      </w:pPr>
      <w:r>
        <w:rPr>
          <w:rFonts w:hint="eastAsia"/>
          <w:szCs w:val="21"/>
        </w:rPr>
        <w:t>B.施工</w:t>
      </w:r>
    </w:p>
    <w:p>
      <w:pPr>
        <w:snapToGrid w:val="0"/>
        <w:spacing w:line="360" w:lineRule="auto"/>
        <w:ind w:firstLine="480" w:firstLineChars="200"/>
        <w:rPr>
          <w:szCs w:val="21"/>
        </w:rPr>
      </w:pPr>
      <w:r>
        <w:rPr>
          <w:rFonts w:hint="eastAsia"/>
          <w:szCs w:val="21"/>
        </w:rPr>
        <w:t>需要由承包人提供的文件，包括：</w:t>
      </w:r>
      <w:r>
        <w:rPr>
          <w:rFonts w:hint="eastAsia"/>
          <w:szCs w:val="21"/>
          <w:u w:val="single"/>
        </w:rPr>
        <w:t>施工组织设计、工程总进度计划及人员、机械、材料安排计划</w:t>
      </w:r>
      <w:r>
        <w:rPr>
          <w:rFonts w:hint="eastAsia"/>
          <w:szCs w:val="21"/>
        </w:rPr>
        <w:t>；</w:t>
      </w:r>
    </w:p>
    <w:p>
      <w:pPr>
        <w:snapToGrid w:val="0"/>
        <w:spacing w:line="360" w:lineRule="auto"/>
        <w:ind w:firstLine="480" w:firstLineChars="200"/>
        <w:rPr>
          <w:szCs w:val="21"/>
          <w:u w:val="single"/>
        </w:rPr>
      </w:pPr>
      <w:r>
        <w:rPr>
          <w:rFonts w:hint="eastAsia"/>
          <w:szCs w:val="21"/>
        </w:rPr>
        <w:t>承包人提供的文件的期限为：</w:t>
      </w:r>
      <w:r>
        <w:rPr>
          <w:rFonts w:hint="eastAsia"/>
          <w:szCs w:val="21"/>
          <w:u w:val="single"/>
        </w:rPr>
        <w:t>中标公示结束之日起3天内提供；</w:t>
      </w:r>
    </w:p>
    <w:p>
      <w:pPr>
        <w:snapToGrid w:val="0"/>
        <w:spacing w:line="360" w:lineRule="auto"/>
        <w:ind w:firstLine="480" w:firstLineChars="200"/>
        <w:rPr>
          <w:szCs w:val="21"/>
        </w:rPr>
      </w:pPr>
      <w:r>
        <w:rPr>
          <w:rFonts w:hint="eastAsia"/>
          <w:szCs w:val="21"/>
        </w:rPr>
        <w:t>承包人提供的文件的数量为：</w:t>
      </w:r>
      <w:r>
        <w:rPr>
          <w:rFonts w:hint="eastAsia"/>
          <w:szCs w:val="21"/>
          <w:u w:val="single"/>
        </w:rPr>
        <w:t xml:space="preserve">视发包人要求 </w:t>
      </w:r>
      <w:r>
        <w:rPr>
          <w:rFonts w:hint="eastAsia"/>
          <w:szCs w:val="21"/>
        </w:rPr>
        <w:t>；</w:t>
      </w:r>
    </w:p>
    <w:p>
      <w:pPr>
        <w:snapToGrid w:val="0"/>
        <w:spacing w:line="360" w:lineRule="auto"/>
        <w:ind w:firstLine="480" w:firstLineChars="200"/>
        <w:rPr>
          <w:szCs w:val="21"/>
        </w:rPr>
      </w:pPr>
      <w:r>
        <w:rPr>
          <w:rFonts w:hint="eastAsia"/>
          <w:szCs w:val="21"/>
        </w:rPr>
        <w:t>承包人提供的文件的形式为：</w:t>
      </w:r>
      <w:r>
        <w:rPr>
          <w:rFonts w:hint="eastAsia"/>
          <w:szCs w:val="21"/>
          <w:u w:val="single"/>
        </w:rPr>
        <w:t>书面形式</w:t>
      </w:r>
      <w:r>
        <w:rPr>
          <w:rFonts w:hint="eastAsia"/>
          <w:szCs w:val="21"/>
        </w:rPr>
        <w:t>；</w:t>
      </w:r>
    </w:p>
    <w:p>
      <w:pPr>
        <w:snapToGrid w:val="0"/>
        <w:spacing w:line="360" w:lineRule="auto"/>
        <w:ind w:firstLine="480" w:firstLineChars="200"/>
        <w:rPr>
          <w:szCs w:val="21"/>
        </w:rPr>
      </w:pPr>
      <w:r>
        <w:rPr>
          <w:rFonts w:hint="eastAsia"/>
          <w:szCs w:val="21"/>
        </w:rPr>
        <w:t>发包人审批承包人文件的期限：</w:t>
      </w:r>
      <w:r>
        <w:rPr>
          <w:rFonts w:hint="eastAsia"/>
          <w:szCs w:val="21"/>
          <w:u w:val="single"/>
        </w:rPr>
        <w:t xml:space="preserve">收到文件后7天内 </w:t>
      </w:r>
      <w:r>
        <w:rPr>
          <w:rFonts w:hint="eastAsia"/>
          <w:szCs w:val="21"/>
        </w:rPr>
        <w:t>；</w:t>
      </w:r>
    </w:p>
    <w:p>
      <w:pPr>
        <w:snapToGrid w:val="0"/>
        <w:spacing w:line="360" w:lineRule="auto"/>
        <w:ind w:firstLine="480" w:firstLineChars="200"/>
        <w:rPr>
          <w:szCs w:val="21"/>
        </w:rPr>
      </w:pPr>
      <w:r>
        <w:rPr>
          <w:rFonts w:hint="eastAsia"/>
          <w:szCs w:val="21"/>
        </w:rPr>
        <w:t>发包人审批承包人文件的地点：</w:t>
      </w:r>
      <w:r>
        <w:rPr>
          <w:rFonts w:hint="eastAsia"/>
          <w:szCs w:val="21"/>
          <w:u w:val="single"/>
        </w:rPr>
        <w:t>工地现场</w:t>
      </w:r>
      <w:r>
        <w:rPr>
          <w:rFonts w:hint="eastAsia"/>
          <w:szCs w:val="21"/>
        </w:rPr>
        <w:t>。</w:t>
      </w:r>
    </w:p>
    <w:p>
      <w:pPr>
        <w:snapToGrid w:val="0"/>
        <w:spacing w:line="360" w:lineRule="auto"/>
        <w:ind w:firstLine="480" w:firstLineChars="200"/>
        <w:rPr>
          <w:szCs w:val="21"/>
        </w:rPr>
      </w:pPr>
      <w:r>
        <w:rPr>
          <w:rFonts w:hint="eastAsia"/>
          <w:szCs w:val="21"/>
        </w:rPr>
        <w:t>1.8.3 现场图纸准备</w:t>
      </w:r>
    </w:p>
    <w:p>
      <w:pPr>
        <w:snapToGrid w:val="0"/>
        <w:spacing w:line="360" w:lineRule="auto"/>
        <w:ind w:firstLine="480" w:firstLineChars="200"/>
        <w:rPr>
          <w:szCs w:val="21"/>
          <w:u w:val="single"/>
        </w:rPr>
      </w:pPr>
      <w:r>
        <w:rPr>
          <w:rFonts w:hint="eastAsia"/>
          <w:szCs w:val="21"/>
        </w:rPr>
        <w:t>关于现场图纸准备的约定：</w:t>
      </w:r>
      <w:r>
        <w:rPr>
          <w:rFonts w:hint="eastAsia"/>
          <w:szCs w:val="21"/>
          <w:u w:val="single"/>
        </w:rPr>
        <w:t>施工现场保留一套完整图纸供发包人、监理人及有关人员使用。</w:t>
      </w:r>
    </w:p>
    <w:p>
      <w:pPr>
        <w:snapToGrid w:val="0"/>
        <w:spacing w:line="360" w:lineRule="auto"/>
        <w:ind w:firstLine="480" w:firstLineChars="200"/>
        <w:rPr>
          <w:szCs w:val="21"/>
        </w:rPr>
      </w:pPr>
      <w:r>
        <w:rPr>
          <w:rFonts w:hint="eastAsia"/>
          <w:szCs w:val="21"/>
        </w:rPr>
        <w:t>1.9</w:t>
      </w:r>
      <w:r>
        <w:rPr>
          <w:rFonts w:hint="eastAsia"/>
          <w:b w:val="0"/>
          <w:bCs w:val="0"/>
          <w:szCs w:val="21"/>
        </w:rPr>
        <w:t>联络</w:t>
      </w:r>
    </w:p>
    <w:p>
      <w:pPr>
        <w:snapToGrid w:val="0"/>
        <w:spacing w:line="360" w:lineRule="auto"/>
        <w:ind w:firstLine="480" w:firstLineChars="200"/>
        <w:rPr>
          <w:szCs w:val="21"/>
        </w:rPr>
      </w:pPr>
      <w:r>
        <w:rPr>
          <w:rFonts w:hint="eastAsia"/>
          <w:szCs w:val="21"/>
        </w:rPr>
        <w:t>1.9.1发包人和承包人应当在3 天内将与合同有关的通知、批准、证明、证书、指示、指令、要求、请求、同意、意见、确定和决定等书面函件送达对方当事人。</w:t>
      </w:r>
    </w:p>
    <w:p>
      <w:pPr>
        <w:snapToGrid w:val="0"/>
        <w:spacing w:line="360" w:lineRule="auto"/>
        <w:ind w:firstLine="480" w:firstLineChars="200"/>
        <w:rPr>
          <w:szCs w:val="21"/>
        </w:rPr>
      </w:pPr>
      <w:r>
        <w:rPr>
          <w:rFonts w:hint="eastAsia"/>
          <w:szCs w:val="21"/>
        </w:rPr>
        <w:t>1.9.2 发包人接收文件的地点：</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发包人指定的接收人为：</w:t>
      </w:r>
      <w:r>
        <w:rPr>
          <w:rFonts w:hint="eastAsia"/>
          <w:szCs w:val="21"/>
          <w:u w:val="single"/>
        </w:rPr>
        <w:t>               </w:t>
      </w:r>
      <w:r>
        <w:rPr>
          <w:rFonts w:hint="eastAsia"/>
          <w:szCs w:val="21"/>
        </w:rPr>
        <w:t>；</w:t>
      </w:r>
    </w:p>
    <w:p>
      <w:pPr>
        <w:snapToGrid w:val="0"/>
        <w:spacing w:line="360" w:lineRule="auto"/>
        <w:ind w:firstLine="480" w:firstLineChars="200"/>
        <w:rPr>
          <w:szCs w:val="21"/>
        </w:rPr>
      </w:pPr>
      <w:r>
        <w:rPr>
          <w:rFonts w:hint="eastAsia"/>
          <w:szCs w:val="21"/>
        </w:rPr>
        <w:t>承包人接收文件的地点：</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承包人指定的接收人为：</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监理人接收文件的地点：</w:t>
      </w:r>
      <w:r>
        <w:rPr>
          <w:rFonts w:hint="eastAsia"/>
          <w:szCs w:val="21"/>
          <w:u w:val="single"/>
        </w:rPr>
        <w:t xml:space="preserve">                 </w:t>
      </w:r>
      <w:r>
        <w:rPr>
          <w:rFonts w:hint="eastAsia"/>
          <w:szCs w:val="21"/>
        </w:rPr>
        <w:t>；</w:t>
      </w:r>
    </w:p>
    <w:p>
      <w:pPr>
        <w:snapToGrid w:val="0"/>
        <w:spacing w:line="360" w:lineRule="auto"/>
        <w:ind w:firstLine="480" w:firstLineChars="200"/>
        <w:rPr>
          <w:szCs w:val="21"/>
          <w:u w:val="single"/>
        </w:rPr>
      </w:pPr>
      <w:r>
        <w:rPr>
          <w:rFonts w:hint="eastAsia"/>
          <w:szCs w:val="21"/>
        </w:rPr>
        <w:t>监理人指定的接收人为：</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1.10 交通运输</w:t>
      </w:r>
    </w:p>
    <w:p>
      <w:pPr>
        <w:snapToGrid w:val="0"/>
        <w:spacing w:line="360" w:lineRule="auto"/>
        <w:ind w:firstLine="480" w:firstLineChars="200"/>
        <w:rPr>
          <w:szCs w:val="21"/>
        </w:rPr>
      </w:pPr>
      <w:r>
        <w:rPr>
          <w:rFonts w:hint="eastAsia"/>
          <w:szCs w:val="21"/>
        </w:rPr>
        <w:t>1.10.1 出入现场的权利</w:t>
      </w:r>
    </w:p>
    <w:p>
      <w:pPr>
        <w:snapToGrid w:val="0"/>
        <w:spacing w:line="360" w:lineRule="auto"/>
        <w:ind w:firstLine="480" w:firstLineChars="200"/>
        <w:rPr>
          <w:szCs w:val="21"/>
        </w:rPr>
      </w:pPr>
      <w:r>
        <w:rPr>
          <w:rFonts w:hint="eastAsia"/>
          <w:szCs w:val="21"/>
        </w:rPr>
        <w:t>关于出入现场的权利的约定：</w:t>
      </w:r>
      <w:r>
        <w:rPr>
          <w:rFonts w:hint="eastAsia"/>
          <w:szCs w:val="21"/>
          <w:u w:val="single"/>
        </w:rPr>
        <w:t xml:space="preserve">  按发包人要求  。</w:t>
      </w:r>
    </w:p>
    <w:p>
      <w:pPr>
        <w:snapToGrid w:val="0"/>
        <w:spacing w:line="360" w:lineRule="auto"/>
        <w:ind w:firstLine="480" w:firstLineChars="200"/>
        <w:rPr>
          <w:szCs w:val="21"/>
        </w:rPr>
      </w:pPr>
      <w:r>
        <w:rPr>
          <w:rFonts w:hint="eastAsia"/>
          <w:szCs w:val="21"/>
        </w:rPr>
        <w:t>1.10.3 场内交通</w:t>
      </w:r>
    </w:p>
    <w:p>
      <w:pPr>
        <w:snapToGrid w:val="0"/>
        <w:spacing w:line="360" w:lineRule="auto"/>
        <w:ind w:firstLine="480" w:firstLineChars="200"/>
        <w:rPr>
          <w:szCs w:val="21"/>
        </w:rPr>
      </w:pPr>
      <w:r>
        <w:rPr>
          <w:rFonts w:hint="eastAsia"/>
          <w:szCs w:val="21"/>
        </w:rPr>
        <w:t>关于场外交通和场内交通的边界的约定：</w:t>
      </w:r>
      <w:r>
        <w:rPr>
          <w:rFonts w:hint="eastAsia"/>
          <w:szCs w:val="21"/>
          <w:u w:val="single"/>
        </w:rPr>
        <w:t>按发包人要求</w:t>
      </w:r>
      <w:r>
        <w:rPr>
          <w:rFonts w:hint="eastAsia"/>
          <w:szCs w:val="21"/>
        </w:rPr>
        <w:t>。</w:t>
      </w:r>
    </w:p>
    <w:p>
      <w:pPr>
        <w:snapToGrid w:val="0"/>
        <w:spacing w:line="360" w:lineRule="auto"/>
        <w:ind w:firstLine="480" w:firstLineChars="200"/>
        <w:rPr>
          <w:szCs w:val="21"/>
        </w:rPr>
      </w:pPr>
      <w:r>
        <w:rPr>
          <w:rFonts w:hint="eastAsia"/>
          <w:szCs w:val="21"/>
        </w:rPr>
        <w:t>关于发包人向承包人免费提供满足工程施工需要的场内道路和交通设施的约定：</w:t>
      </w:r>
      <w:r>
        <w:rPr>
          <w:rFonts w:hint="eastAsia"/>
          <w:szCs w:val="21"/>
          <w:u w:val="single"/>
        </w:rPr>
        <w:t>无 。</w:t>
      </w:r>
      <w:r>
        <w:rPr>
          <w:rFonts w:hint="eastAsia"/>
          <w:szCs w:val="21"/>
        </w:rPr>
        <w:t xml:space="preserve">  </w:t>
      </w:r>
    </w:p>
    <w:p>
      <w:pPr>
        <w:snapToGrid w:val="0"/>
        <w:spacing w:line="360" w:lineRule="auto"/>
        <w:ind w:firstLine="480" w:firstLineChars="200"/>
        <w:rPr>
          <w:szCs w:val="21"/>
        </w:rPr>
      </w:pPr>
      <w:r>
        <w:rPr>
          <w:rFonts w:hint="eastAsia"/>
          <w:szCs w:val="21"/>
        </w:rPr>
        <w:t>1.10.4超大件和超重件的运输</w:t>
      </w:r>
    </w:p>
    <w:p>
      <w:pPr>
        <w:snapToGrid w:val="0"/>
        <w:spacing w:line="360" w:lineRule="auto"/>
        <w:ind w:firstLine="480" w:firstLineChars="200"/>
        <w:rPr>
          <w:szCs w:val="21"/>
        </w:rPr>
      </w:pPr>
      <w:r>
        <w:rPr>
          <w:rFonts w:hint="eastAsia"/>
          <w:szCs w:val="21"/>
        </w:rPr>
        <w:t>运输超大件或超重件所需的道路和桥梁临时加固改造费用和其他有关费用由</w:t>
      </w:r>
      <w:r>
        <w:rPr>
          <w:rFonts w:hint="eastAsia"/>
          <w:szCs w:val="21"/>
          <w:u w:val="single"/>
        </w:rPr>
        <w:t xml:space="preserve"> 承包人  </w:t>
      </w:r>
      <w:r>
        <w:rPr>
          <w:rFonts w:hint="eastAsia"/>
          <w:szCs w:val="21"/>
        </w:rPr>
        <w:t>承担。</w:t>
      </w:r>
    </w:p>
    <w:p>
      <w:pPr>
        <w:snapToGrid w:val="0"/>
        <w:spacing w:line="360" w:lineRule="auto"/>
        <w:ind w:firstLine="480" w:firstLineChars="200"/>
        <w:rPr>
          <w:szCs w:val="21"/>
        </w:rPr>
      </w:pPr>
      <w:r>
        <w:rPr>
          <w:rFonts w:hint="eastAsia"/>
          <w:szCs w:val="21"/>
        </w:rPr>
        <w:t>1.11 知识产权</w:t>
      </w:r>
    </w:p>
    <w:p>
      <w:pPr>
        <w:snapToGrid w:val="0"/>
        <w:spacing w:line="360" w:lineRule="auto"/>
        <w:ind w:firstLine="480" w:firstLineChars="200"/>
        <w:rPr>
          <w:szCs w:val="21"/>
          <w:u w:val="single"/>
        </w:rPr>
      </w:pPr>
      <w:r>
        <w:rPr>
          <w:rFonts w:hint="eastAsia"/>
          <w:szCs w:val="21"/>
        </w:rPr>
        <w:t>1.11.1关于发包人提供给承包人的图纸、发包人为实施工程自行编制或委托编制的技术规范以及反映发包人关于合同要求或其他类似性质的文件的著作权的归属：</w:t>
      </w:r>
      <w:r>
        <w:rPr>
          <w:rFonts w:hint="eastAsia"/>
          <w:szCs w:val="21"/>
          <w:u w:val="single"/>
        </w:rPr>
        <w:t>归发包人所有，承包人未经发包人同意不得将本工程图纸转给第三人，不得进行复制，不得向承包人以外的人泄露有关图纸内容。</w:t>
      </w:r>
    </w:p>
    <w:p>
      <w:pPr>
        <w:snapToGrid w:val="0"/>
        <w:spacing w:line="360" w:lineRule="auto"/>
        <w:ind w:firstLine="480" w:firstLineChars="200"/>
        <w:rPr>
          <w:szCs w:val="21"/>
        </w:rPr>
      </w:pPr>
      <w:r>
        <w:rPr>
          <w:rFonts w:hint="eastAsia"/>
          <w:szCs w:val="21"/>
        </w:rPr>
        <w:t>关于发包人提供的上述文件的使用限制的要求：</w:t>
      </w:r>
      <w:r>
        <w:rPr>
          <w:rFonts w:hint="eastAsia"/>
          <w:szCs w:val="21"/>
          <w:u w:val="single"/>
        </w:rPr>
        <w:t xml:space="preserve">  按通用条款执行。</w:t>
      </w:r>
    </w:p>
    <w:p>
      <w:pPr>
        <w:snapToGrid w:val="0"/>
        <w:spacing w:line="360" w:lineRule="auto"/>
        <w:ind w:firstLine="480" w:firstLineChars="200"/>
        <w:rPr>
          <w:szCs w:val="21"/>
        </w:rPr>
      </w:pPr>
      <w:r>
        <w:rPr>
          <w:rFonts w:hint="eastAsia"/>
          <w:szCs w:val="21"/>
        </w:rPr>
        <w:t>1.11.2 关于承包人为实施工程所编制文件的著作权的归属：</w:t>
      </w:r>
      <w:r>
        <w:rPr>
          <w:rFonts w:hint="eastAsia"/>
          <w:szCs w:val="21"/>
          <w:u w:val="single"/>
        </w:rPr>
        <w:t xml:space="preserve">  按通用条款执行。</w:t>
      </w:r>
    </w:p>
    <w:p>
      <w:pPr>
        <w:snapToGrid w:val="0"/>
        <w:spacing w:line="360" w:lineRule="auto"/>
        <w:ind w:firstLine="480" w:firstLineChars="200"/>
        <w:rPr>
          <w:szCs w:val="21"/>
        </w:rPr>
      </w:pPr>
      <w:r>
        <w:rPr>
          <w:rFonts w:hint="eastAsia"/>
          <w:szCs w:val="21"/>
        </w:rPr>
        <w:t>关于承包人提供的上述文件的使用限制的要求：</w:t>
      </w:r>
      <w:r>
        <w:rPr>
          <w:rFonts w:hint="eastAsia"/>
          <w:szCs w:val="21"/>
          <w:u w:val="single"/>
        </w:rPr>
        <w:t>按通用条款执行  。</w:t>
      </w:r>
    </w:p>
    <w:p>
      <w:pPr>
        <w:snapToGrid w:val="0"/>
        <w:spacing w:line="360" w:lineRule="auto"/>
        <w:ind w:firstLine="480" w:firstLineChars="200"/>
        <w:rPr>
          <w:szCs w:val="21"/>
          <w:u w:val="single"/>
        </w:rPr>
      </w:pPr>
      <w:r>
        <w:rPr>
          <w:rFonts w:hint="eastAsia"/>
          <w:szCs w:val="21"/>
        </w:rPr>
        <w:t>1.11.4 承包人在施工过程中所采用的专利、专有技术、技术秘密的使用费的承担方式：</w:t>
      </w:r>
      <w:r>
        <w:rPr>
          <w:rFonts w:hint="eastAsia"/>
          <w:szCs w:val="21"/>
          <w:u w:val="single"/>
        </w:rPr>
        <w:t>由承包人承担，费用已包含在合同价中。</w:t>
      </w:r>
    </w:p>
    <w:p>
      <w:pPr>
        <w:snapToGrid w:val="0"/>
        <w:spacing w:line="360" w:lineRule="auto"/>
        <w:ind w:firstLine="480" w:firstLineChars="200"/>
        <w:rPr>
          <w:szCs w:val="21"/>
        </w:rPr>
      </w:pPr>
      <w:r>
        <w:rPr>
          <w:rFonts w:hint="eastAsia"/>
          <w:szCs w:val="21"/>
        </w:rPr>
        <w:t>1.13工程量清单错误的修正</w:t>
      </w:r>
    </w:p>
    <w:p>
      <w:pPr>
        <w:snapToGrid w:val="0"/>
        <w:spacing w:line="360" w:lineRule="auto"/>
        <w:ind w:firstLine="480" w:firstLineChars="200"/>
        <w:rPr>
          <w:szCs w:val="21"/>
        </w:rPr>
      </w:pPr>
      <w:r>
        <w:rPr>
          <w:rFonts w:hint="eastAsia"/>
          <w:szCs w:val="21"/>
        </w:rPr>
        <w:t>出现工程量清单错误时，是否调整合同价格：</w:t>
      </w:r>
      <w:r>
        <w:rPr>
          <w:rFonts w:hint="eastAsia"/>
          <w:szCs w:val="21"/>
          <w:u w:val="single"/>
        </w:rPr>
        <w:t xml:space="preserve"> </w:t>
      </w:r>
      <w:r>
        <w:rPr>
          <w:rFonts w:hint="eastAsia"/>
          <w:b/>
          <w:szCs w:val="21"/>
          <w:u w:val="single"/>
        </w:rPr>
        <w:t xml:space="preserve"> / </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允许调整合同价格的工程量偏差范围：</w:t>
      </w:r>
      <w:r>
        <w:rPr>
          <w:rFonts w:hint="eastAsia"/>
          <w:szCs w:val="21"/>
          <w:u w:val="single"/>
        </w:rPr>
        <w:t></w:t>
      </w:r>
      <w:r>
        <w:rPr>
          <w:rFonts w:hint="eastAsia"/>
          <w:b/>
          <w:szCs w:val="21"/>
          <w:u w:val="single"/>
        </w:rPr>
        <w:t xml:space="preserve">/ </w:t>
      </w:r>
      <w:r>
        <w:rPr>
          <w:rFonts w:hint="eastAsia"/>
          <w:szCs w:val="21"/>
          <w:u w:val="single"/>
        </w:rPr>
        <w:t xml:space="preserve"> </w:t>
      </w:r>
      <w:r>
        <w:rPr>
          <w:rFonts w:hint="eastAsia"/>
          <w:szCs w:val="21"/>
        </w:rPr>
        <w:t>。</w:t>
      </w:r>
    </w:p>
    <w:p>
      <w:pPr>
        <w:snapToGrid w:val="0"/>
        <w:spacing w:line="360" w:lineRule="auto"/>
        <w:ind w:firstLine="472" w:firstLineChars="196"/>
        <w:rPr>
          <w:b/>
          <w:szCs w:val="21"/>
        </w:rPr>
      </w:pPr>
      <w:r>
        <w:rPr>
          <w:rFonts w:hint="eastAsia"/>
          <w:b/>
          <w:szCs w:val="21"/>
        </w:rPr>
        <w:t>第2条发包人</w:t>
      </w:r>
    </w:p>
    <w:p>
      <w:pPr>
        <w:snapToGrid w:val="0"/>
        <w:spacing w:line="360" w:lineRule="auto"/>
        <w:ind w:firstLine="482" w:firstLineChars="200"/>
        <w:rPr>
          <w:b/>
          <w:szCs w:val="21"/>
        </w:rPr>
      </w:pPr>
      <w:r>
        <w:rPr>
          <w:rFonts w:hint="eastAsia"/>
          <w:b/>
          <w:szCs w:val="21"/>
        </w:rPr>
        <w:t>2.2  发包人代表</w:t>
      </w:r>
    </w:p>
    <w:p>
      <w:pPr>
        <w:snapToGrid w:val="0"/>
        <w:spacing w:line="360" w:lineRule="auto"/>
        <w:ind w:firstLine="480" w:firstLineChars="200"/>
        <w:rPr>
          <w:szCs w:val="21"/>
        </w:rPr>
      </w:pPr>
      <w:r>
        <w:rPr>
          <w:rFonts w:hint="eastAsia"/>
          <w:szCs w:val="21"/>
        </w:rPr>
        <w:t>发包人代表的姓名：</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发包人代表的职务：</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发包人代表的职责：</w:t>
      </w:r>
      <w:r>
        <w:rPr>
          <w:rFonts w:hint="eastAsia"/>
          <w:szCs w:val="21"/>
          <w:u w:val="single"/>
        </w:rPr>
        <w:t>主要承担该项目的现场实施、竣工验收、工程结（决）算、资料归档、工程移交等各阶段建设单位应负责的相关事务，并配合完成项目前期的相关工作</w:t>
      </w:r>
      <w:r>
        <w:rPr>
          <w:rFonts w:hint="eastAsia"/>
          <w:szCs w:val="21"/>
        </w:rPr>
        <w:t>；</w:t>
      </w:r>
    </w:p>
    <w:p>
      <w:pPr>
        <w:snapToGrid w:val="0"/>
        <w:spacing w:line="360" w:lineRule="auto"/>
        <w:ind w:firstLine="480" w:firstLineChars="200"/>
        <w:rPr>
          <w:szCs w:val="21"/>
        </w:rPr>
      </w:pPr>
      <w:r>
        <w:rPr>
          <w:rFonts w:hint="eastAsia"/>
          <w:szCs w:val="21"/>
        </w:rPr>
        <w:t>发包人对发包人代表的授权范围如下：</w:t>
      </w:r>
      <w:r>
        <w:rPr>
          <w:rFonts w:hint="eastAsia"/>
          <w:szCs w:val="21"/>
          <w:u w:val="single"/>
        </w:rPr>
        <w:t>代表发包方行使本合同约定的发包方的权力和监理人需要取得发包人批准的权力。</w:t>
      </w:r>
    </w:p>
    <w:p>
      <w:pPr>
        <w:snapToGrid w:val="0"/>
        <w:spacing w:line="360" w:lineRule="auto"/>
        <w:ind w:firstLine="482" w:firstLineChars="200"/>
        <w:rPr>
          <w:b/>
          <w:szCs w:val="21"/>
        </w:rPr>
      </w:pPr>
      <w:r>
        <w:rPr>
          <w:rFonts w:hint="eastAsia"/>
          <w:b/>
          <w:szCs w:val="21"/>
        </w:rPr>
        <w:t>2.3  监理人</w:t>
      </w:r>
    </w:p>
    <w:p>
      <w:pPr>
        <w:snapToGrid w:val="0"/>
        <w:spacing w:line="360" w:lineRule="auto"/>
        <w:ind w:firstLine="480" w:firstLineChars="200"/>
        <w:rPr>
          <w:szCs w:val="21"/>
        </w:rPr>
      </w:pPr>
      <w:r>
        <w:rPr>
          <w:rFonts w:hint="eastAsia"/>
          <w:szCs w:val="21"/>
        </w:rPr>
        <w:t>2.3.1  监理单位名称：</w:t>
      </w:r>
      <w:r>
        <w:rPr>
          <w:rFonts w:hint="eastAsia"/>
          <w:szCs w:val="21"/>
          <w:u w:val="single"/>
        </w:rPr>
        <w:t xml:space="preserve">            ；</w:t>
      </w:r>
    </w:p>
    <w:p>
      <w:pPr>
        <w:snapToGrid w:val="0"/>
        <w:spacing w:line="360" w:lineRule="auto"/>
        <w:ind w:firstLine="480" w:firstLineChars="200"/>
        <w:rPr>
          <w:szCs w:val="21"/>
        </w:rPr>
      </w:pPr>
      <w:r>
        <w:rPr>
          <w:rFonts w:hint="eastAsia"/>
          <w:szCs w:val="21"/>
        </w:rPr>
        <w:t>工程总监理姓名：</w:t>
      </w:r>
      <w:r>
        <w:rPr>
          <w:rFonts w:hint="eastAsia"/>
          <w:szCs w:val="21"/>
          <w:u w:val="single"/>
        </w:rPr>
        <w:t xml:space="preserve">            ；</w:t>
      </w:r>
    </w:p>
    <w:p>
      <w:pPr>
        <w:snapToGrid w:val="0"/>
        <w:spacing w:line="360" w:lineRule="auto"/>
        <w:ind w:firstLine="480" w:firstLineChars="200"/>
        <w:rPr>
          <w:szCs w:val="21"/>
        </w:rPr>
      </w:pPr>
      <w:r>
        <w:rPr>
          <w:rFonts w:hint="eastAsia"/>
          <w:szCs w:val="21"/>
        </w:rPr>
        <w:t>监理的范围：</w:t>
      </w:r>
      <w:r>
        <w:rPr>
          <w:rFonts w:hint="eastAsia"/>
          <w:szCs w:val="21"/>
          <w:u w:val="single"/>
        </w:rPr>
        <w:t xml:space="preserve">            ；</w:t>
      </w:r>
    </w:p>
    <w:p>
      <w:pPr>
        <w:snapToGrid w:val="0"/>
        <w:spacing w:line="360" w:lineRule="auto"/>
        <w:ind w:firstLine="480" w:firstLineChars="200"/>
        <w:rPr>
          <w:szCs w:val="21"/>
        </w:rPr>
      </w:pPr>
      <w:r>
        <w:rPr>
          <w:rFonts w:hint="eastAsia"/>
          <w:szCs w:val="21"/>
        </w:rPr>
        <w:t>监理的内容：</w:t>
      </w:r>
      <w:r>
        <w:rPr>
          <w:rFonts w:hint="eastAsia"/>
          <w:szCs w:val="21"/>
          <w:u w:val="single"/>
        </w:rPr>
        <w:t xml:space="preserve">            ；</w:t>
      </w:r>
    </w:p>
    <w:p>
      <w:pPr>
        <w:snapToGrid w:val="0"/>
        <w:spacing w:line="360" w:lineRule="auto"/>
        <w:ind w:firstLine="480" w:firstLineChars="200"/>
        <w:rPr>
          <w:szCs w:val="21"/>
        </w:rPr>
      </w:pPr>
      <w:r>
        <w:rPr>
          <w:rFonts w:hint="eastAsia"/>
          <w:szCs w:val="21"/>
        </w:rPr>
        <w:t>监理的权限：</w:t>
      </w:r>
      <w:r>
        <w:rPr>
          <w:rFonts w:hint="eastAsia"/>
          <w:szCs w:val="21"/>
          <w:u w:val="single"/>
        </w:rPr>
        <w:t xml:space="preserve">            ；</w:t>
      </w:r>
    </w:p>
    <w:p>
      <w:pPr>
        <w:snapToGrid w:val="0"/>
        <w:spacing w:line="360" w:lineRule="auto"/>
        <w:ind w:firstLine="482" w:firstLineChars="200"/>
        <w:outlineLvl w:val="0"/>
        <w:rPr>
          <w:b/>
          <w:szCs w:val="21"/>
        </w:rPr>
      </w:pPr>
      <w:r>
        <w:rPr>
          <w:rFonts w:hint="eastAsia"/>
          <w:b/>
          <w:szCs w:val="21"/>
        </w:rPr>
        <w:t>2.4 施工现场、施工条件和基础资料的提供</w:t>
      </w:r>
    </w:p>
    <w:p>
      <w:pPr>
        <w:snapToGrid w:val="0"/>
        <w:spacing w:line="360" w:lineRule="auto"/>
        <w:ind w:firstLine="480" w:firstLineChars="200"/>
        <w:rPr>
          <w:szCs w:val="21"/>
        </w:rPr>
      </w:pPr>
      <w:r>
        <w:rPr>
          <w:rFonts w:hint="eastAsia"/>
          <w:szCs w:val="21"/>
        </w:rPr>
        <w:t>2.4.1 提供施工现场</w:t>
      </w:r>
    </w:p>
    <w:p>
      <w:pPr>
        <w:snapToGrid w:val="0"/>
        <w:spacing w:line="360" w:lineRule="auto"/>
        <w:ind w:firstLine="480" w:firstLineChars="200"/>
        <w:jc w:val="left"/>
        <w:rPr>
          <w:szCs w:val="21"/>
        </w:rPr>
      </w:pPr>
      <w:r>
        <w:rPr>
          <w:rFonts w:hint="eastAsia"/>
          <w:szCs w:val="21"/>
        </w:rPr>
        <w:t>关于发包人移交施工现场的期限要求：</w:t>
      </w:r>
      <w:r>
        <w:rPr>
          <w:rFonts w:hint="eastAsia"/>
          <w:szCs w:val="21"/>
          <w:u w:val="single"/>
        </w:rPr>
        <w:t>开工前三天</w:t>
      </w:r>
      <w:r>
        <w:rPr>
          <w:rFonts w:hint="eastAsia"/>
          <w:szCs w:val="21"/>
        </w:rPr>
        <w:t>。</w:t>
      </w:r>
    </w:p>
    <w:p>
      <w:pPr>
        <w:snapToGrid w:val="0"/>
        <w:spacing w:line="360" w:lineRule="auto"/>
        <w:ind w:firstLine="480" w:firstLineChars="200"/>
        <w:rPr>
          <w:szCs w:val="21"/>
        </w:rPr>
      </w:pPr>
      <w:r>
        <w:rPr>
          <w:rFonts w:hint="eastAsia"/>
          <w:szCs w:val="21"/>
        </w:rPr>
        <w:t>2.4.2 提供施工条件</w:t>
      </w:r>
    </w:p>
    <w:p>
      <w:pPr>
        <w:snapToGrid w:val="0"/>
        <w:spacing w:line="360" w:lineRule="auto"/>
        <w:ind w:firstLine="480" w:firstLineChars="200"/>
        <w:rPr>
          <w:szCs w:val="21"/>
          <w:u w:val="single"/>
        </w:rPr>
      </w:pPr>
      <w:r>
        <w:rPr>
          <w:rFonts w:hint="eastAsia"/>
          <w:szCs w:val="21"/>
        </w:rPr>
        <w:t>关于发包人应负责提供施工所需要的条件，包括：</w:t>
      </w:r>
      <w:r>
        <w:rPr>
          <w:rFonts w:hint="eastAsia"/>
          <w:szCs w:val="21"/>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hint="eastAsia"/>
          <w:szCs w:val="21"/>
        </w:rPr>
        <w:t>。</w:t>
      </w:r>
    </w:p>
    <w:p>
      <w:pPr>
        <w:snapToGrid w:val="0"/>
        <w:spacing w:line="360" w:lineRule="auto"/>
        <w:ind w:firstLine="480" w:firstLineChars="200"/>
        <w:outlineLvl w:val="0"/>
        <w:rPr>
          <w:szCs w:val="21"/>
        </w:rPr>
      </w:pPr>
      <w:r>
        <w:rPr>
          <w:rFonts w:hint="eastAsia"/>
          <w:szCs w:val="21"/>
        </w:rPr>
        <w:t>2.5 资金来源证明及支付担保</w:t>
      </w:r>
    </w:p>
    <w:p>
      <w:pPr>
        <w:snapToGrid w:val="0"/>
        <w:spacing w:line="360" w:lineRule="auto"/>
        <w:ind w:firstLine="480" w:firstLineChars="200"/>
        <w:rPr>
          <w:szCs w:val="21"/>
        </w:rPr>
      </w:pPr>
      <w:r>
        <w:rPr>
          <w:rFonts w:hint="eastAsia"/>
          <w:szCs w:val="21"/>
        </w:rPr>
        <w:t>发包人提供资金来源证明的期限要求：</w:t>
      </w:r>
      <w:r>
        <w:rPr>
          <w:rFonts w:hint="eastAsia"/>
          <w:szCs w:val="21"/>
          <w:u w:val="single"/>
        </w:rPr>
        <w:t xml:space="preserve">无     </w:t>
      </w:r>
      <w:r>
        <w:rPr>
          <w:rFonts w:hint="eastAsia"/>
          <w:szCs w:val="21"/>
        </w:rPr>
        <w:t>。</w:t>
      </w:r>
    </w:p>
    <w:p>
      <w:pPr>
        <w:snapToGrid w:val="0"/>
        <w:spacing w:line="360" w:lineRule="auto"/>
        <w:ind w:firstLine="480" w:firstLineChars="200"/>
        <w:rPr>
          <w:szCs w:val="21"/>
        </w:rPr>
      </w:pPr>
      <w:r>
        <w:rPr>
          <w:rFonts w:hint="eastAsia"/>
          <w:szCs w:val="21"/>
        </w:rPr>
        <w:t>发包人是否提供支付担保：</w:t>
      </w:r>
      <w:r>
        <w:rPr>
          <w:rFonts w:hint="eastAsia"/>
          <w:szCs w:val="21"/>
          <w:u w:val="single"/>
        </w:rPr>
        <w:t xml:space="preserve">不提供    </w:t>
      </w:r>
      <w:r>
        <w:rPr>
          <w:rFonts w:hint="eastAsia"/>
          <w:szCs w:val="21"/>
        </w:rPr>
        <w:t>。</w:t>
      </w:r>
    </w:p>
    <w:p>
      <w:pPr>
        <w:snapToGrid w:val="0"/>
        <w:spacing w:line="360" w:lineRule="auto"/>
        <w:ind w:firstLine="480" w:firstLineChars="200"/>
        <w:rPr>
          <w:szCs w:val="21"/>
          <w:u w:val="single"/>
        </w:rPr>
      </w:pPr>
      <w:r>
        <w:rPr>
          <w:rFonts w:hint="eastAsia"/>
          <w:szCs w:val="21"/>
        </w:rPr>
        <w:t>发包人提供支付担保的形式：</w:t>
      </w:r>
      <w:r>
        <w:rPr>
          <w:rFonts w:hint="eastAsia"/>
          <w:szCs w:val="21"/>
          <w:u w:val="single"/>
        </w:rPr>
        <w:t> /    </w:t>
      </w:r>
      <w:r>
        <w:rPr>
          <w:rFonts w:hint="eastAsia"/>
          <w:szCs w:val="21"/>
        </w:rPr>
        <w:t>。</w:t>
      </w:r>
    </w:p>
    <w:p>
      <w:pPr>
        <w:snapToGrid w:val="0"/>
        <w:spacing w:line="360" w:lineRule="auto"/>
        <w:ind w:firstLine="482" w:firstLineChars="200"/>
        <w:rPr>
          <w:b/>
          <w:szCs w:val="21"/>
        </w:rPr>
      </w:pPr>
      <w:r>
        <w:rPr>
          <w:rFonts w:hint="eastAsia"/>
          <w:b/>
          <w:szCs w:val="21"/>
        </w:rPr>
        <w:t>第3条承包人</w:t>
      </w:r>
    </w:p>
    <w:p>
      <w:pPr>
        <w:snapToGrid w:val="0"/>
        <w:spacing w:line="360" w:lineRule="auto"/>
        <w:ind w:firstLine="482" w:firstLineChars="200"/>
        <w:rPr>
          <w:b/>
          <w:szCs w:val="21"/>
        </w:rPr>
      </w:pPr>
      <w:r>
        <w:rPr>
          <w:rFonts w:hint="eastAsia"/>
          <w:b/>
          <w:szCs w:val="21"/>
        </w:rPr>
        <w:t>3.1承包人的一般义务和权力</w:t>
      </w:r>
    </w:p>
    <w:p>
      <w:pPr>
        <w:adjustRightInd w:val="0"/>
        <w:snapToGrid w:val="0"/>
        <w:spacing w:line="360" w:lineRule="auto"/>
        <w:ind w:firstLine="480" w:firstLineChars="200"/>
        <w:rPr>
          <w:szCs w:val="21"/>
          <w:u w:val="single"/>
        </w:rPr>
      </w:pPr>
      <w:r>
        <w:rPr>
          <w:rFonts w:hint="eastAsia"/>
          <w:szCs w:val="21"/>
        </w:rPr>
        <w:t>3.1.1承包人提交的竣工资料的内容：</w:t>
      </w:r>
      <w:r>
        <w:rPr>
          <w:rFonts w:hint="eastAsia"/>
          <w:szCs w:val="21"/>
          <w:u w:val="single"/>
        </w:rPr>
        <w:t>竣工图、符合审计要求的竣工结算资料及其他资料。</w:t>
      </w:r>
    </w:p>
    <w:p>
      <w:pPr>
        <w:adjustRightInd w:val="0"/>
        <w:snapToGrid w:val="0"/>
        <w:spacing w:line="360" w:lineRule="auto"/>
        <w:ind w:firstLine="480" w:firstLineChars="200"/>
        <w:rPr>
          <w:szCs w:val="21"/>
        </w:rPr>
      </w:pPr>
      <w:r>
        <w:rPr>
          <w:rFonts w:hint="eastAsia"/>
          <w:szCs w:val="21"/>
        </w:rPr>
        <w:t>承包人需要提交的竣工资料套数：</w:t>
      </w:r>
      <w:r>
        <w:rPr>
          <w:rFonts w:hint="eastAsia"/>
          <w:szCs w:val="21"/>
          <w:u w:val="single"/>
        </w:rPr>
        <w:t xml:space="preserve">  肆套，其中至少有一套必须为原件  </w:t>
      </w:r>
      <w:r>
        <w:rPr>
          <w:rFonts w:hint="eastAsia"/>
          <w:szCs w:val="21"/>
        </w:rPr>
        <w:t>。</w:t>
      </w:r>
    </w:p>
    <w:p>
      <w:pPr>
        <w:adjustRightInd w:val="0"/>
        <w:snapToGrid w:val="0"/>
        <w:spacing w:line="360" w:lineRule="auto"/>
        <w:ind w:firstLine="480" w:firstLineChars="200"/>
        <w:rPr>
          <w:szCs w:val="21"/>
        </w:rPr>
      </w:pPr>
      <w:r>
        <w:rPr>
          <w:rFonts w:hint="eastAsia"/>
          <w:szCs w:val="21"/>
        </w:rPr>
        <w:t>承包人提交的竣工资料的费用承担</w:t>
      </w:r>
      <w:r>
        <w:rPr>
          <w:rFonts w:hint="eastAsia"/>
          <w:szCs w:val="21"/>
          <w:u w:val="single"/>
        </w:rPr>
        <w:t xml:space="preserve">：   由承包人承担    </w:t>
      </w:r>
      <w:r>
        <w:rPr>
          <w:rFonts w:hint="eastAsia"/>
          <w:szCs w:val="21"/>
        </w:rPr>
        <w:t>。</w:t>
      </w:r>
    </w:p>
    <w:p>
      <w:pPr>
        <w:adjustRightInd w:val="0"/>
        <w:snapToGrid w:val="0"/>
        <w:spacing w:line="360" w:lineRule="auto"/>
        <w:ind w:firstLine="480" w:firstLineChars="200"/>
        <w:rPr>
          <w:szCs w:val="21"/>
        </w:rPr>
      </w:pPr>
      <w:r>
        <w:rPr>
          <w:rFonts w:hint="eastAsia"/>
          <w:szCs w:val="21"/>
        </w:rPr>
        <w:t>承包人提交的竣工资料移交时间：</w:t>
      </w:r>
      <w:r>
        <w:rPr>
          <w:rFonts w:hint="eastAsia"/>
          <w:szCs w:val="21"/>
          <w:u w:val="single"/>
        </w:rPr>
        <w:t xml:space="preserve">工程竣工验收合格之日算起28天内  </w:t>
      </w:r>
      <w:r>
        <w:rPr>
          <w:rFonts w:hint="eastAsia"/>
          <w:szCs w:val="21"/>
        </w:rPr>
        <w:t xml:space="preserve"> 。</w:t>
      </w:r>
    </w:p>
    <w:p>
      <w:pPr>
        <w:adjustRightInd w:val="0"/>
        <w:snapToGrid w:val="0"/>
        <w:spacing w:line="360" w:lineRule="auto"/>
        <w:ind w:firstLine="480" w:firstLineChars="200"/>
        <w:rPr>
          <w:szCs w:val="21"/>
        </w:rPr>
      </w:pPr>
      <w:r>
        <w:rPr>
          <w:rFonts w:hint="eastAsia"/>
          <w:szCs w:val="21"/>
        </w:rPr>
        <w:t>承包人提交的竣工资料形式要求：</w:t>
      </w:r>
      <w:r>
        <w:rPr>
          <w:rFonts w:hint="eastAsia"/>
          <w:szCs w:val="21"/>
          <w:u w:val="single"/>
        </w:rPr>
        <w:t>书面及电子文件形式，承包人提供的竣工图必须与实际相符合，否则由此对发包人所造成的所有损失由承包人承担。如承包人提供的竣工资料或竣工图不符合有关规定，每整改一张（包括资料不齐需补充），发包人向承包人收取人民币200元。</w:t>
      </w:r>
    </w:p>
    <w:p>
      <w:pPr>
        <w:adjustRightInd w:val="0"/>
        <w:snapToGrid w:val="0"/>
        <w:spacing w:line="360" w:lineRule="auto"/>
        <w:ind w:firstLine="480" w:firstLineChars="200"/>
        <w:rPr>
          <w:szCs w:val="21"/>
        </w:rPr>
      </w:pPr>
      <w:r>
        <w:rPr>
          <w:rFonts w:hint="eastAsia"/>
          <w:szCs w:val="21"/>
        </w:rPr>
        <w:t>3.1.2承包人应履行的其他义务：</w:t>
      </w:r>
    </w:p>
    <w:p>
      <w:pPr>
        <w:snapToGrid w:val="0"/>
        <w:spacing w:line="360" w:lineRule="auto"/>
        <w:ind w:firstLine="480" w:firstLineChars="200"/>
        <w:rPr>
          <w:szCs w:val="21"/>
          <w:u w:val="single"/>
        </w:rPr>
      </w:pPr>
      <w:r>
        <w:rPr>
          <w:rFonts w:hint="eastAsia"/>
          <w:szCs w:val="21"/>
          <w:u w:val="single"/>
        </w:rPr>
        <w:t>A.承包人对设计成果文件质量负责，因设计文件错误影响建设质量、进度、安全等，承包人应承担相关责任，收取3万元以上的违约金。</w:t>
      </w:r>
    </w:p>
    <w:p>
      <w:pPr>
        <w:snapToGrid w:val="0"/>
        <w:spacing w:line="360" w:lineRule="auto"/>
        <w:ind w:firstLine="480" w:firstLineChars="200"/>
        <w:rPr>
          <w:szCs w:val="21"/>
          <w:u w:val="single"/>
        </w:rPr>
      </w:pPr>
      <w:r>
        <w:rPr>
          <w:rFonts w:hint="eastAsia"/>
          <w:szCs w:val="21"/>
          <w:u w:val="single"/>
        </w:rPr>
        <w:t>B.承包人应按建设行政管理部门和相关部门的要求，在施工场地设置安全施工、防火宣传标牌、标语以及设施，组织专门的保卫和值班人员，坚持昼夜巡视、检查。</w:t>
      </w:r>
    </w:p>
    <w:p>
      <w:pPr>
        <w:snapToGrid w:val="0"/>
        <w:spacing w:line="360" w:lineRule="auto"/>
        <w:ind w:firstLine="480" w:firstLineChars="200"/>
        <w:rPr>
          <w:szCs w:val="21"/>
          <w:u w:val="single"/>
        </w:rPr>
      </w:pPr>
      <w:r>
        <w:rPr>
          <w:rFonts w:hint="eastAsia"/>
          <w:szCs w:val="21"/>
          <w:u w:val="single"/>
        </w:rPr>
        <w:t>C.承包人在进场前要制订对人员、机械设备的操作及安全用电等各方面的安全制度，增强全体施工人员的安全意识，落实安全责任，保证做到绝对安全。</w:t>
      </w:r>
    </w:p>
    <w:p>
      <w:pPr>
        <w:snapToGrid w:val="0"/>
        <w:spacing w:line="360" w:lineRule="auto"/>
        <w:ind w:firstLine="480" w:firstLineChars="200"/>
        <w:rPr>
          <w:szCs w:val="21"/>
          <w:u w:val="single"/>
        </w:rPr>
      </w:pPr>
      <w:r>
        <w:rPr>
          <w:rFonts w:hint="eastAsia"/>
          <w:szCs w:val="21"/>
          <w:u w:val="single"/>
        </w:rPr>
        <w:t>D.根据国家和工程所在地政府有关部门的规定，由承包人办理交通、环卫、环保手续，负责协调和处理因施工引起的周边地段民事纠纷，并承担由此发生的费用，包括因承包人责任造成的罚款。</w:t>
      </w:r>
    </w:p>
    <w:p>
      <w:pPr>
        <w:snapToGrid w:val="0"/>
        <w:spacing w:line="360" w:lineRule="auto"/>
        <w:ind w:firstLine="480" w:firstLineChars="200"/>
        <w:rPr>
          <w:szCs w:val="21"/>
          <w:u w:val="single"/>
        </w:rPr>
      </w:pPr>
      <w:r>
        <w:rPr>
          <w:rFonts w:hint="eastAsia"/>
          <w:szCs w:val="21"/>
          <w:u w:val="single"/>
        </w:rPr>
        <w:t>E.施工过程中排污、环保、市容、消防、治安、人口管理等相关手续的办理以及因施工造成对临近居民、行人、游客的影响所引起的纠纷等，均由承包人负责协调处理。现场生活污水和生活垃圾必须定期清运，施工现场内雨水、废水、污水必须排入指定的排水沟或排水井内；保持道路畅通整洁。若污染城市道路和下水管网，则所造成的一切责任和后果均由承包人承担。</w:t>
      </w:r>
    </w:p>
    <w:p>
      <w:pPr>
        <w:snapToGrid w:val="0"/>
        <w:spacing w:line="360" w:lineRule="auto"/>
        <w:ind w:firstLine="480" w:firstLineChars="200"/>
        <w:rPr>
          <w:szCs w:val="21"/>
          <w:u w:val="single"/>
        </w:rPr>
      </w:pPr>
      <w:r>
        <w:rPr>
          <w:rFonts w:hint="eastAsia"/>
          <w:szCs w:val="21"/>
          <w:u w:val="single"/>
        </w:rPr>
        <w:t>F.承包人有义务根据发包人确认的图纸及有关文件提出合理化建议，以及对于设计中存在的问题在施工之前提出；承包人须无条件接受发包人发出的设计变更，并按设计变更进行施工。</w:t>
      </w:r>
    </w:p>
    <w:p>
      <w:pPr>
        <w:snapToGrid w:val="0"/>
        <w:spacing w:line="360" w:lineRule="auto"/>
        <w:ind w:firstLine="460"/>
        <w:rPr>
          <w:szCs w:val="21"/>
          <w:u w:val="single"/>
        </w:rPr>
      </w:pPr>
      <w:r>
        <w:rPr>
          <w:rFonts w:hint="eastAsia"/>
          <w:szCs w:val="21"/>
          <w:u w:val="single"/>
        </w:rPr>
        <w:t>G.施工期间、竣工后至接到撤除通知期间的维护费（含草花更换）均包含在合同价中。</w:t>
      </w:r>
      <w:r>
        <w:rPr>
          <w:rFonts w:hint="eastAsia"/>
          <w:szCs w:val="21"/>
          <w:highlight w:val="none"/>
          <w:u w:val="single"/>
        </w:rPr>
        <w:t>预计在202</w:t>
      </w:r>
      <w:r>
        <w:rPr>
          <w:rFonts w:hint="eastAsia"/>
          <w:szCs w:val="21"/>
          <w:highlight w:val="none"/>
          <w:u w:val="single"/>
          <w:lang w:val="en-US" w:eastAsia="zh-CN"/>
        </w:rPr>
        <w:t>3</w:t>
      </w:r>
      <w:r>
        <w:rPr>
          <w:rFonts w:hint="eastAsia"/>
          <w:szCs w:val="21"/>
          <w:highlight w:val="none"/>
          <w:u w:val="single"/>
        </w:rPr>
        <w:t>年10月</w:t>
      </w:r>
      <w:r>
        <w:rPr>
          <w:rFonts w:hint="eastAsia"/>
          <w:szCs w:val="21"/>
          <w:u w:val="single"/>
        </w:rPr>
        <w:t>底撤除立体花卉、平面草花，视实际情况发包人可要求适当延期拆除，拆除后三日内完成草坪及场地恢复，并须得到发包人确认</w:t>
      </w:r>
      <w:r>
        <w:rPr>
          <w:rFonts w:hint="eastAsia"/>
          <w:szCs w:val="30"/>
          <w:u w:val="single"/>
        </w:rPr>
        <w:t>（濠北路游客中心点位需配合市菊花展，相应工期根据发包人要求，维护期不变）</w:t>
      </w:r>
      <w:r>
        <w:rPr>
          <w:rFonts w:hint="eastAsia"/>
          <w:szCs w:val="21"/>
          <w:u w:val="single"/>
        </w:rPr>
        <w:t>,否则如发生相关费用由发包人在工程竣工结算价款中扣除，并且承包人按1000元/天向发包人支付违约金。如因上级部门要求，需延迟立体草花撤除的，超期两周内所需的维护费（含草花更换）不予另行签证支付，已包含在合同价中。</w:t>
      </w:r>
    </w:p>
    <w:p>
      <w:pPr>
        <w:snapToGrid w:val="0"/>
        <w:spacing w:line="360" w:lineRule="auto"/>
        <w:ind w:firstLine="480" w:firstLineChars="200"/>
        <w:rPr>
          <w:szCs w:val="21"/>
          <w:u w:val="single"/>
        </w:rPr>
      </w:pPr>
      <w:r>
        <w:rPr>
          <w:rFonts w:hint="eastAsia"/>
          <w:szCs w:val="21"/>
          <w:u w:val="single"/>
        </w:rPr>
        <w:t>H．施工期间要求承包人做好施工期间的扬尘排污措施。</w:t>
      </w:r>
    </w:p>
    <w:p>
      <w:pPr>
        <w:snapToGrid w:val="0"/>
        <w:spacing w:line="360" w:lineRule="auto"/>
        <w:ind w:firstLine="480" w:firstLineChars="200"/>
        <w:rPr>
          <w:szCs w:val="21"/>
          <w:u w:val="single"/>
        </w:rPr>
      </w:pPr>
      <w:r>
        <w:rPr>
          <w:rFonts w:hint="eastAsia"/>
          <w:szCs w:val="21"/>
          <w:u w:val="single"/>
        </w:rPr>
        <w:t xml:space="preserve">I．工地内严禁打架斗殴,违者承包人向发包人支付违约金 2000 ～10000元／次,情节严重者移交公安部门处理。 </w:t>
      </w:r>
    </w:p>
    <w:p>
      <w:pPr>
        <w:snapToGrid w:val="0"/>
        <w:spacing w:line="360" w:lineRule="auto"/>
        <w:ind w:firstLine="480" w:firstLineChars="200"/>
        <w:rPr>
          <w:szCs w:val="21"/>
          <w:u w:val="single"/>
        </w:rPr>
      </w:pPr>
      <w:r>
        <w:rPr>
          <w:rFonts w:hint="eastAsia"/>
          <w:szCs w:val="21"/>
          <w:u w:val="single"/>
        </w:rPr>
        <w:t>J．对于无法量化的特征描述指标（如草花等植物优美等），其质量要求由总监及发包人代表进行确认。承包人必须按确认要求进行施工，否则造成的质量验收不合格、工期延误等一切后果由施工单位承担。</w:t>
      </w:r>
    </w:p>
    <w:p>
      <w:pPr>
        <w:snapToGrid w:val="0"/>
        <w:spacing w:line="360" w:lineRule="auto"/>
        <w:ind w:firstLine="482" w:firstLineChars="200"/>
        <w:rPr>
          <w:b/>
          <w:szCs w:val="21"/>
        </w:rPr>
      </w:pPr>
      <w:r>
        <w:rPr>
          <w:rFonts w:hint="eastAsia"/>
          <w:b/>
          <w:szCs w:val="21"/>
        </w:rPr>
        <w:t>3.2项目</w:t>
      </w:r>
      <w:r>
        <w:rPr>
          <w:rFonts w:hint="eastAsia"/>
          <w:b/>
          <w:szCs w:val="21"/>
          <w:lang w:val="en-US" w:eastAsia="zh-CN"/>
        </w:rPr>
        <w:t>施工</w:t>
      </w:r>
      <w:r>
        <w:rPr>
          <w:rFonts w:hint="eastAsia"/>
          <w:b/>
          <w:szCs w:val="21"/>
        </w:rPr>
        <w:t>负责人</w:t>
      </w:r>
    </w:p>
    <w:p>
      <w:pPr>
        <w:snapToGrid w:val="0"/>
        <w:spacing w:line="360" w:lineRule="auto"/>
        <w:ind w:firstLine="480" w:firstLineChars="200"/>
        <w:rPr>
          <w:szCs w:val="21"/>
        </w:rPr>
      </w:pPr>
      <w:r>
        <w:rPr>
          <w:rFonts w:hint="eastAsia"/>
          <w:szCs w:val="21"/>
        </w:rPr>
        <w:t>3.2.</w:t>
      </w:r>
      <w:r>
        <w:rPr>
          <w:rFonts w:hint="eastAsia"/>
          <w:szCs w:val="21"/>
          <w:lang w:val="en-US" w:eastAsia="zh-CN"/>
        </w:rPr>
        <w:t>1</w:t>
      </w:r>
      <w:r>
        <w:rPr>
          <w:rFonts w:hint="eastAsia"/>
          <w:szCs w:val="21"/>
        </w:rPr>
        <w:t>项目施工负责人：</w:t>
      </w:r>
    </w:p>
    <w:p>
      <w:pPr>
        <w:snapToGrid w:val="0"/>
        <w:spacing w:line="360" w:lineRule="auto"/>
        <w:ind w:firstLine="480" w:firstLineChars="200"/>
        <w:rPr>
          <w:szCs w:val="21"/>
        </w:rPr>
      </w:pPr>
      <w:r>
        <w:rPr>
          <w:rFonts w:hint="eastAsia"/>
          <w:szCs w:val="21"/>
        </w:rPr>
        <w:t>姓    名：</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身份证号：</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执业资格等级：</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执业资格证书号：</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联系电话：</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电子信箱：</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通信地址：</w:t>
      </w:r>
      <w:r>
        <w:rPr>
          <w:rFonts w:hint="eastAsia"/>
          <w:szCs w:val="21"/>
          <w:u w:val="single"/>
        </w:rPr>
        <w:t xml:space="preserve">                 </w:t>
      </w:r>
      <w:r>
        <w:rPr>
          <w:rFonts w:hint="eastAsia"/>
          <w:szCs w:val="21"/>
        </w:rPr>
        <w:t>；</w:t>
      </w:r>
    </w:p>
    <w:p>
      <w:pPr>
        <w:snapToGrid w:val="0"/>
        <w:spacing w:line="360" w:lineRule="auto"/>
        <w:ind w:firstLine="480" w:firstLineChars="200"/>
        <w:rPr>
          <w:szCs w:val="21"/>
        </w:rPr>
      </w:pPr>
      <w:r>
        <w:rPr>
          <w:rFonts w:hint="eastAsia"/>
          <w:szCs w:val="21"/>
        </w:rPr>
        <w:t>承包人对项目施工负责人的授权范围如下：</w:t>
      </w:r>
      <w:r>
        <w:rPr>
          <w:rFonts w:hint="eastAsia"/>
          <w:szCs w:val="21"/>
          <w:u w:val="single"/>
        </w:rPr>
        <w:t xml:space="preserve"> 全面履行本合同工程的设计、施工管理职责，为工程参与各方做好协调和服务，在资金、技术、工程进度、质量、安全、环境保护、文明施工等合约目标范围向发包人直接负责，听从发包人和监理的指挥 </w:t>
      </w:r>
      <w:r>
        <w:rPr>
          <w:rFonts w:hint="eastAsia"/>
          <w:szCs w:val="21"/>
        </w:rPr>
        <w:t>。</w:t>
      </w:r>
    </w:p>
    <w:p>
      <w:pPr>
        <w:snapToGrid w:val="0"/>
        <w:spacing w:line="360" w:lineRule="auto"/>
        <w:ind w:firstLine="480" w:firstLineChars="200"/>
        <w:jc w:val="left"/>
        <w:rPr>
          <w:szCs w:val="21"/>
        </w:rPr>
      </w:pPr>
      <w:r>
        <w:rPr>
          <w:rFonts w:hint="eastAsia"/>
          <w:szCs w:val="21"/>
        </w:rPr>
        <w:t>关于项目施工负责人每月在施工现场的时间要求：</w:t>
      </w:r>
      <w:r>
        <w:rPr>
          <w:rFonts w:hint="eastAsia"/>
          <w:szCs w:val="21"/>
          <w:u w:val="single"/>
        </w:rPr>
        <w:t>项目施工负责人保证出勤每周五天及以上，并且每天在施工现场施工时间工作不少于8小时</w:t>
      </w:r>
    </w:p>
    <w:p>
      <w:pPr>
        <w:snapToGrid w:val="0"/>
        <w:spacing w:line="360" w:lineRule="auto"/>
        <w:ind w:firstLine="480" w:firstLineChars="200"/>
        <w:rPr>
          <w:szCs w:val="21"/>
        </w:rPr>
      </w:pPr>
      <w:r>
        <w:rPr>
          <w:rFonts w:hint="eastAsia"/>
          <w:szCs w:val="21"/>
        </w:rPr>
        <w:t>承包人未提交劳动合同，以及没有为施工负责人缴纳社会保险证明的违约责任：</w:t>
      </w:r>
      <w:r>
        <w:rPr>
          <w:rFonts w:hint="eastAsia"/>
          <w:szCs w:val="21"/>
          <w:u w:val="single"/>
        </w:rPr>
        <w:t xml:space="preserve">  承包人向发包人缴纳5000元违约金，责令限期提交劳动合同并补缴社会保险。   </w:t>
      </w:r>
    </w:p>
    <w:p>
      <w:pPr>
        <w:widowControl/>
        <w:snapToGrid w:val="0"/>
        <w:spacing w:line="360" w:lineRule="auto"/>
        <w:ind w:firstLine="420"/>
        <w:rPr>
          <w:szCs w:val="21"/>
        </w:rPr>
      </w:pPr>
      <w:r>
        <w:rPr>
          <w:rFonts w:hint="eastAsia"/>
          <w:szCs w:val="21"/>
        </w:rPr>
        <w:t>施工负责人未经批准，擅自离开施工现场的违约责任：</w:t>
      </w:r>
      <w:r>
        <w:rPr>
          <w:rFonts w:hint="eastAsia"/>
          <w:szCs w:val="21"/>
          <w:u w:val="single"/>
        </w:rPr>
        <w:t> 承包人向发包人缴纳1000元/天的违约金。一个月累计缺勤6天或连续缺勤3天，且未经发包方或监理认可，发包人有权解除合同，勒令退场，已完成工程量不予结算，并由承包人承担由此发生的全部责任和损失。</w:t>
      </w:r>
    </w:p>
    <w:p>
      <w:pPr>
        <w:widowControl/>
        <w:snapToGrid w:val="0"/>
        <w:spacing w:line="360" w:lineRule="auto"/>
        <w:ind w:firstLine="420"/>
        <w:rPr>
          <w:szCs w:val="21"/>
        </w:rPr>
      </w:pPr>
      <w:r>
        <w:rPr>
          <w:rFonts w:hint="eastAsia"/>
          <w:szCs w:val="21"/>
        </w:rPr>
        <w:t>3.2.3 承包人擅自更换施工负责人的违约责任：</w:t>
      </w:r>
      <w:r>
        <w:rPr>
          <w:rFonts w:hint="eastAsia"/>
          <w:szCs w:val="21"/>
          <w:u w:val="single"/>
        </w:rPr>
        <w:t>承包人原则上不得更换项目经理；如需更换，须经发包人同意并按每人次1万元向发包人支付违约金；未经发包人同意擅自更换项目经理的，按每人次1万元向发包人支付违约金。</w:t>
      </w:r>
    </w:p>
    <w:p>
      <w:pPr>
        <w:snapToGrid w:val="0"/>
        <w:spacing w:line="360" w:lineRule="auto"/>
        <w:ind w:firstLine="480" w:firstLineChars="200"/>
        <w:outlineLvl w:val="0"/>
        <w:rPr>
          <w:szCs w:val="21"/>
        </w:rPr>
      </w:pPr>
      <w:r>
        <w:rPr>
          <w:rFonts w:hint="eastAsia"/>
          <w:szCs w:val="21"/>
        </w:rPr>
        <w:t>3.2.4 承包人无正当理由拒绝更换施工负责人的违约责任：</w:t>
      </w:r>
      <w:r>
        <w:rPr>
          <w:rFonts w:hint="eastAsia"/>
          <w:szCs w:val="21"/>
          <w:u w:val="single"/>
        </w:rPr>
        <w:t>承包人项目经理未能履行项目经理职责的，发包人有权要求承包人更换同等条件的项目经理，承包人须按更换每人次2万元向发包人支付违约金。若拒绝更换，发包人有权终止合同。</w:t>
      </w:r>
    </w:p>
    <w:p>
      <w:pPr>
        <w:snapToGrid w:val="0"/>
        <w:spacing w:line="360" w:lineRule="auto"/>
        <w:ind w:firstLine="480" w:firstLineChars="200"/>
        <w:rPr>
          <w:szCs w:val="21"/>
        </w:rPr>
      </w:pPr>
      <w:r>
        <w:rPr>
          <w:rFonts w:hint="eastAsia"/>
          <w:szCs w:val="21"/>
        </w:rPr>
        <w:t>3.3 承包人人员</w:t>
      </w:r>
    </w:p>
    <w:p>
      <w:pPr>
        <w:snapToGrid w:val="0"/>
        <w:spacing w:line="360" w:lineRule="auto"/>
        <w:ind w:firstLine="480" w:firstLineChars="200"/>
        <w:rPr>
          <w:szCs w:val="21"/>
        </w:rPr>
      </w:pPr>
      <w:r>
        <w:rPr>
          <w:rFonts w:hint="eastAsia"/>
          <w:szCs w:val="21"/>
        </w:rPr>
        <w:t>3.3.1 承包人提交项目管理机构及施工现场管理人员安排报告的期限：</w:t>
      </w:r>
      <w:r>
        <w:rPr>
          <w:rFonts w:hint="eastAsia"/>
          <w:szCs w:val="21"/>
          <w:u w:val="single"/>
        </w:rPr>
        <w:t xml:space="preserve">施工合同签订前  </w:t>
      </w:r>
      <w:r>
        <w:rPr>
          <w:rFonts w:hint="eastAsia"/>
          <w:szCs w:val="21"/>
        </w:rPr>
        <w:t>。</w:t>
      </w:r>
    </w:p>
    <w:p>
      <w:pPr>
        <w:snapToGrid w:val="0"/>
        <w:spacing w:line="360" w:lineRule="auto"/>
        <w:ind w:firstLine="480" w:firstLineChars="200"/>
        <w:rPr>
          <w:szCs w:val="21"/>
        </w:rPr>
      </w:pPr>
      <w:r>
        <w:rPr>
          <w:rFonts w:hint="eastAsia"/>
          <w:szCs w:val="21"/>
        </w:rPr>
        <w:t>3.3.3承包人无正当理由拒绝撤换主要施工管理人员的违约责任：</w:t>
      </w:r>
      <w:r>
        <w:rPr>
          <w:rFonts w:hint="eastAsia"/>
          <w:szCs w:val="21"/>
          <w:u w:val="single"/>
        </w:rPr>
        <w:t>按更换每人次2000元向发包人支付违约金</w:t>
      </w:r>
      <w:r>
        <w:rPr>
          <w:rFonts w:hint="eastAsia"/>
          <w:szCs w:val="21"/>
        </w:rPr>
        <w:t>。</w:t>
      </w:r>
    </w:p>
    <w:p>
      <w:pPr>
        <w:snapToGrid w:val="0"/>
        <w:spacing w:line="360" w:lineRule="auto"/>
        <w:ind w:firstLine="480" w:firstLineChars="200"/>
        <w:rPr>
          <w:szCs w:val="21"/>
          <w:u w:val="single"/>
        </w:rPr>
      </w:pPr>
      <w:r>
        <w:rPr>
          <w:rFonts w:hint="eastAsia"/>
          <w:szCs w:val="21"/>
        </w:rPr>
        <w:t>3.3.4 承包人主要施工管理人员离开施工现场的批准要求：</w:t>
      </w:r>
      <w:r>
        <w:rPr>
          <w:rFonts w:hint="eastAsia"/>
          <w:szCs w:val="21"/>
          <w:u w:val="single"/>
        </w:rPr>
        <w:t>须经监理及发包人现场代表书面同意</w:t>
      </w:r>
      <w:r>
        <w:rPr>
          <w:rFonts w:hint="eastAsia"/>
          <w:szCs w:val="21"/>
        </w:rPr>
        <w:t>。</w:t>
      </w:r>
    </w:p>
    <w:p>
      <w:pPr>
        <w:snapToGrid w:val="0"/>
        <w:spacing w:line="360" w:lineRule="auto"/>
        <w:ind w:firstLine="480" w:firstLineChars="200"/>
        <w:rPr>
          <w:szCs w:val="21"/>
        </w:rPr>
      </w:pPr>
      <w:r>
        <w:rPr>
          <w:rFonts w:hint="eastAsia"/>
          <w:szCs w:val="21"/>
        </w:rPr>
        <w:t>3.3.5承包人擅自更换主要施工管理人员的违约责任：</w:t>
      </w:r>
      <w:r>
        <w:rPr>
          <w:rFonts w:hint="eastAsia"/>
          <w:szCs w:val="21"/>
          <w:u w:val="single"/>
        </w:rPr>
        <w:t>按更换每人次2000元向发包人支付违约金 。发包人认为更换后的人员未能履职的，有权责令限期调整。</w:t>
      </w:r>
    </w:p>
    <w:p>
      <w:pPr>
        <w:snapToGrid w:val="0"/>
        <w:spacing w:line="360" w:lineRule="auto"/>
        <w:ind w:firstLine="480" w:firstLineChars="200"/>
        <w:rPr>
          <w:szCs w:val="21"/>
          <w:u w:val="single"/>
        </w:rPr>
      </w:pPr>
      <w:r>
        <w:rPr>
          <w:rFonts w:hint="eastAsia"/>
          <w:szCs w:val="21"/>
        </w:rPr>
        <w:t>承包人主要施工管理人员擅自离开施工现场的违约责任：</w:t>
      </w:r>
      <w:r>
        <w:rPr>
          <w:rFonts w:hint="eastAsia"/>
          <w:szCs w:val="21"/>
          <w:u w:val="single"/>
        </w:rPr>
        <w:t>按每人每次每天1000元向发包人支付违约金。</w:t>
      </w:r>
    </w:p>
    <w:p>
      <w:pPr>
        <w:snapToGrid w:val="0"/>
        <w:spacing w:line="360" w:lineRule="auto"/>
        <w:ind w:firstLine="482" w:firstLineChars="200"/>
        <w:rPr>
          <w:b/>
          <w:szCs w:val="21"/>
        </w:rPr>
      </w:pPr>
      <w:r>
        <w:rPr>
          <w:rFonts w:hint="eastAsia"/>
          <w:b/>
          <w:szCs w:val="21"/>
        </w:rPr>
        <w:t>3.8  分包</w:t>
      </w:r>
    </w:p>
    <w:p>
      <w:pPr>
        <w:snapToGrid w:val="0"/>
        <w:spacing w:line="360" w:lineRule="auto"/>
        <w:ind w:firstLine="480" w:firstLineChars="200"/>
        <w:rPr>
          <w:szCs w:val="21"/>
        </w:rPr>
      </w:pPr>
      <w:r>
        <w:rPr>
          <w:rFonts w:hint="eastAsia"/>
          <w:szCs w:val="21"/>
        </w:rPr>
        <w:t>3.8.1  分包约定</w:t>
      </w:r>
    </w:p>
    <w:p>
      <w:pPr>
        <w:snapToGrid w:val="0"/>
        <w:spacing w:line="360" w:lineRule="auto"/>
        <w:ind w:firstLine="480" w:firstLineChars="200"/>
        <w:rPr>
          <w:szCs w:val="21"/>
        </w:rPr>
      </w:pPr>
      <w:r>
        <w:rPr>
          <w:rFonts w:hint="eastAsia"/>
          <w:szCs w:val="21"/>
        </w:rPr>
        <w:t>约定的分包工作事项：</w:t>
      </w:r>
    </w:p>
    <w:p>
      <w:pPr>
        <w:snapToGrid w:val="0"/>
        <w:spacing w:line="360" w:lineRule="auto"/>
        <w:ind w:firstLine="480" w:firstLineChars="200"/>
        <w:rPr>
          <w:szCs w:val="21"/>
        </w:rPr>
      </w:pPr>
      <w:r>
        <w:rPr>
          <w:rFonts w:hint="eastAsia"/>
          <w:szCs w:val="21"/>
          <w:u w:val="single"/>
        </w:rPr>
        <w:t>（1）本工程施工工程不得转包及非法分包。</w:t>
      </w:r>
    </w:p>
    <w:p>
      <w:pPr>
        <w:adjustRightInd w:val="0"/>
        <w:snapToGrid w:val="0"/>
        <w:spacing w:line="360" w:lineRule="auto"/>
        <w:ind w:firstLine="480"/>
        <w:rPr>
          <w:szCs w:val="21"/>
          <w:u w:val="single"/>
        </w:rPr>
      </w:pPr>
      <w:r>
        <w:rPr>
          <w:rFonts w:hint="eastAsia"/>
          <w:szCs w:val="21"/>
          <w:u w:val="single"/>
        </w:rPr>
        <w:t>（2）承包人对建设工程的“设计、施工”整个过程负责，对建设工程的质量及建设工程的所有专业分包商履约行为负责。</w:t>
      </w:r>
    </w:p>
    <w:p>
      <w:pPr>
        <w:snapToGrid w:val="0"/>
        <w:spacing w:line="360" w:lineRule="auto"/>
        <w:ind w:firstLine="360" w:firstLineChars="150"/>
        <w:rPr>
          <w:szCs w:val="21"/>
          <w:u w:val="single"/>
        </w:rPr>
      </w:pPr>
      <w:r>
        <w:rPr>
          <w:rFonts w:hint="eastAsia"/>
          <w:szCs w:val="21"/>
          <w:u w:val="single"/>
        </w:rPr>
        <w:t>（3）在履行合同过程中，承包人不得转包和非法分包，一经发现，发包人可以解除本合同，并不予退还全额履约保证金，并且已完成的工程量不予结算，所造成的责任与损失均由承包人承担。</w:t>
      </w:r>
    </w:p>
    <w:p>
      <w:pPr>
        <w:snapToGrid w:val="0"/>
        <w:spacing w:line="360" w:lineRule="auto"/>
        <w:ind w:firstLine="482" w:firstLineChars="200"/>
        <w:rPr>
          <w:b/>
          <w:szCs w:val="21"/>
        </w:rPr>
      </w:pPr>
      <w:r>
        <w:rPr>
          <w:rFonts w:hint="eastAsia"/>
          <w:b/>
          <w:szCs w:val="21"/>
        </w:rPr>
        <w:t>第4条 进度、质量、安全文明施工</w:t>
      </w:r>
    </w:p>
    <w:p>
      <w:pPr>
        <w:adjustRightInd w:val="0"/>
        <w:snapToGrid w:val="0"/>
        <w:spacing w:line="360" w:lineRule="auto"/>
        <w:ind w:firstLine="480" w:firstLineChars="200"/>
        <w:rPr>
          <w:szCs w:val="21"/>
        </w:rPr>
      </w:pPr>
      <w:r>
        <w:rPr>
          <w:rFonts w:hint="eastAsia"/>
          <w:szCs w:val="21"/>
        </w:rPr>
        <w:t>4.1项目进度计划</w:t>
      </w:r>
    </w:p>
    <w:p>
      <w:pPr>
        <w:adjustRightInd w:val="0"/>
        <w:snapToGrid w:val="0"/>
        <w:spacing w:line="360" w:lineRule="auto"/>
        <w:ind w:firstLine="480" w:firstLineChars="200"/>
        <w:rPr>
          <w:szCs w:val="21"/>
        </w:rPr>
      </w:pPr>
      <w:r>
        <w:rPr>
          <w:rFonts w:hint="eastAsia"/>
          <w:szCs w:val="21"/>
        </w:rPr>
        <w:t>4.1 施工组织设计</w:t>
      </w:r>
    </w:p>
    <w:p>
      <w:pPr>
        <w:adjustRightInd w:val="0"/>
        <w:snapToGrid w:val="0"/>
        <w:spacing w:line="360" w:lineRule="auto"/>
        <w:ind w:firstLine="480" w:firstLineChars="200"/>
        <w:rPr>
          <w:szCs w:val="21"/>
          <w:u w:val="single"/>
        </w:rPr>
      </w:pPr>
      <w:r>
        <w:rPr>
          <w:rFonts w:hint="eastAsia"/>
          <w:szCs w:val="21"/>
        </w:rPr>
        <w:t>4.1.1 合同当事人约定的施工组织设计应包括的其他内容：</w:t>
      </w:r>
      <w:r>
        <w:rPr>
          <w:rFonts w:hint="eastAsia"/>
          <w:szCs w:val="21"/>
          <w:u w:val="single"/>
        </w:rPr>
        <w:t>承包人编制的进度计划中应明确各分部完成的具体时间，关键线路，劳动力动态变化图等。实际进度滞后计划进度时，承包人在接到监理通知单后，必须落实纠偏调整措施并认真实施，否则向发包人支付违约金500元/次。</w:t>
      </w:r>
    </w:p>
    <w:p>
      <w:pPr>
        <w:adjustRightInd w:val="0"/>
        <w:snapToGrid w:val="0"/>
        <w:spacing w:line="360" w:lineRule="auto"/>
        <w:ind w:firstLine="480" w:firstLineChars="200"/>
        <w:rPr>
          <w:szCs w:val="21"/>
        </w:rPr>
      </w:pPr>
      <w:r>
        <w:rPr>
          <w:rFonts w:hint="eastAsia"/>
          <w:szCs w:val="21"/>
        </w:rPr>
        <w:t>4.1.2 施工组织设计的提交和修改</w:t>
      </w:r>
    </w:p>
    <w:p>
      <w:pPr>
        <w:adjustRightInd w:val="0"/>
        <w:snapToGrid w:val="0"/>
        <w:spacing w:line="360" w:lineRule="auto"/>
        <w:ind w:firstLine="480" w:firstLineChars="200"/>
        <w:rPr>
          <w:szCs w:val="21"/>
        </w:rPr>
      </w:pPr>
      <w:r>
        <w:rPr>
          <w:rFonts w:hint="eastAsia"/>
          <w:szCs w:val="21"/>
        </w:rPr>
        <w:t>承包人提交详细施工组织设计的期限的约定：</w:t>
      </w:r>
      <w:r>
        <w:rPr>
          <w:rFonts w:hint="eastAsia"/>
          <w:szCs w:val="21"/>
          <w:u w:val="single"/>
        </w:rPr>
        <w:t>中标结果公告结束之日起3天内 。</w:t>
      </w:r>
    </w:p>
    <w:p>
      <w:pPr>
        <w:adjustRightInd w:val="0"/>
        <w:snapToGrid w:val="0"/>
        <w:spacing w:line="360" w:lineRule="auto"/>
        <w:ind w:firstLine="480" w:firstLineChars="200"/>
        <w:rPr>
          <w:szCs w:val="21"/>
          <w:u w:val="single"/>
        </w:rPr>
      </w:pPr>
      <w:r>
        <w:rPr>
          <w:rFonts w:hint="eastAsia"/>
          <w:szCs w:val="21"/>
        </w:rPr>
        <w:t>发包人和监理人在收到详细的施工组织设计后确认或提出修改意见的期限：</w:t>
      </w:r>
      <w:r>
        <w:rPr>
          <w:rFonts w:hint="eastAsia"/>
          <w:szCs w:val="21"/>
          <w:u w:val="single"/>
        </w:rPr>
        <w:t xml:space="preserve"> 收到文件后3天内。</w:t>
      </w:r>
    </w:p>
    <w:p>
      <w:pPr>
        <w:adjustRightInd w:val="0"/>
        <w:snapToGrid w:val="0"/>
        <w:spacing w:line="360" w:lineRule="auto"/>
        <w:ind w:firstLine="480" w:firstLineChars="200"/>
        <w:rPr>
          <w:szCs w:val="21"/>
        </w:rPr>
      </w:pPr>
      <w:r>
        <w:rPr>
          <w:rFonts w:hint="eastAsia"/>
          <w:szCs w:val="21"/>
        </w:rPr>
        <w:t>4.2 施工进度计划</w:t>
      </w:r>
    </w:p>
    <w:p>
      <w:pPr>
        <w:adjustRightInd w:val="0"/>
        <w:snapToGrid w:val="0"/>
        <w:spacing w:line="360" w:lineRule="auto"/>
        <w:ind w:firstLine="480" w:firstLineChars="200"/>
        <w:rPr>
          <w:szCs w:val="21"/>
        </w:rPr>
      </w:pPr>
      <w:r>
        <w:rPr>
          <w:rFonts w:hint="eastAsia"/>
          <w:szCs w:val="21"/>
        </w:rPr>
        <w:t>4.2.2 施工进度计划的修订</w:t>
      </w:r>
    </w:p>
    <w:p>
      <w:pPr>
        <w:adjustRightInd w:val="0"/>
        <w:snapToGrid w:val="0"/>
        <w:spacing w:line="360" w:lineRule="auto"/>
        <w:ind w:firstLine="480" w:firstLineChars="200"/>
        <w:rPr>
          <w:szCs w:val="21"/>
          <w:u w:val="single"/>
        </w:rPr>
      </w:pPr>
      <w:r>
        <w:rPr>
          <w:rFonts w:hint="eastAsia"/>
          <w:szCs w:val="21"/>
        </w:rPr>
        <w:t>发包人和监理人在收到修订的施工进度计划后确认或提出修改意见的期限：</w:t>
      </w:r>
      <w:r>
        <w:rPr>
          <w:rFonts w:hint="eastAsia"/>
          <w:szCs w:val="21"/>
          <w:u w:val="single"/>
        </w:rPr>
        <w:t xml:space="preserve"> 收到文件后3天内。</w:t>
      </w:r>
    </w:p>
    <w:p>
      <w:pPr>
        <w:adjustRightInd w:val="0"/>
        <w:snapToGrid w:val="0"/>
        <w:spacing w:line="360" w:lineRule="auto"/>
        <w:ind w:firstLine="480" w:firstLineChars="200"/>
        <w:rPr>
          <w:szCs w:val="21"/>
        </w:rPr>
      </w:pPr>
      <w:r>
        <w:rPr>
          <w:rFonts w:hint="eastAsia"/>
          <w:szCs w:val="21"/>
        </w:rPr>
        <w:t>4.3 开工</w:t>
      </w:r>
    </w:p>
    <w:p>
      <w:pPr>
        <w:adjustRightInd w:val="0"/>
        <w:snapToGrid w:val="0"/>
        <w:spacing w:line="360" w:lineRule="auto"/>
        <w:ind w:firstLine="480" w:firstLineChars="200"/>
        <w:rPr>
          <w:szCs w:val="21"/>
        </w:rPr>
      </w:pPr>
      <w:r>
        <w:rPr>
          <w:rFonts w:hint="eastAsia"/>
          <w:szCs w:val="21"/>
        </w:rPr>
        <w:t>4.3.1 开工准备</w:t>
      </w:r>
    </w:p>
    <w:p>
      <w:pPr>
        <w:snapToGrid w:val="0"/>
        <w:spacing w:line="360" w:lineRule="auto"/>
        <w:ind w:firstLine="480" w:firstLineChars="200"/>
        <w:jc w:val="left"/>
        <w:rPr>
          <w:szCs w:val="21"/>
        </w:rPr>
      </w:pPr>
      <w:r>
        <w:rPr>
          <w:rFonts w:hint="eastAsia"/>
          <w:szCs w:val="21"/>
        </w:rPr>
        <w:t>关于承包人提交工程开工报审表的期限：</w:t>
      </w:r>
      <w:r>
        <w:rPr>
          <w:rFonts w:hint="eastAsia"/>
          <w:szCs w:val="21"/>
          <w:u w:val="single"/>
        </w:rPr>
        <w:t>中标公示结束之日起7天内</w:t>
      </w:r>
      <w:r>
        <w:rPr>
          <w:rFonts w:hint="eastAsia"/>
          <w:szCs w:val="21"/>
        </w:rPr>
        <w:t>。</w:t>
      </w:r>
    </w:p>
    <w:p>
      <w:pPr>
        <w:snapToGrid w:val="0"/>
        <w:spacing w:line="360" w:lineRule="auto"/>
        <w:ind w:firstLine="480" w:firstLineChars="200"/>
        <w:jc w:val="left"/>
        <w:rPr>
          <w:szCs w:val="21"/>
        </w:rPr>
      </w:pPr>
      <w:r>
        <w:rPr>
          <w:rFonts w:hint="eastAsia"/>
          <w:szCs w:val="21"/>
        </w:rPr>
        <w:t>关于发包人应完成的其他开工准备工作及期限：</w:t>
      </w:r>
      <w:r>
        <w:rPr>
          <w:rFonts w:hint="eastAsia"/>
          <w:szCs w:val="21"/>
          <w:u w:val="single"/>
        </w:rPr>
        <w:t>开工前发包人提供施工用水源及电源，水、电费用由中标人承担；开工前组织图纸会审和设计交底</w:t>
      </w:r>
      <w:r>
        <w:rPr>
          <w:rFonts w:hint="eastAsia"/>
          <w:szCs w:val="21"/>
        </w:rPr>
        <w:t>。</w:t>
      </w:r>
    </w:p>
    <w:p>
      <w:pPr>
        <w:adjustRightInd w:val="0"/>
        <w:snapToGrid w:val="0"/>
        <w:spacing w:line="360" w:lineRule="auto"/>
        <w:ind w:firstLine="480" w:firstLineChars="200"/>
        <w:rPr>
          <w:szCs w:val="21"/>
        </w:rPr>
      </w:pPr>
      <w:r>
        <w:rPr>
          <w:rFonts w:hint="eastAsia"/>
          <w:szCs w:val="21"/>
        </w:rPr>
        <w:t>关于承包人应完成的其他开工准备工作及期限：</w:t>
      </w:r>
      <w:r>
        <w:rPr>
          <w:rFonts w:hint="eastAsia"/>
          <w:szCs w:val="21"/>
          <w:u w:val="single"/>
        </w:rPr>
        <w:t>遵守政府有关主管部门对施工场地交通、施工噪音、环境保护和安全生产等的管理规定，按规定办理有关手续，并以书面形式通知发包人。</w:t>
      </w:r>
    </w:p>
    <w:p>
      <w:pPr>
        <w:adjustRightInd w:val="0"/>
        <w:snapToGrid w:val="0"/>
        <w:spacing w:line="360" w:lineRule="auto"/>
        <w:ind w:firstLine="480" w:firstLineChars="200"/>
        <w:rPr>
          <w:szCs w:val="21"/>
        </w:rPr>
      </w:pPr>
      <w:r>
        <w:rPr>
          <w:rFonts w:hint="eastAsia"/>
          <w:szCs w:val="21"/>
        </w:rPr>
        <w:t>4.3.2开工通知</w:t>
      </w:r>
    </w:p>
    <w:p>
      <w:pPr>
        <w:adjustRightInd w:val="0"/>
        <w:snapToGrid w:val="0"/>
        <w:spacing w:line="360" w:lineRule="auto"/>
        <w:ind w:firstLine="480" w:firstLineChars="200"/>
        <w:rPr>
          <w:szCs w:val="21"/>
        </w:rPr>
      </w:pPr>
      <w:r>
        <w:rPr>
          <w:rFonts w:hint="eastAsia"/>
          <w:szCs w:val="21"/>
        </w:rPr>
        <w:t>因发包人原因造成监理人未能在计划开工日期之日起</w:t>
      </w:r>
      <w:r>
        <w:rPr>
          <w:rFonts w:hint="eastAsia"/>
          <w:szCs w:val="21"/>
          <w:u w:val="single"/>
        </w:rPr>
        <w:t xml:space="preserve"> 5 </w:t>
      </w:r>
      <w:r>
        <w:rPr>
          <w:rFonts w:hint="eastAsia"/>
          <w:szCs w:val="21"/>
        </w:rPr>
        <w:t>天内发出开工通知的，承包人有权提出价格调整要求，或者解除合同。</w:t>
      </w:r>
    </w:p>
    <w:p>
      <w:pPr>
        <w:adjustRightInd w:val="0"/>
        <w:snapToGrid w:val="0"/>
        <w:spacing w:line="360" w:lineRule="auto"/>
        <w:ind w:firstLine="480" w:firstLineChars="200"/>
        <w:rPr>
          <w:szCs w:val="21"/>
        </w:rPr>
      </w:pPr>
      <w:r>
        <w:rPr>
          <w:rFonts w:hint="eastAsia"/>
          <w:szCs w:val="21"/>
        </w:rPr>
        <w:t>4.4 测量放线</w:t>
      </w:r>
    </w:p>
    <w:p>
      <w:pPr>
        <w:adjustRightInd w:val="0"/>
        <w:snapToGrid w:val="0"/>
        <w:spacing w:line="360" w:lineRule="auto"/>
        <w:ind w:firstLine="480" w:firstLineChars="200"/>
        <w:rPr>
          <w:szCs w:val="21"/>
        </w:rPr>
      </w:pPr>
      <w:r>
        <w:rPr>
          <w:rFonts w:hint="eastAsia"/>
          <w:szCs w:val="21"/>
        </w:rPr>
        <w:t>4.4.1发包人通过监理人向承包人提供测量基准点、基准线和水准点及其书面资料的期限：</w:t>
      </w:r>
      <w:r>
        <w:rPr>
          <w:rFonts w:hint="eastAsia"/>
          <w:szCs w:val="21"/>
          <w:u w:val="single"/>
        </w:rPr>
        <w:t xml:space="preserve">  中标公示结束之日3天内  。</w:t>
      </w:r>
    </w:p>
    <w:p>
      <w:pPr>
        <w:adjustRightInd w:val="0"/>
        <w:snapToGrid w:val="0"/>
        <w:spacing w:line="360" w:lineRule="auto"/>
        <w:ind w:firstLine="480" w:firstLineChars="200"/>
        <w:rPr>
          <w:szCs w:val="21"/>
        </w:rPr>
      </w:pPr>
      <w:r>
        <w:rPr>
          <w:rFonts w:hint="eastAsia"/>
          <w:szCs w:val="21"/>
        </w:rPr>
        <w:t>4.5 工期延误</w:t>
      </w:r>
    </w:p>
    <w:p>
      <w:pPr>
        <w:adjustRightInd w:val="0"/>
        <w:snapToGrid w:val="0"/>
        <w:spacing w:line="360" w:lineRule="auto"/>
        <w:ind w:firstLine="480" w:firstLineChars="200"/>
        <w:rPr>
          <w:szCs w:val="21"/>
        </w:rPr>
      </w:pPr>
      <w:r>
        <w:rPr>
          <w:rFonts w:hint="eastAsia"/>
          <w:szCs w:val="21"/>
        </w:rPr>
        <w:t>4.5.1 因发包人原因导致工期延误</w:t>
      </w:r>
    </w:p>
    <w:p>
      <w:pPr>
        <w:adjustRightInd w:val="0"/>
        <w:snapToGrid w:val="0"/>
        <w:spacing w:line="360" w:lineRule="auto"/>
        <w:ind w:firstLine="480" w:firstLineChars="200"/>
        <w:rPr>
          <w:szCs w:val="21"/>
          <w:u w:val="single"/>
        </w:rPr>
      </w:pPr>
      <w:r>
        <w:rPr>
          <w:rFonts w:hint="eastAsia"/>
          <w:szCs w:val="21"/>
        </w:rPr>
        <w:t>（1）因发包人原因导致工期延误的其他情形：</w:t>
      </w:r>
      <w:r>
        <w:rPr>
          <w:rFonts w:hint="eastAsia"/>
          <w:szCs w:val="21"/>
          <w:u w:val="single"/>
        </w:rPr>
        <w:t xml:space="preserve"> ①因发包人未在开工前提供施工场地；②因发包人原因造成工程延期开工、停建、缓建、暂停施工（不含勒令停工）；③因发包人原因提出的单次设计变更导致工程量增加超过合同总价的8%以上的；④由市级以上有关部门正式发布和认定的自然灾害。</w:t>
      </w:r>
    </w:p>
    <w:p>
      <w:pPr>
        <w:adjustRightInd w:val="0"/>
        <w:snapToGrid w:val="0"/>
        <w:spacing w:line="360" w:lineRule="auto"/>
        <w:ind w:firstLine="480" w:firstLineChars="200"/>
        <w:rPr>
          <w:szCs w:val="21"/>
          <w:u w:val="single"/>
        </w:rPr>
      </w:pPr>
      <w:r>
        <w:rPr>
          <w:rFonts w:hint="eastAsia"/>
          <w:szCs w:val="21"/>
          <w:u w:val="single"/>
        </w:rPr>
        <w:t>上述情况发生后，承包人须就延误的内容，向发包人提交书面报告办理延期手续，经发包人批准后方可顺延工期，否则工期不予顺延。</w:t>
      </w:r>
    </w:p>
    <w:p>
      <w:pPr>
        <w:adjustRightInd w:val="0"/>
        <w:snapToGrid w:val="0"/>
        <w:spacing w:line="360" w:lineRule="auto"/>
        <w:ind w:firstLine="480" w:firstLineChars="200"/>
        <w:rPr>
          <w:b/>
          <w:szCs w:val="21"/>
          <w:u w:val="single"/>
        </w:rPr>
      </w:pPr>
      <w:r>
        <w:rPr>
          <w:rFonts w:hint="eastAsia"/>
          <w:szCs w:val="21"/>
          <w:u w:val="single"/>
        </w:rPr>
        <w:t>因发包人原因导致工期延误，不论工期是否顺延，承包人不得向发包人主张相应的误工、窝工等费用赔偿。</w:t>
      </w:r>
    </w:p>
    <w:p>
      <w:pPr>
        <w:adjustRightInd w:val="0"/>
        <w:snapToGrid w:val="0"/>
        <w:spacing w:line="360" w:lineRule="auto"/>
        <w:ind w:firstLine="480" w:firstLineChars="200"/>
        <w:rPr>
          <w:szCs w:val="21"/>
        </w:rPr>
      </w:pPr>
      <w:r>
        <w:rPr>
          <w:rFonts w:hint="eastAsia"/>
          <w:szCs w:val="21"/>
        </w:rPr>
        <w:t>4.5.2 因承包人原因导致工期延误</w:t>
      </w:r>
    </w:p>
    <w:p>
      <w:pPr>
        <w:snapToGrid w:val="0"/>
        <w:spacing w:line="360" w:lineRule="auto"/>
        <w:ind w:firstLine="480" w:firstLineChars="200"/>
        <w:jc w:val="left"/>
        <w:rPr>
          <w:szCs w:val="21"/>
        </w:rPr>
      </w:pPr>
      <w:r>
        <w:rPr>
          <w:rFonts w:hint="eastAsia"/>
          <w:szCs w:val="21"/>
        </w:rPr>
        <w:t>因</w:t>
      </w:r>
      <w:bookmarkStart w:id="38" w:name="_Toc318581170"/>
      <w:bookmarkStart w:id="39" w:name="_Toc312678013"/>
      <w:bookmarkStart w:id="40" w:name="_Toc312677487"/>
      <w:r>
        <w:rPr>
          <w:rFonts w:hint="eastAsia"/>
          <w:szCs w:val="21"/>
        </w:rPr>
        <w:t>承包人原因造成工期延误，逾期竣工违约金的计算方法为：</w:t>
      </w:r>
      <w:r>
        <w:rPr>
          <w:rFonts w:hint="eastAsia"/>
          <w:szCs w:val="21"/>
          <w:u w:val="single"/>
        </w:rPr>
        <w:t>发生其他不可抗力因素影响工期，造成工期延长的，承包人需办理延期手续，批准后方可顺延工期。因承包人原因发生工期延误，除罚没工期履约保证金外，每延期1天按1万元作为违约金支付给发包人，且发包人有权直接解除合同，已完工程量不予结算</w:t>
      </w:r>
      <w:r>
        <w:rPr>
          <w:rFonts w:hint="eastAsia"/>
          <w:szCs w:val="21"/>
        </w:rPr>
        <w:t>。</w:t>
      </w:r>
      <w:bookmarkEnd w:id="38"/>
      <w:bookmarkEnd w:id="39"/>
      <w:bookmarkEnd w:id="40"/>
    </w:p>
    <w:p>
      <w:pPr>
        <w:adjustRightInd w:val="0"/>
        <w:snapToGrid w:val="0"/>
        <w:spacing w:line="360" w:lineRule="auto"/>
        <w:ind w:firstLine="480" w:firstLineChars="200"/>
        <w:rPr>
          <w:szCs w:val="21"/>
        </w:rPr>
      </w:pPr>
      <w:r>
        <w:rPr>
          <w:rFonts w:hint="eastAsia"/>
          <w:szCs w:val="21"/>
        </w:rPr>
        <w:t>因承包人原因造成工期延误，逾</w:t>
      </w:r>
      <w:bookmarkStart w:id="41" w:name="_Toc318581171"/>
      <w:bookmarkStart w:id="42" w:name="_Toc312678014"/>
      <w:r>
        <w:rPr>
          <w:rFonts w:hint="eastAsia"/>
          <w:szCs w:val="21"/>
        </w:rPr>
        <w:t>期竣工违约金的上限：</w:t>
      </w:r>
      <w:r>
        <w:rPr>
          <w:rFonts w:hint="eastAsia"/>
          <w:szCs w:val="21"/>
          <w:u w:val="single"/>
        </w:rPr>
        <w:t>无</w:t>
      </w:r>
      <w:r>
        <w:rPr>
          <w:rFonts w:hint="eastAsia"/>
          <w:szCs w:val="21"/>
        </w:rPr>
        <w:t>。</w:t>
      </w:r>
      <w:bookmarkEnd w:id="41"/>
      <w:bookmarkEnd w:id="42"/>
    </w:p>
    <w:p>
      <w:pPr>
        <w:adjustRightInd w:val="0"/>
        <w:snapToGrid w:val="0"/>
        <w:spacing w:line="360" w:lineRule="auto"/>
        <w:ind w:firstLine="480" w:firstLineChars="200"/>
        <w:rPr>
          <w:szCs w:val="21"/>
        </w:rPr>
      </w:pPr>
      <w:r>
        <w:rPr>
          <w:rFonts w:hint="eastAsia"/>
          <w:szCs w:val="21"/>
        </w:rPr>
        <w:t>4.6 不利物质条件</w:t>
      </w:r>
    </w:p>
    <w:p>
      <w:pPr>
        <w:adjustRightInd w:val="0"/>
        <w:snapToGrid w:val="0"/>
        <w:spacing w:line="360" w:lineRule="auto"/>
        <w:ind w:firstLine="480" w:firstLineChars="200"/>
        <w:rPr>
          <w:szCs w:val="21"/>
          <w:u w:val="single"/>
        </w:rPr>
      </w:pPr>
      <w:r>
        <w:rPr>
          <w:rFonts w:hint="eastAsia"/>
          <w:szCs w:val="21"/>
        </w:rPr>
        <w:t>不利物质条件的其他情形和有关约定：</w:t>
      </w:r>
      <w:r>
        <w:rPr>
          <w:rFonts w:hint="eastAsia"/>
          <w:szCs w:val="21"/>
          <w:u w:val="single"/>
        </w:rPr>
        <w:t>不利物质条件的其他情形包括停水、停电、节假日、扰民和民扰、市政影响等不利因素及发包人分包工程的影响，因此施工过程中除本合同4.5.1规定的情况外，不管发生任何情况，均不顺延工期。</w:t>
      </w:r>
    </w:p>
    <w:p>
      <w:pPr>
        <w:adjustRightInd w:val="0"/>
        <w:snapToGrid w:val="0"/>
        <w:spacing w:line="360" w:lineRule="auto"/>
        <w:ind w:firstLine="480" w:firstLineChars="200"/>
        <w:rPr>
          <w:szCs w:val="21"/>
        </w:rPr>
      </w:pPr>
      <w:r>
        <w:rPr>
          <w:rFonts w:hint="eastAsia"/>
          <w:szCs w:val="21"/>
          <w:u w:val="single"/>
        </w:rPr>
        <w:t>因不利物质条件影响承包人施工的，不论工期是否顺延，承包人不得据此向发包人主张相应的误工、窝工等费用赔偿。</w:t>
      </w:r>
    </w:p>
    <w:p>
      <w:pPr>
        <w:adjustRightInd w:val="0"/>
        <w:snapToGrid w:val="0"/>
        <w:spacing w:line="360" w:lineRule="auto"/>
        <w:ind w:firstLine="480" w:firstLineChars="200"/>
        <w:rPr>
          <w:szCs w:val="21"/>
        </w:rPr>
      </w:pPr>
      <w:r>
        <w:rPr>
          <w:rFonts w:hint="eastAsia"/>
          <w:szCs w:val="21"/>
        </w:rPr>
        <w:t>4.7异常恶劣的气候条件</w:t>
      </w:r>
    </w:p>
    <w:p>
      <w:pPr>
        <w:adjustRightInd w:val="0"/>
        <w:snapToGrid w:val="0"/>
        <w:spacing w:line="360" w:lineRule="auto"/>
        <w:ind w:firstLine="480" w:firstLineChars="200"/>
        <w:rPr>
          <w:szCs w:val="21"/>
        </w:rPr>
      </w:pPr>
      <w:r>
        <w:rPr>
          <w:rFonts w:hint="eastAsia"/>
          <w:szCs w:val="21"/>
        </w:rPr>
        <w:t>发包人和承包人同意以下情形视为异常恶劣的气候条件：</w:t>
      </w:r>
    </w:p>
    <w:p>
      <w:pPr>
        <w:adjustRightInd w:val="0"/>
        <w:snapToGrid w:val="0"/>
        <w:spacing w:line="360" w:lineRule="auto"/>
        <w:ind w:firstLine="480" w:firstLineChars="200"/>
        <w:rPr>
          <w:szCs w:val="21"/>
        </w:rPr>
      </w:pPr>
      <w:r>
        <w:rPr>
          <w:rFonts w:hint="eastAsia"/>
          <w:szCs w:val="21"/>
        </w:rPr>
        <w:t>（1</w:t>
      </w:r>
      <w:r>
        <w:rPr>
          <w:rFonts w:hint="eastAsia"/>
          <w:szCs w:val="21"/>
          <w:u w:val="single"/>
        </w:rPr>
        <w:t xml:space="preserve">）另行协商 </w:t>
      </w:r>
      <w:r>
        <w:rPr>
          <w:rFonts w:hint="eastAsia"/>
          <w:szCs w:val="21"/>
        </w:rPr>
        <w:t>；</w:t>
      </w:r>
    </w:p>
    <w:p>
      <w:pPr>
        <w:adjustRightInd w:val="0"/>
        <w:snapToGrid w:val="0"/>
        <w:spacing w:line="360" w:lineRule="auto"/>
        <w:ind w:firstLine="480" w:firstLineChars="200"/>
        <w:rPr>
          <w:szCs w:val="21"/>
        </w:rPr>
      </w:pPr>
      <w:r>
        <w:rPr>
          <w:rFonts w:hint="eastAsia"/>
          <w:szCs w:val="21"/>
        </w:rPr>
        <w:t>4.9 提前竣工的奖励</w:t>
      </w:r>
    </w:p>
    <w:p>
      <w:pPr>
        <w:adjustRightInd w:val="0"/>
        <w:snapToGrid w:val="0"/>
        <w:spacing w:line="360" w:lineRule="auto"/>
        <w:ind w:firstLine="480" w:firstLineChars="200"/>
        <w:rPr>
          <w:szCs w:val="21"/>
        </w:rPr>
      </w:pPr>
      <w:r>
        <w:rPr>
          <w:rFonts w:hint="eastAsia"/>
          <w:szCs w:val="21"/>
        </w:rPr>
        <w:t>4.9.2提前竣工的奖励：</w:t>
      </w:r>
      <w:r>
        <w:rPr>
          <w:rFonts w:hint="eastAsia"/>
          <w:szCs w:val="21"/>
          <w:u w:val="single"/>
        </w:rPr>
        <w:t xml:space="preserve">  提前完工不奖 </w:t>
      </w:r>
      <w:r>
        <w:rPr>
          <w:rFonts w:hint="eastAsia"/>
          <w:szCs w:val="21"/>
        </w:rPr>
        <w:t>。</w:t>
      </w:r>
    </w:p>
    <w:p>
      <w:pPr>
        <w:adjustRightInd w:val="0"/>
        <w:snapToGrid w:val="0"/>
        <w:spacing w:line="360" w:lineRule="auto"/>
        <w:ind w:firstLine="480" w:firstLineChars="200"/>
        <w:rPr>
          <w:szCs w:val="21"/>
        </w:rPr>
      </w:pPr>
      <w:r>
        <w:rPr>
          <w:rFonts w:hint="eastAsia"/>
          <w:szCs w:val="21"/>
        </w:rPr>
        <w:t>4.10工程质量</w:t>
      </w:r>
    </w:p>
    <w:p>
      <w:pPr>
        <w:adjustRightInd w:val="0"/>
        <w:snapToGrid w:val="0"/>
        <w:spacing w:line="360" w:lineRule="auto"/>
        <w:ind w:firstLine="480" w:firstLineChars="200"/>
        <w:rPr>
          <w:szCs w:val="21"/>
        </w:rPr>
      </w:pPr>
      <w:r>
        <w:rPr>
          <w:rFonts w:hint="eastAsia"/>
          <w:szCs w:val="21"/>
        </w:rPr>
        <w:t>要求：</w:t>
      </w:r>
      <w:r>
        <w:rPr>
          <w:rFonts w:hint="eastAsia"/>
          <w:szCs w:val="21"/>
          <w:u w:val="single"/>
        </w:rPr>
        <w:t>合格</w:t>
      </w:r>
      <w:r>
        <w:rPr>
          <w:rFonts w:hint="eastAsia"/>
          <w:szCs w:val="21"/>
        </w:rPr>
        <w:t>。</w:t>
      </w:r>
    </w:p>
    <w:p>
      <w:pPr>
        <w:adjustRightInd w:val="0"/>
        <w:snapToGrid w:val="0"/>
        <w:spacing w:line="360" w:lineRule="auto"/>
        <w:ind w:firstLine="480" w:firstLineChars="200"/>
        <w:rPr>
          <w:szCs w:val="21"/>
        </w:rPr>
      </w:pPr>
      <w:r>
        <w:rPr>
          <w:rFonts w:hint="eastAsia"/>
          <w:szCs w:val="21"/>
        </w:rPr>
        <w:t>承包人必须严格按照施工图纸、工程技术要求及有关工程施工规范、规格和标准施工，并无条件的接受发包人、监理单位全方位、全过程的监督管理。无论监理工程师是否进行并通过了各项检验，均不解除承包人对自己承包的工程的质量所负的责任，除非质量问题是由非承包人原因引起的，而此类质量问题承包人须及时通知监理工程师。</w:t>
      </w:r>
    </w:p>
    <w:p>
      <w:pPr>
        <w:adjustRightInd w:val="0"/>
        <w:snapToGrid w:val="0"/>
        <w:spacing w:line="360" w:lineRule="auto"/>
        <w:ind w:firstLine="480" w:firstLineChars="200"/>
        <w:rPr>
          <w:szCs w:val="21"/>
        </w:rPr>
      </w:pPr>
      <w:r>
        <w:rPr>
          <w:rFonts w:hint="eastAsia"/>
          <w:szCs w:val="21"/>
        </w:rPr>
        <w:t>质量保证体系：承包人应按照合同规定，必须进行质量管理（QC），承包人应以GB/T19000《质量管理与质量保证》为标准，建立并保持一个健全的工程质量保证体系，完善质量管理制度，建立质量控制流程。</w:t>
      </w:r>
    </w:p>
    <w:p>
      <w:pPr>
        <w:adjustRightInd w:val="0"/>
        <w:snapToGrid w:val="0"/>
        <w:spacing w:line="360" w:lineRule="auto"/>
        <w:ind w:firstLine="480" w:firstLineChars="200"/>
        <w:rPr>
          <w:szCs w:val="21"/>
        </w:rPr>
      </w:pPr>
      <w:r>
        <w:rPr>
          <w:rFonts w:hint="eastAsia"/>
          <w:szCs w:val="21"/>
        </w:rPr>
        <w:t>对造成质量未达到约定标准双方都有过错的，按各自责任大小承担损失。具体由双方友好协商，协商不成提交建设行政主管部门进行调解或向南通仲裁委提出仲裁。</w:t>
      </w:r>
    </w:p>
    <w:p>
      <w:pPr>
        <w:adjustRightInd w:val="0"/>
        <w:snapToGrid w:val="0"/>
        <w:spacing w:line="360" w:lineRule="auto"/>
        <w:ind w:firstLine="480" w:firstLineChars="200"/>
        <w:rPr>
          <w:szCs w:val="21"/>
        </w:rPr>
      </w:pPr>
      <w:r>
        <w:rPr>
          <w:rFonts w:hint="eastAsia"/>
          <w:szCs w:val="21"/>
        </w:rPr>
        <w:t>双方对质量评定意见不一致时，由质监站进行质量评定。</w:t>
      </w:r>
    </w:p>
    <w:p>
      <w:pPr>
        <w:adjustRightInd w:val="0"/>
        <w:snapToGrid w:val="0"/>
        <w:spacing w:line="360" w:lineRule="auto"/>
        <w:ind w:firstLine="480" w:firstLineChars="200"/>
        <w:rPr>
          <w:szCs w:val="21"/>
        </w:rPr>
      </w:pPr>
      <w:r>
        <w:rPr>
          <w:rFonts w:hint="eastAsia"/>
          <w:szCs w:val="21"/>
        </w:rPr>
        <w:t>4.10.1 特殊质量标准和要求：</w:t>
      </w:r>
    </w:p>
    <w:p>
      <w:pPr>
        <w:adjustRightInd w:val="0"/>
        <w:snapToGrid w:val="0"/>
        <w:spacing w:line="360" w:lineRule="auto"/>
        <w:ind w:firstLine="460"/>
        <w:rPr>
          <w:szCs w:val="21"/>
        </w:rPr>
      </w:pPr>
      <w:r>
        <w:rPr>
          <w:rFonts w:hint="eastAsia"/>
          <w:szCs w:val="21"/>
        </w:rPr>
        <w:t>（1）质量合格，安装施工符合相关规范，并满足发包人需求；</w:t>
      </w:r>
    </w:p>
    <w:p>
      <w:pPr>
        <w:adjustRightInd w:val="0"/>
        <w:snapToGrid w:val="0"/>
        <w:spacing w:line="360" w:lineRule="auto"/>
        <w:ind w:firstLine="460"/>
        <w:rPr>
          <w:szCs w:val="21"/>
        </w:rPr>
      </w:pPr>
      <w:r>
        <w:rPr>
          <w:rFonts w:hint="eastAsia"/>
          <w:szCs w:val="21"/>
        </w:rPr>
        <w:t>（2）立体花架工艺规范、造型美观，符合设计要求；花卉品种、规格、密度符合要求，养护到位，布置期间保持盛花，无枯焉黄化、明显缺株、杂草、白色垃圾等现象；</w:t>
      </w:r>
    </w:p>
    <w:p>
      <w:pPr>
        <w:adjustRightInd w:val="0"/>
        <w:snapToGrid w:val="0"/>
        <w:spacing w:line="360" w:lineRule="auto"/>
        <w:ind w:firstLine="480" w:firstLineChars="200"/>
        <w:rPr>
          <w:szCs w:val="21"/>
        </w:rPr>
      </w:pPr>
      <w:r>
        <w:rPr>
          <w:rFonts w:hint="eastAsia"/>
          <w:szCs w:val="21"/>
        </w:rPr>
        <w:t>关于工程奖项的约定：</w:t>
      </w:r>
      <w:r>
        <w:rPr>
          <w:rFonts w:hint="eastAsia"/>
          <w:szCs w:val="21"/>
          <w:u w:val="single"/>
        </w:rPr>
        <w:t xml:space="preserve">  /  </w:t>
      </w:r>
      <w:r>
        <w:rPr>
          <w:rFonts w:hint="eastAsia"/>
          <w:szCs w:val="21"/>
        </w:rPr>
        <w:t>。</w:t>
      </w:r>
    </w:p>
    <w:p>
      <w:pPr>
        <w:adjustRightInd w:val="0"/>
        <w:snapToGrid w:val="0"/>
        <w:spacing w:line="360" w:lineRule="auto"/>
        <w:ind w:firstLine="480" w:firstLineChars="200"/>
        <w:rPr>
          <w:szCs w:val="21"/>
        </w:rPr>
      </w:pPr>
      <w:r>
        <w:rPr>
          <w:rFonts w:hint="eastAsia"/>
          <w:szCs w:val="21"/>
        </w:rPr>
        <w:t>4.11 隐蔽工程检查</w:t>
      </w:r>
    </w:p>
    <w:p>
      <w:pPr>
        <w:adjustRightInd w:val="0"/>
        <w:snapToGrid w:val="0"/>
        <w:spacing w:line="360" w:lineRule="auto"/>
        <w:ind w:firstLine="480" w:firstLineChars="200"/>
        <w:rPr>
          <w:szCs w:val="21"/>
          <w:u w:val="single"/>
        </w:rPr>
      </w:pPr>
      <w:r>
        <w:rPr>
          <w:rFonts w:hint="eastAsia"/>
          <w:szCs w:val="21"/>
        </w:rPr>
        <w:t>4.11.1承包人提前通知监理人隐蔽工程检查的期限的约定：</w:t>
      </w:r>
      <w:r>
        <w:rPr>
          <w:rFonts w:hint="eastAsia"/>
          <w:szCs w:val="21"/>
          <w:u w:val="single"/>
        </w:rPr>
        <w:t>隐蔽工程检查前48小时书面通知监理人。</w:t>
      </w:r>
    </w:p>
    <w:p>
      <w:pPr>
        <w:adjustRightInd w:val="0"/>
        <w:snapToGrid w:val="0"/>
        <w:spacing w:line="360" w:lineRule="auto"/>
        <w:ind w:firstLine="480" w:firstLineChars="200"/>
        <w:rPr>
          <w:szCs w:val="21"/>
        </w:rPr>
      </w:pPr>
      <w:r>
        <w:rPr>
          <w:rFonts w:hint="eastAsia"/>
          <w:szCs w:val="21"/>
        </w:rPr>
        <w:t>监理人不能按时进行检查时，应提前</w:t>
      </w:r>
      <w:r>
        <w:rPr>
          <w:rFonts w:hint="eastAsia"/>
          <w:szCs w:val="21"/>
          <w:u w:val="single"/>
        </w:rPr>
        <w:t xml:space="preserve"> 24 </w:t>
      </w:r>
      <w:r>
        <w:rPr>
          <w:rFonts w:hint="eastAsia"/>
          <w:szCs w:val="21"/>
        </w:rPr>
        <w:t>小时提交书面延期要求。</w:t>
      </w:r>
    </w:p>
    <w:p>
      <w:pPr>
        <w:adjustRightInd w:val="0"/>
        <w:snapToGrid w:val="0"/>
        <w:spacing w:line="360" w:lineRule="auto"/>
        <w:ind w:firstLine="480" w:firstLineChars="200"/>
        <w:rPr>
          <w:szCs w:val="21"/>
        </w:rPr>
      </w:pPr>
      <w:r>
        <w:rPr>
          <w:rFonts w:hint="eastAsia"/>
          <w:szCs w:val="21"/>
        </w:rPr>
        <w:t>关于延期最长不得超过</w:t>
      </w:r>
      <w:r>
        <w:rPr>
          <w:rFonts w:hint="eastAsia"/>
          <w:szCs w:val="21"/>
          <w:u w:val="single"/>
        </w:rPr>
        <w:t xml:space="preserve">： 48 </w:t>
      </w:r>
      <w:r>
        <w:rPr>
          <w:rFonts w:hint="eastAsia"/>
          <w:szCs w:val="21"/>
        </w:rPr>
        <w:t xml:space="preserve"> 小时。</w:t>
      </w:r>
    </w:p>
    <w:p>
      <w:pPr>
        <w:adjustRightInd w:val="0"/>
        <w:snapToGrid w:val="0"/>
        <w:spacing w:line="360" w:lineRule="auto"/>
        <w:ind w:firstLine="480" w:firstLineChars="200"/>
        <w:rPr>
          <w:szCs w:val="21"/>
        </w:rPr>
      </w:pPr>
      <w:r>
        <w:rPr>
          <w:rFonts w:hint="eastAsia"/>
          <w:szCs w:val="21"/>
        </w:rPr>
        <w:t>4.12安全文明施工</w:t>
      </w:r>
    </w:p>
    <w:p>
      <w:pPr>
        <w:adjustRightInd w:val="0"/>
        <w:snapToGrid w:val="0"/>
        <w:spacing w:line="360" w:lineRule="auto"/>
        <w:ind w:firstLine="480" w:firstLineChars="200"/>
        <w:rPr>
          <w:szCs w:val="21"/>
          <w:u w:val="single"/>
        </w:rPr>
      </w:pPr>
      <w:r>
        <w:rPr>
          <w:rFonts w:hint="eastAsia"/>
          <w:szCs w:val="21"/>
        </w:rPr>
        <w:t>4.12.1 项目安全生产的达标目标及相应事项的约定：</w:t>
      </w:r>
      <w:r>
        <w:rPr>
          <w:rFonts w:hint="eastAsia"/>
          <w:szCs w:val="21"/>
          <w:u w:val="single"/>
        </w:rPr>
        <w:t>（1）承包人须对本合同范围内所有施工范围和施工人员负全部安全施工责任。承包人应严格按《建设工程安全生产管理条例》等法律、工程建设安全生产地有关管理规定，采取安全措施组织施工。若发生安全事故，所造成的一切责任与后果均由承包人承担；满足江苏省、南通市等安监部门安全文明生产的要求，做好安全技术教育及交底，落实所有安全技术措施和人身防护用品；建立安全制度、安全检查制度、安全教育制度、工地班前活动制度、文明施工检查制度。</w:t>
      </w:r>
    </w:p>
    <w:p>
      <w:pPr>
        <w:adjustRightInd w:val="0"/>
        <w:snapToGrid w:val="0"/>
        <w:spacing w:line="360" w:lineRule="auto"/>
        <w:ind w:firstLine="480" w:firstLineChars="200"/>
        <w:rPr>
          <w:szCs w:val="21"/>
          <w:u w:val="single"/>
        </w:rPr>
      </w:pPr>
      <w:r>
        <w:rPr>
          <w:rFonts w:hint="eastAsia"/>
          <w:szCs w:val="21"/>
          <w:u w:val="single"/>
        </w:rPr>
        <w:t>（2）a、工程施工前，承包人应根据法律、法规、规范、标准等要求，制定安全施工标准及要求，负责向施工作业班组、作业人员作出详细的说明，并由双方签字确认。b、工程施工前，承包人使用的安全防护用具、机械设备、施工机具及配件，应当具有生产（制造）许可证、产品合格证，并在进入施工现场前进行查验，经监理工程师签字确认后方可使用。c、特种作业人员，必须按照国家有关规定经过专门的安全作业培训，并取得特种作业操作资格证书后，方可上岗作业。</w:t>
      </w:r>
    </w:p>
    <w:p>
      <w:pPr>
        <w:adjustRightInd w:val="0"/>
        <w:snapToGrid w:val="0"/>
        <w:spacing w:line="360" w:lineRule="auto"/>
        <w:ind w:firstLine="480" w:firstLineChars="200"/>
        <w:rPr>
          <w:szCs w:val="21"/>
          <w:u w:val="single"/>
        </w:rPr>
      </w:pPr>
      <w:r>
        <w:rPr>
          <w:rFonts w:hint="eastAsia"/>
          <w:szCs w:val="21"/>
          <w:u w:val="single"/>
        </w:rPr>
        <w:t>（4）承包人对因工程施工可能造成损害的毗邻建筑物、构筑物（含文物保护建筑）、古树名木和地下管线等，要求承包人严格按有关部门的要求采取措施进行保护,费用由监理机构签证并报发包人核准，如发生损坏，所有损失由承包人承担。承包人应当遵守有关环境保护法律、法规的规定，在施工现场采取措施，防止或减少粉尘、废气、废水、固体废物、噪声、振动和施工照明对人和环境的危害和污染。</w:t>
      </w:r>
    </w:p>
    <w:p>
      <w:pPr>
        <w:adjustRightInd w:val="0"/>
        <w:snapToGrid w:val="0"/>
        <w:spacing w:line="360" w:lineRule="auto"/>
        <w:ind w:firstLine="480" w:firstLineChars="200"/>
        <w:rPr>
          <w:szCs w:val="21"/>
          <w:u w:val="single"/>
        </w:rPr>
      </w:pPr>
      <w:r>
        <w:rPr>
          <w:rFonts w:hint="eastAsia"/>
          <w:szCs w:val="21"/>
          <w:u w:val="single"/>
        </w:rPr>
        <w:t>（5）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snapToGrid w:val="0"/>
        <w:spacing w:line="360" w:lineRule="auto"/>
        <w:ind w:firstLine="480" w:firstLineChars="200"/>
        <w:jc w:val="left"/>
        <w:rPr>
          <w:szCs w:val="21"/>
          <w:u w:val="single"/>
        </w:rPr>
      </w:pPr>
      <w:r>
        <w:rPr>
          <w:rFonts w:hint="eastAsia"/>
          <w:szCs w:val="21"/>
        </w:rPr>
        <w:t>4.12.3 关于治安保卫的特别约定：</w:t>
      </w:r>
      <w:r>
        <w:rPr>
          <w:rFonts w:hint="eastAsia"/>
          <w:szCs w:val="21"/>
          <w:u w:val="single"/>
        </w:rPr>
        <w:t>因本工程实施的四个地点均在南通市中心地带，承包人应承担施工安全保卫工作及非夜间施工照明、围栏设施，负责安全保卫，并承担费用。施工期间及展示期间承包人按发包人要求做好成品保护工作，负责已完成工程的保护工作，所需费用含在报价内，保护期内由承包人无条件、自费、限期予以修理、更换。</w:t>
      </w:r>
    </w:p>
    <w:p>
      <w:pPr>
        <w:snapToGrid w:val="0"/>
        <w:spacing w:line="360" w:lineRule="auto"/>
        <w:ind w:firstLine="480" w:firstLineChars="200"/>
        <w:jc w:val="left"/>
        <w:rPr>
          <w:szCs w:val="21"/>
          <w:u w:val="single"/>
        </w:rPr>
      </w:pPr>
      <w:r>
        <w:rPr>
          <w:rFonts w:hint="eastAsia"/>
          <w:szCs w:val="21"/>
        </w:rPr>
        <w:t>关于编制施工场地治安管理计划的约定：</w:t>
      </w:r>
      <w:r>
        <w:rPr>
          <w:rFonts w:hint="eastAsia"/>
          <w:szCs w:val="21"/>
          <w:u w:val="single"/>
        </w:rPr>
        <w:t>开工前三天提供施工场地治安管理计划。</w:t>
      </w:r>
    </w:p>
    <w:p>
      <w:pPr>
        <w:snapToGrid w:val="0"/>
        <w:spacing w:line="360" w:lineRule="auto"/>
        <w:ind w:firstLine="480" w:firstLineChars="200"/>
        <w:jc w:val="left"/>
        <w:rPr>
          <w:szCs w:val="21"/>
          <w:u w:val="single"/>
        </w:rPr>
      </w:pPr>
      <w:r>
        <w:rPr>
          <w:rFonts w:hint="eastAsia"/>
          <w:szCs w:val="21"/>
          <w:u w:val="single"/>
        </w:rPr>
        <w:t>前述发包人对承包人治安计划的认可及对其施工现场治安保卫工作的监督，不得理解为对本合同约定的变更，也不得减轻或免除承包人的任何责任和义务。</w:t>
      </w:r>
    </w:p>
    <w:p>
      <w:pPr>
        <w:adjustRightInd w:val="0"/>
        <w:snapToGrid w:val="0"/>
        <w:spacing w:line="360" w:lineRule="auto"/>
        <w:ind w:firstLine="480" w:firstLineChars="200"/>
        <w:rPr>
          <w:szCs w:val="21"/>
        </w:rPr>
      </w:pPr>
      <w:r>
        <w:rPr>
          <w:rFonts w:hint="eastAsia"/>
          <w:szCs w:val="21"/>
        </w:rPr>
        <w:t>4.12.3 文明施工</w:t>
      </w:r>
    </w:p>
    <w:p>
      <w:pPr>
        <w:adjustRightInd w:val="0"/>
        <w:snapToGrid w:val="0"/>
        <w:spacing w:line="360" w:lineRule="auto"/>
        <w:ind w:firstLine="480" w:firstLineChars="200"/>
        <w:rPr>
          <w:szCs w:val="21"/>
        </w:rPr>
      </w:pPr>
      <w:r>
        <w:rPr>
          <w:rFonts w:hint="eastAsia"/>
          <w:szCs w:val="21"/>
        </w:rPr>
        <w:t>合同当事人对文明施工的要求：</w:t>
      </w:r>
      <w:r>
        <w:rPr>
          <w:rFonts w:hint="eastAsia"/>
          <w:szCs w:val="21"/>
          <w:u w:val="single"/>
        </w:rPr>
        <w:t>承包人最低必须按照省级标化工地标准和要求，做好场地清理及相关工作，施工现场要求保证施工场地清洁；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施工履约保证金。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施工现场要设立标语、标牌，做到文明施工，树立企业形象，主动接受社会监督和有关部门的管理。</w:t>
      </w:r>
    </w:p>
    <w:p>
      <w:pPr>
        <w:adjustRightInd w:val="0"/>
        <w:snapToGrid w:val="0"/>
        <w:spacing w:line="360" w:lineRule="auto"/>
        <w:ind w:firstLine="480" w:firstLineChars="200"/>
        <w:rPr>
          <w:szCs w:val="21"/>
        </w:rPr>
      </w:pPr>
      <w:r>
        <w:rPr>
          <w:rFonts w:hint="eastAsia"/>
          <w:szCs w:val="21"/>
        </w:rPr>
        <w:t>4.12.4关于安全文明施工费支付比例和支付期限的约定：</w:t>
      </w:r>
      <w:r>
        <w:rPr>
          <w:rFonts w:hint="eastAsia"/>
          <w:szCs w:val="21"/>
          <w:u w:val="single"/>
        </w:rPr>
        <w:t xml:space="preserve">  /  。</w:t>
      </w:r>
    </w:p>
    <w:p>
      <w:pPr>
        <w:snapToGrid w:val="0"/>
        <w:spacing w:line="360" w:lineRule="auto"/>
        <w:ind w:firstLine="482" w:firstLineChars="200"/>
        <w:rPr>
          <w:b/>
          <w:szCs w:val="21"/>
        </w:rPr>
      </w:pPr>
      <w:r>
        <w:rPr>
          <w:rFonts w:hint="eastAsia"/>
          <w:b/>
          <w:szCs w:val="21"/>
        </w:rPr>
        <w:t>第5条技术与设计</w:t>
      </w:r>
    </w:p>
    <w:p>
      <w:pPr>
        <w:snapToGrid w:val="0"/>
        <w:spacing w:line="360" w:lineRule="auto"/>
        <w:ind w:firstLine="482" w:firstLineChars="200"/>
        <w:rPr>
          <w:b/>
          <w:szCs w:val="21"/>
        </w:rPr>
      </w:pPr>
      <w:r>
        <w:rPr>
          <w:rFonts w:hint="eastAsia"/>
          <w:b/>
          <w:szCs w:val="21"/>
        </w:rPr>
        <w:t>5.2设计</w:t>
      </w:r>
    </w:p>
    <w:p>
      <w:pPr>
        <w:snapToGrid w:val="0"/>
        <w:spacing w:line="360" w:lineRule="auto"/>
        <w:ind w:firstLine="480" w:firstLineChars="200"/>
        <w:rPr>
          <w:szCs w:val="21"/>
        </w:rPr>
      </w:pPr>
      <w:r>
        <w:rPr>
          <w:rFonts w:hint="eastAsia"/>
          <w:szCs w:val="21"/>
        </w:rPr>
        <w:t>5.2.1发包人的义务</w:t>
      </w:r>
    </w:p>
    <w:p>
      <w:pPr>
        <w:snapToGrid w:val="0"/>
        <w:spacing w:line="360" w:lineRule="auto"/>
        <w:ind w:firstLine="480" w:firstLineChars="200"/>
        <w:rPr>
          <w:szCs w:val="21"/>
          <w:u w:val="single"/>
        </w:rPr>
      </w:pPr>
      <w:r>
        <w:rPr>
          <w:rFonts w:hint="eastAsia"/>
          <w:szCs w:val="21"/>
        </w:rPr>
        <w:t>（1）提供现场障碍资料。发包人提供的现场障碍资料的类别、内容、份数和时间：</w:t>
      </w:r>
      <w:r>
        <w:rPr>
          <w:rFonts w:hint="eastAsia"/>
          <w:szCs w:val="21"/>
          <w:u w:val="single"/>
        </w:rPr>
        <w:t xml:space="preserve">  /  。</w:t>
      </w:r>
    </w:p>
    <w:p>
      <w:pPr>
        <w:snapToGrid w:val="0"/>
        <w:spacing w:line="360" w:lineRule="auto"/>
        <w:ind w:firstLine="480" w:firstLineChars="200"/>
        <w:rPr>
          <w:szCs w:val="21"/>
        </w:rPr>
      </w:pPr>
      <w:r>
        <w:rPr>
          <w:rFonts w:hint="eastAsia"/>
          <w:szCs w:val="21"/>
        </w:rPr>
        <w:t>5.2.2承包人的义务</w:t>
      </w:r>
    </w:p>
    <w:p>
      <w:pPr>
        <w:snapToGrid w:val="0"/>
        <w:spacing w:line="360" w:lineRule="auto"/>
        <w:ind w:firstLine="240" w:firstLineChars="100"/>
        <w:rPr>
          <w:szCs w:val="21"/>
        </w:rPr>
      </w:pPr>
      <w:r>
        <w:rPr>
          <w:rFonts w:hint="eastAsia"/>
          <w:szCs w:val="21"/>
        </w:rPr>
        <w:t>（1）经合同双方商定，发包人提供的项目基础资料、现场障碍资料的如下部分，可按本款中约定的如下时间期限，提出进一步要求:</w:t>
      </w:r>
    </w:p>
    <w:p>
      <w:pPr>
        <w:adjustRightInd w:val="0"/>
        <w:snapToGrid w:val="0"/>
        <w:spacing w:line="360" w:lineRule="auto"/>
        <w:ind w:firstLine="480" w:firstLineChars="200"/>
        <w:rPr>
          <w:szCs w:val="21"/>
        </w:rPr>
      </w:pPr>
      <w:r>
        <w:rPr>
          <w:rFonts w:hint="eastAsia"/>
          <w:szCs w:val="21"/>
        </w:rPr>
        <w:t>5.2.2.1设计义务的一般要求</w:t>
      </w:r>
    </w:p>
    <w:p>
      <w:pPr>
        <w:adjustRightInd w:val="0"/>
        <w:snapToGrid w:val="0"/>
        <w:spacing w:line="360" w:lineRule="auto"/>
        <w:ind w:firstLine="480" w:firstLineChars="200"/>
        <w:rPr>
          <w:szCs w:val="21"/>
          <w:u w:val="single"/>
        </w:rPr>
      </w:pPr>
      <w:r>
        <w:rPr>
          <w:rFonts w:hint="eastAsia"/>
          <w:szCs w:val="21"/>
          <w:u w:val="single"/>
        </w:rPr>
        <w:t>（1）承包人应当按照法律、法规和工程建设强制性标准进行设计，提交的设计文件应当满足本工程安全使用的需要，防止因设计不合理导致安全隐患或安全事故或过度设计的发生。</w:t>
      </w:r>
    </w:p>
    <w:p>
      <w:pPr>
        <w:adjustRightInd w:val="0"/>
        <w:snapToGrid w:val="0"/>
        <w:spacing w:line="360" w:lineRule="auto"/>
        <w:ind w:firstLine="480" w:firstLineChars="200"/>
        <w:rPr>
          <w:rFonts w:hint="eastAsia"/>
          <w:szCs w:val="21"/>
          <w:u w:val="single"/>
        </w:rPr>
      </w:pPr>
      <w:r>
        <w:rPr>
          <w:rFonts w:hint="eastAsia"/>
          <w:szCs w:val="21"/>
          <w:u w:val="single"/>
        </w:rPr>
        <w:t>（2）承包人应严格遵守设计职业道德，应本着科学、严谨的态度，认真收集、核实各类原始数据，按照行业规范、规程及标准进行设计，确保工程质量和安全，同时不能造成浪费。尤其不得出现利用未经证实的或虚假资料进行设计，给发包人造成经济损失。</w:t>
      </w:r>
    </w:p>
    <w:p>
      <w:pPr>
        <w:adjustRightInd w:val="0"/>
        <w:snapToGrid w:val="0"/>
        <w:spacing w:line="360" w:lineRule="auto"/>
        <w:ind w:firstLine="480" w:firstLineChars="200"/>
        <w:rPr>
          <w:szCs w:val="21"/>
          <w:u w:val="single"/>
        </w:rPr>
      </w:pPr>
      <w:r>
        <w:rPr>
          <w:rFonts w:hint="eastAsia"/>
          <w:szCs w:val="21"/>
          <w:u w:val="single"/>
          <w:lang w:eastAsia="zh-CN"/>
        </w:rPr>
        <w:t>（</w:t>
      </w:r>
      <w:r>
        <w:rPr>
          <w:rFonts w:hint="eastAsia"/>
          <w:szCs w:val="21"/>
          <w:u w:val="single"/>
          <w:lang w:val="en-US" w:eastAsia="zh-CN"/>
        </w:rPr>
        <w:t>3</w:t>
      </w:r>
      <w:r>
        <w:rPr>
          <w:rFonts w:hint="eastAsia"/>
          <w:szCs w:val="21"/>
          <w:u w:val="single"/>
          <w:lang w:eastAsia="zh-CN"/>
        </w:rPr>
        <w:t>）</w:t>
      </w:r>
      <w:r>
        <w:rPr>
          <w:rFonts w:hint="eastAsia"/>
          <w:szCs w:val="21"/>
          <w:u w:val="single"/>
        </w:rPr>
        <w:t>承包人须全过程参与和组织施工图设计及各类专项方案评审。</w:t>
      </w:r>
    </w:p>
    <w:p>
      <w:pPr>
        <w:adjustRightInd w:val="0"/>
        <w:snapToGrid w:val="0"/>
        <w:spacing w:line="360" w:lineRule="auto"/>
        <w:ind w:firstLine="480" w:firstLineChars="200"/>
        <w:rPr>
          <w:szCs w:val="21"/>
          <w:u w:val="single"/>
        </w:rPr>
      </w:pPr>
      <w:r>
        <w:rPr>
          <w:rFonts w:hint="eastAsia"/>
          <w:szCs w:val="21"/>
          <w:u w:val="single"/>
        </w:rPr>
        <w:t>（4）承包人按发包人规定的内容、时间及份数向发包人交付设计文件，并对设计文件的质量（包括但不限于正确性、完整性、经济性）负责；发包人或政府部门、或委托的相关单位对承包人工作或工作成果所做的任何形式的审核、审查，均不减轻或免除承包人的责任。</w:t>
      </w:r>
    </w:p>
    <w:p>
      <w:pPr>
        <w:adjustRightInd w:val="0"/>
        <w:snapToGrid w:val="0"/>
        <w:spacing w:line="360" w:lineRule="auto"/>
        <w:ind w:firstLine="480" w:firstLineChars="200"/>
        <w:rPr>
          <w:szCs w:val="21"/>
          <w:u w:val="single"/>
        </w:rPr>
      </w:pPr>
      <w:r>
        <w:rPr>
          <w:rFonts w:hint="eastAsia"/>
          <w:szCs w:val="21"/>
          <w:u w:val="single"/>
        </w:rPr>
        <w:t>（5）承包人交付设计文件后，应参加有关部门组织的设计审查会议。各阶段设计成果经评审或审查需要设计调整的，承包人应在规定时间内完成调整，及时向发包人提交调整后的设计成果，并不再另行收取费用。</w:t>
      </w:r>
    </w:p>
    <w:p>
      <w:pPr>
        <w:adjustRightInd w:val="0"/>
        <w:snapToGrid w:val="0"/>
        <w:spacing w:line="360" w:lineRule="auto"/>
        <w:ind w:left="480"/>
        <w:rPr>
          <w:szCs w:val="21"/>
          <w:u w:val="single"/>
        </w:rPr>
      </w:pPr>
      <w:r>
        <w:rPr>
          <w:rFonts w:hint="eastAsia"/>
          <w:szCs w:val="21"/>
          <w:u w:val="single"/>
        </w:rPr>
        <w:t>（6）承包人按本合同及发包人规定的内容、进度及份数向发包人交付资料及文件。</w:t>
      </w:r>
    </w:p>
    <w:p>
      <w:pPr>
        <w:adjustRightInd w:val="0"/>
        <w:snapToGrid w:val="0"/>
        <w:spacing w:line="360" w:lineRule="auto"/>
        <w:ind w:firstLine="480" w:firstLineChars="200"/>
        <w:rPr>
          <w:szCs w:val="21"/>
          <w:u w:val="single"/>
        </w:rPr>
      </w:pPr>
      <w:r>
        <w:rPr>
          <w:rFonts w:hint="eastAsia"/>
          <w:szCs w:val="21"/>
          <w:u w:val="single"/>
        </w:rPr>
        <w:t>（7）承包人应保护发包人的知识产权，不得向第三人泄露、转让发包人提交的产品图纸等技术经济资料。如发生以上情况并给发包人造成经济损失，发包人有权向设计人索赔。</w:t>
      </w:r>
    </w:p>
    <w:p>
      <w:pPr>
        <w:adjustRightInd w:val="0"/>
        <w:snapToGrid w:val="0"/>
        <w:spacing w:line="360" w:lineRule="auto"/>
        <w:ind w:firstLine="480" w:firstLineChars="200"/>
        <w:contextualSpacing/>
        <w:rPr>
          <w:szCs w:val="21"/>
          <w:u w:val="single"/>
        </w:rPr>
      </w:pPr>
      <w:r>
        <w:rPr>
          <w:rFonts w:hint="eastAsia"/>
          <w:szCs w:val="21"/>
          <w:u w:val="single"/>
        </w:rPr>
        <w:t>（9）承包人因施工图设计优化导致的工期延误由承包人自行承担。</w:t>
      </w:r>
    </w:p>
    <w:p>
      <w:pPr>
        <w:adjustRightInd w:val="0"/>
        <w:snapToGrid w:val="0"/>
        <w:spacing w:line="360" w:lineRule="auto"/>
        <w:ind w:firstLine="480" w:firstLineChars="200"/>
        <w:contextualSpacing/>
        <w:rPr>
          <w:szCs w:val="21"/>
          <w:u w:val="single"/>
        </w:rPr>
      </w:pPr>
      <w:r>
        <w:rPr>
          <w:rFonts w:hint="eastAsia"/>
          <w:szCs w:val="21"/>
          <w:u w:val="single"/>
        </w:rPr>
        <w:t>（10）施工过程中，因设计变更引起的工程量变化要求签证计量的相关审批手续由承包人自行负责，并承担相关费用。</w:t>
      </w:r>
    </w:p>
    <w:p>
      <w:pPr>
        <w:adjustRightInd w:val="0"/>
        <w:snapToGrid w:val="0"/>
        <w:spacing w:line="360" w:lineRule="auto"/>
        <w:ind w:firstLine="480" w:firstLineChars="200"/>
        <w:contextualSpacing/>
        <w:rPr>
          <w:szCs w:val="21"/>
          <w:u w:val="single"/>
        </w:rPr>
      </w:pPr>
      <w:r>
        <w:rPr>
          <w:rFonts w:hint="eastAsia"/>
          <w:szCs w:val="21"/>
          <w:u w:val="single"/>
        </w:rPr>
        <w:t>（11） 工程项目施工图涉及到的其他设计内容：</w:t>
      </w:r>
    </w:p>
    <w:p>
      <w:pPr>
        <w:adjustRightInd w:val="0"/>
        <w:snapToGrid w:val="0"/>
        <w:spacing w:line="360" w:lineRule="auto"/>
        <w:ind w:firstLine="480" w:firstLineChars="200"/>
        <w:contextualSpacing/>
        <w:rPr>
          <w:szCs w:val="21"/>
          <w:u w:val="single"/>
        </w:rPr>
      </w:pPr>
      <w:r>
        <w:rPr>
          <w:rFonts w:hint="eastAsia"/>
          <w:szCs w:val="21"/>
          <w:u w:val="single"/>
        </w:rPr>
        <w:fldChar w:fldCharType="begin"/>
      </w:r>
      <w:r>
        <w:rPr>
          <w:rFonts w:hint="eastAsia"/>
          <w:szCs w:val="21"/>
          <w:u w:val="single"/>
        </w:rPr>
        <w:instrText xml:space="preserve"> = 1 \* GB3 </w:instrText>
      </w:r>
      <w:r>
        <w:rPr>
          <w:rFonts w:hint="eastAsia"/>
          <w:szCs w:val="21"/>
          <w:u w:val="single"/>
        </w:rPr>
        <w:fldChar w:fldCharType="separate"/>
      </w:r>
      <w:r>
        <w:rPr>
          <w:rFonts w:hint="eastAsia"/>
          <w:szCs w:val="21"/>
          <w:u w:val="single"/>
        </w:rPr>
        <w:t>①</w:t>
      </w:r>
      <w:r>
        <w:rPr>
          <w:rFonts w:hint="eastAsia"/>
          <w:szCs w:val="21"/>
          <w:u w:val="single"/>
        </w:rPr>
        <w:fldChar w:fldCharType="end"/>
      </w:r>
      <w:r>
        <w:rPr>
          <w:rFonts w:hint="eastAsia"/>
          <w:szCs w:val="21"/>
          <w:u w:val="single"/>
        </w:rPr>
        <w:t xml:space="preserve"> 承包人除需完成中标项目的方案设计、施工图设计及施工过程的现场配合等后续设计服务外。还需完成设计期间与本项目有关的测量工作。</w:t>
      </w:r>
    </w:p>
    <w:p>
      <w:pPr>
        <w:adjustRightInd w:val="0"/>
        <w:snapToGrid w:val="0"/>
        <w:spacing w:line="360" w:lineRule="auto"/>
        <w:ind w:firstLine="480" w:firstLineChars="200"/>
        <w:contextualSpacing/>
        <w:rPr>
          <w:szCs w:val="21"/>
          <w:u w:val="single"/>
        </w:rPr>
      </w:pPr>
      <w:r>
        <w:rPr>
          <w:rFonts w:hint="eastAsia"/>
          <w:szCs w:val="21"/>
          <w:u w:val="single"/>
        </w:rPr>
        <w:fldChar w:fldCharType="begin"/>
      </w:r>
      <w:r>
        <w:rPr>
          <w:rFonts w:hint="eastAsia"/>
          <w:szCs w:val="21"/>
          <w:u w:val="single"/>
        </w:rPr>
        <w:instrText xml:space="preserve"> = 2 \* GB3 </w:instrText>
      </w:r>
      <w:r>
        <w:rPr>
          <w:rFonts w:hint="eastAsia"/>
          <w:szCs w:val="21"/>
          <w:u w:val="single"/>
        </w:rPr>
        <w:fldChar w:fldCharType="separate"/>
      </w:r>
      <w:r>
        <w:rPr>
          <w:rFonts w:hint="eastAsia"/>
          <w:szCs w:val="21"/>
          <w:u w:val="single"/>
        </w:rPr>
        <w:t>②</w:t>
      </w:r>
      <w:r>
        <w:rPr>
          <w:rFonts w:hint="eastAsia"/>
          <w:szCs w:val="21"/>
          <w:u w:val="single"/>
        </w:rPr>
        <w:fldChar w:fldCharType="end"/>
      </w:r>
      <w:r>
        <w:rPr>
          <w:rFonts w:hint="eastAsia"/>
          <w:szCs w:val="21"/>
          <w:u w:val="single"/>
        </w:rPr>
        <w:t xml:space="preserve">设计所必需的现场察看、测量工作；设计过程中的修改完善； </w:t>
      </w:r>
    </w:p>
    <w:p>
      <w:pPr>
        <w:adjustRightInd w:val="0"/>
        <w:snapToGrid w:val="0"/>
        <w:spacing w:line="360" w:lineRule="auto"/>
        <w:ind w:firstLine="480" w:firstLineChars="200"/>
        <w:contextualSpacing/>
        <w:rPr>
          <w:szCs w:val="21"/>
          <w:u w:val="single"/>
        </w:rPr>
      </w:pPr>
      <w:r>
        <w:rPr>
          <w:rFonts w:hint="eastAsia"/>
          <w:szCs w:val="21"/>
          <w:u w:val="single"/>
        </w:rPr>
        <w:fldChar w:fldCharType="begin"/>
      </w:r>
      <w:r>
        <w:rPr>
          <w:rFonts w:hint="eastAsia"/>
          <w:szCs w:val="21"/>
          <w:u w:val="single"/>
        </w:rPr>
        <w:instrText xml:space="preserve"> = 3 \* GB3 </w:instrText>
      </w:r>
      <w:r>
        <w:rPr>
          <w:rFonts w:hint="eastAsia"/>
          <w:szCs w:val="21"/>
          <w:u w:val="single"/>
        </w:rPr>
        <w:fldChar w:fldCharType="separate"/>
      </w:r>
      <w:r>
        <w:rPr>
          <w:rFonts w:hint="eastAsia"/>
          <w:szCs w:val="21"/>
          <w:u w:val="single"/>
        </w:rPr>
        <w:t>③</w:t>
      </w:r>
      <w:r>
        <w:rPr>
          <w:rFonts w:hint="eastAsia"/>
          <w:szCs w:val="21"/>
          <w:u w:val="single"/>
        </w:rPr>
        <w:fldChar w:fldCharType="end"/>
      </w:r>
      <w:r>
        <w:rPr>
          <w:rFonts w:hint="eastAsia"/>
          <w:szCs w:val="21"/>
          <w:u w:val="single"/>
        </w:rPr>
        <w:t>工程需要提供的全套效果图、施工图等设计成果及施工图电子文件；</w:t>
      </w:r>
    </w:p>
    <w:p>
      <w:pPr>
        <w:adjustRightInd w:val="0"/>
        <w:snapToGrid w:val="0"/>
        <w:spacing w:line="360" w:lineRule="auto"/>
        <w:ind w:firstLine="480" w:firstLineChars="200"/>
        <w:contextualSpacing/>
        <w:rPr>
          <w:szCs w:val="21"/>
          <w:u w:val="single"/>
        </w:rPr>
      </w:pPr>
      <w:r>
        <w:rPr>
          <w:rFonts w:hint="eastAsia"/>
          <w:szCs w:val="21"/>
          <w:u w:val="single"/>
        </w:rPr>
        <w:t>④协助发包人完成监理等与工程有关的招标工作。编制主要材料的技术要求，特殊施工工艺的技术规程与控制点，在工程建设中，施工、监理单位需配备的检测仪器、仪表、相关标准、规范、强制性条文等。此外，协助发包人办理相关行政报批手续。</w:t>
      </w:r>
    </w:p>
    <w:p>
      <w:pPr>
        <w:adjustRightInd w:val="0"/>
        <w:snapToGrid w:val="0"/>
        <w:spacing w:line="360" w:lineRule="auto"/>
        <w:ind w:firstLine="480" w:firstLineChars="200"/>
        <w:contextualSpacing/>
        <w:rPr>
          <w:szCs w:val="21"/>
          <w:u w:val="single"/>
        </w:rPr>
      </w:pPr>
      <w:r>
        <w:rPr>
          <w:rFonts w:hint="eastAsia"/>
          <w:szCs w:val="21"/>
          <w:u w:val="single"/>
        </w:rPr>
        <w:t>⑤承包人需进行必要的现场察看及测量工作、制作效果图及多媒体汇报材料，主动与各相关部门沟通，做好对接工作，全力配合发包人进行设计成果会审。承包人需履行全过程的现场服务，在工程实施过程中，发包人要求的增补设计及设计变更等。</w:t>
      </w:r>
    </w:p>
    <w:p>
      <w:pPr>
        <w:adjustRightInd w:val="0"/>
        <w:snapToGrid w:val="0"/>
        <w:spacing w:line="360" w:lineRule="auto"/>
        <w:ind w:firstLine="480" w:firstLineChars="200"/>
        <w:rPr>
          <w:szCs w:val="21"/>
          <w:u w:val="single"/>
        </w:rPr>
      </w:pPr>
      <w:r>
        <w:rPr>
          <w:rFonts w:hint="eastAsia"/>
          <w:szCs w:val="21"/>
        </w:rPr>
        <w:t>5.2.3</w:t>
      </w:r>
      <w:r>
        <w:rPr>
          <w:rFonts w:hint="eastAsia"/>
          <w:szCs w:val="21"/>
          <w:u w:val="single"/>
        </w:rPr>
        <w:t>承包人的违约责任：</w:t>
      </w:r>
    </w:p>
    <w:p>
      <w:pPr>
        <w:numPr>
          <w:ilvl w:val="0"/>
          <w:numId w:val="5"/>
        </w:numPr>
        <w:adjustRightInd w:val="0"/>
        <w:snapToGrid w:val="0"/>
        <w:spacing w:line="360" w:lineRule="auto"/>
        <w:ind w:firstLine="480" w:firstLineChars="200"/>
        <w:rPr>
          <w:szCs w:val="21"/>
          <w:u w:val="single"/>
        </w:rPr>
      </w:pPr>
      <w:r>
        <w:rPr>
          <w:rFonts w:hint="eastAsia"/>
          <w:szCs w:val="21"/>
          <w:u w:val="single"/>
        </w:rPr>
        <w:t>承包人对设计资料及文件出现的遗漏或错误负责修改或补充，由此而造成的损失，由承包人承担。由于设计人员错误、设计缺陷造成损失，承包人除负责采取国家规范内的补救措施外，并赔偿由此给发包人造成的一切损失，同时发包人有权解除本合同。</w:t>
      </w:r>
    </w:p>
    <w:p>
      <w:pPr>
        <w:adjustRightInd w:val="0"/>
        <w:snapToGrid w:val="0"/>
        <w:spacing w:line="360" w:lineRule="auto"/>
        <w:ind w:firstLine="480" w:firstLineChars="200"/>
        <w:rPr>
          <w:szCs w:val="21"/>
          <w:u w:val="single"/>
        </w:rPr>
      </w:pPr>
      <w:r>
        <w:rPr>
          <w:rFonts w:hint="eastAsia"/>
          <w:szCs w:val="21"/>
        </w:rPr>
        <w:t>5.2.4其他</w:t>
      </w:r>
    </w:p>
    <w:p>
      <w:pPr>
        <w:adjustRightInd w:val="0"/>
        <w:snapToGrid w:val="0"/>
        <w:spacing w:line="360" w:lineRule="auto"/>
        <w:ind w:firstLine="480" w:firstLineChars="200"/>
        <w:contextualSpacing/>
        <w:rPr>
          <w:szCs w:val="21"/>
          <w:u w:val="single"/>
        </w:rPr>
      </w:pPr>
      <w:r>
        <w:rPr>
          <w:rFonts w:hint="eastAsia"/>
          <w:szCs w:val="21"/>
          <w:u w:val="single"/>
        </w:rPr>
        <w:t>（1）发包人应按法规规定要求，设计文件报工程项目所在地建设行政主管部门。</w:t>
      </w:r>
    </w:p>
    <w:p>
      <w:pPr>
        <w:adjustRightInd w:val="0"/>
        <w:snapToGrid w:val="0"/>
        <w:spacing w:line="360" w:lineRule="auto"/>
        <w:ind w:firstLine="480" w:firstLineChars="200"/>
        <w:contextualSpacing/>
        <w:rPr>
          <w:szCs w:val="21"/>
        </w:rPr>
      </w:pPr>
      <w:r>
        <w:rPr>
          <w:rFonts w:hint="eastAsia"/>
          <w:szCs w:val="21"/>
          <w:u w:val="single"/>
        </w:rPr>
        <w:t>（2）承包人为本合同项目所采用的国家或地方标准图，由乙方向有关出版部门购买。</w:t>
      </w:r>
    </w:p>
    <w:p>
      <w:pPr>
        <w:adjustRightInd w:val="0"/>
        <w:snapToGrid w:val="0"/>
        <w:spacing w:line="360" w:lineRule="auto"/>
        <w:ind w:firstLine="480" w:firstLineChars="200"/>
        <w:contextualSpacing/>
        <w:rPr>
          <w:szCs w:val="21"/>
          <w:u w:val="single"/>
        </w:rPr>
      </w:pPr>
      <w:r>
        <w:rPr>
          <w:rFonts w:hint="eastAsia"/>
          <w:szCs w:val="21"/>
          <w:u w:val="single"/>
        </w:rPr>
        <w:t>（3）施工中遇到的需要承包人进行变更或补充设计的，承包人应及时办理有关书面变更或补充设计手续。设计变更或补充设计手续应规范、完整，并符合招标人的要求。经审查批准的施工图设计文件一般不得变更。确须变更的，变更方案必须履行相关审批手续。</w:t>
      </w:r>
    </w:p>
    <w:p>
      <w:pPr>
        <w:adjustRightInd w:val="0"/>
        <w:snapToGrid w:val="0"/>
        <w:spacing w:line="360" w:lineRule="auto"/>
        <w:ind w:firstLine="480" w:firstLineChars="200"/>
        <w:contextualSpacing/>
        <w:rPr>
          <w:szCs w:val="21"/>
          <w:u w:val="single"/>
        </w:rPr>
      </w:pPr>
      <w:r>
        <w:rPr>
          <w:rFonts w:hint="eastAsia"/>
          <w:szCs w:val="21"/>
          <w:u w:val="single"/>
        </w:rPr>
        <w:t>（4）承包人提供的设计成果至少包含下列内容：</w:t>
      </w:r>
    </w:p>
    <w:p>
      <w:pPr>
        <w:adjustRightInd w:val="0"/>
        <w:snapToGrid w:val="0"/>
        <w:spacing w:line="360" w:lineRule="auto"/>
        <w:ind w:firstLine="480" w:firstLineChars="200"/>
        <w:contextualSpacing/>
        <w:rPr>
          <w:szCs w:val="21"/>
          <w:u w:val="single"/>
        </w:rPr>
      </w:pPr>
      <w:r>
        <w:rPr>
          <w:rFonts w:hint="eastAsia"/>
          <w:szCs w:val="21"/>
          <w:u w:val="single"/>
        </w:rPr>
        <w:fldChar w:fldCharType="begin"/>
      </w:r>
      <w:r>
        <w:rPr>
          <w:rFonts w:hint="eastAsia"/>
          <w:szCs w:val="21"/>
          <w:u w:val="single"/>
        </w:rPr>
        <w:instrText xml:space="preserve"> = 1 \* GB3 </w:instrText>
      </w:r>
      <w:r>
        <w:rPr>
          <w:rFonts w:hint="eastAsia"/>
          <w:szCs w:val="21"/>
          <w:u w:val="single"/>
        </w:rPr>
        <w:fldChar w:fldCharType="separate"/>
      </w:r>
      <w:r>
        <w:rPr>
          <w:rFonts w:hint="eastAsia"/>
          <w:szCs w:val="21"/>
          <w:u w:val="single"/>
        </w:rPr>
        <w:t>①</w:t>
      </w:r>
      <w:r>
        <w:rPr>
          <w:rFonts w:hint="eastAsia"/>
          <w:szCs w:val="21"/>
          <w:u w:val="single"/>
        </w:rPr>
        <w:fldChar w:fldCharType="end"/>
      </w:r>
      <w:r>
        <w:rPr>
          <w:rFonts w:hint="eastAsia"/>
          <w:szCs w:val="21"/>
          <w:u w:val="single"/>
        </w:rPr>
        <w:t>方案设计及优化设计；</w:t>
      </w:r>
    </w:p>
    <w:p>
      <w:pPr>
        <w:adjustRightInd w:val="0"/>
        <w:snapToGrid w:val="0"/>
        <w:spacing w:line="360" w:lineRule="auto"/>
        <w:ind w:firstLine="480" w:firstLineChars="200"/>
        <w:contextualSpacing/>
        <w:rPr>
          <w:szCs w:val="21"/>
          <w:u w:val="single"/>
        </w:rPr>
      </w:pPr>
      <w:r>
        <w:rPr>
          <w:rFonts w:hint="eastAsia"/>
          <w:szCs w:val="21"/>
          <w:u w:val="single"/>
        </w:rPr>
        <w:fldChar w:fldCharType="begin"/>
      </w:r>
      <w:r>
        <w:rPr>
          <w:rFonts w:hint="eastAsia"/>
          <w:szCs w:val="21"/>
          <w:u w:val="single"/>
        </w:rPr>
        <w:instrText xml:space="preserve"> = 2 \* GB3 </w:instrText>
      </w:r>
      <w:r>
        <w:rPr>
          <w:rFonts w:hint="eastAsia"/>
          <w:szCs w:val="21"/>
          <w:u w:val="single"/>
        </w:rPr>
        <w:fldChar w:fldCharType="separate"/>
      </w:r>
      <w:r>
        <w:rPr>
          <w:rFonts w:hint="eastAsia"/>
          <w:szCs w:val="21"/>
          <w:u w:val="single"/>
        </w:rPr>
        <w:t>②</w:t>
      </w:r>
      <w:r>
        <w:rPr>
          <w:rFonts w:hint="eastAsia"/>
          <w:szCs w:val="21"/>
          <w:u w:val="single"/>
        </w:rPr>
        <w:fldChar w:fldCharType="end"/>
      </w:r>
      <w:r>
        <w:rPr>
          <w:rFonts w:hint="eastAsia"/>
          <w:szCs w:val="21"/>
          <w:u w:val="single"/>
        </w:rPr>
        <w:t>所有专业的施工图设计；</w:t>
      </w:r>
    </w:p>
    <w:p>
      <w:pPr>
        <w:adjustRightInd w:val="0"/>
        <w:snapToGrid w:val="0"/>
        <w:spacing w:line="360" w:lineRule="auto"/>
        <w:ind w:firstLine="480" w:firstLineChars="200"/>
        <w:contextualSpacing/>
        <w:rPr>
          <w:szCs w:val="21"/>
          <w:u w:val="single"/>
        </w:rPr>
      </w:pPr>
      <w:r>
        <w:rPr>
          <w:rFonts w:hint="eastAsia"/>
          <w:szCs w:val="21"/>
          <w:u w:val="single"/>
        </w:rPr>
        <w:t>③提供工程需要的其他材料；</w:t>
      </w:r>
    </w:p>
    <w:p>
      <w:pPr>
        <w:adjustRightInd w:val="0"/>
        <w:snapToGrid w:val="0"/>
        <w:spacing w:line="360" w:lineRule="auto"/>
        <w:ind w:firstLine="480" w:firstLineChars="200"/>
        <w:contextualSpacing/>
        <w:rPr>
          <w:szCs w:val="21"/>
          <w:u w:val="single"/>
        </w:rPr>
      </w:pPr>
      <w:r>
        <w:rPr>
          <w:rFonts w:hint="eastAsia"/>
          <w:szCs w:val="21"/>
          <w:u w:val="single"/>
        </w:rPr>
        <w:t>④编制主要材料的技术要求，特殊施工工艺的技术规程与控制点，在工程建设中，承包人需配备的器械、相关标准、规范、强制性条文等；</w:t>
      </w:r>
    </w:p>
    <w:p>
      <w:pPr>
        <w:adjustRightInd w:val="0"/>
        <w:snapToGrid w:val="0"/>
        <w:spacing w:line="360" w:lineRule="auto"/>
        <w:ind w:firstLine="480" w:firstLineChars="200"/>
        <w:contextualSpacing/>
        <w:rPr>
          <w:szCs w:val="21"/>
          <w:u w:val="single"/>
        </w:rPr>
      </w:pPr>
      <w:r>
        <w:rPr>
          <w:rFonts w:hint="eastAsia"/>
          <w:szCs w:val="21"/>
          <w:u w:val="single"/>
        </w:rPr>
        <w:t>⑤招标文件中发包人委托的其他相关内容。</w:t>
      </w:r>
    </w:p>
    <w:p>
      <w:pPr>
        <w:adjustRightInd w:val="0"/>
        <w:snapToGrid w:val="0"/>
        <w:spacing w:line="360" w:lineRule="auto"/>
        <w:ind w:firstLine="480" w:firstLineChars="200"/>
        <w:contextualSpacing/>
        <w:rPr>
          <w:szCs w:val="21"/>
          <w:u w:val="single"/>
        </w:rPr>
      </w:pPr>
      <w:r>
        <w:rPr>
          <w:rFonts w:hint="eastAsia"/>
          <w:szCs w:val="21"/>
          <w:u w:val="single"/>
        </w:rPr>
        <w:t>（5）承包人提供的设计成果至少满足下列要求：</w:t>
      </w:r>
    </w:p>
    <w:p>
      <w:pPr>
        <w:adjustRightInd w:val="0"/>
        <w:snapToGrid w:val="0"/>
        <w:spacing w:line="360" w:lineRule="auto"/>
        <w:ind w:firstLine="480" w:firstLineChars="200"/>
        <w:contextualSpacing/>
        <w:rPr>
          <w:szCs w:val="21"/>
          <w:u w:val="single"/>
        </w:rPr>
      </w:pPr>
      <w:r>
        <w:rPr>
          <w:rFonts w:hint="eastAsia"/>
          <w:szCs w:val="21"/>
          <w:u w:val="single"/>
        </w:rPr>
        <w:t>①设计标准按现行有关专业规范，强制性条文及有关设计批复的文件精神执行；</w:t>
      </w:r>
    </w:p>
    <w:p>
      <w:pPr>
        <w:adjustRightInd w:val="0"/>
        <w:snapToGrid w:val="0"/>
        <w:spacing w:line="360" w:lineRule="auto"/>
        <w:ind w:firstLine="480" w:firstLineChars="200"/>
        <w:contextualSpacing/>
        <w:rPr>
          <w:szCs w:val="21"/>
          <w:u w:val="single"/>
        </w:rPr>
      </w:pPr>
      <w:r>
        <w:rPr>
          <w:rFonts w:hint="eastAsia"/>
          <w:szCs w:val="21"/>
          <w:u w:val="single"/>
        </w:rPr>
        <w:t>②设计要求统一采用1985年国家高程基准；</w:t>
      </w:r>
    </w:p>
    <w:p>
      <w:pPr>
        <w:adjustRightInd w:val="0"/>
        <w:snapToGrid w:val="0"/>
        <w:spacing w:line="360" w:lineRule="auto"/>
        <w:ind w:firstLine="480" w:firstLineChars="200"/>
        <w:contextualSpacing/>
        <w:rPr>
          <w:szCs w:val="21"/>
          <w:u w:val="single"/>
        </w:rPr>
      </w:pPr>
      <w:r>
        <w:rPr>
          <w:rFonts w:hint="eastAsia"/>
          <w:szCs w:val="21"/>
          <w:u w:val="single"/>
        </w:rPr>
        <w:t>（6）各专业负责人必须严格按照投标文件中的人员配置，发包人随时给予检查，若发现</w:t>
      </w:r>
      <w:r>
        <w:rPr>
          <w:rFonts w:hint="eastAsia"/>
          <w:szCs w:val="21"/>
          <w:u w:val="single"/>
          <w:lang w:val="en-US" w:eastAsia="zh-CN"/>
        </w:rPr>
        <w:t>现场</w:t>
      </w:r>
      <w:r>
        <w:rPr>
          <w:rFonts w:hint="eastAsia"/>
          <w:szCs w:val="21"/>
          <w:u w:val="single"/>
        </w:rPr>
        <w:t>人员非投标文件所配置人员，发包人将给予相应处罚。</w:t>
      </w:r>
    </w:p>
    <w:p>
      <w:pPr>
        <w:snapToGrid w:val="0"/>
        <w:spacing w:line="360" w:lineRule="auto"/>
        <w:ind w:firstLine="482" w:firstLineChars="200"/>
        <w:rPr>
          <w:b/>
          <w:szCs w:val="21"/>
        </w:rPr>
      </w:pPr>
      <w:r>
        <w:rPr>
          <w:rFonts w:hint="eastAsia"/>
          <w:b/>
          <w:szCs w:val="21"/>
        </w:rPr>
        <w:t>6.2  检验</w:t>
      </w:r>
    </w:p>
    <w:p>
      <w:pPr>
        <w:snapToGrid w:val="0"/>
        <w:spacing w:line="360" w:lineRule="auto"/>
        <w:ind w:firstLine="480" w:firstLineChars="200"/>
        <w:rPr>
          <w:szCs w:val="21"/>
        </w:rPr>
      </w:pPr>
      <w:r>
        <w:rPr>
          <w:rFonts w:hint="eastAsia"/>
          <w:szCs w:val="21"/>
        </w:rPr>
        <w:t>6.2.1  工程检验与报告</w:t>
      </w:r>
    </w:p>
    <w:p>
      <w:pPr>
        <w:snapToGrid w:val="0"/>
        <w:spacing w:line="360" w:lineRule="auto"/>
        <w:ind w:firstLine="480" w:firstLineChars="200"/>
        <w:rPr>
          <w:b/>
          <w:szCs w:val="21"/>
          <w:u w:val="single"/>
        </w:rPr>
      </w:pPr>
      <w:r>
        <w:rPr>
          <w:rFonts w:hint="eastAsia"/>
          <w:szCs w:val="21"/>
        </w:rPr>
        <w:t>（1）报告提交日记、报告内容和提交份数：</w:t>
      </w:r>
      <w:r>
        <w:rPr>
          <w:rFonts w:hint="eastAsia"/>
          <w:szCs w:val="21"/>
          <w:u w:val="single"/>
        </w:rPr>
        <w:t xml:space="preserve"> 根据相关规定执行  </w:t>
      </w:r>
    </w:p>
    <w:p>
      <w:pPr>
        <w:snapToGrid w:val="0"/>
        <w:spacing w:line="360" w:lineRule="auto"/>
        <w:ind w:firstLine="482" w:firstLineChars="200"/>
        <w:rPr>
          <w:b/>
          <w:szCs w:val="21"/>
        </w:rPr>
      </w:pPr>
      <w:r>
        <w:rPr>
          <w:rFonts w:hint="eastAsia"/>
          <w:b/>
          <w:szCs w:val="21"/>
        </w:rPr>
        <w:t>6.3  进口工程物资的采购</w:t>
      </w:r>
    </w:p>
    <w:p>
      <w:pPr>
        <w:snapToGrid w:val="0"/>
        <w:spacing w:line="360" w:lineRule="auto"/>
        <w:ind w:firstLine="480" w:firstLineChars="200"/>
        <w:rPr>
          <w:szCs w:val="21"/>
          <w:u w:val="single"/>
        </w:rPr>
      </w:pPr>
      <w:r>
        <w:rPr>
          <w:rFonts w:hint="eastAsia"/>
          <w:szCs w:val="21"/>
        </w:rPr>
        <w:t>6.3.1  采购责任方及采购方式：</w:t>
      </w:r>
      <w:r>
        <w:rPr>
          <w:rFonts w:hint="eastAsia"/>
          <w:szCs w:val="21"/>
          <w:u w:val="single"/>
        </w:rPr>
        <w:t xml:space="preserve">   / 。 </w:t>
      </w:r>
    </w:p>
    <w:p>
      <w:pPr>
        <w:snapToGrid w:val="0"/>
        <w:spacing w:line="360" w:lineRule="auto"/>
        <w:ind w:firstLine="482" w:firstLineChars="200"/>
        <w:rPr>
          <w:b/>
          <w:szCs w:val="21"/>
        </w:rPr>
      </w:pPr>
      <w:r>
        <w:rPr>
          <w:rFonts w:hint="eastAsia"/>
          <w:b/>
          <w:szCs w:val="21"/>
        </w:rPr>
        <w:t>6.6  工程物资保管与剩余</w:t>
      </w:r>
    </w:p>
    <w:p>
      <w:pPr>
        <w:snapToGrid w:val="0"/>
        <w:spacing w:line="360" w:lineRule="auto"/>
        <w:ind w:firstLine="480" w:firstLineChars="200"/>
        <w:rPr>
          <w:szCs w:val="21"/>
        </w:rPr>
      </w:pPr>
      <w:r>
        <w:rPr>
          <w:rFonts w:hint="eastAsia"/>
          <w:szCs w:val="21"/>
        </w:rPr>
        <w:t>6.6.1  工程物资保管</w:t>
      </w:r>
    </w:p>
    <w:p>
      <w:pPr>
        <w:snapToGrid w:val="0"/>
        <w:spacing w:line="360" w:lineRule="auto"/>
        <w:ind w:firstLine="480" w:firstLineChars="200"/>
        <w:rPr>
          <w:szCs w:val="21"/>
          <w:u w:val="single"/>
        </w:rPr>
      </w:pPr>
      <w:r>
        <w:rPr>
          <w:rFonts w:hint="eastAsia"/>
          <w:szCs w:val="21"/>
        </w:rPr>
        <w:t>委托承包人保管的工程物资的类别和估算数量：</w:t>
      </w:r>
      <w:r>
        <w:rPr>
          <w:rFonts w:hint="eastAsia"/>
          <w:szCs w:val="21"/>
          <w:u w:val="single"/>
        </w:rPr>
        <w:t xml:space="preserve">   / 。 </w:t>
      </w:r>
    </w:p>
    <w:p>
      <w:pPr>
        <w:snapToGrid w:val="0"/>
        <w:spacing w:line="360" w:lineRule="auto"/>
        <w:ind w:firstLine="480" w:firstLineChars="200"/>
        <w:rPr>
          <w:szCs w:val="21"/>
        </w:rPr>
      </w:pPr>
      <w:r>
        <w:rPr>
          <w:rFonts w:hint="eastAsia"/>
          <w:szCs w:val="21"/>
        </w:rPr>
        <w:t>承包人提交保管、维护方案的时间：</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由发包人提供的库房、堆场、设施及设备：</w:t>
      </w:r>
      <w:r>
        <w:rPr>
          <w:rFonts w:hint="eastAsia"/>
          <w:szCs w:val="21"/>
          <w:u w:val="single"/>
        </w:rPr>
        <w:t xml:space="preserve">   / 。</w:t>
      </w:r>
    </w:p>
    <w:p>
      <w:pPr>
        <w:snapToGrid w:val="0"/>
        <w:spacing w:line="360" w:lineRule="auto"/>
        <w:ind w:firstLine="482" w:firstLineChars="200"/>
        <w:rPr>
          <w:b/>
          <w:szCs w:val="21"/>
        </w:rPr>
      </w:pPr>
      <w:r>
        <w:rPr>
          <w:rFonts w:hint="eastAsia"/>
          <w:b/>
          <w:szCs w:val="21"/>
        </w:rPr>
        <w:t>第7条施工</w:t>
      </w:r>
    </w:p>
    <w:p>
      <w:pPr>
        <w:snapToGrid w:val="0"/>
        <w:spacing w:line="360" w:lineRule="auto"/>
        <w:ind w:firstLine="482" w:firstLineChars="200"/>
        <w:rPr>
          <w:b/>
          <w:szCs w:val="21"/>
        </w:rPr>
      </w:pPr>
      <w:r>
        <w:rPr>
          <w:rFonts w:hint="eastAsia"/>
          <w:b/>
          <w:szCs w:val="21"/>
        </w:rPr>
        <w:t>7.1  发包人的义务</w:t>
      </w:r>
    </w:p>
    <w:p>
      <w:pPr>
        <w:snapToGrid w:val="0"/>
        <w:spacing w:line="360" w:lineRule="auto"/>
        <w:ind w:firstLine="480" w:firstLineChars="200"/>
        <w:rPr>
          <w:szCs w:val="21"/>
        </w:rPr>
      </w:pPr>
      <w:r>
        <w:rPr>
          <w:rFonts w:hint="eastAsia"/>
          <w:szCs w:val="21"/>
        </w:rPr>
        <w:t>7.1.3  进场条件和进场日期</w:t>
      </w:r>
    </w:p>
    <w:p>
      <w:pPr>
        <w:snapToGrid w:val="0"/>
        <w:spacing w:line="360" w:lineRule="auto"/>
        <w:ind w:firstLine="480" w:firstLineChars="200"/>
        <w:rPr>
          <w:szCs w:val="21"/>
          <w:u w:val="single"/>
        </w:rPr>
      </w:pPr>
      <w:r>
        <w:rPr>
          <w:rFonts w:hint="eastAsia"/>
          <w:szCs w:val="21"/>
        </w:rPr>
        <w:t>承包人的进场条件：</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承包人的进厂日期：</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 xml:space="preserve"> 7.1.10  由发包人履行的其它义务：</w:t>
      </w:r>
      <w:r>
        <w:rPr>
          <w:rFonts w:hint="eastAsia"/>
          <w:szCs w:val="21"/>
          <w:u w:val="single"/>
        </w:rPr>
        <w:t xml:space="preserve"> 双方另行协商   。</w:t>
      </w:r>
    </w:p>
    <w:p>
      <w:pPr>
        <w:snapToGrid w:val="0"/>
        <w:spacing w:line="360" w:lineRule="auto"/>
        <w:ind w:firstLine="482" w:firstLineChars="200"/>
        <w:rPr>
          <w:b/>
          <w:szCs w:val="21"/>
        </w:rPr>
      </w:pPr>
      <w:r>
        <w:rPr>
          <w:rFonts w:hint="eastAsia"/>
          <w:b/>
          <w:szCs w:val="21"/>
        </w:rPr>
        <w:t>7.2  对承包人的义务</w:t>
      </w:r>
    </w:p>
    <w:p>
      <w:pPr>
        <w:snapToGrid w:val="0"/>
        <w:spacing w:line="360" w:lineRule="auto"/>
        <w:ind w:firstLine="480" w:firstLineChars="200"/>
        <w:rPr>
          <w:szCs w:val="21"/>
        </w:rPr>
      </w:pPr>
      <w:r>
        <w:rPr>
          <w:rFonts w:hint="eastAsia"/>
          <w:szCs w:val="21"/>
        </w:rPr>
        <w:t>7.2.2  施工组织设计</w:t>
      </w:r>
    </w:p>
    <w:p>
      <w:pPr>
        <w:snapToGrid w:val="0"/>
        <w:spacing w:line="360" w:lineRule="auto"/>
        <w:ind w:firstLine="480" w:firstLineChars="200"/>
        <w:rPr>
          <w:szCs w:val="21"/>
          <w:u w:val="single"/>
        </w:rPr>
      </w:pPr>
      <w:r>
        <w:rPr>
          <w:rFonts w:hint="eastAsia"/>
          <w:szCs w:val="21"/>
        </w:rPr>
        <w:t>提交工程总体施工组织设计的份数和时间：</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需要提交的主要单项工程、主要分部分项工程施工组织设计的名称、份数和时间：</w:t>
      </w:r>
      <w:r>
        <w:rPr>
          <w:rFonts w:hint="eastAsia"/>
          <w:szCs w:val="21"/>
          <w:u w:val="single"/>
        </w:rPr>
        <w:t>承包人编制的进度计划中应明确各分部完成的具体时间，关键线路，劳动力动态变化图等。实际进度滞后计划进度时，承包人在接到监理通知单后，必须落实纠偏调整措施并认真实施，否则向发包人支付违约金500元/次。</w:t>
      </w:r>
    </w:p>
    <w:p>
      <w:pPr>
        <w:snapToGrid w:val="0"/>
        <w:spacing w:line="360" w:lineRule="auto"/>
        <w:ind w:firstLine="480" w:firstLineChars="200"/>
        <w:rPr>
          <w:szCs w:val="21"/>
        </w:rPr>
      </w:pPr>
      <w:r>
        <w:rPr>
          <w:rFonts w:hint="eastAsia"/>
          <w:szCs w:val="21"/>
        </w:rPr>
        <w:t>7.2.3  提交临时占地资料</w:t>
      </w:r>
    </w:p>
    <w:p>
      <w:pPr>
        <w:snapToGrid w:val="0"/>
        <w:spacing w:line="360" w:lineRule="auto"/>
        <w:ind w:firstLine="480" w:firstLineChars="200"/>
        <w:rPr>
          <w:szCs w:val="21"/>
          <w:u w:val="single"/>
        </w:rPr>
      </w:pPr>
      <w:r>
        <w:rPr>
          <w:rFonts w:hint="eastAsia"/>
          <w:szCs w:val="21"/>
        </w:rPr>
        <w:t>提交临时占地资料的时间：</w:t>
      </w:r>
      <w:r>
        <w:rPr>
          <w:rFonts w:hint="eastAsia"/>
          <w:szCs w:val="21"/>
          <w:u w:val="single"/>
        </w:rPr>
        <w:t xml:space="preserve">   / 。 </w:t>
      </w:r>
    </w:p>
    <w:p>
      <w:pPr>
        <w:snapToGrid w:val="0"/>
        <w:spacing w:line="360" w:lineRule="auto"/>
        <w:ind w:firstLine="480" w:firstLineChars="200"/>
        <w:rPr>
          <w:szCs w:val="21"/>
        </w:rPr>
      </w:pPr>
      <w:r>
        <w:rPr>
          <w:rFonts w:hint="eastAsia"/>
          <w:szCs w:val="21"/>
        </w:rPr>
        <w:t>7.2.4  提供临时用水电等资料</w:t>
      </w:r>
    </w:p>
    <w:p>
      <w:pPr>
        <w:snapToGrid w:val="0"/>
        <w:spacing w:line="360" w:lineRule="auto"/>
        <w:ind w:firstLine="480" w:firstLineChars="200"/>
        <w:rPr>
          <w:szCs w:val="21"/>
          <w:u w:val="single"/>
        </w:rPr>
      </w:pPr>
      <w:r>
        <w:rPr>
          <w:rFonts w:hint="eastAsia"/>
          <w:szCs w:val="21"/>
        </w:rPr>
        <w:t>承包人需要水电等品质、正常用量、高峰量和使用时间：</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发包人能够满足施工临时用水、电等类别和数量：</w:t>
      </w:r>
      <w:r>
        <w:rPr>
          <w:rFonts w:hint="eastAsia"/>
          <w:szCs w:val="21"/>
          <w:u w:val="single"/>
        </w:rPr>
        <w:t xml:space="preserve"> 承包人自行考虑，发包人不提供 。</w:t>
      </w:r>
    </w:p>
    <w:p>
      <w:pPr>
        <w:snapToGrid w:val="0"/>
        <w:spacing w:line="360" w:lineRule="auto"/>
        <w:ind w:firstLine="480" w:firstLineChars="200"/>
        <w:rPr>
          <w:szCs w:val="21"/>
        </w:rPr>
      </w:pPr>
      <w:r>
        <w:rPr>
          <w:rFonts w:hint="eastAsia"/>
          <w:szCs w:val="21"/>
        </w:rPr>
        <w:t>水电等节点位置资料的提交时间：</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7.2.12  清理现场的费用：</w:t>
      </w:r>
      <w:r>
        <w:rPr>
          <w:rFonts w:hint="eastAsia"/>
          <w:szCs w:val="21"/>
          <w:u w:val="single"/>
        </w:rPr>
        <w:t xml:space="preserve"> 由承包人承担，已含在合同总价中 </w:t>
      </w:r>
    </w:p>
    <w:p>
      <w:pPr>
        <w:snapToGrid w:val="0"/>
        <w:spacing w:line="360" w:lineRule="auto"/>
        <w:ind w:firstLine="480" w:firstLineChars="200"/>
        <w:rPr>
          <w:szCs w:val="21"/>
          <w:u w:val="single"/>
        </w:rPr>
      </w:pPr>
      <w:r>
        <w:rPr>
          <w:rFonts w:hint="eastAsia"/>
          <w:szCs w:val="21"/>
        </w:rPr>
        <w:t>7.2.13  由承包人履行的其它义务：</w:t>
      </w:r>
      <w:r>
        <w:rPr>
          <w:rFonts w:hint="eastAsia"/>
          <w:szCs w:val="21"/>
          <w:u w:val="single"/>
        </w:rPr>
        <w:t>双方另行协商。</w:t>
      </w:r>
    </w:p>
    <w:p>
      <w:pPr>
        <w:snapToGrid w:val="0"/>
        <w:spacing w:line="360" w:lineRule="auto"/>
        <w:ind w:firstLine="482" w:firstLineChars="200"/>
        <w:rPr>
          <w:b/>
          <w:szCs w:val="21"/>
        </w:rPr>
      </w:pPr>
      <w:r>
        <w:rPr>
          <w:rFonts w:hint="eastAsia"/>
          <w:b/>
          <w:szCs w:val="21"/>
        </w:rPr>
        <w:t>7.4 人力和机具资源</w:t>
      </w:r>
    </w:p>
    <w:p>
      <w:pPr>
        <w:snapToGrid w:val="0"/>
        <w:spacing w:line="360" w:lineRule="auto"/>
        <w:ind w:firstLine="480" w:firstLineChars="200"/>
        <w:rPr>
          <w:szCs w:val="21"/>
          <w:u w:val="single"/>
        </w:rPr>
      </w:pPr>
      <w:r>
        <w:rPr>
          <w:rFonts w:hint="eastAsia"/>
          <w:szCs w:val="21"/>
        </w:rPr>
        <w:t>7.4.1  人力资源计划一览表的格式、内容、份数和提交时间：</w:t>
      </w:r>
      <w:r>
        <w:rPr>
          <w:rFonts w:hint="eastAsia"/>
          <w:szCs w:val="21"/>
          <w:u w:val="single"/>
        </w:rPr>
        <w:t xml:space="preserve">   / 。</w:t>
      </w:r>
    </w:p>
    <w:p>
      <w:pPr>
        <w:snapToGrid w:val="0"/>
        <w:spacing w:line="360" w:lineRule="auto"/>
        <w:ind w:firstLine="480" w:firstLineChars="200"/>
        <w:rPr>
          <w:szCs w:val="21"/>
        </w:rPr>
      </w:pPr>
      <w:r>
        <w:rPr>
          <w:rFonts w:hint="eastAsia"/>
          <w:szCs w:val="21"/>
        </w:rPr>
        <w:t>人力资源实际进场的报表格式、份数和报告期：</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7.4.2  主要机具计划一览表的格式、内容、份数和提交时间：</w:t>
      </w:r>
      <w:r>
        <w:rPr>
          <w:rFonts w:hint="eastAsia"/>
          <w:szCs w:val="21"/>
          <w:u w:val="single"/>
        </w:rPr>
        <w:t xml:space="preserve">   / 。</w:t>
      </w:r>
    </w:p>
    <w:p>
      <w:pPr>
        <w:snapToGrid w:val="0"/>
        <w:spacing w:line="360" w:lineRule="auto"/>
        <w:ind w:firstLine="480" w:firstLineChars="200"/>
        <w:rPr>
          <w:szCs w:val="21"/>
        </w:rPr>
      </w:pPr>
      <w:r>
        <w:rPr>
          <w:rFonts w:hint="eastAsia"/>
          <w:szCs w:val="21"/>
        </w:rPr>
        <w:t>主要机具实际进场的报表格式、份数和报告期：</w:t>
      </w:r>
      <w:r>
        <w:rPr>
          <w:rFonts w:hint="eastAsia"/>
          <w:szCs w:val="21"/>
          <w:u w:val="single"/>
        </w:rPr>
        <w:t xml:space="preserve">   / 。</w:t>
      </w:r>
    </w:p>
    <w:p>
      <w:pPr>
        <w:snapToGrid w:val="0"/>
        <w:spacing w:line="360" w:lineRule="auto"/>
        <w:ind w:firstLine="482" w:firstLineChars="200"/>
        <w:rPr>
          <w:b/>
          <w:szCs w:val="21"/>
        </w:rPr>
      </w:pPr>
      <w:r>
        <w:rPr>
          <w:rFonts w:hint="eastAsia"/>
          <w:b/>
          <w:szCs w:val="21"/>
        </w:rPr>
        <w:t>7.5  质量与检验</w:t>
      </w:r>
    </w:p>
    <w:p>
      <w:pPr>
        <w:snapToGrid w:val="0"/>
        <w:spacing w:line="360" w:lineRule="auto"/>
        <w:ind w:firstLine="480" w:firstLineChars="200"/>
        <w:rPr>
          <w:szCs w:val="21"/>
        </w:rPr>
      </w:pPr>
      <w:r>
        <w:rPr>
          <w:rFonts w:hint="eastAsia"/>
          <w:szCs w:val="21"/>
        </w:rPr>
        <w:t>7.5.2 质检部位与参检方</w:t>
      </w:r>
    </w:p>
    <w:p>
      <w:pPr>
        <w:snapToGrid w:val="0"/>
        <w:spacing w:line="360" w:lineRule="auto"/>
        <w:ind w:firstLine="480" w:firstLineChars="200"/>
        <w:rPr>
          <w:szCs w:val="21"/>
          <w:u w:val="single"/>
        </w:rPr>
      </w:pPr>
      <w:r>
        <w:rPr>
          <w:rFonts w:hint="eastAsia"/>
          <w:szCs w:val="21"/>
        </w:rPr>
        <w:t>三方参检的部位、标准及表格形式：</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两方参检的部位、标准及表格形式：</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第三方检查的部位、标准及表格形式：</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承包人自检的部位、标准及表格形式：</w:t>
      </w:r>
      <w:r>
        <w:rPr>
          <w:rFonts w:hint="eastAsia"/>
          <w:szCs w:val="21"/>
          <w:u w:val="single"/>
        </w:rPr>
        <w:t xml:space="preserve">   / 。</w:t>
      </w:r>
    </w:p>
    <w:p>
      <w:pPr>
        <w:snapToGrid w:val="0"/>
        <w:spacing w:line="360" w:lineRule="auto"/>
        <w:ind w:firstLine="482" w:firstLineChars="200"/>
        <w:rPr>
          <w:b/>
          <w:szCs w:val="21"/>
        </w:rPr>
      </w:pPr>
      <w:r>
        <w:rPr>
          <w:rFonts w:hint="eastAsia"/>
          <w:b/>
          <w:szCs w:val="21"/>
        </w:rPr>
        <w:t>7.6  隐蔽工程和中间验收</w:t>
      </w:r>
    </w:p>
    <w:p>
      <w:pPr>
        <w:snapToGrid w:val="0"/>
        <w:spacing w:line="360" w:lineRule="auto"/>
        <w:ind w:firstLine="480" w:firstLineChars="200"/>
        <w:rPr>
          <w:szCs w:val="21"/>
        </w:rPr>
      </w:pPr>
      <w:r>
        <w:rPr>
          <w:rFonts w:hint="eastAsia"/>
          <w:szCs w:val="21"/>
        </w:rPr>
        <w:t>7.6.1  隐蔽工程和中间验收：</w:t>
      </w:r>
      <w:r>
        <w:rPr>
          <w:rFonts w:hint="eastAsia"/>
          <w:szCs w:val="21"/>
          <w:u w:val="single"/>
        </w:rPr>
        <w:t xml:space="preserve">   / 。</w:t>
      </w:r>
    </w:p>
    <w:p>
      <w:pPr>
        <w:snapToGrid w:val="0"/>
        <w:spacing w:line="360" w:lineRule="auto"/>
        <w:ind w:firstLine="482" w:firstLineChars="200"/>
        <w:rPr>
          <w:b/>
          <w:szCs w:val="21"/>
        </w:rPr>
      </w:pPr>
      <w:r>
        <w:rPr>
          <w:rFonts w:hint="eastAsia"/>
          <w:b/>
          <w:szCs w:val="21"/>
        </w:rPr>
        <w:t>7.8  职业健康、安全、环境保护</w:t>
      </w:r>
    </w:p>
    <w:p>
      <w:pPr>
        <w:snapToGrid w:val="0"/>
        <w:spacing w:line="360" w:lineRule="auto"/>
        <w:ind w:firstLine="480" w:firstLineChars="200"/>
        <w:rPr>
          <w:szCs w:val="21"/>
        </w:rPr>
      </w:pPr>
      <w:r>
        <w:rPr>
          <w:rFonts w:hint="eastAsia"/>
          <w:szCs w:val="21"/>
        </w:rPr>
        <w:t>7.8.1  职业健康、安全、环境保护管理</w:t>
      </w:r>
    </w:p>
    <w:p>
      <w:pPr>
        <w:snapToGrid w:val="0"/>
        <w:spacing w:line="360" w:lineRule="auto"/>
        <w:ind w:firstLine="480" w:firstLineChars="200"/>
        <w:rPr>
          <w:szCs w:val="21"/>
          <w:u w:val="single"/>
        </w:rPr>
      </w:pPr>
      <w:r>
        <w:rPr>
          <w:rFonts w:hint="eastAsia"/>
          <w:szCs w:val="21"/>
        </w:rPr>
        <w:t>（2）提交职业健康、安全、环境管理计划的份数和时间：</w:t>
      </w:r>
      <w:r>
        <w:rPr>
          <w:rFonts w:hint="eastAsia"/>
          <w:szCs w:val="21"/>
          <w:u w:val="single"/>
        </w:rPr>
        <w:t xml:space="preserve">   / 。</w:t>
      </w:r>
    </w:p>
    <w:p>
      <w:pPr>
        <w:snapToGrid w:val="0"/>
        <w:spacing w:line="360" w:lineRule="auto"/>
        <w:ind w:firstLine="482" w:firstLineChars="200"/>
        <w:rPr>
          <w:b/>
          <w:szCs w:val="21"/>
        </w:rPr>
      </w:pPr>
      <w:r>
        <w:rPr>
          <w:rFonts w:hint="eastAsia"/>
          <w:b/>
          <w:szCs w:val="21"/>
        </w:rPr>
        <w:t>第8条竣工试验</w:t>
      </w:r>
    </w:p>
    <w:p>
      <w:pPr>
        <w:snapToGrid w:val="0"/>
        <w:spacing w:line="360" w:lineRule="auto"/>
        <w:ind w:firstLine="480" w:firstLineChars="200"/>
        <w:rPr>
          <w:szCs w:val="21"/>
        </w:rPr>
      </w:pPr>
      <w:r>
        <w:rPr>
          <w:rFonts w:hint="eastAsia"/>
          <w:szCs w:val="21"/>
        </w:rPr>
        <w:t>本合同工程，包含竣工试验阶段</w:t>
      </w:r>
    </w:p>
    <w:p>
      <w:pPr>
        <w:snapToGrid w:val="0"/>
        <w:spacing w:line="360" w:lineRule="auto"/>
        <w:ind w:firstLine="482" w:firstLineChars="200"/>
        <w:rPr>
          <w:b/>
          <w:szCs w:val="21"/>
        </w:rPr>
      </w:pPr>
      <w:r>
        <w:rPr>
          <w:rFonts w:hint="eastAsia"/>
          <w:b/>
          <w:szCs w:val="21"/>
        </w:rPr>
        <w:t>8.1竣工试验的义务</w:t>
      </w:r>
    </w:p>
    <w:p>
      <w:pPr>
        <w:snapToGrid w:val="0"/>
        <w:spacing w:line="360" w:lineRule="auto"/>
        <w:ind w:firstLine="480" w:firstLineChars="200"/>
        <w:rPr>
          <w:szCs w:val="21"/>
        </w:rPr>
      </w:pPr>
      <w:r>
        <w:rPr>
          <w:rFonts w:hint="eastAsia"/>
          <w:szCs w:val="21"/>
        </w:rPr>
        <w:t>8.1.1承包人的一般义务</w:t>
      </w:r>
    </w:p>
    <w:p>
      <w:pPr>
        <w:snapToGrid w:val="0"/>
        <w:spacing w:line="360" w:lineRule="auto"/>
        <w:ind w:firstLine="480" w:firstLineChars="200"/>
        <w:rPr>
          <w:szCs w:val="21"/>
        </w:rPr>
      </w:pPr>
      <w:r>
        <w:rPr>
          <w:rFonts w:hint="eastAsia"/>
          <w:szCs w:val="21"/>
        </w:rPr>
        <w:t>（4）竣工试验方案</w:t>
      </w:r>
    </w:p>
    <w:p>
      <w:pPr>
        <w:snapToGrid w:val="0"/>
        <w:spacing w:line="360" w:lineRule="auto"/>
        <w:ind w:firstLine="480" w:firstLineChars="200"/>
        <w:rPr>
          <w:szCs w:val="21"/>
          <w:u w:val="single"/>
        </w:rPr>
      </w:pPr>
      <w:r>
        <w:rPr>
          <w:rFonts w:hint="eastAsia"/>
          <w:szCs w:val="21"/>
        </w:rPr>
        <w:t>提交竣工试验方案的份数和时间：</w:t>
      </w:r>
      <w:r>
        <w:rPr>
          <w:rFonts w:hint="eastAsia"/>
          <w:szCs w:val="21"/>
          <w:u w:val="single"/>
        </w:rPr>
        <w:t xml:space="preserve">   / 。</w:t>
      </w:r>
    </w:p>
    <w:p>
      <w:pPr>
        <w:snapToGrid w:val="0"/>
        <w:spacing w:line="360" w:lineRule="auto"/>
        <w:ind w:firstLine="482" w:firstLineChars="200"/>
        <w:rPr>
          <w:b/>
          <w:szCs w:val="21"/>
        </w:rPr>
      </w:pPr>
      <w:r>
        <w:rPr>
          <w:rFonts w:hint="eastAsia"/>
          <w:b/>
          <w:szCs w:val="21"/>
        </w:rPr>
        <w:t>第9条工程接收</w:t>
      </w:r>
    </w:p>
    <w:p>
      <w:pPr>
        <w:snapToGrid w:val="0"/>
        <w:spacing w:line="360" w:lineRule="auto"/>
        <w:ind w:firstLine="480" w:firstLineChars="200"/>
        <w:rPr>
          <w:szCs w:val="21"/>
        </w:rPr>
      </w:pPr>
      <w:r>
        <w:rPr>
          <w:rFonts w:hint="eastAsia"/>
          <w:szCs w:val="21"/>
        </w:rPr>
        <w:t>9.1工程接收</w:t>
      </w:r>
    </w:p>
    <w:p>
      <w:pPr>
        <w:snapToGrid w:val="0"/>
        <w:spacing w:line="360" w:lineRule="auto"/>
        <w:ind w:firstLine="480" w:firstLineChars="200"/>
        <w:rPr>
          <w:szCs w:val="21"/>
        </w:rPr>
      </w:pPr>
      <w:r>
        <w:rPr>
          <w:rFonts w:hint="eastAsia"/>
          <w:szCs w:val="21"/>
        </w:rPr>
        <w:t>9.1.1按单项工程或（和）按工程接收</w:t>
      </w:r>
    </w:p>
    <w:p>
      <w:pPr>
        <w:snapToGrid w:val="0"/>
        <w:spacing w:line="360" w:lineRule="auto"/>
        <w:ind w:firstLine="480" w:firstLineChars="200"/>
        <w:rPr>
          <w:szCs w:val="21"/>
          <w:u w:val="single"/>
        </w:rPr>
      </w:pPr>
      <w:r>
        <w:rPr>
          <w:rFonts w:hint="eastAsia"/>
          <w:szCs w:val="21"/>
        </w:rPr>
        <w:t>■由承包人负责指导发包人进行单项工程或（和）工程竣工后试验，并承担试运行考核责任的，接收单项工程的先后顺序及时间安排，或接受工程的时间安排如下：</w:t>
      </w:r>
    </w:p>
    <w:p>
      <w:pPr>
        <w:snapToGrid w:val="0"/>
        <w:spacing w:line="360" w:lineRule="auto"/>
        <w:ind w:firstLine="480" w:firstLineChars="200"/>
        <w:rPr>
          <w:szCs w:val="21"/>
        </w:rPr>
      </w:pPr>
      <w:r>
        <w:rPr>
          <w:rFonts w:hint="eastAsia"/>
          <w:szCs w:val="21"/>
        </w:rPr>
        <w:t>9.1.2  接收工程提交的资料</w:t>
      </w:r>
    </w:p>
    <w:p>
      <w:pPr>
        <w:snapToGrid w:val="0"/>
        <w:spacing w:line="360" w:lineRule="auto"/>
        <w:ind w:firstLine="480" w:firstLineChars="200"/>
        <w:rPr>
          <w:szCs w:val="21"/>
        </w:rPr>
      </w:pPr>
      <w:r>
        <w:rPr>
          <w:rFonts w:hint="eastAsia"/>
          <w:szCs w:val="21"/>
        </w:rPr>
        <w:t>提交竣工试验资料的类别、内容、份数和时间：</w:t>
      </w:r>
      <w:r>
        <w:rPr>
          <w:rFonts w:hint="eastAsia"/>
          <w:szCs w:val="21"/>
          <w:u w:val="single"/>
        </w:rPr>
        <w:t xml:space="preserve">   / 。</w:t>
      </w:r>
    </w:p>
    <w:p>
      <w:pPr>
        <w:snapToGrid w:val="0"/>
        <w:spacing w:line="360" w:lineRule="auto"/>
        <w:ind w:firstLine="482" w:firstLineChars="200"/>
        <w:rPr>
          <w:b/>
          <w:szCs w:val="21"/>
        </w:rPr>
      </w:pPr>
      <w:r>
        <w:rPr>
          <w:rFonts w:hint="eastAsia"/>
          <w:b/>
          <w:szCs w:val="21"/>
        </w:rPr>
        <w:t>第10条竣工后试验</w:t>
      </w:r>
    </w:p>
    <w:p>
      <w:pPr>
        <w:snapToGrid w:val="0"/>
        <w:spacing w:line="360" w:lineRule="auto"/>
        <w:ind w:firstLine="480" w:firstLineChars="200"/>
        <w:rPr>
          <w:szCs w:val="21"/>
        </w:rPr>
      </w:pPr>
      <w:r>
        <w:rPr>
          <w:rFonts w:hint="eastAsia"/>
          <w:szCs w:val="21"/>
        </w:rPr>
        <w:t>本合同包含承包人知道竣工后试验。</w:t>
      </w:r>
    </w:p>
    <w:p>
      <w:pPr>
        <w:snapToGrid w:val="0"/>
        <w:spacing w:line="360" w:lineRule="auto"/>
        <w:ind w:firstLine="482" w:firstLineChars="200"/>
        <w:rPr>
          <w:b/>
          <w:szCs w:val="21"/>
        </w:rPr>
      </w:pPr>
      <w:r>
        <w:rPr>
          <w:rFonts w:hint="eastAsia"/>
          <w:b/>
          <w:szCs w:val="21"/>
        </w:rPr>
        <w:t>10.1  权利和义务</w:t>
      </w:r>
    </w:p>
    <w:p>
      <w:pPr>
        <w:snapToGrid w:val="0"/>
        <w:spacing w:line="360" w:lineRule="auto"/>
        <w:ind w:firstLine="480" w:firstLineChars="200"/>
        <w:rPr>
          <w:szCs w:val="21"/>
        </w:rPr>
      </w:pPr>
      <w:r>
        <w:rPr>
          <w:rFonts w:hint="eastAsia"/>
          <w:szCs w:val="21"/>
        </w:rPr>
        <w:t>10.1.1  发包人的权利和义务</w:t>
      </w:r>
    </w:p>
    <w:p>
      <w:pPr>
        <w:snapToGrid w:val="0"/>
        <w:spacing w:line="360" w:lineRule="auto"/>
        <w:ind w:firstLine="480" w:firstLineChars="200"/>
        <w:rPr>
          <w:szCs w:val="21"/>
          <w:u w:val="single"/>
        </w:rPr>
      </w:pPr>
      <w:r>
        <w:rPr>
          <w:rFonts w:hint="eastAsia"/>
          <w:szCs w:val="21"/>
        </w:rPr>
        <w:t>（1）其它义务和工作：</w:t>
      </w:r>
      <w:r>
        <w:rPr>
          <w:rFonts w:hint="eastAsia"/>
          <w:szCs w:val="21"/>
          <w:u w:val="single"/>
        </w:rPr>
        <w:t xml:space="preserve">   / 。</w:t>
      </w:r>
    </w:p>
    <w:p>
      <w:pPr>
        <w:snapToGrid w:val="0"/>
        <w:spacing w:line="360" w:lineRule="auto"/>
        <w:ind w:firstLine="480" w:firstLineChars="200"/>
        <w:rPr>
          <w:szCs w:val="21"/>
        </w:rPr>
      </w:pPr>
      <w:r>
        <w:rPr>
          <w:rFonts w:hint="eastAsia"/>
          <w:szCs w:val="21"/>
        </w:rPr>
        <w:t>10.1.2  承包人的责任和义务</w:t>
      </w:r>
    </w:p>
    <w:p>
      <w:pPr>
        <w:snapToGrid w:val="0"/>
        <w:spacing w:line="360" w:lineRule="auto"/>
        <w:ind w:firstLine="480" w:firstLineChars="200"/>
        <w:rPr>
          <w:szCs w:val="21"/>
          <w:u w:val="single"/>
        </w:rPr>
      </w:pPr>
      <w:r>
        <w:rPr>
          <w:rFonts w:hint="eastAsia"/>
          <w:szCs w:val="21"/>
        </w:rPr>
        <w:t>（1）竣工后试验方案的份数和完成时间：</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（2）其它义务和工作：</w:t>
      </w:r>
      <w:r>
        <w:rPr>
          <w:rFonts w:hint="eastAsia"/>
          <w:szCs w:val="21"/>
          <w:u w:val="single"/>
        </w:rPr>
        <w:t xml:space="preserve">   / 。</w:t>
      </w:r>
    </w:p>
    <w:p>
      <w:pPr>
        <w:snapToGrid w:val="0"/>
        <w:spacing w:line="360" w:lineRule="auto"/>
        <w:ind w:firstLine="482" w:firstLineChars="200"/>
        <w:rPr>
          <w:b/>
          <w:szCs w:val="21"/>
        </w:rPr>
      </w:pPr>
      <w:r>
        <w:rPr>
          <w:rFonts w:hint="eastAsia"/>
          <w:b/>
          <w:szCs w:val="21"/>
        </w:rPr>
        <w:t>10.2竣工后试验程序</w:t>
      </w:r>
    </w:p>
    <w:p>
      <w:pPr>
        <w:snapToGrid w:val="0"/>
        <w:spacing w:line="360" w:lineRule="auto"/>
        <w:ind w:firstLine="480" w:firstLineChars="200"/>
        <w:rPr>
          <w:szCs w:val="21"/>
        </w:rPr>
      </w:pPr>
      <w:r>
        <w:rPr>
          <w:rFonts w:hint="eastAsia"/>
          <w:szCs w:val="21"/>
        </w:rPr>
        <w:t>10.2.5竣工后试验日期的通知</w:t>
      </w:r>
    </w:p>
    <w:p>
      <w:pPr>
        <w:snapToGrid w:val="0"/>
        <w:spacing w:line="360" w:lineRule="auto"/>
        <w:ind w:firstLine="480" w:firstLineChars="200"/>
        <w:rPr>
          <w:szCs w:val="21"/>
          <w:u w:val="single"/>
        </w:rPr>
      </w:pPr>
      <w:r>
        <w:rPr>
          <w:rFonts w:hint="eastAsia"/>
          <w:szCs w:val="21"/>
        </w:rPr>
        <w:t>单项工程或（和）工程竣工后试验开始日期的约定：</w:t>
      </w:r>
      <w:r>
        <w:rPr>
          <w:rFonts w:hint="eastAsia"/>
          <w:szCs w:val="21"/>
          <w:u w:val="single"/>
        </w:rPr>
        <w:t xml:space="preserve">   / 。</w:t>
      </w:r>
    </w:p>
    <w:p>
      <w:pPr>
        <w:snapToGrid w:val="0"/>
        <w:spacing w:line="360" w:lineRule="auto"/>
        <w:ind w:firstLine="482" w:firstLineChars="200"/>
        <w:rPr>
          <w:b/>
          <w:szCs w:val="21"/>
        </w:rPr>
      </w:pPr>
      <w:r>
        <w:rPr>
          <w:rFonts w:hint="eastAsia"/>
          <w:b/>
          <w:szCs w:val="21"/>
        </w:rPr>
        <w:t>10.3  竣工后试验及试运行考核</w:t>
      </w:r>
    </w:p>
    <w:p>
      <w:pPr>
        <w:snapToGrid w:val="0"/>
        <w:spacing w:line="360" w:lineRule="auto"/>
        <w:ind w:firstLine="480" w:firstLineChars="200"/>
        <w:rPr>
          <w:szCs w:val="21"/>
        </w:rPr>
      </w:pPr>
      <w:r>
        <w:rPr>
          <w:rFonts w:hint="eastAsia"/>
          <w:szCs w:val="21"/>
        </w:rPr>
        <w:t>10.3.3 试运行考核</w:t>
      </w:r>
    </w:p>
    <w:p>
      <w:pPr>
        <w:snapToGrid w:val="0"/>
        <w:spacing w:line="360" w:lineRule="auto"/>
        <w:ind w:firstLine="480" w:firstLineChars="200"/>
        <w:rPr>
          <w:szCs w:val="21"/>
        </w:rPr>
      </w:pPr>
      <w:r>
        <w:rPr>
          <w:rFonts w:hint="eastAsia"/>
          <w:szCs w:val="21"/>
        </w:rPr>
        <w:t>（1）试运行考核周期：</w:t>
      </w:r>
      <w:r>
        <w:rPr>
          <w:rFonts w:hint="eastAsia"/>
          <w:szCs w:val="21"/>
          <w:u w:val="single"/>
        </w:rPr>
        <w:t xml:space="preserve">   / 。</w:t>
      </w:r>
    </w:p>
    <w:p>
      <w:pPr>
        <w:snapToGrid w:val="0"/>
        <w:spacing w:line="360" w:lineRule="auto"/>
        <w:ind w:firstLine="482" w:firstLineChars="200"/>
        <w:rPr>
          <w:b/>
          <w:szCs w:val="21"/>
        </w:rPr>
      </w:pPr>
      <w:r>
        <w:rPr>
          <w:rFonts w:hint="eastAsia"/>
          <w:b/>
          <w:szCs w:val="21"/>
        </w:rPr>
        <w:t>第11条质量保修责任</w:t>
      </w:r>
    </w:p>
    <w:p>
      <w:pPr>
        <w:snapToGrid w:val="0"/>
        <w:spacing w:line="360" w:lineRule="auto"/>
        <w:ind w:firstLine="482" w:firstLineChars="200"/>
        <w:rPr>
          <w:b/>
          <w:szCs w:val="21"/>
        </w:rPr>
      </w:pPr>
      <w:r>
        <w:rPr>
          <w:rFonts w:hint="eastAsia"/>
          <w:b/>
          <w:szCs w:val="21"/>
        </w:rPr>
        <w:t>11.2  缺陷责任保修金</w:t>
      </w:r>
    </w:p>
    <w:p>
      <w:pPr>
        <w:snapToGrid w:val="0"/>
        <w:spacing w:line="360" w:lineRule="auto"/>
        <w:ind w:firstLine="480" w:firstLineChars="200"/>
        <w:rPr>
          <w:szCs w:val="21"/>
        </w:rPr>
      </w:pPr>
      <w:r>
        <w:rPr>
          <w:rFonts w:hint="eastAsia"/>
          <w:szCs w:val="21"/>
        </w:rPr>
        <w:t>11.2.1  缺陷责任保修金金额</w:t>
      </w:r>
    </w:p>
    <w:p>
      <w:pPr>
        <w:snapToGrid w:val="0"/>
        <w:spacing w:line="360" w:lineRule="auto"/>
        <w:ind w:firstLine="480" w:firstLineChars="200"/>
        <w:rPr>
          <w:szCs w:val="21"/>
        </w:rPr>
      </w:pPr>
      <w:r>
        <w:rPr>
          <w:rFonts w:hint="eastAsia"/>
          <w:szCs w:val="21"/>
        </w:rPr>
        <w:t>缺陷责任保修金金额为：</w:t>
      </w:r>
      <w:r>
        <w:rPr>
          <w:rFonts w:hint="eastAsia"/>
          <w:szCs w:val="21"/>
          <w:u w:val="single"/>
        </w:rPr>
        <w:t xml:space="preserve">  / </w:t>
      </w:r>
      <w:r>
        <w:rPr>
          <w:rFonts w:hint="eastAsia"/>
          <w:szCs w:val="21"/>
        </w:rPr>
        <w:t>。</w:t>
      </w:r>
    </w:p>
    <w:p>
      <w:pPr>
        <w:snapToGrid w:val="0"/>
        <w:spacing w:line="360" w:lineRule="auto"/>
        <w:ind w:firstLine="480" w:firstLineChars="200"/>
        <w:rPr>
          <w:szCs w:val="21"/>
        </w:rPr>
      </w:pPr>
      <w:r>
        <w:rPr>
          <w:rFonts w:hint="eastAsia"/>
          <w:szCs w:val="21"/>
        </w:rPr>
        <w:t>11.2.2  缺陷责任保修金金额的暂扣</w:t>
      </w:r>
    </w:p>
    <w:p>
      <w:pPr>
        <w:snapToGrid w:val="0"/>
        <w:spacing w:line="360" w:lineRule="auto"/>
        <w:ind w:firstLine="480" w:firstLineChars="200"/>
        <w:rPr>
          <w:szCs w:val="21"/>
          <w:u w:val="single"/>
        </w:rPr>
      </w:pPr>
      <w:r>
        <w:rPr>
          <w:rFonts w:hint="eastAsia"/>
          <w:szCs w:val="21"/>
        </w:rPr>
        <w:t>缺陷责任保修金金额的暂扣方式：</w:t>
      </w:r>
      <w:r>
        <w:rPr>
          <w:rFonts w:hint="eastAsia"/>
          <w:szCs w:val="21"/>
          <w:u w:val="single"/>
        </w:rPr>
        <w:t xml:space="preserve">   /  </w:t>
      </w:r>
    </w:p>
    <w:p>
      <w:pPr>
        <w:snapToGrid w:val="0"/>
        <w:spacing w:line="360" w:lineRule="auto"/>
        <w:ind w:firstLine="482" w:firstLineChars="200"/>
        <w:rPr>
          <w:b/>
          <w:szCs w:val="21"/>
        </w:rPr>
      </w:pPr>
      <w:r>
        <w:rPr>
          <w:rFonts w:hint="eastAsia"/>
          <w:b/>
          <w:szCs w:val="21"/>
        </w:rPr>
        <w:t>第12条工程竣工验收</w:t>
      </w:r>
    </w:p>
    <w:p>
      <w:pPr>
        <w:snapToGrid w:val="0"/>
        <w:spacing w:line="360" w:lineRule="auto"/>
        <w:ind w:firstLine="482" w:firstLineChars="200"/>
        <w:rPr>
          <w:b/>
          <w:szCs w:val="21"/>
        </w:rPr>
      </w:pPr>
      <w:r>
        <w:rPr>
          <w:rFonts w:hint="eastAsia"/>
          <w:b/>
          <w:szCs w:val="21"/>
        </w:rPr>
        <w:t>12.1竣工资料及竣工验收报告</w:t>
      </w:r>
    </w:p>
    <w:p>
      <w:pPr>
        <w:snapToGrid w:val="0"/>
        <w:spacing w:line="360" w:lineRule="auto"/>
        <w:ind w:firstLine="480" w:firstLineChars="200"/>
        <w:rPr>
          <w:szCs w:val="21"/>
        </w:rPr>
      </w:pPr>
      <w:r>
        <w:rPr>
          <w:rFonts w:hint="eastAsia"/>
          <w:szCs w:val="21"/>
        </w:rPr>
        <w:t>12.1.1竣工资料和竣工验收报告</w:t>
      </w:r>
    </w:p>
    <w:p>
      <w:pPr>
        <w:snapToGrid w:val="0"/>
        <w:spacing w:line="360" w:lineRule="auto"/>
        <w:ind w:firstLine="480" w:firstLineChars="200"/>
        <w:rPr>
          <w:szCs w:val="21"/>
          <w:u w:val="single"/>
        </w:rPr>
      </w:pPr>
      <w:r>
        <w:rPr>
          <w:rFonts w:hint="eastAsia"/>
          <w:szCs w:val="21"/>
        </w:rPr>
        <w:t>竣工验收报告的格式、份数和提交时间：</w:t>
      </w:r>
      <w:r>
        <w:rPr>
          <w:rFonts w:hint="eastAsia"/>
          <w:szCs w:val="21"/>
          <w:u w:val="single"/>
        </w:rPr>
        <w:t xml:space="preserve">            </w:t>
      </w:r>
    </w:p>
    <w:p>
      <w:pPr>
        <w:snapToGrid w:val="0"/>
        <w:spacing w:line="360" w:lineRule="auto"/>
        <w:ind w:firstLine="480" w:firstLineChars="200"/>
        <w:rPr>
          <w:szCs w:val="21"/>
          <w:u w:val="single"/>
        </w:rPr>
      </w:pPr>
      <w:r>
        <w:rPr>
          <w:rFonts w:hint="eastAsia"/>
          <w:szCs w:val="21"/>
        </w:rPr>
        <w:t>完整竣工资料的格式、份数和提交时间：</w:t>
      </w:r>
      <w:r>
        <w:rPr>
          <w:rFonts w:hint="eastAsia"/>
          <w:szCs w:val="21"/>
          <w:u w:val="single"/>
        </w:rPr>
        <w:t xml:space="preserve">            </w:t>
      </w:r>
    </w:p>
    <w:p>
      <w:pPr>
        <w:snapToGrid w:val="0"/>
        <w:spacing w:line="360" w:lineRule="auto"/>
        <w:ind w:firstLine="482" w:firstLineChars="200"/>
        <w:rPr>
          <w:b/>
          <w:szCs w:val="21"/>
        </w:rPr>
      </w:pPr>
      <w:r>
        <w:rPr>
          <w:rFonts w:hint="eastAsia"/>
          <w:b/>
          <w:szCs w:val="21"/>
        </w:rPr>
        <w:t>第13条变更和合同价格调整</w:t>
      </w:r>
    </w:p>
    <w:p>
      <w:pPr>
        <w:adjustRightInd w:val="0"/>
        <w:snapToGrid w:val="0"/>
        <w:spacing w:line="360" w:lineRule="auto"/>
        <w:ind w:firstLine="480" w:firstLineChars="200"/>
        <w:rPr>
          <w:szCs w:val="21"/>
          <w:u w:val="single"/>
        </w:rPr>
      </w:pPr>
      <w:r>
        <w:rPr>
          <w:rFonts w:hint="eastAsia"/>
          <w:szCs w:val="21"/>
        </w:rPr>
        <w:t>13.1本合同为</w:t>
      </w:r>
      <w:r>
        <w:rPr>
          <w:rFonts w:hint="eastAsia"/>
          <w:szCs w:val="21"/>
          <w:u w:val="single"/>
        </w:rPr>
        <w:t>固定单价合同（包含设计、施工）。</w:t>
      </w:r>
    </w:p>
    <w:p>
      <w:pPr>
        <w:adjustRightInd w:val="0"/>
        <w:snapToGrid w:val="0"/>
        <w:spacing w:line="360" w:lineRule="auto"/>
        <w:ind w:firstLine="480" w:firstLineChars="200"/>
        <w:rPr>
          <w:szCs w:val="21"/>
          <w:u w:val="single"/>
        </w:rPr>
      </w:pPr>
      <w:r>
        <w:rPr>
          <w:rFonts w:hint="eastAsia"/>
          <w:szCs w:val="21"/>
          <w:u w:val="single"/>
        </w:rPr>
        <w:t>（1）设计费为从本工程投标开始至本工程养护期结束的所有专业设计费用（含方案设计费、方案优化设计费、施工图设计费、施工图优化设计费、设计变更费用及施工过程中设计单位的现场服务费等）。施工图阶段的任何形式、类型、规模的设计变更均不另行支付变更费用及相关图纸费用已含在合同价中。承包人须根据发包人要求对方案进行调整优化，直至通过方案认定。结算时按最终施工结算审计价的4</w:t>
      </w:r>
      <w:r>
        <w:rPr>
          <w:rFonts w:hint="eastAsia"/>
          <w:szCs w:val="21"/>
          <w:u w:val="single"/>
          <w:lang w:val="en-US" w:eastAsia="zh-CN"/>
        </w:rPr>
        <w:t>.5</w:t>
      </w:r>
      <w:r>
        <w:rPr>
          <w:rFonts w:hint="eastAsia"/>
          <w:szCs w:val="21"/>
          <w:u w:val="single"/>
        </w:rPr>
        <w:t>%计算。</w:t>
      </w:r>
    </w:p>
    <w:p>
      <w:pPr>
        <w:adjustRightInd w:val="0"/>
        <w:snapToGrid w:val="0"/>
        <w:spacing w:line="360" w:lineRule="auto"/>
        <w:ind w:firstLine="480" w:firstLineChars="200"/>
        <w:rPr>
          <w:szCs w:val="21"/>
          <w:u w:val="single"/>
        </w:rPr>
      </w:pPr>
      <w:r>
        <w:rPr>
          <w:rFonts w:hint="eastAsia"/>
          <w:szCs w:val="21"/>
          <w:u w:val="single"/>
        </w:rPr>
        <w:t>（2）立体花卉、平面摆花、花球、花境及各类配饰物竣工结算时，根据实际完成并验收合格的展开面积及投标单价进行结算。菊花摆花密度根据菊花实际尺寸确定。如工程量调增幅度超过5%时，则超过5%的部分不予结算，相关费用由承包人自行承担。</w:t>
      </w:r>
    </w:p>
    <w:p>
      <w:pPr>
        <w:adjustRightInd w:val="0"/>
        <w:snapToGrid w:val="0"/>
        <w:spacing w:line="360" w:lineRule="auto"/>
        <w:ind w:firstLine="480" w:firstLineChars="200"/>
        <w:rPr>
          <w:szCs w:val="21"/>
          <w:u w:val="single"/>
        </w:rPr>
      </w:pPr>
      <w:r>
        <w:rPr>
          <w:rFonts w:hint="eastAsia"/>
          <w:szCs w:val="21"/>
          <w:u w:val="single"/>
        </w:rPr>
        <w:t>（3）承包人须根据发包人的意见进行方案优化、调整，但结算时仍按投标单价计算，不得以结构和体量变化、品种更换等原因提出单价调整的要求；</w:t>
      </w:r>
    </w:p>
    <w:p>
      <w:pPr>
        <w:adjustRightInd w:val="0"/>
        <w:snapToGrid w:val="0"/>
        <w:spacing w:line="360" w:lineRule="auto"/>
        <w:ind w:firstLine="480" w:firstLineChars="200"/>
        <w:rPr>
          <w:szCs w:val="21"/>
          <w:u w:val="single"/>
        </w:rPr>
      </w:pPr>
      <w:r>
        <w:rPr>
          <w:rFonts w:hint="eastAsia"/>
          <w:szCs w:val="21"/>
          <w:u w:val="single"/>
        </w:rPr>
        <w:t>（4）亮化设施最终按实际完成的合格工程量进行结算，套用相关定额及信息价【缺项材料报招标人审定确定单价（不下浮）】后下浮20%列入结算，但最终结算价不得超</w:t>
      </w:r>
      <w:r>
        <w:rPr>
          <w:rFonts w:hint="eastAsia"/>
          <w:color w:val="auto"/>
          <w:szCs w:val="21"/>
          <w:u w:val="single"/>
        </w:rPr>
        <w:t>过1</w:t>
      </w:r>
      <w:r>
        <w:rPr>
          <w:rFonts w:hint="eastAsia"/>
          <w:color w:val="auto"/>
          <w:szCs w:val="21"/>
          <w:u w:val="single"/>
          <w:lang w:val="en-US" w:eastAsia="zh-CN"/>
        </w:rPr>
        <w:t>4.</w:t>
      </w:r>
      <w:r>
        <w:rPr>
          <w:rFonts w:hint="eastAsia"/>
          <w:color w:val="auto"/>
          <w:szCs w:val="21"/>
          <w:u w:val="single"/>
        </w:rPr>
        <w:t>5万元，超出部分由承包人自行承担；</w:t>
      </w:r>
    </w:p>
    <w:p>
      <w:pPr>
        <w:adjustRightInd w:val="0"/>
        <w:snapToGrid w:val="0"/>
        <w:spacing w:line="360" w:lineRule="auto"/>
        <w:ind w:firstLine="480" w:firstLineChars="200"/>
        <w:rPr>
          <w:szCs w:val="21"/>
          <w:u w:val="single"/>
        </w:rPr>
      </w:pPr>
      <w:r>
        <w:rPr>
          <w:rFonts w:hint="eastAsia"/>
          <w:szCs w:val="21"/>
          <w:u w:val="single"/>
        </w:rPr>
        <w:t>（5）暂列金额根据发包人指令完成相关工作，原投标清单中有相同项目的按原投标单价和实际完成的合格工程量进行结算，原投标清单中无相同项目的，套用相关定额及信息价【缺项材料报招标人审定确定单价（不下浮）】后下浮20%列入结算。</w:t>
      </w:r>
    </w:p>
    <w:p>
      <w:pPr>
        <w:adjustRightInd w:val="0"/>
        <w:snapToGrid w:val="0"/>
        <w:spacing w:line="360" w:lineRule="auto"/>
        <w:ind w:firstLine="480" w:firstLineChars="200"/>
        <w:rPr>
          <w:szCs w:val="21"/>
          <w:u w:val="single"/>
        </w:rPr>
      </w:pPr>
      <w:r>
        <w:rPr>
          <w:rFonts w:hint="eastAsia"/>
          <w:szCs w:val="21"/>
          <w:u w:val="single"/>
        </w:rPr>
        <w:t>（6）本工程最终审计决算价（含设计费、施工费、其他费用等）不得超过人民币130万元，如有超出，由承包人自行承担相关费用。</w:t>
      </w:r>
    </w:p>
    <w:p>
      <w:pPr>
        <w:snapToGrid w:val="0"/>
        <w:spacing w:line="360" w:lineRule="auto"/>
        <w:ind w:firstLine="480" w:firstLineChars="200"/>
        <w:jc w:val="left"/>
        <w:rPr>
          <w:szCs w:val="21"/>
        </w:rPr>
      </w:pPr>
      <w:r>
        <w:rPr>
          <w:rFonts w:hint="eastAsia"/>
          <w:szCs w:val="21"/>
        </w:rPr>
        <w:t>固定单价包含的风险范围：</w:t>
      </w:r>
      <w:r>
        <w:rPr>
          <w:rFonts w:hint="eastAsia"/>
          <w:szCs w:val="21"/>
          <w:u w:val="single"/>
        </w:rPr>
        <w:t>人工、材料、机械、政策性调整变化（其中规费和税金费率变化除外）及现场条件、施工中不可预见的障碍等因素，施工中不可预见的各种风险、一般自然灾害（本合同其它条款明确约定可以调整合同价款之外的自然灾害），因承包人施工方案变化引起的施工费用的增加，设计失误，施工方案调整，周边管线、地下障碍物及建筑物的保护费用的增加等风险因素等，以上风险均由承包人承担</w:t>
      </w:r>
      <w:r>
        <w:rPr>
          <w:rFonts w:hint="eastAsia"/>
          <w:szCs w:val="21"/>
        </w:rPr>
        <w:t>。</w:t>
      </w:r>
    </w:p>
    <w:p>
      <w:pPr>
        <w:tabs>
          <w:tab w:val="left" w:pos="820"/>
        </w:tabs>
        <w:snapToGrid w:val="0"/>
        <w:spacing w:line="360" w:lineRule="auto"/>
        <w:ind w:firstLine="470" w:firstLineChars="196"/>
        <w:rPr>
          <w:szCs w:val="21"/>
          <w:u w:val="single"/>
        </w:rPr>
      </w:pPr>
      <w:r>
        <w:rPr>
          <w:rFonts w:hint="eastAsia"/>
          <w:szCs w:val="21"/>
          <w:u w:val="single"/>
        </w:rPr>
        <w:t>合同价款中包括的风险范围具体表述包含但不局限于如下条款：</w:t>
      </w:r>
    </w:p>
    <w:p>
      <w:pPr>
        <w:tabs>
          <w:tab w:val="left" w:pos="820"/>
        </w:tabs>
        <w:snapToGrid w:val="0"/>
        <w:spacing w:line="360" w:lineRule="auto"/>
        <w:ind w:firstLine="470" w:firstLineChars="196"/>
        <w:rPr>
          <w:szCs w:val="21"/>
          <w:u w:val="single"/>
        </w:rPr>
      </w:pPr>
      <w:r>
        <w:rPr>
          <w:rFonts w:hint="eastAsia"/>
          <w:szCs w:val="21"/>
          <w:u w:val="single"/>
        </w:rPr>
        <w:t>（1）材料价格及人工工资单价均不作调整；</w:t>
      </w:r>
    </w:p>
    <w:p>
      <w:pPr>
        <w:tabs>
          <w:tab w:val="left" w:pos="820"/>
        </w:tabs>
        <w:snapToGrid w:val="0"/>
        <w:spacing w:line="360" w:lineRule="auto"/>
        <w:ind w:firstLine="470" w:firstLineChars="196"/>
        <w:rPr>
          <w:szCs w:val="21"/>
          <w:u w:val="single"/>
        </w:rPr>
      </w:pPr>
      <w:r>
        <w:rPr>
          <w:rFonts w:hint="eastAsia"/>
          <w:szCs w:val="21"/>
          <w:u w:val="single"/>
        </w:rPr>
        <w:t>（2）施工现场周围居民干扰或其它原因导致工期延误所造成的一切损失；</w:t>
      </w:r>
    </w:p>
    <w:p>
      <w:pPr>
        <w:tabs>
          <w:tab w:val="left" w:pos="820"/>
        </w:tabs>
        <w:snapToGrid w:val="0"/>
        <w:spacing w:line="360" w:lineRule="auto"/>
        <w:ind w:firstLine="470" w:firstLineChars="196"/>
        <w:rPr>
          <w:szCs w:val="21"/>
          <w:u w:val="single"/>
        </w:rPr>
      </w:pPr>
      <w:r>
        <w:rPr>
          <w:rFonts w:hint="eastAsia"/>
          <w:szCs w:val="21"/>
          <w:u w:val="single"/>
        </w:rPr>
        <w:t>（3）工程实施期间，遇到发包人以外的单位、个人和其他可能出现的阻挠施工所发生的费用；</w:t>
      </w:r>
    </w:p>
    <w:p>
      <w:pPr>
        <w:tabs>
          <w:tab w:val="left" w:pos="820"/>
        </w:tabs>
        <w:snapToGrid w:val="0"/>
        <w:spacing w:line="360" w:lineRule="auto"/>
        <w:ind w:firstLine="470" w:firstLineChars="196"/>
        <w:rPr>
          <w:szCs w:val="21"/>
          <w:u w:val="single"/>
        </w:rPr>
      </w:pPr>
      <w:r>
        <w:rPr>
          <w:rFonts w:hint="eastAsia"/>
          <w:szCs w:val="21"/>
          <w:u w:val="single"/>
        </w:rPr>
        <w:t>（4）工程施工期间涉及排污、环保、市容、消防、治安、城市卫生、市政、居委会、派出所等相关部门收取的费用，以及夜间文明施工、保护周边地下管线和架空线的安全的费用等，承包人已综合考虑在投标报价中，竣工结算时不再调整。</w:t>
      </w:r>
    </w:p>
    <w:p>
      <w:pPr>
        <w:tabs>
          <w:tab w:val="left" w:pos="820"/>
        </w:tabs>
        <w:snapToGrid w:val="0"/>
        <w:spacing w:line="360" w:lineRule="auto"/>
        <w:ind w:firstLine="470" w:firstLineChars="196"/>
        <w:rPr>
          <w:szCs w:val="21"/>
          <w:u w:val="single"/>
        </w:rPr>
      </w:pPr>
      <w:r>
        <w:rPr>
          <w:rFonts w:hint="eastAsia"/>
          <w:szCs w:val="21"/>
          <w:u w:val="single"/>
        </w:rPr>
        <w:t>（5）承包人应自行踏勘现场，对现场施工环境、工作面仔细考察，实际施工中不得因施工场地狭小等原因提出二次搬运等额外费用，该费用视为承包人已考虑在投标报价中</w:t>
      </w:r>
      <w:r>
        <w:rPr>
          <w:rFonts w:hint="eastAsia"/>
          <w:b/>
          <w:szCs w:val="21"/>
          <w:u w:val="single"/>
        </w:rPr>
        <w:t>（本合同所有条款中表述为“包含在投标报价中”均视为承包人考虑在投标报价中。即：承包人认为要支出相关费用，则应当考虑增加报价，如不需要支出相关费用，则考虑减小报价，但承包人投标报价均视为不低于其成本）</w:t>
      </w:r>
      <w:r>
        <w:rPr>
          <w:rFonts w:hint="eastAsia"/>
          <w:szCs w:val="21"/>
          <w:u w:val="single"/>
        </w:rPr>
        <w:t>。</w:t>
      </w:r>
    </w:p>
    <w:p>
      <w:pPr>
        <w:tabs>
          <w:tab w:val="left" w:pos="820"/>
        </w:tabs>
        <w:snapToGrid w:val="0"/>
        <w:spacing w:line="360" w:lineRule="auto"/>
        <w:ind w:firstLine="470" w:firstLineChars="196"/>
        <w:rPr>
          <w:szCs w:val="21"/>
          <w:u w:val="single"/>
        </w:rPr>
      </w:pPr>
      <w:r>
        <w:rPr>
          <w:rFonts w:hint="eastAsia"/>
          <w:szCs w:val="21"/>
          <w:u w:val="single"/>
        </w:rPr>
        <w:t>（6）本工程在施工过程中应采取措施注意对已完工程的保护，防止对周边已完工程的损坏，一旦发生，损坏事故，该责任由承包人承担，该费用已包含在投标报价中。</w:t>
      </w:r>
    </w:p>
    <w:p>
      <w:pPr>
        <w:tabs>
          <w:tab w:val="left" w:pos="820"/>
        </w:tabs>
        <w:snapToGrid w:val="0"/>
        <w:spacing w:line="360" w:lineRule="auto"/>
        <w:ind w:firstLine="470" w:firstLineChars="196"/>
        <w:rPr>
          <w:szCs w:val="21"/>
          <w:u w:val="single"/>
        </w:rPr>
      </w:pPr>
      <w:r>
        <w:rPr>
          <w:rFonts w:hint="eastAsia"/>
          <w:szCs w:val="21"/>
          <w:u w:val="single"/>
        </w:rPr>
        <w:t>（8）承包人已在投标报价中根据自身管理水平，材料采购及机械配备等因素，考虑实际可抵扣进项税，合理确定增值税应纳税额进行自主报价。</w:t>
      </w:r>
    </w:p>
    <w:p>
      <w:pPr>
        <w:tabs>
          <w:tab w:val="left" w:pos="820"/>
        </w:tabs>
        <w:snapToGrid w:val="0"/>
        <w:spacing w:line="360" w:lineRule="auto"/>
        <w:ind w:firstLine="470" w:firstLineChars="196"/>
        <w:rPr>
          <w:szCs w:val="21"/>
          <w:u w:val="single"/>
        </w:rPr>
      </w:pPr>
      <w:r>
        <w:rPr>
          <w:rFonts w:hint="eastAsia"/>
          <w:szCs w:val="21"/>
          <w:u w:val="single"/>
        </w:rPr>
        <w:t>（9）承包人必须确保本工程中的施工图纸通过审核及工程竣工验收，由此产生的所有费用均由承包人自行考虑在投标报价中，工程结算时不另行支付。</w:t>
      </w:r>
    </w:p>
    <w:p>
      <w:pPr>
        <w:snapToGrid w:val="0"/>
        <w:spacing w:line="360" w:lineRule="auto"/>
        <w:ind w:firstLine="480" w:firstLineChars="200"/>
        <w:jc w:val="left"/>
        <w:rPr>
          <w:szCs w:val="21"/>
          <w:u w:val="single"/>
        </w:rPr>
      </w:pPr>
      <w:r>
        <w:rPr>
          <w:rFonts w:hint="eastAsia"/>
          <w:szCs w:val="21"/>
          <w:u w:val="single"/>
        </w:rPr>
        <w:t>（10）承包人按照经确认的施工图进行施工，如因设计图纸有与规范不符合或是某节点的深度不满足施工要求，作修改完善，但不涉及到费用的调整。</w:t>
      </w:r>
    </w:p>
    <w:p>
      <w:pPr>
        <w:snapToGrid w:val="0"/>
        <w:spacing w:line="360" w:lineRule="auto"/>
        <w:ind w:firstLine="480" w:firstLineChars="200"/>
        <w:jc w:val="left"/>
        <w:rPr>
          <w:szCs w:val="21"/>
          <w:u w:val="single"/>
        </w:rPr>
      </w:pPr>
      <w:r>
        <w:rPr>
          <w:rFonts w:hint="eastAsia"/>
          <w:szCs w:val="21"/>
          <w:u w:val="single"/>
        </w:rPr>
        <w:t>（11）因本工程施工本身的需要或者承包人为确保本工程达到发包人预期的设计效果、发包人要求的质量标准、承包应当解决施工难度困难、承包施工过程中工艺改进、承包人设计漏项、承包人设计的错误、缺陷修改、施工图的修改等等而增加的工程内容、工艺更新、用材增加、机械使用增加、原有构（建）筑物的拆除与恢复等种种情形，均属于不可调整合同价款的范围，包括但不局限上述内容等引起费用均包含在合同总价中。</w:t>
      </w:r>
    </w:p>
    <w:p>
      <w:pPr>
        <w:snapToGrid w:val="0"/>
        <w:spacing w:line="360" w:lineRule="auto"/>
        <w:ind w:firstLine="480" w:firstLineChars="200"/>
        <w:jc w:val="left"/>
        <w:rPr>
          <w:b/>
          <w:szCs w:val="21"/>
          <w:u w:val="single"/>
        </w:rPr>
      </w:pPr>
      <w:r>
        <w:rPr>
          <w:rFonts w:hint="eastAsia"/>
          <w:szCs w:val="21"/>
          <w:u w:val="single"/>
        </w:rPr>
        <w:t>（12）</w:t>
      </w:r>
      <w:r>
        <w:rPr>
          <w:rFonts w:hint="eastAsia"/>
          <w:b/>
          <w:szCs w:val="21"/>
          <w:u w:val="single"/>
        </w:rPr>
        <w:t>设计费用承包人已在投标报价时充分考虑并进行了报价，设计包含现场勘查，测量、绘图、设计构思与各种力学计算、效果图制作、材料设备参数设计与选用、市场调查、施工图绘制等等，任何情况均不再另行计算。</w:t>
      </w:r>
    </w:p>
    <w:p>
      <w:pPr>
        <w:snapToGrid w:val="0"/>
        <w:spacing w:line="360" w:lineRule="auto"/>
        <w:ind w:firstLine="480" w:firstLineChars="200"/>
        <w:jc w:val="left"/>
        <w:rPr>
          <w:szCs w:val="21"/>
          <w:u w:val="single"/>
        </w:rPr>
      </w:pPr>
      <w:r>
        <w:rPr>
          <w:rFonts w:hint="eastAsia"/>
          <w:szCs w:val="21"/>
          <w:u w:val="single"/>
        </w:rPr>
        <w:t>（13）发包人对施工图、材料、设备、品种、规格、品质、品牌等的各种确认不构成变更，承包人不得因发包人上述确认而要求增加费用。</w:t>
      </w:r>
    </w:p>
    <w:p>
      <w:pPr>
        <w:snapToGrid w:val="0"/>
        <w:spacing w:line="360" w:lineRule="auto"/>
        <w:ind w:firstLine="480" w:firstLineChars="200"/>
        <w:jc w:val="left"/>
        <w:rPr>
          <w:szCs w:val="21"/>
          <w:u w:val="single"/>
        </w:rPr>
      </w:pPr>
      <w:r>
        <w:rPr>
          <w:rFonts w:hint="eastAsia"/>
          <w:szCs w:val="21"/>
          <w:u w:val="single"/>
        </w:rPr>
        <w:t>（14）当承包人未按合同约定的材料（或设备）进行采购或采购不符合项目要求的，发包人有权对该项材料（或设备）进行招标采购，发包人有权按该项材料（或设备）的中标价格从承包人合同价款中扣除，直接支付给材料（或设备）供货商。</w:t>
      </w:r>
    </w:p>
    <w:p>
      <w:pPr>
        <w:snapToGrid w:val="0"/>
        <w:spacing w:line="360" w:lineRule="auto"/>
        <w:ind w:firstLine="482" w:firstLineChars="200"/>
        <w:jc w:val="left"/>
        <w:rPr>
          <w:b/>
          <w:szCs w:val="21"/>
          <w:u w:val="single"/>
        </w:rPr>
      </w:pPr>
      <w:r>
        <w:rPr>
          <w:rFonts w:hint="eastAsia"/>
          <w:b/>
          <w:szCs w:val="21"/>
          <w:u w:val="single"/>
        </w:rPr>
        <w:t>（15）招标文件规定或明示的由承包人考虑在投标报价中所有应当考虑内容和所有风险均已包含在本合同的固定单价中。</w:t>
      </w:r>
    </w:p>
    <w:p>
      <w:pPr>
        <w:snapToGrid w:val="0"/>
        <w:spacing w:line="360" w:lineRule="auto"/>
        <w:ind w:firstLine="480" w:firstLineChars="200"/>
        <w:rPr>
          <w:szCs w:val="21"/>
        </w:rPr>
      </w:pPr>
      <w:r>
        <w:rPr>
          <w:rFonts w:hint="eastAsia"/>
          <w:szCs w:val="21"/>
        </w:rPr>
        <w:t>风险费用的计算方法：包含在签约合同单价中。</w:t>
      </w:r>
    </w:p>
    <w:p>
      <w:pPr>
        <w:snapToGrid w:val="0"/>
        <w:spacing w:line="360" w:lineRule="auto"/>
        <w:ind w:firstLine="480" w:firstLineChars="200"/>
        <w:jc w:val="left"/>
        <w:rPr>
          <w:szCs w:val="21"/>
        </w:rPr>
      </w:pPr>
      <w:r>
        <w:rPr>
          <w:rFonts w:hint="eastAsia"/>
          <w:szCs w:val="21"/>
        </w:rPr>
        <w:t>合同当事人关于暂列金额使用的约定：</w:t>
      </w:r>
      <w:r>
        <w:rPr>
          <w:rFonts w:hint="eastAsia"/>
          <w:b/>
          <w:szCs w:val="21"/>
          <w:u w:val="single"/>
        </w:rPr>
        <w:t>暂列金是指发包人为可能发生工程变更而暂列的金额，包括因施工过程中设计变更引起新的清单项目或工程数量增加等需要增加的金额。暂列金是发包人自行确定设立的，承包商无权使用此笔费用。此费用按实际发生经发包人签证后确定全部使用、部分使用或不使用。暂列金不计入工程款付款的基数。</w:t>
      </w:r>
    </w:p>
    <w:p>
      <w:pPr>
        <w:snapToGrid w:val="0"/>
        <w:spacing w:line="360" w:lineRule="auto"/>
        <w:ind w:firstLine="482" w:firstLineChars="200"/>
        <w:rPr>
          <w:b/>
          <w:szCs w:val="21"/>
        </w:rPr>
      </w:pPr>
      <w:r>
        <w:rPr>
          <w:rFonts w:hint="eastAsia"/>
          <w:b/>
          <w:szCs w:val="21"/>
        </w:rPr>
        <w:t>13.2变更范围</w:t>
      </w:r>
    </w:p>
    <w:p>
      <w:pPr>
        <w:snapToGrid w:val="0"/>
        <w:spacing w:line="360" w:lineRule="auto"/>
        <w:ind w:firstLine="480" w:firstLineChars="200"/>
        <w:rPr>
          <w:szCs w:val="21"/>
        </w:rPr>
      </w:pPr>
      <w:r>
        <w:rPr>
          <w:rFonts w:hint="eastAsia"/>
          <w:szCs w:val="21"/>
        </w:rPr>
        <w:t>13.2.6其它变更</w:t>
      </w:r>
    </w:p>
    <w:p>
      <w:pPr>
        <w:snapToGrid w:val="0"/>
        <w:spacing w:line="360" w:lineRule="auto"/>
        <w:ind w:firstLine="480" w:firstLineChars="200"/>
        <w:rPr>
          <w:szCs w:val="21"/>
        </w:rPr>
      </w:pPr>
      <w:r>
        <w:rPr>
          <w:rFonts w:hint="eastAsia"/>
          <w:szCs w:val="21"/>
        </w:rPr>
        <w:t>双方根据本工程特点，约定除下述可以调整合同价格的变更因素以外，其它一律不调整合同价格。</w:t>
      </w:r>
    </w:p>
    <w:p>
      <w:pPr>
        <w:snapToGrid w:val="0"/>
        <w:spacing w:line="360" w:lineRule="auto"/>
        <w:ind w:firstLine="480" w:firstLineChars="200"/>
        <w:rPr>
          <w:szCs w:val="21"/>
        </w:rPr>
      </w:pPr>
      <w:r>
        <w:rPr>
          <w:rFonts w:hint="eastAsia"/>
          <w:szCs w:val="21"/>
        </w:rPr>
        <w:t>可调整合同价格的变更因素有：</w:t>
      </w:r>
    </w:p>
    <w:p>
      <w:pPr>
        <w:adjustRightInd w:val="0"/>
        <w:snapToGrid w:val="0"/>
        <w:spacing w:line="360" w:lineRule="auto"/>
        <w:ind w:firstLine="482" w:firstLineChars="200"/>
        <w:rPr>
          <w:b/>
          <w:szCs w:val="21"/>
          <w:u w:val="single"/>
        </w:rPr>
      </w:pPr>
      <w:r>
        <w:rPr>
          <w:rFonts w:hint="eastAsia"/>
          <w:b/>
          <w:szCs w:val="21"/>
          <w:u w:val="single"/>
        </w:rPr>
        <w:t>承包人不得随意更改设计（除发包人要求）。如因发包人确认的设计图纸有与规范不符合或是某节点的深度不满足施工要求，作修改完善，但不涉及到费用的调整。</w:t>
      </w:r>
    </w:p>
    <w:p>
      <w:pPr>
        <w:snapToGrid w:val="0"/>
        <w:spacing w:line="360" w:lineRule="auto"/>
        <w:ind w:firstLine="600"/>
        <w:jc w:val="left"/>
        <w:rPr>
          <w:b/>
          <w:szCs w:val="21"/>
          <w:u w:val="single"/>
        </w:rPr>
      </w:pPr>
      <w:r>
        <w:rPr>
          <w:rFonts w:hint="eastAsia"/>
          <w:b/>
          <w:szCs w:val="21"/>
          <w:u w:val="single"/>
        </w:rPr>
        <w:t>因不可抗力因素、非承包人的原因造成的变更，此类变更必须获得发包人、监理人的确认。</w:t>
      </w:r>
    </w:p>
    <w:p>
      <w:pPr>
        <w:snapToGrid w:val="0"/>
        <w:spacing w:line="360" w:lineRule="auto"/>
        <w:ind w:firstLine="600"/>
        <w:jc w:val="left"/>
        <w:rPr>
          <w:b/>
          <w:szCs w:val="21"/>
          <w:u w:val="single"/>
        </w:rPr>
      </w:pPr>
      <w:r>
        <w:rPr>
          <w:rFonts w:hint="eastAsia"/>
          <w:b/>
          <w:szCs w:val="21"/>
          <w:u w:val="single"/>
        </w:rPr>
        <w:t>对于法律、法规、规章或有关政策出台导致工程税金、规费发生变化的应按照有关规定执行。</w:t>
      </w:r>
    </w:p>
    <w:p>
      <w:pPr>
        <w:snapToGrid w:val="0"/>
        <w:spacing w:line="360" w:lineRule="auto"/>
        <w:ind w:firstLine="482" w:firstLineChars="200"/>
        <w:rPr>
          <w:b/>
          <w:szCs w:val="21"/>
        </w:rPr>
      </w:pPr>
      <w:r>
        <w:rPr>
          <w:rFonts w:hint="eastAsia"/>
          <w:b/>
          <w:szCs w:val="21"/>
        </w:rPr>
        <w:t>13.5  变更价款确定</w:t>
      </w:r>
    </w:p>
    <w:p>
      <w:pPr>
        <w:adjustRightInd w:val="0"/>
        <w:snapToGrid w:val="0"/>
        <w:spacing w:line="360" w:lineRule="auto"/>
        <w:ind w:firstLine="480" w:firstLineChars="200"/>
        <w:rPr>
          <w:szCs w:val="21"/>
          <w:u w:val="single"/>
        </w:rPr>
      </w:pPr>
      <w:r>
        <w:rPr>
          <w:rFonts w:hint="eastAsia"/>
          <w:szCs w:val="21"/>
        </w:rPr>
        <w:t>13.5.4变更价款约定的其他方法：</w:t>
      </w:r>
      <w:r>
        <w:rPr>
          <w:rFonts w:hint="eastAsia"/>
          <w:b/>
          <w:szCs w:val="21"/>
          <w:u w:val="single"/>
        </w:rPr>
        <w:t>按13.1计算。</w:t>
      </w:r>
    </w:p>
    <w:p>
      <w:pPr>
        <w:snapToGrid w:val="0"/>
        <w:spacing w:line="360" w:lineRule="auto"/>
        <w:ind w:firstLine="482" w:firstLineChars="200"/>
        <w:rPr>
          <w:b/>
          <w:szCs w:val="21"/>
        </w:rPr>
      </w:pPr>
      <w:r>
        <w:rPr>
          <w:rFonts w:hint="eastAsia"/>
          <w:b/>
          <w:szCs w:val="21"/>
        </w:rPr>
        <w:t>第14条付款及担保</w:t>
      </w:r>
    </w:p>
    <w:p>
      <w:pPr>
        <w:snapToGrid w:val="0"/>
        <w:spacing w:line="360" w:lineRule="auto"/>
        <w:ind w:firstLine="482" w:firstLineChars="200"/>
        <w:rPr>
          <w:b/>
          <w:szCs w:val="21"/>
        </w:rPr>
      </w:pPr>
      <w:r>
        <w:rPr>
          <w:rFonts w:hint="eastAsia"/>
          <w:b/>
          <w:szCs w:val="21"/>
        </w:rPr>
        <w:t>14.1  付款</w:t>
      </w:r>
    </w:p>
    <w:p>
      <w:pPr>
        <w:snapToGrid w:val="0"/>
        <w:spacing w:line="360" w:lineRule="auto"/>
        <w:ind w:firstLine="480" w:firstLineChars="200"/>
        <w:rPr>
          <w:szCs w:val="21"/>
          <w:u w:val="single"/>
        </w:rPr>
      </w:pPr>
      <w:r>
        <w:rPr>
          <w:rFonts w:hint="eastAsia"/>
          <w:szCs w:val="21"/>
        </w:rPr>
        <w:t>承包人指定的开户银行及银行账户：</w:t>
      </w:r>
    </w:p>
    <w:p>
      <w:pPr>
        <w:snapToGrid w:val="0"/>
        <w:spacing w:line="360" w:lineRule="auto"/>
        <w:ind w:firstLine="482" w:firstLineChars="200"/>
        <w:rPr>
          <w:b/>
          <w:szCs w:val="21"/>
        </w:rPr>
      </w:pPr>
      <w:r>
        <w:rPr>
          <w:rFonts w:hint="eastAsia"/>
          <w:b/>
          <w:szCs w:val="21"/>
        </w:rPr>
        <w:t>14.2  担保</w:t>
      </w:r>
    </w:p>
    <w:p>
      <w:pPr>
        <w:snapToGrid w:val="0"/>
        <w:spacing w:line="360" w:lineRule="auto"/>
        <w:ind w:firstLine="480" w:firstLineChars="200"/>
        <w:rPr>
          <w:szCs w:val="21"/>
        </w:rPr>
      </w:pPr>
      <w:r>
        <w:rPr>
          <w:rFonts w:hint="eastAsia"/>
          <w:szCs w:val="21"/>
        </w:rPr>
        <w:t>14.2.1履约保证金</w:t>
      </w:r>
    </w:p>
    <w:p>
      <w:pPr>
        <w:snapToGrid w:val="0"/>
        <w:spacing w:line="360" w:lineRule="auto"/>
        <w:ind w:firstLine="480" w:firstLineChars="200"/>
        <w:rPr>
          <w:szCs w:val="21"/>
        </w:rPr>
      </w:pPr>
      <w:r>
        <w:rPr>
          <w:rFonts w:hint="eastAsia"/>
          <w:szCs w:val="21"/>
        </w:rPr>
        <w:t>在以下方式中选择其一，作为双方对履约保证金的约定。</w:t>
      </w:r>
    </w:p>
    <w:p>
      <w:pPr>
        <w:snapToGrid w:val="0"/>
        <w:spacing w:line="360" w:lineRule="auto"/>
        <w:ind w:firstLine="480" w:firstLineChars="200"/>
        <w:rPr>
          <w:szCs w:val="21"/>
        </w:rPr>
      </w:pPr>
      <w:r>
        <w:rPr>
          <w:rFonts w:hint="eastAsia"/>
          <w:szCs w:val="21"/>
        </w:rPr>
        <w:t>□承包人不提交履约保证金。</w:t>
      </w:r>
    </w:p>
    <w:p>
      <w:pPr>
        <w:snapToGrid w:val="0"/>
        <w:spacing w:line="360" w:lineRule="auto"/>
        <w:ind w:firstLine="480" w:firstLineChars="200"/>
        <w:rPr>
          <w:szCs w:val="21"/>
        </w:rPr>
      </w:pPr>
      <w:r>
        <w:rPr>
          <w:rFonts w:hint="eastAsia"/>
          <w:szCs w:val="21"/>
        </w:rPr>
        <w:t>■承包人提交履约保证金的格式、金额和时间：</w:t>
      </w:r>
      <w:r>
        <w:rPr>
          <w:rFonts w:hint="eastAsia"/>
          <w:szCs w:val="21"/>
          <w:u w:val="single"/>
        </w:rPr>
        <w:t>中标人须在中标公示结束后10日内提交合同总价5％的履约保函，否则发包人有权取消中标人的中标资格。</w:t>
      </w:r>
    </w:p>
    <w:p>
      <w:pPr>
        <w:snapToGrid w:val="0"/>
        <w:spacing w:line="360" w:lineRule="auto"/>
        <w:ind w:firstLine="422"/>
        <w:rPr>
          <w:szCs w:val="21"/>
          <w:u w:val="single"/>
        </w:rPr>
      </w:pPr>
      <w:r>
        <w:rPr>
          <w:rFonts w:hint="eastAsia"/>
          <w:szCs w:val="21"/>
          <w:u w:val="single"/>
        </w:rPr>
        <w:t>①形式：银行转账；</w:t>
      </w:r>
    </w:p>
    <w:p>
      <w:pPr>
        <w:snapToGrid w:val="0"/>
        <w:spacing w:line="360" w:lineRule="auto"/>
        <w:ind w:firstLine="422"/>
        <w:rPr>
          <w:szCs w:val="21"/>
          <w:u w:val="single"/>
        </w:rPr>
      </w:pPr>
      <w:r>
        <w:rPr>
          <w:rFonts w:hint="eastAsia"/>
          <w:szCs w:val="21"/>
          <w:u w:val="single"/>
        </w:rPr>
        <w:t>②金额：履约保证金为合同价的5%，其中：工期履约保证金为合同价的 1.5%，质量履约保证金为合同价的 1.5%，安全文明履约保证金为合同价的 1.5%；竣工资料履约保证金为合同价的 0.5%。</w:t>
      </w:r>
    </w:p>
    <w:p>
      <w:pPr>
        <w:snapToGrid w:val="0"/>
        <w:spacing w:line="360" w:lineRule="auto"/>
        <w:ind w:firstLine="422"/>
        <w:rPr>
          <w:szCs w:val="21"/>
          <w:u w:val="single"/>
        </w:rPr>
      </w:pPr>
      <w:r>
        <w:rPr>
          <w:rFonts w:hint="eastAsia"/>
          <w:szCs w:val="21"/>
          <w:u w:val="single"/>
        </w:rPr>
        <w:t>③承包人应按照招标文件规定的时间，将履约担保足额提供给发包人。承包人不按期足额向发包方提交履约担保的，视为承包人放弃签订合同的权利，不得要求发包方签订本合同。承包人不能履行本合同或履行不符合本合同约定的，按本合同约定以履约保证金向发包人支付违约金。保证金不足以支付违约金时，承包人还应按本合同约定向发包人承担违约责任。</w:t>
      </w:r>
    </w:p>
    <w:p>
      <w:pPr>
        <w:snapToGrid w:val="0"/>
        <w:spacing w:line="360" w:lineRule="auto"/>
        <w:ind w:firstLine="422"/>
        <w:rPr>
          <w:szCs w:val="21"/>
          <w:u w:val="single"/>
        </w:rPr>
      </w:pPr>
      <w:r>
        <w:rPr>
          <w:rFonts w:hint="eastAsia"/>
          <w:szCs w:val="21"/>
          <w:u w:val="single"/>
        </w:rPr>
        <w:t xml:space="preserve">④关于质量履约保证金的补充约定：a承包人必须达到合同约定的质量标准，达不到标准的，除履约保证金中质量履约保证金不予退还外，还必须负责返工、修理；经返工、修理后，仍不能消除质量缺陷或隐患，不能达到设计标准和施工要求的，发包人有权解除合同，并减少或拒绝支付工程款。造成发包人经济损失的，仍由承包人承担；b承包人不能履行本合同或履行不符合本合同约定的，按本合同约定以履约保证金向发包人支付违约金。保证金不足以支付违约金时，承包人还应按本合同约定向发包人承担违约责任。 </w:t>
      </w:r>
    </w:p>
    <w:p>
      <w:pPr>
        <w:snapToGrid w:val="0"/>
        <w:spacing w:line="360" w:lineRule="auto"/>
        <w:ind w:firstLine="470" w:firstLineChars="196"/>
        <w:jc w:val="left"/>
        <w:rPr>
          <w:szCs w:val="21"/>
          <w:u w:val="single"/>
        </w:rPr>
      </w:pPr>
      <w:r>
        <w:rPr>
          <w:rFonts w:hint="eastAsia"/>
          <w:szCs w:val="21"/>
          <w:u w:val="single"/>
        </w:rPr>
        <w:t>以上保证金的退还均不计息。</w:t>
      </w:r>
    </w:p>
    <w:p>
      <w:pPr>
        <w:snapToGrid w:val="0"/>
        <w:spacing w:line="360" w:lineRule="auto"/>
        <w:ind w:firstLine="480" w:firstLineChars="200"/>
        <w:rPr>
          <w:szCs w:val="21"/>
        </w:rPr>
      </w:pPr>
      <w:r>
        <w:rPr>
          <w:rFonts w:hint="eastAsia"/>
          <w:szCs w:val="21"/>
        </w:rPr>
        <w:t>14.2.3 预付款保函</w:t>
      </w:r>
    </w:p>
    <w:p>
      <w:pPr>
        <w:snapToGrid w:val="0"/>
        <w:spacing w:line="360" w:lineRule="auto"/>
        <w:ind w:firstLine="480" w:firstLineChars="200"/>
        <w:rPr>
          <w:szCs w:val="21"/>
        </w:rPr>
      </w:pPr>
      <w:r>
        <w:rPr>
          <w:rFonts w:hint="eastAsia"/>
          <w:szCs w:val="21"/>
        </w:rPr>
        <w:t>在以下方式中选择其一，作为双方对预付款保函的约定。</w:t>
      </w:r>
    </w:p>
    <w:p>
      <w:pPr>
        <w:snapToGrid w:val="0"/>
        <w:spacing w:line="360" w:lineRule="auto"/>
        <w:ind w:firstLine="480" w:firstLineChars="200"/>
        <w:rPr>
          <w:szCs w:val="21"/>
        </w:rPr>
      </w:pPr>
      <w:r>
        <w:rPr>
          <w:rFonts w:hint="eastAsia"/>
          <w:szCs w:val="21"/>
        </w:rPr>
        <w:t>■承包人不提交预付款保函。</w:t>
      </w:r>
    </w:p>
    <w:p>
      <w:pPr>
        <w:snapToGrid w:val="0"/>
        <w:spacing w:line="360" w:lineRule="auto"/>
        <w:ind w:firstLine="480" w:firstLineChars="200"/>
        <w:rPr>
          <w:szCs w:val="21"/>
        </w:rPr>
      </w:pPr>
      <w:r>
        <w:rPr>
          <w:rFonts w:hint="eastAsia"/>
          <w:szCs w:val="21"/>
        </w:rPr>
        <w:t>□承包人提交预付款保函的格式、金额和时间：</w:t>
      </w:r>
    </w:p>
    <w:p>
      <w:pPr>
        <w:snapToGrid w:val="0"/>
        <w:spacing w:line="360" w:lineRule="auto"/>
        <w:ind w:firstLine="482" w:firstLineChars="200"/>
        <w:rPr>
          <w:b/>
          <w:szCs w:val="21"/>
        </w:rPr>
      </w:pPr>
      <w:r>
        <w:rPr>
          <w:rFonts w:hint="eastAsia"/>
          <w:b/>
          <w:szCs w:val="21"/>
        </w:rPr>
        <w:t>14.3  预付款</w:t>
      </w:r>
    </w:p>
    <w:p>
      <w:pPr>
        <w:snapToGrid w:val="0"/>
        <w:spacing w:line="360" w:lineRule="auto"/>
        <w:ind w:firstLine="480" w:firstLineChars="200"/>
        <w:rPr>
          <w:szCs w:val="21"/>
        </w:rPr>
      </w:pPr>
      <w:r>
        <w:rPr>
          <w:rFonts w:hint="eastAsia"/>
          <w:szCs w:val="21"/>
        </w:rPr>
        <w:t>14.3.1  预付款金额</w:t>
      </w:r>
    </w:p>
    <w:p>
      <w:pPr>
        <w:snapToGrid w:val="0"/>
        <w:spacing w:line="360" w:lineRule="auto"/>
        <w:ind w:firstLine="480" w:firstLineChars="200"/>
        <w:rPr>
          <w:szCs w:val="21"/>
        </w:rPr>
      </w:pPr>
      <w:r>
        <w:rPr>
          <w:rFonts w:hint="eastAsia"/>
          <w:szCs w:val="21"/>
        </w:rPr>
        <w:t>（1）设计部分：</w:t>
      </w:r>
      <w:r>
        <w:rPr>
          <w:rFonts w:hint="eastAsia"/>
          <w:szCs w:val="21"/>
          <w:u w:val="single"/>
        </w:rPr>
        <w:t>/。</w:t>
      </w:r>
    </w:p>
    <w:p>
      <w:pPr>
        <w:snapToGrid w:val="0"/>
        <w:spacing w:line="360" w:lineRule="auto"/>
        <w:ind w:firstLine="480" w:firstLineChars="200"/>
        <w:rPr>
          <w:szCs w:val="21"/>
        </w:rPr>
      </w:pPr>
      <w:r>
        <w:rPr>
          <w:rFonts w:hint="eastAsia"/>
          <w:szCs w:val="21"/>
        </w:rPr>
        <w:t>（2）施工部分：</w:t>
      </w:r>
      <w:r>
        <w:rPr>
          <w:rFonts w:hint="eastAsia"/>
          <w:szCs w:val="21"/>
          <w:u w:val="single"/>
        </w:rPr>
        <w:t>/。</w:t>
      </w:r>
    </w:p>
    <w:p>
      <w:pPr>
        <w:snapToGrid w:val="0"/>
        <w:spacing w:line="360" w:lineRule="auto"/>
        <w:ind w:firstLine="482" w:firstLineChars="200"/>
        <w:rPr>
          <w:b/>
          <w:szCs w:val="21"/>
        </w:rPr>
      </w:pPr>
      <w:r>
        <w:rPr>
          <w:rFonts w:hint="eastAsia"/>
          <w:b/>
          <w:szCs w:val="21"/>
        </w:rPr>
        <w:t>14.4  工程进度款及计量支付</w:t>
      </w:r>
    </w:p>
    <w:p>
      <w:pPr>
        <w:snapToGrid w:val="0"/>
        <w:spacing w:line="360" w:lineRule="auto"/>
        <w:ind w:firstLine="480" w:firstLineChars="200"/>
        <w:rPr>
          <w:szCs w:val="21"/>
        </w:rPr>
      </w:pPr>
      <w:r>
        <w:rPr>
          <w:rFonts w:hint="eastAsia"/>
          <w:szCs w:val="21"/>
        </w:rPr>
        <w:t>14.4.1工程进度款</w:t>
      </w:r>
    </w:p>
    <w:p>
      <w:pPr>
        <w:snapToGrid w:val="0"/>
        <w:spacing w:line="360" w:lineRule="auto"/>
        <w:ind w:firstLine="480" w:firstLineChars="200"/>
        <w:rPr>
          <w:szCs w:val="21"/>
        </w:rPr>
      </w:pPr>
      <w:r>
        <w:rPr>
          <w:rFonts w:hint="eastAsia"/>
          <w:szCs w:val="21"/>
        </w:rPr>
        <w:t>工程进度款的支付方式、支付条件和支付时间：</w:t>
      </w:r>
    </w:p>
    <w:p>
      <w:pPr>
        <w:snapToGrid w:val="0"/>
        <w:spacing w:line="360" w:lineRule="auto"/>
        <w:ind w:firstLine="422"/>
        <w:rPr>
          <w:color w:val="auto"/>
          <w:szCs w:val="21"/>
          <w:u w:val="single"/>
        </w:rPr>
      </w:pPr>
      <w:r>
        <w:rPr>
          <w:rFonts w:hint="eastAsia"/>
          <w:color w:val="auto"/>
          <w:szCs w:val="21"/>
          <w:u w:val="single"/>
          <w:lang w:eastAsia="zh-CN"/>
        </w:rPr>
        <w:t>合同生效及施工进场后支付</w:t>
      </w:r>
      <w:r>
        <w:rPr>
          <w:rFonts w:hint="eastAsia"/>
          <w:color w:val="auto"/>
          <w:szCs w:val="21"/>
          <w:u w:val="single"/>
        </w:rPr>
        <w:t>合同价（扣除暂列金额）的</w:t>
      </w:r>
      <w:r>
        <w:rPr>
          <w:rFonts w:hint="eastAsia"/>
          <w:color w:val="auto"/>
          <w:szCs w:val="21"/>
          <w:u w:val="single"/>
          <w:lang w:val="en-US" w:eastAsia="zh-CN"/>
        </w:rPr>
        <w:t>3</w:t>
      </w:r>
      <w:r>
        <w:rPr>
          <w:rFonts w:hint="eastAsia"/>
          <w:color w:val="auto"/>
          <w:szCs w:val="21"/>
          <w:u w:val="single"/>
        </w:rPr>
        <w:t>0%</w:t>
      </w:r>
      <w:r>
        <w:rPr>
          <w:rFonts w:hint="eastAsia"/>
          <w:color w:val="auto"/>
          <w:szCs w:val="21"/>
          <w:u w:val="single"/>
          <w:lang w:eastAsia="zh-CN"/>
        </w:rPr>
        <w:t>，支付条件：经业主代表及监理签署的开工报告。</w:t>
      </w:r>
    </w:p>
    <w:p>
      <w:pPr>
        <w:snapToGrid w:val="0"/>
        <w:spacing w:line="360" w:lineRule="auto"/>
        <w:ind w:firstLine="422"/>
        <w:rPr>
          <w:color w:val="auto"/>
          <w:szCs w:val="21"/>
          <w:u w:val="single"/>
        </w:rPr>
      </w:pPr>
      <w:r>
        <w:rPr>
          <w:rFonts w:hint="eastAsia"/>
          <w:color w:val="auto"/>
          <w:szCs w:val="21"/>
          <w:u w:val="single"/>
        </w:rPr>
        <w:t>工程完工并通过竣工验收质量合格、按承包人要求将有关材料拆除撤场、草坪恢复到位且工程结算经监理审核后，付至</w:t>
      </w:r>
      <w:r>
        <w:rPr>
          <w:rFonts w:hint="eastAsia"/>
          <w:color w:val="auto"/>
          <w:szCs w:val="21"/>
          <w:u w:val="single"/>
          <w:lang w:eastAsia="zh-CN"/>
        </w:rPr>
        <w:t>监理审核价</w:t>
      </w:r>
      <w:r>
        <w:rPr>
          <w:rFonts w:hint="eastAsia"/>
          <w:color w:val="auto"/>
          <w:szCs w:val="21"/>
          <w:u w:val="single"/>
        </w:rPr>
        <w:t>的80%，余款待结算审计完成后付清。</w:t>
      </w:r>
    </w:p>
    <w:p>
      <w:pPr>
        <w:adjustRightInd w:val="0"/>
        <w:snapToGrid w:val="0"/>
        <w:spacing w:line="360" w:lineRule="auto"/>
        <w:ind w:firstLine="480" w:firstLineChars="200"/>
        <w:rPr>
          <w:szCs w:val="21"/>
          <w:u w:val="single"/>
        </w:rPr>
      </w:pPr>
      <w:r>
        <w:rPr>
          <w:rFonts w:hint="eastAsia"/>
          <w:szCs w:val="21"/>
          <w:u w:val="single"/>
        </w:rPr>
        <w:t>付款时承包人须提供有效的增值税发票。另按规定付款后民工工资概与发包人无关。</w:t>
      </w:r>
    </w:p>
    <w:p>
      <w:pPr>
        <w:snapToGrid w:val="0"/>
        <w:spacing w:line="360" w:lineRule="auto"/>
        <w:ind w:firstLine="480" w:firstLineChars="200"/>
        <w:jc w:val="left"/>
        <w:rPr>
          <w:szCs w:val="21"/>
          <w:u w:val="single"/>
        </w:rPr>
      </w:pPr>
      <w:r>
        <w:rPr>
          <w:rFonts w:hint="eastAsia"/>
          <w:szCs w:val="21"/>
          <w:u w:val="single"/>
        </w:rPr>
        <w:t>履约保证金在工程竣工验收合格后按实际履约情况退还（无息）。</w:t>
      </w:r>
    </w:p>
    <w:p>
      <w:pPr>
        <w:snapToGrid w:val="0"/>
        <w:spacing w:line="360" w:lineRule="auto"/>
        <w:ind w:firstLine="480" w:firstLineChars="200"/>
        <w:jc w:val="left"/>
        <w:rPr>
          <w:szCs w:val="21"/>
          <w:u w:val="single"/>
        </w:rPr>
      </w:pPr>
      <w:r>
        <w:rPr>
          <w:rFonts w:hint="eastAsia"/>
          <w:szCs w:val="21"/>
          <w:u w:val="single"/>
        </w:rPr>
        <w:t>（3）承包人不得因拖欠材料商工程款而影响工程进度或质量，否则承包人除承担违约责任外，并同意发包人直接向材料商支付欠款，且所支欠款从承包人的工程款中扣除。</w:t>
      </w:r>
    </w:p>
    <w:p>
      <w:pPr>
        <w:snapToGrid w:val="0"/>
        <w:spacing w:line="360" w:lineRule="auto"/>
        <w:ind w:firstLine="480" w:firstLineChars="200"/>
        <w:jc w:val="left"/>
        <w:rPr>
          <w:szCs w:val="21"/>
          <w:u w:val="single"/>
        </w:rPr>
      </w:pPr>
      <w:r>
        <w:rPr>
          <w:rFonts w:hint="eastAsia"/>
          <w:szCs w:val="21"/>
          <w:u w:val="single"/>
        </w:rPr>
        <w:t>（4）承包人同意按合同规定向发包人承担应承担的各项违约金，同意发包人在应付的工程款中抵扣，但发包人应以工程联系单的形式通知承包人。</w:t>
      </w:r>
    </w:p>
    <w:p>
      <w:pPr>
        <w:snapToGrid w:val="0"/>
        <w:spacing w:line="360" w:lineRule="auto"/>
        <w:ind w:firstLine="480" w:firstLineChars="200"/>
        <w:jc w:val="left"/>
        <w:rPr>
          <w:szCs w:val="21"/>
          <w:u w:val="single"/>
        </w:rPr>
      </w:pPr>
      <w:r>
        <w:rPr>
          <w:rFonts w:hint="eastAsia"/>
          <w:szCs w:val="21"/>
          <w:u w:val="single"/>
        </w:rPr>
        <w:t>（5）所有工程付款必须经总监理工程师和发包人项目负责人签发付款证书后发包人才予以支付。（须经总承包方项目负责人签字认可）</w:t>
      </w:r>
    </w:p>
    <w:p>
      <w:pPr>
        <w:snapToGrid w:val="0"/>
        <w:spacing w:line="360" w:lineRule="auto"/>
        <w:ind w:firstLine="480" w:firstLineChars="200"/>
        <w:jc w:val="left"/>
        <w:rPr>
          <w:szCs w:val="21"/>
          <w:u w:val="single"/>
        </w:rPr>
      </w:pPr>
      <w:r>
        <w:rPr>
          <w:rFonts w:hint="eastAsia"/>
          <w:szCs w:val="21"/>
          <w:u w:val="single"/>
        </w:rPr>
        <w:t>（6）实际完成工作量小于合同价时，以实际工作量为付款基数。</w:t>
      </w:r>
    </w:p>
    <w:p>
      <w:pPr>
        <w:snapToGrid w:val="0"/>
        <w:spacing w:line="360" w:lineRule="auto"/>
        <w:ind w:firstLine="480" w:firstLineChars="200"/>
        <w:rPr>
          <w:szCs w:val="21"/>
        </w:rPr>
      </w:pPr>
      <w:r>
        <w:rPr>
          <w:rFonts w:hint="eastAsia"/>
          <w:szCs w:val="21"/>
        </w:rPr>
        <w:t>14.4.2其它进度款</w:t>
      </w:r>
    </w:p>
    <w:p>
      <w:pPr>
        <w:snapToGrid w:val="0"/>
        <w:spacing w:line="360" w:lineRule="auto"/>
        <w:ind w:firstLine="480" w:firstLineChars="200"/>
        <w:contextualSpacing/>
        <w:rPr>
          <w:b/>
          <w:szCs w:val="21"/>
          <w:u w:val="single"/>
        </w:rPr>
      </w:pPr>
      <w:r>
        <w:rPr>
          <w:rFonts w:hint="eastAsia"/>
          <w:szCs w:val="21"/>
        </w:rPr>
        <w:t>其它进度款有：</w:t>
      </w:r>
      <w:r>
        <w:rPr>
          <w:rFonts w:hint="eastAsia"/>
          <w:szCs w:val="21"/>
          <w:u w:val="single"/>
        </w:rPr>
        <w:t xml:space="preserve"> </w:t>
      </w:r>
      <w:r>
        <w:rPr>
          <w:rFonts w:hint="eastAsia"/>
          <w:b/>
          <w:szCs w:val="21"/>
          <w:u w:val="single"/>
        </w:rPr>
        <w:t xml:space="preserve">/  </w:t>
      </w:r>
    </w:p>
    <w:p>
      <w:pPr>
        <w:snapToGrid w:val="0"/>
        <w:spacing w:line="360" w:lineRule="auto"/>
        <w:ind w:firstLine="480" w:firstLineChars="200"/>
        <w:rPr>
          <w:szCs w:val="21"/>
        </w:rPr>
      </w:pPr>
      <w:r>
        <w:rPr>
          <w:rFonts w:hint="eastAsia"/>
          <w:szCs w:val="21"/>
        </w:rPr>
        <w:t>14.4.3计量原则</w:t>
      </w:r>
    </w:p>
    <w:p>
      <w:pPr>
        <w:snapToGrid w:val="0"/>
        <w:spacing w:line="360" w:lineRule="auto"/>
        <w:ind w:firstLine="480" w:firstLineChars="200"/>
        <w:jc w:val="left"/>
        <w:rPr>
          <w:szCs w:val="21"/>
        </w:rPr>
      </w:pPr>
      <w:r>
        <w:rPr>
          <w:rFonts w:hint="eastAsia"/>
          <w:szCs w:val="21"/>
        </w:rPr>
        <w:t>关于单价合同计量的约定：</w:t>
      </w:r>
      <w:r>
        <w:rPr>
          <w:rFonts w:hint="eastAsia"/>
          <w:szCs w:val="21"/>
          <w:u w:val="single"/>
        </w:rPr>
        <w:t>合同固定单价（包含设计、施工）工程量按发承包双方在合同中约定应予计量且实际完成的合格工程量确定。</w:t>
      </w:r>
    </w:p>
    <w:p>
      <w:pPr>
        <w:snapToGrid w:val="0"/>
        <w:spacing w:line="360" w:lineRule="auto"/>
        <w:ind w:firstLine="482" w:firstLineChars="200"/>
        <w:rPr>
          <w:b/>
          <w:szCs w:val="21"/>
        </w:rPr>
      </w:pPr>
      <w:r>
        <w:rPr>
          <w:rFonts w:hint="eastAsia"/>
          <w:b/>
          <w:szCs w:val="21"/>
        </w:rPr>
        <w:t>14.5  缺陷责任保修金的暂扣与支付</w:t>
      </w:r>
    </w:p>
    <w:p>
      <w:pPr>
        <w:snapToGrid w:val="0"/>
        <w:spacing w:line="360" w:lineRule="auto"/>
        <w:ind w:firstLine="480" w:firstLineChars="200"/>
        <w:rPr>
          <w:szCs w:val="21"/>
        </w:rPr>
      </w:pPr>
      <w:bookmarkStart w:id="43" w:name="_Toc267251483"/>
      <w:bookmarkStart w:id="44" w:name="_Toc267251484"/>
      <w:bookmarkStart w:id="45" w:name="_Toc267251482"/>
      <w:bookmarkStart w:id="46" w:name="_Toc267251485"/>
      <w:r>
        <w:rPr>
          <w:rFonts w:hint="eastAsia"/>
          <w:szCs w:val="21"/>
        </w:rPr>
        <w:t>14.5.1缺陷责任期</w:t>
      </w:r>
      <w:bookmarkEnd w:id="43"/>
    </w:p>
    <w:p>
      <w:pPr>
        <w:snapToGrid w:val="0"/>
        <w:spacing w:line="360" w:lineRule="auto"/>
        <w:ind w:firstLine="480" w:firstLineChars="200"/>
        <w:jc w:val="left"/>
        <w:rPr>
          <w:szCs w:val="21"/>
        </w:rPr>
      </w:pPr>
      <w:r>
        <w:rPr>
          <w:rFonts w:hint="eastAsia"/>
          <w:szCs w:val="21"/>
        </w:rPr>
        <w:t>缺陷责任期的具体期限：</w:t>
      </w:r>
      <w:r>
        <w:rPr>
          <w:rFonts w:hint="eastAsia"/>
          <w:szCs w:val="21"/>
          <w:u w:val="single"/>
        </w:rPr>
        <w:t xml:space="preserve">  撤除前</w:t>
      </w:r>
      <w:r>
        <w:rPr>
          <w:rFonts w:hint="eastAsia"/>
          <w:b/>
          <w:szCs w:val="21"/>
          <w:u w:val="single"/>
        </w:rPr>
        <w:t xml:space="preserve">  </w:t>
      </w:r>
      <w:r>
        <w:rPr>
          <w:rFonts w:hint="eastAsia"/>
          <w:szCs w:val="21"/>
        </w:rPr>
        <w:t>。</w:t>
      </w:r>
    </w:p>
    <w:p>
      <w:pPr>
        <w:snapToGrid w:val="0"/>
        <w:spacing w:line="360" w:lineRule="auto"/>
        <w:ind w:firstLine="480" w:firstLineChars="200"/>
        <w:outlineLvl w:val="0"/>
        <w:rPr>
          <w:szCs w:val="21"/>
        </w:rPr>
      </w:pPr>
      <w:r>
        <w:rPr>
          <w:rFonts w:hint="eastAsia"/>
          <w:szCs w:val="21"/>
        </w:rPr>
        <w:t>14.5.2 质量保证金</w:t>
      </w:r>
    </w:p>
    <w:p>
      <w:pPr>
        <w:snapToGrid w:val="0"/>
        <w:spacing w:line="360" w:lineRule="auto"/>
        <w:ind w:firstLine="480" w:firstLineChars="200"/>
        <w:jc w:val="left"/>
        <w:rPr>
          <w:szCs w:val="21"/>
        </w:rPr>
      </w:pPr>
      <w:r>
        <w:rPr>
          <w:rFonts w:hint="eastAsia"/>
          <w:szCs w:val="21"/>
        </w:rPr>
        <w:t>关于是否扣留质量保证金的约定：</w:t>
      </w:r>
      <w:r>
        <w:rPr>
          <w:rFonts w:hint="eastAsia"/>
          <w:szCs w:val="21"/>
          <w:u w:val="single"/>
        </w:rPr>
        <w:t xml:space="preserve">  不扣留   </w:t>
      </w:r>
      <w:r>
        <w:rPr>
          <w:rFonts w:hint="eastAsia"/>
          <w:szCs w:val="21"/>
        </w:rPr>
        <w:t>。</w:t>
      </w:r>
    </w:p>
    <w:p>
      <w:pPr>
        <w:snapToGrid w:val="0"/>
        <w:spacing w:line="360" w:lineRule="auto"/>
        <w:ind w:firstLine="480" w:firstLineChars="200"/>
        <w:jc w:val="left"/>
        <w:outlineLvl w:val="0"/>
        <w:rPr>
          <w:szCs w:val="21"/>
        </w:rPr>
      </w:pPr>
      <w:r>
        <w:rPr>
          <w:rFonts w:hint="eastAsia"/>
          <w:szCs w:val="21"/>
        </w:rPr>
        <w:t>14.5.3 承包人提供质量保证金的方式</w:t>
      </w:r>
    </w:p>
    <w:p>
      <w:pPr>
        <w:snapToGrid w:val="0"/>
        <w:spacing w:line="360" w:lineRule="auto"/>
        <w:ind w:firstLine="480" w:firstLineChars="200"/>
        <w:jc w:val="left"/>
        <w:rPr>
          <w:szCs w:val="21"/>
        </w:rPr>
      </w:pPr>
      <w:r>
        <w:rPr>
          <w:rFonts w:hint="eastAsia"/>
          <w:szCs w:val="21"/>
        </w:rPr>
        <w:t>质量保证金采用以下第</w:t>
      </w:r>
      <w:r>
        <w:rPr>
          <w:rFonts w:hint="eastAsia"/>
          <w:szCs w:val="21"/>
          <w:u w:val="single"/>
        </w:rPr>
        <w:t xml:space="preserve">  /  </w:t>
      </w:r>
      <w:r>
        <w:rPr>
          <w:rFonts w:hint="eastAsia"/>
          <w:szCs w:val="21"/>
        </w:rPr>
        <w:t>种方式：</w:t>
      </w:r>
    </w:p>
    <w:p>
      <w:pPr>
        <w:autoSpaceDE w:val="0"/>
        <w:autoSpaceDN w:val="0"/>
        <w:adjustRightInd w:val="0"/>
        <w:snapToGrid w:val="0"/>
        <w:spacing w:line="360" w:lineRule="auto"/>
        <w:ind w:firstLine="480" w:firstLineChars="200"/>
        <w:jc w:val="left"/>
        <w:rPr>
          <w:szCs w:val="21"/>
        </w:rPr>
      </w:pPr>
      <w:r>
        <w:rPr>
          <w:rFonts w:hint="eastAsia"/>
          <w:szCs w:val="21"/>
        </w:rPr>
        <w:t>（1）质量保证金保函，保证金额为：</w:t>
      </w:r>
      <w:r>
        <w:rPr>
          <w:rFonts w:hint="eastAsia"/>
          <w:szCs w:val="21"/>
          <w:u w:val="single"/>
        </w:rPr>
        <w:t xml:space="preserve">  /  </w:t>
      </w:r>
      <w:r>
        <w:rPr>
          <w:rFonts w:hint="eastAsia"/>
          <w:szCs w:val="21"/>
        </w:rPr>
        <w:t xml:space="preserve">； </w:t>
      </w:r>
    </w:p>
    <w:p>
      <w:pPr>
        <w:autoSpaceDE w:val="0"/>
        <w:autoSpaceDN w:val="0"/>
        <w:adjustRightInd w:val="0"/>
        <w:snapToGrid w:val="0"/>
        <w:spacing w:line="360" w:lineRule="auto"/>
        <w:ind w:firstLine="480" w:firstLineChars="200"/>
        <w:jc w:val="left"/>
        <w:rPr>
          <w:szCs w:val="21"/>
        </w:rPr>
      </w:pPr>
      <w:r>
        <w:rPr>
          <w:rFonts w:hint="eastAsia"/>
          <w:szCs w:val="21"/>
        </w:rPr>
        <w:t>（2）</w:t>
      </w:r>
      <w:r>
        <w:rPr>
          <w:rFonts w:hint="eastAsia"/>
          <w:b/>
          <w:szCs w:val="21"/>
          <w:u w:val="single"/>
        </w:rPr>
        <w:t xml:space="preserve">/ </w:t>
      </w:r>
      <w:r>
        <w:rPr>
          <w:rFonts w:hint="eastAsia"/>
          <w:szCs w:val="21"/>
        </w:rPr>
        <w:t>%的工程款；</w:t>
      </w:r>
    </w:p>
    <w:p>
      <w:pPr>
        <w:autoSpaceDE w:val="0"/>
        <w:autoSpaceDN w:val="0"/>
        <w:adjustRightInd w:val="0"/>
        <w:snapToGrid w:val="0"/>
        <w:spacing w:line="360" w:lineRule="auto"/>
        <w:ind w:firstLine="480" w:firstLineChars="200"/>
        <w:jc w:val="left"/>
        <w:rPr>
          <w:szCs w:val="21"/>
        </w:rPr>
      </w:pPr>
      <w:r>
        <w:rPr>
          <w:rFonts w:hint="eastAsia"/>
          <w:szCs w:val="21"/>
        </w:rPr>
        <w:t>（3）其他方式:</w:t>
      </w:r>
      <w:r>
        <w:rPr>
          <w:rFonts w:hint="eastAsia"/>
          <w:szCs w:val="21"/>
          <w:u w:val="single"/>
        </w:rPr>
        <w:t xml:space="preserve">    /   </w:t>
      </w:r>
      <w:r>
        <w:rPr>
          <w:rFonts w:hint="eastAsia"/>
          <w:szCs w:val="21"/>
        </w:rPr>
        <w:t>。</w:t>
      </w:r>
    </w:p>
    <w:p>
      <w:pPr>
        <w:snapToGrid w:val="0"/>
        <w:spacing w:line="360" w:lineRule="auto"/>
        <w:ind w:firstLine="480" w:firstLineChars="200"/>
        <w:jc w:val="left"/>
        <w:outlineLvl w:val="0"/>
        <w:rPr>
          <w:szCs w:val="21"/>
        </w:rPr>
      </w:pPr>
      <w:r>
        <w:rPr>
          <w:rFonts w:hint="eastAsia"/>
          <w:szCs w:val="21"/>
        </w:rPr>
        <w:t xml:space="preserve">14.5.4 质量保证金的扣留 </w:t>
      </w:r>
    </w:p>
    <w:p>
      <w:pPr>
        <w:snapToGrid w:val="0"/>
        <w:spacing w:line="360" w:lineRule="auto"/>
        <w:ind w:firstLine="480" w:firstLineChars="200"/>
        <w:jc w:val="left"/>
        <w:rPr>
          <w:szCs w:val="21"/>
        </w:rPr>
      </w:pPr>
      <w:r>
        <w:rPr>
          <w:rFonts w:hint="eastAsia"/>
          <w:szCs w:val="21"/>
        </w:rPr>
        <w:t>质量保证金的扣留采取以下第</w:t>
      </w:r>
      <w:r>
        <w:rPr>
          <w:rFonts w:hint="eastAsia"/>
          <w:szCs w:val="21"/>
          <w:u w:val="single"/>
        </w:rPr>
        <w:t xml:space="preserve"> / </w:t>
      </w:r>
      <w:r>
        <w:rPr>
          <w:rFonts w:hint="eastAsia"/>
          <w:szCs w:val="21"/>
        </w:rPr>
        <w:t>种方式：</w:t>
      </w:r>
    </w:p>
    <w:p>
      <w:pPr>
        <w:autoSpaceDE w:val="0"/>
        <w:autoSpaceDN w:val="0"/>
        <w:adjustRightInd w:val="0"/>
        <w:snapToGrid w:val="0"/>
        <w:spacing w:line="360" w:lineRule="auto"/>
        <w:ind w:firstLine="480" w:firstLineChars="200"/>
        <w:jc w:val="left"/>
        <w:rPr>
          <w:szCs w:val="21"/>
        </w:rPr>
      </w:pPr>
      <w:r>
        <w:rPr>
          <w:rFonts w:hint="eastAsia"/>
          <w:szCs w:val="21"/>
        </w:rPr>
        <w:t>（1）在支付工程进度款时逐次扣留，在此情形下，质量保证金的计算基数不包括预付款的支付、扣回以及价格调整的金额；</w:t>
      </w:r>
    </w:p>
    <w:p>
      <w:pPr>
        <w:snapToGrid w:val="0"/>
        <w:spacing w:line="360" w:lineRule="auto"/>
        <w:ind w:firstLine="484" w:firstLineChars="202"/>
        <w:rPr>
          <w:szCs w:val="21"/>
        </w:rPr>
      </w:pPr>
      <w:r>
        <w:rPr>
          <w:rFonts w:hint="eastAsia"/>
          <w:szCs w:val="21"/>
        </w:rPr>
        <w:t>（2）工程竣工结算时一次性扣留质量保证金；</w:t>
      </w:r>
    </w:p>
    <w:p>
      <w:pPr>
        <w:autoSpaceDE w:val="0"/>
        <w:autoSpaceDN w:val="0"/>
        <w:adjustRightInd w:val="0"/>
        <w:snapToGrid w:val="0"/>
        <w:spacing w:line="360" w:lineRule="auto"/>
        <w:ind w:firstLine="480" w:firstLineChars="200"/>
        <w:jc w:val="left"/>
        <w:rPr>
          <w:szCs w:val="21"/>
        </w:rPr>
      </w:pPr>
      <w:r>
        <w:rPr>
          <w:rFonts w:hint="eastAsia"/>
          <w:szCs w:val="21"/>
        </w:rPr>
        <w:t>（3）其他扣留方式:</w:t>
      </w:r>
      <w:r>
        <w:rPr>
          <w:rFonts w:hint="eastAsia"/>
          <w:szCs w:val="21"/>
          <w:u w:val="single"/>
        </w:rPr>
        <w:t xml:space="preserve"> / </w:t>
      </w:r>
      <w:r>
        <w:rPr>
          <w:rFonts w:hint="eastAsia"/>
          <w:szCs w:val="21"/>
        </w:rPr>
        <w:t>。</w:t>
      </w:r>
    </w:p>
    <w:p>
      <w:pPr>
        <w:snapToGrid w:val="0"/>
        <w:spacing w:line="360" w:lineRule="auto"/>
        <w:ind w:firstLine="480" w:firstLineChars="200"/>
        <w:jc w:val="left"/>
        <w:rPr>
          <w:szCs w:val="21"/>
        </w:rPr>
      </w:pPr>
      <w:r>
        <w:rPr>
          <w:rFonts w:hint="eastAsia"/>
          <w:szCs w:val="21"/>
        </w:rPr>
        <w:t>关于质量保证金的补充约定：</w:t>
      </w:r>
      <w:r>
        <w:rPr>
          <w:rFonts w:hint="eastAsia"/>
          <w:szCs w:val="21"/>
          <w:u w:val="single"/>
        </w:rPr>
        <w:t xml:space="preserve"> / </w:t>
      </w:r>
      <w:r>
        <w:rPr>
          <w:rFonts w:hint="eastAsia"/>
          <w:szCs w:val="21"/>
        </w:rPr>
        <w:t>。</w:t>
      </w:r>
    </w:p>
    <w:bookmarkEnd w:id="44"/>
    <w:bookmarkEnd w:id="45"/>
    <w:p>
      <w:pPr>
        <w:snapToGrid w:val="0"/>
        <w:spacing w:line="360" w:lineRule="auto"/>
        <w:ind w:firstLine="480" w:firstLineChars="200"/>
        <w:rPr>
          <w:szCs w:val="21"/>
        </w:rPr>
      </w:pPr>
      <w:r>
        <w:rPr>
          <w:rFonts w:hint="eastAsia"/>
          <w:szCs w:val="21"/>
        </w:rPr>
        <w:t>14.5.5保修</w:t>
      </w:r>
    </w:p>
    <w:bookmarkEnd w:id="46"/>
    <w:p>
      <w:pPr>
        <w:snapToGrid w:val="0"/>
        <w:spacing w:line="360" w:lineRule="auto"/>
        <w:ind w:firstLine="468" w:firstLineChars="195"/>
        <w:jc w:val="left"/>
        <w:rPr>
          <w:szCs w:val="21"/>
        </w:rPr>
      </w:pPr>
      <w:r>
        <w:rPr>
          <w:rFonts w:hint="eastAsia"/>
          <w:szCs w:val="21"/>
        </w:rPr>
        <w:t>14.5.6 保修责任</w:t>
      </w:r>
    </w:p>
    <w:p>
      <w:pPr>
        <w:snapToGrid w:val="0"/>
        <w:spacing w:line="360" w:lineRule="auto"/>
        <w:ind w:firstLine="480" w:firstLineChars="200"/>
        <w:jc w:val="left"/>
        <w:rPr>
          <w:szCs w:val="30"/>
          <w:u w:val="single"/>
        </w:rPr>
      </w:pPr>
      <w:r>
        <w:rPr>
          <w:rFonts w:hint="eastAsia"/>
          <w:szCs w:val="30"/>
          <w:highlight w:val="none"/>
          <w:u w:val="single"/>
        </w:rPr>
        <w:t>预计202</w:t>
      </w:r>
      <w:r>
        <w:rPr>
          <w:rFonts w:hint="eastAsia"/>
          <w:szCs w:val="30"/>
          <w:highlight w:val="none"/>
          <w:u w:val="single"/>
          <w:lang w:val="en-US" w:eastAsia="zh-CN"/>
        </w:rPr>
        <w:t>3</w:t>
      </w:r>
      <w:r>
        <w:rPr>
          <w:rFonts w:hint="eastAsia"/>
          <w:szCs w:val="30"/>
          <w:highlight w:val="none"/>
          <w:u w:val="single"/>
        </w:rPr>
        <w:t>年10月底</w:t>
      </w:r>
      <w:r>
        <w:rPr>
          <w:rFonts w:hint="eastAsia"/>
          <w:szCs w:val="30"/>
          <w:u w:val="single"/>
        </w:rPr>
        <w:t>撤除立体花卉、平面草花，视实际情况发包人可要求适当延期拆除，拆除后三日内完成草坪及场地恢复，并须得到发包人确认（濠北路游客中心点位需配合市菊花展，相应工期根据发包人要求，维护期不变）。竣工后至接到撤除通知期间的维护费（含草花更换）均包含在合同价中，如因上级部门要求，需延迟撤除的，超期两周内所需的维护费（含草花更换）不予另行签证支付，已包含在合同价中。</w:t>
      </w:r>
    </w:p>
    <w:p>
      <w:pPr>
        <w:snapToGrid w:val="0"/>
        <w:spacing w:line="360" w:lineRule="auto"/>
        <w:ind w:firstLine="480" w:firstLineChars="200"/>
        <w:jc w:val="left"/>
        <w:rPr>
          <w:szCs w:val="21"/>
        </w:rPr>
      </w:pPr>
      <w:r>
        <w:rPr>
          <w:rFonts w:hint="eastAsia"/>
          <w:szCs w:val="21"/>
        </w:rPr>
        <w:t>14.5.7 修复费用：</w:t>
      </w:r>
      <w:r>
        <w:rPr>
          <w:rFonts w:hint="eastAsia"/>
          <w:szCs w:val="21"/>
          <w:u w:val="single"/>
        </w:rPr>
        <w:t>已包含在合同价中。</w:t>
      </w:r>
    </w:p>
    <w:p>
      <w:pPr>
        <w:snapToGrid w:val="0"/>
        <w:spacing w:line="360" w:lineRule="auto"/>
        <w:ind w:firstLine="480" w:firstLineChars="200"/>
        <w:jc w:val="left"/>
        <w:rPr>
          <w:szCs w:val="21"/>
        </w:rPr>
      </w:pPr>
      <w:r>
        <w:rPr>
          <w:rFonts w:hint="eastAsia"/>
          <w:szCs w:val="21"/>
        </w:rPr>
        <w:t>14.5.8 修复通知</w:t>
      </w:r>
    </w:p>
    <w:p>
      <w:pPr>
        <w:snapToGrid w:val="0"/>
        <w:spacing w:line="360" w:lineRule="auto"/>
        <w:ind w:firstLine="480" w:firstLineChars="200"/>
        <w:jc w:val="left"/>
        <w:rPr>
          <w:szCs w:val="21"/>
        </w:rPr>
      </w:pPr>
      <w:r>
        <w:rPr>
          <w:rFonts w:hint="eastAsia"/>
          <w:szCs w:val="21"/>
        </w:rPr>
        <w:t>承包人收到保修通知并到达工程现场的合理时间：</w:t>
      </w:r>
      <w:r>
        <w:rPr>
          <w:rFonts w:hint="eastAsia"/>
          <w:szCs w:val="21"/>
          <w:u w:val="single"/>
        </w:rPr>
        <w:t xml:space="preserve"> 2小时内 </w:t>
      </w:r>
      <w:r>
        <w:rPr>
          <w:rFonts w:hint="eastAsia"/>
          <w:szCs w:val="21"/>
        </w:rPr>
        <w:t>。</w:t>
      </w:r>
    </w:p>
    <w:p>
      <w:pPr>
        <w:snapToGrid w:val="0"/>
        <w:spacing w:line="360" w:lineRule="auto"/>
        <w:ind w:firstLine="480" w:firstLineChars="200"/>
        <w:rPr>
          <w:szCs w:val="21"/>
        </w:rPr>
      </w:pPr>
      <w:r>
        <w:rPr>
          <w:rFonts w:hint="eastAsia"/>
          <w:szCs w:val="21"/>
        </w:rPr>
        <w:t>14.6  按月工程进度申请付款</w:t>
      </w:r>
    </w:p>
    <w:p>
      <w:pPr>
        <w:snapToGrid w:val="0"/>
        <w:spacing w:line="360" w:lineRule="auto"/>
        <w:ind w:firstLine="480" w:firstLineChars="200"/>
        <w:rPr>
          <w:szCs w:val="21"/>
          <w:u w:val="single"/>
        </w:rPr>
      </w:pPr>
      <w:r>
        <w:rPr>
          <w:rFonts w:hint="eastAsia"/>
          <w:szCs w:val="21"/>
        </w:rPr>
        <w:t>按月付款申请报告的格式、内容、份数和提交时间：</w:t>
      </w:r>
      <w:r>
        <w:rPr>
          <w:rFonts w:hint="eastAsia"/>
          <w:szCs w:val="21"/>
          <w:u w:val="single"/>
        </w:rPr>
        <w:t xml:space="preserve">   /  </w:t>
      </w:r>
    </w:p>
    <w:p>
      <w:pPr>
        <w:snapToGrid w:val="0"/>
        <w:spacing w:line="360" w:lineRule="auto"/>
        <w:ind w:firstLine="480" w:firstLineChars="200"/>
        <w:rPr>
          <w:szCs w:val="21"/>
        </w:rPr>
      </w:pPr>
      <w:r>
        <w:rPr>
          <w:rFonts w:hint="eastAsia"/>
          <w:szCs w:val="21"/>
        </w:rPr>
        <w:t>14.7  按付款计划表申请付款</w:t>
      </w:r>
    </w:p>
    <w:p>
      <w:pPr>
        <w:snapToGrid w:val="0"/>
        <w:spacing w:line="360" w:lineRule="auto"/>
        <w:ind w:firstLine="480" w:firstLineChars="200"/>
        <w:rPr>
          <w:szCs w:val="21"/>
          <w:u w:val="single"/>
        </w:rPr>
      </w:pPr>
      <w:r>
        <w:rPr>
          <w:rFonts w:hint="eastAsia"/>
          <w:szCs w:val="21"/>
        </w:rPr>
        <w:t>付款期数、每期付款金额、每期需达到的主要计划形象进度和主要计划工程量进度：</w:t>
      </w:r>
      <w:r>
        <w:rPr>
          <w:rFonts w:hint="eastAsia"/>
          <w:szCs w:val="21"/>
          <w:u w:val="single"/>
        </w:rPr>
        <w:t xml:space="preserve">   /  </w:t>
      </w:r>
    </w:p>
    <w:p>
      <w:pPr>
        <w:snapToGrid w:val="0"/>
        <w:spacing w:line="360" w:lineRule="auto"/>
        <w:ind w:firstLine="480" w:firstLineChars="200"/>
        <w:rPr>
          <w:szCs w:val="21"/>
          <w:u w:val="single"/>
        </w:rPr>
      </w:pPr>
      <w:r>
        <w:rPr>
          <w:rFonts w:hint="eastAsia"/>
          <w:szCs w:val="21"/>
        </w:rPr>
        <w:t>付款申请报告的格式、内容、份数和提交时间：</w:t>
      </w:r>
      <w:r>
        <w:rPr>
          <w:rFonts w:hint="eastAsia"/>
          <w:szCs w:val="21"/>
          <w:u w:val="single"/>
        </w:rPr>
        <w:t xml:space="preserve">   /  </w:t>
      </w:r>
    </w:p>
    <w:p>
      <w:pPr>
        <w:snapToGrid w:val="0"/>
        <w:spacing w:line="360" w:lineRule="auto"/>
        <w:ind w:firstLine="480" w:firstLineChars="200"/>
        <w:rPr>
          <w:szCs w:val="21"/>
        </w:rPr>
      </w:pPr>
      <w:r>
        <w:rPr>
          <w:rFonts w:hint="eastAsia"/>
          <w:szCs w:val="21"/>
        </w:rPr>
        <w:t>14.12  竣工结算</w:t>
      </w:r>
    </w:p>
    <w:p>
      <w:pPr>
        <w:snapToGrid w:val="0"/>
        <w:spacing w:line="360" w:lineRule="auto"/>
        <w:ind w:firstLine="480" w:firstLineChars="200"/>
        <w:rPr>
          <w:szCs w:val="21"/>
        </w:rPr>
      </w:pPr>
      <w:r>
        <w:rPr>
          <w:rFonts w:hint="eastAsia"/>
          <w:szCs w:val="21"/>
        </w:rPr>
        <w:t>14.12.1提交竣工结算资料</w:t>
      </w:r>
    </w:p>
    <w:p>
      <w:pPr>
        <w:snapToGrid w:val="0"/>
        <w:spacing w:line="360" w:lineRule="auto"/>
        <w:ind w:firstLine="420"/>
        <w:jc w:val="left"/>
        <w:rPr>
          <w:szCs w:val="21"/>
          <w:u w:val="single"/>
        </w:rPr>
      </w:pPr>
      <w:r>
        <w:rPr>
          <w:rFonts w:hint="eastAsia"/>
          <w:szCs w:val="21"/>
        </w:rPr>
        <w:t>竣工结算资料的格式、内容和份数：</w:t>
      </w:r>
      <w:r>
        <w:rPr>
          <w:rFonts w:hint="eastAsia"/>
          <w:szCs w:val="21"/>
          <w:u w:val="single"/>
        </w:rPr>
        <w:t>承包人在工程竣工后一个月内提供经监理工程师审查通过的四套完整的竣工图和竣工结算及其他资料，承包人提供的所有资料必须满足工程备案要求，送招标人存档，否则发包人可拒绝递交审计或延期审计，由此带来的一切后果由承包人承担。A施工中没有设计变更，施工后由承包人在发包人确认的施工图纸上加盖竣工图章，提交发包人；B施工中对原设计中变更较多，原施工图难于作为竣工图，应由承包人组织重新绘制竣工图，并承担相应费用。并经发包人确认后报发包人指定的审价机构审计。工程竣工验收合格后28天内，承包人应向发包人递交完整的符合审计要求的结算资料，否则履约保证金的10%不予退还，若承包人原因不能提交结算资料的，发包人有权拒绝或延期审计并拒付工程款。</w:t>
      </w:r>
    </w:p>
    <w:p>
      <w:pPr>
        <w:snapToGrid w:val="0"/>
        <w:spacing w:line="360" w:lineRule="auto"/>
        <w:ind w:firstLine="480" w:firstLineChars="200"/>
        <w:rPr>
          <w:szCs w:val="21"/>
          <w:u w:val="single"/>
        </w:rPr>
      </w:pPr>
      <w:r>
        <w:rPr>
          <w:rFonts w:hint="eastAsia"/>
          <w:szCs w:val="21"/>
          <w:u w:val="single"/>
        </w:rPr>
        <w:t>关于竣工结算的补充说明：</w:t>
      </w:r>
    </w:p>
    <w:p>
      <w:pPr>
        <w:snapToGrid w:val="0"/>
        <w:spacing w:line="360" w:lineRule="auto"/>
        <w:ind w:firstLine="480" w:firstLineChars="200"/>
        <w:jc w:val="left"/>
        <w:rPr>
          <w:szCs w:val="21"/>
        </w:rPr>
      </w:pPr>
      <w:r>
        <w:rPr>
          <w:rFonts w:hint="eastAsia"/>
          <w:szCs w:val="21"/>
        </w:rPr>
        <w:t>（1） 竣工结算审核</w:t>
      </w:r>
    </w:p>
    <w:p>
      <w:pPr>
        <w:snapToGrid w:val="0"/>
        <w:spacing w:line="360" w:lineRule="auto"/>
        <w:ind w:firstLine="480" w:firstLineChars="200"/>
        <w:jc w:val="left"/>
        <w:rPr>
          <w:szCs w:val="21"/>
        </w:rPr>
      </w:pPr>
      <w:r>
        <w:rPr>
          <w:rFonts w:hint="eastAsia"/>
          <w:szCs w:val="21"/>
        </w:rPr>
        <w:t>发包人审批竣工付款申请单的期限：</w:t>
      </w:r>
      <w:r>
        <w:rPr>
          <w:rFonts w:hint="eastAsia"/>
          <w:szCs w:val="21"/>
          <w:u w:val="single"/>
        </w:rPr>
        <w:t xml:space="preserve">按通用条款执行  </w:t>
      </w:r>
      <w:r>
        <w:rPr>
          <w:rFonts w:hint="eastAsia"/>
          <w:szCs w:val="21"/>
        </w:rPr>
        <w:t>。</w:t>
      </w:r>
    </w:p>
    <w:p>
      <w:pPr>
        <w:snapToGrid w:val="0"/>
        <w:spacing w:line="360" w:lineRule="auto"/>
        <w:ind w:firstLine="480" w:firstLineChars="200"/>
        <w:jc w:val="left"/>
        <w:rPr>
          <w:szCs w:val="21"/>
        </w:rPr>
      </w:pPr>
      <w:r>
        <w:rPr>
          <w:rFonts w:hint="eastAsia"/>
          <w:szCs w:val="21"/>
        </w:rPr>
        <w:t>发包人完成竣工付款的期限：</w:t>
      </w:r>
      <w:r>
        <w:rPr>
          <w:rFonts w:hint="eastAsia"/>
          <w:szCs w:val="21"/>
          <w:u w:val="single"/>
        </w:rPr>
        <w:t>按通用条款执行</w:t>
      </w:r>
      <w:r>
        <w:rPr>
          <w:rFonts w:hint="eastAsia"/>
          <w:szCs w:val="21"/>
        </w:rPr>
        <w:t>。</w:t>
      </w:r>
    </w:p>
    <w:p>
      <w:pPr>
        <w:snapToGrid w:val="0"/>
        <w:spacing w:line="360" w:lineRule="auto"/>
        <w:ind w:firstLine="480" w:firstLineChars="200"/>
        <w:jc w:val="left"/>
        <w:rPr>
          <w:szCs w:val="21"/>
          <w:u w:val="single"/>
        </w:rPr>
      </w:pPr>
      <w:r>
        <w:rPr>
          <w:rFonts w:hint="eastAsia"/>
          <w:szCs w:val="21"/>
        </w:rPr>
        <w:t>关于竣工付款证书异议部分复核的方式和程序：</w:t>
      </w:r>
      <w:r>
        <w:rPr>
          <w:rFonts w:hint="eastAsia"/>
          <w:szCs w:val="21"/>
          <w:u w:val="single"/>
        </w:rPr>
        <w:t>在审计期间，承包人应积极配合审价工作，如承包人无正当理由不积极配合，则审价机构将出具的最终审计结果送达承包人，承包人在收到最终审计结果7个工作日内未书面提出异议，则视为承包人确认审价结果。</w:t>
      </w:r>
    </w:p>
    <w:p>
      <w:pPr>
        <w:snapToGrid w:val="0"/>
        <w:spacing w:line="360" w:lineRule="auto"/>
        <w:ind w:firstLine="480" w:firstLineChars="200"/>
        <w:jc w:val="left"/>
        <w:rPr>
          <w:szCs w:val="21"/>
        </w:rPr>
      </w:pPr>
      <w:r>
        <w:rPr>
          <w:rFonts w:hint="eastAsia"/>
          <w:szCs w:val="21"/>
        </w:rPr>
        <w:t>（2） 最终结清</w:t>
      </w:r>
    </w:p>
    <w:p>
      <w:pPr>
        <w:snapToGrid w:val="0"/>
        <w:spacing w:line="360" w:lineRule="auto"/>
        <w:ind w:firstLine="480" w:firstLineChars="200"/>
        <w:jc w:val="left"/>
        <w:rPr>
          <w:szCs w:val="21"/>
        </w:rPr>
      </w:pPr>
      <w:r>
        <w:rPr>
          <w:rFonts w:hint="eastAsia"/>
          <w:szCs w:val="21"/>
        </w:rPr>
        <w:t>1、最终结清申请单</w:t>
      </w:r>
    </w:p>
    <w:p>
      <w:pPr>
        <w:snapToGrid w:val="0"/>
        <w:spacing w:line="360" w:lineRule="auto"/>
        <w:ind w:firstLine="480" w:firstLineChars="200"/>
        <w:jc w:val="left"/>
        <w:rPr>
          <w:szCs w:val="21"/>
        </w:rPr>
      </w:pPr>
      <w:r>
        <w:rPr>
          <w:rFonts w:hint="eastAsia"/>
          <w:szCs w:val="21"/>
        </w:rPr>
        <w:t>承包人提交最终结清申请单的份数：</w:t>
      </w:r>
      <w:r>
        <w:rPr>
          <w:rFonts w:hint="eastAsia"/>
          <w:szCs w:val="21"/>
          <w:u w:val="single"/>
        </w:rPr>
        <w:t>按通用条款执行</w:t>
      </w:r>
      <w:r>
        <w:rPr>
          <w:rFonts w:hint="eastAsia"/>
          <w:szCs w:val="21"/>
        </w:rPr>
        <w:t>。</w:t>
      </w:r>
    </w:p>
    <w:p>
      <w:pPr>
        <w:snapToGrid w:val="0"/>
        <w:spacing w:line="360" w:lineRule="auto"/>
        <w:ind w:firstLine="480" w:firstLineChars="200"/>
        <w:jc w:val="left"/>
        <w:rPr>
          <w:szCs w:val="21"/>
        </w:rPr>
      </w:pPr>
      <w:r>
        <w:rPr>
          <w:rFonts w:hint="eastAsia"/>
          <w:szCs w:val="21"/>
        </w:rPr>
        <w:t>承包人提交最终结算申请单的期限：</w:t>
      </w:r>
      <w:r>
        <w:rPr>
          <w:rFonts w:hint="eastAsia"/>
          <w:szCs w:val="21"/>
          <w:u w:val="single"/>
        </w:rPr>
        <w:t>按通用条款执行</w:t>
      </w:r>
      <w:r>
        <w:rPr>
          <w:rFonts w:hint="eastAsia"/>
          <w:szCs w:val="21"/>
        </w:rPr>
        <w:t xml:space="preserve">。 </w:t>
      </w:r>
    </w:p>
    <w:p>
      <w:pPr>
        <w:snapToGrid w:val="0"/>
        <w:spacing w:line="360" w:lineRule="auto"/>
        <w:ind w:firstLine="480" w:firstLineChars="200"/>
        <w:jc w:val="left"/>
        <w:rPr>
          <w:szCs w:val="21"/>
        </w:rPr>
      </w:pPr>
      <w:r>
        <w:rPr>
          <w:rFonts w:hint="eastAsia"/>
          <w:szCs w:val="21"/>
        </w:rPr>
        <w:t>2 、最终结清证书和支付</w:t>
      </w:r>
    </w:p>
    <w:p>
      <w:pPr>
        <w:snapToGrid w:val="0"/>
        <w:spacing w:line="360" w:lineRule="auto"/>
        <w:ind w:firstLine="480" w:firstLineChars="200"/>
        <w:jc w:val="left"/>
        <w:rPr>
          <w:szCs w:val="21"/>
        </w:rPr>
      </w:pPr>
      <w:r>
        <w:rPr>
          <w:rFonts w:hint="eastAsia"/>
          <w:szCs w:val="21"/>
        </w:rPr>
        <w:t>（1）发包人完成最终结清申请单的审批并颁发最终结清证书的期限：</w:t>
      </w:r>
      <w:r>
        <w:rPr>
          <w:rFonts w:hint="eastAsia"/>
          <w:szCs w:val="21"/>
          <w:u w:val="single"/>
        </w:rPr>
        <w:t>按通用条款执行</w:t>
      </w:r>
      <w:r>
        <w:rPr>
          <w:rFonts w:hint="eastAsia"/>
          <w:szCs w:val="21"/>
        </w:rPr>
        <w:t>。</w:t>
      </w:r>
    </w:p>
    <w:p>
      <w:pPr>
        <w:snapToGrid w:val="0"/>
        <w:spacing w:line="360" w:lineRule="auto"/>
        <w:ind w:firstLine="480" w:firstLineChars="200"/>
        <w:rPr>
          <w:szCs w:val="21"/>
        </w:rPr>
      </w:pPr>
      <w:r>
        <w:rPr>
          <w:rFonts w:hint="eastAsia"/>
          <w:szCs w:val="21"/>
        </w:rPr>
        <w:t>（2）发包人完成支付的期限：</w:t>
      </w:r>
      <w:r>
        <w:rPr>
          <w:rFonts w:hint="eastAsia"/>
          <w:szCs w:val="21"/>
          <w:u w:val="single"/>
        </w:rPr>
        <w:t xml:space="preserve">按通用条款执行  </w:t>
      </w:r>
      <w:r>
        <w:rPr>
          <w:rFonts w:hint="eastAsia"/>
          <w:szCs w:val="21"/>
        </w:rPr>
        <w:t>。</w:t>
      </w:r>
    </w:p>
    <w:p>
      <w:pPr>
        <w:snapToGrid w:val="0"/>
        <w:spacing w:line="360" w:lineRule="auto"/>
        <w:ind w:firstLine="482" w:firstLineChars="200"/>
        <w:rPr>
          <w:b/>
          <w:szCs w:val="21"/>
        </w:rPr>
      </w:pPr>
      <w:r>
        <w:rPr>
          <w:rFonts w:hint="eastAsia"/>
          <w:b/>
          <w:szCs w:val="21"/>
        </w:rPr>
        <w:t>第15条保险</w:t>
      </w:r>
    </w:p>
    <w:p>
      <w:pPr>
        <w:snapToGrid w:val="0"/>
        <w:spacing w:line="360" w:lineRule="auto"/>
        <w:ind w:firstLine="482" w:firstLineChars="200"/>
        <w:rPr>
          <w:b/>
          <w:szCs w:val="21"/>
        </w:rPr>
      </w:pPr>
      <w:r>
        <w:rPr>
          <w:rFonts w:hint="eastAsia"/>
          <w:b/>
          <w:szCs w:val="21"/>
        </w:rPr>
        <w:t>15.1  承包人的投保</w:t>
      </w:r>
    </w:p>
    <w:p>
      <w:pPr>
        <w:snapToGrid w:val="0"/>
        <w:spacing w:line="360" w:lineRule="auto"/>
        <w:ind w:firstLine="480" w:firstLineChars="200"/>
        <w:jc w:val="left"/>
        <w:rPr>
          <w:szCs w:val="21"/>
        </w:rPr>
      </w:pPr>
      <w:r>
        <w:rPr>
          <w:rFonts w:hint="eastAsia"/>
          <w:szCs w:val="21"/>
        </w:rPr>
        <w:t>15.1.1关于工程保险的特别约定：</w:t>
      </w:r>
      <w:r>
        <w:rPr>
          <w:rFonts w:hint="eastAsia"/>
          <w:szCs w:val="21"/>
          <w:u w:val="single"/>
        </w:rPr>
        <w:t>承包人投保内容至少包括从事危险作业职工的意外伤害险、施工场地内自有人员的生命财产险、施工机械设备的财产险、第三方人员的生命财产险、运至施工场地内用于工程的材料和待安装设备的财产险</w:t>
      </w:r>
      <w:r>
        <w:rPr>
          <w:rFonts w:hint="eastAsia"/>
          <w:szCs w:val="21"/>
        </w:rPr>
        <w:t>。</w:t>
      </w:r>
    </w:p>
    <w:p>
      <w:pPr>
        <w:snapToGrid w:val="0"/>
        <w:spacing w:line="360" w:lineRule="auto"/>
        <w:ind w:firstLine="480" w:firstLineChars="200"/>
        <w:outlineLvl w:val="0"/>
        <w:rPr>
          <w:szCs w:val="21"/>
        </w:rPr>
      </w:pPr>
      <w:r>
        <w:rPr>
          <w:rFonts w:hint="eastAsia"/>
          <w:szCs w:val="21"/>
        </w:rPr>
        <w:t>15.1.2其他保险</w:t>
      </w:r>
    </w:p>
    <w:p>
      <w:pPr>
        <w:snapToGrid w:val="0"/>
        <w:spacing w:line="360" w:lineRule="auto"/>
        <w:ind w:firstLine="480" w:firstLineChars="200"/>
        <w:jc w:val="left"/>
        <w:rPr>
          <w:szCs w:val="21"/>
        </w:rPr>
      </w:pPr>
      <w:r>
        <w:rPr>
          <w:rFonts w:hint="eastAsia"/>
          <w:szCs w:val="21"/>
        </w:rPr>
        <w:t>关于其他保险的约定：</w:t>
      </w:r>
      <w:r>
        <w:rPr>
          <w:rFonts w:hint="eastAsia"/>
          <w:szCs w:val="21"/>
          <w:u w:val="single"/>
        </w:rPr>
        <w:t>承包人必须按规定办理由承包人投保的一切保险（包括但不限于工程施工期间的工程一切险、工程第三方责任险、人身意外险等）。如不办理，一切责任由承包人自行负责</w:t>
      </w:r>
      <w:r>
        <w:rPr>
          <w:rFonts w:hint="eastAsia"/>
          <w:szCs w:val="21"/>
        </w:rPr>
        <w:t>。</w:t>
      </w:r>
    </w:p>
    <w:p>
      <w:pPr>
        <w:snapToGrid w:val="0"/>
        <w:spacing w:line="360" w:lineRule="auto"/>
        <w:ind w:firstLine="420"/>
        <w:rPr>
          <w:b/>
          <w:szCs w:val="21"/>
          <w:u w:val="single"/>
        </w:rPr>
      </w:pPr>
      <w:r>
        <w:rPr>
          <w:rFonts w:hint="eastAsia"/>
          <w:b/>
          <w:szCs w:val="21"/>
          <w:u w:val="single"/>
        </w:rPr>
        <w:t>关于保险的补充说明：</w:t>
      </w:r>
    </w:p>
    <w:p>
      <w:pPr>
        <w:snapToGrid w:val="0"/>
        <w:spacing w:line="360" w:lineRule="auto"/>
        <w:ind w:firstLine="420"/>
        <w:rPr>
          <w:szCs w:val="21"/>
          <w:u w:val="single"/>
        </w:rPr>
      </w:pPr>
      <w:r>
        <w:rPr>
          <w:rFonts w:hint="eastAsia"/>
          <w:szCs w:val="21"/>
          <w:u w:val="single"/>
        </w:rPr>
        <w:t>①关于建筑工程或安装工程一切险、第三者责任险、意外伤害保险、工伤保险的投保费用已含在合同价中，承包人应在工程开工前办理投保手续，并及时将保单（副本）递交发包人。承包人投保的保单条件及选择保险人均应事先取得发包人或发包人委托的保险顾问的同意。承包人在与保险人订立保险合同后，承包人应按保单要求认真履行相关义务。承包人退保应取得发包人同意。承包人需要变更保险合同条款的，应事先征得发包人同意，并通知监理方。</w:t>
      </w:r>
    </w:p>
    <w:p>
      <w:pPr>
        <w:snapToGrid w:val="0"/>
        <w:spacing w:line="360" w:lineRule="auto"/>
        <w:ind w:firstLine="420"/>
        <w:rPr>
          <w:szCs w:val="21"/>
          <w:u w:val="single"/>
        </w:rPr>
      </w:pPr>
      <w:r>
        <w:rPr>
          <w:rFonts w:hint="eastAsia"/>
          <w:szCs w:val="21"/>
          <w:u w:val="single"/>
        </w:rPr>
        <w:t>②保险赔偿不足以补偿损失的，应由承包人按合同约定负责补偿到位。</w:t>
      </w:r>
    </w:p>
    <w:p>
      <w:pPr>
        <w:snapToGrid w:val="0"/>
        <w:spacing w:line="360" w:lineRule="auto"/>
        <w:ind w:firstLine="420"/>
        <w:rPr>
          <w:szCs w:val="21"/>
          <w:u w:val="single"/>
        </w:rPr>
      </w:pPr>
      <w:r>
        <w:rPr>
          <w:rFonts w:hint="eastAsia"/>
          <w:szCs w:val="21"/>
          <w:u w:val="single"/>
        </w:rPr>
        <w:t>③由于承包人未按合同约定办理保险，或未能使保险持续有效的，发包人可代为办理，并按投保费用的2倍从工程进度款中直接扣除，对此，承包人不得有任何异议。</w:t>
      </w:r>
    </w:p>
    <w:p>
      <w:pPr>
        <w:snapToGrid w:val="0"/>
        <w:spacing w:line="360" w:lineRule="auto"/>
        <w:ind w:firstLine="480" w:firstLineChars="200"/>
        <w:rPr>
          <w:szCs w:val="21"/>
        </w:rPr>
      </w:pPr>
      <w:r>
        <w:rPr>
          <w:rFonts w:hint="eastAsia"/>
          <w:szCs w:val="21"/>
          <w:u w:val="single"/>
        </w:rPr>
        <w:t>④由于承包人未按合同约定办理某项保险，导致发包人未能得到保险人的赔偿，原应从该项保险得到的保险赔偿应由承包人承担。</w:t>
      </w:r>
    </w:p>
    <w:p>
      <w:pPr>
        <w:snapToGrid w:val="0"/>
        <w:spacing w:line="360" w:lineRule="auto"/>
        <w:ind w:firstLine="482" w:firstLineChars="200"/>
        <w:rPr>
          <w:b/>
          <w:szCs w:val="21"/>
        </w:rPr>
      </w:pPr>
      <w:r>
        <w:rPr>
          <w:rFonts w:hint="eastAsia"/>
          <w:b/>
          <w:szCs w:val="21"/>
        </w:rPr>
        <w:t>第16条违约、索赔和裁决</w:t>
      </w:r>
    </w:p>
    <w:p>
      <w:pPr>
        <w:snapToGrid w:val="0"/>
        <w:spacing w:line="360" w:lineRule="auto"/>
        <w:ind w:firstLine="480" w:firstLineChars="200"/>
        <w:rPr>
          <w:szCs w:val="21"/>
        </w:rPr>
      </w:pPr>
      <w:bookmarkStart w:id="47" w:name="_Toc351203648"/>
      <w:r>
        <w:rPr>
          <w:rFonts w:hint="eastAsia"/>
          <w:szCs w:val="21"/>
        </w:rPr>
        <w:t>16.1 违约</w:t>
      </w:r>
      <w:bookmarkEnd w:id="47"/>
    </w:p>
    <w:p>
      <w:pPr>
        <w:snapToGrid w:val="0"/>
        <w:spacing w:line="360" w:lineRule="auto"/>
        <w:ind w:firstLine="480" w:firstLineChars="200"/>
        <w:jc w:val="left"/>
        <w:rPr>
          <w:szCs w:val="21"/>
        </w:rPr>
      </w:pPr>
      <w:r>
        <w:rPr>
          <w:rFonts w:hint="eastAsia"/>
          <w:szCs w:val="21"/>
        </w:rPr>
        <w:t>16.1.1发包人违约的情形</w:t>
      </w:r>
    </w:p>
    <w:p>
      <w:pPr>
        <w:snapToGrid w:val="0"/>
        <w:spacing w:line="360" w:lineRule="auto"/>
        <w:ind w:firstLine="480" w:firstLineChars="200"/>
        <w:jc w:val="left"/>
        <w:rPr>
          <w:szCs w:val="21"/>
        </w:rPr>
      </w:pPr>
      <w:r>
        <w:rPr>
          <w:rFonts w:hint="eastAsia"/>
          <w:szCs w:val="21"/>
        </w:rPr>
        <w:t>发包人违约的其他情形：</w:t>
      </w:r>
      <w:r>
        <w:rPr>
          <w:rFonts w:hint="eastAsia"/>
          <w:szCs w:val="21"/>
          <w:u w:val="single"/>
        </w:rPr>
        <w:t xml:space="preserve">     /    </w:t>
      </w:r>
      <w:r>
        <w:rPr>
          <w:rFonts w:hint="eastAsia"/>
          <w:szCs w:val="21"/>
        </w:rPr>
        <w:t>。</w:t>
      </w:r>
    </w:p>
    <w:p>
      <w:pPr>
        <w:snapToGrid w:val="0"/>
        <w:spacing w:line="360" w:lineRule="auto"/>
        <w:ind w:left="1200" w:hanging="1200" w:hangingChars="500"/>
        <w:jc w:val="left"/>
        <w:rPr>
          <w:szCs w:val="21"/>
        </w:rPr>
      </w:pPr>
      <w:r>
        <w:rPr>
          <w:rFonts w:hint="eastAsia"/>
          <w:szCs w:val="21"/>
        </w:rPr>
        <w:t xml:space="preserve">    16.1.2 发包人违约的责任</w:t>
      </w:r>
    </w:p>
    <w:p>
      <w:pPr>
        <w:snapToGrid w:val="0"/>
        <w:spacing w:line="360" w:lineRule="auto"/>
        <w:ind w:firstLine="480" w:firstLineChars="200"/>
        <w:jc w:val="left"/>
        <w:rPr>
          <w:szCs w:val="21"/>
        </w:rPr>
      </w:pPr>
      <w:r>
        <w:rPr>
          <w:rFonts w:hint="eastAsia"/>
          <w:szCs w:val="21"/>
        </w:rPr>
        <w:t>发包人违约责任的承担方式和计算方法：</w:t>
      </w:r>
    </w:p>
    <w:p>
      <w:pPr>
        <w:snapToGrid w:val="0"/>
        <w:spacing w:line="360" w:lineRule="auto"/>
        <w:ind w:firstLine="480" w:firstLineChars="200"/>
        <w:jc w:val="left"/>
        <w:rPr>
          <w:szCs w:val="21"/>
          <w:u w:val="single"/>
        </w:rPr>
      </w:pPr>
      <w:r>
        <w:rPr>
          <w:rFonts w:hint="eastAsia"/>
          <w:szCs w:val="21"/>
        </w:rPr>
        <w:t>（1）因发包人原因未能在计划开工日期前7天内下达开工通知的违约责任：</w:t>
      </w:r>
      <w:r>
        <w:rPr>
          <w:rFonts w:hint="eastAsia"/>
          <w:szCs w:val="21"/>
          <w:u w:val="single"/>
        </w:rPr>
        <w:t xml:space="preserve">   /   </w:t>
      </w:r>
      <w:r>
        <w:rPr>
          <w:rFonts w:hint="eastAsia"/>
          <w:szCs w:val="21"/>
        </w:rPr>
        <w:t>。</w:t>
      </w:r>
    </w:p>
    <w:p>
      <w:pPr>
        <w:snapToGrid w:val="0"/>
        <w:spacing w:line="360" w:lineRule="auto"/>
        <w:ind w:firstLine="480" w:firstLineChars="200"/>
        <w:jc w:val="left"/>
        <w:rPr>
          <w:szCs w:val="21"/>
        </w:rPr>
      </w:pPr>
      <w:r>
        <w:rPr>
          <w:rFonts w:hint="eastAsia"/>
          <w:szCs w:val="21"/>
        </w:rPr>
        <w:t>（2）因发包人原因未能按合同约定支付合同价款的违约责任：</w:t>
      </w:r>
      <w:r>
        <w:rPr>
          <w:rFonts w:hint="eastAsia"/>
          <w:szCs w:val="21"/>
          <w:u w:val="single"/>
        </w:rPr>
        <w:t xml:space="preserve">  /  </w:t>
      </w:r>
      <w:r>
        <w:rPr>
          <w:rFonts w:hint="eastAsia"/>
          <w:szCs w:val="21"/>
        </w:rPr>
        <w:t>。</w:t>
      </w:r>
    </w:p>
    <w:p>
      <w:pPr>
        <w:snapToGrid w:val="0"/>
        <w:spacing w:line="360" w:lineRule="auto"/>
        <w:ind w:firstLine="480" w:firstLineChars="200"/>
        <w:jc w:val="left"/>
        <w:rPr>
          <w:szCs w:val="21"/>
        </w:rPr>
      </w:pPr>
      <w:r>
        <w:rPr>
          <w:rFonts w:hint="eastAsia"/>
          <w:szCs w:val="21"/>
        </w:rPr>
        <w:t>（3）发包人违反第10.1款〔变更的范围〕第（2）项约定，自行实施被取消的工作或转由他人实施的违约责任：</w:t>
      </w:r>
      <w:r>
        <w:rPr>
          <w:rFonts w:hint="eastAsia"/>
          <w:szCs w:val="21"/>
          <w:u w:val="single"/>
        </w:rPr>
        <w:t xml:space="preserve">    /         </w:t>
      </w:r>
      <w:r>
        <w:rPr>
          <w:rFonts w:hint="eastAsia"/>
          <w:szCs w:val="21"/>
        </w:rPr>
        <w:t>。</w:t>
      </w:r>
    </w:p>
    <w:p>
      <w:pPr>
        <w:snapToGrid w:val="0"/>
        <w:spacing w:line="360" w:lineRule="auto"/>
        <w:ind w:firstLine="480" w:firstLineChars="200"/>
        <w:jc w:val="left"/>
        <w:rPr>
          <w:szCs w:val="21"/>
        </w:rPr>
      </w:pPr>
      <w:r>
        <w:rPr>
          <w:rFonts w:hint="eastAsia"/>
          <w:szCs w:val="21"/>
        </w:rPr>
        <w:t>（4）发包人提供的材料、工程设备的规格、数量或质量不符合合同约定，或因发包人原因导致交货日期延误或交货地点变更等情况的违约责任：</w:t>
      </w:r>
      <w:r>
        <w:rPr>
          <w:rFonts w:hint="eastAsia"/>
          <w:szCs w:val="21"/>
          <w:u w:val="single"/>
        </w:rPr>
        <w:t xml:space="preserve">   /       </w:t>
      </w:r>
      <w:r>
        <w:rPr>
          <w:rFonts w:hint="eastAsia"/>
          <w:szCs w:val="21"/>
        </w:rPr>
        <w:t>。</w:t>
      </w:r>
    </w:p>
    <w:p>
      <w:pPr>
        <w:snapToGrid w:val="0"/>
        <w:spacing w:line="360" w:lineRule="auto"/>
        <w:ind w:firstLine="480" w:firstLineChars="200"/>
        <w:jc w:val="left"/>
        <w:rPr>
          <w:szCs w:val="21"/>
        </w:rPr>
      </w:pPr>
      <w:r>
        <w:rPr>
          <w:rFonts w:hint="eastAsia"/>
          <w:szCs w:val="21"/>
        </w:rPr>
        <w:t>（5）因发包人违反合同约定造成暂停施工的违约责任：</w:t>
      </w:r>
      <w:r>
        <w:rPr>
          <w:rFonts w:hint="eastAsia"/>
          <w:szCs w:val="21"/>
          <w:u w:val="single"/>
        </w:rPr>
        <w:t xml:space="preserve">  /  </w:t>
      </w:r>
      <w:r>
        <w:rPr>
          <w:rFonts w:hint="eastAsia"/>
          <w:szCs w:val="21"/>
        </w:rPr>
        <w:t>。</w:t>
      </w:r>
    </w:p>
    <w:p>
      <w:pPr>
        <w:snapToGrid w:val="0"/>
        <w:spacing w:line="360" w:lineRule="auto"/>
        <w:ind w:firstLine="480" w:firstLineChars="200"/>
        <w:jc w:val="left"/>
        <w:rPr>
          <w:szCs w:val="21"/>
        </w:rPr>
      </w:pPr>
      <w:r>
        <w:rPr>
          <w:rFonts w:hint="eastAsia"/>
          <w:szCs w:val="21"/>
        </w:rPr>
        <w:t>（6）发包人无正当理由没有在约定期限内发出复工指示，导致承包人无法复工的违约责任：</w:t>
      </w:r>
      <w:r>
        <w:rPr>
          <w:rFonts w:hint="eastAsia"/>
          <w:szCs w:val="21"/>
          <w:u w:val="single"/>
        </w:rPr>
        <w:t xml:space="preserve">     /  </w:t>
      </w:r>
      <w:r>
        <w:rPr>
          <w:rFonts w:hint="eastAsia"/>
          <w:szCs w:val="21"/>
        </w:rPr>
        <w:t>。</w:t>
      </w:r>
    </w:p>
    <w:p>
      <w:pPr>
        <w:snapToGrid w:val="0"/>
        <w:spacing w:line="360" w:lineRule="auto"/>
        <w:ind w:firstLine="480" w:firstLineChars="200"/>
        <w:jc w:val="left"/>
        <w:rPr>
          <w:szCs w:val="21"/>
        </w:rPr>
      </w:pPr>
      <w:r>
        <w:rPr>
          <w:rFonts w:hint="eastAsia"/>
          <w:szCs w:val="21"/>
        </w:rPr>
        <w:t>（7）其他：</w:t>
      </w:r>
      <w:r>
        <w:rPr>
          <w:rFonts w:hint="eastAsia"/>
          <w:szCs w:val="21"/>
          <w:u w:val="single"/>
        </w:rPr>
        <w:t xml:space="preserve">   /  </w:t>
      </w:r>
      <w:r>
        <w:rPr>
          <w:rFonts w:hint="eastAsia"/>
          <w:szCs w:val="21"/>
        </w:rPr>
        <w:t>。</w:t>
      </w:r>
    </w:p>
    <w:p>
      <w:pPr>
        <w:snapToGrid w:val="0"/>
        <w:spacing w:line="360" w:lineRule="auto"/>
        <w:ind w:firstLine="480" w:firstLineChars="200"/>
        <w:jc w:val="left"/>
        <w:rPr>
          <w:szCs w:val="21"/>
        </w:rPr>
      </w:pPr>
      <w:r>
        <w:rPr>
          <w:rFonts w:hint="eastAsia"/>
          <w:szCs w:val="21"/>
        </w:rPr>
        <w:t>16.1.3 因发包人违约解除合同</w:t>
      </w:r>
    </w:p>
    <w:p>
      <w:pPr>
        <w:autoSpaceDE w:val="0"/>
        <w:autoSpaceDN w:val="0"/>
        <w:adjustRightInd w:val="0"/>
        <w:snapToGrid w:val="0"/>
        <w:spacing w:line="360" w:lineRule="auto"/>
        <w:ind w:firstLine="480" w:firstLineChars="200"/>
        <w:jc w:val="left"/>
        <w:rPr>
          <w:szCs w:val="21"/>
        </w:rPr>
      </w:pPr>
      <w:r>
        <w:rPr>
          <w:rFonts w:hint="eastAsia"/>
          <w:szCs w:val="21"/>
        </w:rPr>
        <w:t>承包人按16.1.1项〔发包人违约的情形〕约定暂停施工满</w:t>
      </w:r>
      <w:r>
        <w:rPr>
          <w:rFonts w:hint="eastAsia"/>
          <w:szCs w:val="21"/>
          <w:u w:val="single"/>
        </w:rPr>
        <w:t xml:space="preserve">  /  </w:t>
      </w:r>
      <w:r>
        <w:rPr>
          <w:rFonts w:hint="eastAsia"/>
          <w:szCs w:val="21"/>
        </w:rPr>
        <w:t>天后发包人仍不纠正其违约行为并致使合同目的不能实现的，承包人有权解除合同。</w:t>
      </w:r>
    </w:p>
    <w:p>
      <w:pPr>
        <w:snapToGrid w:val="0"/>
        <w:spacing w:line="360" w:lineRule="auto"/>
        <w:ind w:firstLine="480" w:firstLineChars="200"/>
        <w:jc w:val="left"/>
        <w:rPr>
          <w:szCs w:val="21"/>
        </w:rPr>
      </w:pPr>
      <w:r>
        <w:rPr>
          <w:rFonts w:hint="eastAsia"/>
          <w:szCs w:val="21"/>
        </w:rPr>
        <w:t>16.1.4承包人违约的情形</w:t>
      </w:r>
    </w:p>
    <w:p>
      <w:pPr>
        <w:snapToGrid w:val="0"/>
        <w:spacing w:line="360" w:lineRule="auto"/>
        <w:ind w:firstLine="422"/>
        <w:jc w:val="left"/>
        <w:rPr>
          <w:szCs w:val="21"/>
        </w:rPr>
      </w:pPr>
      <w:r>
        <w:rPr>
          <w:rFonts w:hint="eastAsia"/>
          <w:szCs w:val="21"/>
        </w:rPr>
        <w:t>承包人违约的其他情形：</w:t>
      </w:r>
    </w:p>
    <w:p>
      <w:pPr>
        <w:snapToGrid w:val="0"/>
        <w:spacing w:line="360" w:lineRule="auto"/>
        <w:ind w:firstLine="422"/>
        <w:jc w:val="left"/>
        <w:rPr>
          <w:szCs w:val="21"/>
          <w:u w:val="single"/>
        </w:rPr>
      </w:pPr>
      <w:r>
        <w:rPr>
          <w:rFonts w:hint="eastAsia"/>
          <w:szCs w:val="21"/>
          <w:u w:val="single"/>
        </w:rPr>
        <w:t>（1）承包人必须服从发包人和监理工程师的管理监督，施工中发生的质量问题必须及时整改，因承包人原因被责令停工和返工，所造成的责任与损失均由承包人承担。</w:t>
      </w:r>
    </w:p>
    <w:p>
      <w:pPr>
        <w:autoSpaceDE w:val="0"/>
        <w:autoSpaceDN w:val="0"/>
        <w:snapToGrid w:val="0"/>
        <w:spacing w:line="360" w:lineRule="auto"/>
        <w:ind w:firstLine="470" w:firstLineChars="196"/>
        <w:jc w:val="left"/>
        <w:rPr>
          <w:szCs w:val="21"/>
          <w:u w:val="single"/>
        </w:rPr>
      </w:pPr>
      <w:r>
        <w:rPr>
          <w:rFonts w:hint="eastAsia"/>
          <w:szCs w:val="21"/>
          <w:u w:val="single"/>
        </w:rPr>
        <w:t>（2）承包人出现严重安全、质量事故，或在发包人规定的整改期限内达不到整改要求或明显无法按期完工的，发包人有权解除合同并要求承包人退场，并按验收合格的工程量的50%款项结算。</w:t>
      </w:r>
    </w:p>
    <w:p>
      <w:pPr>
        <w:snapToGrid w:val="0"/>
        <w:spacing w:line="360" w:lineRule="auto"/>
        <w:ind w:firstLine="422"/>
        <w:jc w:val="left"/>
        <w:rPr>
          <w:szCs w:val="21"/>
          <w:u w:val="single"/>
        </w:rPr>
      </w:pPr>
      <w:r>
        <w:rPr>
          <w:rFonts w:hint="eastAsia"/>
          <w:szCs w:val="21"/>
          <w:u w:val="single"/>
        </w:rPr>
        <w:t>（3）若由于承包人原因造成施工质量存在严重缺陷，则发包人有权解除合同，并限令退场，除工程质量保证金不予退还外，还应承担赔偿发包人损失的责任。</w:t>
      </w:r>
    </w:p>
    <w:p>
      <w:pPr>
        <w:snapToGrid w:val="0"/>
        <w:spacing w:line="360" w:lineRule="auto"/>
        <w:ind w:firstLine="422"/>
        <w:jc w:val="left"/>
        <w:rPr>
          <w:szCs w:val="21"/>
          <w:u w:val="single"/>
        </w:rPr>
      </w:pPr>
      <w:r>
        <w:rPr>
          <w:rFonts w:hint="eastAsia"/>
          <w:szCs w:val="21"/>
          <w:u w:val="single"/>
        </w:rPr>
        <w:t>（4）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p>
    <w:p>
      <w:pPr>
        <w:snapToGrid w:val="0"/>
        <w:spacing w:line="360" w:lineRule="auto"/>
        <w:ind w:firstLine="420"/>
        <w:rPr>
          <w:szCs w:val="21"/>
          <w:u w:val="single"/>
        </w:rPr>
      </w:pPr>
      <w:r>
        <w:rPr>
          <w:rFonts w:hint="eastAsia"/>
          <w:szCs w:val="21"/>
        </w:rPr>
        <w:t>（</w:t>
      </w:r>
      <w:r>
        <w:rPr>
          <w:rFonts w:hint="eastAsia"/>
          <w:szCs w:val="21"/>
          <w:u w:val="single"/>
        </w:rPr>
        <w:t>5）承包人将本工程转包或违法分包的，一经发现，取消承包人的施工资格，已完工程量不予结算，同时发包人将依照《建筑市场诚信行为信息管理办法》（建市[2007]9号）的要求，视情节可登录全国建筑市场诚信信息平台予以公布；</w:t>
      </w:r>
    </w:p>
    <w:p>
      <w:pPr>
        <w:snapToGrid w:val="0"/>
        <w:spacing w:line="360" w:lineRule="auto"/>
        <w:ind w:firstLine="422"/>
        <w:rPr>
          <w:szCs w:val="21"/>
          <w:u w:val="single"/>
        </w:rPr>
      </w:pPr>
      <w:r>
        <w:rPr>
          <w:rFonts w:hint="eastAsia"/>
          <w:szCs w:val="21"/>
          <w:u w:val="single"/>
        </w:rPr>
        <w:t>（6）承包人采购和使用不合格材料和工程设备的，除责令整改外，发包人将依照《全国建筑市场注册执业人员不良行为记录认定标准》（建办市[2011]38号），视情节可报送注册执业人员不良行为信息；</w:t>
      </w:r>
    </w:p>
    <w:p>
      <w:pPr>
        <w:snapToGrid w:val="0"/>
        <w:spacing w:line="360" w:lineRule="auto"/>
        <w:ind w:firstLine="422"/>
        <w:rPr>
          <w:szCs w:val="21"/>
          <w:u w:val="single"/>
        </w:rPr>
      </w:pPr>
      <w:r>
        <w:rPr>
          <w:rFonts w:hint="eastAsia"/>
          <w:szCs w:val="21"/>
          <w:u w:val="single"/>
        </w:rPr>
        <w:t>（7）因承包人自身的原因，未能兑现其投标时承诺条件或工程质量较差，或其工期进度严重脱节时，发包人报建设行政主管部门同意后有权终止合同，并且，已完成的合格产品有效工程量只按50%计量结算。</w:t>
      </w:r>
    </w:p>
    <w:p>
      <w:pPr>
        <w:snapToGrid w:val="0"/>
        <w:spacing w:line="360" w:lineRule="auto"/>
        <w:ind w:firstLine="422"/>
        <w:rPr>
          <w:szCs w:val="21"/>
          <w:u w:val="single"/>
        </w:rPr>
      </w:pPr>
      <w:r>
        <w:rPr>
          <w:rFonts w:hint="eastAsia"/>
          <w:szCs w:val="21"/>
          <w:u w:val="single"/>
        </w:rPr>
        <w:t>（8）承包人在工程实施中必须守法经营。如承包人（含承包人的相关人员）被纪检部门查实存在违纪行为的，发包人将扣减承包人合同额的1%作为违约金；如果承包人（含承包人的相关人员）被司法机关查实认定有犯罪行为的，甲方将扣减乙方合同额的2%作为违约金。同时发包人将依照《建筑市场诚信行为信息管理办法》（建市[2007]9号）的要求，视情节可登录全国建筑市场诚信信息平台予以公布；</w:t>
      </w:r>
    </w:p>
    <w:p>
      <w:pPr>
        <w:snapToGrid w:val="0"/>
        <w:spacing w:line="360" w:lineRule="auto"/>
        <w:ind w:firstLine="422"/>
        <w:rPr>
          <w:szCs w:val="21"/>
          <w:u w:val="single"/>
        </w:rPr>
      </w:pPr>
      <w:r>
        <w:rPr>
          <w:rFonts w:hint="eastAsia"/>
          <w:szCs w:val="21"/>
          <w:u w:val="single"/>
        </w:rPr>
        <w:t>（9）因承包人履行本合同的行为引发其与第三人发生纠纷，导致发包人受牵连被诉讼的，视为承包人对发包人的违约，发包人因此所受的损失，包括但不限于诉讼费、仲裁费、执行费、律师费等直接损失，由承包人承担，发包人有权在承包人的结余工程款、履约保证金中直接扣除。如工程款不够扣除的，作为承包人对发包人的债务，承包人应当在损失发生后的30日内支付给发包人。</w:t>
      </w:r>
    </w:p>
    <w:p>
      <w:pPr>
        <w:snapToGrid w:val="0"/>
        <w:spacing w:line="360" w:lineRule="auto"/>
        <w:ind w:firstLine="422"/>
        <w:rPr>
          <w:szCs w:val="21"/>
          <w:u w:val="single"/>
        </w:rPr>
      </w:pPr>
      <w:r>
        <w:rPr>
          <w:rFonts w:hint="eastAsia"/>
          <w:szCs w:val="21"/>
          <w:u w:val="single"/>
        </w:rPr>
        <w:t>（10）承包人必须确保在施工期间派驻指定管理人员进行现场指导管理，否则发包人有权对承包人收取10000元的违约金。</w:t>
      </w:r>
    </w:p>
    <w:p>
      <w:pPr>
        <w:snapToGrid w:val="0"/>
        <w:spacing w:line="360" w:lineRule="auto"/>
        <w:ind w:firstLine="422"/>
        <w:rPr>
          <w:szCs w:val="21"/>
          <w:u w:val="single"/>
        </w:rPr>
      </w:pPr>
      <w:r>
        <w:rPr>
          <w:rFonts w:hint="eastAsia"/>
          <w:szCs w:val="21"/>
          <w:u w:val="single"/>
        </w:rPr>
        <w:t>（11）承包人在工程施工期间必须抓好安全生产工作，如在施工期间发生安全事故，则扣除全部安全履约保证金，并且由此所造成的损失由承包人承担。</w:t>
      </w:r>
    </w:p>
    <w:p>
      <w:pPr>
        <w:snapToGrid w:val="0"/>
        <w:spacing w:line="360" w:lineRule="auto"/>
        <w:ind w:firstLine="422"/>
        <w:rPr>
          <w:szCs w:val="21"/>
          <w:u w:val="single"/>
        </w:rPr>
      </w:pPr>
      <w:r>
        <w:rPr>
          <w:rFonts w:hint="eastAsia"/>
          <w:szCs w:val="21"/>
          <w:u w:val="single"/>
        </w:rPr>
        <w:t>（12）承包人在工程施工期间，因设计材料、设备与市场供求产生矛盾，导致实际采购时，市场供求不足，必须采用替代材料或改变设计方案的，因此产生的工期延误及相关责任由承包人自行承担，调整方式如下：费用增加不予调整；费用减少按实调整。同时并处5000元的违约金。</w:t>
      </w:r>
    </w:p>
    <w:p>
      <w:pPr>
        <w:snapToGrid w:val="0"/>
        <w:spacing w:line="360" w:lineRule="auto"/>
        <w:ind w:firstLine="480" w:firstLineChars="200"/>
        <w:jc w:val="left"/>
        <w:rPr>
          <w:szCs w:val="21"/>
        </w:rPr>
      </w:pPr>
      <w:r>
        <w:rPr>
          <w:rFonts w:hint="eastAsia"/>
          <w:szCs w:val="21"/>
        </w:rPr>
        <w:t xml:space="preserve"> 16.1.5承包人违约的责任</w:t>
      </w:r>
    </w:p>
    <w:p>
      <w:pPr>
        <w:snapToGrid w:val="0"/>
        <w:spacing w:line="360" w:lineRule="auto"/>
        <w:ind w:firstLine="480" w:firstLineChars="200"/>
        <w:jc w:val="left"/>
        <w:rPr>
          <w:szCs w:val="21"/>
          <w:u w:val="single"/>
        </w:rPr>
      </w:pPr>
      <w:r>
        <w:rPr>
          <w:rFonts w:hint="eastAsia"/>
          <w:szCs w:val="21"/>
        </w:rPr>
        <w:t>承包人违约责任的承担方式和计算方法：</w:t>
      </w:r>
      <w:r>
        <w:rPr>
          <w:rFonts w:hint="eastAsia"/>
          <w:szCs w:val="21"/>
          <w:u w:val="single"/>
        </w:rPr>
        <w:t xml:space="preserve">由承包人按本协议约定支付违约金或赔偿发包人全部经济损失并承担相关法律责任   </w:t>
      </w:r>
      <w:r>
        <w:rPr>
          <w:rFonts w:hint="eastAsia"/>
          <w:szCs w:val="21"/>
        </w:rPr>
        <w:t xml:space="preserve">。    </w:t>
      </w:r>
    </w:p>
    <w:p>
      <w:pPr>
        <w:snapToGrid w:val="0"/>
        <w:spacing w:line="360" w:lineRule="auto"/>
        <w:ind w:firstLine="480" w:firstLineChars="200"/>
        <w:jc w:val="left"/>
        <w:rPr>
          <w:szCs w:val="21"/>
        </w:rPr>
      </w:pPr>
      <w:r>
        <w:rPr>
          <w:rFonts w:hint="eastAsia"/>
          <w:szCs w:val="21"/>
        </w:rPr>
        <w:t>16.1.6因承包人违约解除合同</w:t>
      </w:r>
    </w:p>
    <w:p>
      <w:pPr>
        <w:snapToGrid w:val="0"/>
        <w:spacing w:line="360" w:lineRule="auto"/>
        <w:ind w:firstLine="480" w:firstLineChars="200"/>
        <w:rPr>
          <w:szCs w:val="21"/>
          <w:u w:val="single"/>
        </w:rPr>
      </w:pPr>
      <w:r>
        <w:rPr>
          <w:rFonts w:hint="eastAsia"/>
          <w:szCs w:val="21"/>
        </w:rPr>
        <w:t>关于承包人违约解除合同的特别约定：</w:t>
      </w:r>
      <w:r>
        <w:rPr>
          <w:rFonts w:hint="eastAsia"/>
          <w:szCs w:val="21"/>
          <w:u w:val="single"/>
        </w:rPr>
        <w:t>a若因承包人原因未按期开工，则按延期每天1万元向发包人支付违约金；若超过十五天，则承包人除支付违约金外，发包人有权解除合同；b若由于承包人原因造成施工质量存在严重缺陷，则发包人有权解除合同，并限令退场，除工程质量保证金不予退还外，还应承担赔偿发包人损失的责任；c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d承包人出现严重安全、质量事故，或在发包人规定的整改期限内达不到整改要求或明显无法按期完工的，发包人有权解除合同并要求承包人退场，承包人接到退场通知后应立即无条件退场。对已完部分的工程同意发包人按已验收合格工程量的50%结算工程价款；e在履行合同过程中，承包人不得转包和违法分包，一经发现，发包人可以解除本合同，并不予退还全额履约保证金，并且已完成的工程量不予结算，所造成的责任与损失均由承包人承担，如确有需专业分包，需经监理及发包人审核通过后方可分包。f.合同中规定的其他情形。</w:t>
      </w:r>
    </w:p>
    <w:p>
      <w:pPr>
        <w:snapToGrid w:val="0"/>
        <w:spacing w:line="360" w:lineRule="auto"/>
        <w:ind w:firstLine="480" w:firstLineChars="200"/>
        <w:rPr>
          <w:b/>
          <w:szCs w:val="21"/>
        </w:rPr>
      </w:pPr>
      <w:r>
        <w:rPr>
          <w:rFonts w:hint="eastAsia"/>
          <w:szCs w:val="21"/>
        </w:rPr>
        <w:t>发包人继续使用承包人在施工现场的材料、设备、临时工程、承包人文件和由承包人或以其名义编制的其他文件的费用承担方式：</w:t>
      </w:r>
      <w:r>
        <w:rPr>
          <w:rFonts w:hint="eastAsia"/>
          <w:szCs w:val="21"/>
          <w:u w:val="single"/>
        </w:rPr>
        <w:t xml:space="preserve">   /  </w:t>
      </w:r>
      <w:r>
        <w:rPr>
          <w:rFonts w:hint="eastAsia"/>
          <w:szCs w:val="21"/>
        </w:rPr>
        <w:t>。</w:t>
      </w:r>
    </w:p>
    <w:p>
      <w:pPr>
        <w:snapToGrid w:val="0"/>
        <w:spacing w:line="360" w:lineRule="auto"/>
        <w:ind w:firstLine="482" w:firstLineChars="200"/>
        <w:rPr>
          <w:b/>
          <w:szCs w:val="21"/>
        </w:rPr>
      </w:pPr>
      <w:r>
        <w:rPr>
          <w:rFonts w:hint="eastAsia"/>
          <w:b/>
          <w:szCs w:val="21"/>
        </w:rPr>
        <w:t>16.3  争议和裁决</w:t>
      </w:r>
    </w:p>
    <w:p>
      <w:pPr>
        <w:snapToGrid w:val="0"/>
        <w:spacing w:line="360" w:lineRule="auto"/>
        <w:ind w:firstLine="480" w:firstLineChars="200"/>
        <w:rPr>
          <w:szCs w:val="21"/>
        </w:rPr>
      </w:pPr>
      <w:r>
        <w:rPr>
          <w:rFonts w:hint="eastAsia"/>
          <w:szCs w:val="21"/>
        </w:rPr>
        <w:t>16.3.1争议的解决程序</w:t>
      </w:r>
    </w:p>
    <w:p>
      <w:pPr>
        <w:snapToGrid w:val="0"/>
        <w:spacing w:line="360" w:lineRule="auto"/>
        <w:ind w:firstLine="480" w:firstLineChars="200"/>
        <w:rPr>
          <w:szCs w:val="21"/>
        </w:rPr>
      </w:pPr>
      <w:r>
        <w:rPr>
          <w:rFonts w:hint="eastAsia"/>
          <w:szCs w:val="21"/>
        </w:rPr>
        <w:t>在争议提交调解之日起30日内，双方仍存有争议时，或合同任何一方不同意调解的，在以下方式中选择其一，作为双方解决争议事项的约定。</w:t>
      </w:r>
    </w:p>
    <w:p>
      <w:pPr>
        <w:snapToGrid w:val="0"/>
        <w:spacing w:line="360" w:lineRule="auto"/>
        <w:ind w:firstLine="480" w:firstLineChars="200"/>
        <w:rPr>
          <w:szCs w:val="21"/>
        </w:rPr>
      </w:pPr>
      <w:r>
        <w:rPr>
          <w:rFonts w:hint="eastAsia"/>
          <w:szCs w:val="21"/>
        </w:rPr>
        <w:t>□提交仲裁委员会，按照申请仲裁时该会有效的仲裁规则进行仲裁。仲裁裁决是终局的，对双方均有约束力。</w:t>
      </w:r>
    </w:p>
    <w:p>
      <w:pPr>
        <w:snapToGrid w:val="0"/>
        <w:spacing w:line="360" w:lineRule="auto"/>
        <w:ind w:left="480"/>
        <w:rPr>
          <w:szCs w:val="21"/>
        </w:rPr>
      </w:pPr>
      <w:r>
        <w:rPr>
          <w:rFonts w:hint="eastAsia"/>
          <w:szCs w:val="21"/>
        </w:rPr>
        <w:t>■向</w:t>
      </w:r>
      <w:r>
        <w:rPr>
          <w:rFonts w:hint="eastAsia"/>
          <w:szCs w:val="21"/>
          <w:u w:val="single"/>
        </w:rPr>
        <w:t>南通市崇川区</w:t>
      </w:r>
      <w:r>
        <w:rPr>
          <w:rFonts w:hint="eastAsia"/>
          <w:szCs w:val="21"/>
        </w:rPr>
        <w:t>人民法院提起诉讼。</w:t>
      </w:r>
    </w:p>
    <w:p>
      <w:pPr>
        <w:snapToGrid w:val="0"/>
        <w:spacing w:line="360" w:lineRule="auto"/>
        <w:ind w:firstLine="482" w:firstLineChars="200"/>
        <w:rPr>
          <w:b/>
          <w:szCs w:val="21"/>
        </w:rPr>
      </w:pPr>
      <w:r>
        <w:rPr>
          <w:rFonts w:hint="eastAsia"/>
          <w:b/>
          <w:szCs w:val="21"/>
        </w:rPr>
        <w:t>17、补充条款</w:t>
      </w:r>
    </w:p>
    <w:p>
      <w:pPr>
        <w:adjustRightInd w:val="0"/>
        <w:snapToGrid w:val="0"/>
        <w:spacing w:line="360" w:lineRule="auto"/>
        <w:ind w:firstLine="480" w:firstLineChars="200"/>
        <w:rPr>
          <w:szCs w:val="21"/>
          <w:u w:val="single"/>
        </w:rPr>
      </w:pPr>
      <w:r>
        <w:rPr>
          <w:rFonts w:hint="eastAsia"/>
          <w:szCs w:val="21"/>
          <w:u w:val="single"/>
        </w:rPr>
        <w:t>17.1无论发包人是否给予了批准或同意，承包人应对现场作业、施工方法及所施工工程的完备性、稳定性和安全性承担全部责任，负责完成对工程的稳定、完整、安全、可靠及有效运行所必需的全部工作。</w:t>
      </w:r>
    </w:p>
    <w:p>
      <w:pPr>
        <w:snapToGrid w:val="0"/>
        <w:spacing w:line="360" w:lineRule="auto"/>
        <w:ind w:left="1" w:firstLine="480" w:firstLineChars="200"/>
        <w:rPr>
          <w:szCs w:val="21"/>
          <w:u w:val="single"/>
        </w:rPr>
      </w:pPr>
      <w:r>
        <w:rPr>
          <w:rFonts w:hint="eastAsia"/>
          <w:szCs w:val="21"/>
          <w:u w:val="single"/>
        </w:rPr>
        <w:t xml:space="preserve">17.2本工程严禁使用不合格或不符合设计要求的材料、草花等植物，一经发现，限期退场，不按要求退场的，造成的损失由承包人负责。使用不符合标准、规格、质量要求的工程材料、草花等植物由承包人无条件更换和返工。 </w:t>
      </w:r>
    </w:p>
    <w:p>
      <w:pPr>
        <w:adjustRightInd w:val="0"/>
        <w:snapToGrid w:val="0"/>
        <w:spacing w:line="360" w:lineRule="auto"/>
        <w:ind w:firstLine="480" w:firstLineChars="200"/>
        <w:rPr>
          <w:szCs w:val="21"/>
          <w:u w:val="single"/>
        </w:rPr>
      </w:pPr>
      <w:r>
        <w:rPr>
          <w:rFonts w:hint="eastAsia"/>
          <w:szCs w:val="21"/>
          <w:u w:val="single"/>
        </w:rPr>
        <w:t>17.3竣工验收前，承包人需提供完整的竣工验收资料，竣工验收后一个月内提供完整的竣工结算资料，承包人提供的所有资料必须满足工程备案要求。工程结算必须按规范编制，并经发包人确认后报审计部门审计。</w:t>
      </w:r>
    </w:p>
    <w:p>
      <w:pPr>
        <w:adjustRightInd w:val="0"/>
        <w:snapToGrid w:val="0"/>
        <w:spacing w:line="360" w:lineRule="auto"/>
        <w:ind w:firstLine="480" w:firstLineChars="200"/>
        <w:rPr>
          <w:szCs w:val="21"/>
          <w:u w:val="single"/>
        </w:rPr>
      </w:pPr>
      <w:r>
        <w:rPr>
          <w:rFonts w:hint="eastAsia"/>
          <w:szCs w:val="21"/>
          <w:u w:val="single"/>
        </w:rPr>
        <w:t>17.4在履行合同过程中，承包人不得转包，应遵守国家或地方的法律、法规、法令，或任何对工程有管辖权的部门的规章，并按要求支付有关费用。一经发现，取消承包资格，已完成的工程量不予结算。</w:t>
      </w:r>
    </w:p>
    <w:p>
      <w:pPr>
        <w:adjustRightInd w:val="0"/>
        <w:snapToGrid w:val="0"/>
        <w:spacing w:line="360" w:lineRule="auto"/>
        <w:ind w:firstLine="482"/>
        <w:rPr>
          <w:szCs w:val="21"/>
          <w:u w:val="single"/>
        </w:rPr>
      </w:pPr>
      <w:r>
        <w:rPr>
          <w:rFonts w:hint="eastAsia"/>
          <w:szCs w:val="21"/>
          <w:u w:val="single"/>
        </w:rPr>
        <w:t>17.5承包人在施工过程中必须文明、安全、规范施工，保持环境整洁，减少扰民影响，并就工地围墙、照明、防护、标志、警告信号和门卫等做出具体安排，若有违章行为按规定处罚，一切责任自负。</w:t>
      </w:r>
    </w:p>
    <w:p>
      <w:pPr>
        <w:adjustRightInd w:val="0"/>
        <w:snapToGrid w:val="0"/>
        <w:spacing w:line="360" w:lineRule="auto"/>
        <w:ind w:firstLine="480" w:firstLineChars="200"/>
        <w:rPr>
          <w:szCs w:val="21"/>
          <w:u w:val="single"/>
        </w:rPr>
      </w:pPr>
      <w:r>
        <w:rPr>
          <w:rFonts w:hint="eastAsia"/>
          <w:szCs w:val="21"/>
          <w:u w:val="single"/>
        </w:rPr>
        <w:t>17.6发生下列情况，承包人不向发包人收取任何费用：</w:t>
      </w:r>
    </w:p>
    <w:p>
      <w:pPr>
        <w:adjustRightInd w:val="0"/>
        <w:snapToGrid w:val="0"/>
        <w:spacing w:line="360" w:lineRule="auto"/>
        <w:ind w:firstLine="480" w:firstLineChars="200"/>
        <w:rPr>
          <w:szCs w:val="21"/>
          <w:u w:val="single"/>
        </w:rPr>
      </w:pPr>
      <w:r>
        <w:rPr>
          <w:rFonts w:hint="eastAsia"/>
          <w:szCs w:val="21"/>
          <w:u w:val="single"/>
        </w:rPr>
        <w:t>a承包人为了加快工程进度和保证进度和保证工程正常进行，采取的与经审核通过的施工组织设计所述不同的其他各种措施费用。</w:t>
      </w:r>
    </w:p>
    <w:p>
      <w:pPr>
        <w:adjustRightInd w:val="0"/>
        <w:snapToGrid w:val="0"/>
        <w:spacing w:line="360" w:lineRule="auto"/>
        <w:ind w:firstLine="480" w:firstLineChars="200"/>
        <w:rPr>
          <w:szCs w:val="21"/>
          <w:u w:val="single"/>
        </w:rPr>
      </w:pPr>
      <w:r>
        <w:rPr>
          <w:rFonts w:hint="eastAsia"/>
          <w:szCs w:val="21"/>
          <w:u w:val="single"/>
        </w:rPr>
        <w:t>b因施工场地狭小而发生的一切费用。</w:t>
      </w:r>
    </w:p>
    <w:p>
      <w:pPr>
        <w:adjustRightInd w:val="0"/>
        <w:snapToGrid w:val="0"/>
        <w:spacing w:line="360" w:lineRule="auto"/>
        <w:ind w:firstLine="480" w:firstLineChars="200"/>
        <w:rPr>
          <w:szCs w:val="21"/>
          <w:u w:val="single"/>
        </w:rPr>
      </w:pPr>
      <w:r>
        <w:rPr>
          <w:rFonts w:hint="eastAsia"/>
          <w:szCs w:val="21"/>
          <w:u w:val="single"/>
        </w:rPr>
        <w:t>c本工程的水源、电源已接至本工程范围内，再接至施工场地相关事宜由承包人自行安排所需费用。</w:t>
      </w:r>
    </w:p>
    <w:p>
      <w:pPr>
        <w:adjustRightInd w:val="0"/>
        <w:snapToGrid w:val="0"/>
        <w:spacing w:line="360" w:lineRule="auto"/>
        <w:ind w:firstLine="480" w:firstLineChars="200"/>
        <w:rPr>
          <w:szCs w:val="21"/>
          <w:u w:val="single"/>
        </w:rPr>
      </w:pPr>
      <w:r>
        <w:rPr>
          <w:rFonts w:hint="eastAsia"/>
          <w:szCs w:val="21"/>
          <w:u w:val="single"/>
        </w:rPr>
        <w:t>d承包人对工程周边的有关群众工作，工程实施范围内外的单位、个人和其他出现阻挠施工所发生的机械台班停置费、二次机械进退场费、人员窝工、处理周边群众纠纷等费用和损失。</w:t>
      </w:r>
    </w:p>
    <w:p>
      <w:pPr>
        <w:adjustRightInd w:val="0"/>
        <w:snapToGrid w:val="0"/>
        <w:spacing w:line="360" w:lineRule="auto"/>
        <w:ind w:firstLine="480" w:firstLineChars="200"/>
        <w:rPr>
          <w:szCs w:val="21"/>
          <w:u w:val="single"/>
        </w:rPr>
      </w:pPr>
      <w:r>
        <w:rPr>
          <w:rFonts w:hint="eastAsia"/>
          <w:szCs w:val="21"/>
          <w:u w:val="single"/>
        </w:rPr>
        <w:t>e施工期间清理所有建筑、生活垃圾。</w:t>
      </w:r>
    </w:p>
    <w:p>
      <w:pPr>
        <w:adjustRightInd w:val="0"/>
        <w:snapToGrid w:val="0"/>
        <w:spacing w:line="360" w:lineRule="auto"/>
        <w:ind w:firstLine="480" w:firstLineChars="200"/>
        <w:rPr>
          <w:szCs w:val="21"/>
          <w:u w:val="single"/>
        </w:rPr>
      </w:pPr>
      <w:r>
        <w:rPr>
          <w:rFonts w:hint="eastAsia"/>
          <w:szCs w:val="21"/>
          <w:u w:val="single"/>
        </w:rPr>
        <w:t>f承包人为了加快工程进度和保证工程正常进行，</w:t>
      </w:r>
    </w:p>
    <w:p>
      <w:pPr>
        <w:adjustRightInd w:val="0"/>
        <w:snapToGrid w:val="0"/>
        <w:spacing w:line="360" w:lineRule="auto"/>
        <w:ind w:firstLine="480" w:firstLineChars="200"/>
        <w:rPr>
          <w:szCs w:val="21"/>
          <w:u w:val="single"/>
        </w:rPr>
      </w:pPr>
      <w:r>
        <w:rPr>
          <w:rFonts w:hint="eastAsia"/>
          <w:szCs w:val="21"/>
          <w:u w:val="single"/>
        </w:rPr>
        <w:t>g本工程临时设施费用已列入本合同价中，工程结算时不作调整。</w:t>
      </w:r>
    </w:p>
    <w:p>
      <w:pPr>
        <w:snapToGrid w:val="0"/>
        <w:spacing w:line="360" w:lineRule="auto"/>
        <w:ind w:firstLine="480" w:firstLineChars="200"/>
        <w:rPr>
          <w:szCs w:val="21"/>
          <w:u w:val="single"/>
        </w:rPr>
      </w:pPr>
      <w:r>
        <w:rPr>
          <w:rFonts w:hint="eastAsia"/>
          <w:szCs w:val="21"/>
          <w:u w:val="single"/>
        </w:rPr>
        <w:t>H因本工程的四个地点均位于市中心地带，请投标单位充分考虑周边场地情况，不得以任何要求增加费用，各投标单位应提前踏勘现场，自行考虑交通、材料堆放等困难产生的费用，结算时不作调整。</w:t>
      </w:r>
    </w:p>
    <w:p>
      <w:pPr>
        <w:adjustRightInd w:val="0"/>
        <w:snapToGrid w:val="0"/>
        <w:spacing w:line="360" w:lineRule="auto"/>
        <w:ind w:firstLine="480" w:firstLineChars="200"/>
        <w:rPr>
          <w:szCs w:val="21"/>
          <w:u w:val="single"/>
        </w:rPr>
      </w:pPr>
      <w:r>
        <w:rPr>
          <w:rFonts w:hint="eastAsia"/>
          <w:szCs w:val="21"/>
          <w:u w:val="single"/>
        </w:rPr>
        <w:t>I竣工后至接到撤除通知期间的维护费（含草花更换）均包含在合同价中，如因上级部门要求，需延迟撤除的，超期两周内所需的维护费（含草花更换）不予另行签证支付，已包含在合同价中。</w:t>
      </w:r>
    </w:p>
    <w:p>
      <w:pPr>
        <w:adjustRightInd w:val="0"/>
        <w:snapToGrid w:val="0"/>
        <w:spacing w:line="360" w:lineRule="auto"/>
        <w:ind w:firstLine="480" w:firstLineChars="200"/>
        <w:rPr>
          <w:szCs w:val="21"/>
          <w:u w:val="single"/>
        </w:rPr>
      </w:pPr>
      <w:r>
        <w:rPr>
          <w:rFonts w:hint="eastAsia"/>
          <w:szCs w:val="21"/>
          <w:u w:val="single"/>
        </w:rPr>
        <w:t>17.7廉政规定：承包人在投标过程和今后的施工过程中必须严格遵守国家廉政纪律，不得向发包人及相关单位的有关人员请客送礼，一旦发现有违纪行为取消投标资格。</w:t>
      </w:r>
    </w:p>
    <w:p>
      <w:pPr>
        <w:adjustRightInd w:val="0"/>
        <w:snapToGrid w:val="0"/>
        <w:spacing w:line="360" w:lineRule="auto"/>
        <w:ind w:firstLine="480" w:firstLineChars="200"/>
        <w:rPr>
          <w:szCs w:val="21"/>
          <w:u w:val="single"/>
        </w:rPr>
      </w:pPr>
      <w:bookmarkStart w:id="48" w:name="_Toc351203652"/>
      <w:r>
        <w:rPr>
          <w:rFonts w:hint="eastAsia"/>
          <w:szCs w:val="21"/>
          <w:u w:val="single"/>
        </w:rPr>
        <w:t>17.8 草花（立体花卉）如有缺损、枯萎或设施损坏等现象，承包人必须立即更换或维修到位，相关费用已含在合同中，结算时不再调整。施工及养护期间，如被发包人或上级领导发现某地段缺损、枯萎面积超过10平方、且拒不及时整改到位的，发包人有权全额扣除质量履约保证金，并按实际缺损（枯萎）面积*投标单价*2进行违约金处理。</w:t>
      </w:r>
    </w:p>
    <w:bookmarkEnd w:id="48"/>
    <w:p>
      <w:pPr>
        <w:snapToGrid w:val="0"/>
        <w:spacing w:line="520" w:lineRule="exact"/>
        <w:jc w:val="left"/>
        <w:rPr>
          <w:b/>
          <w:bCs/>
          <w:sz w:val="28"/>
          <w:szCs w:val="28"/>
        </w:rPr>
      </w:pPr>
      <w:r>
        <w:rPr>
          <w:b/>
          <w:szCs w:val="21"/>
        </w:rPr>
        <w:br w:type="page"/>
      </w:r>
      <w:r>
        <w:rPr>
          <w:b/>
          <w:szCs w:val="21"/>
        </w:rPr>
        <w:t>附件</w:t>
      </w:r>
      <w:r>
        <w:rPr>
          <w:rFonts w:hint="eastAsia"/>
          <w:b/>
          <w:szCs w:val="21"/>
        </w:rPr>
        <w:t xml:space="preserve">1：                              </w:t>
      </w:r>
      <w:r>
        <w:rPr>
          <w:rFonts w:hint="eastAsia"/>
          <w:b/>
          <w:bCs/>
          <w:sz w:val="28"/>
          <w:szCs w:val="28"/>
        </w:rPr>
        <w:t>价格明细表</w:t>
      </w:r>
    </w:p>
    <w:tbl>
      <w:tblPr>
        <w:tblStyle w:val="61"/>
        <w:tblW w:w="95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
        <w:gridCol w:w="1747"/>
        <w:gridCol w:w="734"/>
        <w:gridCol w:w="1121"/>
        <w:gridCol w:w="1161"/>
        <w:gridCol w:w="1256"/>
        <w:gridCol w:w="3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1" w:type="dxa"/>
            <w:vAlign w:val="center"/>
          </w:tcPr>
          <w:p>
            <w:pPr>
              <w:snapToGrid w:val="0"/>
              <w:jc w:val="center"/>
              <w:rPr>
                <w:sz w:val="21"/>
                <w:szCs w:val="21"/>
              </w:rPr>
            </w:pPr>
            <w:r>
              <w:rPr>
                <w:rFonts w:hint="eastAsia"/>
                <w:sz w:val="21"/>
                <w:szCs w:val="21"/>
              </w:rPr>
              <w:t>一</w:t>
            </w:r>
          </w:p>
        </w:tc>
        <w:tc>
          <w:tcPr>
            <w:tcW w:w="9102" w:type="dxa"/>
            <w:gridSpan w:val="6"/>
            <w:vAlign w:val="center"/>
          </w:tcPr>
          <w:p>
            <w:pPr>
              <w:snapToGrid w:val="0"/>
              <w:rPr>
                <w:sz w:val="21"/>
                <w:szCs w:val="21"/>
              </w:rPr>
            </w:pPr>
            <w:r>
              <w:rPr>
                <w:rFonts w:hint="eastAsia"/>
                <w:sz w:val="21"/>
                <w:szCs w:val="21"/>
              </w:rPr>
              <w:t>设计费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91" w:type="dxa"/>
            <w:vAlign w:val="center"/>
          </w:tcPr>
          <w:p>
            <w:pPr>
              <w:snapToGrid w:val="0"/>
              <w:jc w:val="center"/>
              <w:rPr>
                <w:sz w:val="21"/>
                <w:szCs w:val="21"/>
              </w:rPr>
            </w:pPr>
            <w:r>
              <w:rPr>
                <w:rFonts w:hint="eastAsia"/>
                <w:sz w:val="21"/>
                <w:szCs w:val="21"/>
              </w:rPr>
              <w:t>序号</w:t>
            </w:r>
          </w:p>
        </w:tc>
        <w:tc>
          <w:tcPr>
            <w:tcW w:w="1747" w:type="dxa"/>
            <w:vAlign w:val="center"/>
          </w:tcPr>
          <w:p>
            <w:pPr>
              <w:snapToGrid w:val="0"/>
              <w:jc w:val="center"/>
              <w:rPr>
                <w:color w:val="auto"/>
                <w:sz w:val="21"/>
                <w:szCs w:val="21"/>
              </w:rPr>
            </w:pPr>
            <w:r>
              <w:rPr>
                <w:rFonts w:hint="eastAsia"/>
                <w:color w:val="auto"/>
                <w:sz w:val="21"/>
                <w:szCs w:val="21"/>
              </w:rPr>
              <w:t>项目名称</w:t>
            </w:r>
          </w:p>
        </w:tc>
        <w:tc>
          <w:tcPr>
            <w:tcW w:w="734" w:type="dxa"/>
            <w:vAlign w:val="center"/>
          </w:tcPr>
          <w:p>
            <w:pPr>
              <w:snapToGrid w:val="0"/>
              <w:jc w:val="center"/>
              <w:rPr>
                <w:color w:val="auto"/>
                <w:sz w:val="21"/>
                <w:szCs w:val="21"/>
              </w:rPr>
            </w:pPr>
            <w:r>
              <w:rPr>
                <w:rFonts w:hint="eastAsia"/>
                <w:color w:val="auto"/>
                <w:sz w:val="21"/>
                <w:szCs w:val="21"/>
              </w:rPr>
              <w:t>单位</w:t>
            </w:r>
          </w:p>
        </w:tc>
        <w:tc>
          <w:tcPr>
            <w:tcW w:w="1121" w:type="dxa"/>
            <w:vAlign w:val="center"/>
          </w:tcPr>
          <w:p>
            <w:pPr>
              <w:snapToGrid w:val="0"/>
              <w:jc w:val="center"/>
              <w:rPr>
                <w:color w:val="auto"/>
                <w:sz w:val="21"/>
                <w:szCs w:val="21"/>
              </w:rPr>
            </w:pPr>
            <w:r>
              <w:rPr>
                <w:rFonts w:hint="eastAsia"/>
                <w:color w:val="auto"/>
                <w:sz w:val="21"/>
                <w:szCs w:val="21"/>
              </w:rPr>
              <w:t>数量</w:t>
            </w:r>
          </w:p>
        </w:tc>
        <w:tc>
          <w:tcPr>
            <w:tcW w:w="1161" w:type="dxa"/>
            <w:vAlign w:val="center"/>
          </w:tcPr>
          <w:p>
            <w:pPr>
              <w:snapToGrid w:val="0"/>
              <w:jc w:val="center"/>
              <w:rPr>
                <w:rFonts w:hint="eastAsia" w:eastAsia="宋体"/>
                <w:color w:val="auto"/>
                <w:sz w:val="21"/>
                <w:szCs w:val="21"/>
                <w:lang w:eastAsia="zh-CN"/>
              </w:rPr>
            </w:pPr>
            <w:r>
              <w:rPr>
                <w:rFonts w:hint="eastAsia"/>
                <w:color w:val="auto"/>
                <w:sz w:val="21"/>
                <w:szCs w:val="21"/>
              </w:rPr>
              <w:t>单价</w:t>
            </w:r>
            <w:r>
              <w:rPr>
                <w:rFonts w:hint="eastAsia"/>
                <w:color w:val="auto"/>
                <w:sz w:val="21"/>
                <w:szCs w:val="21"/>
                <w:lang w:eastAsia="zh-CN"/>
              </w:rPr>
              <w:t>（元）</w:t>
            </w:r>
          </w:p>
        </w:tc>
        <w:tc>
          <w:tcPr>
            <w:tcW w:w="1256" w:type="dxa"/>
            <w:vAlign w:val="center"/>
          </w:tcPr>
          <w:p>
            <w:pPr>
              <w:snapToGrid w:val="0"/>
              <w:jc w:val="center"/>
              <w:rPr>
                <w:rFonts w:hint="eastAsia" w:eastAsia="宋体"/>
                <w:color w:val="auto"/>
                <w:sz w:val="21"/>
                <w:szCs w:val="21"/>
                <w:lang w:eastAsia="zh-CN"/>
              </w:rPr>
            </w:pPr>
            <w:r>
              <w:rPr>
                <w:rFonts w:hint="eastAsia"/>
                <w:color w:val="auto"/>
                <w:sz w:val="21"/>
                <w:szCs w:val="21"/>
              </w:rPr>
              <w:t>合计</w:t>
            </w:r>
            <w:r>
              <w:rPr>
                <w:rFonts w:hint="eastAsia"/>
                <w:color w:val="auto"/>
                <w:sz w:val="21"/>
                <w:szCs w:val="21"/>
                <w:lang w:eastAsia="zh-CN"/>
              </w:rPr>
              <w:t>（元）</w:t>
            </w:r>
          </w:p>
        </w:tc>
        <w:tc>
          <w:tcPr>
            <w:tcW w:w="3083" w:type="dxa"/>
            <w:vAlign w:val="center"/>
          </w:tcPr>
          <w:p>
            <w:pPr>
              <w:snapToGrid w:val="0"/>
              <w:jc w:val="center"/>
              <w:rPr>
                <w:color w:val="auto"/>
                <w:sz w:val="21"/>
                <w:szCs w:val="21"/>
              </w:rPr>
            </w:pPr>
            <w:r>
              <w:rPr>
                <w:rFonts w:hint="eastAsia"/>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91" w:type="dxa"/>
            <w:vAlign w:val="center"/>
          </w:tcPr>
          <w:p>
            <w:pPr>
              <w:snapToGrid w:val="0"/>
              <w:jc w:val="center"/>
              <w:rPr>
                <w:sz w:val="21"/>
                <w:szCs w:val="21"/>
              </w:rPr>
            </w:pPr>
            <w:r>
              <w:rPr>
                <w:rFonts w:hint="eastAsia"/>
                <w:sz w:val="21"/>
                <w:szCs w:val="21"/>
              </w:rPr>
              <w:t>1</w:t>
            </w:r>
          </w:p>
        </w:tc>
        <w:tc>
          <w:tcPr>
            <w:tcW w:w="1747" w:type="dxa"/>
            <w:vAlign w:val="center"/>
          </w:tcPr>
          <w:p>
            <w:pPr>
              <w:snapToGrid w:val="0"/>
              <w:rPr>
                <w:color w:val="auto"/>
                <w:sz w:val="21"/>
                <w:szCs w:val="21"/>
              </w:rPr>
            </w:pPr>
            <w:r>
              <w:rPr>
                <w:rFonts w:hint="eastAsia"/>
                <w:color w:val="auto"/>
                <w:sz w:val="21"/>
                <w:szCs w:val="21"/>
              </w:rPr>
              <w:t>设计费</w:t>
            </w:r>
          </w:p>
        </w:tc>
        <w:tc>
          <w:tcPr>
            <w:tcW w:w="734" w:type="dxa"/>
            <w:vAlign w:val="center"/>
          </w:tcPr>
          <w:p>
            <w:pPr>
              <w:snapToGrid w:val="0"/>
              <w:jc w:val="center"/>
              <w:rPr>
                <w:color w:val="auto"/>
                <w:sz w:val="21"/>
                <w:szCs w:val="21"/>
              </w:rPr>
            </w:pPr>
            <w:r>
              <w:rPr>
                <w:rFonts w:hint="eastAsia"/>
                <w:color w:val="auto"/>
                <w:sz w:val="21"/>
                <w:szCs w:val="21"/>
              </w:rPr>
              <w:t>项</w:t>
            </w:r>
          </w:p>
        </w:tc>
        <w:tc>
          <w:tcPr>
            <w:tcW w:w="1121"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snapToGrid w:val="0"/>
              <w:jc w:val="center"/>
              <w:rPr>
                <w:color w:val="auto"/>
                <w:sz w:val="21"/>
                <w:szCs w:val="21"/>
              </w:rPr>
            </w:pPr>
            <w:r>
              <w:rPr>
                <w:rFonts w:hint="eastAsia"/>
                <w:color w:val="auto"/>
                <w:sz w:val="21"/>
                <w:szCs w:val="21"/>
              </w:rPr>
              <w:t>5</w:t>
            </w:r>
            <w:r>
              <w:rPr>
                <w:rFonts w:hint="eastAsia"/>
                <w:color w:val="auto"/>
                <w:sz w:val="21"/>
                <w:szCs w:val="21"/>
                <w:lang w:val="en-US" w:eastAsia="zh-CN"/>
              </w:rPr>
              <w:t>5</w:t>
            </w:r>
            <w:r>
              <w:rPr>
                <w:rFonts w:hint="eastAsia"/>
                <w:color w:val="auto"/>
                <w:sz w:val="21"/>
                <w:szCs w:val="21"/>
              </w:rPr>
              <w:t>0</w:t>
            </w:r>
            <w:r>
              <w:rPr>
                <w:rFonts w:hint="eastAsia"/>
                <w:color w:val="auto"/>
                <w:sz w:val="21"/>
                <w:szCs w:val="21"/>
                <w:lang w:val="en-US" w:eastAsia="zh-CN"/>
              </w:rPr>
              <w:t>0</w:t>
            </w:r>
            <w:r>
              <w:rPr>
                <w:rFonts w:hint="eastAsia"/>
                <w:color w:val="auto"/>
                <w:sz w:val="21"/>
                <w:szCs w:val="21"/>
              </w:rPr>
              <w:t>0.00</w:t>
            </w:r>
          </w:p>
        </w:tc>
        <w:tc>
          <w:tcPr>
            <w:tcW w:w="1256" w:type="dxa"/>
            <w:vAlign w:val="center"/>
          </w:tcPr>
          <w:p>
            <w:pPr>
              <w:snapToGrid w:val="0"/>
              <w:jc w:val="center"/>
              <w:rPr>
                <w:color w:val="auto"/>
                <w:sz w:val="21"/>
                <w:szCs w:val="21"/>
              </w:rPr>
            </w:pPr>
            <w:r>
              <w:rPr>
                <w:rFonts w:hint="eastAsia"/>
                <w:color w:val="auto"/>
                <w:sz w:val="21"/>
                <w:szCs w:val="21"/>
              </w:rPr>
              <w:t>5</w:t>
            </w:r>
            <w:r>
              <w:rPr>
                <w:rFonts w:hint="eastAsia"/>
                <w:color w:val="auto"/>
                <w:sz w:val="21"/>
                <w:szCs w:val="21"/>
                <w:lang w:val="en-US" w:eastAsia="zh-CN"/>
              </w:rPr>
              <w:t>5</w:t>
            </w:r>
            <w:r>
              <w:rPr>
                <w:rFonts w:hint="eastAsia"/>
                <w:color w:val="auto"/>
                <w:sz w:val="21"/>
                <w:szCs w:val="21"/>
              </w:rPr>
              <w:t>000.00</w:t>
            </w:r>
          </w:p>
        </w:tc>
        <w:tc>
          <w:tcPr>
            <w:tcW w:w="3083" w:type="dxa"/>
            <w:vAlign w:val="center"/>
          </w:tcPr>
          <w:p>
            <w:pPr>
              <w:snapToGrid w:val="0"/>
              <w:jc w:val="left"/>
              <w:rPr>
                <w:color w:val="auto"/>
                <w:sz w:val="21"/>
                <w:szCs w:val="21"/>
              </w:rPr>
            </w:pPr>
            <w:r>
              <w:rPr>
                <w:rFonts w:hint="eastAsia"/>
                <w:color w:val="auto"/>
                <w:sz w:val="21"/>
                <w:szCs w:val="21"/>
              </w:rPr>
              <w:t>1、各投标人在报价时不得调整该费用。结算时按最终施工结算审计价的</w:t>
            </w:r>
            <w:r>
              <w:rPr>
                <w:rFonts w:hint="eastAsia"/>
                <w:color w:val="auto"/>
                <w:sz w:val="21"/>
                <w:szCs w:val="21"/>
                <w:lang w:val="en-US" w:eastAsia="zh-CN"/>
              </w:rPr>
              <w:t>4.5</w:t>
            </w:r>
            <w:r>
              <w:rPr>
                <w:rFonts w:hint="eastAsia"/>
                <w:color w:val="auto"/>
                <w:sz w:val="21"/>
                <w:szCs w:val="21"/>
              </w:rPr>
              <w:t>%计算。</w:t>
            </w:r>
          </w:p>
          <w:p>
            <w:pPr>
              <w:snapToGrid w:val="0"/>
              <w:jc w:val="left"/>
              <w:rPr>
                <w:color w:val="auto"/>
                <w:sz w:val="21"/>
                <w:szCs w:val="21"/>
              </w:rPr>
            </w:pPr>
            <w:r>
              <w:rPr>
                <w:rFonts w:hint="eastAsia"/>
                <w:color w:val="auto"/>
                <w:sz w:val="21"/>
                <w:szCs w:val="21"/>
              </w:rPr>
              <w:t>2、详见招标文件投标人须知15.3。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1" w:type="dxa"/>
            <w:vAlign w:val="center"/>
          </w:tcPr>
          <w:p>
            <w:pPr>
              <w:snapToGrid w:val="0"/>
              <w:jc w:val="center"/>
              <w:rPr>
                <w:sz w:val="21"/>
                <w:szCs w:val="21"/>
              </w:rPr>
            </w:pPr>
          </w:p>
        </w:tc>
        <w:tc>
          <w:tcPr>
            <w:tcW w:w="1747" w:type="dxa"/>
            <w:vAlign w:val="center"/>
          </w:tcPr>
          <w:p>
            <w:pPr>
              <w:snapToGrid w:val="0"/>
              <w:jc w:val="center"/>
              <w:rPr>
                <w:color w:val="auto"/>
                <w:sz w:val="21"/>
                <w:szCs w:val="21"/>
              </w:rPr>
            </w:pPr>
            <w:r>
              <w:rPr>
                <w:rFonts w:hint="eastAsia"/>
                <w:color w:val="auto"/>
                <w:sz w:val="21"/>
                <w:szCs w:val="21"/>
              </w:rPr>
              <w:t>小计</w:t>
            </w:r>
          </w:p>
        </w:tc>
        <w:tc>
          <w:tcPr>
            <w:tcW w:w="734" w:type="dxa"/>
            <w:vAlign w:val="center"/>
          </w:tcPr>
          <w:p>
            <w:pPr>
              <w:snapToGrid w:val="0"/>
              <w:jc w:val="center"/>
              <w:rPr>
                <w:color w:val="auto"/>
                <w:sz w:val="21"/>
                <w:szCs w:val="21"/>
              </w:rPr>
            </w:pPr>
          </w:p>
        </w:tc>
        <w:tc>
          <w:tcPr>
            <w:tcW w:w="1121" w:type="dxa"/>
            <w:vAlign w:val="center"/>
          </w:tcPr>
          <w:p>
            <w:pPr>
              <w:snapToGrid w:val="0"/>
              <w:jc w:val="center"/>
              <w:rPr>
                <w:color w:val="auto"/>
                <w:sz w:val="21"/>
                <w:szCs w:val="21"/>
              </w:rPr>
            </w:pPr>
          </w:p>
        </w:tc>
        <w:tc>
          <w:tcPr>
            <w:tcW w:w="1161" w:type="dxa"/>
            <w:vAlign w:val="center"/>
          </w:tcPr>
          <w:p>
            <w:pPr>
              <w:snapToGrid w:val="0"/>
              <w:jc w:val="center"/>
              <w:rPr>
                <w:color w:val="auto"/>
                <w:sz w:val="21"/>
                <w:szCs w:val="21"/>
              </w:rPr>
            </w:pPr>
          </w:p>
        </w:tc>
        <w:tc>
          <w:tcPr>
            <w:tcW w:w="1256" w:type="dxa"/>
            <w:vAlign w:val="center"/>
          </w:tcPr>
          <w:p>
            <w:pPr>
              <w:snapToGrid w:val="0"/>
              <w:jc w:val="center"/>
              <w:rPr>
                <w:color w:val="auto"/>
                <w:sz w:val="21"/>
                <w:szCs w:val="21"/>
              </w:rPr>
            </w:pPr>
            <w:r>
              <w:rPr>
                <w:rFonts w:hint="eastAsia"/>
                <w:color w:val="auto"/>
                <w:sz w:val="21"/>
                <w:szCs w:val="21"/>
              </w:rPr>
              <w:t>5</w:t>
            </w:r>
            <w:r>
              <w:rPr>
                <w:rFonts w:hint="eastAsia"/>
                <w:color w:val="auto"/>
                <w:sz w:val="21"/>
                <w:szCs w:val="21"/>
                <w:lang w:val="en-US" w:eastAsia="zh-CN"/>
              </w:rPr>
              <w:t>5</w:t>
            </w:r>
            <w:r>
              <w:rPr>
                <w:rFonts w:hint="eastAsia"/>
                <w:color w:val="auto"/>
                <w:sz w:val="21"/>
                <w:szCs w:val="21"/>
              </w:rPr>
              <w:t>000.00</w:t>
            </w:r>
          </w:p>
        </w:tc>
        <w:tc>
          <w:tcPr>
            <w:tcW w:w="3083" w:type="dxa"/>
            <w:vAlign w:val="center"/>
          </w:tcPr>
          <w:p>
            <w:pPr>
              <w:snapToGrid w:val="0"/>
              <w:jc w:val="left"/>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1" w:type="dxa"/>
            <w:vAlign w:val="center"/>
          </w:tcPr>
          <w:p>
            <w:pPr>
              <w:snapToGrid w:val="0"/>
              <w:jc w:val="center"/>
              <w:rPr>
                <w:sz w:val="21"/>
                <w:szCs w:val="21"/>
              </w:rPr>
            </w:pPr>
            <w:r>
              <w:rPr>
                <w:rFonts w:hint="eastAsia"/>
                <w:sz w:val="21"/>
                <w:szCs w:val="21"/>
              </w:rPr>
              <w:t>二</w:t>
            </w:r>
          </w:p>
        </w:tc>
        <w:tc>
          <w:tcPr>
            <w:tcW w:w="9102" w:type="dxa"/>
            <w:gridSpan w:val="6"/>
            <w:vAlign w:val="center"/>
          </w:tcPr>
          <w:p>
            <w:pPr>
              <w:snapToGrid w:val="0"/>
              <w:rPr>
                <w:color w:val="auto"/>
                <w:sz w:val="21"/>
                <w:szCs w:val="21"/>
              </w:rPr>
            </w:pPr>
            <w:r>
              <w:rPr>
                <w:rFonts w:hint="eastAsia"/>
                <w:color w:val="auto"/>
                <w:sz w:val="21"/>
                <w:szCs w:val="21"/>
              </w:rPr>
              <w:t>施工费（含1.5个月的养护期）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1" w:type="dxa"/>
            <w:vAlign w:val="center"/>
          </w:tcPr>
          <w:p>
            <w:pPr>
              <w:snapToGrid w:val="0"/>
              <w:jc w:val="center"/>
              <w:rPr>
                <w:sz w:val="21"/>
                <w:szCs w:val="21"/>
              </w:rPr>
            </w:pPr>
            <w:r>
              <w:rPr>
                <w:rFonts w:hint="eastAsia"/>
                <w:sz w:val="21"/>
                <w:szCs w:val="21"/>
              </w:rPr>
              <w:t>序号</w:t>
            </w:r>
          </w:p>
        </w:tc>
        <w:tc>
          <w:tcPr>
            <w:tcW w:w="1747" w:type="dxa"/>
            <w:vAlign w:val="center"/>
          </w:tcPr>
          <w:p>
            <w:pPr>
              <w:snapToGrid w:val="0"/>
              <w:jc w:val="center"/>
              <w:rPr>
                <w:color w:val="auto"/>
                <w:sz w:val="21"/>
                <w:szCs w:val="21"/>
              </w:rPr>
            </w:pPr>
            <w:r>
              <w:rPr>
                <w:rFonts w:hint="eastAsia"/>
                <w:color w:val="auto"/>
                <w:sz w:val="21"/>
                <w:szCs w:val="21"/>
              </w:rPr>
              <w:t>项目名称</w:t>
            </w:r>
          </w:p>
        </w:tc>
        <w:tc>
          <w:tcPr>
            <w:tcW w:w="734" w:type="dxa"/>
            <w:vAlign w:val="center"/>
          </w:tcPr>
          <w:p>
            <w:pPr>
              <w:snapToGrid w:val="0"/>
              <w:jc w:val="center"/>
              <w:rPr>
                <w:color w:val="auto"/>
                <w:sz w:val="21"/>
                <w:szCs w:val="21"/>
              </w:rPr>
            </w:pPr>
            <w:r>
              <w:rPr>
                <w:rFonts w:hint="eastAsia"/>
                <w:color w:val="auto"/>
                <w:sz w:val="21"/>
                <w:szCs w:val="21"/>
              </w:rPr>
              <w:t>单位</w:t>
            </w:r>
          </w:p>
        </w:tc>
        <w:tc>
          <w:tcPr>
            <w:tcW w:w="1121" w:type="dxa"/>
            <w:vAlign w:val="center"/>
          </w:tcPr>
          <w:p>
            <w:pPr>
              <w:snapToGrid w:val="0"/>
              <w:jc w:val="center"/>
              <w:rPr>
                <w:color w:val="auto"/>
                <w:sz w:val="21"/>
                <w:szCs w:val="21"/>
              </w:rPr>
            </w:pPr>
            <w:r>
              <w:rPr>
                <w:rFonts w:hint="eastAsia"/>
                <w:color w:val="auto"/>
                <w:sz w:val="21"/>
                <w:szCs w:val="21"/>
              </w:rPr>
              <w:t>设计面积</w:t>
            </w:r>
          </w:p>
          <w:p>
            <w:pPr>
              <w:snapToGrid w:val="0"/>
              <w:jc w:val="center"/>
              <w:rPr>
                <w:color w:val="auto"/>
                <w:sz w:val="21"/>
                <w:szCs w:val="21"/>
              </w:rPr>
            </w:pPr>
            <w:r>
              <w:rPr>
                <w:rFonts w:hint="eastAsia"/>
                <w:color w:val="auto"/>
                <w:sz w:val="21"/>
                <w:szCs w:val="21"/>
              </w:rPr>
              <w:t>或数量</w:t>
            </w:r>
          </w:p>
        </w:tc>
        <w:tc>
          <w:tcPr>
            <w:tcW w:w="1161" w:type="dxa"/>
            <w:vAlign w:val="center"/>
          </w:tcPr>
          <w:p>
            <w:pPr>
              <w:snapToGrid w:val="0"/>
              <w:jc w:val="center"/>
              <w:rPr>
                <w:rFonts w:hint="eastAsia" w:eastAsia="宋体"/>
                <w:color w:val="auto"/>
                <w:sz w:val="21"/>
                <w:szCs w:val="21"/>
                <w:lang w:eastAsia="zh-CN"/>
              </w:rPr>
            </w:pPr>
            <w:r>
              <w:rPr>
                <w:rFonts w:hint="eastAsia"/>
                <w:color w:val="auto"/>
                <w:sz w:val="21"/>
                <w:szCs w:val="21"/>
              </w:rPr>
              <w:t>单价</w:t>
            </w:r>
            <w:r>
              <w:rPr>
                <w:rFonts w:hint="eastAsia"/>
                <w:color w:val="auto"/>
                <w:sz w:val="21"/>
                <w:szCs w:val="21"/>
                <w:lang w:eastAsia="zh-CN"/>
              </w:rPr>
              <w:t>（元）</w:t>
            </w:r>
          </w:p>
        </w:tc>
        <w:tc>
          <w:tcPr>
            <w:tcW w:w="1256" w:type="dxa"/>
            <w:vAlign w:val="center"/>
          </w:tcPr>
          <w:p>
            <w:pPr>
              <w:snapToGrid w:val="0"/>
              <w:jc w:val="center"/>
              <w:rPr>
                <w:rFonts w:hint="eastAsia" w:eastAsia="宋体"/>
                <w:color w:val="auto"/>
                <w:sz w:val="21"/>
                <w:szCs w:val="21"/>
                <w:lang w:eastAsia="zh-CN"/>
              </w:rPr>
            </w:pPr>
            <w:r>
              <w:rPr>
                <w:rFonts w:hint="eastAsia"/>
                <w:color w:val="auto"/>
                <w:sz w:val="21"/>
                <w:szCs w:val="21"/>
              </w:rPr>
              <w:t>合计</w:t>
            </w:r>
            <w:r>
              <w:rPr>
                <w:rFonts w:hint="eastAsia"/>
                <w:color w:val="auto"/>
                <w:sz w:val="21"/>
                <w:szCs w:val="21"/>
                <w:lang w:eastAsia="zh-CN"/>
              </w:rPr>
              <w:t>（元）</w:t>
            </w:r>
          </w:p>
        </w:tc>
        <w:tc>
          <w:tcPr>
            <w:tcW w:w="3083" w:type="dxa"/>
            <w:vAlign w:val="center"/>
          </w:tcPr>
          <w:p>
            <w:pPr>
              <w:snapToGrid w:val="0"/>
              <w:jc w:val="center"/>
              <w:rPr>
                <w:color w:val="auto"/>
                <w:sz w:val="21"/>
                <w:szCs w:val="21"/>
              </w:rPr>
            </w:pPr>
            <w:r>
              <w:rPr>
                <w:rFonts w:hint="eastAsia"/>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1" w:type="dxa"/>
            <w:vAlign w:val="center"/>
          </w:tcPr>
          <w:p>
            <w:pPr>
              <w:snapToGrid w:val="0"/>
              <w:jc w:val="center"/>
              <w:rPr>
                <w:b/>
                <w:sz w:val="21"/>
                <w:szCs w:val="21"/>
              </w:rPr>
            </w:pPr>
            <w:r>
              <w:rPr>
                <w:rFonts w:hint="eastAsia"/>
                <w:sz w:val="21"/>
                <w:szCs w:val="21"/>
              </w:rPr>
              <w:t>1</w:t>
            </w:r>
          </w:p>
        </w:tc>
        <w:tc>
          <w:tcPr>
            <w:tcW w:w="1747" w:type="dxa"/>
            <w:vAlign w:val="center"/>
          </w:tcPr>
          <w:p>
            <w:pPr>
              <w:snapToGrid w:val="0"/>
              <w:jc w:val="left"/>
              <w:rPr>
                <w:b/>
                <w:color w:val="auto"/>
                <w:sz w:val="21"/>
                <w:szCs w:val="21"/>
              </w:rPr>
            </w:pPr>
            <w:r>
              <w:rPr>
                <w:rFonts w:hint="eastAsia"/>
                <w:color w:val="auto"/>
                <w:sz w:val="21"/>
                <w:szCs w:val="21"/>
              </w:rPr>
              <w:t>立体花卉（含骨架、基质及草花）</w:t>
            </w:r>
          </w:p>
        </w:tc>
        <w:tc>
          <w:tcPr>
            <w:tcW w:w="734" w:type="dxa"/>
            <w:vAlign w:val="center"/>
          </w:tcPr>
          <w:p>
            <w:pPr>
              <w:snapToGrid w:val="0"/>
              <w:jc w:val="center"/>
              <w:rPr>
                <w:b/>
                <w:color w:val="auto"/>
                <w:sz w:val="21"/>
                <w:szCs w:val="21"/>
              </w:rPr>
            </w:pPr>
            <w:r>
              <w:rPr>
                <w:rFonts w:hint="eastAsia"/>
                <w:color w:val="auto"/>
                <w:sz w:val="21"/>
                <w:szCs w:val="21"/>
              </w:rPr>
              <w:t>㎡</w:t>
            </w:r>
          </w:p>
        </w:tc>
        <w:tc>
          <w:tcPr>
            <w:tcW w:w="1121" w:type="dxa"/>
            <w:vAlign w:val="center"/>
          </w:tcPr>
          <w:p>
            <w:pPr>
              <w:snapToGrid w:val="0"/>
              <w:jc w:val="center"/>
              <w:rPr>
                <w:b/>
                <w:color w:val="auto"/>
                <w:sz w:val="21"/>
                <w:szCs w:val="21"/>
              </w:rPr>
            </w:pPr>
          </w:p>
        </w:tc>
        <w:tc>
          <w:tcPr>
            <w:tcW w:w="1161" w:type="dxa"/>
            <w:vAlign w:val="center"/>
          </w:tcPr>
          <w:p>
            <w:pPr>
              <w:snapToGrid w:val="0"/>
              <w:jc w:val="center"/>
              <w:rPr>
                <w:b/>
                <w:color w:val="auto"/>
                <w:sz w:val="21"/>
                <w:szCs w:val="21"/>
              </w:rPr>
            </w:pPr>
          </w:p>
        </w:tc>
        <w:tc>
          <w:tcPr>
            <w:tcW w:w="1256" w:type="dxa"/>
            <w:vAlign w:val="center"/>
          </w:tcPr>
          <w:p>
            <w:pPr>
              <w:snapToGrid w:val="0"/>
              <w:jc w:val="center"/>
              <w:rPr>
                <w:color w:val="auto"/>
                <w:sz w:val="21"/>
                <w:szCs w:val="21"/>
              </w:rPr>
            </w:pPr>
          </w:p>
        </w:tc>
        <w:tc>
          <w:tcPr>
            <w:tcW w:w="3083" w:type="dxa"/>
            <w:vAlign w:val="center"/>
          </w:tcPr>
          <w:p>
            <w:pPr>
              <w:snapToGrid w:val="0"/>
              <w:jc w:val="left"/>
              <w:rPr>
                <w:color w:val="auto"/>
                <w:sz w:val="21"/>
                <w:szCs w:val="21"/>
              </w:rPr>
            </w:pPr>
            <w:r>
              <w:rPr>
                <w:rFonts w:hint="eastAsia"/>
                <w:color w:val="auto"/>
                <w:sz w:val="21"/>
                <w:szCs w:val="21"/>
              </w:rPr>
              <w:t>1、每个地段主体造型一般不得低于5.5米。</w:t>
            </w:r>
          </w:p>
          <w:p>
            <w:pPr>
              <w:snapToGrid w:val="0"/>
              <w:jc w:val="left"/>
              <w:rPr>
                <w:color w:val="auto"/>
                <w:sz w:val="21"/>
                <w:szCs w:val="21"/>
              </w:rPr>
            </w:pPr>
            <w:r>
              <w:rPr>
                <w:rFonts w:hint="eastAsia"/>
                <w:color w:val="auto"/>
                <w:sz w:val="21"/>
                <w:szCs w:val="21"/>
              </w:rPr>
              <w:t>2、详见招标文件投标人须知15.4。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91" w:type="dxa"/>
            <w:vAlign w:val="center"/>
          </w:tcPr>
          <w:p>
            <w:pPr>
              <w:snapToGrid w:val="0"/>
              <w:jc w:val="center"/>
              <w:rPr>
                <w:sz w:val="21"/>
                <w:szCs w:val="21"/>
              </w:rPr>
            </w:pPr>
            <w:r>
              <w:rPr>
                <w:rFonts w:hint="eastAsia"/>
                <w:sz w:val="21"/>
                <w:szCs w:val="21"/>
              </w:rPr>
              <w:t>2</w:t>
            </w:r>
          </w:p>
        </w:tc>
        <w:tc>
          <w:tcPr>
            <w:tcW w:w="1747" w:type="dxa"/>
            <w:vAlign w:val="center"/>
          </w:tcPr>
          <w:p>
            <w:pPr>
              <w:snapToGrid w:val="0"/>
              <w:rPr>
                <w:color w:val="auto"/>
                <w:sz w:val="21"/>
                <w:szCs w:val="21"/>
              </w:rPr>
            </w:pPr>
            <w:r>
              <w:rPr>
                <w:rFonts w:hint="eastAsia"/>
                <w:color w:val="auto"/>
                <w:sz w:val="21"/>
                <w:szCs w:val="21"/>
              </w:rPr>
              <w:t>平面摆花</w:t>
            </w:r>
          </w:p>
        </w:tc>
        <w:tc>
          <w:tcPr>
            <w:tcW w:w="734" w:type="dxa"/>
            <w:vAlign w:val="center"/>
          </w:tcPr>
          <w:p>
            <w:pPr>
              <w:snapToGrid w:val="0"/>
              <w:jc w:val="center"/>
              <w:rPr>
                <w:color w:val="auto"/>
                <w:sz w:val="21"/>
                <w:szCs w:val="21"/>
              </w:rPr>
            </w:pPr>
            <w:r>
              <w:rPr>
                <w:rFonts w:hint="eastAsia"/>
                <w:color w:val="auto"/>
                <w:sz w:val="21"/>
                <w:szCs w:val="21"/>
              </w:rPr>
              <w:t>㎡</w:t>
            </w:r>
          </w:p>
        </w:tc>
        <w:tc>
          <w:tcPr>
            <w:tcW w:w="1121" w:type="dxa"/>
            <w:vAlign w:val="center"/>
          </w:tcPr>
          <w:p>
            <w:pPr>
              <w:snapToGrid w:val="0"/>
              <w:jc w:val="center"/>
              <w:rPr>
                <w:color w:val="auto"/>
                <w:sz w:val="21"/>
                <w:szCs w:val="21"/>
              </w:rPr>
            </w:pPr>
          </w:p>
        </w:tc>
        <w:tc>
          <w:tcPr>
            <w:tcW w:w="1161" w:type="dxa"/>
            <w:vAlign w:val="center"/>
          </w:tcPr>
          <w:p>
            <w:pPr>
              <w:snapToGrid w:val="0"/>
              <w:jc w:val="center"/>
              <w:rPr>
                <w:color w:val="auto"/>
                <w:sz w:val="21"/>
                <w:szCs w:val="21"/>
              </w:rPr>
            </w:pPr>
          </w:p>
        </w:tc>
        <w:tc>
          <w:tcPr>
            <w:tcW w:w="1256" w:type="dxa"/>
            <w:vAlign w:val="center"/>
          </w:tcPr>
          <w:p>
            <w:pPr>
              <w:snapToGrid w:val="0"/>
              <w:jc w:val="center"/>
              <w:rPr>
                <w:color w:val="auto"/>
                <w:sz w:val="21"/>
                <w:szCs w:val="21"/>
              </w:rPr>
            </w:pPr>
          </w:p>
        </w:tc>
        <w:tc>
          <w:tcPr>
            <w:tcW w:w="3083" w:type="dxa"/>
            <w:vAlign w:val="center"/>
          </w:tcPr>
          <w:p>
            <w:pPr>
              <w:snapToGrid w:val="0"/>
              <w:jc w:val="left"/>
              <w:rPr>
                <w:color w:val="auto"/>
                <w:sz w:val="21"/>
                <w:szCs w:val="21"/>
              </w:rPr>
            </w:pPr>
            <w:r>
              <w:rPr>
                <w:rFonts w:hint="eastAsia"/>
                <w:color w:val="auto"/>
                <w:sz w:val="21"/>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91" w:type="dxa"/>
            <w:vAlign w:val="center"/>
          </w:tcPr>
          <w:p>
            <w:pPr>
              <w:snapToGrid w:val="0"/>
              <w:jc w:val="center"/>
              <w:rPr>
                <w:sz w:val="21"/>
                <w:szCs w:val="21"/>
              </w:rPr>
            </w:pPr>
            <w:r>
              <w:rPr>
                <w:rFonts w:hint="eastAsia"/>
                <w:sz w:val="21"/>
                <w:szCs w:val="21"/>
              </w:rPr>
              <w:t>3</w:t>
            </w:r>
          </w:p>
        </w:tc>
        <w:tc>
          <w:tcPr>
            <w:tcW w:w="1747" w:type="dxa"/>
            <w:vAlign w:val="center"/>
          </w:tcPr>
          <w:p>
            <w:pPr>
              <w:snapToGrid w:val="0"/>
              <w:rPr>
                <w:color w:val="auto"/>
                <w:sz w:val="21"/>
                <w:szCs w:val="21"/>
              </w:rPr>
            </w:pPr>
            <w:r>
              <w:rPr>
                <w:rFonts w:hint="eastAsia"/>
                <w:color w:val="auto"/>
                <w:sz w:val="21"/>
                <w:szCs w:val="21"/>
              </w:rPr>
              <w:t>花球</w:t>
            </w:r>
          </w:p>
        </w:tc>
        <w:tc>
          <w:tcPr>
            <w:tcW w:w="734" w:type="dxa"/>
            <w:vAlign w:val="center"/>
          </w:tcPr>
          <w:p>
            <w:pPr>
              <w:snapToGrid w:val="0"/>
              <w:jc w:val="center"/>
              <w:rPr>
                <w:color w:val="auto"/>
                <w:sz w:val="21"/>
                <w:szCs w:val="21"/>
              </w:rPr>
            </w:pPr>
            <w:r>
              <w:rPr>
                <w:rFonts w:hint="eastAsia"/>
                <w:color w:val="auto"/>
                <w:sz w:val="21"/>
                <w:szCs w:val="21"/>
              </w:rPr>
              <w:t>㎡</w:t>
            </w:r>
          </w:p>
        </w:tc>
        <w:tc>
          <w:tcPr>
            <w:tcW w:w="1121" w:type="dxa"/>
            <w:vAlign w:val="center"/>
          </w:tcPr>
          <w:p>
            <w:pPr>
              <w:snapToGrid w:val="0"/>
              <w:jc w:val="center"/>
              <w:rPr>
                <w:color w:val="auto"/>
                <w:sz w:val="21"/>
                <w:szCs w:val="21"/>
              </w:rPr>
            </w:pPr>
          </w:p>
        </w:tc>
        <w:tc>
          <w:tcPr>
            <w:tcW w:w="1161" w:type="dxa"/>
            <w:vAlign w:val="center"/>
          </w:tcPr>
          <w:p>
            <w:pPr>
              <w:snapToGrid w:val="0"/>
              <w:jc w:val="center"/>
              <w:rPr>
                <w:color w:val="auto"/>
                <w:sz w:val="21"/>
                <w:szCs w:val="21"/>
              </w:rPr>
            </w:pPr>
          </w:p>
        </w:tc>
        <w:tc>
          <w:tcPr>
            <w:tcW w:w="1256" w:type="dxa"/>
            <w:vAlign w:val="center"/>
          </w:tcPr>
          <w:p>
            <w:pPr>
              <w:snapToGrid w:val="0"/>
              <w:jc w:val="center"/>
              <w:rPr>
                <w:color w:val="auto"/>
                <w:sz w:val="21"/>
                <w:szCs w:val="21"/>
              </w:rPr>
            </w:pPr>
          </w:p>
        </w:tc>
        <w:tc>
          <w:tcPr>
            <w:tcW w:w="3083" w:type="dxa"/>
            <w:vAlign w:val="center"/>
          </w:tcPr>
          <w:p>
            <w:pPr>
              <w:snapToGrid w:val="0"/>
              <w:jc w:val="left"/>
              <w:rPr>
                <w:color w:val="auto"/>
                <w:sz w:val="21"/>
                <w:szCs w:val="21"/>
              </w:rPr>
            </w:pPr>
            <w:r>
              <w:rPr>
                <w:rFonts w:hint="eastAsia"/>
                <w:color w:val="auto"/>
                <w:sz w:val="21"/>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91" w:type="dxa"/>
            <w:vAlign w:val="center"/>
          </w:tcPr>
          <w:p>
            <w:pPr>
              <w:snapToGrid w:val="0"/>
              <w:jc w:val="center"/>
              <w:rPr>
                <w:sz w:val="21"/>
                <w:szCs w:val="21"/>
              </w:rPr>
            </w:pPr>
            <w:r>
              <w:rPr>
                <w:rFonts w:hint="eastAsia"/>
                <w:sz w:val="21"/>
                <w:szCs w:val="21"/>
              </w:rPr>
              <w:t>4</w:t>
            </w:r>
          </w:p>
        </w:tc>
        <w:tc>
          <w:tcPr>
            <w:tcW w:w="1747" w:type="dxa"/>
            <w:vAlign w:val="center"/>
          </w:tcPr>
          <w:p>
            <w:pPr>
              <w:snapToGrid w:val="0"/>
              <w:rPr>
                <w:color w:val="auto"/>
                <w:sz w:val="21"/>
                <w:szCs w:val="21"/>
              </w:rPr>
            </w:pPr>
            <w:r>
              <w:rPr>
                <w:rFonts w:hint="eastAsia"/>
                <w:color w:val="auto"/>
                <w:sz w:val="21"/>
                <w:szCs w:val="21"/>
              </w:rPr>
              <w:t>花境</w:t>
            </w:r>
          </w:p>
        </w:tc>
        <w:tc>
          <w:tcPr>
            <w:tcW w:w="734" w:type="dxa"/>
            <w:vAlign w:val="center"/>
          </w:tcPr>
          <w:p>
            <w:pPr>
              <w:snapToGrid w:val="0"/>
              <w:jc w:val="center"/>
              <w:rPr>
                <w:color w:val="auto"/>
                <w:sz w:val="21"/>
                <w:szCs w:val="21"/>
              </w:rPr>
            </w:pPr>
            <w:r>
              <w:rPr>
                <w:rFonts w:hint="eastAsia"/>
                <w:color w:val="auto"/>
                <w:sz w:val="21"/>
                <w:szCs w:val="21"/>
              </w:rPr>
              <w:t>㎡</w:t>
            </w:r>
          </w:p>
        </w:tc>
        <w:tc>
          <w:tcPr>
            <w:tcW w:w="1121" w:type="dxa"/>
            <w:vAlign w:val="center"/>
          </w:tcPr>
          <w:p>
            <w:pPr>
              <w:snapToGrid w:val="0"/>
              <w:jc w:val="center"/>
              <w:rPr>
                <w:color w:val="auto"/>
                <w:sz w:val="21"/>
                <w:szCs w:val="21"/>
              </w:rPr>
            </w:pPr>
          </w:p>
        </w:tc>
        <w:tc>
          <w:tcPr>
            <w:tcW w:w="1161" w:type="dxa"/>
            <w:vAlign w:val="center"/>
          </w:tcPr>
          <w:p>
            <w:pPr>
              <w:snapToGrid w:val="0"/>
              <w:jc w:val="center"/>
              <w:rPr>
                <w:color w:val="auto"/>
                <w:sz w:val="21"/>
                <w:szCs w:val="21"/>
              </w:rPr>
            </w:pPr>
          </w:p>
        </w:tc>
        <w:tc>
          <w:tcPr>
            <w:tcW w:w="1256" w:type="dxa"/>
            <w:vAlign w:val="center"/>
          </w:tcPr>
          <w:p>
            <w:pPr>
              <w:snapToGrid w:val="0"/>
              <w:jc w:val="center"/>
              <w:rPr>
                <w:color w:val="auto"/>
                <w:sz w:val="21"/>
                <w:szCs w:val="21"/>
              </w:rPr>
            </w:pPr>
          </w:p>
        </w:tc>
        <w:tc>
          <w:tcPr>
            <w:tcW w:w="3083" w:type="dxa"/>
            <w:vAlign w:val="center"/>
          </w:tcPr>
          <w:p>
            <w:pPr>
              <w:snapToGrid w:val="0"/>
              <w:jc w:val="left"/>
              <w:rPr>
                <w:color w:val="auto"/>
                <w:sz w:val="21"/>
                <w:szCs w:val="21"/>
              </w:rPr>
            </w:pPr>
            <w:r>
              <w:rPr>
                <w:rFonts w:hint="eastAsia"/>
                <w:color w:val="auto"/>
                <w:sz w:val="21"/>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vAlign w:val="center"/>
          </w:tcPr>
          <w:p>
            <w:pPr>
              <w:snapToGrid w:val="0"/>
              <w:jc w:val="center"/>
              <w:rPr>
                <w:sz w:val="21"/>
                <w:szCs w:val="21"/>
              </w:rPr>
            </w:pPr>
            <w:r>
              <w:rPr>
                <w:rFonts w:hint="eastAsia"/>
                <w:sz w:val="21"/>
                <w:szCs w:val="21"/>
              </w:rPr>
              <w:t>5</w:t>
            </w:r>
          </w:p>
        </w:tc>
        <w:tc>
          <w:tcPr>
            <w:tcW w:w="1747" w:type="dxa"/>
            <w:vAlign w:val="center"/>
          </w:tcPr>
          <w:p>
            <w:pPr>
              <w:snapToGrid w:val="0"/>
              <w:rPr>
                <w:color w:val="auto"/>
                <w:sz w:val="21"/>
                <w:szCs w:val="21"/>
              </w:rPr>
            </w:pPr>
            <w:r>
              <w:rPr>
                <w:rFonts w:hint="eastAsia"/>
                <w:color w:val="auto"/>
                <w:sz w:val="21"/>
                <w:szCs w:val="21"/>
              </w:rPr>
              <w:t>配饰物等</w:t>
            </w:r>
          </w:p>
        </w:tc>
        <w:tc>
          <w:tcPr>
            <w:tcW w:w="734" w:type="dxa"/>
            <w:vAlign w:val="center"/>
          </w:tcPr>
          <w:p>
            <w:pPr>
              <w:snapToGrid w:val="0"/>
              <w:jc w:val="center"/>
              <w:rPr>
                <w:color w:val="auto"/>
                <w:sz w:val="21"/>
                <w:szCs w:val="21"/>
              </w:rPr>
            </w:pPr>
            <w:r>
              <w:rPr>
                <w:rFonts w:hint="eastAsia"/>
                <w:color w:val="auto"/>
                <w:sz w:val="21"/>
                <w:szCs w:val="21"/>
              </w:rPr>
              <w:t>项</w:t>
            </w:r>
          </w:p>
        </w:tc>
        <w:tc>
          <w:tcPr>
            <w:tcW w:w="1121"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snapToGrid w:val="0"/>
              <w:jc w:val="center"/>
              <w:rPr>
                <w:color w:val="auto"/>
                <w:sz w:val="21"/>
                <w:szCs w:val="21"/>
              </w:rPr>
            </w:pPr>
          </w:p>
        </w:tc>
        <w:tc>
          <w:tcPr>
            <w:tcW w:w="1256" w:type="dxa"/>
            <w:vAlign w:val="center"/>
          </w:tcPr>
          <w:p>
            <w:pPr>
              <w:snapToGrid w:val="0"/>
              <w:jc w:val="center"/>
              <w:rPr>
                <w:color w:val="auto"/>
                <w:sz w:val="21"/>
                <w:szCs w:val="21"/>
              </w:rPr>
            </w:pPr>
          </w:p>
        </w:tc>
        <w:tc>
          <w:tcPr>
            <w:tcW w:w="3083" w:type="dxa"/>
          </w:tcPr>
          <w:p>
            <w:pPr>
              <w:snapToGrid w:val="0"/>
              <w:rPr>
                <w:color w:val="auto"/>
                <w:sz w:val="21"/>
                <w:szCs w:val="21"/>
              </w:rPr>
            </w:pPr>
            <w:r>
              <w:rPr>
                <w:rFonts w:hint="eastAsia"/>
                <w:color w:val="auto"/>
                <w:sz w:val="21"/>
                <w:szCs w:val="21"/>
              </w:rPr>
              <w:t>小品、栅栏、绢花等配饰物，根据设计方案自行填报，表格自行扩展，单位、数量、单价根据方案设计自行确定。如未填此项，则视为对招标人的优惠。结算时不予调整该费用。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vAlign w:val="center"/>
          </w:tcPr>
          <w:p>
            <w:pPr>
              <w:snapToGrid w:val="0"/>
              <w:jc w:val="center"/>
              <w:rPr>
                <w:sz w:val="21"/>
                <w:szCs w:val="21"/>
              </w:rPr>
            </w:pPr>
            <w:r>
              <w:rPr>
                <w:rFonts w:hint="eastAsia"/>
                <w:sz w:val="21"/>
                <w:szCs w:val="21"/>
              </w:rPr>
              <w:t>6</w:t>
            </w:r>
          </w:p>
        </w:tc>
        <w:tc>
          <w:tcPr>
            <w:tcW w:w="1747" w:type="dxa"/>
            <w:vAlign w:val="center"/>
          </w:tcPr>
          <w:p>
            <w:pPr>
              <w:snapToGrid w:val="0"/>
              <w:rPr>
                <w:color w:val="auto"/>
                <w:sz w:val="21"/>
                <w:szCs w:val="21"/>
              </w:rPr>
            </w:pPr>
            <w:r>
              <w:rPr>
                <w:rFonts w:hint="eastAsia"/>
                <w:color w:val="auto"/>
                <w:sz w:val="21"/>
                <w:szCs w:val="21"/>
              </w:rPr>
              <w:t>亮化设施</w:t>
            </w:r>
          </w:p>
        </w:tc>
        <w:tc>
          <w:tcPr>
            <w:tcW w:w="734" w:type="dxa"/>
            <w:vAlign w:val="center"/>
          </w:tcPr>
          <w:p>
            <w:pPr>
              <w:snapToGrid w:val="0"/>
              <w:jc w:val="center"/>
              <w:rPr>
                <w:color w:val="auto"/>
                <w:sz w:val="21"/>
                <w:szCs w:val="21"/>
              </w:rPr>
            </w:pPr>
            <w:r>
              <w:rPr>
                <w:rFonts w:hint="eastAsia"/>
                <w:color w:val="auto"/>
                <w:sz w:val="21"/>
                <w:szCs w:val="21"/>
              </w:rPr>
              <w:t>项</w:t>
            </w:r>
          </w:p>
        </w:tc>
        <w:tc>
          <w:tcPr>
            <w:tcW w:w="1121"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snapToGrid w:val="0"/>
              <w:jc w:val="center"/>
              <w:rPr>
                <w:color w:val="auto"/>
                <w:sz w:val="21"/>
                <w:szCs w:val="21"/>
              </w:rPr>
            </w:pPr>
            <w:r>
              <w:rPr>
                <w:rFonts w:hint="eastAsia"/>
                <w:color w:val="auto"/>
                <w:sz w:val="21"/>
                <w:szCs w:val="21"/>
              </w:rPr>
              <w:t>1</w:t>
            </w:r>
            <w:r>
              <w:rPr>
                <w:rFonts w:hint="eastAsia"/>
                <w:color w:val="auto"/>
                <w:sz w:val="21"/>
                <w:szCs w:val="21"/>
                <w:lang w:val="en-US" w:eastAsia="zh-CN"/>
              </w:rPr>
              <w:t>4</w:t>
            </w:r>
            <w:r>
              <w:rPr>
                <w:rFonts w:hint="eastAsia"/>
                <w:color w:val="auto"/>
                <w:sz w:val="21"/>
                <w:szCs w:val="21"/>
              </w:rPr>
              <w:t>5000.00</w:t>
            </w:r>
          </w:p>
        </w:tc>
        <w:tc>
          <w:tcPr>
            <w:tcW w:w="1256" w:type="dxa"/>
            <w:vAlign w:val="center"/>
          </w:tcPr>
          <w:p>
            <w:pPr>
              <w:snapToGrid w:val="0"/>
              <w:jc w:val="center"/>
              <w:rPr>
                <w:color w:val="auto"/>
                <w:sz w:val="21"/>
                <w:szCs w:val="21"/>
              </w:rPr>
            </w:pPr>
            <w:r>
              <w:rPr>
                <w:rFonts w:hint="eastAsia"/>
                <w:color w:val="auto"/>
                <w:sz w:val="21"/>
                <w:szCs w:val="21"/>
              </w:rPr>
              <w:t>1</w:t>
            </w:r>
            <w:r>
              <w:rPr>
                <w:rFonts w:hint="eastAsia"/>
                <w:color w:val="auto"/>
                <w:sz w:val="21"/>
                <w:szCs w:val="21"/>
                <w:lang w:val="en-US" w:eastAsia="zh-CN"/>
              </w:rPr>
              <w:t>4</w:t>
            </w:r>
            <w:r>
              <w:rPr>
                <w:rFonts w:hint="eastAsia"/>
                <w:color w:val="auto"/>
                <w:sz w:val="21"/>
                <w:szCs w:val="21"/>
              </w:rPr>
              <w:t>5000.00</w:t>
            </w:r>
          </w:p>
        </w:tc>
        <w:tc>
          <w:tcPr>
            <w:tcW w:w="3083" w:type="dxa"/>
          </w:tcPr>
          <w:p>
            <w:pPr>
              <w:snapToGrid w:val="0"/>
              <w:rPr>
                <w:color w:val="auto"/>
                <w:sz w:val="21"/>
                <w:szCs w:val="21"/>
              </w:rPr>
            </w:pPr>
            <w:r>
              <w:rPr>
                <w:rFonts w:hint="eastAsia"/>
                <w:color w:val="auto"/>
                <w:sz w:val="21"/>
                <w:szCs w:val="21"/>
              </w:rPr>
              <w:t>1、各投标人在报价时不得调整该费用。</w:t>
            </w:r>
          </w:p>
          <w:p>
            <w:pPr>
              <w:snapToGrid w:val="0"/>
              <w:rPr>
                <w:color w:val="auto"/>
                <w:sz w:val="21"/>
                <w:szCs w:val="21"/>
              </w:rPr>
            </w:pPr>
            <w:r>
              <w:rPr>
                <w:rFonts w:hint="eastAsia"/>
                <w:color w:val="auto"/>
                <w:sz w:val="21"/>
                <w:szCs w:val="21"/>
              </w:rPr>
              <w:t>2、详见招标文件投标人须知15.6。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vAlign w:val="center"/>
          </w:tcPr>
          <w:p>
            <w:pPr>
              <w:snapToGrid w:val="0"/>
              <w:jc w:val="center"/>
              <w:rPr>
                <w:sz w:val="21"/>
                <w:szCs w:val="21"/>
              </w:rPr>
            </w:pPr>
            <w:r>
              <w:rPr>
                <w:rFonts w:hint="eastAsia"/>
                <w:sz w:val="21"/>
                <w:szCs w:val="21"/>
              </w:rPr>
              <w:t>7</w:t>
            </w:r>
          </w:p>
        </w:tc>
        <w:tc>
          <w:tcPr>
            <w:tcW w:w="1747" w:type="dxa"/>
            <w:vAlign w:val="center"/>
          </w:tcPr>
          <w:p>
            <w:pPr>
              <w:snapToGrid w:val="0"/>
              <w:rPr>
                <w:color w:val="auto"/>
                <w:sz w:val="21"/>
                <w:szCs w:val="21"/>
              </w:rPr>
            </w:pPr>
            <w:r>
              <w:rPr>
                <w:rFonts w:hint="eastAsia"/>
                <w:color w:val="auto"/>
                <w:sz w:val="21"/>
                <w:szCs w:val="21"/>
              </w:rPr>
              <w:t>暂列金额</w:t>
            </w:r>
          </w:p>
        </w:tc>
        <w:tc>
          <w:tcPr>
            <w:tcW w:w="734" w:type="dxa"/>
            <w:vAlign w:val="center"/>
          </w:tcPr>
          <w:p>
            <w:pPr>
              <w:snapToGrid w:val="0"/>
              <w:jc w:val="center"/>
              <w:rPr>
                <w:color w:val="auto"/>
                <w:sz w:val="21"/>
                <w:szCs w:val="21"/>
              </w:rPr>
            </w:pPr>
            <w:r>
              <w:rPr>
                <w:rFonts w:hint="eastAsia"/>
                <w:color w:val="auto"/>
                <w:sz w:val="21"/>
                <w:szCs w:val="21"/>
              </w:rPr>
              <w:t>项</w:t>
            </w:r>
          </w:p>
        </w:tc>
        <w:tc>
          <w:tcPr>
            <w:tcW w:w="1121"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snapToGrid w:val="0"/>
              <w:jc w:val="center"/>
              <w:rPr>
                <w:color w:val="auto"/>
                <w:sz w:val="21"/>
                <w:szCs w:val="21"/>
              </w:rPr>
            </w:pPr>
            <w:r>
              <w:rPr>
                <w:rFonts w:hint="eastAsia"/>
                <w:color w:val="auto"/>
                <w:sz w:val="21"/>
                <w:szCs w:val="21"/>
              </w:rPr>
              <w:t>150000.00</w:t>
            </w:r>
          </w:p>
        </w:tc>
        <w:tc>
          <w:tcPr>
            <w:tcW w:w="1256" w:type="dxa"/>
            <w:vAlign w:val="center"/>
          </w:tcPr>
          <w:p>
            <w:pPr>
              <w:snapToGrid w:val="0"/>
              <w:jc w:val="center"/>
              <w:rPr>
                <w:color w:val="auto"/>
                <w:sz w:val="21"/>
                <w:szCs w:val="21"/>
              </w:rPr>
            </w:pPr>
            <w:r>
              <w:rPr>
                <w:rFonts w:hint="eastAsia"/>
                <w:color w:val="auto"/>
                <w:sz w:val="21"/>
                <w:szCs w:val="21"/>
              </w:rPr>
              <w:t>150000.00</w:t>
            </w:r>
          </w:p>
        </w:tc>
        <w:tc>
          <w:tcPr>
            <w:tcW w:w="3083" w:type="dxa"/>
          </w:tcPr>
          <w:p>
            <w:pPr>
              <w:snapToGrid w:val="0"/>
              <w:rPr>
                <w:color w:val="auto"/>
                <w:sz w:val="21"/>
                <w:szCs w:val="21"/>
              </w:rPr>
            </w:pPr>
            <w:r>
              <w:rPr>
                <w:rFonts w:hint="eastAsia"/>
                <w:color w:val="auto"/>
                <w:sz w:val="21"/>
                <w:szCs w:val="21"/>
              </w:rPr>
              <w:t>1、各投标人在报价时不得调整该费用。</w:t>
            </w:r>
          </w:p>
          <w:p>
            <w:pPr>
              <w:snapToGrid w:val="0"/>
              <w:rPr>
                <w:color w:val="auto"/>
                <w:sz w:val="21"/>
                <w:szCs w:val="21"/>
              </w:rPr>
            </w:pPr>
            <w:r>
              <w:rPr>
                <w:rFonts w:hint="eastAsia"/>
                <w:color w:val="auto"/>
                <w:sz w:val="21"/>
                <w:szCs w:val="21"/>
              </w:rPr>
              <w:t>2、详见招标文件投标人须知15.7。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1" w:type="dxa"/>
            <w:vAlign w:val="center"/>
          </w:tcPr>
          <w:p>
            <w:pPr>
              <w:snapToGrid w:val="0"/>
              <w:jc w:val="center"/>
              <w:rPr>
                <w:sz w:val="21"/>
                <w:szCs w:val="21"/>
              </w:rPr>
            </w:pPr>
          </w:p>
        </w:tc>
        <w:tc>
          <w:tcPr>
            <w:tcW w:w="1747" w:type="dxa"/>
            <w:vAlign w:val="center"/>
          </w:tcPr>
          <w:p>
            <w:pPr>
              <w:snapToGrid w:val="0"/>
              <w:jc w:val="center"/>
              <w:rPr>
                <w:color w:val="auto"/>
                <w:sz w:val="21"/>
                <w:szCs w:val="21"/>
              </w:rPr>
            </w:pPr>
            <w:r>
              <w:rPr>
                <w:rFonts w:hint="eastAsia"/>
                <w:color w:val="auto"/>
                <w:sz w:val="21"/>
                <w:szCs w:val="21"/>
              </w:rPr>
              <w:t>小计</w:t>
            </w:r>
          </w:p>
        </w:tc>
        <w:tc>
          <w:tcPr>
            <w:tcW w:w="734" w:type="dxa"/>
            <w:vAlign w:val="center"/>
          </w:tcPr>
          <w:p>
            <w:pPr>
              <w:snapToGrid w:val="0"/>
              <w:jc w:val="center"/>
              <w:rPr>
                <w:color w:val="auto"/>
                <w:sz w:val="21"/>
                <w:szCs w:val="21"/>
              </w:rPr>
            </w:pPr>
          </w:p>
        </w:tc>
        <w:tc>
          <w:tcPr>
            <w:tcW w:w="1121" w:type="dxa"/>
            <w:vAlign w:val="center"/>
          </w:tcPr>
          <w:p>
            <w:pPr>
              <w:snapToGrid w:val="0"/>
              <w:jc w:val="center"/>
              <w:rPr>
                <w:color w:val="auto"/>
                <w:sz w:val="21"/>
                <w:szCs w:val="21"/>
              </w:rPr>
            </w:pPr>
          </w:p>
        </w:tc>
        <w:tc>
          <w:tcPr>
            <w:tcW w:w="1161" w:type="dxa"/>
          </w:tcPr>
          <w:p>
            <w:pPr>
              <w:snapToGrid w:val="0"/>
              <w:rPr>
                <w:color w:val="auto"/>
                <w:sz w:val="21"/>
                <w:szCs w:val="21"/>
              </w:rPr>
            </w:pPr>
          </w:p>
        </w:tc>
        <w:tc>
          <w:tcPr>
            <w:tcW w:w="1256" w:type="dxa"/>
            <w:vAlign w:val="center"/>
          </w:tcPr>
          <w:p>
            <w:pPr>
              <w:snapToGrid w:val="0"/>
              <w:jc w:val="center"/>
              <w:rPr>
                <w:color w:val="auto"/>
                <w:sz w:val="21"/>
                <w:szCs w:val="21"/>
              </w:rPr>
            </w:pPr>
          </w:p>
        </w:tc>
        <w:tc>
          <w:tcPr>
            <w:tcW w:w="3083" w:type="dxa"/>
          </w:tcPr>
          <w:p>
            <w:pPr>
              <w:snapToGrid w:val="0"/>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1" w:type="dxa"/>
            <w:vAlign w:val="center"/>
          </w:tcPr>
          <w:p>
            <w:pPr>
              <w:snapToGrid w:val="0"/>
              <w:jc w:val="center"/>
              <w:rPr>
                <w:sz w:val="21"/>
                <w:szCs w:val="21"/>
              </w:rPr>
            </w:pPr>
            <w:r>
              <w:rPr>
                <w:rFonts w:hint="eastAsia"/>
                <w:sz w:val="21"/>
                <w:szCs w:val="21"/>
              </w:rPr>
              <w:t>三</w:t>
            </w:r>
          </w:p>
        </w:tc>
        <w:tc>
          <w:tcPr>
            <w:tcW w:w="9102" w:type="dxa"/>
            <w:gridSpan w:val="6"/>
            <w:vAlign w:val="center"/>
          </w:tcPr>
          <w:p>
            <w:pPr>
              <w:snapToGrid w:val="0"/>
              <w:rPr>
                <w:color w:val="auto"/>
                <w:sz w:val="21"/>
                <w:szCs w:val="21"/>
              </w:rPr>
            </w:pPr>
            <w:r>
              <w:rPr>
                <w:rFonts w:hint="eastAsia"/>
                <w:color w:val="auto"/>
                <w:sz w:val="21"/>
                <w:szCs w:val="21"/>
              </w:rPr>
              <w:t>其他费用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dxa"/>
            <w:vAlign w:val="center"/>
          </w:tcPr>
          <w:p>
            <w:pPr>
              <w:snapToGrid w:val="0"/>
              <w:jc w:val="center"/>
              <w:rPr>
                <w:sz w:val="21"/>
                <w:szCs w:val="21"/>
              </w:rPr>
            </w:pPr>
            <w:r>
              <w:rPr>
                <w:rFonts w:hint="eastAsia"/>
                <w:sz w:val="21"/>
                <w:szCs w:val="21"/>
              </w:rPr>
              <w:t>序号</w:t>
            </w:r>
          </w:p>
        </w:tc>
        <w:tc>
          <w:tcPr>
            <w:tcW w:w="1747" w:type="dxa"/>
            <w:vAlign w:val="center"/>
          </w:tcPr>
          <w:p>
            <w:pPr>
              <w:snapToGrid w:val="0"/>
              <w:jc w:val="center"/>
              <w:rPr>
                <w:color w:val="auto"/>
                <w:sz w:val="21"/>
                <w:szCs w:val="21"/>
              </w:rPr>
            </w:pPr>
            <w:r>
              <w:rPr>
                <w:rFonts w:hint="eastAsia"/>
                <w:color w:val="auto"/>
                <w:sz w:val="21"/>
                <w:szCs w:val="21"/>
              </w:rPr>
              <w:t>项目名称</w:t>
            </w:r>
          </w:p>
        </w:tc>
        <w:tc>
          <w:tcPr>
            <w:tcW w:w="734" w:type="dxa"/>
            <w:vAlign w:val="center"/>
          </w:tcPr>
          <w:p>
            <w:pPr>
              <w:snapToGrid w:val="0"/>
              <w:jc w:val="center"/>
              <w:rPr>
                <w:color w:val="auto"/>
                <w:sz w:val="21"/>
                <w:szCs w:val="21"/>
              </w:rPr>
            </w:pPr>
            <w:r>
              <w:rPr>
                <w:rFonts w:hint="eastAsia"/>
                <w:color w:val="auto"/>
                <w:sz w:val="21"/>
                <w:szCs w:val="21"/>
              </w:rPr>
              <w:t>单位</w:t>
            </w:r>
          </w:p>
        </w:tc>
        <w:tc>
          <w:tcPr>
            <w:tcW w:w="1121" w:type="dxa"/>
            <w:vAlign w:val="center"/>
          </w:tcPr>
          <w:p>
            <w:pPr>
              <w:snapToGrid w:val="0"/>
              <w:jc w:val="center"/>
              <w:rPr>
                <w:color w:val="auto"/>
                <w:sz w:val="21"/>
                <w:szCs w:val="21"/>
              </w:rPr>
            </w:pPr>
            <w:r>
              <w:rPr>
                <w:rFonts w:hint="eastAsia"/>
                <w:color w:val="auto"/>
                <w:sz w:val="21"/>
                <w:szCs w:val="21"/>
              </w:rPr>
              <w:t>数量</w:t>
            </w:r>
          </w:p>
        </w:tc>
        <w:tc>
          <w:tcPr>
            <w:tcW w:w="1161" w:type="dxa"/>
            <w:vAlign w:val="center"/>
          </w:tcPr>
          <w:p>
            <w:pPr>
              <w:snapToGrid w:val="0"/>
              <w:jc w:val="center"/>
              <w:rPr>
                <w:rFonts w:hint="eastAsia" w:eastAsia="宋体"/>
                <w:color w:val="auto"/>
                <w:sz w:val="21"/>
                <w:szCs w:val="21"/>
                <w:lang w:eastAsia="zh-CN"/>
              </w:rPr>
            </w:pPr>
            <w:r>
              <w:rPr>
                <w:rFonts w:hint="eastAsia"/>
                <w:color w:val="auto"/>
                <w:sz w:val="21"/>
                <w:szCs w:val="21"/>
              </w:rPr>
              <w:t>单价</w:t>
            </w:r>
            <w:r>
              <w:rPr>
                <w:rFonts w:hint="eastAsia"/>
                <w:color w:val="auto"/>
                <w:sz w:val="21"/>
                <w:szCs w:val="21"/>
                <w:lang w:eastAsia="zh-CN"/>
              </w:rPr>
              <w:t>（元）</w:t>
            </w:r>
          </w:p>
        </w:tc>
        <w:tc>
          <w:tcPr>
            <w:tcW w:w="1256" w:type="dxa"/>
            <w:vAlign w:val="center"/>
          </w:tcPr>
          <w:p>
            <w:pPr>
              <w:snapToGrid w:val="0"/>
              <w:jc w:val="center"/>
              <w:rPr>
                <w:rFonts w:hint="eastAsia" w:eastAsia="宋体"/>
                <w:color w:val="auto"/>
                <w:sz w:val="21"/>
                <w:szCs w:val="21"/>
                <w:lang w:eastAsia="zh-CN"/>
              </w:rPr>
            </w:pPr>
            <w:r>
              <w:rPr>
                <w:rFonts w:hint="eastAsia"/>
                <w:color w:val="auto"/>
                <w:sz w:val="21"/>
                <w:szCs w:val="21"/>
              </w:rPr>
              <w:t>合计</w:t>
            </w:r>
            <w:r>
              <w:rPr>
                <w:rFonts w:hint="eastAsia"/>
                <w:color w:val="auto"/>
                <w:sz w:val="21"/>
                <w:szCs w:val="21"/>
                <w:lang w:eastAsia="zh-CN"/>
              </w:rPr>
              <w:t>（元）</w:t>
            </w:r>
          </w:p>
        </w:tc>
        <w:tc>
          <w:tcPr>
            <w:tcW w:w="3083" w:type="dxa"/>
            <w:vAlign w:val="center"/>
          </w:tcPr>
          <w:p>
            <w:pPr>
              <w:snapToGrid w:val="0"/>
              <w:jc w:val="center"/>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dxa"/>
            <w:vAlign w:val="center"/>
          </w:tcPr>
          <w:p>
            <w:pPr>
              <w:snapToGrid w:val="0"/>
              <w:jc w:val="center"/>
              <w:rPr>
                <w:sz w:val="21"/>
                <w:szCs w:val="21"/>
              </w:rPr>
            </w:pPr>
            <w:r>
              <w:rPr>
                <w:rFonts w:hint="eastAsia"/>
                <w:sz w:val="21"/>
                <w:szCs w:val="21"/>
              </w:rPr>
              <w:t>1</w:t>
            </w:r>
          </w:p>
        </w:tc>
        <w:tc>
          <w:tcPr>
            <w:tcW w:w="1747" w:type="dxa"/>
            <w:vAlign w:val="center"/>
          </w:tcPr>
          <w:p>
            <w:pPr>
              <w:snapToGrid w:val="0"/>
              <w:rPr>
                <w:color w:val="auto"/>
                <w:sz w:val="21"/>
                <w:szCs w:val="21"/>
              </w:rPr>
            </w:pPr>
            <w:r>
              <w:rPr>
                <w:rFonts w:hint="eastAsia"/>
                <w:color w:val="auto"/>
                <w:sz w:val="21"/>
                <w:szCs w:val="21"/>
              </w:rPr>
              <w:t>代理费、评审费</w:t>
            </w:r>
          </w:p>
        </w:tc>
        <w:tc>
          <w:tcPr>
            <w:tcW w:w="734" w:type="dxa"/>
            <w:vAlign w:val="center"/>
          </w:tcPr>
          <w:p>
            <w:pPr>
              <w:snapToGrid w:val="0"/>
              <w:jc w:val="center"/>
              <w:rPr>
                <w:color w:val="auto"/>
                <w:sz w:val="21"/>
                <w:szCs w:val="21"/>
              </w:rPr>
            </w:pPr>
            <w:r>
              <w:rPr>
                <w:rFonts w:hint="eastAsia"/>
                <w:color w:val="auto"/>
                <w:sz w:val="21"/>
                <w:szCs w:val="21"/>
              </w:rPr>
              <w:t>项</w:t>
            </w:r>
          </w:p>
        </w:tc>
        <w:tc>
          <w:tcPr>
            <w:tcW w:w="1121"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snapToGrid w:val="0"/>
              <w:jc w:val="center"/>
              <w:rPr>
                <w:color w:val="auto"/>
                <w:sz w:val="21"/>
                <w:szCs w:val="21"/>
              </w:rPr>
            </w:pPr>
            <w:r>
              <w:rPr>
                <w:rFonts w:hint="eastAsia"/>
                <w:color w:val="auto"/>
                <w:sz w:val="21"/>
                <w:szCs w:val="21"/>
              </w:rPr>
              <w:t>10000.00</w:t>
            </w:r>
          </w:p>
        </w:tc>
        <w:tc>
          <w:tcPr>
            <w:tcW w:w="1256" w:type="dxa"/>
            <w:vAlign w:val="center"/>
          </w:tcPr>
          <w:p>
            <w:pPr>
              <w:snapToGrid w:val="0"/>
              <w:jc w:val="center"/>
              <w:rPr>
                <w:color w:val="auto"/>
                <w:sz w:val="21"/>
                <w:szCs w:val="21"/>
              </w:rPr>
            </w:pPr>
            <w:r>
              <w:rPr>
                <w:rFonts w:hint="eastAsia"/>
                <w:color w:val="auto"/>
                <w:sz w:val="21"/>
                <w:szCs w:val="21"/>
              </w:rPr>
              <w:t>10000.00</w:t>
            </w:r>
          </w:p>
        </w:tc>
        <w:tc>
          <w:tcPr>
            <w:tcW w:w="3083" w:type="dxa"/>
          </w:tcPr>
          <w:p>
            <w:pPr>
              <w:snapToGrid w:val="0"/>
              <w:rPr>
                <w:color w:val="auto"/>
                <w:sz w:val="21"/>
                <w:szCs w:val="21"/>
              </w:rPr>
            </w:pPr>
            <w:r>
              <w:rPr>
                <w:rFonts w:hint="eastAsia"/>
                <w:color w:val="auto"/>
                <w:sz w:val="21"/>
                <w:szCs w:val="21"/>
              </w:rPr>
              <w:t>1、各投标人在报价时不得调整该费用，在领取中标通知书时一次性向代理单位按规定结算，按实缴清</w:t>
            </w:r>
          </w:p>
          <w:p>
            <w:pPr>
              <w:snapToGrid w:val="0"/>
              <w:rPr>
                <w:color w:val="auto"/>
                <w:sz w:val="21"/>
                <w:szCs w:val="21"/>
              </w:rPr>
            </w:pPr>
            <w:r>
              <w:rPr>
                <w:rFonts w:hint="eastAsia"/>
                <w:color w:val="auto"/>
                <w:sz w:val="21"/>
                <w:szCs w:val="21"/>
              </w:rPr>
              <w:t>2、详见招标文件投标人须知15.8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dxa"/>
            <w:vAlign w:val="center"/>
          </w:tcPr>
          <w:p>
            <w:pPr>
              <w:snapToGrid w:val="0"/>
              <w:jc w:val="center"/>
              <w:rPr>
                <w:sz w:val="21"/>
                <w:szCs w:val="21"/>
              </w:rPr>
            </w:pPr>
          </w:p>
        </w:tc>
        <w:tc>
          <w:tcPr>
            <w:tcW w:w="1747" w:type="dxa"/>
            <w:vAlign w:val="center"/>
          </w:tcPr>
          <w:p>
            <w:pPr>
              <w:snapToGrid w:val="0"/>
              <w:jc w:val="center"/>
              <w:rPr>
                <w:color w:val="auto"/>
                <w:sz w:val="21"/>
                <w:szCs w:val="21"/>
              </w:rPr>
            </w:pPr>
            <w:r>
              <w:rPr>
                <w:rFonts w:hint="eastAsia"/>
                <w:color w:val="auto"/>
                <w:sz w:val="21"/>
                <w:szCs w:val="21"/>
              </w:rPr>
              <w:t>小计</w:t>
            </w:r>
          </w:p>
        </w:tc>
        <w:tc>
          <w:tcPr>
            <w:tcW w:w="734" w:type="dxa"/>
            <w:vAlign w:val="center"/>
          </w:tcPr>
          <w:p>
            <w:pPr>
              <w:snapToGrid w:val="0"/>
              <w:jc w:val="center"/>
              <w:rPr>
                <w:color w:val="auto"/>
                <w:sz w:val="21"/>
                <w:szCs w:val="21"/>
              </w:rPr>
            </w:pPr>
          </w:p>
        </w:tc>
        <w:tc>
          <w:tcPr>
            <w:tcW w:w="1121" w:type="dxa"/>
            <w:vAlign w:val="center"/>
          </w:tcPr>
          <w:p>
            <w:pPr>
              <w:snapToGrid w:val="0"/>
              <w:jc w:val="center"/>
              <w:rPr>
                <w:color w:val="auto"/>
                <w:sz w:val="21"/>
                <w:szCs w:val="21"/>
              </w:rPr>
            </w:pPr>
          </w:p>
        </w:tc>
        <w:tc>
          <w:tcPr>
            <w:tcW w:w="1161" w:type="dxa"/>
            <w:vAlign w:val="center"/>
          </w:tcPr>
          <w:p>
            <w:pPr>
              <w:snapToGrid w:val="0"/>
              <w:jc w:val="center"/>
              <w:rPr>
                <w:color w:val="auto"/>
                <w:sz w:val="21"/>
                <w:szCs w:val="21"/>
              </w:rPr>
            </w:pPr>
          </w:p>
        </w:tc>
        <w:tc>
          <w:tcPr>
            <w:tcW w:w="1256" w:type="dxa"/>
            <w:vAlign w:val="center"/>
          </w:tcPr>
          <w:p>
            <w:pPr>
              <w:snapToGrid w:val="0"/>
              <w:jc w:val="center"/>
              <w:rPr>
                <w:color w:val="auto"/>
                <w:sz w:val="21"/>
                <w:szCs w:val="21"/>
              </w:rPr>
            </w:pPr>
            <w:r>
              <w:rPr>
                <w:rFonts w:hint="eastAsia"/>
                <w:color w:val="auto"/>
                <w:sz w:val="21"/>
                <w:szCs w:val="21"/>
              </w:rPr>
              <w:t>10000.00</w:t>
            </w:r>
          </w:p>
        </w:tc>
        <w:tc>
          <w:tcPr>
            <w:tcW w:w="3083" w:type="dxa"/>
          </w:tcPr>
          <w:p>
            <w:pPr>
              <w:snapToGrid w:val="0"/>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491" w:type="dxa"/>
            <w:vAlign w:val="center"/>
          </w:tcPr>
          <w:p>
            <w:pPr>
              <w:snapToGrid w:val="0"/>
              <w:jc w:val="center"/>
              <w:rPr>
                <w:sz w:val="21"/>
                <w:szCs w:val="21"/>
              </w:rPr>
            </w:pPr>
            <w:r>
              <w:rPr>
                <w:rFonts w:hint="eastAsia"/>
                <w:sz w:val="21"/>
                <w:szCs w:val="21"/>
              </w:rPr>
              <w:t>四</w:t>
            </w:r>
          </w:p>
        </w:tc>
        <w:tc>
          <w:tcPr>
            <w:tcW w:w="1747" w:type="dxa"/>
            <w:vAlign w:val="center"/>
          </w:tcPr>
          <w:p>
            <w:pPr>
              <w:snapToGrid w:val="0"/>
              <w:jc w:val="center"/>
              <w:rPr>
                <w:color w:val="auto"/>
                <w:sz w:val="21"/>
                <w:szCs w:val="21"/>
              </w:rPr>
            </w:pPr>
            <w:r>
              <w:rPr>
                <w:rFonts w:hint="eastAsia"/>
                <w:color w:val="auto"/>
                <w:sz w:val="21"/>
                <w:szCs w:val="21"/>
              </w:rPr>
              <w:t>以上合计</w:t>
            </w:r>
          </w:p>
        </w:tc>
        <w:tc>
          <w:tcPr>
            <w:tcW w:w="734" w:type="dxa"/>
            <w:vAlign w:val="center"/>
          </w:tcPr>
          <w:p>
            <w:pPr>
              <w:snapToGrid w:val="0"/>
              <w:jc w:val="center"/>
              <w:rPr>
                <w:color w:val="auto"/>
                <w:sz w:val="21"/>
                <w:szCs w:val="21"/>
              </w:rPr>
            </w:pPr>
          </w:p>
        </w:tc>
        <w:tc>
          <w:tcPr>
            <w:tcW w:w="1121" w:type="dxa"/>
            <w:vAlign w:val="center"/>
          </w:tcPr>
          <w:p>
            <w:pPr>
              <w:snapToGrid w:val="0"/>
              <w:jc w:val="center"/>
              <w:rPr>
                <w:color w:val="auto"/>
                <w:sz w:val="21"/>
                <w:szCs w:val="21"/>
              </w:rPr>
            </w:pPr>
          </w:p>
        </w:tc>
        <w:tc>
          <w:tcPr>
            <w:tcW w:w="1161" w:type="dxa"/>
          </w:tcPr>
          <w:p>
            <w:pPr>
              <w:snapToGrid w:val="0"/>
              <w:rPr>
                <w:color w:val="auto"/>
                <w:sz w:val="21"/>
                <w:szCs w:val="21"/>
              </w:rPr>
            </w:pPr>
          </w:p>
        </w:tc>
        <w:tc>
          <w:tcPr>
            <w:tcW w:w="1256" w:type="dxa"/>
            <w:vAlign w:val="center"/>
          </w:tcPr>
          <w:p>
            <w:pPr>
              <w:snapToGrid w:val="0"/>
              <w:jc w:val="center"/>
              <w:rPr>
                <w:color w:val="auto"/>
                <w:sz w:val="21"/>
                <w:szCs w:val="21"/>
              </w:rPr>
            </w:pPr>
          </w:p>
        </w:tc>
        <w:tc>
          <w:tcPr>
            <w:tcW w:w="3083" w:type="dxa"/>
          </w:tcPr>
          <w:p>
            <w:pPr>
              <w:snapToGrid w:val="0"/>
              <w:rPr>
                <w:color w:val="auto"/>
                <w:sz w:val="21"/>
                <w:szCs w:val="21"/>
              </w:rPr>
            </w:pPr>
          </w:p>
        </w:tc>
      </w:tr>
    </w:tbl>
    <w:p>
      <w:pPr>
        <w:widowControl/>
        <w:adjustRightInd w:val="0"/>
        <w:snapToGrid w:val="0"/>
        <w:spacing w:line="360" w:lineRule="auto"/>
        <w:outlineLvl w:val="2"/>
        <w:rPr>
          <w:b/>
          <w:szCs w:val="21"/>
        </w:rPr>
      </w:pPr>
      <w:r>
        <w:rPr>
          <w:b/>
          <w:szCs w:val="21"/>
        </w:rPr>
        <w:br w:type="page"/>
      </w:r>
      <w:r>
        <w:rPr>
          <w:rFonts w:hint="eastAsia"/>
          <w:b/>
          <w:szCs w:val="21"/>
        </w:rPr>
        <w:t>附件2：工程质量保修书</w:t>
      </w:r>
    </w:p>
    <w:p>
      <w:pPr>
        <w:spacing w:line="400" w:lineRule="exact"/>
        <w:jc w:val="center"/>
        <w:rPr>
          <w:szCs w:val="21"/>
        </w:rPr>
      </w:pPr>
      <w:r>
        <w:rPr>
          <w:rFonts w:hint="eastAsia"/>
          <w:szCs w:val="21"/>
        </w:rPr>
        <w:t>工程质量保修书</w:t>
      </w:r>
    </w:p>
    <w:p>
      <w:pPr>
        <w:adjustRightInd w:val="0"/>
        <w:snapToGrid w:val="0"/>
        <w:spacing w:line="400" w:lineRule="exact"/>
        <w:ind w:firstLine="400" w:firstLineChars="200"/>
        <w:jc w:val="left"/>
        <w:rPr>
          <w:sz w:val="20"/>
        </w:rPr>
      </w:pPr>
    </w:p>
    <w:p>
      <w:pPr>
        <w:adjustRightInd w:val="0"/>
        <w:snapToGrid w:val="0"/>
        <w:spacing w:line="360" w:lineRule="auto"/>
        <w:ind w:firstLine="480" w:firstLineChars="200"/>
        <w:jc w:val="left"/>
        <w:rPr>
          <w:szCs w:val="21"/>
        </w:rPr>
      </w:pPr>
      <w:r>
        <w:rPr>
          <w:rFonts w:hint="eastAsia"/>
          <w:szCs w:val="21"/>
        </w:rPr>
        <w:t xml:space="preserve">甲方： </w:t>
      </w:r>
      <w:r>
        <w:rPr>
          <w:rFonts w:hint="eastAsia"/>
          <w:szCs w:val="21"/>
          <w:u w:val="single"/>
        </w:rPr>
        <w:t xml:space="preserve"> 南通市濠河景区管理办公室</w:t>
      </w:r>
    </w:p>
    <w:p>
      <w:pPr>
        <w:adjustRightInd w:val="0"/>
        <w:snapToGrid w:val="0"/>
        <w:spacing w:line="360" w:lineRule="auto"/>
        <w:ind w:firstLine="480" w:firstLineChars="200"/>
        <w:jc w:val="left"/>
        <w:rPr>
          <w:szCs w:val="21"/>
        </w:rPr>
      </w:pPr>
      <w:r>
        <w:rPr>
          <w:rFonts w:hint="eastAsia"/>
          <w:szCs w:val="21"/>
        </w:rPr>
        <w:t xml:space="preserve">乙方： </w:t>
      </w:r>
      <w:r>
        <w:rPr>
          <w:rFonts w:hint="eastAsia"/>
          <w:szCs w:val="21"/>
          <w:u w:val="single"/>
        </w:rPr>
        <w:t xml:space="preserve">                          </w:t>
      </w:r>
    </w:p>
    <w:p>
      <w:pPr>
        <w:spacing w:line="360" w:lineRule="auto"/>
        <w:rPr>
          <w:szCs w:val="21"/>
        </w:rPr>
      </w:pPr>
      <w:r>
        <w:rPr>
          <w:rFonts w:hint="eastAsia"/>
          <w:szCs w:val="21"/>
        </w:rPr>
        <w:t xml:space="preserve">    发包人和承包人根据《中华人民共和国建筑法》和《建设工程质量管理条例》，经协商一致就 </w:t>
      </w:r>
      <w:r>
        <w:rPr>
          <w:rFonts w:hint="eastAsia"/>
          <w:szCs w:val="21"/>
          <w:u w:val="single"/>
        </w:rPr>
        <w:t xml:space="preserve">                              </w:t>
      </w:r>
      <w:r>
        <w:rPr>
          <w:rFonts w:hint="eastAsia"/>
          <w:szCs w:val="21"/>
        </w:rPr>
        <w:t>（工程全称）签订工程质量保修书。</w:t>
      </w:r>
    </w:p>
    <w:p>
      <w:pPr>
        <w:spacing w:line="360" w:lineRule="auto"/>
        <w:rPr>
          <w:szCs w:val="21"/>
        </w:rPr>
      </w:pPr>
      <w:r>
        <w:rPr>
          <w:rFonts w:hint="eastAsia"/>
          <w:szCs w:val="21"/>
        </w:rPr>
        <w:t xml:space="preserve">    一、工程质量保修范围和内容</w:t>
      </w:r>
    </w:p>
    <w:p>
      <w:pPr>
        <w:spacing w:line="360" w:lineRule="auto"/>
        <w:rPr>
          <w:szCs w:val="21"/>
        </w:rPr>
      </w:pPr>
      <w:r>
        <w:rPr>
          <w:rFonts w:hint="eastAsia"/>
          <w:szCs w:val="21"/>
        </w:rPr>
        <w:t xml:space="preserve">    承包人在质量保修期内，按照有关法律规定和合同约定，承担工程质量保修责任。</w:t>
      </w:r>
    </w:p>
    <w:p>
      <w:pPr>
        <w:spacing w:line="360" w:lineRule="auto"/>
        <w:rPr>
          <w:szCs w:val="21"/>
        </w:rPr>
      </w:pPr>
      <w:r>
        <w:rPr>
          <w:rFonts w:hint="eastAsia"/>
          <w:szCs w:val="21"/>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u w:val="single"/>
        </w:rPr>
        <w:t>承包人承包人所施工的内容。</w:t>
      </w:r>
    </w:p>
    <w:p>
      <w:pPr>
        <w:spacing w:line="360" w:lineRule="auto"/>
        <w:rPr>
          <w:szCs w:val="21"/>
        </w:rPr>
      </w:pPr>
      <w:r>
        <w:rPr>
          <w:rFonts w:hint="eastAsia"/>
          <w:szCs w:val="21"/>
        </w:rPr>
        <w:t xml:space="preserve">    二、质量保修期</w:t>
      </w:r>
    </w:p>
    <w:p>
      <w:pPr>
        <w:spacing w:line="360" w:lineRule="auto"/>
        <w:rPr>
          <w:szCs w:val="21"/>
        </w:rPr>
      </w:pPr>
      <w:r>
        <w:rPr>
          <w:rFonts w:hint="eastAsia"/>
          <w:szCs w:val="21"/>
        </w:rPr>
        <w:t xml:space="preserve">    根据《建设工程质量管理条例》及有关规定，工程的质量保修期如下：</w:t>
      </w:r>
    </w:p>
    <w:p>
      <w:pPr>
        <w:spacing w:line="360" w:lineRule="auto"/>
        <w:rPr>
          <w:szCs w:val="21"/>
        </w:rPr>
      </w:pPr>
      <w:r>
        <w:rPr>
          <w:rFonts w:hint="eastAsia"/>
          <w:szCs w:val="21"/>
        </w:rPr>
        <w:t xml:space="preserve">    1．地基基础工程和主体结构工程为设计文件规定的工程合理使用年限；</w:t>
      </w:r>
    </w:p>
    <w:p>
      <w:pPr>
        <w:spacing w:line="360" w:lineRule="auto"/>
        <w:rPr>
          <w:szCs w:val="21"/>
        </w:rPr>
      </w:pPr>
      <w:r>
        <w:rPr>
          <w:rFonts w:hint="eastAsia"/>
          <w:szCs w:val="21"/>
        </w:rPr>
        <w:t xml:space="preserve">    2．屋面防水工程、有防水要求的卫生间、房间和外墙面的防渗为</w:t>
      </w:r>
      <w:r>
        <w:rPr>
          <w:rFonts w:hint="eastAsia"/>
          <w:b/>
          <w:bCs/>
          <w:szCs w:val="21"/>
          <w:u w:val="single"/>
        </w:rPr>
        <w:t xml:space="preserve"> / </w:t>
      </w:r>
      <w:r>
        <w:rPr>
          <w:rFonts w:hint="eastAsia"/>
          <w:szCs w:val="21"/>
        </w:rPr>
        <w:t>年；</w:t>
      </w:r>
    </w:p>
    <w:p>
      <w:pPr>
        <w:spacing w:line="360" w:lineRule="auto"/>
        <w:rPr>
          <w:szCs w:val="21"/>
        </w:rPr>
      </w:pPr>
      <w:r>
        <w:rPr>
          <w:rFonts w:hint="eastAsia"/>
          <w:szCs w:val="21"/>
        </w:rPr>
        <w:t xml:space="preserve">    3．装修工程为</w:t>
      </w:r>
      <w:r>
        <w:rPr>
          <w:rFonts w:hint="eastAsia"/>
          <w:b/>
          <w:bCs/>
          <w:szCs w:val="21"/>
          <w:u w:val="single"/>
        </w:rPr>
        <w:t xml:space="preserve"> /  </w:t>
      </w:r>
      <w:r>
        <w:rPr>
          <w:rFonts w:hint="eastAsia"/>
          <w:szCs w:val="21"/>
        </w:rPr>
        <w:t>年；</w:t>
      </w:r>
    </w:p>
    <w:p>
      <w:pPr>
        <w:spacing w:line="360" w:lineRule="auto"/>
        <w:rPr>
          <w:szCs w:val="21"/>
        </w:rPr>
      </w:pPr>
      <w:r>
        <w:rPr>
          <w:rFonts w:hint="eastAsia"/>
          <w:szCs w:val="21"/>
        </w:rPr>
        <w:t xml:space="preserve">    4．电气管线、给排水管道、设备安装工程为</w:t>
      </w:r>
      <w:r>
        <w:rPr>
          <w:rFonts w:hint="eastAsia"/>
          <w:b/>
          <w:bCs/>
          <w:szCs w:val="21"/>
          <w:u w:val="single"/>
        </w:rPr>
        <w:t xml:space="preserve">  /  </w:t>
      </w:r>
      <w:r>
        <w:rPr>
          <w:rFonts w:hint="eastAsia"/>
          <w:szCs w:val="21"/>
        </w:rPr>
        <w:t>年；</w:t>
      </w:r>
    </w:p>
    <w:p>
      <w:pPr>
        <w:spacing w:line="360" w:lineRule="auto"/>
        <w:rPr>
          <w:szCs w:val="21"/>
        </w:rPr>
      </w:pPr>
      <w:r>
        <w:rPr>
          <w:rFonts w:hint="eastAsia"/>
          <w:szCs w:val="21"/>
        </w:rPr>
        <w:t xml:space="preserve">    5．供热与供冷系统为</w:t>
      </w:r>
      <w:r>
        <w:rPr>
          <w:rFonts w:hint="eastAsia"/>
          <w:b/>
          <w:bCs/>
          <w:szCs w:val="21"/>
          <w:u w:val="single"/>
        </w:rPr>
        <w:t xml:space="preserve"> /  </w:t>
      </w:r>
      <w:r>
        <w:rPr>
          <w:rFonts w:hint="eastAsia"/>
          <w:szCs w:val="21"/>
        </w:rPr>
        <w:t>个采暖期、供冷期；</w:t>
      </w:r>
    </w:p>
    <w:p>
      <w:pPr>
        <w:spacing w:line="360" w:lineRule="auto"/>
        <w:rPr>
          <w:szCs w:val="21"/>
        </w:rPr>
      </w:pPr>
      <w:r>
        <w:rPr>
          <w:rFonts w:hint="eastAsia"/>
          <w:szCs w:val="21"/>
        </w:rPr>
        <w:t xml:space="preserve">    6．住宅小区内的给排水设施、道路等配套工程为</w:t>
      </w:r>
      <w:r>
        <w:rPr>
          <w:rFonts w:hint="eastAsia"/>
          <w:b/>
          <w:bCs/>
          <w:szCs w:val="21"/>
          <w:u w:val="single"/>
        </w:rPr>
        <w:t xml:space="preserve">  /   </w:t>
      </w:r>
      <w:r>
        <w:rPr>
          <w:rFonts w:hint="eastAsia"/>
          <w:szCs w:val="21"/>
        </w:rPr>
        <w:t>年；</w:t>
      </w:r>
    </w:p>
    <w:p>
      <w:pPr>
        <w:spacing w:line="360" w:lineRule="auto"/>
        <w:ind w:firstLine="480" w:firstLineChars="200"/>
        <w:rPr>
          <w:szCs w:val="21"/>
        </w:rPr>
      </w:pPr>
      <w:r>
        <w:rPr>
          <w:rFonts w:hint="eastAsia"/>
          <w:szCs w:val="21"/>
        </w:rPr>
        <w:t>7．其他项目保修期限约定如下：</w:t>
      </w:r>
      <w:r>
        <w:rPr>
          <w:rFonts w:hint="eastAsia"/>
          <w:b/>
          <w:bCs/>
          <w:szCs w:val="21"/>
          <w:u w:val="single"/>
        </w:rPr>
        <w:t>本工程保修（养护）期自工程竣工验收合格之日至按发包人要求撤除</w:t>
      </w:r>
      <w:r>
        <w:rPr>
          <w:rFonts w:hint="eastAsia"/>
          <w:b/>
          <w:bCs/>
          <w:szCs w:val="21"/>
        </w:rPr>
        <w:t>。</w:t>
      </w:r>
    </w:p>
    <w:p>
      <w:pPr>
        <w:spacing w:line="360" w:lineRule="auto"/>
        <w:rPr>
          <w:szCs w:val="21"/>
        </w:rPr>
      </w:pPr>
      <w:r>
        <w:rPr>
          <w:rFonts w:hint="eastAsia"/>
          <w:szCs w:val="21"/>
        </w:rPr>
        <w:t xml:space="preserve">    三、缺陷责任期</w:t>
      </w:r>
    </w:p>
    <w:p>
      <w:pPr>
        <w:spacing w:line="360" w:lineRule="auto"/>
        <w:rPr>
          <w:szCs w:val="21"/>
        </w:rPr>
      </w:pPr>
      <w:r>
        <w:rPr>
          <w:rFonts w:hint="eastAsia"/>
          <w:szCs w:val="21"/>
        </w:rPr>
        <w:t xml:space="preserve">    工程缺陷责任期为</w:t>
      </w:r>
      <w:r>
        <w:rPr>
          <w:rFonts w:hint="eastAsia"/>
          <w:b/>
          <w:bCs/>
          <w:szCs w:val="21"/>
          <w:u w:val="single"/>
        </w:rPr>
        <w:t xml:space="preserve"> 自工程竣工验收合格之日至按发包人要求撤除</w:t>
      </w:r>
      <w:r>
        <w:rPr>
          <w:rFonts w:hint="eastAsia"/>
          <w:szCs w:val="21"/>
        </w:rPr>
        <w:t>，缺陷责任期自工程竣工验收合格之日起计算。单位工程先于全部工程进行验收，单位工程缺陷责任期自单位工程验收合格之日起算。</w:t>
      </w:r>
    </w:p>
    <w:p>
      <w:pPr>
        <w:spacing w:line="360" w:lineRule="auto"/>
        <w:rPr>
          <w:szCs w:val="21"/>
        </w:rPr>
      </w:pPr>
      <w:r>
        <w:rPr>
          <w:rFonts w:hint="eastAsia"/>
          <w:szCs w:val="21"/>
        </w:rPr>
        <w:t xml:space="preserve">    缺陷责任期终止后，发包人应退还剩余的质量保证金。</w:t>
      </w:r>
    </w:p>
    <w:p>
      <w:pPr>
        <w:spacing w:line="360" w:lineRule="auto"/>
        <w:rPr>
          <w:szCs w:val="21"/>
        </w:rPr>
      </w:pPr>
      <w:r>
        <w:rPr>
          <w:rFonts w:hint="eastAsia"/>
          <w:szCs w:val="21"/>
        </w:rPr>
        <w:t xml:space="preserve">    四、质量保修责任</w:t>
      </w:r>
    </w:p>
    <w:p>
      <w:pPr>
        <w:spacing w:line="360" w:lineRule="auto"/>
        <w:rPr>
          <w:szCs w:val="21"/>
        </w:rPr>
      </w:pPr>
      <w:r>
        <w:rPr>
          <w:rFonts w:hint="eastAsia"/>
          <w:szCs w:val="21"/>
        </w:rPr>
        <w:t xml:space="preserve">    1．属于保修范围、内容的项目，承包人应当在接到保修通知之日起7天内派人保修。承包人不在约定期限内派人保修的，发包人可以委托他人修理。</w:t>
      </w:r>
    </w:p>
    <w:p>
      <w:pPr>
        <w:spacing w:line="360" w:lineRule="auto"/>
        <w:rPr>
          <w:szCs w:val="21"/>
        </w:rPr>
      </w:pPr>
      <w:r>
        <w:rPr>
          <w:rFonts w:hint="eastAsia"/>
          <w:szCs w:val="21"/>
        </w:rPr>
        <w:t xml:space="preserve">    2．发生紧急事故需抢修的，承包人在接到事故通知后，应当立即到达事故现场抢修。</w:t>
      </w:r>
    </w:p>
    <w:p>
      <w:pPr>
        <w:spacing w:line="360" w:lineRule="auto"/>
        <w:rPr>
          <w:szCs w:val="21"/>
        </w:rPr>
      </w:pPr>
      <w:r>
        <w:rPr>
          <w:rFonts w:hint="eastAsia"/>
          <w:szCs w:val="21"/>
        </w:rPr>
        <w:t xml:space="preserve">    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rPr>
          <w:szCs w:val="21"/>
        </w:rPr>
      </w:pPr>
      <w:r>
        <w:rPr>
          <w:rFonts w:hint="eastAsia"/>
          <w:szCs w:val="21"/>
        </w:rPr>
        <w:t xml:space="preserve">    4．质量保修完成后，由发包人组织验收。</w:t>
      </w:r>
    </w:p>
    <w:p>
      <w:pPr>
        <w:spacing w:line="360" w:lineRule="auto"/>
        <w:rPr>
          <w:szCs w:val="21"/>
        </w:rPr>
      </w:pPr>
      <w:r>
        <w:rPr>
          <w:rFonts w:hint="eastAsia"/>
          <w:szCs w:val="21"/>
        </w:rPr>
        <w:t xml:space="preserve">    五、保修费用</w:t>
      </w:r>
    </w:p>
    <w:p>
      <w:pPr>
        <w:spacing w:line="360" w:lineRule="auto"/>
        <w:rPr>
          <w:szCs w:val="21"/>
        </w:rPr>
      </w:pPr>
      <w:r>
        <w:rPr>
          <w:rFonts w:hint="eastAsia"/>
          <w:szCs w:val="21"/>
        </w:rPr>
        <w:t xml:space="preserve">    保修费用由造成质量缺陷的责任方承担。</w:t>
      </w:r>
    </w:p>
    <w:p>
      <w:pPr>
        <w:spacing w:line="360" w:lineRule="auto"/>
        <w:rPr>
          <w:szCs w:val="21"/>
        </w:rPr>
      </w:pPr>
      <w:r>
        <w:rPr>
          <w:rFonts w:hint="eastAsia"/>
          <w:szCs w:val="21"/>
        </w:rPr>
        <w:t xml:space="preserve">    六、双方约定的其他工程质量保修事项</w:t>
      </w:r>
      <w:r>
        <w:rPr>
          <w:rFonts w:hint="eastAsia"/>
          <w:szCs w:val="21"/>
          <w:u w:val="single"/>
        </w:rPr>
        <w:t>：                   。</w:t>
      </w:r>
    </w:p>
    <w:p>
      <w:pPr>
        <w:spacing w:line="360" w:lineRule="auto"/>
        <w:ind w:firstLine="420"/>
        <w:rPr>
          <w:szCs w:val="21"/>
        </w:rPr>
      </w:pPr>
      <w:r>
        <w:rPr>
          <w:rFonts w:hint="eastAsia"/>
          <w:szCs w:val="21"/>
        </w:rPr>
        <w:t>本工程质量保修书，由施工合同发包人、承包人双方共同签署，作为施工合同附件，其有效期限至保修期满。</w:t>
      </w:r>
    </w:p>
    <w:p>
      <w:pPr>
        <w:spacing w:line="360" w:lineRule="auto"/>
        <w:ind w:firstLine="420"/>
        <w:rPr>
          <w:szCs w:val="21"/>
        </w:rPr>
      </w:pP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8"/>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1" w:hRule="atLeast"/>
          <w:jc w:val="center"/>
        </w:trPr>
        <w:tc>
          <w:tcPr>
            <w:tcW w:w="3968" w:type="dxa"/>
          </w:tcPr>
          <w:p>
            <w:pPr>
              <w:spacing w:line="480" w:lineRule="exact"/>
              <w:ind w:left="-2" w:right="-187" w:rightChars="-78"/>
              <w:contextualSpacing/>
              <w:rPr>
                <w:szCs w:val="23"/>
              </w:rPr>
            </w:pPr>
            <w:r>
              <w:rPr>
                <w:rFonts w:hint="eastAsia"/>
                <w:szCs w:val="23"/>
              </w:rPr>
              <w:t xml:space="preserve">发包人：  (公章)             </w:t>
            </w:r>
          </w:p>
          <w:p>
            <w:pPr>
              <w:spacing w:line="480" w:lineRule="exact"/>
              <w:ind w:left="-2" w:right="-187" w:rightChars="-78"/>
              <w:contextualSpacing/>
              <w:rPr>
                <w:szCs w:val="23"/>
              </w:rPr>
            </w:pPr>
            <w:r>
              <w:rPr>
                <w:rFonts w:hint="eastAsia"/>
                <w:szCs w:val="23"/>
              </w:rPr>
              <w:t xml:space="preserve">法定代表人或其委托代理人：    </w:t>
            </w:r>
          </w:p>
          <w:p>
            <w:pPr>
              <w:spacing w:line="480" w:lineRule="exact"/>
              <w:ind w:left="-2" w:right="-187" w:rightChars="-78"/>
              <w:contextualSpacing/>
              <w:rPr>
                <w:szCs w:val="23"/>
              </w:rPr>
            </w:pPr>
            <w:r>
              <w:rPr>
                <w:rFonts w:hint="eastAsia"/>
                <w:szCs w:val="23"/>
              </w:rPr>
              <w:t xml:space="preserve">（签字）                     </w:t>
            </w:r>
          </w:p>
          <w:p>
            <w:pPr>
              <w:tabs>
                <w:tab w:val="left" w:pos="4410"/>
              </w:tabs>
              <w:spacing w:line="480" w:lineRule="exact"/>
              <w:ind w:left="-2" w:right="-187" w:rightChars="-78"/>
              <w:contextualSpacing/>
              <w:rPr>
                <w:szCs w:val="23"/>
              </w:rPr>
            </w:pPr>
            <w:r>
              <w:rPr>
                <w:rFonts w:hint="eastAsia"/>
                <w:szCs w:val="23"/>
              </w:rPr>
              <w:t>组织机构代码：</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地  址：</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邮政编码：</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法定代表人：</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委托代理人：</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电  话：</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传  真：</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电子信箱：</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开户银行：</w:t>
            </w:r>
            <w:r>
              <w:rPr>
                <w:rFonts w:hint="eastAsia"/>
                <w:szCs w:val="23"/>
                <w:u w:val="single"/>
              </w:rPr>
              <w:t xml:space="preserve">                 </w:t>
            </w:r>
            <w:r>
              <w:rPr>
                <w:rFonts w:hint="eastAsia"/>
                <w:szCs w:val="23"/>
              </w:rPr>
              <w:t xml:space="preserve">   </w:t>
            </w:r>
          </w:p>
          <w:p>
            <w:pPr>
              <w:spacing w:line="480" w:lineRule="exact"/>
              <w:ind w:left="-2" w:right="-187" w:rightChars="-78"/>
              <w:contextualSpacing/>
              <w:rPr>
                <w:bCs/>
                <w:szCs w:val="23"/>
              </w:rPr>
            </w:pPr>
            <w:r>
              <w:rPr>
                <w:rFonts w:hint="eastAsia"/>
                <w:szCs w:val="23"/>
              </w:rPr>
              <w:t>账  号：</w:t>
            </w:r>
            <w:r>
              <w:rPr>
                <w:rFonts w:hint="eastAsia"/>
                <w:szCs w:val="23"/>
                <w:u w:val="single"/>
              </w:rPr>
              <w:t xml:space="preserve">                 </w:t>
            </w:r>
            <w:r>
              <w:rPr>
                <w:rFonts w:hint="eastAsia"/>
                <w:szCs w:val="23"/>
              </w:rPr>
              <w:t xml:space="preserve">    </w:t>
            </w:r>
          </w:p>
        </w:tc>
        <w:tc>
          <w:tcPr>
            <w:tcW w:w="3926" w:type="dxa"/>
          </w:tcPr>
          <w:p>
            <w:pPr>
              <w:spacing w:line="480" w:lineRule="exact"/>
              <w:ind w:left="-2" w:right="-187" w:rightChars="-78"/>
              <w:contextualSpacing/>
              <w:rPr>
                <w:szCs w:val="23"/>
              </w:rPr>
            </w:pPr>
            <w:r>
              <w:rPr>
                <w:rFonts w:hint="eastAsia"/>
                <w:szCs w:val="23"/>
              </w:rPr>
              <w:t xml:space="preserve">承包人：  (公章)             </w:t>
            </w:r>
          </w:p>
          <w:p>
            <w:pPr>
              <w:spacing w:line="480" w:lineRule="exact"/>
              <w:ind w:left="-2" w:right="-187" w:rightChars="-78"/>
              <w:contextualSpacing/>
              <w:rPr>
                <w:szCs w:val="23"/>
              </w:rPr>
            </w:pPr>
            <w:r>
              <w:rPr>
                <w:rFonts w:hint="eastAsia"/>
                <w:szCs w:val="23"/>
              </w:rPr>
              <w:t xml:space="preserve">法定代表人或其委托代理人：    </w:t>
            </w:r>
          </w:p>
          <w:p>
            <w:pPr>
              <w:spacing w:line="480" w:lineRule="exact"/>
              <w:ind w:left="-2" w:right="-187" w:rightChars="-78"/>
              <w:contextualSpacing/>
              <w:rPr>
                <w:szCs w:val="23"/>
              </w:rPr>
            </w:pPr>
            <w:r>
              <w:rPr>
                <w:rFonts w:hint="eastAsia"/>
                <w:szCs w:val="23"/>
              </w:rPr>
              <w:t xml:space="preserve">（签字）                     </w:t>
            </w:r>
          </w:p>
          <w:p>
            <w:pPr>
              <w:tabs>
                <w:tab w:val="left" w:pos="4410"/>
              </w:tabs>
              <w:spacing w:line="480" w:lineRule="exact"/>
              <w:ind w:left="-2" w:right="-187" w:rightChars="-78"/>
              <w:contextualSpacing/>
              <w:rPr>
                <w:szCs w:val="23"/>
              </w:rPr>
            </w:pPr>
            <w:r>
              <w:rPr>
                <w:rFonts w:hint="eastAsia"/>
                <w:szCs w:val="23"/>
              </w:rPr>
              <w:t>组织机构代码：</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地  址：</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邮政编码：</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法定代表人：</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委托代理人：</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电  话：</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传  真：</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电子信箱：</w:t>
            </w:r>
            <w:r>
              <w:rPr>
                <w:rFonts w:hint="eastAsia"/>
                <w:szCs w:val="23"/>
                <w:u w:val="single"/>
              </w:rPr>
              <w:t xml:space="preserve">                 </w:t>
            </w:r>
            <w:r>
              <w:rPr>
                <w:rFonts w:hint="eastAsia"/>
                <w:szCs w:val="23"/>
              </w:rPr>
              <w:t xml:space="preserve">   </w:t>
            </w:r>
          </w:p>
          <w:p>
            <w:pPr>
              <w:spacing w:line="480" w:lineRule="exact"/>
              <w:ind w:left="-2" w:right="-187" w:rightChars="-78"/>
              <w:contextualSpacing/>
              <w:rPr>
                <w:szCs w:val="23"/>
              </w:rPr>
            </w:pPr>
            <w:r>
              <w:rPr>
                <w:rFonts w:hint="eastAsia"/>
                <w:szCs w:val="23"/>
              </w:rPr>
              <w:t>开户银行：</w:t>
            </w:r>
            <w:r>
              <w:rPr>
                <w:rFonts w:hint="eastAsia"/>
                <w:szCs w:val="23"/>
                <w:u w:val="single"/>
              </w:rPr>
              <w:t xml:space="preserve">                 </w:t>
            </w:r>
            <w:r>
              <w:rPr>
                <w:rFonts w:hint="eastAsia"/>
                <w:szCs w:val="23"/>
              </w:rPr>
              <w:t xml:space="preserve">   </w:t>
            </w:r>
          </w:p>
          <w:p>
            <w:pPr>
              <w:spacing w:line="480" w:lineRule="exact"/>
              <w:ind w:left="-2" w:right="-187" w:rightChars="-78"/>
              <w:contextualSpacing/>
              <w:rPr>
                <w:bCs/>
                <w:szCs w:val="23"/>
              </w:rPr>
            </w:pPr>
            <w:r>
              <w:rPr>
                <w:rFonts w:hint="eastAsia"/>
                <w:szCs w:val="23"/>
              </w:rPr>
              <w:t>账  号：</w:t>
            </w:r>
            <w:r>
              <w:rPr>
                <w:rFonts w:hint="eastAsia"/>
                <w:szCs w:val="23"/>
                <w:u w:val="single"/>
              </w:rPr>
              <w:t xml:space="preserve">                </w:t>
            </w:r>
          </w:p>
        </w:tc>
      </w:tr>
    </w:tbl>
    <w:p>
      <w:pPr>
        <w:widowControl/>
        <w:adjustRightInd w:val="0"/>
        <w:snapToGrid w:val="0"/>
        <w:spacing w:line="360" w:lineRule="auto"/>
        <w:outlineLvl w:val="2"/>
        <w:rPr>
          <w:szCs w:val="21"/>
        </w:rPr>
      </w:pPr>
      <w:r>
        <w:rPr>
          <w:rFonts w:hint="eastAsia"/>
          <w:szCs w:val="21"/>
        </w:rPr>
        <w:t xml:space="preserve">附件3：  </w:t>
      </w:r>
    </w:p>
    <w:p>
      <w:pPr>
        <w:autoSpaceDE w:val="0"/>
        <w:autoSpaceDN w:val="0"/>
        <w:snapToGrid w:val="0"/>
        <w:spacing w:line="360" w:lineRule="auto"/>
        <w:jc w:val="center"/>
        <w:rPr>
          <w:szCs w:val="21"/>
        </w:rPr>
      </w:pPr>
      <w:r>
        <w:rPr>
          <w:rFonts w:hint="eastAsia"/>
          <w:szCs w:val="21"/>
        </w:rPr>
        <w:t>履约担保</w:t>
      </w:r>
    </w:p>
    <w:p>
      <w:pPr>
        <w:autoSpaceDE w:val="0"/>
        <w:autoSpaceDN w:val="0"/>
        <w:snapToGrid w:val="0"/>
        <w:spacing w:line="360" w:lineRule="auto"/>
        <w:jc w:val="center"/>
        <w:rPr>
          <w:color w:val="FF0000"/>
          <w:szCs w:val="21"/>
        </w:rPr>
      </w:pPr>
    </w:p>
    <w:p>
      <w:pPr>
        <w:snapToGrid w:val="0"/>
        <w:spacing w:line="360" w:lineRule="auto"/>
        <w:jc w:val="left"/>
        <w:rPr>
          <w:szCs w:val="21"/>
        </w:rPr>
      </w:pPr>
      <w:r>
        <w:rPr>
          <w:rFonts w:hint="eastAsia"/>
          <w:color w:val="FF0000"/>
          <w:szCs w:val="21"/>
        </w:rPr>
        <w:t xml:space="preserve">      </w:t>
      </w:r>
      <w:r>
        <w:rPr>
          <w:rFonts w:hint="eastAsia"/>
          <w:color w:val="FF0000"/>
          <w:szCs w:val="21"/>
          <w:u w:val="single"/>
        </w:rPr>
        <w:t xml:space="preserve"> </w:t>
      </w:r>
      <w:r>
        <w:rPr>
          <w:rFonts w:hint="eastAsia"/>
          <w:szCs w:val="21"/>
          <w:u w:val="single"/>
        </w:rPr>
        <w:t>南通市濠河景区管理办公室</w:t>
      </w:r>
      <w:r>
        <w:rPr>
          <w:rFonts w:hint="eastAsia"/>
          <w:szCs w:val="21"/>
        </w:rPr>
        <w:t>（发包人名称，以下简称“发包人”）接受</w:t>
      </w:r>
      <w:r>
        <w:rPr>
          <w:rFonts w:hint="eastAsia"/>
          <w:szCs w:val="21"/>
          <w:u w:val="single"/>
        </w:rPr>
        <w:t xml:space="preserve">               </w:t>
      </w:r>
      <w:r>
        <w:rPr>
          <w:rFonts w:hint="eastAsia"/>
          <w:szCs w:val="21"/>
        </w:rPr>
        <w:t>（承包人名称以下称“承包人”）于</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日参加</w:t>
      </w:r>
      <w:r>
        <w:rPr>
          <w:rFonts w:hint="eastAsia"/>
          <w:szCs w:val="21"/>
          <w:u w:val="single"/>
        </w:rPr>
        <w:t xml:space="preserve"> 202</w:t>
      </w:r>
      <w:r>
        <w:rPr>
          <w:rFonts w:hint="eastAsia"/>
          <w:szCs w:val="21"/>
          <w:u w:val="single"/>
          <w:lang w:val="en-US" w:eastAsia="zh-CN"/>
        </w:rPr>
        <w:t>3</w:t>
      </w:r>
      <w:r>
        <w:rPr>
          <w:rFonts w:hint="eastAsia"/>
          <w:szCs w:val="21"/>
          <w:u w:val="single"/>
        </w:rPr>
        <w:t>年度濠河景区十一立体花卉布置设计、施工总承包项目</w:t>
      </w:r>
      <w:r>
        <w:rPr>
          <w:rFonts w:hint="eastAsia"/>
          <w:szCs w:val="21"/>
        </w:rPr>
        <w:t>（项目名称）的投标并已中标。我方愿意就承包人履行与你方订立的合同，向你方提供担保。</w:t>
      </w:r>
    </w:p>
    <w:p>
      <w:pPr>
        <w:snapToGrid w:val="0"/>
        <w:spacing w:line="360" w:lineRule="auto"/>
        <w:ind w:firstLine="210"/>
        <w:jc w:val="left"/>
        <w:rPr>
          <w:szCs w:val="21"/>
        </w:rPr>
      </w:pPr>
      <w:r>
        <w:rPr>
          <w:rFonts w:hint="eastAsia"/>
          <w:szCs w:val="21"/>
        </w:rPr>
        <w:t>1.履约保证金担保金额人民币（大写）</w:t>
      </w:r>
      <w:r>
        <w:rPr>
          <w:rFonts w:hint="eastAsia"/>
          <w:szCs w:val="21"/>
          <w:u w:val="single"/>
        </w:rPr>
        <w:t xml:space="preserve">               </w:t>
      </w:r>
      <w:r>
        <w:rPr>
          <w:rFonts w:hint="eastAsia"/>
          <w:szCs w:val="21"/>
        </w:rPr>
        <w:t>¥</w:t>
      </w:r>
      <w:r>
        <w:rPr>
          <w:rFonts w:hint="eastAsia"/>
          <w:szCs w:val="21"/>
          <w:u w:val="single"/>
        </w:rPr>
        <w:t xml:space="preserve">         </w:t>
      </w:r>
      <w:r>
        <w:rPr>
          <w:rFonts w:hint="eastAsia"/>
          <w:szCs w:val="21"/>
        </w:rPr>
        <w:t>）；中标差额担保金额人民币（大写）</w:t>
      </w:r>
      <w:r>
        <w:rPr>
          <w:rFonts w:hint="eastAsia"/>
          <w:szCs w:val="21"/>
          <w:u w:val="single"/>
        </w:rPr>
        <w:t xml:space="preserve">      /      </w:t>
      </w:r>
      <w:r>
        <w:rPr>
          <w:rFonts w:hint="eastAsia"/>
          <w:szCs w:val="21"/>
        </w:rPr>
        <w:t>（¥</w:t>
      </w:r>
      <w:r>
        <w:rPr>
          <w:rFonts w:hint="eastAsia"/>
          <w:szCs w:val="21"/>
          <w:u w:val="single"/>
        </w:rPr>
        <w:t xml:space="preserve">     /     </w:t>
      </w:r>
      <w:r>
        <w:rPr>
          <w:rFonts w:hint="eastAsia"/>
          <w:szCs w:val="21"/>
        </w:rPr>
        <w:t>）；合计人民币（大写）</w:t>
      </w:r>
      <w:r>
        <w:rPr>
          <w:rFonts w:hint="eastAsia"/>
          <w:szCs w:val="21"/>
          <w:u w:val="single"/>
        </w:rPr>
        <w:t xml:space="preserve">          </w:t>
      </w:r>
      <w:r>
        <w:rPr>
          <w:rFonts w:hint="eastAsia"/>
          <w:szCs w:val="21"/>
        </w:rPr>
        <w:t>（¥</w:t>
      </w:r>
      <w:r>
        <w:rPr>
          <w:rFonts w:hint="eastAsia"/>
          <w:szCs w:val="21"/>
          <w:u w:val="single"/>
        </w:rPr>
        <w:t xml:space="preserve">        </w:t>
      </w:r>
      <w:r>
        <w:rPr>
          <w:rFonts w:hint="eastAsia"/>
          <w:szCs w:val="21"/>
        </w:rPr>
        <w:t xml:space="preserve"> ）。</w:t>
      </w:r>
    </w:p>
    <w:p>
      <w:pPr>
        <w:snapToGrid w:val="0"/>
        <w:spacing w:line="360" w:lineRule="auto"/>
        <w:ind w:firstLine="210"/>
        <w:jc w:val="left"/>
        <w:rPr>
          <w:szCs w:val="21"/>
        </w:rPr>
      </w:pPr>
      <w:r>
        <w:rPr>
          <w:rFonts w:hint="eastAsia"/>
          <w:szCs w:val="21"/>
        </w:rPr>
        <w:t>2. 担保有效期自发包人与承包人签订的合同生效之日起至发包人签发工程接收证书之日止。</w:t>
      </w:r>
    </w:p>
    <w:p>
      <w:pPr>
        <w:snapToGrid w:val="0"/>
        <w:spacing w:line="360" w:lineRule="auto"/>
        <w:ind w:firstLine="210"/>
        <w:jc w:val="left"/>
        <w:rPr>
          <w:szCs w:val="21"/>
        </w:rPr>
      </w:pPr>
      <w:r>
        <w:rPr>
          <w:rFonts w:hint="eastAsia"/>
          <w:szCs w:val="21"/>
        </w:rPr>
        <w:t>3. 在本担保有效期内，因承包人违反合同约定的义务给你方造成经济损失时，我方在收到你方以书面形式提出的在担保金额内的赔偿要求后，保证在7天内无条件支付。</w:t>
      </w:r>
    </w:p>
    <w:p>
      <w:pPr>
        <w:snapToGrid w:val="0"/>
        <w:spacing w:line="360" w:lineRule="auto"/>
        <w:ind w:firstLine="210"/>
        <w:jc w:val="left"/>
        <w:rPr>
          <w:szCs w:val="21"/>
        </w:rPr>
      </w:pPr>
      <w:r>
        <w:rPr>
          <w:rFonts w:hint="eastAsia"/>
          <w:szCs w:val="21"/>
        </w:rPr>
        <w:t>4. 发包人和承包人按《通用合同条款》第八条变更合同时，我方承担本担保规定的义务不变。</w:t>
      </w:r>
    </w:p>
    <w:p>
      <w:pPr>
        <w:snapToGrid w:val="0"/>
        <w:spacing w:line="360" w:lineRule="auto"/>
        <w:ind w:firstLine="210"/>
        <w:jc w:val="left"/>
        <w:rPr>
          <w:szCs w:val="21"/>
        </w:rPr>
      </w:pPr>
    </w:p>
    <w:p>
      <w:pPr>
        <w:snapToGrid w:val="0"/>
        <w:spacing w:line="400" w:lineRule="exact"/>
        <w:ind w:firstLine="210"/>
        <w:jc w:val="left"/>
        <w:rPr>
          <w:szCs w:val="21"/>
        </w:rPr>
      </w:pPr>
    </w:p>
    <w:p>
      <w:pPr>
        <w:snapToGrid w:val="0"/>
        <w:spacing w:line="400" w:lineRule="exact"/>
        <w:ind w:firstLine="210"/>
        <w:jc w:val="left"/>
        <w:rPr>
          <w:szCs w:val="21"/>
        </w:rPr>
      </w:pPr>
    </w:p>
    <w:p>
      <w:pPr>
        <w:tabs>
          <w:tab w:val="left" w:pos="6600"/>
        </w:tabs>
        <w:autoSpaceDE w:val="0"/>
        <w:autoSpaceDN w:val="0"/>
        <w:adjustRightInd w:val="0"/>
        <w:spacing w:line="460" w:lineRule="exact"/>
        <w:ind w:left="2412" w:right="-20"/>
        <w:jc w:val="left"/>
        <w:rPr>
          <w:rFonts w:cs="微软雅黑"/>
          <w:position w:val="-2"/>
          <w:szCs w:val="21"/>
        </w:rPr>
      </w:pPr>
      <w:r>
        <w:rPr>
          <w:rFonts w:hint="eastAsia" w:cs="微软雅黑"/>
          <w:position w:val="-2"/>
          <w:szCs w:val="21"/>
        </w:rPr>
        <w:t>担保银行名称：（盖单位章）</w:t>
      </w:r>
    </w:p>
    <w:p>
      <w:pPr>
        <w:tabs>
          <w:tab w:val="left" w:pos="6600"/>
        </w:tabs>
        <w:autoSpaceDE w:val="0"/>
        <w:autoSpaceDN w:val="0"/>
        <w:adjustRightInd w:val="0"/>
        <w:spacing w:line="460" w:lineRule="exact"/>
        <w:ind w:left="2412" w:right="-20"/>
        <w:jc w:val="left"/>
        <w:rPr>
          <w:rFonts w:cs="微软雅黑"/>
          <w:szCs w:val="21"/>
        </w:rPr>
      </w:pPr>
      <w:r>
        <w:rPr>
          <w:rFonts w:hint="eastAsia" w:cs="微软雅黑"/>
          <w:position w:val="-2"/>
          <w:szCs w:val="21"/>
        </w:rPr>
        <w:t>法定</w:t>
      </w:r>
      <w:r>
        <w:rPr>
          <w:rFonts w:hint="eastAsia" w:cs="微软雅黑"/>
          <w:spacing w:val="-2"/>
          <w:position w:val="-2"/>
          <w:szCs w:val="21"/>
        </w:rPr>
        <w:t>代</w:t>
      </w:r>
      <w:r>
        <w:rPr>
          <w:rFonts w:hint="eastAsia" w:cs="微软雅黑"/>
          <w:position w:val="-2"/>
          <w:szCs w:val="21"/>
        </w:rPr>
        <w:t>表</w:t>
      </w:r>
      <w:r>
        <w:rPr>
          <w:rFonts w:hint="eastAsia" w:cs="微软雅黑"/>
          <w:spacing w:val="-2"/>
          <w:position w:val="-2"/>
          <w:szCs w:val="21"/>
        </w:rPr>
        <w:t>人</w:t>
      </w:r>
      <w:r>
        <w:rPr>
          <w:rFonts w:hint="eastAsia" w:cs="微软雅黑"/>
          <w:position w:val="-2"/>
          <w:szCs w:val="21"/>
        </w:rPr>
        <w:t>或</w:t>
      </w:r>
      <w:r>
        <w:rPr>
          <w:rFonts w:hint="eastAsia" w:cs="微软雅黑"/>
          <w:spacing w:val="-2"/>
          <w:position w:val="-2"/>
          <w:szCs w:val="21"/>
        </w:rPr>
        <w:t>其</w:t>
      </w:r>
      <w:r>
        <w:rPr>
          <w:rFonts w:hint="eastAsia" w:cs="微软雅黑"/>
          <w:position w:val="-2"/>
          <w:szCs w:val="21"/>
        </w:rPr>
        <w:t>委</w:t>
      </w:r>
      <w:r>
        <w:rPr>
          <w:rFonts w:hint="eastAsia" w:cs="微软雅黑"/>
          <w:spacing w:val="-2"/>
          <w:position w:val="-2"/>
          <w:szCs w:val="21"/>
        </w:rPr>
        <w:t>托</w:t>
      </w:r>
      <w:r>
        <w:rPr>
          <w:rFonts w:hint="eastAsia" w:cs="微软雅黑"/>
          <w:position w:val="-2"/>
          <w:szCs w:val="21"/>
        </w:rPr>
        <w:t>代</w:t>
      </w:r>
      <w:r>
        <w:rPr>
          <w:rFonts w:hint="eastAsia" w:cs="微软雅黑"/>
          <w:spacing w:val="-2"/>
          <w:position w:val="-2"/>
          <w:szCs w:val="21"/>
        </w:rPr>
        <w:t>理</w:t>
      </w:r>
      <w:r>
        <w:rPr>
          <w:rFonts w:hint="eastAsia" w:cs="微软雅黑"/>
          <w:position w:val="-2"/>
          <w:szCs w:val="21"/>
        </w:rPr>
        <w:t>人：</w:t>
      </w:r>
      <w:r>
        <w:rPr>
          <w:rFonts w:cs="微软雅黑"/>
          <w:spacing w:val="43"/>
          <w:position w:val="-2"/>
          <w:szCs w:val="21"/>
          <w:u w:val="single"/>
        </w:rPr>
        <w:t xml:space="preserve"> </w:t>
      </w:r>
      <w:r>
        <w:rPr>
          <w:rFonts w:cs="微软雅黑"/>
          <w:position w:val="-2"/>
          <w:szCs w:val="21"/>
          <w:u w:val="single"/>
        </w:rPr>
        <w:tab/>
      </w:r>
      <w:r>
        <w:rPr>
          <w:rFonts w:hint="eastAsia" w:cs="微软雅黑"/>
          <w:position w:val="-2"/>
          <w:szCs w:val="21"/>
        </w:rPr>
        <w:t>（</w:t>
      </w:r>
      <w:r>
        <w:rPr>
          <w:rFonts w:hint="eastAsia" w:cs="微软雅黑"/>
          <w:spacing w:val="-2"/>
          <w:position w:val="-2"/>
          <w:szCs w:val="21"/>
        </w:rPr>
        <w:t>签</w:t>
      </w:r>
      <w:r>
        <w:rPr>
          <w:rFonts w:hint="eastAsia" w:cs="微软雅黑"/>
          <w:position w:val="-2"/>
          <w:szCs w:val="21"/>
        </w:rPr>
        <w:t>字）</w:t>
      </w:r>
    </w:p>
    <w:p>
      <w:pPr>
        <w:tabs>
          <w:tab w:val="left" w:pos="3040"/>
          <w:tab w:val="left" w:pos="8700"/>
        </w:tabs>
        <w:autoSpaceDE w:val="0"/>
        <w:autoSpaceDN w:val="0"/>
        <w:adjustRightInd w:val="0"/>
        <w:spacing w:line="460" w:lineRule="exact"/>
        <w:ind w:left="2412" w:right="-20"/>
        <w:jc w:val="left"/>
        <w:rPr>
          <w:rFonts w:cs="微软雅黑"/>
          <w:szCs w:val="21"/>
        </w:rPr>
      </w:pPr>
      <w:r>
        <w:rPr>
          <w:rFonts w:hint="eastAsia" w:cs="微软雅黑"/>
          <w:position w:val="-2"/>
          <w:szCs w:val="21"/>
        </w:rPr>
        <w:t>地</w:t>
      </w:r>
      <w:r>
        <w:rPr>
          <w:rFonts w:cs="微软雅黑"/>
          <w:position w:val="-2"/>
          <w:szCs w:val="21"/>
        </w:rPr>
        <w:tab/>
      </w:r>
      <w:r>
        <w:rPr>
          <w:rFonts w:hint="eastAsia" w:cs="微软雅黑"/>
          <w:position w:val="-2"/>
          <w:szCs w:val="21"/>
        </w:rPr>
        <w:t>址</w:t>
      </w:r>
      <w:r>
        <w:rPr>
          <w:rFonts w:hint="eastAsia" w:cs="微软雅黑"/>
          <w:spacing w:val="-2"/>
          <w:position w:val="-2"/>
          <w:szCs w:val="21"/>
        </w:rPr>
        <w:t>：</w:t>
      </w:r>
      <w:r>
        <w:rPr>
          <w:rFonts w:cs="微软雅黑"/>
          <w:w w:val="169"/>
          <w:position w:val="-2"/>
          <w:szCs w:val="21"/>
          <w:u w:val="single"/>
        </w:rPr>
        <w:t xml:space="preserve"> </w:t>
      </w:r>
      <w:r>
        <w:rPr>
          <w:rFonts w:cs="微软雅黑"/>
          <w:position w:val="-2"/>
          <w:szCs w:val="21"/>
          <w:u w:val="single"/>
        </w:rPr>
        <w:tab/>
      </w:r>
    </w:p>
    <w:p>
      <w:pPr>
        <w:tabs>
          <w:tab w:val="left" w:pos="8700"/>
        </w:tabs>
        <w:autoSpaceDE w:val="0"/>
        <w:autoSpaceDN w:val="0"/>
        <w:adjustRightInd w:val="0"/>
        <w:spacing w:line="460" w:lineRule="exact"/>
        <w:ind w:left="2412" w:right="-20"/>
        <w:jc w:val="left"/>
        <w:rPr>
          <w:rFonts w:cs="微软雅黑"/>
          <w:szCs w:val="21"/>
        </w:rPr>
      </w:pPr>
      <w:r>
        <w:rPr>
          <w:rFonts w:hint="eastAsia" w:cs="微软雅黑"/>
          <w:position w:val="-2"/>
          <w:szCs w:val="21"/>
        </w:rPr>
        <w:t>邮政</w:t>
      </w:r>
      <w:r>
        <w:rPr>
          <w:rFonts w:hint="eastAsia" w:cs="微软雅黑"/>
          <w:spacing w:val="-2"/>
          <w:position w:val="-2"/>
          <w:szCs w:val="21"/>
        </w:rPr>
        <w:t>编</w:t>
      </w:r>
      <w:r>
        <w:rPr>
          <w:rFonts w:hint="eastAsia" w:cs="微软雅黑"/>
          <w:position w:val="-2"/>
          <w:szCs w:val="21"/>
        </w:rPr>
        <w:t>码</w:t>
      </w:r>
      <w:r>
        <w:rPr>
          <w:rFonts w:hint="eastAsia" w:cs="微软雅黑"/>
          <w:spacing w:val="-2"/>
          <w:position w:val="-2"/>
          <w:szCs w:val="21"/>
        </w:rPr>
        <w:t>：</w:t>
      </w:r>
      <w:r>
        <w:rPr>
          <w:rFonts w:cs="微软雅黑"/>
          <w:w w:val="169"/>
          <w:position w:val="-2"/>
          <w:szCs w:val="21"/>
          <w:u w:val="single"/>
        </w:rPr>
        <w:t xml:space="preserve"> </w:t>
      </w:r>
      <w:r>
        <w:rPr>
          <w:rFonts w:cs="微软雅黑"/>
          <w:position w:val="-2"/>
          <w:szCs w:val="21"/>
          <w:u w:val="single"/>
        </w:rPr>
        <w:tab/>
      </w:r>
    </w:p>
    <w:p>
      <w:pPr>
        <w:tabs>
          <w:tab w:val="left" w:pos="3040"/>
          <w:tab w:val="left" w:pos="8700"/>
        </w:tabs>
        <w:autoSpaceDE w:val="0"/>
        <w:autoSpaceDN w:val="0"/>
        <w:adjustRightInd w:val="0"/>
        <w:spacing w:line="460" w:lineRule="exact"/>
        <w:ind w:left="2412" w:right="-20"/>
        <w:jc w:val="left"/>
        <w:rPr>
          <w:rFonts w:cs="微软雅黑"/>
          <w:szCs w:val="21"/>
        </w:rPr>
      </w:pPr>
      <w:r>
        <w:rPr>
          <w:rFonts w:hint="eastAsia" w:cs="微软雅黑"/>
          <w:position w:val="-2"/>
          <w:szCs w:val="21"/>
        </w:rPr>
        <w:t>电</w:t>
      </w:r>
      <w:r>
        <w:rPr>
          <w:rFonts w:cs="微软雅黑"/>
          <w:position w:val="-2"/>
          <w:szCs w:val="21"/>
        </w:rPr>
        <w:tab/>
      </w:r>
      <w:r>
        <w:rPr>
          <w:rFonts w:hint="eastAsia" w:cs="微软雅黑"/>
          <w:position w:val="-2"/>
          <w:szCs w:val="21"/>
        </w:rPr>
        <w:t>话</w:t>
      </w:r>
      <w:r>
        <w:rPr>
          <w:rFonts w:hint="eastAsia" w:cs="微软雅黑"/>
          <w:spacing w:val="-2"/>
          <w:position w:val="-2"/>
          <w:szCs w:val="21"/>
        </w:rPr>
        <w:t>：</w:t>
      </w:r>
      <w:r>
        <w:rPr>
          <w:rFonts w:cs="微软雅黑"/>
          <w:w w:val="169"/>
          <w:position w:val="-2"/>
          <w:szCs w:val="21"/>
          <w:u w:val="single"/>
        </w:rPr>
        <w:t xml:space="preserve"> </w:t>
      </w:r>
      <w:r>
        <w:rPr>
          <w:rFonts w:cs="微软雅黑"/>
          <w:position w:val="-2"/>
          <w:szCs w:val="21"/>
          <w:u w:val="single"/>
        </w:rPr>
        <w:tab/>
      </w:r>
    </w:p>
    <w:p>
      <w:pPr>
        <w:snapToGrid w:val="0"/>
        <w:spacing w:line="400" w:lineRule="exact"/>
        <w:jc w:val="center"/>
        <w:rPr>
          <w:szCs w:val="21"/>
        </w:rPr>
      </w:pPr>
    </w:p>
    <w:p>
      <w:pPr>
        <w:snapToGrid w:val="0"/>
        <w:spacing w:line="400" w:lineRule="exact"/>
      </w:pPr>
    </w:p>
    <w:p>
      <w:pPr>
        <w:snapToGrid w:val="0"/>
        <w:spacing w:line="400" w:lineRule="exact"/>
      </w:pPr>
    </w:p>
    <w:p>
      <w:pPr>
        <w:snapToGrid w:val="0"/>
        <w:spacing w:line="400" w:lineRule="exact"/>
      </w:pPr>
    </w:p>
    <w:p>
      <w:pPr>
        <w:snapToGrid w:val="0"/>
        <w:spacing w:line="400" w:lineRule="exact"/>
      </w:pPr>
    </w:p>
    <w:p>
      <w:pPr>
        <w:spacing w:line="360" w:lineRule="auto"/>
        <w:ind w:firstLine="480" w:firstLineChars="200"/>
        <w:jc w:val="center"/>
      </w:pPr>
      <w:r>
        <w:br w:type="page"/>
      </w:r>
      <w:bookmarkEnd w:id="34"/>
      <w:r>
        <w:rPr>
          <w:rFonts w:eastAsia="黑体"/>
          <w:b/>
          <w:bCs/>
          <w:kern w:val="44"/>
          <w:sz w:val="32"/>
          <w:szCs w:val="44"/>
        </w:rPr>
        <w:t>第</w:t>
      </w:r>
      <w:r>
        <w:rPr>
          <w:rFonts w:hint="eastAsia" w:eastAsia="黑体"/>
          <w:b/>
          <w:bCs/>
          <w:kern w:val="44"/>
          <w:sz w:val="32"/>
          <w:szCs w:val="44"/>
        </w:rPr>
        <w:t>四</w:t>
      </w:r>
      <w:r>
        <w:rPr>
          <w:rFonts w:eastAsia="黑体"/>
          <w:b/>
          <w:bCs/>
          <w:kern w:val="44"/>
          <w:sz w:val="32"/>
          <w:szCs w:val="44"/>
        </w:rPr>
        <w:t>章 技术标准和要求</w:t>
      </w:r>
    </w:p>
    <w:p>
      <w:pPr>
        <w:tabs>
          <w:tab w:val="left" w:pos="5505"/>
        </w:tabs>
        <w:spacing w:line="360" w:lineRule="auto"/>
        <w:ind w:left="460"/>
        <w:rPr>
          <w:b/>
          <w:bCs/>
          <w:szCs w:val="21"/>
        </w:rPr>
      </w:pPr>
    </w:p>
    <w:p>
      <w:pPr>
        <w:tabs>
          <w:tab w:val="left" w:pos="5505"/>
        </w:tabs>
        <w:spacing w:line="360" w:lineRule="auto"/>
        <w:ind w:left="460"/>
        <w:rPr>
          <w:b/>
          <w:bCs/>
          <w:szCs w:val="24"/>
        </w:rPr>
      </w:pPr>
      <w:r>
        <w:rPr>
          <w:rFonts w:hint="eastAsia"/>
          <w:b/>
          <w:bCs/>
          <w:szCs w:val="24"/>
        </w:rPr>
        <w:t>一、本工程采用的计价规范</w:t>
      </w:r>
    </w:p>
    <w:p>
      <w:pPr>
        <w:spacing w:line="360" w:lineRule="auto"/>
        <w:ind w:firstLine="480" w:firstLineChars="200"/>
        <w:rPr>
          <w:szCs w:val="24"/>
          <w:u w:val="single"/>
        </w:rPr>
      </w:pPr>
      <w:r>
        <w:rPr>
          <w:rFonts w:hint="eastAsia"/>
          <w:szCs w:val="24"/>
          <w:u w:val="single"/>
        </w:rPr>
        <w:t xml:space="preserve">《建设工程工程量清单计价规范》（GB50500-2013）、《市政工程工程量计算规范》（GB50857-2013）、《江苏省仿古与园林工程计价表》2007 版、《江苏省建设工程费用定额》2014年版、《省住房城乡建设厅关于建筑业实施营改增后江苏省建设工程计价依据调整的通知》（苏建价（2016）154号），结合增值税调整办法参照苏建函价〔2019〕178号文，《省住房城乡建设厅关于（建设工程工程量清单计价规范）（GB50500-2013）及其9本工程量计算规范的贯彻意见》（苏建函价〔2014〕448号）。 </w:t>
      </w:r>
    </w:p>
    <w:p>
      <w:pPr>
        <w:tabs>
          <w:tab w:val="left" w:pos="5505"/>
        </w:tabs>
        <w:spacing w:line="360" w:lineRule="auto"/>
        <w:ind w:left="460"/>
        <w:rPr>
          <w:b/>
          <w:bCs/>
          <w:szCs w:val="24"/>
        </w:rPr>
      </w:pPr>
      <w:r>
        <w:rPr>
          <w:rFonts w:hint="eastAsia"/>
          <w:b/>
          <w:bCs/>
          <w:szCs w:val="24"/>
        </w:rPr>
        <w:t>二、本工程采用的技术规范</w:t>
      </w:r>
    </w:p>
    <w:p>
      <w:pPr>
        <w:adjustRightInd w:val="0"/>
        <w:snapToGrid w:val="0"/>
        <w:spacing w:line="360" w:lineRule="auto"/>
        <w:ind w:firstLine="480"/>
        <w:rPr>
          <w:szCs w:val="24"/>
          <w:u w:val="single"/>
        </w:rPr>
      </w:pPr>
      <w:r>
        <w:rPr>
          <w:rFonts w:hint="eastAsia"/>
          <w:szCs w:val="24"/>
          <w:u w:val="single"/>
        </w:rPr>
        <w:t>市政工程按《建设部建城（1992）68号文关于《市政工程质量等级评定规定》及《市政工程质量等级评定补充规定》；钢结构工程按《建筑结构荷载规范》</w:t>
      </w:r>
      <w:r>
        <w:rPr>
          <w:szCs w:val="24"/>
          <w:u w:val="single"/>
        </w:rPr>
        <w:t>(GB50009-2012)</w:t>
      </w:r>
      <w:r>
        <w:rPr>
          <w:rFonts w:hint="eastAsia"/>
          <w:szCs w:val="24"/>
          <w:u w:val="single"/>
        </w:rPr>
        <w:t>、《钢结构工程施工质量验收规范》</w:t>
      </w:r>
      <w:r>
        <w:rPr>
          <w:szCs w:val="24"/>
          <w:u w:val="single"/>
        </w:rPr>
        <w:t>(GB 50205-2001)</w:t>
      </w:r>
      <w:r>
        <w:rPr>
          <w:rFonts w:hint="eastAsia"/>
          <w:szCs w:val="24"/>
          <w:u w:val="single"/>
        </w:rPr>
        <w:t>、《建筑钢结构焊接技术规程》</w:t>
      </w:r>
      <w:r>
        <w:rPr>
          <w:szCs w:val="24"/>
          <w:u w:val="single"/>
        </w:rPr>
        <w:t>(</w:t>
      </w:r>
      <w:r>
        <w:rPr>
          <w:rFonts w:hint="eastAsia"/>
          <w:szCs w:val="24"/>
          <w:u w:val="single"/>
        </w:rPr>
        <w:t>GB50661-2011</w:t>
      </w:r>
      <w:r>
        <w:rPr>
          <w:szCs w:val="24"/>
          <w:u w:val="single"/>
        </w:rPr>
        <w:t>)</w:t>
      </w:r>
      <w:r>
        <w:rPr>
          <w:rFonts w:hint="eastAsia"/>
          <w:szCs w:val="24"/>
          <w:u w:val="single"/>
        </w:rPr>
        <w:t>、《冷弯薄壁型钢结构技术规范》</w:t>
      </w:r>
      <w:r>
        <w:rPr>
          <w:szCs w:val="24"/>
          <w:u w:val="single"/>
        </w:rPr>
        <w:t>(GB50018-2002)</w:t>
      </w:r>
      <w:r>
        <w:rPr>
          <w:rFonts w:hint="eastAsia"/>
          <w:szCs w:val="24"/>
          <w:u w:val="single"/>
        </w:rPr>
        <w:t xml:space="preserve">及相关规定要求进行检查验收。  </w:t>
      </w:r>
    </w:p>
    <w:p>
      <w:pPr>
        <w:spacing w:line="360" w:lineRule="auto"/>
        <w:ind w:firstLine="480" w:firstLineChars="200"/>
        <w:rPr>
          <w:szCs w:val="24"/>
          <w:u w:val="single"/>
        </w:rPr>
      </w:pPr>
      <w:r>
        <w:rPr>
          <w:rFonts w:hint="eastAsia"/>
          <w:szCs w:val="24"/>
          <w:u w:val="single"/>
        </w:rPr>
        <w:t>上述技术标准和规范如有不足之处或未能达到国际最新标准时，投标方应使系统的设计、施工及选用的设备/材料符合最新版本的国际和国家标准、规范，并提供所采用的国际和国家标准、规范及所采用版本的有关技术资料。</w:t>
      </w:r>
    </w:p>
    <w:p>
      <w:pPr>
        <w:spacing w:line="360" w:lineRule="auto"/>
        <w:ind w:firstLine="480" w:firstLineChars="200"/>
        <w:rPr>
          <w:szCs w:val="24"/>
          <w:u w:val="single"/>
        </w:rPr>
      </w:pPr>
      <w:r>
        <w:rPr>
          <w:rFonts w:hint="eastAsia"/>
          <w:szCs w:val="24"/>
          <w:u w:val="single"/>
        </w:rPr>
        <w:t>草花等植物要求须达到设计及发包人要求。</w:t>
      </w:r>
    </w:p>
    <w:p>
      <w:pPr>
        <w:spacing w:line="360" w:lineRule="auto"/>
        <w:ind w:firstLine="482" w:firstLineChars="200"/>
        <w:rPr>
          <w:b/>
          <w:bCs/>
          <w:szCs w:val="24"/>
        </w:rPr>
      </w:pPr>
      <w:r>
        <w:rPr>
          <w:rFonts w:hint="eastAsia"/>
          <w:b/>
          <w:bCs/>
          <w:szCs w:val="24"/>
        </w:rPr>
        <w:t>三、本工程对施工工艺的特殊要求</w:t>
      </w:r>
    </w:p>
    <w:p>
      <w:pPr>
        <w:spacing w:line="360" w:lineRule="auto"/>
        <w:ind w:firstLine="480" w:firstLineChars="200"/>
        <w:rPr>
          <w:szCs w:val="24"/>
          <w:u w:val="single"/>
        </w:rPr>
      </w:pPr>
      <w:r>
        <w:rPr>
          <w:rFonts w:hint="eastAsia"/>
          <w:szCs w:val="24"/>
          <w:u w:val="single"/>
        </w:rPr>
        <w:t xml:space="preserve">1、施工期间要注意周边环境，尽量避免对周围居民、行人、游客的影响。  </w:t>
      </w:r>
    </w:p>
    <w:p>
      <w:pPr>
        <w:spacing w:line="360" w:lineRule="auto"/>
        <w:ind w:firstLine="510"/>
        <w:rPr>
          <w:szCs w:val="24"/>
          <w:u w:val="single"/>
        </w:rPr>
      </w:pPr>
      <w:r>
        <w:rPr>
          <w:rFonts w:hint="eastAsia"/>
          <w:szCs w:val="24"/>
          <w:u w:val="single"/>
        </w:rPr>
        <w:t>2、雨季施工要采取相应的保护措施。</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3、五色草立体花坛为：承载体+固定结构+介质+介质固定材料+植物材料的一种立体造型模式。其承载体：一般指地面。固定结构：一般是钢架做成造型的基本形态结构。介质：即营养土、无机固定材料如矿棉等或麦秧泥。介质固定材料：遮荫网、种植盘、铅丝等。在钢结构框架外包上种植网，其内填充培养介质，再栽植上植物材料。这样立体花坛本身重量轻，且能制作出高质量的造型。</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构架固定要牢固而简单，要利用力学三角形稳定性原理，固定一般竖直埋设三根角铁（之间用钢筋焊接），而摈弃挖掘地基浇注混凝土的固定方式。构架造型制作要充分显现作品的“凸”“凹”特色，达到设计的精确、生动等效果。一般圆柱形造型的中间要有立柱，以钢管、铁管为好，用以主要支撑，以保持重心的稳定。其他造型的只要不影响造型都应有加固中柱。</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为防止浇水后培养基质下沉而造成立体花坛下部膨胀变形，因此在构架内部高度每30～50cm要设置一道防沉降带。防沉降带可用钢筋焊接，间距20cm×20cm，上面用麻布片进行隔断固定。</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构架内部填充培养基质构架内部填充的培养基质，为无土栽培培养基质，配方一般为泥炭土+珍珠岩+其他，其参照比例为7：2：1,pH值在</w:t>
      </w:r>
      <w:r>
        <w:rPr>
          <w:kern w:val="2"/>
          <w:szCs w:val="24"/>
          <w:u w:val="single"/>
        </w:rPr>
        <w:t>5.5</w:t>
      </w:r>
      <w:r>
        <w:rPr>
          <w:rFonts w:hint="eastAsia"/>
          <w:kern w:val="2"/>
          <w:szCs w:val="24"/>
          <w:u w:val="single"/>
        </w:rPr>
        <w:t>～</w:t>
      </w:r>
      <w:r>
        <w:rPr>
          <w:kern w:val="2"/>
          <w:szCs w:val="24"/>
          <w:u w:val="single"/>
        </w:rPr>
        <w:t>6.0</w:t>
      </w:r>
      <w:r>
        <w:rPr>
          <w:rFonts w:hint="eastAsia"/>
          <w:kern w:val="2"/>
          <w:szCs w:val="24"/>
          <w:u w:val="single"/>
        </w:rPr>
        <w:t>，EC值在</w:t>
      </w:r>
      <w:r>
        <w:rPr>
          <w:kern w:val="2"/>
          <w:szCs w:val="24"/>
          <w:u w:val="single"/>
        </w:rPr>
        <w:t>0.55</w:t>
      </w:r>
      <w:r>
        <w:rPr>
          <w:rFonts w:hint="eastAsia"/>
          <w:kern w:val="2"/>
          <w:szCs w:val="24"/>
          <w:u w:val="single"/>
        </w:rPr>
        <w:t>左右。体量较大的作品可作中空内胆，用无纺布等绑扎隔离。</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制作种植被：立体花坛表面铺设的遮阴网或麻布，称为种植被，可通过老虎钳等用铅丝绑扎固定。制作种植被的遮阴网要求遮光率80％以上。遮阴网一般每15cm×15cm扎铅丝一道，以绷紧防止膨胀。</w:t>
      </w:r>
    </w:p>
    <w:p>
      <w:pPr>
        <w:pStyle w:val="55"/>
        <w:spacing w:before="0" w:beforeAutospacing="0" w:after="0" w:afterAutospacing="0" w:line="360" w:lineRule="auto"/>
        <w:ind w:firstLine="480" w:firstLineChars="200"/>
        <w:rPr>
          <w:rFonts w:hint="eastAsia"/>
          <w:kern w:val="2"/>
          <w:szCs w:val="24"/>
          <w:u w:val="single"/>
        </w:rPr>
      </w:pPr>
      <w:r>
        <w:rPr>
          <w:rFonts w:hint="eastAsia"/>
          <w:kern w:val="2"/>
          <w:szCs w:val="24"/>
          <w:u w:val="single"/>
        </w:rPr>
        <w:t>本工程草花密度为口径</w:t>
      </w:r>
      <w:r>
        <w:rPr>
          <w:kern w:val="2"/>
          <w:szCs w:val="24"/>
          <w:u w:val="single"/>
        </w:rPr>
        <w:t>12</w:t>
      </w:r>
      <w:r>
        <w:rPr>
          <w:rFonts w:hint="eastAsia"/>
          <w:kern w:val="2"/>
          <w:szCs w:val="24"/>
          <w:u w:val="single"/>
        </w:rPr>
        <w:t>cm</w:t>
      </w:r>
      <w:r>
        <w:rPr>
          <w:kern w:val="2"/>
          <w:szCs w:val="24"/>
          <w:u w:val="single"/>
        </w:rPr>
        <w:t>双色盆80株</w:t>
      </w:r>
      <w:r>
        <w:rPr>
          <w:rFonts w:hint="eastAsia"/>
          <w:kern w:val="2"/>
          <w:szCs w:val="24"/>
          <w:u w:val="single"/>
        </w:rPr>
        <w:t>/m2</w:t>
      </w:r>
      <w:r>
        <w:rPr>
          <w:kern w:val="2"/>
          <w:szCs w:val="24"/>
          <w:u w:val="single"/>
        </w:rPr>
        <w:t>，口径10</w:t>
      </w:r>
      <w:r>
        <w:rPr>
          <w:rFonts w:hint="eastAsia"/>
          <w:kern w:val="2"/>
          <w:szCs w:val="24"/>
          <w:u w:val="single"/>
        </w:rPr>
        <w:t>cm</w:t>
      </w:r>
      <w:r>
        <w:rPr>
          <w:kern w:val="2"/>
          <w:szCs w:val="24"/>
          <w:u w:val="single"/>
        </w:rPr>
        <w:t>营养钵90株/</w:t>
      </w:r>
      <w:r>
        <w:rPr>
          <w:rFonts w:hint="eastAsia"/>
          <w:kern w:val="2"/>
          <w:szCs w:val="24"/>
          <w:u w:val="single"/>
        </w:rPr>
        <w:t>m2</w:t>
      </w:r>
      <w:r>
        <w:rPr>
          <w:kern w:val="2"/>
          <w:szCs w:val="24"/>
          <w:u w:val="single"/>
        </w:rPr>
        <w:t>，口径8</w:t>
      </w:r>
      <w:r>
        <w:rPr>
          <w:rFonts w:hint="eastAsia"/>
          <w:kern w:val="2"/>
          <w:szCs w:val="24"/>
          <w:u w:val="single"/>
        </w:rPr>
        <w:t>cm</w:t>
      </w:r>
      <w:r>
        <w:rPr>
          <w:kern w:val="2"/>
          <w:szCs w:val="24"/>
          <w:u w:val="single"/>
        </w:rPr>
        <w:t>营养钵140株</w:t>
      </w:r>
      <w:r>
        <w:rPr>
          <w:rFonts w:hint="eastAsia"/>
          <w:kern w:val="2"/>
          <w:szCs w:val="24"/>
          <w:u w:val="single"/>
        </w:rPr>
        <w:t>/m2，相邻品种之间要明显的颜色区分，所发生工程量均按实结算。</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金属件要求：</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1)材料采用Q235-A.F钢，焊条用E430系列。</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2）接缝应符合JGJ81-2012的有关技术规定，焊缝高度≥3m时焊缝均应满焊，并保持焊缝均匀，不得有裂缝过烧现象，外露处应挫平磨光。</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3）金属构件表面应光滑、平直、无毛刺。安装后不应有歪斜、扭曲、变形等缺陷。</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4）金属板制作的装饰件应保持边角整齐，切割部位须挫平磨光，不得留有切割痕迹。</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5）各种机加工件要求尺寸精确，表面光洁。</w:t>
      </w:r>
    </w:p>
    <w:p>
      <w:pPr>
        <w:pStyle w:val="55"/>
        <w:spacing w:before="0" w:beforeAutospacing="0" w:after="0" w:afterAutospacing="0" w:line="360" w:lineRule="auto"/>
        <w:ind w:firstLine="480" w:firstLineChars="200"/>
        <w:rPr>
          <w:kern w:val="2"/>
          <w:szCs w:val="24"/>
          <w:u w:val="single"/>
        </w:rPr>
      </w:pPr>
      <w:r>
        <w:rPr>
          <w:rFonts w:hint="eastAsia"/>
          <w:kern w:val="2"/>
          <w:szCs w:val="24"/>
          <w:u w:val="single"/>
        </w:rPr>
        <w:t>6）所有钢构件刷环氧富锌底漆二道，醇酸醇瓷面漆两道。</w:t>
      </w:r>
    </w:p>
    <w:p>
      <w:pPr>
        <w:pStyle w:val="55"/>
        <w:spacing w:before="0" w:beforeAutospacing="0" w:after="0" w:afterAutospacing="0" w:line="360" w:lineRule="auto"/>
        <w:ind w:firstLine="480" w:firstLineChars="200"/>
        <w:rPr>
          <w:kern w:val="2"/>
          <w:sz w:val="21"/>
          <w:szCs w:val="21"/>
          <w:u w:val="single"/>
        </w:rPr>
      </w:pPr>
      <w:r>
        <w:rPr>
          <w:rFonts w:hint="eastAsia"/>
          <w:kern w:val="2"/>
          <w:szCs w:val="24"/>
          <w:u w:val="single"/>
        </w:rPr>
        <w:t>7）预埋铁件均应进行防锈处理。</w:t>
      </w:r>
    </w:p>
    <w:p>
      <w:pPr>
        <w:spacing w:line="440" w:lineRule="exact"/>
        <w:ind w:firstLine="480" w:firstLineChars="200"/>
        <w:jc w:val="center"/>
      </w:pPr>
    </w:p>
    <w:p>
      <w:pPr>
        <w:ind w:firstLine="480" w:firstLineChars="200"/>
      </w:pPr>
      <w:r>
        <w:br w:type="page"/>
      </w:r>
      <w:bookmarkEnd w:id="35"/>
      <w:bookmarkEnd w:id="36"/>
    </w:p>
    <w:p>
      <w:pPr>
        <w:pStyle w:val="4"/>
        <w:ind w:left="480" w:leftChars="200"/>
        <w:jc w:val="center"/>
      </w:pPr>
      <w:bookmarkStart w:id="49" w:name="_Toc13841486"/>
      <w:bookmarkStart w:id="50" w:name="_Toc358569769"/>
      <w:bookmarkStart w:id="51" w:name="_Toc389065350"/>
      <w:bookmarkStart w:id="52" w:name="_Toc536214672"/>
      <w:bookmarkStart w:id="53" w:name="_Toc389065355"/>
      <w:bookmarkStart w:id="54" w:name="_Toc349555831"/>
      <w:bookmarkStart w:id="55" w:name="_Toc251051976"/>
      <w:bookmarkStart w:id="56" w:name="_Toc349215544"/>
      <w:bookmarkStart w:id="57" w:name="_Toc163270989"/>
      <w:bookmarkStart w:id="58" w:name="_Toc158458008"/>
      <w:bookmarkStart w:id="59" w:name="_Toc173558684"/>
      <w:r>
        <w:rPr>
          <w:rFonts w:hint="eastAsia"/>
        </w:rPr>
        <w:t xml:space="preserve">第五章  </w:t>
      </w:r>
      <w:r>
        <w:t>投标文件格式</w:t>
      </w:r>
      <w:bookmarkEnd w:id="49"/>
      <w:bookmarkEnd w:id="50"/>
      <w:bookmarkEnd w:id="51"/>
    </w:p>
    <w:p>
      <w:pPr>
        <w:pStyle w:val="4"/>
        <w:ind w:left="480" w:leftChars="200"/>
        <w:jc w:val="center"/>
        <w:rPr>
          <w:rFonts w:ascii="宋体" w:hAnsi="宋体" w:eastAsia="宋体"/>
        </w:rPr>
      </w:pPr>
    </w:p>
    <w:bookmarkEnd w:id="52"/>
    <w:p>
      <w:pPr>
        <w:spacing w:line="360" w:lineRule="auto"/>
        <w:jc w:val="center"/>
        <w:rPr>
          <w:b/>
          <w:bCs/>
          <w:sz w:val="32"/>
        </w:rPr>
      </w:pPr>
      <w:r>
        <w:rPr>
          <w:rFonts w:hint="eastAsia"/>
          <w:sz w:val="32"/>
          <w:szCs w:val="32"/>
        </w:rPr>
        <w:t>（封面）</w:t>
      </w:r>
    </w:p>
    <w:p>
      <w:pPr>
        <w:spacing w:line="360" w:lineRule="auto"/>
        <w:jc w:val="center"/>
        <w:rPr>
          <w:b/>
          <w:bCs/>
          <w:sz w:val="32"/>
        </w:rPr>
      </w:pPr>
      <w:r>
        <w:rPr>
          <w:rFonts w:hint="eastAsia"/>
          <w:b/>
          <w:bCs/>
          <w:sz w:val="32"/>
        </w:rPr>
        <w:t xml:space="preserve">                                         </w:t>
      </w:r>
      <w:r>
        <w:rPr>
          <w:rFonts w:hint="eastAsia"/>
        </w:rPr>
        <w:t>正本/副本</w:t>
      </w:r>
    </w:p>
    <w:p>
      <w:pPr>
        <w:pStyle w:val="15"/>
        <w:spacing w:line="360" w:lineRule="auto"/>
        <w:ind w:firstLine="480" w:firstLineChars="150"/>
        <w:jc w:val="center"/>
        <w:rPr>
          <w:rFonts w:ascii="宋体" w:hAnsi="宋体"/>
          <w:sz w:val="32"/>
          <w:szCs w:val="32"/>
        </w:rPr>
      </w:pPr>
      <w:r>
        <w:rPr>
          <w:rFonts w:hint="eastAsia" w:ascii="宋体" w:hAnsi="宋体"/>
          <w:sz w:val="32"/>
          <w:szCs w:val="32"/>
          <w:u w:val="single"/>
        </w:rPr>
        <w:t xml:space="preserve">                               </w:t>
      </w:r>
      <w:r>
        <w:rPr>
          <w:rFonts w:hint="eastAsia" w:ascii="宋体" w:hAnsi="宋体"/>
          <w:sz w:val="32"/>
          <w:szCs w:val="32"/>
        </w:rPr>
        <w:t>（项目名称）</w:t>
      </w:r>
    </w:p>
    <w:p>
      <w:pPr>
        <w:pStyle w:val="15"/>
        <w:spacing w:line="360" w:lineRule="auto"/>
        <w:jc w:val="center"/>
        <w:rPr>
          <w:rFonts w:ascii="宋体" w:hAnsi="宋体"/>
          <w:sz w:val="30"/>
        </w:rPr>
      </w:pPr>
    </w:p>
    <w:p>
      <w:pPr>
        <w:pStyle w:val="15"/>
        <w:spacing w:line="360" w:lineRule="auto"/>
        <w:ind w:firstLine="0"/>
        <w:rPr>
          <w:rFonts w:ascii="宋体" w:hAnsi="宋体"/>
          <w:sz w:val="30"/>
        </w:rPr>
      </w:pPr>
    </w:p>
    <w:p>
      <w:pPr>
        <w:pStyle w:val="15"/>
        <w:spacing w:line="360" w:lineRule="auto"/>
        <w:jc w:val="center"/>
        <w:rPr>
          <w:rFonts w:ascii="宋体" w:hAnsi="宋体"/>
          <w:b/>
          <w:bCs/>
          <w:spacing w:val="60"/>
          <w:sz w:val="84"/>
          <w:szCs w:val="84"/>
        </w:rPr>
      </w:pPr>
      <w:r>
        <w:rPr>
          <w:rFonts w:hint="eastAsia" w:ascii="宋体" w:hAnsi="宋体"/>
          <w:b/>
          <w:bCs/>
          <w:spacing w:val="60"/>
          <w:sz w:val="84"/>
          <w:szCs w:val="84"/>
        </w:rPr>
        <w:t xml:space="preserve"> 投标书</w:t>
      </w:r>
    </w:p>
    <w:p>
      <w:pPr>
        <w:pStyle w:val="15"/>
        <w:spacing w:line="360" w:lineRule="auto"/>
        <w:jc w:val="center"/>
        <w:rPr>
          <w:rFonts w:ascii="宋体" w:hAnsi="宋体"/>
          <w:sz w:val="48"/>
          <w:szCs w:val="48"/>
        </w:rPr>
      </w:pPr>
    </w:p>
    <w:p>
      <w:pPr>
        <w:pStyle w:val="15"/>
        <w:spacing w:line="360" w:lineRule="auto"/>
        <w:ind w:firstLine="0"/>
        <w:jc w:val="both"/>
        <w:rPr>
          <w:rFonts w:ascii="宋体" w:hAnsi="宋体"/>
          <w:sz w:val="30"/>
        </w:rPr>
      </w:pPr>
    </w:p>
    <w:p>
      <w:pPr>
        <w:pStyle w:val="15"/>
        <w:spacing w:line="360" w:lineRule="auto"/>
        <w:jc w:val="center"/>
        <w:rPr>
          <w:rFonts w:ascii="宋体" w:hAnsi="宋体"/>
          <w:sz w:val="30"/>
        </w:rPr>
      </w:pPr>
    </w:p>
    <w:p>
      <w:pPr>
        <w:pStyle w:val="15"/>
        <w:spacing w:line="360" w:lineRule="auto"/>
        <w:jc w:val="center"/>
        <w:rPr>
          <w:rFonts w:ascii="宋体" w:hAnsi="宋体"/>
          <w:sz w:val="30"/>
        </w:rPr>
      </w:pPr>
    </w:p>
    <w:p>
      <w:pPr>
        <w:pStyle w:val="15"/>
        <w:spacing w:line="360" w:lineRule="auto"/>
        <w:ind w:firstLine="480" w:firstLineChars="160"/>
        <w:rPr>
          <w:rFonts w:ascii="宋体" w:hAnsi="宋体"/>
          <w:sz w:val="30"/>
          <w:u w:val="single"/>
        </w:rPr>
      </w:pPr>
      <w:r>
        <w:rPr>
          <w:rFonts w:hint="eastAsia" w:ascii="宋体" w:hAnsi="宋体"/>
          <w:sz w:val="30"/>
        </w:rPr>
        <w:t>投标人：</w:t>
      </w:r>
      <w:r>
        <w:rPr>
          <w:rFonts w:hint="eastAsia" w:ascii="宋体" w:hAnsi="宋体"/>
          <w:sz w:val="30"/>
          <w:u w:val="single"/>
        </w:rPr>
        <w:t xml:space="preserve">                                </w:t>
      </w:r>
      <w:r>
        <w:rPr>
          <w:rFonts w:hint="eastAsia" w:ascii="宋体" w:hAnsi="宋体"/>
          <w:sz w:val="30"/>
        </w:rPr>
        <w:t>(盖单位章)</w:t>
      </w:r>
    </w:p>
    <w:p>
      <w:pPr>
        <w:pStyle w:val="15"/>
        <w:spacing w:line="360" w:lineRule="auto"/>
        <w:ind w:firstLine="480" w:firstLineChars="160"/>
        <w:rPr>
          <w:rFonts w:ascii="宋体" w:hAnsi="宋体"/>
          <w:sz w:val="30"/>
        </w:rPr>
      </w:pPr>
    </w:p>
    <w:p>
      <w:pPr>
        <w:pStyle w:val="15"/>
        <w:spacing w:line="360" w:lineRule="auto"/>
        <w:ind w:firstLine="480" w:firstLineChars="160"/>
        <w:rPr>
          <w:rFonts w:ascii="宋体" w:hAnsi="宋体"/>
          <w:sz w:val="30"/>
        </w:rPr>
      </w:pPr>
      <w:r>
        <w:rPr>
          <w:rFonts w:hint="eastAsia" w:ascii="宋体" w:hAnsi="宋体"/>
          <w:sz w:val="30"/>
        </w:rPr>
        <w:t>法定代表人或其委托代理人：</w:t>
      </w:r>
      <w:r>
        <w:rPr>
          <w:rFonts w:hint="eastAsia" w:ascii="宋体" w:hAnsi="宋体"/>
          <w:sz w:val="30"/>
          <w:u w:val="single"/>
        </w:rPr>
        <w:t xml:space="preserve">              </w:t>
      </w:r>
      <w:r>
        <w:rPr>
          <w:rFonts w:hint="eastAsia" w:ascii="宋体" w:hAnsi="宋体"/>
          <w:sz w:val="30"/>
        </w:rPr>
        <w:t>(签字或盖章)</w:t>
      </w:r>
    </w:p>
    <w:p>
      <w:pPr>
        <w:pStyle w:val="15"/>
        <w:spacing w:line="360" w:lineRule="auto"/>
        <w:ind w:firstLine="480" w:firstLineChars="160"/>
        <w:rPr>
          <w:rFonts w:ascii="宋体" w:hAnsi="宋体"/>
          <w:sz w:val="30"/>
        </w:rPr>
      </w:pPr>
    </w:p>
    <w:p>
      <w:pPr>
        <w:pStyle w:val="15"/>
        <w:spacing w:line="360" w:lineRule="auto"/>
        <w:ind w:firstLine="480" w:firstLineChars="160"/>
        <w:jc w:val="center"/>
        <w:rPr>
          <w:rFonts w:ascii="宋体" w:hAnsi="宋体"/>
          <w:b/>
          <w:bCs/>
          <w:sz w:val="36"/>
          <w:szCs w:val="36"/>
        </w:rPr>
      </w:pPr>
      <w:r>
        <w:rPr>
          <w:rFonts w:hint="eastAsia" w:ascii="宋体" w:hAnsi="宋体"/>
          <w:sz w:val="30"/>
        </w:rPr>
        <w:t>日   期：</w:t>
      </w:r>
      <w:r>
        <w:rPr>
          <w:rFonts w:hint="eastAsia" w:ascii="宋体" w:hAnsi="宋体"/>
          <w:sz w:val="30"/>
          <w:u w:val="single"/>
        </w:rPr>
        <w:t xml:space="preserve">        年     月     日</w:t>
      </w:r>
      <w:r>
        <w:rPr>
          <w:rFonts w:hint="eastAsia"/>
          <w:sz w:val="28"/>
        </w:rPr>
        <w:t xml:space="preserve"> </w:t>
      </w:r>
      <w:r>
        <w:rPr>
          <w:sz w:val="28"/>
        </w:rPr>
        <w:br w:type="page"/>
      </w:r>
      <w:bookmarkEnd w:id="53"/>
      <w:r>
        <w:rPr>
          <w:rFonts w:hint="eastAsia" w:ascii="宋体" w:hAnsi="宋体"/>
          <w:b/>
          <w:bCs/>
          <w:sz w:val="36"/>
          <w:szCs w:val="36"/>
        </w:rPr>
        <w:t>一、投  标  函</w:t>
      </w:r>
    </w:p>
    <w:p>
      <w:pPr>
        <w:pStyle w:val="15"/>
        <w:spacing w:line="360" w:lineRule="auto"/>
        <w:ind w:firstLine="578" w:firstLineChars="160"/>
        <w:jc w:val="center"/>
        <w:rPr>
          <w:rFonts w:ascii="宋体" w:hAnsi="宋体"/>
          <w:b/>
          <w:bCs/>
          <w:sz w:val="36"/>
          <w:szCs w:val="36"/>
        </w:rPr>
      </w:pPr>
    </w:p>
    <w:p>
      <w:pPr>
        <w:snapToGrid w:val="0"/>
        <w:spacing w:line="360" w:lineRule="auto"/>
      </w:pPr>
      <w:r>
        <w:rPr>
          <w:rFonts w:hint="eastAsia"/>
          <w:u w:val="single"/>
        </w:rPr>
        <w:t xml:space="preserve">                           </w:t>
      </w:r>
      <w:r>
        <w:rPr>
          <w:rFonts w:hint="eastAsia"/>
        </w:rPr>
        <w:t>（招标人名称）：</w:t>
      </w:r>
    </w:p>
    <w:p>
      <w:pPr>
        <w:pageBreakBefore w:val="0"/>
        <w:kinsoku/>
        <w:wordWrap/>
        <w:overflowPunct/>
        <w:topLinePunct w:val="0"/>
        <w:autoSpaceDE/>
        <w:autoSpaceDN/>
        <w:bidi w:val="0"/>
        <w:adjustRightInd/>
        <w:snapToGrid w:val="0"/>
        <w:spacing w:beforeAutospacing="0" w:afterAutospacing="0" w:line="360" w:lineRule="auto"/>
        <w:ind w:firstLine="480"/>
        <w:textAlignment w:val="auto"/>
      </w:pPr>
      <w:r>
        <w:rPr>
          <w:rFonts w:hint="eastAsia"/>
        </w:rPr>
        <w:t>(一)根据已收到的</w:t>
      </w:r>
      <w:r>
        <w:rPr>
          <w:rFonts w:hint="eastAsia"/>
          <w:u w:val="single"/>
        </w:rPr>
        <w:t xml:space="preserve">             </w:t>
      </w:r>
      <w:r>
        <w:rPr>
          <w:rFonts w:hint="eastAsia"/>
        </w:rPr>
        <w:t>(工程名称)工程的招标文件，我方仔细研究招标文件全部内容并对现场进行踏勘后，愿遵守《中华人民共和国招标投标法》等有关规定，并愿</w:t>
      </w:r>
      <w:r>
        <w:rPr>
          <w:rFonts w:hint="eastAsia"/>
          <w:color w:val="000000"/>
        </w:rPr>
        <w:t>以人民币（大写）</w:t>
      </w:r>
      <w:r>
        <w:rPr>
          <w:rFonts w:hint="eastAsia"/>
          <w:color w:val="000000"/>
          <w:u w:val="single"/>
        </w:rPr>
        <w:t xml:space="preserve">           </w:t>
      </w:r>
      <w:r>
        <w:rPr>
          <w:rFonts w:hint="eastAsia"/>
          <w:color w:val="000000"/>
        </w:rPr>
        <w:t>[¥</w:t>
      </w:r>
      <w:r>
        <w:rPr>
          <w:rFonts w:hint="eastAsia" w:cs="仿宋_GB2312"/>
          <w:color w:val="000000"/>
        </w:rPr>
        <w:t>(</w:t>
      </w:r>
      <w:r>
        <w:rPr>
          <w:rFonts w:hint="eastAsia"/>
          <w:color w:val="000000"/>
        </w:rPr>
        <w:t>小写)</w:t>
      </w:r>
      <w:r>
        <w:rPr>
          <w:rFonts w:hint="eastAsia"/>
          <w:color w:val="000000"/>
          <w:u w:val="single"/>
        </w:rPr>
        <w:t xml:space="preserve">          元</w:t>
      </w:r>
      <w:r>
        <w:rPr>
          <w:rFonts w:hint="eastAsia"/>
          <w:color w:val="000000"/>
        </w:rPr>
        <w:t>］的总价</w:t>
      </w:r>
      <w:r>
        <w:rPr>
          <w:rFonts w:hint="eastAsia"/>
        </w:rPr>
        <w:t>，按招标文件的要求承包本次招标范围内的全部工程，修补工程中的任何缺陷。</w:t>
      </w:r>
    </w:p>
    <w:p>
      <w:pPr>
        <w:pStyle w:val="55"/>
        <w:pageBreakBefore w:val="0"/>
        <w:kinsoku/>
        <w:wordWrap/>
        <w:overflowPunct/>
        <w:topLinePunct w:val="0"/>
        <w:autoSpaceDE/>
        <w:autoSpaceDN/>
        <w:bidi w:val="0"/>
        <w:adjustRightInd/>
        <w:snapToGrid w:val="0"/>
        <w:spacing w:before="0" w:beforeAutospacing="0" w:after="0" w:afterAutospacing="0" w:line="360" w:lineRule="auto"/>
        <w:ind w:firstLine="420"/>
        <w:jc w:val="both"/>
        <w:textAlignment w:val="auto"/>
        <w:rPr>
          <w:rFonts w:hint="eastAsia"/>
        </w:rPr>
      </w:pPr>
      <w:r>
        <w:rPr>
          <w:rFonts w:hint="eastAsia"/>
        </w:rPr>
        <w:t>(二)</w:t>
      </w:r>
      <w:r>
        <w:rPr>
          <w:rFonts w:hint="eastAsia"/>
          <w:spacing w:val="-6"/>
        </w:rPr>
        <w:t>我方保证</w:t>
      </w:r>
      <w:r>
        <w:rPr>
          <w:rFonts w:hint="eastAsia"/>
          <w:spacing w:val="-6"/>
          <w:lang w:eastAsia="zh-CN"/>
        </w:rPr>
        <w:t>：</w:t>
      </w:r>
      <w:r>
        <w:rPr>
          <w:rFonts w:hint="eastAsia"/>
          <w:spacing w:val="-6"/>
          <w:lang w:val="en-US" w:eastAsia="zh-CN"/>
        </w:rPr>
        <w:t>本项目的</w:t>
      </w:r>
      <w:r>
        <w:rPr>
          <w:rFonts w:hint="eastAsia" w:cs="Calibri"/>
        </w:rPr>
        <w:t>设计方案调整、优化时间、施工图设计</w:t>
      </w:r>
      <w:r>
        <w:rPr>
          <w:rFonts w:hint="eastAsia" w:cs="Calibri"/>
          <w:lang w:val="en-US" w:eastAsia="zh-CN"/>
        </w:rPr>
        <w:t>等工作在</w:t>
      </w:r>
      <w:r>
        <w:rPr>
          <w:rFonts w:hint="eastAsia"/>
          <w:spacing w:val="-6"/>
          <w:u w:val="single"/>
        </w:rPr>
        <w:t xml:space="preserve">   </w:t>
      </w:r>
      <w:r>
        <w:rPr>
          <w:rFonts w:hint="eastAsia"/>
          <w:u w:val="single"/>
        </w:rPr>
        <w:t xml:space="preserve">    </w:t>
      </w:r>
      <w:r>
        <w:rPr>
          <w:rFonts w:hint="eastAsia" w:cs="Calibri"/>
        </w:rPr>
        <w:t>日历天</w:t>
      </w:r>
      <w:r>
        <w:rPr>
          <w:rFonts w:hint="eastAsia" w:cs="Calibri"/>
          <w:lang w:val="en-US" w:eastAsia="zh-CN"/>
        </w:rPr>
        <w:t>完成，且得到招标人确认</w:t>
      </w:r>
      <w:r>
        <w:rPr>
          <w:rFonts w:hint="eastAsia" w:cs="Calibri"/>
        </w:rPr>
        <w:t>，</w:t>
      </w:r>
      <w:r>
        <w:rPr>
          <w:rFonts w:hint="eastAsia" w:cs="Calibri"/>
          <w:lang w:val="en-US" w:eastAsia="zh-CN"/>
        </w:rPr>
        <w:t xml:space="preserve"> </w:t>
      </w:r>
      <w:r>
        <w:rPr>
          <w:rFonts w:hint="eastAsia"/>
          <w:spacing w:val="-6"/>
          <w:u w:val="single"/>
        </w:rPr>
        <w:t xml:space="preserve">   </w:t>
      </w:r>
      <w:r>
        <w:rPr>
          <w:rFonts w:hint="eastAsia"/>
          <w:spacing w:val="-6"/>
          <w:u w:val="single"/>
          <w:lang w:val="en-US" w:eastAsia="zh-CN"/>
        </w:rPr>
        <w:t xml:space="preserve">    年     月   </w:t>
      </w:r>
      <w:r>
        <w:rPr>
          <w:rFonts w:hint="eastAsia"/>
          <w:u w:val="single"/>
        </w:rPr>
        <w:t xml:space="preserve">    </w:t>
      </w:r>
      <w:r>
        <w:rPr>
          <w:rFonts w:hint="eastAsia" w:cs="Calibri"/>
          <w:u w:val="single"/>
        </w:rPr>
        <w:t>日</w:t>
      </w:r>
      <w:r>
        <w:rPr>
          <w:rFonts w:hint="eastAsia" w:cs="Calibri"/>
          <w:lang w:val="en-US" w:eastAsia="zh-CN"/>
        </w:rPr>
        <w:t>前完成所有施工，且达到招标人要求</w:t>
      </w:r>
      <w:r>
        <w:rPr>
          <w:rFonts w:hint="eastAsia" w:cs="Calibri"/>
        </w:rPr>
        <w:t>。</w:t>
      </w:r>
    </w:p>
    <w:p>
      <w:pPr>
        <w:pageBreakBefore w:val="0"/>
        <w:kinsoku/>
        <w:wordWrap/>
        <w:overflowPunct/>
        <w:topLinePunct w:val="0"/>
        <w:autoSpaceDE/>
        <w:autoSpaceDN/>
        <w:bidi w:val="0"/>
        <w:adjustRightInd/>
        <w:snapToGrid w:val="0"/>
        <w:spacing w:beforeAutospacing="0" w:afterAutospacing="0" w:line="360" w:lineRule="auto"/>
        <w:ind w:firstLine="480"/>
        <w:textAlignment w:val="auto"/>
      </w:pPr>
      <w:r>
        <w:rPr>
          <w:rFonts w:hint="eastAsia"/>
        </w:rPr>
        <w:t>(三)我单位保证本工程质量达到</w:t>
      </w:r>
      <w:r>
        <w:rPr>
          <w:rFonts w:hint="eastAsia"/>
          <w:u w:val="single"/>
        </w:rPr>
        <w:t xml:space="preserve">                   </w:t>
      </w:r>
      <w:r>
        <w:rPr>
          <w:rFonts w:hint="eastAsia"/>
        </w:rPr>
        <w:t xml:space="preserve"> 。</w:t>
      </w:r>
    </w:p>
    <w:p>
      <w:pPr>
        <w:pageBreakBefore w:val="0"/>
        <w:kinsoku/>
        <w:wordWrap/>
        <w:overflowPunct/>
        <w:topLinePunct w:val="0"/>
        <w:autoSpaceDE/>
        <w:autoSpaceDN/>
        <w:bidi w:val="0"/>
        <w:adjustRightInd/>
        <w:snapToGrid w:val="0"/>
        <w:spacing w:beforeAutospacing="0" w:afterAutospacing="0" w:line="360" w:lineRule="auto"/>
        <w:ind w:firstLine="480"/>
        <w:textAlignment w:val="auto"/>
      </w:pPr>
      <w:r>
        <w:rPr>
          <w:rFonts w:hint="eastAsia"/>
        </w:rPr>
        <w:t>(四)我单位金额为人民币</w:t>
      </w:r>
      <w:r>
        <w:rPr>
          <w:rFonts w:hint="eastAsia"/>
          <w:u w:val="single"/>
        </w:rPr>
        <w:t xml:space="preserve">           </w:t>
      </w:r>
      <w:r>
        <w:rPr>
          <w:rFonts w:hint="eastAsia"/>
        </w:rPr>
        <w:t xml:space="preserve">元（¥ </w:t>
      </w:r>
      <w:r>
        <w:rPr>
          <w:rFonts w:hint="eastAsia"/>
          <w:u w:val="single"/>
        </w:rPr>
        <w:t xml:space="preserve">     元</w:t>
      </w:r>
      <w:r>
        <w:rPr>
          <w:rFonts w:hint="eastAsia"/>
        </w:rPr>
        <w:t>）的投标保证金已按招标文件要求递交。</w:t>
      </w:r>
    </w:p>
    <w:p>
      <w:pPr>
        <w:pageBreakBefore w:val="0"/>
        <w:kinsoku/>
        <w:wordWrap/>
        <w:overflowPunct/>
        <w:topLinePunct w:val="0"/>
        <w:autoSpaceDE/>
        <w:autoSpaceDN/>
        <w:bidi w:val="0"/>
        <w:adjustRightInd/>
        <w:snapToGrid w:val="0"/>
        <w:spacing w:beforeAutospacing="0" w:afterAutospacing="0" w:line="360" w:lineRule="auto"/>
        <w:ind w:firstLine="480"/>
        <w:textAlignment w:val="auto"/>
      </w:pPr>
      <w:r>
        <w:rPr>
          <w:rFonts w:hint="eastAsia"/>
        </w:rPr>
        <w:t>(五)如果我方中标，我方承诺在收到中标通知书后，在中标通知书规定的期限内与贵方签订合同，并将按照招标文件规定的时间、数额提交履约保证金。</w:t>
      </w:r>
    </w:p>
    <w:p>
      <w:pPr>
        <w:pageBreakBefore w:val="0"/>
        <w:kinsoku/>
        <w:wordWrap/>
        <w:overflowPunct/>
        <w:topLinePunct w:val="0"/>
        <w:autoSpaceDE/>
        <w:autoSpaceDN/>
        <w:bidi w:val="0"/>
        <w:adjustRightInd/>
        <w:snapToGrid w:val="0"/>
        <w:spacing w:beforeAutospacing="0" w:afterAutospacing="0" w:line="360" w:lineRule="auto"/>
        <w:ind w:firstLine="480"/>
        <w:textAlignment w:val="auto"/>
      </w:pPr>
      <w:r>
        <w:rPr>
          <w:rFonts w:hint="eastAsia"/>
        </w:rPr>
        <w:t>(六)贵单位的招标文件、中标通知书和本投标文件将构成约束我们双方的合同。</w:t>
      </w:r>
    </w:p>
    <w:p>
      <w:pPr>
        <w:pageBreakBefore w:val="0"/>
        <w:kinsoku/>
        <w:wordWrap/>
        <w:overflowPunct/>
        <w:topLinePunct w:val="0"/>
        <w:autoSpaceDE/>
        <w:autoSpaceDN/>
        <w:bidi w:val="0"/>
        <w:adjustRightInd/>
        <w:snapToGrid w:val="0"/>
        <w:spacing w:beforeAutospacing="0" w:afterAutospacing="0" w:line="360" w:lineRule="auto"/>
        <w:textAlignment w:val="auto"/>
      </w:pPr>
    </w:p>
    <w:p>
      <w:pPr>
        <w:snapToGrid w:val="0"/>
        <w:spacing w:line="360" w:lineRule="auto"/>
        <w:rPr>
          <w:u w:val="single"/>
        </w:rPr>
      </w:pPr>
      <w:r>
        <w:rPr>
          <w:rFonts w:hint="eastAsia"/>
        </w:rPr>
        <w:t>投标人(盖单位章)：</w:t>
      </w:r>
      <w:r>
        <w:rPr>
          <w:rFonts w:hint="eastAsia"/>
          <w:u w:val="single"/>
        </w:rPr>
        <w:t xml:space="preserve">                               </w:t>
      </w:r>
    </w:p>
    <w:p>
      <w:pPr>
        <w:snapToGrid w:val="0"/>
        <w:spacing w:line="360" w:lineRule="auto"/>
      </w:pPr>
    </w:p>
    <w:p>
      <w:pPr>
        <w:snapToGrid w:val="0"/>
        <w:spacing w:line="360" w:lineRule="auto"/>
      </w:pPr>
      <w:r>
        <w:rPr>
          <w:rFonts w:hint="eastAsia"/>
        </w:rPr>
        <w:t>法定代表人或委托代理人(签字或盖章)：</w:t>
      </w:r>
      <w:r>
        <w:rPr>
          <w:rFonts w:hint="eastAsia"/>
          <w:u w:val="single"/>
        </w:rPr>
        <w:t xml:space="preserve">                        </w:t>
      </w:r>
      <w:r>
        <w:rPr>
          <w:rFonts w:hint="eastAsia"/>
        </w:rPr>
        <w:t xml:space="preserve">      </w:t>
      </w:r>
    </w:p>
    <w:p>
      <w:pPr>
        <w:snapToGrid w:val="0"/>
        <w:spacing w:line="360" w:lineRule="auto"/>
      </w:pPr>
    </w:p>
    <w:p>
      <w:pPr>
        <w:keepNext/>
        <w:keepLines/>
        <w:spacing w:before="100" w:line="400" w:lineRule="exact"/>
        <w:outlineLvl w:val="1"/>
      </w:pPr>
      <w:r>
        <w:rPr>
          <w:rFonts w:hint="eastAsia"/>
        </w:rPr>
        <w:t>日期：     年    月    日</w:t>
      </w:r>
    </w:p>
    <w:p>
      <w:pPr>
        <w:snapToGrid w:val="0"/>
        <w:spacing w:line="520" w:lineRule="exact"/>
        <w:jc w:val="center"/>
        <w:rPr>
          <w:b/>
          <w:bCs/>
          <w:sz w:val="28"/>
          <w:szCs w:val="28"/>
        </w:rPr>
      </w:pPr>
      <w:r>
        <w:rPr>
          <w:rFonts w:hint="eastAsia"/>
        </w:rPr>
        <w:br w:type="page"/>
      </w:r>
      <w:r>
        <w:rPr>
          <w:rFonts w:hint="eastAsia"/>
          <w:b/>
          <w:bCs/>
          <w:sz w:val="28"/>
          <w:szCs w:val="28"/>
        </w:rPr>
        <w:t>报价明细表</w:t>
      </w:r>
    </w:p>
    <w:p>
      <w:pPr>
        <w:pStyle w:val="6"/>
      </w:pPr>
    </w:p>
    <w:tbl>
      <w:tblPr>
        <w:tblStyle w:val="61"/>
        <w:tblW w:w="9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
        <w:gridCol w:w="1738"/>
        <w:gridCol w:w="732"/>
        <w:gridCol w:w="855"/>
        <w:gridCol w:w="1161"/>
        <w:gridCol w:w="1272"/>
        <w:gridCol w:w="3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0" w:type="dxa"/>
            <w:vAlign w:val="center"/>
          </w:tcPr>
          <w:p>
            <w:pPr>
              <w:snapToGrid w:val="0"/>
              <w:jc w:val="center"/>
              <w:rPr>
                <w:sz w:val="21"/>
                <w:szCs w:val="21"/>
              </w:rPr>
            </w:pPr>
            <w:r>
              <w:rPr>
                <w:rFonts w:hint="eastAsia"/>
                <w:sz w:val="21"/>
                <w:szCs w:val="21"/>
              </w:rPr>
              <w:t>一</w:t>
            </w:r>
          </w:p>
        </w:tc>
        <w:tc>
          <w:tcPr>
            <w:tcW w:w="9436" w:type="dxa"/>
            <w:gridSpan w:val="6"/>
            <w:vAlign w:val="center"/>
          </w:tcPr>
          <w:p>
            <w:pPr>
              <w:snapToGrid w:val="0"/>
              <w:rPr>
                <w:sz w:val="21"/>
                <w:szCs w:val="21"/>
              </w:rPr>
            </w:pPr>
            <w:r>
              <w:rPr>
                <w:rFonts w:hint="eastAsia"/>
                <w:sz w:val="21"/>
                <w:szCs w:val="21"/>
              </w:rPr>
              <w:t>设计费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0" w:type="dxa"/>
            <w:vAlign w:val="center"/>
          </w:tcPr>
          <w:p>
            <w:pPr>
              <w:snapToGrid w:val="0"/>
              <w:jc w:val="center"/>
              <w:rPr>
                <w:color w:val="auto"/>
                <w:sz w:val="21"/>
                <w:szCs w:val="21"/>
              </w:rPr>
            </w:pPr>
            <w:r>
              <w:rPr>
                <w:rFonts w:hint="eastAsia"/>
                <w:color w:val="auto"/>
                <w:sz w:val="21"/>
                <w:szCs w:val="21"/>
              </w:rPr>
              <w:t>序号</w:t>
            </w:r>
          </w:p>
        </w:tc>
        <w:tc>
          <w:tcPr>
            <w:tcW w:w="1738" w:type="dxa"/>
            <w:vAlign w:val="center"/>
          </w:tcPr>
          <w:p>
            <w:pPr>
              <w:snapToGrid w:val="0"/>
              <w:jc w:val="center"/>
              <w:rPr>
                <w:color w:val="auto"/>
                <w:sz w:val="21"/>
                <w:szCs w:val="21"/>
              </w:rPr>
            </w:pPr>
            <w:r>
              <w:rPr>
                <w:rFonts w:hint="eastAsia"/>
                <w:color w:val="auto"/>
                <w:sz w:val="21"/>
                <w:szCs w:val="21"/>
              </w:rPr>
              <w:t>项目名称</w:t>
            </w:r>
          </w:p>
        </w:tc>
        <w:tc>
          <w:tcPr>
            <w:tcW w:w="732" w:type="dxa"/>
            <w:vAlign w:val="center"/>
          </w:tcPr>
          <w:p>
            <w:pPr>
              <w:snapToGrid w:val="0"/>
              <w:jc w:val="center"/>
              <w:rPr>
                <w:color w:val="auto"/>
                <w:sz w:val="21"/>
                <w:szCs w:val="21"/>
              </w:rPr>
            </w:pPr>
            <w:r>
              <w:rPr>
                <w:rFonts w:hint="eastAsia"/>
                <w:color w:val="auto"/>
                <w:sz w:val="21"/>
                <w:szCs w:val="21"/>
              </w:rPr>
              <w:t>单位</w:t>
            </w:r>
          </w:p>
        </w:tc>
        <w:tc>
          <w:tcPr>
            <w:tcW w:w="855" w:type="dxa"/>
            <w:vAlign w:val="center"/>
          </w:tcPr>
          <w:p>
            <w:pPr>
              <w:snapToGrid w:val="0"/>
              <w:jc w:val="center"/>
              <w:rPr>
                <w:color w:val="auto"/>
                <w:sz w:val="21"/>
                <w:szCs w:val="21"/>
              </w:rPr>
            </w:pPr>
            <w:r>
              <w:rPr>
                <w:rFonts w:hint="eastAsia"/>
                <w:color w:val="auto"/>
                <w:sz w:val="21"/>
                <w:szCs w:val="21"/>
              </w:rPr>
              <w:t>数量</w:t>
            </w:r>
          </w:p>
        </w:tc>
        <w:tc>
          <w:tcPr>
            <w:tcW w:w="1161" w:type="dxa"/>
            <w:vAlign w:val="center"/>
          </w:tcPr>
          <w:p>
            <w:pPr>
              <w:snapToGrid w:val="0"/>
              <w:jc w:val="center"/>
              <w:rPr>
                <w:rFonts w:hint="eastAsia" w:eastAsia="宋体"/>
                <w:color w:val="auto"/>
                <w:sz w:val="21"/>
                <w:szCs w:val="21"/>
                <w:lang w:eastAsia="zh-CN"/>
              </w:rPr>
            </w:pPr>
            <w:r>
              <w:rPr>
                <w:rFonts w:hint="eastAsia"/>
                <w:color w:val="auto"/>
                <w:sz w:val="21"/>
                <w:szCs w:val="21"/>
              </w:rPr>
              <w:t>单价</w:t>
            </w:r>
            <w:r>
              <w:rPr>
                <w:rFonts w:hint="eastAsia"/>
                <w:color w:val="auto"/>
                <w:sz w:val="21"/>
                <w:szCs w:val="21"/>
                <w:lang w:eastAsia="zh-CN"/>
              </w:rPr>
              <w:t>（元）</w:t>
            </w:r>
          </w:p>
        </w:tc>
        <w:tc>
          <w:tcPr>
            <w:tcW w:w="1272" w:type="dxa"/>
            <w:vAlign w:val="center"/>
          </w:tcPr>
          <w:p>
            <w:pPr>
              <w:snapToGrid w:val="0"/>
              <w:jc w:val="center"/>
              <w:rPr>
                <w:rFonts w:hint="eastAsia" w:eastAsia="宋体"/>
                <w:color w:val="auto"/>
                <w:sz w:val="21"/>
                <w:szCs w:val="21"/>
                <w:lang w:eastAsia="zh-CN"/>
              </w:rPr>
            </w:pPr>
            <w:r>
              <w:rPr>
                <w:rFonts w:hint="eastAsia"/>
                <w:color w:val="auto"/>
                <w:sz w:val="21"/>
                <w:szCs w:val="21"/>
              </w:rPr>
              <w:t>合计</w:t>
            </w:r>
            <w:r>
              <w:rPr>
                <w:rFonts w:hint="eastAsia"/>
                <w:color w:val="auto"/>
                <w:sz w:val="21"/>
                <w:szCs w:val="21"/>
                <w:lang w:eastAsia="zh-CN"/>
              </w:rPr>
              <w:t>（元）</w:t>
            </w:r>
          </w:p>
        </w:tc>
        <w:tc>
          <w:tcPr>
            <w:tcW w:w="3678" w:type="dxa"/>
            <w:vAlign w:val="center"/>
          </w:tcPr>
          <w:p>
            <w:pPr>
              <w:snapToGrid w:val="0"/>
              <w:jc w:val="center"/>
              <w:rPr>
                <w:color w:val="auto"/>
                <w:sz w:val="21"/>
                <w:szCs w:val="21"/>
              </w:rPr>
            </w:pPr>
            <w:r>
              <w:rPr>
                <w:rFonts w:hint="eastAsia"/>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0" w:type="dxa"/>
            <w:vAlign w:val="center"/>
          </w:tcPr>
          <w:p>
            <w:pPr>
              <w:snapToGrid w:val="0"/>
              <w:jc w:val="center"/>
              <w:rPr>
                <w:color w:val="auto"/>
                <w:sz w:val="21"/>
                <w:szCs w:val="21"/>
              </w:rPr>
            </w:pPr>
            <w:r>
              <w:rPr>
                <w:rFonts w:hint="eastAsia"/>
                <w:color w:val="auto"/>
                <w:sz w:val="21"/>
                <w:szCs w:val="21"/>
              </w:rPr>
              <w:t>1</w:t>
            </w:r>
          </w:p>
        </w:tc>
        <w:tc>
          <w:tcPr>
            <w:tcW w:w="1738" w:type="dxa"/>
            <w:vAlign w:val="center"/>
          </w:tcPr>
          <w:p>
            <w:pPr>
              <w:snapToGrid w:val="0"/>
              <w:rPr>
                <w:color w:val="auto"/>
                <w:sz w:val="21"/>
                <w:szCs w:val="21"/>
              </w:rPr>
            </w:pPr>
            <w:r>
              <w:rPr>
                <w:rFonts w:hint="eastAsia"/>
                <w:color w:val="auto"/>
                <w:sz w:val="21"/>
                <w:szCs w:val="21"/>
              </w:rPr>
              <w:t>设计费</w:t>
            </w:r>
          </w:p>
        </w:tc>
        <w:tc>
          <w:tcPr>
            <w:tcW w:w="732" w:type="dxa"/>
            <w:vAlign w:val="center"/>
          </w:tcPr>
          <w:p>
            <w:pPr>
              <w:snapToGrid w:val="0"/>
              <w:jc w:val="center"/>
              <w:rPr>
                <w:color w:val="auto"/>
                <w:sz w:val="21"/>
                <w:szCs w:val="21"/>
              </w:rPr>
            </w:pPr>
            <w:r>
              <w:rPr>
                <w:rFonts w:hint="eastAsia"/>
                <w:color w:val="auto"/>
                <w:sz w:val="21"/>
                <w:szCs w:val="21"/>
              </w:rPr>
              <w:t>项</w:t>
            </w:r>
          </w:p>
        </w:tc>
        <w:tc>
          <w:tcPr>
            <w:tcW w:w="855"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contextualSpacing/>
              <w:jc w:val="center"/>
              <w:rPr>
                <w:color w:val="auto"/>
                <w:sz w:val="21"/>
                <w:szCs w:val="21"/>
              </w:rPr>
            </w:pPr>
            <w:r>
              <w:rPr>
                <w:rFonts w:hint="eastAsia"/>
                <w:color w:val="auto"/>
                <w:sz w:val="21"/>
                <w:szCs w:val="21"/>
              </w:rPr>
              <w:t>5</w:t>
            </w:r>
            <w:r>
              <w:rPr>
                <w:rFonts w:hint="eastAsia"/>
                <w:color w:val="auto"/>
                <w:sz w:val="21"/>
                <w:szCs w:val="21"/>
                <w:lang w:val="en-US" w:eastAsia="zh-CN"/>
              </w:rPr>
              <w:t>5</w:t>
            </w:r>
            <w:r>
              <w:rPr>
                <w:rFonts w:hint="eastAsia"/>
                <w:color w:val="auto"/>
                <w:sz w:val="21"/>
                <w:szCs w:val="21"/>
              </w:rPr>
              <w:t>000.00</w:t>
            </w:r>
          </w:p>
        </w:tc>
        <w:tc>
          <w:tcPr>
            <w:tcW w:w="1272" w:type="dxa"/>
            <w:vAlign w:val="center"/>
          </w:tcPr>
          <w:p>
            <w:pPr>
              <w:contextualSpacing/>
              <w:jc w:val="center"/>
              <w:rPr>
                <w:color w:val="auto"/>
                <w:sz w:val="21"/>
                <w:szCs w:val="21"/>
              </w:rPr>
            </w:pPr>
            <w:r>
              <w:rPr>
                <w:rFonts w:hint="eastAsia"/>
                <w:color w:val="auto"/>
                <w:sz w:val="21"/>
                <w:szCs w:val="21"/>
              </w:rPr>
              <w:t>5</w:t>
            </w:r>
            <w:r>
              <w:rPr>
                <w:rFonts w:hint="eastAsia"/>
                <w:color w:val="auto"/>
                <w:sz w:val="21"/>
                <w:szCs w:val="21"/>
                <w:lang w:val="en-US" w:eastAsia="zh-CN"/>
              </w:rPr>
              <w:t>5</w:t>
            </w:r>
            <w:r>
              <w:rPr>
                <w:rFonts w:hint="eastAsia"/>
                <w:color w:val="auto"/>
                <w:sz w:val="21"/>
                <w:szCs w:val="21"/>
              </w:rPr>
              <w:t>000.00</w:t>
            </w:r>
          </w:p>
        </w:tc>
        <w:tc>
          <w:tcPr>
            <w:tcW w:w="3678" w:type="dxa"/>
            <w:vAlign w:val="center"/>
          </w:tcPr>
          <w:p>
            <w:pPr>
              <w:snapToGrid w:val="0"/>
              <w:rPr>
                <w:color w:val="auto"/>
                <w:sz w:val="21"/>
                <w:szCs w:val="21"/>
              </w:rPr>
            </w:pPr>
            <w:r>
              <w:rPr>
                <w:rFonts w:hint="eastAsia"/>
                <w:color w:val="auto"/>
                <w:sz w:val="21"/>
                <w:szCs w:val="21"/>
              </w:rPr>
              <w:t>1、各投标人在报价时不得调整该费用。结算时按最终施工结算审计价的4%计算。</w:t>
            </w:r>
          </w:p>
          <w:p>
            <w:pPr>
              <w:snapToGrid w:val="0"/>
              <w:rPr>
                <w:color w:val="auto"/>
                <w:sz w:val="21"/>
                <w:szCs w:val="21"/>
              </w:rPr>
            </w:pPr>
            <w:r>
              <w:rPr>
                <w:rFonts w:hint="eastAsia"/>
                <w:color w:val="auto"/>
                <w:sz w:val="21"/>
                <w:szCs w:val="21"/>
              </w:rPr>
              <w:t>2、详见招标文件投标人须知15.3。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0" w:type="dxa"/>
            <w:vAlign w:val="center"/>
          </w:tcPr>
          <w:p>
            <w:pPr>
              <w:snapToGrid w:val="0"/>
              <w:jc w:val="center"/>
              <w:rPr>
                <w:color w:val="auto"/>
                <w:sz w:val="21"/>
                <w:szCs w:val="21"/>
              </w:rPr>
            </w:pPr>
          </w:p>
        </w:tc>
        <w:tc>
          <w:tcPr>
            <w:tcW w:w="1738" w:type="dxa"/>
            <w:vAlign w:val="center"/>
          </w:tcPr>
          <w:p>
            <w:pPr>
              <w:snapToGrid w:val="0"/>
              <w:jc w:val="center"/>
              <w:rPr>
                <w:color w:val="auto"/>
                <w:sz w:val="21"/>
                <w:szCs w:val="21"/>
              </w:rPr>
            </w:pPr>
            <w:r>
              <w:rPr>
                <w:rFonts w:hint="eastAsia"/>
                <w:color w:val="auto"/>
                <w:sz w:val="21"/>
                <w:szCs w:val="21"/>
              </w:rPr>
              <w:t>小计</w:t>
            </w:r>
          </w:p>
        </w:tc>
        <w:tc>
          <w:tcPr>
            <w:tcW w:w="732" w:type="dxa"/>
            <w:vAlign w:val="center"/>
          </w:tcPr>
          <w:p>
            <w:pPr>
              <w:snapToGrid w:val="0"/>
              <w:jc w:val="center"/>
              <w:rPr>
                <w:color w:val="auto"/>
                <w:sz w:val="21"/>
                <w:szCs w:val="21"/>
              </w:rPr>
            </w:pPr>
          </w:p>
        </w:tc>
        <w:tc>
          <w:tcPr>
            <w:tcW w:w="855" w:type="dxa"/>
            <w:vAlign w:val="center"/>
          </w:tcPr>
          <w:p>
            <w:pPr>
              <w:snapToGrid w:val="0"/>
              <w:jc w:val="center"/>
              <w:rPr>
                <w:color w:val="auto"/>
                <w:sz w:val="21"/>
                <w:szCs w:val="21"/>
              </w:rPr>
            </w:pPr>
          </w:p>
        </w:tc>
        <w:tc>
          <w:tcPr>
            <w:tcW w:w="1161" w:type="dxa"/>
            <w:vAlign w:val="center"/>
          </w:tcPr>
          <w:p>
            <w:pPr>
              <w:contextualSpacing/>
              <w:jc w:val="center"/>
              <w:rPr>
                <w:color w:val="auto"/>
                <w:sz w:val="21"/>
                <w:szCs w:val="21"/>
              </w:rPr>
            </w:pPr>
          </w:p>
        </w:tc>
        <w:tc>
          <w:tcPr>
            <w:tcW w:w="1272" w:type="dxa"/>
            <w:vAlign w:val="center"/>
          </w:tcPr>
          <w:p>
            <w:pPr>
              <w:contextualSpacing/>
              <w:jc w:val="center"/>
              <w:rPr>
                <w:color w:val="auto"/>
                <w:sz w:val="21"/>
                <w:szCs w:val="21"/>
              </w:rPr>
            </w:pPr>
            <w:r>
              <w:rPr>
                <w:rFonts w:hint="eastAsia"/>
                <w:color w:val="auto"/>
                <w:sz w:val="21"/>
                <w:szCs w:val="21"/>
              </w:rPr>
              <w:t>5</w:t>
            </w:r>
            <w:r>
              <w:rPr>
                <w:rFonts w:hint="eastAsia"/>
                <w:color w:val="auto"/>
                <w:sz w:val="21"/>
                <w:szCs w:val="21"/>
                <w:lang w:val="en-US" w:eastAsia="zh-CN"/>
              </w:rPr>
              <w:t>5</w:t>
            </w:r>
            <w:r>
              <w:rPr>
                <w:rFonts w:hint="eastAsia"/>
                <w:color w:val="auto"/>
                <w:sz w:val="21"/>
                <w:szCs w:val="21"/>
              </w:rPr>
              <w:t>000.00</w:t>
            </w:r>
          </w:p>
        </w:tc>
        <w:tc>
          <w:tcPr>
            <w:tcW w:w="3678" w:type="dxa"/>
            <w:vAlign w:val="center"/>
          </w:tcPr>
          <w:p>
            <w:pPr>
              <w:snapToGrid w:val="0"/>
              <w:jc w:val="left"/>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0" w:type="dxa"/>
            <w:vAlign w:val="center"/>
          </w:tcPr>
          <w:p>
            <w:pPr>
              <w:snapToGrid w:val="0"/>
              <w:jc w:val="center"/>
              <w:rPr>
                <w:color w:val="auto"/>
                <w:sz w:val="21"/>
                <w:szCs w:val="21"/>
              </w:rPr>
            </w:pPr>
            <w:r>
              <w:rPr>
                <w:rFonts w:hint="eastAsia"/>
                <w:color w:val="auto"/>
                <w:sz w:val="21"/>
                <w:szCs w:val="21"/>
              </w:rPr>
              <w:t>二</w:t>
            </w:r>
          </w:p>
        </w:tc>
        <w:tc>
          <w:tcPr>
            <w:tcW w:w="9436" w:type="dxa"/>
            <w:gridSpan w:val="6"/>
            <w:vAlign w:val="center"/>
          </w:tcPr>
          <w:p>
            <w:pPr>
              <w:snapToGrid w:val="0"/>
              <w:rPr>
                <w:color w:val="auto"/>
                <w:sz w:val="21"/>
                <w:szCs w:val="21"/>
              </w:rPr>
            </w:pPr>
            <w:r>
              <w:rPr>
                <w:rFonts w:hint="eastAsia"/>
                <w:color w:val="auto"/>
                <w:sz w:val="21"/>
                <w:szCs w:val="21"/>
              </w:rPr>
              <w:t>施工费（含1.5个月的养护期）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0" w:type="dxa"/>
            <w:vAlign w:val="center"/>
          </w:tcPr>
          <w:p>
            <w:pPr>
              <w:snapToGrid w:val="0"/>
              <w:jc w:val="center"/>
              <w:rPr>
                <w:color w:val="auto"/>
                <w:sz w:val="21"/>
                <w:szCs w:val="21"/>
              </w:rPr>
            </w:pPr>
            <w:r>
              <w:rPr>
                <w:rFonts w:hint="eastAsia"/>
                <w:color w:val="auto"/>
                <w:sz w:val="21"/>
                <w:szCs w:val="21"/>
              </w:rPr>
              <w:t>序号</w:t>
            </w:r>
          </w:p>
        </w:tc>
        <w:tc>
          <w:tcPr>
            <w:tcW w:w="1738" w:type="dxa"/>
            <w:vAlign w:val="center"/>
          </w:tcPr>
          <w:p>
            <w:pPr>
              <w:snapToGrid w:val="0"/>
              <w:jc w:val="center"/>
              <w:rPr>
                <w:color w:val="auto"/>
                <w:sz w:val="21"/>
                <w:szCs w:val="21"/>
              </w:rPr>
            </w:pPr>
            <w:r>
              <w:rPr>
                <w:rFonts w:hint="eastAsia"/>
                <w:color w:val="auto"/>
                <w:sz w:val="21"/>
                <w:szCs w:val="21"/>
              </w:rPr>
              <w:t>项目名称</w:t>
            </w:r>
          </w:p>
        </w:tc>
        <w:tc>
          <w:tcPr>
            <w:tcW w:w="732" w:type="dxa"/>
            <w:vAlign w:val="center"/>
          </w:tcPr>
          <w:p>
            <w:pPr>
              <w:snapToGrid w:val="0"/>
              <w:jc w:val="center"/>
              <w:rPr>
                <w:color w:val="auto"/>
                <w:sz w:val="21"/>
                <w:szCs w:val="21"/>
              </w:rPr>
            </w:pPr>
            <w:r>
              <w:rPr>
                <w:rFonts w:hint="eastAsia"/>
                <w:color w:val="auto"/>
                <w:sz w:val="21"/>
                <w:szCs w:val="21"/>
              </w:rPr>
              <w:t>单位</w:t>
            </w:r>
          </w:p>
        </w:tc>
        <w:tc>
          <w:tcPr>
            <w:tcW w:w="855" w:type="dxa"/>
            <w:vAlign w:val="center"/>
          </w:tcPr>
          <w:p>
            <w:pPr>
              <w:snapToGrid w:val="0"/>
              <w:jc w:val="center"/>
              <w:rPr>
                <w:color w:val="auto"/>
                <w:sz w:val="21"/>
                <w:szCs w:val="21"/>
              </w:rPr>
            </w:pPr>
            <w:r>
              <w:rPr>
                <w:rFonts w:hint="eastAsia"/>
                <w:color w:val="auto"/>
                <w:sz w:val="21"/>
                <w:szCs w:val="21"/>
              </w:rPr>
              <w:t>面积</w:t>
            </w:r>
          </w:p>
          <w:p>
            <w:pPr>
              <w:snapToGrid w:val="0"/>
              <w:jc w:val="center"/>
              <w:rPr>
                <w:color w:val="auto"/>
                <w:sz w:val="21"/>
                <w:szCs w:val="21"/>
              </w:rPr>
            </w:pPr>
            <w:r>
              <w:rPr>
                <w:rFonts w:hint="eastAsia"/>
                <w:color w:val="auto"/>
                <w:sz w:val="21"/>
                <w:szCs w:val="21"/>
              </w:rPr>
              <w:t>或数量</w:t>
            </w:r>
          </w:p>
        </w:tc>
        <w:tc>
          <w:tcPr>
            <w:tcW w:w="1161" w:type="dxa"/>
            <w:vAlign w:val="center"/>
          </w:tcPr>
          <w:p>
            <w:pPr>
              <w:snapToGrid w:val="0"/>
              <w:jc w:val="center"/>
              <w:rPr>
                <w:rFonts w:hint="eastAsia" w:eastAsia="宋体"/>
                <w:color w:val="auto"/>
                <w:sz w:val="21"/>
                <w:szCs w:val="21"/>
                <w:lang w:eastAsia="zh-CN"/>
              </w:rPr>
            </w:pPr>
            <w:r>
              <w:rPr>
                <w:rFonts w:hint="eastAsia"/>
                <w:color w:val="auto"/>
                <w:sz w:val="21"/>
                <w:szCs w:val="21"/>
              </w:rPr>
              <w:t>单价</w:t>
            </w:r>
            <w:r>
              <w:rPr>
                <w:rFonts w:hint="eastAsia"/>
                <w:color w:val="auto"/>
                <w:sz w:val="21"/>
                <w:szCs w:val="21"/>
                <w:lang w:eastAsia="zh-CN"/>
              </w:rPr>
              <w:t>（元）</w:t>
            </w:r>
          </w:p>
        </w:tc>
        <w:tc>
          <w:tcPr>
            <w:tcW w:w="1272" w:type="dxa"/>
            <w:vAlign w:val="center"/>
          </w:tcPr>
          <w:p>
            <w:pPr>
              <w:snapToGrid w:val="0"/>
              <w:jc w:val="center"/>
              <w:rPr>
                <w:rFonts w:hint="eastAsia" w:eastAsia="宋体"/>
                <w:color w:val="auto"/>
                <w:sz w:val="21"/>
                <w:szCs w:val="21"/>
                <w:lang w:eastAsia="zh-CN"/>
              </w:rPr>
            </w:pPr>
            <w:r>
              <w:rPr>
                <w:rFonts w:hint="eastAsia"/>
                <w:color w:val="auto"/>
                <w:sz w:val="21"/>
                <w:szCs w:val="21"/>
              </w:rPr>
              <w:t>合计</w:t>
            </w:r>
            <w:r>
              <w:rPr>
                <w:rFonts w:hint="eastAsia"/>
                <w:color w:val="auto"/>
                <w:sz w:val="21"/>
                <w:szCs w:val="21"/>
                <w:lang w:eastAsia="zh-CN"/>
              </w:rPr>
              <w:t>（元）</w:t>
            </w:r>
          </w:p>
        </w:tc>
        <w:tc>
          <w:tcPr>
            <w:tcW w:w="3678" w:type="dxa"/>
            <w:vAlign w:val="center"/>
          </w:tcPr>
          <w:p>
            <w:pPr>
              <w:snapToGrid w:val="0"/>
              <w:jc w:val="center"/>
              <w:rPr>
                <w:color w:val="auto"/>
                <w:sz w:val="21"/>
                <w:szCs w:val="21"/>
              </w:rPr>
            </w:pPr>
            <w:r>
              <w:rPr>
                <w:rFonts w:hint="eastAsia"/>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0" w:type="dxa"/>
            <w:vAlign w:val="center"/>
          </w:tcPr>
          <w:p>
            <w:pPr>
              <w:snapToGrid w:val="0"/>
              <w:jc w:val="center"/>
              <w:rPr>
                <w:b/>
                <w:color w:val="auto"/>
                <w:sz w:val="21"/>
                <w:szCs w:val="21"/>
              </w:rPr>
            </w:pPr>
            <w:r>
              <w:rPr>
                <w:rFonts w:hint="eastAsia"/>
                <w:color w:val="auto"/>
                <w:sz w:val="21"/>
                <w:szCs w:val="21"/>
              </w:rPr>
              <w:t>1</w:t>
            </w:r>
          </w:p>
        </w:tc>
        <w:tc>
          <w:tcPr>
            <w:tcW w:w="1738" w:type="dxa"/>
            <w:vAlign w:val="center"/>
          </w:tcPr>
          <w:p>
            <w:pPr>
              <w:snapToGrid w:val="0"/>
              <w:jc w:val="left"/>
              <w:rPr>
                <w:b/>
                <w:color w:val="auto"/>
                <w:sz w:val="21"/>
                <w:szCs w:val="21"/>
              </w:rPr>
            </w:pPr>
            <w:r>
              <w:rPr>
                <w:rFonts w:hint="eastAsia"/>
                <w:color w:val="auto"/>
                <w:sz w:val="21"/>
                <w:szCs w:val="21"/>
              </w:rPr>
              <w:t>立体花卉（含骨架、基质及草花）</w:t>
            </w:r>
          </w:p>
        </w:tc>
        <w:tc>
          <w:tcPr>
            <w:tcW w:w="732" w:type="dxa"/>
            <w:vAlign w:val="center"/>
          </w:tcPr>
          <w:p>
            <w:pPr>
              <w:snapToGrid w:val="0"/>
              <w:jc w:val="center"/>
              <w:rPr>
                <w:b/>
                <w:color w:val="auto"/>
                <w:sz w:val="21"/>
                <w:szCs w:val="21"/>
              </w:rPr>
            </w:pPr>
            <w:r>
              <w:rPr>
                <w:rFonts w:hint="eastAsia"/>
                <w:color w:val="auto"/>
                <w:sz w:val="21"/>
                <w:szCs w:val="21"/>
              </w:rPr>
              <w:t>㎡</w:t>
            </w:r>
          </w:p>
        </w:tc>
        <w:tc>
          <w:tcPr>
            <w:tcW w:w="855" w:type="dxa"/>
            <w:vAlign w:val="center"/>
          </w:tcPr>
          <w:p>
            <w:pPr>
              <w:snapToGrid w:val="0"/>
              <w:jc w:val="center"/>
              <w:rPr>
                <w:b/>
                <w:color w:val="auto"/>
                <w:sz w:val="21"/>
                <w:szCs w:val="21"/>
              </w:rPr>
            </w:pPr>
          </w:p>
        </w:tc>
        <w:tc>
          <w:tcPr>
            <w:tcW w:w="1161" w:type="dxa"/>
            <w:vAlign w:val="center"/>
          </w:tcPr>
          <w:p>
            <w:pPr>
              <w:snapToGrid w:val="0"/>
              <w:jc w:val="center"/>
              <w:rPr>
                <w:b/>
                <w:color w:val="auto"/>
                <w:sz w:val="21"/>
                <w:szCs w:val="21"/>
              </w:rPr>
            </w:pPr>
          </w:p>
        </w:tc>
        <w:tc>
          <w:tcPr>
            <w:tcW w:w="1272" w:type="dxa"/>
            <w:vAlign w:val="center"/>
          </w:tcPr>
          <w:p>
            <w:pPr>
              <w:snapToGrid w:val="0"/>
              <w:jc w:val="center"/>
              <w:rPr>
                <w:color w:val="auto"/>
                <w:sz w:val="21"/>
                <w:szCs w:val="21"/>
              </w:rPr>
            </w:pPr>
          </w:p>
        </w:tc>
        <w:tc>
          <w:tcPr>
            <w:tcW w:w="3678" w:type="dxa"/>
            <w:vAlign w:val="center"/>
          </w:tcPr>
          <w:p>
            <w:pPr>
              <w:snapToGrid w:val="0"/>
              <w:rPr>
                <w:color w:val="auto"/>
                <w:sz w:val="21"/>
                <w:szCs w:val="21"/>
              </w:rPr>
            </w:pPr>
            <w:r>
              <w:rPr>
                <w:rFonts w:hint="eastAsia"/>
                <w:color w:val="auto"/>
                <w:sz w:val="21"/>
                <w:szCs w:val="21"/>
              </w:rPr>
              <w:t>1、每个地段主体造型一般不得低于5.5米。</w:t>
            </w:r>
          </w:p>
          <w:p>
            <w:pPr>
              <w:snapToGrid w:val="0"/>
              <w:rPr>
                <w:color w:val="auto"/>
                <w:sz w:val="21"/>
                <w:szCs w:val="21"/>
              </w:rPr>
            </w:pPr>
            <w:r>
              <w:rPr>
                <w:rFonts w:hint="eastAsia"/>
                <w:color w:val="auto"/>
                <w:sz w:val="21"/>
                <w:szCs w:val="21"/>
              </w:rPr>
              <w:t>2、详见招标文件投标人须知15.4。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90" w:type="dxa"/>
            <w:vAlign w:val="center"/>
          </w:tcPr>
          <w:p>
            <w:pPr>
              <w:snapToGrid w:val="0"/>
              <w:jc w:val="center"/>
              <w:rPr>
                <w:color w:val="auto"/>
                <w:sz w:val="21"/>
                <w:szCs w:val="21"/>
              </w:rPr>
            </w:pPr>
            <w:r>
              <w:rPr>
                <w:rFonts w:hint="eastAsia"/>
                <w:color w:val="auto"/>
                <w:sz w:val="21"/>
                <w:szCs w:val="21"/>
              </w:rPr>
              <w:t>2</w:t>
            </w:r>
          </w:p>
        </w:tc>
        <w:tc>
          <w:tcPr>
            <w:tcW w:w="1738" w:type="dxa"/>
            <w:vAlign w:val="center"/>
          </w:tcPr>
          <w:p>
            <w:pPr>
              <w:snapToGrid w:val="0"/>
              <w:rPr>
                <w:color w:val="auto"/>
                <w:sz w:val="21"/>
                <w:szCs w:val="21"/>
              </w:rPr>
            </w:pPr>
            <w:r>
              <w:rPr>
                <w:rFonts w:hint="eastAsia"/>
                <w:color w:val="auto"/>
                <w:sz w:val="21"/>
                <w:szCs w:val="21"/>
              </w:rPr>
              <w:t>平面摆花</w:t>
            </w:r>
          </w:p>
        </w:tc>
        <w:tc>
          <w:tcPr>
            <w:tcW w:w="732" w:type="dxa"/>
            <w:vAlign w:val="center"/>
          </w:tcPr>
          <w:p>
            <w:pPr>
              <w:snapToGrid w:val="0"/>
              <w:jc w:val="center"/>
              <w:rPr>
                <w:color w:val="auto"/>
                <w:sz w:val="21"/>
                <w:szCs w:val="21"/>
              </w:rPr>
            </w:pPr>
            <w:r>
              <w:rPr>
                <w:rFonts w:hint="eastAsia"/>
                <w:color w:val="auto"/>
                <w:sz w:val="21"/>
                <w:szCs w:val="21"/>
              </w:rPr>
              <w:t>㎡</w:t>
            </w:r>
          </w:p>
        </w:tc>
        <w:tc>
          <w:tcPr>
            <w:tcW w:w="855" w:type="dxa"/>
            <w:vAlign w:val="center"/>
          </w:tcPr>
          <w:p>
            <w:pPr>
              <w:snapToGrid w:val="0"/>
              <w:jc w:val="center"/>
              <w:rPr>
                <w:color w:val="auto"/>
                <w:sz w:val="21"/>
                <w:szCs w:val="21"/>
              </w:rPr>
            </w:pPr>
          </w:p>
        </w:tc>
        <w:tc>
          <w:tcPr>
            <w:tcW w:w="1161" w:type="dxa"/>
            <w:vAlign w:val="center"/>
          </w:tcPr>
          <w:p>
            <w:pPr>
              <w:snapToGrid w:val="0"/>
              <w:jc w:val="center"/>
              <w:rPr>
                <w:color w:val="auto"/>
                <w:sz w:val="21"/>
                <w:szCs w:val="21"/>
              </w:rPr>
            </w:pPr>
          </w:p>
        </w:tc>
        <w:tc>
          <w:tcPr>
            <w:tcW w:w="1272" w:type="dxa"/>
            <w:vAlign w:val="center"/>
          </w:tcPr>
          <w:p>
            <w:pPr>
              <w:snapToGrid w:val="0"/>
              <w:jc w:val="center"/>
              <w:rPr>
                <w:color w:val="auto"/>
                <w:sz w:val="21"/>
                <w:szCs w:val="21"/>
              </w:rPr>
            </w:pPr>
          </w:p>
        </w:tc>
        <w:tc>
          <w:tcPr>
            <w:tcW w:w="3678" w:type="dxa"/>
            <w:vAlign w:val="center"/>
          </w:tcPr>
          <w:p>
            <w:pPr>
              <w:snapToGrid w:val="0"/>
              <w:rPr>
                <w:color w:val="auto"/>
                <w:sz w:val="21"/>
                <w:szCs w:val="21"/>
              </w:rPr>
            </w:pPr>
            <w:r>
              <w:rPr>
                <w:rFonts w:hint="eastAsia"/>
                <w:color w:val="auto"/>
                <w:sz w:val="21"/>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90" w:type="dxa"/>
            <w:vAlign w:val="center"/>
          </w:tcPr>
          <w:p>
            <w:pPr>
              <w:snapToGrid w:val="0"/>
              <w:jc w:val="center"/>
              <w:rPr>
                <w:color w:val="auto"/>
                <w:sz w:val="21"/>
                <w:szCs w:val="21"/>
              </w:rPr>
            </w:pPr>
            <w:r>
              <w:rPr>
                <w:rFonts w:hint="eastAsia"/>
                <w:color w:val="auto"/>
                <w:sz w:val="21"/>
                <w:szCs w:val="21"/>
              </w:rPr>
              <w:t>3</w:t>
            </w:r>
          </w:p>
        </w:tc>
        <w:tc>
          <w:tcPr>
            <w:tcW w:w="1738" w:type="dxa"/>
            <w:vAlign w:val="center"/>
          </w:tcPr>
          <w:p>
            <w:pPr>
              <w:snapToGrid w:val="0"/>
              <w:rPr>
                <w:color w:val="auto"/>
                <w:sz w:val="21"/>
                <w:szCs w:val="21"/>
              </w:rPr>
            </w:pPr>
            <w:r>
              <w:rPr>
                <w:rFonts w:hint="eastAsia"/>
                <w:color w:val="auto"/>
                <w:sz w:val="21"/>
                <w:szCs w:val="21"/>
              </w:rPr>
              <w:t>花球</w:t>
            </w:r>
          </w:p>
        </w:tc>
        <w:tc>
          <w:tcPr>
            <w:tcW w:w="732" w:type="dxa"/>
            <w:vAlign w:val="center"/>
          </w:tcPr>
          <w:p>
            <w:pPr>
              <w:snapToGrid w:val="0"/>
              <w:jc w:val="center"/>
              <w:rPr>
                <w:color w:val="auto"/>
                <w:sz w:val="21"/>
                <w:szCs w:val="21"/>
              </w:rPr>
            </w:pPr>
            <w:r>
              <w:rPr>
                <w:rFonts w:hint="eastAsia"/>
                <w:color w:val="auto"/>
                <w:sz w:val="21"/>
                <w:szCs w:val="21"/>
              </w:rPr>
              <w:t>㎡</w:t>
            </w:r>
          </w:p>
        </w:tc>
        <w:tc>
          <w:tcPr>
            <w:tcW w:w="855" w:type="dxa"/>
            <w:vAlign w:val="center"/>
          </w:tcPr>
          <w:p>
            <w:pPr>
              <w:snapToGrid w:val="0"/>
              <w:jc w:val="center"/>
              <w:rPr>
                <w:color w:val="auto"/>
                <w:sz w:val="21"/>
                <w:szCs w:val="21"/>
              </w:rPr>
            </w:pPr>
          </w:p>
        </w:tc>
        <w:tc>
          <w:tcPr>
            <w:tcW w:w="1161" w:type="dxa"/>
            <w:vAlign w:val="center"/>
          </w:tcPr>
          <w:p>
            <w:pPr>
              <w:snapToGrid w:val="0"/>
              <w:jc w:val="center"/>
              <w:rPr>
                <w:color w:val="auto"/>
                <w:sz w:val="21"/>
                <w:szCs w:val="21"/>
              </w:rPr>
            </w:pPr>
          </w:p>
        </w:tc>
        <w:tc>
          <w:tcPr>
            <w:tcW w:w="1272" w:type="dxa"/>
            <w:vAlign w:val="center"/>
          </w:tcPr>
          <w:p>
            <w:pPr>
              <w:snapToGrid w:val="0"/>
              <w:jc w:val="center"/>
              <w:rPr>
                <w:color w:val="auto"/>
                <w:sz w:val="21"/>
                <w:szCs w:val="21"/>
              </w:rPr>
            </w:pPr>
          </w:p>
        </w:tc>
        <w:tc>
          <w:tcPr>
            <w:tcW w:w="3678" w:type="dxa"/>
            <w:vAlign w:val="center"/>
          </w:tcPr>
          <w:p>
            <w:pPr>
              <w:snapToGrid w:val="0"/>
              <w:rPr>
                <w:color w:val="auto"/>
                <w:sz w:val="21"/>
                <w:szCs w:val="21"/>
              </w:rPr>
            </w:pPr>
            <w:r>
              <w:rPr>
                <w:rFonts w:hint="eastAsia"/>
                <w:color w:val="auto"/>
                <w:sz w:val="21"/>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490" w:type="dxa"/>
            <w:vAlign w:val="center"/>
          </w:tcPr>
          <w:p>
            <w:pPr>
              <w:snapToGrid w:val="0"/>
              <w:jc w:val="center"/>
              <w:rPr>
                <w:color w:val="auto"/>
                <w:sz w:val="21"/>
                <w:szCs w:val="21"/>
              </w:rPr>
            </w:pPr>
            <w:r>
              <w:rPr>
                <w:rFonts w:hint="eastAsia"/>
                <w:color w:val="auto"/>
                <w:sz w:val="21"/>
                <w:szCs w:val="21"/>
              </w:rPr>
              <w:t>4</w:t>
            </w:r>
          </w:p>
        </w:tc>
        <w:tc>
          <w:tcPr>
            <w:tcW w:w="1738" w:type="dxa"/>
            <w:vAlign w:val="center"/>
          </w:tcPr>
          <w:p>
            <w:pPr>
              <w:snapToGrid w:val="0"/>
              <w:rPr>
                <w:color w:val="auto"/>
                <w:sz w:val="21"/>
                <w:szCs w:val="21"/>
              </w:rPr>
            </w:pPr>
            <w:r>
              <w:rPr>
                <w:rFonts w:hint="eastAsia"/>
                <w:color w:val="auto"/>
                <w:sz w:val="21"/>
                <w:szCs w:val="21"/>
              </w:rPr>
              <w:t>花境</w:t>
            </w:r>
          </w:p>
        </w:tc>
        <w:tc>
          <w:tcPr>
            <w:tcW w:w="732" w:type="dxa"/>
            <w:vAlign w:val="center"/>
          </w:tcPr>
          <w:p>
            <w:pPr>
              <w:snapToGrid w:val="0"/>
              <w:jc w:val="center"/>
              <w:rPr>
                <w:color w:val="auto"/>
                <w:sz w:val="21"/>
                <w:szCs w:val="21"/>
              </w:rPr>
            </w:pPr>
            <w:r>
              <w:rPr>
                <w:rFonts w:hint="eastAsia"/>
                <w:color w:val="auto"/>
                <w:sz w:val="21"/>
                <w:szCs w:val="21"/>
              </w:rPr>
              <w:t>㎡</w:t>
            </w:r>
          </w:p>
        </w:tc>
        <w:tc>
          <w:tcPr>
            <w:tcW w:w="855" w:type="dxa"/>
            <w:vAlign w:val="center"/>
          </w:tcPr>
          <w:p>
            <w:pPr>
              <w:snapToGrid w:val="0"/>
              <w:jc w:val="center"/>
              <w:rPr>
                <w:color w:val="auto"/>
                <w:sz w:val="21"/>
                <w:szCs w:val="21"/>
              </w:rPr>
            </w:pPr>
          </w:p>
        </w:tc>
        <w:tc>
          <w:tcPr>
            <w:tcW w:w="1161" w:type="dxa"/>
            <w:vAlign w:val="center"/>
          </w:tcPr>
          <w:p>
            <w:pPr>
              <w:snapToGrid w:val="0"/>
              <w:jc w:val="center"/>
              <w:rPr>
                <w:color w:val="auto"/>
                <w:sz w:val="21"/>
                <w:szCs w:val="21"/>
              </w:rPr>
            </w:pPr>
          </w:p>
        </w:tc>
        <w:tc>
          <w:tcPr>
            <w:tcW w:w="1272" w:type="dxa"/>
            <w:vAlign w:val="center"/>
          </w:tcPr>
          <w:p>
            <w:pPr>
              <w:snapToGrid w:val="0"/>
              <w:jc w:val="center"/>
              <w:rPr>
                <w:color w:val="auto"/>
                <w:sz w:val="21"/>
                <w:szCs w:val="21"/>
              </w:rPr>
            </w:pPr>
          </w:p>
        </w:tc>
        <w:tc>
          <w:tcPr>
            <w:tcW w:w="3678" w:type="dxa"/>
            <w:vAlign w:val="center"/>
          </w:tcPr>
          <w:p>
            <w:pPr>
              <w:snapToGrid w:val="0"/>
              <w:rPr>
                <w:color w:val="auto"/>
                <w:sz w:val="21"/>
                <w:szCs w:val="21"/>
              </w:rPr>
            </w:pPr>
            <w:r>
              <w:rPr>
                <w:rFonts w:hint="eastAsia"/>
                <w:color w:val="auto"/>
                <w:sz w:val="21"/>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pPr>
              <w:snapToGrid w:val="0"/>
              <w:jc w:val="center"/>
              <w:rPr>
                <w:color w:val="auto"/>
                <w:sz w:val="21"/>
                <w:szCs w:val="21"/>
              </w:rPr>
            </w:pPr>
            <w:r>
              <w:rPr>
                <w:rFonts w:hint="eastAsia"/>
                <w:color w:val="auto"/>
                <w:sz w:val="21"/>
                <w:szCs w:val="21"/>
              </w:rPr>
              <w:t>5</w:t>
            </w:r>
          </w:p>
        </w:tc>
        <w:tc>
          <w:tcPr>
            <w:tcW w:w="1738" w:type="dxa"/>
            <w:vAlign w:val="center"/>
          </w:tcPr>
          <w:p>
            <w:pPr>
              <w:snapToGrid w:val="0"/>
              <w:rPr>
                <w:color w:val="auto"/>
                <w:sz w:val="21"/>
                <w:szCs w:val="21"/>
              </w:rPr>
            </w:pPr>
            <w:r>
              <w:rPr>
                <w:rFonts w:hint="eastAsia"/>
                <w:color w:val="auto"/>
                <w:sz w:val="21"/>
                <w:szCs w:val="21"/>
              </w:rPr>
              <w:t>配饰物等</w:t>
            </w:r>
          </w:p>
        </w:tc>
        <w:tc>
          <w:tcPr>
            <w:tcW w:w="732" w:type="dxa"/>
            <w:vAlign w:val="center"/>
          </w:tcPr>
          <w:p>
            <w:pPr>
              <w:snapToGrid w:val="0"/>
              <w:jc w:val="center"/>
              <w:rPr>
                <w:color w:val="auto"/>
                <w:sz w:val="21"/>
                <w:szCs w:val="21"/>
              </w:rPr>
            </w:pPr>
            <w:r>
              <w:rPr>
                <w:rFonts w:hint="eastAsia"/>
                <w:color w:val="auto"/>
                <w:sz w:val="21"/>
                <w:szCs w:val="21"/>
              </w:rPr>
              <w:t>项</w:t>
            </w:r>
          </w:p>
        </w:tc>
        <w:tc>
          <w:tcPr>
            <w:tcW w:w="855"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snapToGrid w:val="0"/>
              <w:jc w:val="center"/>
              <w:rPr>
                <w:color w:val="auto"/>
                <w:sz w:val="21"/>
                <w:szCs w:val="21"/>
              </w:rPr>
            </w:pPr>
          </w:p>
        </w:tc>
        <w:tc>
          <w:tcPr>
            <w:tcW w:w="1272" w:type="dxa"/>
            <w:vAlign w:val="center"/>
          </w:tcPr>
          <w:p>
            <w:pPr>
              <w:snapToGrid w:val="0"/>
              <w:jc w:val="center"/>
              <w:rPr>
                <w:color w:val="auto"/>
                <w:sz w:val="21"/>
                <w:szCs w:val="21"/>
              </w:rPr>
            </w:pPr>
          </w:p>
        </w:tc>
        <w:tc>
          <w:tcPr>
            <w:tcW w:w="3678" w:type="dxa"/>
          </w:tcPr>
          <w:p>
            <w:pPr>
              <w:snapToGrid w:val="0"/>
              <w:rPr>
                <w:color w:val="auto"/>
                <w:sz w:val="21"/>
                <w:szCs w:val="21"/>
              </w:rPr>
            </w:pPr>
            <w:r>
              <w:rPr>
                <w:rFonts w:hint="eastAsia"/>
                <w:color w:val="auto"/>
                <w:sz w:val="21"/>
                <w:szCs w:val="21"/>
              </w:rPr>
              <w:t>小品、栅栏、绢花等配饰物，根据设计方案自行填报，表格自行扩展，单位、数量、单价根据方案设计自行确定。如未填此项，则视为对招标人的优惠。结算时不予调整该费用。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pPr>
              <w:snapToGrid w:val="0"/>
              <w:jc w:val="center"/>
              <w:rPr>
                <w:color w:val="auto"/>
                <w:sz w:val="21"/>
                <w:szCs w:val="21"/>
              </w:rPr>
            </w:pPr>
            <w:r>
              <w:rPr>
                <w:rFonts w:hint="eastAsia"/>
                <w:color w:val="auto"/>
                <w:sz w:val="21"/>
                <w:szCs w:val="21"/>
              </w:rPr>
              <w:t>6</w:t>
            </w:r>
          </w:p>
        </w:tc>
        <w:tc>
          <w:tcPr>
            <w:tcW w:w="1738" w:type="dxa"/>
            <w:vAlign w:val="center"/>
          </w:tcPr>
          <w:p>
            <w:pPr>
              <w:snapToGrid w:val="0"/>
              <w:rPr>
                <w:color w:val="auto"/>
                <w:sz w:val="21"/>
                <w:szCs w:val="21"/>
              </w:rPr>
            </w:pPr>
            <w:r>
              <w:rPr>
                <w:rFonts w:hint="eastAsia"/>
                <w:color w:val="auto"/>
                <w:sz w:val="21"/>
                <w:szCs w:val="21"/>
              </w:rPr>
              <w:t>亮化设施</w:t>
            </w:r>
          </w:p>
        </w:tc>
        <w:tc>
          <w:tcPr>
            <w:tcW w:w="732" w:type="dxa"/>
            <w:vAlign w:val="center"/>
          </w:tcPr>
          <w:p>
            <w:pPr>
              <w:snapToGrid w:val="0"/>
              <w:jc w:val="center"/>
              <w:rPr>
                <w:color w:val="auto"/>
                <w:sz w:val="21"/>
                <w:szCs w:val="21"/>
              </w:rPr>
            </w:pPr>
            <w:r>
              <w:rPr>
                <w:rFonts w:hint="eastAsia"/>
                <w:color w:val="auto"/>
                <w:sz w:val="21"/>
                <w:szCs w:val="21"/>
              </w:rPr>
              <w:t>项</w:t>
            </w:r>
          </w:p>
        </w:tc>
        <w:tc>
          <w:tcPr>
            <w:tcW w:w="855"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contextualSpacing/>
              <w:jc w:val="center"/>
              <w:rPr>
                <w:color w:val="auto"/>
                <w:sz w:val="21"/>
                <w:szCs w:val="21"/>
              </w:rPr>
            </w:pPr>
            <w:r>
              <w:rPr>
                <w:rFonts w:hint="eastAsia"/>
                <w:color w:val="auto"/>
                <w:sz w:val="21"/>
                <w:szCs w:val="21"/>
              </w:rPr>
              <w:t>1</w:t>
            </w:r>
            <w:r>
              <w:rPr>
                <w:rFonts w:hint="eastAsia"/>
                <w:color w:val="auto"/>
                <w:sz w:val="21"/>
                <w:szCs w:val="21"/>
                <w:lang w:val="en-US" w:eastAsia="zh-CN"/>
              </w:rPr>
              <w:t>4</w:t>
            </w:r>
            <w:r>
              <w:rPr>
                <w:rFonts w:hint="eastAsia"/>
                <w:color w:val="auto"/>
                <w:sz w:val="21"/>
                <w:szCs w:val="21"/>
              </w:rPr>
              <w:t>5000.00</w:t>
            </w:r>
          </w:p>
        </w:tc>
        <w:tc>
          <w:tcPr>
            <w:tcW w:w="1272" w:type="dxa"/>
            <w:vAlign w:val="center"/>
          </w:tcPr>
          <w:p>
            <w:pPr>
              <w:contextualSpacing/>
              <w:jc w:val="center"/>
              <w:rPr>
                <w:color w:val="auto"/>
                <w:sz w:val="21"/>
                <w:szCs w:val="21"/>
              </w:rPr>
            </w:pPr>
            <w:r>
              <w:rPr>
                <w:rFonts w:hint="eastAsia"/>
                <w:color w:val="auto"/>
                <w:sz w:val="21"/>
                <w:szCs w:val="21"/>
              </w:rPr>
              <w:t>1</w:t>
            </w:r>
            <w:r>
              <w:rPr>
                <w:rFonts w:hint="eastAsia"/>
                <w:color w:val="auto"/>
                <w:sz w:val="21"/>
                <w:szCs w:val="21"/>
                <w:lang w:val="en-US" w:eastAsia="zh-CN"/>
              </w:rPr>
              <w:t>4</w:t>
            </w:r>
            <w:r>
              <w:rPr>
                <w:rFonts w:hint="eastAsia"/>
                <w:color w:val="auto"/>
                <w:sz w:val="21"/>
                <w:szCs w:val="21"/>
              </w:rPr>
              <w:t>5000.00</w:t>
            </w:r>
          </w:p>
        </w:tc>
        <w:tc>
          <w:tcPr>
            <w:tcW w:w="3678" w:type="dxa"/>
          </w:tcPr>
          <w:p>
            <w:pPr>
              <w:snapToGrid w:val="0"/>
              <w:rPr>
                <w:color w:val="auto"/>
                <w:sz w:val="21"/>
                <w:szCs w:val="21"/>
              </w:rPr>
            </w:pPr>
            <w:r>
              <w:rPr>
                <w:rFonts w:hint="eastAsia"/>
                <w:color w:val="auto"/>
                <w:sz w:val="21"/>
                <w:szCs w:val="21"/>
              </w:rPr>
              <w:t>1、各投标人在报价时不得调整该费用。</w:t>
            </w:r>
          </w:p>
          <w:p>
            <w:pPr>
              <w:snapToGrid w:val="0"/>
              <w:rPr>
                <w:color w:val="auto"/>
                <w:sz w:val="21"/>
                <w:szCs w:val="21"/>
              </w:rPr>
            </w:pPr>
            <w:r>
              <w:rPr>
                <w:rFonts w:hint="eastAsia"/>
                <w:color w:val="auto"/>
                <w:sz w:val="21"/>
                <w:szCs w:val="21"/>
              </w:rPr>
              <w:t>2、详见招标文件投标人须知15.6。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490" w:type="dxa"/>
            <w:vAlign w:val="center"/>
          </w:tcPr>
          <w:p>
            <w:pPr>
              <w:snapToGrid w:val="0"/>
              <w:jc w:val="center"/>
              <w:rPr>
                <w:color w:val="auto"/>
                <w:sz w:val="21"/>
                <w:szCs w:val="21"/>
              </w:rPr>
            </w:pPr>
            <w:r>
              <w:rPr>
                <w:rFonts w:hint="eastAsia"/>
                <w:color w:val="auto"/>
                <w:sz w:val="21"/>
                <w:szCs w:val="21"/>
              </w:rPr>
              <w:t>7</w:t>
            </w:r>
          </w:p>
        </w:tc>
        <w:tc>
          <w:tcPr>
            <w:tcW w:w="1738" w:type="dxa"/>
            <w:vAlign w:val="center"/>
          </w:tcPr>
          <w:p>
            <w:pPr>
              <w:snapToGrid w:val="0"/>
              <w:jc w:val="left"/>
              <w:rPr>
                <w:color w:val="auto"/>
                <w:sz w:val="21"/>
                <w:szCs w:val="21"/>
              </w:rPr>
            </w:pPr>
            <w:r>
              <w:rPr>
                <w:rFonts w:hint="eastAsia"/>
                <w:color w:val="auto"/>
                <w:sz w:val="21"/>
                <w:szCs w:val="21"/>
              </w:rPr>
              <w:t>暂列金额</w:t>
            </w:r>
          </w:p>
        </w:tc>
        <w:tc>
          <w:tcPr>
            <w:tcW w:w="732" w:type="dxa"/>
            <w:vAlign w:val="center"/>
          </w:tcPr>
          <w:p>
            <w:pPr>
              <w:snapToGrid w:val="0"/>
              <w:jc w:val="center"/>
              <w:rPr>
                <w:color w:val="auto"/>
                <w:sz w:val="21"/>
                <w:szCs w:val="21"/>
              </w:rPr>
            </w:pPr>
            <w:r>
              <w:rPr>
                <w:rFonts w:hint="eastAsia"/>
                <w:color w:val="auto"/>
                <w:sz w:val="21"/>
                <w:szCs w:val="21"/>
              </w:rPr>
              <w:t>项</w:t>
            </w:r>
          </w:p>
        </w:tc>
        <w:tc>
          <w:tcPr>
            <w:tcW w:w="855"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contextualSpacing/>
              <w:jc w:val="center"/>
              <w:rPr>
                <w:color w:val="auto"/>
                <w:sz w:val="21"/>
                <w:szCs w:val="21"/>
              </w:rPr>
            </w:pPr>
            <w:r>
              <w:rPr>
                <w:rFonts w:hint="eastAsia"/>
                <w:color w:val="auto"/>
                <w:sz w:val="21"/>
                <w:szCs w:val="21"/>
              </w:rPr>
              <w:t>150000.00</w:t>
            </w:r>
          </w:p>
        </w:tc>
        <w:tc>
          <w:tcPr>
            <w:tcW w:w="1272" w:type="dxa"/>
            <w:vAlign w:val="center"/>
          </w:tcPr>
          <w:p>
            <w:pPr>
              <w:contextualSpacing/>
              <w:jc w:val="center"/>
              <w:rPr>
                <w:color w:val="auto"/>
                <w:sz w:val="21"/>
                <w:szCs w:val="21"/>
              </w:rPr>
            </w:pPr>
            <w:r>
              <w:rPr>
                <w:rFonts w:hint="eastAsia"/>
                <w:color w:val="auto"/>
                <w:sz w:val="21"/>
                <w:szCs w:val="21"/>
              </w:rPr>
              <w:t>150000.00</w:t>
            </w:r>
          </w:p>
        </w:tc>
        <w:tc>
          <w:tcPr>
            <w:tcW w:w="3678" w:type="dxa"/>
          </w:tcPr>
          <w:p>
            <w:pPr>
              <w:snapToGrid w:val="0"/>
              <w:rPr>
                <w:color w:val="auto"/>
                <w:sz w:val="21"/>
                <w:szCs w:val="21"/>
              </w:rPr>
            </w:pPr>
            <w:r>
              <w:rPr>
                <w:rFonts w:hint="eastAsia"/>
                <w:color w:val="auto"/>
                <w:sz w:val="21"/>
                <w:szCs w:val="21"/>
              </w:rPr>
              <w:t>1、各投标人在报价时不得调整该费用。</w:t>
            </w:r>
          </w:p>
          <w:p>
            <w:pPr>
              <w:snapToGrid w:val="0"/>
              <w:rPr>
                <w:color w:val="auto"/>
                <w:sz w:val="21"/>
                <w:szCs w:val="21"/>
              </w:rPr>
            </w:pPr>
            <w:r>
              <w:rPr>
                <w:rFonts w:hint="eastAsia"/>
                <w:color w:val="auto"/>
                <w:sz w:val="21"/>
                <w:szCs w:val="21"/>
              </w:rPr>
              <w:t>2、详见招标文件投标人须知15.7。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0" w:type="dxa"/>
            <w:vAlign w:val="center"/>
          </w:tcPr>
          <w:p>
            <w:pPr>
              <w:snapToGrid w:val="0"/>
              <w:jc w:val="center"/>
              <w:rPr>
                <w:color w:val="auto"/>
                <w:sz w:val="21"/>
                <w:szCs w:val="21"/>
              </w:rPr>
            </w:pPr>
          </w:p>
        </w:tc>
        <w:tc>
          <w:tcPr>
            <w:tcW w:w="1738" w:type="dxa"/>
            <w:vAlign w:val="center"/>
          </w:tcPr>
          <w:p>
            <w:pPr>
              <w:snapToGrid w:val="0"/>
              <w:jc w:val="center"/>
              <w:rPr>
                <w:color w:val="auto"/>
                <w:sz w:val="21"/>
                <w:szCs w:val="21"/>
              </w:rPr>
            </w:pPr>
            <w:r>
              <w:rPr>
                <w:rFonts w:hint="eastAsia"/>
                <w:color w:val="auto"/>
                <w:sz w:val="21"/>
                <w:szCs w:val="21"/>
              </w:rPr>
              <w:t>小计</w:t>
            </w:r>
          </w:p>
        </w:tc>
        <w:tc>
          <w:tcPr>
            <w:tcW w:w="732" w:type="dxa"/>
            <w:vAlign w:val="center"/>
          </w:tcPr>
          <w:p>
            <w:pPr>
              <w:snapToGrid w:val="0"/>
              <w:jc w:val="center"/>
              <w:rPr>
                <w:color w:val="auto"/>
                <w:sz w:val="21"/>
                <w:szCs w:val="21"/>
              </w:rPr>
            </w:pPr>
          </w:p>
        </w:tc>
        <w:tc>
          <w:tcPr>
            <w:tcW w:w="855" w:type="dxa"/>
            <w:vAlign w:val="center"/>
          </w:tcPr>
          <w:p>
            <w:pPr>
              <w:snapToGrid w:val="0"/>
              <w:jc w:val="center"/>
              <w:rPr>
                <w:color w:val="auto"/>
                <w:sz w:val="21"/>
                <w:szCs w:val="21"/>
              </w:rPr>
            </w:pPr>
          </w:p>
        </w:tc>
        <w:tc>
          <w:tcPr>
            <w:tcW w:w="1161" w:type="dxa"/>
          </w:tcPr>
          <w:p>
            <w:pPr>
              <w:snapToGrid w:val="0"/>
              <w:rPr>
                <w:color w:val="auto"/>
                <w:sz w:val="21"/>
                <w:szCs w:val="21"/>
              </w:rPr>
            </w:pPr>
          </w:p>
        </w:tc>
        <w:tc>
          <w:tcPr>
            <w:tcW w:w="1272" w:type="dxa"/>
            <w:vAlign w:val="center"/>
          </w:tcPr>
          <w:p>
            <w:pPr>
              <w:snapToGrid w:val="0"/>
              <w:jc w:val="center"/>
              <w:rPr>
                <w:color w:val="auto"/>
                <w:sz w:val="21"/>
                <w:szCs w:val="21"/>
              </w:rPr>
            </w:pPr>
          </w:p>
        </w:tc>
        <w:tc>
          <w:tcPr>
            <w:tcW w:w="3678" w:type="dxa"/>
          </w:tcPr>
          <w:p>
            <w:pPr>
              <w:snapToGrid w:val="0"/>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0" w:type="dxa"/>
            <w:vAlign w:val="center"/>
          </w:tcPr>
          <w:p>
            <w:pPr>
              <w:snapToGrid w:val="0"/>
              <w:jc w:val="center"/>
              <w:rPr>
                <w:color w:val="auto"/>
                <w:sz w:val="21"/>
                <w:szCs w:val="21"/>
              </w:rPr>
            </w:pPr>
            <w:r>
              <w:rPr>
                <w:rFonts w:hint="eastAsia"/>
                <w:color w:val="auto"/>
                <w:sz w:val="21"/>
                <w:szCs w:val="21"/>
              </w:rPr>
              <w:t>三</w:t>
            </w:r>
          </w:p>
        </w:tc>
        <w:tc>
          <w:tcPr>
            <w:tcW w:w="9436" w:type="dxa"/>
            <w:gridSpan w:val="6"/>
            <w:vAlign w:val="center"/>
          </w:tcPr>
          <w:p>
            <w:pPr>
              <w:snapToGrid w:val="0"/>
              <w:rPr>
                <w:color w:val="auto"/>
                <w:sz w:val="21"/>
                <w:szCs w:val="21"/>
              </w:rPr>
            </w:pPr>
            <w:r>
              <w:rPr>
                <w:rFonts w:hint="eastAsia"/>
                <w:color w:val="auto"/>
                <w:sz w:val="21"/>
                <w:szCs w:val="21"/>
              </w:rPr>
              <w:t>其他费用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0" w:type="dxa"/>
            <w:vAlign w:val="center"/>
          </w:tcPr>
          <w:p>
            <w:pPr>
              <w:snapToGrid w:val="0"/>
              <w:jc w:val="center"/>
              <w:rPr>
                <w:color w:val="auto"/>
                <w:sz w:val="21"/>
                <w:szCs w:val="21"/>
              </w:rPr>
            </w:pPr>
            <w:r>
              <w:rPr>
                <w:rFonts w:hint="eastAsia"/>
                <w:color w:val="auto"/>
                <w:sz w:val="21"/>
                <w:szCs w:val="21"/>
              </w:rPr>
              <w:t>序号</w:t>
            </w:r>
          </w:p>
        </w:tc>
        <w:tc>
          <w:tcPr>
            <w:tcW w:w="1738" w:type="dxa"/>
            <w:vAlign w:val="center"/>
          </w:tcPr>
          <w:p>
            <w:pPr>
              <w:snapToGrid w:val="0"/>
              <w:jc w:val="center"/>
              <w:rPr>
                <w:color w:val="auto"/>
                <w:sz w:val="21"/>
                <w:szCs w:val="21"/>
              </w:rPr>
            </w:pPr>
            <w:r>
              <w:rPr>
                <w:rFonts w:hint="eastAsia"/>
                <w:color w:val="auto"/>
                <w:sz w:val="21"/>
                <w:szCs w:val="21"/>
              </w:rPr>
              <w:t>项目名称</w:t>
            </w:r>
          </w:p>
        </w:tc>
        <w:tc>
          <w:tcPr>
            <w:tcW w:w="732" w:type="dxa"/>
            <w:vAlign w:val="center"/>
          </w:tcPr>
          <w:p>
            <w:pPr>
              <w:snapToGrid w:val="0"/>
              <w:jc w:val="center"/>
              <w:rPr>
                <w:color w:val="auto"/>
                <w:sz w:val="21"/>
                <w:szCs w:val="21"/>
              </w:rPr>
            </w:pPr>
            <w:r>
              <w:rPr>
                <w:rFonts w:hint="eastAsia"/>
                <w:color w:val="auto"/>
                <w:sz w:val="21"/>
                <w:szCs w:val="21"/>
              </w:rPr>
              <w:t>单位</w:t>
            </w:r>
          </w:p>
        </w:tc>
        <w:tc>
          <w:tcPr>
            <w:tcW w:w="855" w:type="dxa"/>
            <w:vAlign w:val="center"/>
          </w:tcPr>
          <w:p>
            <w:pPr>
              <w:snapToGrid w:val="0"/>
              <w:jc w:val="center"/>
              <w:rPr>
                <w:color w:val="auto"/>
                <w:sz w:val="21"/>
                <w:szCs w:val="21"/>
              </w:rPr>
            </w:pPr>
            <w:r>
              <w:rPr>
                <w:rFonts w:hint="eastAsia"/>
                <w:color w:val="auto"/>
                <w:sz w:val="21"/>
                <w:szCs w:val="21"/>
              </w:rPr>
              <w:t>数量</w:t>
            </w:r>
          </w:p>
        </w:tc>
        <w:tc>
          <w:tcPr>
            <w:tcW w:w="1161" w:type="dxa"/>
            <w:vAlign w:val="center"/>
          </w:tcPr>
          <w:p>
            <w:pPr>
              <w:snapToGrid w:val="0"/>
              <w:jc w:val="center"/>
              <w:rPr>
                <w:rFonts w:hint="eastAsia" w:eastAsia="宋体"/>
                <w:color w:val="auto"/>
                <w:sz w:val="21"/>
                <w:szCs w:val="21"/>
                <w:lang w:eastAsia="zh-CN"/>
              </w:rPr>
            </w:pPr>
            <w:r>
              <w:rPr>
                <w:rFonts w:hint="eastAsia"/>
                <w:color w:val="auto"/>
                <w:sz w:val="21"/>
                <w:szCs w:val="21"/>
              </w:rPr>
              <w:t>单价</w:t>
            </w:r>
            <w:r>
              <w:rPr>
                <w:rFonts w:hint="eastAsia"/>
                <w:color w:val="auto"/>
                <w:sz w:val="21"/>
                <w:szCs w:val="21"/>
                <w:lang w:eastAsia="zh-CN"/>
              </w:rPr>
              <w:t>（元）</w:t>
            </w:r>
          </w:p>
        </w:tc>
        <w:tc>
          <w:tcPr>
            <w:tcW w:w="1272" w:type="dxa"/>
            <w:vAlign w:val="center"/>
          </w:tcPr>
          <w:p>
            <w:pPr>
              <w:snapToGrid w:val="0"/>
              <w:jc w:val="center"/>
              <w:rPr>
                <w:rFonts w:hint="eastAsia" w:eastAsia="宋体"/>
                <w:color w:val="auto"/>
                <w:sz w:val="21"/>
                <w:szCs w:val="21"/>
                <w:lang w:eastAsia="zh-CN"/>
              </w:rPr>
            </w:pPr>
            <w:r>
              <w:rPr>
                <w:rFonts w:hint="eastAsia"/>
                <w:color w:val="auto"/>
                <w:sz w:val="21"/>
                <w:szCs w:val="21"/>
              </w:rPr>
              <w:t>合计</w:t>
            </w:r>
            <w:r>
              <w:rPr>
                <w:rFonts w:hint="eastAsia"/>
                <w:color w:val="auto"/>
                <w:sz w:val="21"/>
                <w:szCs w:val="21"/>
                <w:lang w:eastAsia="zh-CN"/>
              </w:rPr>
              <w:t>（元）</w:t>
            </w:r>
          </w:p>
        </w:tc>
        <w:tc>
          <w:tcPr>
            <w:tcW w:w="3678" w:type="dxa"/>
            <w:vAlign w:val="center"/>
          </w:tcPr>
          <w:p>
            <w:pPr>
              <w:snapToGrid w:val="0"/>
              <w:jc w:val="center"/>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0" w:type="dxa"/>
            <w:vAlign w:val="center"/>
          </w:tcPr>
          <w:p>
            <w:pPr>
              <w:snapToGrid w:val="0"/>
              <w:jc w:val="center"/>
              <w:rPr>
                <w:color w:val="auto"/>
                <w:sz w:val="21"/>
                <w:szCs w:val="21"/>
              </w:rPr>
            </w:pPr>
            <w:r>
              <w:rPr>
                <w:rFonts w:hint="eastAsia"/>
                <w:color w:val="auto"/>
                <w:sz w:val="21"/>
                <w:szCs w:val="21"/>
              </w:rPr>
              <w:t>1</w:t>
            </w:r>
          </w:p>
        </w:tc>
        <w:tc>
          <w:tcPr>
            <w:tcW w:w="1738" w:type="dxa"/>
            <w:vAlign w:val="center"/>
          </w:tcPr>
          <w:p>
            <w:pPr>
              <w:snapToGrid w:val="0"/>
              <w:rPr>
                <w:color w:val="auto"/>
                <w:sz w:val="21"/>
                <w:szCs w:val="21"/>
              </w:rPr>
            </w:pPr>
            <w:r>
              <w:rPr>
                <w:rFonts w:hint="eastAsia"/>
                <w:color w:val="auto"/>
                <w:sz w:val="21"/>
                <w:szCs w:val="21"/>
              </w:rPr>
              <w:t>代理费、评审费</w:t>
            </w:r>
          </w:p>
        </w:tc>
        <w:tc>
          <w:tcPr>
            <w:tcW w:w="732" w:type="dxa"/>
            <w:vAlign w:val="center"/>
          </w:tcPr>
          <w:p>
            <w:pPr>
              <w:snapToGrid w:val="0"/>
              <w:jc w:val="center"/>
              <w:rPr>
                <w:color w:val="auto"/>
                <w:sz w:val="21"/>
                <w:szCs w:val="21"/>
              </w:rPr>
            </w:pPr>
            <w:r>
              <w:rPr>
                <w:rFonts w:hint="eastAsia"/>
                <w:color w:val="auto"/>
                <w:sz w:val="21"/>
                <w:szCs w:val="21"/>
              </w:rPr>
              <w:t>项</w:t>
            </w:r>
          </w:p>
        </w:tc>
        <w:tc>
          <w:tcPr>
            <w:tcW w:w="855" w:type="dxa"/>
            <w:vAlign w:val="center"/>
          </w:tcPr>
          <w:p>
            <w:pPr>
              <w:snapToGrid w:val="0"/>
              <w:jc w:val="center"/>
              <w:rPr>
                <w:color w:val="auto"/>
                <w:sz w:val="21"/>
                <w:szCs w:val="21"/>
              </w:rPr>
            </w:pPr>
            <w:r>
              <w:rPr>
                <w:rFonts w:hint="eastAsia"/>
                <w:color w:val="auto"/>
                <w:sz w:val="21"/>
                <w:szCs w:val="21"/>
              </w:rPr>
              <w:t>1</w:t>
            </w:r>
          </w:p>
        </w:tc>
        <w:tc>
          <w:tcPr>
            <w:tcW w:w="1161" w:type="dxa"/>
            <w:vAlign w:val="center"/>
          </w:tcPr>
          <w:p>
            <w:pPr>
              <w:contextualSpacing/>
              <w:jc w:val="center"/>
              <w:rPr>
                <w:color w:val="auto"/>
                <w:sz w:val="21"/>
                <w:szCs w:val="21"/>
              </w:rPr>
            </w:pPr>
            <w:r>
              <w:rPr>
                <w:rFonts w:hint="eastAsia"/>
                <w:color w:val="auto"/>
                <w:sz w:val="21"/>
                <w:szCs w:val="21"/>
              </w:rPr>
              <w:t>10000.00</w:t>
            </w:r>
          </w:p>
        </w:tc>
        <w:tc>
          <w:tcPr>
            <w:tcW w:w="1272" w:type="dxa"/>
            <w:vAlign w:val="center"/>
          </w:tcPr>
          <w:p>
            <w:pPr>
              <w:contextualSpacing/>
              <w:jc w:val="center"/>
              <w:rPr>
                <w:color w:val="auto"/>
                <w:sz w:val="21"/>
                <w:szCs w:val="21"/>
              </w:rPr>
            </w:pPr>
            <w:r>
              <w:rPr>
                <w:rFonts w:hint="eastAsia"/>
                <w:color w:val="auto"/>
                <w:sz w:val="21"/>
                <w:szCs w:val="21"/>
              </w:rPr>
              <w:t>10000.00</w:t>
            </w:r>
          </w:p>
        </w:tc>
        <w:tc>
          <w:tcPr>
            <w:tcW w:w="3678" w:type="dxa"/>
          </w:tcPr>
          <w:p>
            <w:pPr>
              <w:snapToGrid w:val="0"/>
              <w:rPr>
                <w:color w:val="auto"/>
                <w:sz w:val="21"/>
                <w:szCs w:val="21"/>
              </w:rPr>
            </w:pPr>
            <w:r>
              <w:rPr>
                <w:rFonts w:hint="eastAsia"/>
                <w:color w:val="auto"/>
                <w:sz w:val="21"/>
                <w:szCs w:val="21"/>
              </w:rPr>
              <w:t>1、各投标人在报价时不得调整该费用，在领取中标通知书时一次性向代理单位按规定结算，按实缴清。</w:t>
            </w:r>
          </w:p>
          <w:p>
            <w:pPr>
              <w:snapToGrid w:val="0"/>
              <w:rPr>
                <w:color w:val="auto"/>
                <w:sz w:val="21"/>
                <w:szCs w:val="21"/>
              </w:rPr>
            </w:pPr>
            <w:r>
              <w:rPr>
                <w:rFonts w:hint="eastAsia"/>
                <w:color w:val="auto"/>
                <w:sz w:val="21"/>
                <w:szCs w:val="21"/>
              </w:rPr>
              <w:t>2、详见招标文件投标人须知15.8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0" w:type="dxa"/>
            <w:vAlign w:val="center"/>
          </w:tcPr>
          <w:p>
            <w:pPr>
              <w:snapToGrid w:val="0"/>
              <w:jc w:val="center"/>
              <w:rPr>
                <w:color w:val="auto"/>
                <w:sz w:val="21"/>
                <w:szCs w:val="21"/>
              </w:rPr>
            </w:pPr>
          </w:p>
        </w:tc>
        <w:tc>
          <w:tcPr>
            <w:tcW w:w="1738" w:type="dxa"/>
            <w:vAlign w:val="center"/>
          </w:tcPr>
          <w:p>
            <w:pPr>
              <w:snapToGrid w:val="0"/>
              <w:jc w:val="center"/>
              <w:rPr>
                <w:color w:val="auto"/>
                <w:sz w:val="21"/>
                <w:szCs w:val="21"/>
              </w:rPr>
            </w:pPr>
            <w:r>
              <w:rPr>
                <w:rFonts w:hint="eastAsia"/>
                <w:color w:val="auto"/>
                <w:sz w:val="21"/>
                <w:szCs w:val="21"/>
              </w:rPr>
              <w:t>小计</w:t>
            </w:r>
          </w:p>
        </w:tc>
        <w:tc>
          <w:tcPr>
            <w:tcW w:w="732" w:type="dxa"/>
            <w:vAlign w:val="center"/>
          </w:tcPr>
          <w:p>
            <w:pPr>
              <w:snapToGrid w:val="0"/>
              <w:jc w:val="center"/>
              <w:rPr>
                <w:color w:val="auto"/>
                <w:sz w:val="21"/>
                <w:szCs w:val="21"/>
              </w:rPr>
            </w:pPr>
          </w:p>
        </w:tc>
        <w:tc>
          <w:tcPr>
            <w:tcW w:w="855" w:type="dxa"/>
            <w:vAlign w:val="center"/>
          </w:tcPr>
          <w:p>
            <w:pPr>
              <w:snapToGrid w:val="0"/>
              <w:jc w:val="center"/>
              <w:rPr>
                <w:color w:val="auto"/>
                <w:sz w:val="21"/>
                <w:szCs w:val="21"/>
              </w:rPr>
            </w:pPr>
          </w:p>
        </w:tc>
        <w:tc>
          <w:tcPr>
            <w:tcW w:w="1161" w:type="dxa"/>
            <w:vAlign w:val="center"/>
          </w:tcPr>
          <w:p>
            <w:pPr>
              <w:snapToGrid w:val="0"/>
              <w:jc w:val="center"/>
              <w:rPr>
                <w:color w:val="auto"/>
                <w:sz w:val="21"/>
                <w:szCs w:val="21"/>
              </w:rPr>
            </w:pPr>
          </w:p>
        </w:tc>
        <w:tc>
          <w:tcPr>
            <w:tcW w:w="1272" w:type="dxa"/>
            <w:vAlign w:val="center"/>
          </w:tcPr>
          <w:p>
            <w:pPr>
              <w:snapToGrid w:val="0"/>
              <w:jc w:val="center"/>
              <w:rPr>
                <w:color w:val="auto"/>
                <w:sz w:val="21"/>
                <w:szCs w:val="21"/>
              </w:rPr>
            </w:pPr>
            <w:r>
              <w:rPr>
                <w:rFonts w:hint="eastAsia"/>
                <w:color w:val="auto"/>
                <w:sz w:val="21"/>
                <w:szCs w:val="21"/>
              </w:rPr>
              <w:t>10000.00</w:t>
            </w:r>
          </w:p>
        </w:tc>
        <w:tc>
          <w:tcPr>
            <w:tcW w:w="3678" w:type="dxa"/>
          </w:tcPr>
          <w:p>
            <w:pPr>
              <w:snapToGrid w:val="0"/>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0" w:type="dxa"/>
            <w:vAlign w:val="center"/>
          </w:tcPr>
          <w:p>
            <w:pPr>
              <w:snapToGrid w:val="0"/>
              <w:jc w:val="center"/>
              <w:rPr>
                <w:color w:val="auto"/>
                <w:sz w:val="21"/>
                <w:szCs w:val="21"/>
              </w:rPr>
            </w:pPr>
            <w:r>
              <w:rPr>
                <w:rFonts w:hint="eastAsia"/>
                <w:color w:val="auto"/>
                <w:sz w:val="21"/>
                <w:szCs w:val="21"/>
              </w:rPr>
              <w:t>四</w:t>
            </w:r>
          </w:p>
        </w:tc>
        <w:tc>
          <w:tcPr>
            <w:tcW w:w="1738" w:type="dxa"/>
            <w:vAlign w:val="center"/>
          </w:tcPr>
          <w:p>
            <w:pPr>
              <w:snapToGrid w:val="0"/>
              <w:jc w:val="center"/>
              <w:rPr>
                <w:color w:val="auto"/>
                <w:sz w:val="21"/>
                <w:szCs w:val="21"/>
              </w:rPr>
            </w:pPr>
            <w:r>
              <w:rPr>
                <w:rFonts w:hint="eastAsia"/>
                <w:color w:val="auto"/>
                <w:sz w:val="21"/>
                <w:szCs w:val="21"/>
              </w:rPr>
              <w:t>以上合计</w:t>
            </w:r>
          </w:p>
        </w:tc>
        <w:tc>
          <w:tcPr>
            <w:tcW w:w="732" w:type="dxa"/>
            <w:vAlign w:val="center"/>
          </w:tcPr>
          <w:p>
            <w:pPr>
              <w:snapToGrid w:val="0"/>
              <w:jc w:val="center"/>
              <w:rPr>
                <w:color w:val="auto"/>
                <w:sz w:val="21"/>
                <w:szCs w:val="21"/>
              </w:rPr>
            </w:pPr>
          </w:p>
        </w:tc>
        <w:tc>
          <w:tcPr>
            <w:tcW w:w="855" w:type="dxa"/>
            <w:vAlign w:val="center"/>
          </w:tcPr>
          <w:p>
            <w:pPr>
              <w:snapToGrid w:val="0"/>
              <w:jc w:val="center"/>
              <w:rPr>
                <w:color w:val="auto"/>
                <w:sz w:val="21"/>
                <w:szCs w:val="21"/>
              </w:rPr>
            </w:pPr>
          </w:p>
        </w:tc>
        <w:tc>
          <w:tcPr>
            <w:tcW w:w="1161" w:type="dxa"/>
          </w:tcPr>
          <w:p>
            <w:pPr>
              <w:snapToGrid w:val="0"/>
              <w:rPr>
                <w:color w:val="auto"/>
                <w:sz w:val="21"/>
                <w:szCs w:val="21"/>
              </w:rPr>
            </w:pPr>
          </w:p>
        </w:tc>
        <w:tc>
          <w:tcPr>
            <w:tcW w:w="1272" w:type="dxa"/>
            <w:vAlign w:val="center"/>
          </w:tcPr>
          <w:p>
            <w:pPr>
              <w:snapToGrid w:val="0"/>
              <w:jc w:val="center"/>
              <w:rPr>
                <w:color w:val="auto"/>
                <w:sz w:val="21"/>
                <w:szCs w:val="21"/>
              </w:rPr>
            </w:pPr>
          </w:p>
        </w:tc>
        <w:tc>
          <w:tcPr>
            <w:tcW w:w="3678" w:type="dxa"/>
          </w:tcPr>
          <w:p>
            <w:pPr>
              <w:snapToGrid w:val="0"/>
              <w:rPr>
                <w:color w:val="auto"/>
                <w:sz w:val="21"/>
                <w:szCs w:val="21"/>
              </w:rPr>
            </w:pPr>
          </w:p>
        </w:tc>
      </w:tr>
    </w:tbl>
    <w:p>
      <w:pPr>
        <w:snapToGrid w:val="0"/>
        <w:spacing w:line="360" w:lineRule="auto"/>
        <w:rPr>
          <w:color w:val="auto"/>
        </w:rPr>
      </w:pPr>
      <w:r>
        <w:rPr>
          <w:rFonts w:hint="eastAsia"/>
          <w:color w:val="auto"/>
        </w:rPr>
        <w:t>投标人(盖单位章)：</w:t>
      </w:r>
      <w:r>
        <w:rPr>
          <w:rFonts w:hint="eastAsia"/>
          <w:color w:val="auto"/>
          <w:u w:val="single"/>
        </w:rPr>
        <w:t xml:space="preserve">                               </w:t>
      </w:r>
    </w:p>
    <w:p>
      <w:pPr>
        <w:snapToGrid w:val="0"/>
        <w:spacing w:line="360" w:lineRule="auto"/>
        <w:rPr>
          <w:u w:val="single"/>
        </w:rPr>
      </w:pPr>
      <w:r>
        <w:rPr>
          <w:rFonts w:hint="eastAsia"/>
          <w:color w:val="auto"/>
        </w:rPr>
        <w:t>法定代表人或委托代理人(签字或盖章)：</w:t>
      </w:r>
      <w:r>
        <w:rPr>
          <w:rFonts w:hint="eastAsia"/>
          <w:color w:val="auto"/>
          <w:u w:val="single"/>
        </w:rPr>
        <w:t xml:space="preserve">                   </w:t>
      </w:r>
      <w:r>
        <w:rPr>
          <w:rFonts w:hint="eastAsia"/>
          <w:u w:val="single"/>
        </w:rPr>
        <w:t xml:space="preserve">     </w:t>
      </w:r>
    </w:p>
    <w:p>
      <w:pPr>
        <w:snapToGrid w:val="0"/>
        <w:spacing w:line="360" w:lineRule="auto"/>
        <w:rPr>
          <w:rFonts w:hint="eastAsia"/>
        </w:rPr>
      </w:pPr>
      <w:r>
        <w:rPr>
          <w:rFonts w:hint="eastAsia"/>
        </w:rPr>
        <w:t>日期：     年    月    日</w:t>
      </w:r>
    </w:p>
    <w:p>
      <w:pPr>
        <w:rPr>
          <w:rFonts w:hint="eastAsia"/>
        </w:rPr>
      </w:pPr>
      <w:r>
        <w:rPr>
          <w:rFonts w:hint="eastAsia"/>
        </w:rPr>
        <w:br w:type="page"/>
      </w:r>
    </w:p>
    <w:p>
      <w:pPr>
        <w:snapToGrid w:val="0"/>
        <w:spacing w:line="520" w:lineRule="exact"/>
        <w:jc w:val="center"/>
        <w:rPr>
          <w:b/>
          <w:bCs/>
          <w:sz w:val="28"/>
          <w:szCs w:val="28"/>
        </w:rPr>
      </w:pPr>
      <w:r>
        <w:rPr>
          <w:rFonts w:hint="eastAsia"/>
          <w:b/>
          <w:bCs/>
          <w:sz w:val="28"/>
          <w:szCs w:val="28"/>
        </w:rPr>
        <w:t>主要材料报价表</w:t>
      </w:r>
    </w:p>
    <w:tbl>
      <w:tblPr>
        <w:tblStyle w:val="61"/>
        <w:tblW w:w="95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
        <w:gridCol w:w="1738"/>
        <w:gridCol w:w="732"/>
        <w:gridCol w:w="1121"/>
        <w:gridCol w:w="1161"/>
        <w:gridCol w:w="1272"/>
        <w:gridCol w:w="3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0" w:type="dxa"/>
            <w:vAlign w:val="center"/>
          </w:tcPr>
          <w:p>
            <w:pPr>
              <w:snapToGrid w:val="0"/>
              <w:jc w:val="center"/>
              <w:rPr>
                <w:szCs w:val="21"/>
              </w:rPr>
            </w:pPr>
            <w:r>
              <w:rPr>
                <w:rFonts w:hint="eastAsia"/>
                <w:szCs w:val="21"/>
              </w:rPr>
              <w:t>序号</w:t>
            </w:r>
          </w:p>
        </w:tc>
        <w:tc>
          <w:tcPr>
            <w:tcW w:w="1738" w:type="dxa"/>
            <w:vAlign w:val="center"/>
          </w:tcPr>
          <w:p>
            <w:pPr>
              <w:snapToGrid w:val="0"/>
              <w:jc w:val="center"/>
              <w:rPr>
                <w:szCs w:val="21"/>
              </w:rPr>
            </w:pPr>
            <w:r>
              <w:rPr>
                <w:rFonts w:hint="eastAsia"/>
                <w:szCs w:val="21"/>
              </w:rPr>
              <w:t>项目名称</w:t>
            </w:r>
          </w:p>
        </w:tc>
        <w:tc>
          <w:tcPr>
            <w:tcW w:w="732" w:type="dxa"/>
            <w:vAlign w:val="center"/>
          </w:tcPr>
          <w:p>
            <w:pPr>
              <w:snapToGrid w:val="0"/>
              <w:jc w:val="center"/>
              <w:rPr>
                <w:szCs w:val="21"/>
              </w:rPr>
            </w:pPr>
            <w:r>
              <w:rPr>
                <w:rFonts w:hint="eastAsia"/>
                <w:szCs w:val="21"/>
              </w:rPr>
              <w:t>单位</w:t>
            </w:r>
          </w:p>
        </w:tc>
        <w:tc>
          <w:tcPr>
            <w:tcW w:w="1121" w:type="dxa"/>
            <w:vAlign w:val="center"/>
          </w:tcPr>
          <w:p>
            <w:pPr>
              <w:snapToGrid w:val="0"/>
              <w:jc w:val="center"/>
              <w:rPr>
                <w:szCs w:val="21"/>
              </w:rPr>
            </w:pPr>
            <w:r>
              <w:rPr>
                <w:rFonts w:hint="eastAsia"/>
                <w:szCs w:val="21"/>
              </w:rPr>
              <w:t>面积</w:t>
            </w:r>
          </w:p>
        </w:tc>
        <w:tc>
          <w:tcPr>
            <w:tcW w:w="1161" w:type="dxa"/>
            <w:vAlign w:val="center"/>
          </w:tcPr>
          <w:p>
            <w:pPr>
              <w:snapToGrid w:val="0"/>
              <w:jc w:val="center"/>
              <w:rPr>
                <w:szCs w:val="21"/>
              </w:rPr>
            </w:pPr>
            <w:r>
              <w:rPr>
                <w:rFonts w:hint="eastAsia"/>
                <w:szCs w:val="21"/>
              </w:rPr>
              <w:t>投标单价（元）</w:t>
            </w:r>
          </w:p>
        </w:tc>
        <w:tc>
          <w:tcPr>
            <w:tcW w:w="1272" w:type="dxa"/>
            <w:vAlign w:val="center"/>
          </w:tcPr>
          <w:p>
            <w:pPr>
              <w:snapToGrid w:val="0"/>
              <w:jc w:val="center"/>
              <w:rPr>
                <w:szCs w:val="21"/>
              </w:rPr>
            </w:pPr>
            <w:r>
              <w:rPr>
                <w:rFonts w:hint="eastAsia"/>
                <w:szCs w:val="21"/>
              </w:rPr>
              <w:t>合计（元）</w:t>
            </w:r>
          </w:p>
        </w:tc>
        <w:tc>
          <w:tcPr>
            <w:tcW w:w="3079" w:type="dxa"/>
            <w:vAlign w:val="center"/>
          </w:tcPr>
          <w:p>
            <w:pPr>
              <w:snapToGrid w:val="0"/>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490" w:type="dxa"/>
            <w:vAlign w:val="center"/>
          </w:tcPr>
          <w:p>
            <w:pPr>
              <w:snapToGrid w:val="0"/>
              <w:jc w:val="center"/>
              <w:rPr>
                <w:b/>
                <w:szCs w:val="21"/>
              </w:rPr>
            </w:pPr>
            <w:r>
              <w:rPr>
                <w:rFonts w:hint="eastAsia"/>
                <w:szCs w:val="21"/>
              </w:rPr>
              <w:t>1</w:t>
            </w:r>
          </w:p>
        </w:tc>
        <w:tc>
          <w:tcPr>
            <w:tcW w:w="1738" w:type="dxa"/>
            <w:vAlign w:val="center"/>
          </w:tcPr>
          <w:p>
            <w:pPr>
              <w:snapToGrid w:val="0"/>
              <w:jc w:val="left"/>
              <w:rPr>
                <w:b/>
                <w:szCs w:val="21"/>
              </w:rPr>
            </w:pPr>
            <w:r>
              <w:rPr>
                <w:rFonts w:hint="eastAsia"/>
                <w:szCs w:val="21"/>
              </w:rPr>
              <w:t>立体花卉（含骨架、基质及草花）</w:t>
            </w:r>
          </w:p>
        </w:tc>
        <w:tc>
          <w:tcPr>
            <w:tcW w:w="732" w:type="dxa"/>
            <w:vAlign w:val="center"/>
          </w:tcPr>
          <w:p>
            <w:pPr>
              <w:snapToGrid w:val="0"/>
              <w:jc w:val="center"/>
              <w:rPr>
                <w:b/>
                <w:szCs w:val="21"/>
              </w:rPr>
            </w:pPr>
            <w:r>
              <w:rPr>
                <w:rFonts w:hint="eastAsia"/>
                <w:szCs w:val="21"/>
              </w:rPr>
              <w:t>㎡</w:t>
            </w:r>
          </w:p>
        </w:tc>
        <w:tc>
          <w:tcPr>
            <w:tcW w:w="1121" w:type="dxa"/>
            <w:vAlign w:val="center"/>
          </w:tcPr>
          <w:p>
            <w:pPr>
              <w:snapToGrid w:val="0"/>
              <w:jc w:val="center"/>
              <w:rPr>
                <w:b/>
                <w:szCs w:val="21"/>
              </w:rPr>
            </w:pPr>
            <w:r>
              <w:rPr>
                <w:rFonts w:hint="eastAsia"/>
                <w:szCs w:val="21"/>
              </w:rPr>
              <w:t>550</w:t>
            </w:r>
          </w:p>
        </w:tc>
        <w:tc>
          <w:tcPr>
            <w:tcW w:w="1161" w:type="dxa"/>
            <w:vAlign w:val="center"/>
          </w:tcPr>
          <w:p>
            <w:pPr>
              <w:snapToGrid w:val="0"/>
              <w:jc w:val="center"/>
              <w:rPr>
                <w:b/>
                <w:szCs w:val="21"/>
              </w:rPr>
            </w:pPr>
          </w:p>
        </w:tc>
        <w:tc>
          <w:tcPr>
            <w:tcW w:w="1272" w:type="dxa"/>
            <w:vAlign w:val="center"/>
          </w:tcPr>
          <w:p>
            <w:pPr>
              <w:snapToGrid w:val="0"/>
              <w:jc w:val="center"/>
              <w:rPr>
                <w:szCs w:val="21"/>
              </w:rPr>
            </w:pPr>
          </w:p>
        </w:tc>
        <w:tc>
          <w:tcPr>
            <w:tcW w:w="3079" w:type="dxa"/>
            <w:vAlign w:val="center"/>
          </w:tcPr>
          <w:p>
            <w:pPr>
              <w:snapToGrid w:val="0"/>
              <w:rPr>
                <w:sz w:val="21"/>
                <w:szCs w:val="21"/>
              </w:rPr>
            </w:pPr>
            <w:r>
              <w:rPr>
                <w:rFonts w:hint="eastAsia"/>
                <w:sz w:val="21"/>
                <w:szCs w:val="21"/>
              </w:rPr>
              <w:t>1、每个地段主体造型一般不得低于5.5米。</w:t>
            </w:r>
          </w:p>
          <w:p>
            <w:pPr>
              <w:snapToGrid w:val="0"/>
              <w:rPr>
                <w:b/>
                <w:szCs w:val="21"/>
                <w:highlight w:val="yellow"/>
              </w:rPr>
            </w:pPr>
            <w:r>
              <w:rPr>
                <w:rFonts w:hint="eastAsia"/>
                <w:sz w:val="21"/>
                <w:szCs w:val="21"/>
              </w:rPr>
              <w:t>2、详见招标文件投标人须知15.4。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90" w:type="dxa"/>
            <w:vAlign w:val="center"/>
          </w:tcPr>
          <w:p>
            <w:pPr>
              <w:snapToGrid w:val="0"/>
              <w:jc w:val="center"/>
              <w:rPr>
                <w:szCs w:val="21"/>
              </w:rPr>
            </w:pPr>
            <w:r>
              <w:rPr>
                <w:rFonts w:hint="eastAsia"/>
                <w:szCs w:val="21"/>
              </w:rPr>
              <w:t>2</w:t>
            </w:r>
          </w:p>
        </w:tc>
        <w:tc>
          <w:tcPr>
            <w:tcW w:w="1738" w:type="dxa"/>
            <w:vAlign w:val="center"/>
          </w:tcPr>
          <w:p>
            <w:pPr>
              <w:snapToGrid w:val="0"/>
              <w:rPr>
                <w:szCs w:val="21"/>
              </w:rPr>
            </w:pPr>
            <w:r>
              <w:rPr>
                <w:rFonts w:hint="eastAsia"/>
                <w:szCs w:val="21"/>
              </w:rPr>
              <w:t>平面摆花</w:t>
            </w:r>
          </w:p>
        </w:tc>
        <w:tc>
          <w:tcPr>
            <w:tcW w:w="732" w:type="dxa"/>
            <w:vAlign w:val="center"/>
          </w:tcPr>
          <w:p>
            <w:pPr>
              <w:snapToGrid w:val="0"/>
              <w:jc w:val="center"/>
              <w:rPr>
                <w:szCs w:val="21"/>
              </w:rPr>
            </w:pPr>
            <w:r>
              <w:rPr>
                <w:rFonts w:hint="eastAsia"/>
                <w:szCs w:val="21"/>
              </w:rPr>
              <w:t>㎡</w:t>
            </w:r>
          </w:p>
        </w:tc>
        <w:tc>
          <w:tcPr>
            <w:tcW w:w="1121" w:type="dxa"/>
            <w:vAlign w:val="center"/>
          </w:tcPr>
          <w:p>
            <w:pPr>
              <w:snapToGrid w:val="0"/>
              <w:jc w:val="center"/>
              <w:rPr>
                <w:szCs w:val="21"/>
              </w:rPr>
            </w:pPr>
            <w:r>
              <w:rPr>
                <w:rFonts w:hint="eastAsia"/>
                <w:szCs w:val="21"/>
              </w:rPr>
              <w:t>400</w:t>
            </w:r>
          </w:p>
        </w:tc>
        <w:tc>
          <w:tcPr>
            <w:tcW w:w="1161" w:type="dxa"/>
            <w:vAlign w:val="center"/>
          </w:tcPr>
          <w:p>
            <w:pPr>
              <w:snapToGrid w:val="0"/>
              <w:jc w:val="center"/>
              <w:rPr>
                <w:szCs w:val="21"/>
              </w:rPr>
            </w:pPr>
          </w:p>
        </w:tc>
        <w:tc>
          <w:tcPr>
            <w:tcW w:w="1272" w:type="dxa"/>
            <w:vAlign w:val="center"/>
          </w:tcPr>
          <w:p>
            <w:pPr>
              <w:snapToGrid w:val="0"/>
              <w:jc w:val="center"/>
            </w:pPr>
          </w:p>
        </w:tc>
        <w:tc>
          <w:tcPr>
            <w:tcW w:w="3079" w:type="dxa"/>
            <w:vAlign w:val="center"/>
          </w:tcPr>
          <w:p>
            <w:pPr>
              <w:snapToGrid w:val="0"/>
              <w:rPr>
                <w:szCs w:val="21"/>
                <w:highlight w:val="yellow"/>
              </w:rPr>
            </w:pPr>
            <w:r>
              <w:rPr>
                <w:rFonts w:hint="eastAsia"/>
                <w:sz w:val="21"/>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90" w:type="dxa"/>
            <w:vAlign w:val="center"/>
          </w:tcPr>
          <w:p>
            <w:pPr>
              <w:snapToGrid w:val="0"/>
              <w:jc w:val="center"/>
              <w:rPr>
                <w:szCs w:val="21"/>
              </w:rPr>
            </w:pPr>
            <w:r>
              <w:rPr>
                <w:rFonts w:hint="eastAsia"/>
                <w:szCs w:val="21"/>
              </w:rPr>
              <w:t>3</w:t>
            </w:r>
          </w:p>
        </w:tc>
        <w:tc>
          <w:tcPr>
            <w:tcW w:w="1738" w:type="dxa"/>
            <w:vAlign w:val="center"/>
          </w:tcPr>
          <w:p>
            <w:pPr>
              <w:snapToGrid w:val="0"/>
              <w:rPr>
                <w:szCs w:val="21"/>
              </w:rPr>
            </w:pPr>
            <w:r>
              <w:rPr>
                <w:rFonts w:hint="eastAsia"/>
                <w:szCs w:val="21"/>
              </w:rPr>
              <w:t>花球</w:t>
            </w:r>
          </w:p>
        </w:tc>
        <w:tc>
          <w:tcPr>
            <w:tcW w:w="732" w:type="dxa"/>
            <w:vAlign w:val="center"/>
          </w:tcPr>
          <w:p>
            <w:pPr>
              <w:snapToGrid w:val="0"/>
              <w:jc w:val="center"/>
              <w:rPr>
                <w:szCs w:val="21"/>
              </w:rPr>
            </w:pPr>
            <w:r>
              <w:rPr>
                <w:rFonts w:hint="eastAsia"/>
                <w:szCs w:val="21"/>
              </w:rPr>
              <w:t>㎡</w:t>
            </w:r>
          </w:p>
        </w:tc>
        <w:tc>
          <w:tcPr>
            <w:tcW w:w="1121" w:type="dxa"/>
            <w:vAlign w:val="center"/>
          </w:tcPr>
          <w:p>
            <w:pPr>
              <w:snapToGrid w:val="0"/>
              <w:jc w:val="center"/>
              <w:rPr>
                <w:szCs w:val="21"/>
              </w:rPr>
            </w:pPr>
            <w:r>
              <w:rPr>
                <w:rFonts w:hint="eastAsia"/>
                <w:szCs w:val="21"/>
              </w:rPr>
              <w:t>150</w:t>
            </w:r>
          </w:p>
        </w:tc>
        <w:tc>
          <w:tcPr>
            <w:tcW w:w="1161" w:type="dxa"/>
            <w:vAlign w:val="center"/>
          </w:tcPr>
          <w:p>
            <w:pPr>
              <w:snapToGrid w:val="0"/>
              <w:jc w:val="center"/>
              <w:rPr>
                <w:szCs w:val="21"/>
              </w:rPr>
            </w:pPr>
          </w:p>
        </w:tc>
        <w:tc>
          <w:tcPr>
            <w:tcW w:w="1272" w:type="dxa"/>
            <w:vAlign w:val="center"/>
          </w:tcPr>
          <w:p>
            <w:pPr>
              <w:snapToGrid w:val="0"/>
              <w:jc w:val="center"/>
            </w:pPr>
          </w:p>
        </w:tc>
        <w:tc>
          <w:tcPr>
            <w:tcW w:w="3079" w:type="dxa"/>
            <w:vAlign w:val="center"/>
          </w:tcPr>
          <w:p>
            <w:pPr>
              <w:snapToGrid w:val="0"/>
              <w:rPr>
                <w:szCs w:val="21"/>
                <w:highlight w:val="yellow"/>
              </w:rPr>
            </w:pPr>
            <w:r>
              <w:rPr>
                <w:rFonts w:hint="eastAsia"/>
                <w:sz w:val="21"/>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90" w:type="dxa"/>
            <w:vAlign w:val="center"/>
          </w:tcPr>
          <w:p>
            <w:pPr>
              <w:snapToGrid w:val="0"/>
              <w:jc w:val="center"/>
              <w:rPr>
                <w:szCs w:val="21"/>
              </w:rPr>
            </w:pPr>
            <w:r>
              <w:rPr>
                <w:rFonts w:hint="eastAsia"/>
                <w:szCs w:val="21"/>
              </w:rPr>
              <w:t>4</w:t>
            </w:r>
          </w:p>
        </w:tc>
        <w:tc>
          <w:tcPr>
            <w:tcW w:w="1738" w:type="dxa"/>
            <w:vAlign w:val="center"/>
          </w:tcPr>
          <w:p>
            <w:pPr>
              <w:snapToGrid w:val="0"/>
              <w:rPr>
                <w:szCs w:val="21"/>
              </w:rPr>
            </w:pPr>
            <w:r>
              <w:rPr>
                <w:rFonts w:hint="eastAsia"/>
                <w:szCs w:val="21"/>
              </w:rPr>
              <w:t>花境</w:t>
            </w:r>
          </w:p>
        </w:tc>
        <w:tc>
          <w:tcPr>
            <w:tcW w:w="732" w:type="dxa"/>
            <w:vAlign w:val="center"/>
          </w:tcPr>
          <w:p>
            <w:pPr>
              <w:snapToGrid w:val="0"/>
              <w:jc w:val="center"/>
              <w:rPr>
                <w:szCs w:val="21"/>
              </w:rPr>
            </w:pPr>
            <w:r>
              <w:rPr>
                <w:rFonts w:hint="eastAsia"/>
                <w:szCs w:val="21"/>
              </w:rPr>
              <w:t>㎡</w:t>
            </w:r>
          </w:p>
        </w:tc>
        <w:tc>
          <w:tcPr>
            <w:tcW w:w="1121" w:type="dxa"/>
            <w:vAlign w:val="center"/>
          </w:tcPr>
          <w:p>
            <w:pPr>
              <w:snapToGrid w:val="0"/>
              <w:jc w:val="center"/>
              <w:rPr>
                <w:szCs w:val="21"/>
              </w:rPr>
            </w:pPr>
            <w:r>
              <w:rPr>
                <w:rFonts w:hint="eastAsia"/>
                <w:szCs w:val="21"/>
              </w:rPr>
              <w:t>60</w:t>
            </w:r>
          </w:p>
        </w:tc>
        <w:tc>
          <w:tcPr>
            <w:tcW w:w="1161" w:type="dxa"/>
            <w:vAlign w:val="center"/>
          </w:tcPr>
          <w:p>
            <w:pPr>
              <w:snapToGrid w:val="0"/>
              <w:jc w:val="center"/>
              <w:rPr>
                <w:szCs w:val="21"/>
              </w:rPr>
            </w:pPr>
          </w:p>
        </w:tc>
        <w:tc>
          <w:tcPr>
            <w:tcW w:w="1272" w:type="dxa"/>
            <w:vAlign w:val="center"/>
          </w:tcPr>
          <w:p>
            <w:pPr>
              <w:snapToGrid w:val="0"/>
              <w:jc w:val="center"/>
            </w:pPr>
          </w:p>
        </w:tc>
        <w:tc>
          <w:tcPr>
            <w:tcW w:w="3079" w:type="dxa"/>
            <w:vAlign w:val="center"/>
          </w:tcPr>
          <w:p>
            <w:pPr>
              <w:snapToGrid w:val="0"/>
              <w:rPr>
                <w:szCs w:val="21"/>
                <w:highlight w:val="yellow"/>
              </w:rPr>
            </w:pPr>
            <w:r>
              <w:rPr>
                <w:rFonts w:hint="eastAsia"/>
                <w:sz w:val="21"/>
                <w:szCs w:val="21"/>
              </w:rPr>
              <w:t>详见招标文件投标人须知15.4。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90" w:type="dxa"/>
            <w:vAlign w:val="center"/>
          </w:tcPr>
          <w:p>
            <w:pPr>
              <w:snapToGrid w:val="0"/>
              <w:jc w:val="center"/>
              <w:rPr>
                <w:szCs w:val="21"/>
              </w:rPr>
            </w:pPr>
            <w:r>
              <w:rPr>
                <w:rFonts w:hint="eastAsia"/>
                <w:szCs w:val="21"/>
              </w:rPr>
              <w:t>5</w:t>
            </w:r>
          </w:p>
        </w:tc>
        <w:tc>
          <w:tcPr>
            <w:tcW w:w="4752" w:type="dxa"/>
            <w:gridSpan w:val="4"/>
            <w:vAlign w:val="center"/>
          </w:tcPr>
          <w:p>
            <w:pPr>
              <w:snapToGrid w:val="0"/>
              <w:jc w:val="center"/>
              <w:rPr>
                <w:szCs w:val="21"/>
              </w:rPr>
            </w:pPr>
            <w:r>
              <w:rPr>
                <w:rFonts w:hint="eastAsia"/>
                <w:szCs w:val="21"/>
              </w:rPr>
              <w:t>合    计</w:t>
            </w:r>
          </w:p>
        </w:tc>
        <w:tc>
          <w:tcPr>
            <w:tcW w:w="1272" w:type="dxa"/>
            <w:vAlign w:val="center"/>
          </w:tcPr>
          <w:p>
            <w:pPr>
              <w:snapToGrid w:val="0"/>
              <w:jc w:val="center"/>
            </w:pPr>
          </w:p>
        </w:tc>
        <w:tc>
          <w:tcPr>
            <w:tcW w:w="3079" w:type="dxa"/>
            <w:vAlign w:val="center"/>
          </w:tcPr>
          <w:p>
            <w:pPr>
              <w:snapToGrid w:val="0"/>
              <w:rPr>
                <w:szCs w:val="21"/>
              </w:rPr>
            </w:pPr>
          </w:p>
        </w:tc>
      </w:tr>
    </w:tbl>
    <w:p>
      <w:pPr>
        <w:kinsoku w:val="0"/>
        <w:topLinePunct/>
        <w:snapToGrid w:val="0"/>
        <w:spacing w:line="520" w:lineRule="exact"/>
        <w:ind w:firstLine="480" w:firstLineChars="200"/>
      </w:pPr>
      <w:r>
        <w:rPr>
          <w:rFonts w:hint="eastAsia"/>
        </w:rPr>
        <w:t>注：</w:t>
      </w:r>
    </w:p>
    <w:p>
      <w:pPr>
        <w:kinsoku w:val="0"/>
        <w:topLinePunct/>
        <w:snapToGrid w:val="0"/>
        <w:spacing w:line="520" w:lineRule="exact"/>
        <w:ind w:firstLine="480" w:firstLineChars="200"/>
      </w:pPr>
      <w:r>
        <w:rPr>
          <w:rFonts w:hint="eastAsia"/>
        </w:rPr>
        <w:t>1、本表用作评标基准价的计算，故各投标人在填写本表时所有面积均为暂定面积，实际由各投标人根据设计方案自行测算。</w:t>
      </w:r>
    </w:p>
    <w:p>
      <w:pPr>
        <w:kinsoku w:val="0"/>
        <w:topLinePunct/>
        <w:snapToGrid w:val="0"/>
        <w:spacing w:line="520" w:lineRule="exact"/>
        <w:ind w:firstLine="480" w:firstLineChars="200"/>
      </w:pPr>
      <w:r>
        <w:rPr>
          <w:rFonts w:hint="eastAsia"/>
        </w:rPr>
        <w:t>2、总价金额与依据单价计算出的结果不一致的，以单价金额为准修正总价，但单价金额小数点有明显错误、四舍五入原因的除外。</w:t>
      </w:r>
    </w:p>
    <w:p>
      <w:pPr>
        <w:kinsoku w:val="0"/>
        <w:topLinePunct/>
        <w:snapToGrid w:val="0"/>
        <w:spacing w:line="520" w:lineRule="exact"/>
      </w:pPr>
    </w:p>
    <w:p>
      <w:pPr>
        <w:kinsoku w:val="0"/>
        <w:topLinePunct/>
        <w:snapToGrid w:val="0"/>
        <w:spacing w:line="520" w:lineRule="exact"/>
      </w:pPr>
    </w:p>
    <w:p>
      <w:pPr>
        <w:snapToGrid w:val="0"/>
        <w:spacing w:line="360" w:lineRule="auto"/>
      </w:pPr>
      <w:r>
        <w:rPr>
          <w:rFonts w:hint="eastAsia"/>
        </w:rPr>
        <w:t>投标人(盖单位章)：</w:t>
      </w:r>
      <w:r>
        <w:rPr>
          <w:rFonts w:hint="eastAsia"/>
          <w:u w:val="single"/>
        </w:rPr>
        <w:t xml:space="preserve">                               </w:t>
      </w:r>
    </w:p>
    <w:p>
      <w:pPr>
        <w:snapToGrid w:val="0"/>
        <w:spacing w:line="360" w:lineRule="auto"/>
        <w:rPr>
          <w:u w:val="single"/>
        </w:rPr>
      </w:pPr>
      <w:r>
        <w:rPr>
          <w:rFonts w:hint="eastAsia"/>
        </w:rPr>
        <w:t>法定代表人或委托代理人(签字或盖章)：</w:t>
      </w:r>
      <w:r>
        <w:rPr>
          <w:rFonts w:hint="eastAsia"/>
          <w:u w:val="single"/>
        </w:rPr>
        <w:t xml:space="preserve">                        </w:t>
      </w:r>
    </w:p>
    <w:p>
      <w:pPr>
        <w:snapToGrid w:val="0"/>
        <w:spacing w:line="360" w:lineRule="auto"/>
      </w:pPr>
      <w:r>
        <w:rPr>
          <w:rFonts w:hint="eastAsia"/>
        </w:rPr>
        <w:t>日期：     年    月    日</w:t>
      </w:r>
    </w:p>
    <w:p>
      <w:pPr>
        <w:spacing w:line="480" w:lineRule="auto"/>
        <w:jc w:val="center"/>
        <w:rPr>
          <w:szCs w:val="21"/>
        </w:rPr>
      </w:pPr>
    </w:p>
    <w:p>
      <w:pPr>
        <w:pStyle w:val="15"/>
        <w:spacing w:line="360" w:lineRule="auto"/>
        <w:ind w:firstLine="0"/>
        <w:jc w:val="center"/>
        <w:rPr>
          <w:rFonts w:ascii="宋体" w:hAnsi="宋体"/>
          <w:sz w:val="32"/>
        </w:rPr>
      </w:pPr>
      <w:r>
        <w:rPr>
          <w:sz w:val="28"/>
        </w:rPr>
        <w:br w:type="page"/>
      </w:r>
      <w:r>
        <w:rPr>
          <w:rFonts w:hint="eastAsia" w:ascii="宋体" w:hAnsi="宋体"/>
          <w:b/>
          <w:bCs/>
          <w:sz w:val="36"/>
          <w:szCs w:val="36"/>
        </w:rPr>
        <w:t>二、法定代表人身份证明</w:t>
      </w:r>
    </w:p>
    <w:p>
      <w:pPr>
        <w:pStyle w:val="15"/>
        <w:snapToGrid w:val="0"/>
        <w:spacing w:line="360" w:lineRule="auto"/>
        <w:ind w:firstLine="0"/>
        <w:rPr>
          <w:rFonts w:ascii="宋体" w:hAnsi="宋体"/>
          <w:sz w:val="30"/>
        </w:rPr>
      </w:pPr>
    </w:p>
    <w:p>
      <w:pPr>
        <w:pStyle w:val="15"/>
        <w:snapToGrid w:val="0"/>
        <w:spacing w:line="360" w:lineRule="auto"/>
        <w:ind w:firstLine="480" w:firstLineChars="200"/>
        <w:rPr>
          <w:rFonts w:ascii="宋体" w:hAnsi="宋体" w:cs="宋体"/>
          <w:sz w:val="24"/>
          <w:u w:val="single"/>
        </w:rPr>
      </w:pPr>
      <w:r>
        <w:rPr>
          <w:rFonts w:hint="eastAsia" w:ascii="宋体" w:hAnsi="宋体" w:cs="宋体"/>
          <w:color w:val="000000"/>
          <w:sz w:val="24"/>
        </w:rPr>
        <w:t>投标人单位名称：</w:t>
      </w:r>
      <w:r>
        <w:rPr>
          <w:rFonts w:hint="eastAsia" w:ascii="宋体" w:hAnsi="宋体" w:cs="宋体"/>
          <w:sz w:val="24"/>
          <w:u w:val="single"/>
        </w:rPr>
        <w:t xml:space="preserve">                                 </w:t>
      </w:r>
    </w:p>
    <w:p>
      <w:pPr>
        <w:pStyle w:val="15"/>
        <w:snapToGrid w:val="0"/>
        <w:spacing w:line="360" w:lineRule="auto"/>
        <w:ind w:firstLine="480" w:firstLineChars="200"/>
        <w:rPr>
          <w:rFonts w:ascii="宋体" w:hAnsi="宋体" w:cs="宋体"/>
          <w:sz w:val="24"/>
          <w:u w:val="single"/>
        </w:rPr>
      </w:pPr>
      <w:r>
        <w:rPr>
          <w:rFonts w:hint="eastAsia" w:ascii="宋体" w:hAnsi="宋体" w:cs="宋体"/>
          <w:color w:val="000000"/>
          <w:sz w:val="24"/>
        </w:rPr>
        <w:t>投标人单位性质：</w:t>
      </w:r>
      <w:r>
        <w:rPr>
          <w:rFonts w:hint="eastAsia" w:ascii="宋体" w:hAnsi="宋体" w:cs="宋体"/>
          <w:sz w:val="24"/>
          <w:u w:val="single"/>
        </w:rPr>
        <w:t xml:space="preserve">                                 </w:t>
      </w:r>
    </w:p>
    <w:p>
      <w:pPr>
        <w:pStyle w:val="15"/>
        <w:snapToGrid w:val="0"/>
        <w:spacing w:line="360" w:lineRule="auto"/>
        <w:ind w:firstLine="480" w:firstLineChars="200"/>
        <w:rPr>
          <w:rFonts w:ascii="宋体" w:hAnsi="宋体" w:cs="宋体"/>
          <w:sz w:val="24"/>
          <w:u w:val="single"/>
        </w:rPr>
      </w:pPr>
      <w:r>
        <w:rPr>
          <w:rFonts w:hint="eastAsia" w:ascii="宋体" w:hAnsi="宋体" w:cs="宋体"/>
          <w:color w:val="000000"/>
          <w:sz w:val="24"/>
        </w:rPr>
        <w:t>投标人单位地址：</w:t>
      </w:r>
      <w:r>
        <w:rPr>
          <w:rFonts w:hint="eastAsia" w:ascii="宋体" w:hAnsi="宋体" w:cs="宋体"/>
          <w:sz w:val="24"/>
          <w:u w:val="single"/>
        </w:rPr>
        <w:t xml:space="preserve">                                 </w:t>
      </w:r>
    </w:p>
    <w:p>
      <w:pPr>
        <w:pStyle w:val="15"/>
        <w:snapToGrid w:val="0"/>
        <w:spacing w:line="360" w:lineRule="auto"/>
        <w:ind w:firstLine="480" w:firstLineChars="200"/>
        <w:rPr>
          <w:rFonts w:ascii="宋体" w:hAnsi="宋体" w:cs="宋体"/>
          <w:sz w:val="24"/>
          <w:u w:val="single"/>
        </w:rPr>
      </w:pPr>
      <w:r>
        <w:rPr>
          <w:rFonts w:hint="eastAsia" w:ascii="宋体" w:hAnsi="宋体" w:cs="宋体"/>
          <w:color w:val="000000"/>
          <w:sz w:val="24"/>
        </w:rPr>
        <w:t>成立时间：</w:t>
      </w:r>
      <w:r>
        <w:rPr>
          <w:rFonts w:hint="eastAsia" w:ascii="宋体" w:hAnsi="宋体" w:cs="宋体"/>
          <w:sz w:val="24"/>
          <w:u w:val="single"/>
        </w:rPr>
        <w:t xml:space="preserve">     </w:t>
      </w:r>
      <w:r>
        <w:rPr>
          <w:rFonts w:hint="eastAsia" w:ascii="宋体" w:hAnsi="宋体" w:cs="宋体"/>
          <w:color w:val="000000"/>
          <w:sz w:val="24"/>
        </w:rPr>
        <w:t>年</w:t>
      </w:r>
      <w:r>
        <w:rPr>
          <w:rFonts w:hint="eastAsia" w:ascii="宋体" w:hAnsi="宋体" w:cs="宋体"/>
          <w:sz w:val="24"/>
          <w:u w:val="single"/>
        </w:rPr>
        <w:t xml:space="preserve">     </w:t>
      </w:r>
      <w:r>
        <w:rPr>
          <w:rFonts w:hint="eastAsia" w:ascii="宋体" w:hAnsi="宋体" w:cs="宋体"/>
          <w:color w:val="000000"/>
          <w:sz w:val="24"/>
        </w:rPr>
        <w:t xml:space="preserve">月 </w:t>
      </w:r>
      <w:r>
        <w:rPr>
          <w:rFonts w:hint="eastAsia" w:ascii="宋体" w:hAnsi="宋体" w:cs="宋体"/>
          <w:sz w:val="24"/>
          <w:u w:val="single"/>
        </w:rPr>
        <w:t xml:space="preserve">    </w:t>
      </w:r>
      <w:r>
        <w:rPr>
          <w:rFonts w:hint="eastAsia" w:ascii="宋体" w:hAnsi="宋体" w:cs="宋体"/>
          <w:color w:val="000000"/>
          <w:sz w:val="24"/>
        </w:rPr>
        <w:t>日</w:t>
      </w:r>
    </w:p>
    <w:p>
      <w:pPr>
        <w:pStyle w:val="15"/>
        <w:snapToGrid w:val="0"/>
        <w:spacing w:line="360" w:lineRule="auto"/>
        <w:ind w:firstLine="480" w:firstLineChars="200"/>
        <w:rPr>
          <w:rFonts w:ascii="宋体" w:hAnsi="宋体" w:cs="宋体"/>
          <w:sz w:val="24"/>
          <w:u w:val="single"/>
        </w:rPr>
      </w:pPr>
      <w:r>
        <w:rPr>
          <w:rFonts w:hint="eastAsia" w:ascii="宋体" w:hAnsi="宋体" w:cs="宋体"/>
          <w:color w:val="000000"/>
          <w:sz w:val="24"/>
        </w:rPr>
        <w:t>经营期限：</w:t>
      </w:r>
      <w:r>
        <w:rPr>
          <w:rFonts w:hint="eastAsia" w:ascii="宋体" w:hAnsi="宋体" w:cs="宋体"/>
          <w:sz w:val="24"/>
          <w:u w:val="single"/>
        </w:rPr>
        <w:t xml:space="preserve">                               </w:t>
      </w:r>
    </w:p>
    <w:p>
      <w:pPr>
        <w:pStyle w:val="15"/>
        <w:snapToGrid w:val="0"/>
        <w:spacing w:line="360" w:lineRule="auto"/>
        <w:ind w:firstLine="480" w:firstLineChars="200"/>
        <w:rPr>
          <w:rFonts w:ascii="宋体" w:hAnsi="宋体" w:cs="宋体"/>
          <w:sz w:val="24"/>
          <w:u w:val="single"/>
        </w:rPr>
      </w:pPr>
      <w:r>
        <w:rPr>
          <w:rFonts w:hint="eastAsia" w:ascii="宋体" w:hAnsi="宋体" w:cs="宋体"/>
          <w:color w:val="000000"/>
          <w:sz w:val="24"/>
        </w:rPr>
        <w:t>姓名：</w:t>
      </w:r>
      <w:r>
        <w:rPr>
          <w:rFonts w:hint="eastAsia" w:ascii="宋体" w:hAnsi="宋体" w:cs="宋体"/>
          <w:sz w:val="24"/>
          <w:u w:val="single"/>
        </w:rPr>
        <w:t xml:space="preserve">             </w:t>
      </w:r>
      <w:r>
        <w:rPr>
          <w:rFonts w:hint="eastAsia" w:ascii="宋体" w:hAnsi="宋体" w:cs="宋体"/>
          <w:color w:val="000000"/>
          <w:sz w:val="24"/>
        </w:rPr>
        <w:t>性别：</w:t>
      </w:r>
      <w:r>
        <w:rPr>
          <w:rFonts w:hint="eastAsia" w:ascii="宋体" w:hAnsi="宋体" w:cs="宋体"/>
          <w:sz w:val="24"/>
          <w:u w:val="single"/>
        </w:rPr>
        <w:t xml:space="preserve">              </w:t>
      </w:r>
    </w:p>
    <w:p>
      <w:pPr>
        <w:pStyle w:val="15"/>
        <w:snapToGrid w:val="0"/>
        <w:spacing w:line="360" w:lineRule="auto"/>
        <w:ind w:firstLine="480" w:firstLineChars="200"/>
        <w:rPr>
          <w:rFonts w:ascii="宋体" w:hAnsi="宋体" w:cs="宋体"/>
          <w:sz w:val="24"/>
          <w:u w:val="single"/>
        </w:rPr>
      </w:pPr>
      <w:r>
        <w:rPr>
          <w:rFonts w:hint="eastAsia" w:ascii="宋体" w:hAnsi="宋体" w:cs="宋体"/>
          <w:color w:val="000000"/>
          <w:sz w:val="24"/>
        </w:rPr>
        <w:t>年龄：</w:t>
      </w:r>
      <w:r>
        <w:rPr>
          <w:rFonts w:hint="eastAsia" w:ascii="宋体" w:hAnsi="宋体" w:cs="宋体"/>
          <w:sz w:val="24"/>
          <w:u w:val="single"/>
        </w:rPr>
        <w:t xml:space="preserve">            </w:t>
      </w:r>
      <w:r>
        <w:rPr>
          <w:rFonts w:hint="eastAsia" w:ascii="宋体" w:hAnsi="宋体" w:cs="宋体"/>
          <w:color w:val="000000"/>
          <w:sz w:val="24"/>
          <w:u w:val="single"/>
        </w:rPr>
        <w:t xml:space="preserve"> </w:t>
      </w:r>
      <w:r>
        <w:rPr>
          <w:rFonts w:hint="eastAsia" w:ascii="宋体" w:hAnsi="宋体" w:cs="宋体"/>
          <w:color w:val="000000"/>
          <w:sz w:val="24"/>
        </w:rPr>
        <w:t>职务：</w:t>
      </w:r>
      <w:r>
        <w:rPr>
          <w:rFonts w:hint="eastAsia" w:ascii="宋体" w:hAnsi="宋体" w:cs="宋体"/>
          <w:sz w:val="24"/>
          <w:u w:val="single"/>
        </w:rPr>
        <w:t xml:space="preserve">               </w:t>
      </w:r>
    </w:p>
    <w:p>
      <w:pPr>
        <w:pStyle w:val="15"/>
        <w:snapToGrid w:val="0"/>
        <w:spacing w:line="360" w:lineRule="auto"/>
        <w:ind w:firstLine="480" w:firstLineChars="200"/>
        <w:rPr>
          <w:rFonts w:ascii="宋体" w:hAnsi="宋体" w:cs="宋体"/>
          <w:sz w:val="24"/>
        </w:rPr>
      </w:pPr>
      <w:r>
        <w:rPr>
          <w:rFonts w:hint="eastAsia" w:ascii="宋体" w:hAnsi="宋体" w:cs="宋体"/>
          <w:color w:val="000000"/>
          <w:sz w:val="24"/>
        </w:rPr>
        <w:t>系：</w:t>
      </w:r>
      <w:r>
        <w:rPr>
          <w:rFonts w:hint="eastAsia" w:ascii="宋体" w:hAnsi="宋体" w:cs="宋体"/>
          <w:sz w:val="24"/>
          <w:u w:val="single"/>
        </w:rPr>
        <w:t xml:space="preserve">                              </w:t>
      </w:r>
      <w:r>
        <w:rPr>
          <w:rFonts w:hint="eastAsia" w:ascii="宋体" w:hAnsi="宋体" w:cs="宋体"/>
          <w:color w:val="000000"/>
          <w:sz w:val="24"/>
        </w:rPr>
        <w:t>(投标人单位名称)的法定代表人。</w:t>
      </w:r>
    </w:p>
    <w:p>
      <w:pPr>
        <w:pStyle w:val="15"/>
        <w:snapToGrid w:val="0"/>
        <w:spacing w:line="360" w:lineRule="auto"/>
        <w:ind w:firstLine="480" w:firstLineChars="200"/>
        <w:rPr>
          <w:rFonts w:ascii="宋体" w:hAnsi="宋体" w:cs="宋体"/>
          <w:sz w:val="24"/>
        </w:rPr>
      </w:pPr>
      <w:r>
        <w:rPr>
          <w:rFonts w:hint="eastAsia" w:ascii="宋体" w:hAnsi="宋体" w:cs="宋体"/>
          <w:color w:val="000000"/>
          <w:sz w:val="24"/>
        </w:rPr>
        <w:t>法定代表人联系电话：</w:t>
      </w:r>
      <w:r>
        <w:rPr>
          <w:rFonts w:hint="eastAsia" w:ascii="宋体" w:hAnsi="宋体" w:cs="宋体"/>
          <w:sz w:val="24"/>
          <w:u w:val="single"/>
        </w:rPr>
        <w:t xml:space="preserve">                     </w:t>
      </w:r>
    </w:p>
    <w:p>
      <w:pPr>
        <w:pStyle w:val="15"/>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特此证明。</w:t>
      </w:r>
    </w:p>
    <w:p>
      <w:pPr>
        <w:pStyle w:val="15"/>
        <w:snapToGrid w:val="0"/>
        <w:spacing w:line="360" w:lineRule="auto"/>
        <w:ind w:firstLine="480" w:firstLineChars="200"/>
        <w:rPr>
          <w:rFonts w:hint="eastAsia" w:ascii="宋体" w:hAnsi="宋体" w:cs="宋体"/>
          <w:color w:val="000000"/>
          <w:sz w:val="24"/>
        </w:rPr>
      </w:pPr>
    </w:p>
    <w:tbl>
      <w:tblPr>
        <w:tblStyle w:val="61"/>
        <w:tblW w:w="0" w:type="auto"/>
        <w:tblInd w:w="10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6" w:hRule="atLeast"/>
        </w:trPr>
        <w:tc>
          <w:tcPr>
            <w:tcW w:w="7848" w:type="dxa"/>
            <w:noWrap w:val="0"/>
            <w:vAlign w:val="top"/>
          </w:tcPr>
          <w:p>
            <w:pPr>
              <w:snapToGrid w:val="0"/>
              <w:spacing w:line="420" w:lineRule="exact"/>
              <w:ind w:firstLine="404" w:firstLineChars="202"/>
              <w:jc w:val="left"/>
              <w:textAlignment w:val="baseline"/>
              <w:rPr>
                <w:sz w:val="20"/>
                <w:szCs w:val="22"/>
              </w:rPr>
            </w:pPr>
          </w:p>
          <w:p>
            <w:pPr>
              <w:snapToGrid w:val="0"/>
              <w:spacing w:line="420" w:lineRule="exact"/>
              <w:ind w:firstLine="404" w:firstLineChars="202"/>
              <w:jc w:val="left"/>
              <w:textAlignment w:val="baseline"/>
              <w:rPr>
                <w:sz w:val="20"/>
                <w:szCs w:val="22"/>
              </w:rPr>
            </w:pPr>
          </w:p>
          <w:p>
            <w:pPr>
              <w:snapToGrid w:val="0"/>
              <w:spacing w:line="420" w:lineRule="exact"/>
              <w:jc w:val="center"/>
              <w:textAlignment w:val="baseline"/>
              <w:rPr>
                <w:b/>
                <w:bCs/>
                <w:sz w:val="20"/>
                <w:szCs w:val="22"/>
              </w:rPr>
            </w:pPr>
            <w:r>
              <w:rPr>
                <w:rFonts w:hint="eastAsia" w:cs="宋体"/>
                <w:b/>
                <w:bCs/>
                <w:szCs w:val="22"/>
              </w:rPr>
              <w:t>法定代表人身份证</w:t>
            </w:r>
            <w:r>
              <w:rPr>
                <w:rFonts w:hint="eastAsia" w:cs="宋体"/>
                <w:b/>
                <w:szCs w:val="22"/>
              </w:rPr>
              <w:t>（正、反面）</w:t>
            </w:r>
            <w:r>
              <w:rPr>
                <w:rFonts w:hint="eastAsia" w:cs="宋体"/>
                <w:b/>
                <w:bCs/>
                <w:szCs w:val="22"/>
              </w:rPr>
              <w:t>复印件或扫描件</w:t>
            </w:r>
          </w:p>
          <w:p>
            <w:pPr>
              <w:snapToGrid w:val="0"/>
              <w:spacing w:line="420" w:lineRule="exact"/>
              <w:jc w:val="center"/>
              <w:textAlignment w:val="baseline"/>
              <w:rPr>
                <w:b/>
                <w:bCs/>
                <w:sz w:val="20"/>
                <w:szCs w:val="22"/>
              </w:rPr>
            </w:pPr>
          </w:p>
          <w:p>
            <w:pPr>
              <w:snapToGrid w:val="0"/>
              <w:spacing w:line="420" w:lineRule="exact"/>
              <w:jc w:val="center"/>
              <w:textAlignment w:val="baseline"/>
              <w:rPr>
                <w:b/>
                <w:bCs/>
                <w:sz w:val="20"/>
                <w:szCs w:val="22"/>
              </w:rPr>
            </w:pPr>
          </w:p>
          <w:p>
            <w:pPr>
              <w:snapToGrid w:val="0"/>
              <w:spacing w:line="420" w:lineRule="exact"/>
              <w:jc w:val="center"/>
              <w:textAlignment w:val="baseline"/>
              <w:rPr>
                <w:b/>
                <w:bCs/>
                <w:sz w:val="20"/>
                <w:szCs w:val="22"/>
              </w:rPr>
            </w:pPr>
          </w:p>
          <w:p>
            <w:pPr>
              <w:snapToGrid w:val="0"/>
              <w:spacing w:line="420" w:lineRule="exact"/>
              <w:jc w:val="center"/>
              <w:textAlignment w:val="baseline"/>
              <w:rPr>
                <w:sz w:val="20"/>
                <w:szCs w:val="22"/>
              </w:rPr>
            </w:pPr>
          </w:p>
        </w:tc>
      </w:tr>
    </w:tbl>
    <w:p>
      <w:pPr>
        <w:pStyle w:val="15"/>
        <w:snapToGrid w:val="0"/>
        <w:spacing w:line="360" w:lineRule="auto"/>
        <w:ind w:firstLine="0"/>
        <w:jc w:val="right"/>
        <w:rPr>
          <w:rFonts w:hint="eastAsia" w:ascii="宋体" w:hAnsi="宋体"/>
          <w:color w:val="000000"/>
        </w:rPr>
      </w:pPr>
    </w:p>
    <w:p>
      <w:pPr>
        <w:pStyle w:val="15"/>
        <w:snapToGrid w:val="0"/>
        <w:spacing w:line="360" w:lineRule="auto"/>
        <w:ind w:firstLine="0"/>
        <w:jc w:val="right"/>
        <w:rPr>
          <w:rFonts w:hint="eastAsia" w:ascii="宋体" w:hAnsi="宋体"/>
          <w:color w:val="000000"/>
        </w:rPr>
      </w:pPr>
    </w:p>
    <w:p>
      <w:pPr>
        <w:pStyle w:val="15"/>
        <w:snapToGrid w:val="0"/>
        <w:spacing w:line="360" w:lineRule="auto"/>
        <w:ind w:firstLine="3840" w:firstLineChars="1600"/>
        <w:jc w:val="right"/>
        <w:rPr>
          <w:rFonts w:ascii="宋体" w:hAnsi="宋体" w:cs="宋体"/>
          <w:sz w:val="24"/>
        </w:rPr>
      </w:pPr>
      <w:r>
        <w:rPr>
          <w:rFonts w:hint="eastAsia" w:ascii="宋体" w:hAnsi="宋体" w:cs="宋体"/>
          <w:color w:val="000000"/>
          <w:sz w:val="24"/>
        </w:rPr>
        <w:t>投标人：</w:t>
      </w:r>
      <w:r>
        <w:rPr>
          <w:rFonts w:hint="eastAsia" w:ascii="宋体" w:hAnsi="宋体" w:cs="宋体"/>
          <w:sz w:val="24"/>
          <w:u w:val="single"/>
        </w:rPr>
        <w:t xml:space="preserve">                 </w:t>
      </w:r>
      <w:r>
        <w:rPr>
          <w:rFonts w:hint="eastAsia" w:ascii="宋体" w:hAnsi="宋体" w:cs="宋体"/>
          <w:color w:val="000000"/>
          <w:sz w:val="24"/>
        </w:rPr>
        <w:t>(盖单位章)</w:t>
      </w:r>
    </w:p>
    <w:p>
      <w:pPr>
        <w:wordWrap w:val="0"/>
        <w:snapToGrid w:val="0"/>
        <w:spacing w:line="360" w:lineRule="auto"/>
        <w:jc w:val="right"/>
      </w:pPr>
      <w:r>
        <w:rPr>
          <w:rFonts w:hint="eastAsia"/>
          <w:color w:val="000000"/>
          <w:szCs w:val="24"/>
        </w:rPr>
        <w:t>日   期：</w:t>
      </w:r>
      <w:r>
        <w:rPr>
          <w:rFonts w:hint="eastAsia"/>
          <w:szCs w:val="24"/>
          <w:u w:val="single"/>
        </w:rPr>
        <w:t xml:space="preserve">        </w:t>
      </w:r>
      <w:r>
        <w:rPr>
          <w:rFonts w:hint="eastAsia"/>
          <w:color w:val="000000"/>
          <w:szCs w:val="24"/>
        </w:rPr>
        <w:t>年</w:t>
      </w:r>
      <w:r>
        <w:rPr>
          <w:rFonts w:hint="eastAsia"/>
          <w:szCs w:val="24"/>
          <w:u w:val="single"/>
        </w:rPr>
        <w:t xml:space="preserve">      </w:t>
      </w:r>
      <w:r>
        <w:rPr>
          <w:rFonts w:hint="eastAsia"/>
          <w:color w:val="000000"/>
          <w:szCs w:val="24"/>
        </w:rPr>
        <w:t>月</w:t>
      </w:r>
      <w:r>
        <w:rPr>
          <w:rFonts w:hint="eastAsia"/>
          <w:szCs w:val="24"/>
          <w:u w:val="single"/>
        </w:rPr>
        <w:t xml:space="preserve">      </w:t>
      </w:r>
      <w:r>
        <w:rPr>
          <w:rFonts w:hint="eastAsia"/>
          <w:color w:val="000000"/>
          <w:szCs w:val="24"/>
        </w:rPr>
        <w:t>日</w:t>
      </w:r>
    </w:p>
    <w:p>
      <w:pPr>
        <w:spacing w:line="480" w:lineRule="auto"/>
        <w:ind w:firstLine="600" w:firstLineChars="250"/>
        <w:jc w:val="center"/>
        <w:rPr>
          <w:szCs w:val="21"/>
        </w:rPr>
      </w:pPr>
    </w:p>
    <w:p>
      <w:pPr>
        <w:spacing w:line="480" w:lineRule="auto"/>
        <w:jc w:val="center"/>
        <w:rPr>
          <w:b/>
          <w:sz w:val="28"/>
          <w:szCs w:val="28"/>
        </w:rPr>
      </w:pPr>
    </w:p>
    <w:p>
      <w:pPr>
        <w:spacing w:line="480" w:lineRule="auto"/>
        <w:jc w:val="center"/>
        <w:rPr>
          <w:b/>
          <w:sz w:val="28"/>
          <w:szCs w:val="28"/>
        </w:rPr>
      </w:pPr>
    </w:p>
    <w:p>
      <w:pPr>
        <w:spacing w:line="480" w:lineRule="auto"/>
        <w:jc w:val="center"/>
        <w:rPr>
          <w:b/>
          <w:sz w:val="28"/>
          <w:szCs w:val="28"/>
        </w:rPr>
      </w:pPr>
    </w:p>
    <w:p>
      <w:pPr>
        <w:spacing w:line="480" w:lineRule="auto"/>
        <w:jc w:val="center"/>
        <w:rPr>
          <w:b/>
        </w:rPr>
      </w:pPr>
      <w:r>
        <w:rPr>
          <w:b/>
          <w:sz w:val="28"/>
          <w:szCs w:val="28"/>
        </w:rPr>
        <w:br w:type="page"/>
      </w:r>
      <w:bookmarkEnd w:id="54"/>
      <w:bookmarkEnd w:id="55"/>
      <w:bookmarkEnd w:id="56"/>
      <w:r>
        <w:rPr>
          <w:rFonts w:hint="eastAsia" w:cs="Calibri"/>
          <w:b/>
          <w:bCs/>
          <w:sz w:val="36"/>
          <w:szCs w:val="36"/>
        </w:rPr>
        <w:t>三、授权委托书</w:t>
      </w:r>
    </w:p>
    <w:p>
      <w:pPr>
        <w:snapToGrid w:val="0"/>
        <w:spacing w:line="360" w:lineRule="auto"/>
      </w:pPr>
    </w:p>
    <w:p>
      <w:pPr>
        <w:pStyle w:val="15"/>
        <w:snapToGrid w:val="0"/>
        <w:spacing w:line="360" w:lineRule="auto"/>
        <w:ind w:firstLine="480" w:firstLineChars="200"/>
        <w:rPr>
          <w:rFonts w:ascii="宋体" w:hAnsi="宋体" w:cs="宋体"/>
          <w:color w:val="000000"/>
          <w:sz w:val="24"/>
        </w:rPr>
      </w:pPr>
      <w:r>
        <w:rPr>
          <w:rFonts w:hint="eastAsia" w:ascii="宋体" w:hAnsi="宋体" w:cs="宋体"/>
          <w:color w:val="000000"/>
          <w:sz w:val="24"/>
        </w:rPr>
        <w:t>本授权委托书声明：本人</w:t>
      </w:r>
      <w:r>
        <w:rPr>
          <w:rFonts w:hint="eastAsia" w:ascii="宋体" w:hAnsi="宋体" w:cs="宋体"/>
          <w:sz w:val="24"/>
          <w:u w:val="single"/>
        </w:rPr>
        <w:t xml:space="preserve">           </w:t>
      </w:r>
      <w:r>
        <w:rPr>
          <w:rFonts w:hint="eastAsia" w:ascii="宋体" w:hAnsi="宋体" w:cs="宋体"/>
          <w:color w:val="000000"/>
          <w:sz w:val="24"/>
        </w:rPr>
        <w:t>(姓名)系</w:t>
      </w:r>
      <w:r>
        <w:rPr>
          <w:rFonts w:hint="eastAsia" w:ascii="宋体" w:hAnsi="宋体" w:cs="宋体"/>
          <w:sz w:val="24"/>
          <w:u w:val="single"/>
        </w:rPr>
        <w:t xml:space="preserve">                       </w:t>
      </w:r>
      <w:r>
        <w:rPr>
          <w:rFonts w:hint="eastAsia" w:ascii="宋体" w:hAnsi="宋体" w:cs="宋体"/>
          <w:color w:val="000000"/>
          <w:sz w:val="24"/>
        </w:rPr>
        <w:t>(投标人单位名称)的法定代表人，现委托</w:t>
      </w:r>
      <w:r>
        <w:rPr>
          <w:rFonts w:hint="eastAsia" w:ascii="宋体" w:hAnsi="宋体" w:cs="宋体"/>
          <w:sz w:val="24"/>
          <w:u w:val="single"/>
        </w:rPr>
        <w:t xml:space="preserve">        </w:t>
      </w:r>
      <w:r>
        <w:rPr>
          <w:rFonts w:hint="eastAsia" w:ascii="宋体" w:hAnsi="宋体" w:cs="宋体"/>
          <w:color w:val="000000"/>
          <w:sz w:val="24"/>
        </w:rPr>
        <w:t>(姓名)（身份证号：</w:t>
      </w:r>
      <w:r>
        <w:rPr>
          <w:rFonts w:hint="eastAsia" w:ascii="宋体" w:hAnsi="宋体" w:cs="宋体"/>
          <w:sz w:val="24"/>
          <w:u w:val="single"/>
        </w:rPr>
        <w:t xml:space="preserve">                   </w:t>
      </w:r>
      <w:r>
        <w:rPr>
          <w:rFonts w:hint="eastAsia" w:ascii="宋体" w:hAnsi="宋体" w:cs="宋体"/>
          <w:color w:val="000000"/>
          <w:sz w:val="24"/>
        </w:rPr>
        <w:t>）为我方代理人。代理人根据授权，以我方名义签署、澄清、说明、补正、递交、撤回、修改</w:t>
      </w:r>
      <w:r>
        <w:rPr>
          <w:rFonts w:hint="eastAsia" w:ascii="宋体" w:hAnsi="宋体" w:cs="宋体"/>
          <w:sz w:val="24"/>
          <w:u w:val="single"/>
        </w:rPr>
        <w:t xml:space="preserve">                    </w:t>
      </w:r>
      <w:r>
        <w:rPr>
          <w:rFonts w:hint="eastAsia" w:ascii="宋体" w:hAnsi="宋体" w:cs="宋体"/>
          <w:color w:val="000000"/>
          <w:sz w:val="24"/>
        </w:rPr>
        <w:t>（项目名称）施工投标文件，签订合同和处理有关事宜，其法律后果由我方承担。</w:t>
      </w:r>
    </w:p>
    <w:p>
      <w:pPr>
        <w:pStyle w:val="15"/>
        <w:snapToGrid w:val="0"/>
        <w:spacing w:line="360" w:lineRule="auto"/>
        <w:ind w:firstLine="480"/>
        <w:rPr>
          <w:rFonts w:ascii="宋体" w:hAnsi="宋体" w:cs="宋体"/>
          <w:sz w:val="24"/>
        </w:rPr>
      </w:pPr>
      <w:r>
        <w:rPr>
          <w:rFonts w:hint="eastAsia" w:ascii="宋体" w:hAnsi="宋体" w:cs="宋体"/>
          <w:color w:val="000000"/>
          <w:sz w:val="24"/>
        </w:rPr>
        <w:t>委托期限：</w:t>
      </w:r>
      <w:r>
        <w:rPr>
          <w:rFonts w:hint="eastAsia" w:ascii="宋体" w:hAnsi="宋体" w:cs="宋体"/>
          <w:sz w:val="24"/>
          <w:u w:val="single"/>
        </w:rPr>
        <w:t xml:space="preserve">             </w:t>
      </w:r>
      <w:r>
        <w:rPr>
          <w:rFonts w:hint="eastAsia" w:ascii="宋体" w:hAnsi="宋体" w:cs="宋体"/>
          <w:sz w:val="24"/>
        </w:rPr>
        <w:t>。</w:t>
      </w:r>
    </w:p>
    <w:p>
      <w:pPr>
        <w:pStyle w:val="15"/>
        <w:snapToGrid w:val="0"/>
        <w:spacing w:line="360" w:lineRule="auto"/>
        <w:ind w:firstLine="480" w:firstLineChars="200"/>
        <w:rPr>
          <w:rFonts w:ascii="宋体" w:hAnsi="宋体" w:cs="宋体"/>
          <w:sz w:val="24"/>
        </w:rPr>
      </w:pPr>
      <w:r>
        <w:rPr>
          <w:rFonts w:hint="eastAsia" w:ascii="宋体" w:hAnsi="宋体" w:cs="宋体"/>
          <w:color w:val="000000"/>
          <w:sz w:val="24"/>
        </w:rPr>
        <w:t>授权委托人联系电话：</w:t>
      </w:r>
      <w:r>
        <w:rPr>
          <w:rFonts w:hint="eastAsia" w:ascii="宋体" w:hAnsi="宋体" w:cs="宋体"/>
          <w:sz w:val="24"/>
          <w:u w:val="single"/>
        </w:rPr>
        <w:t xml:space="preserve">                          </w:t>
      </w:r>
    </w:p>
    <w:p>
      <w:pPr>
        <w:pStyle w:val="15"/>
        <w:snapToGrid w:val="0"/>
        <w:spacing w:line="360" w:lineRule="auto"/>
        <w:ind w:firstLine="480" w:firstLineChars="200"/>
        <w:rPr>
          <w:rFonts w:ascii="宋体" w:hAnsi="宋体" w:cs="宋体"/>
          <w:color w:val="000000"/>
          <w:sz w:val="24"/>
        </w:rPr>
      </w:pPr>
      <w:r>
        <w:rPr>
          <w:rFonts w:hint="eastAsia" w:ascii="宋体" w:hAnsi="宋体" w:cs="宋体"/>
          <w:color w:val="000000"/>
          <w:sz w:val="24"/>
        </w:rPr>
        <w:t>代理人无转委托权。</w:t>
      </w:r>
    </w:p>
    <w:p>
      <w:pPr>
        <w:pStyle w:val="15"/>
        <w:snapToGrid w:val="0"/>
        <w:spacing w:line="360" w:lineRule="auto"/>
        <w:ind w:firstLine="0"/>
        <w:rPr>
          <w:rFonts w:ascii="宋体" w:hAnsi="宋体" w:cs="宋体"/>
          <w:color w:val="000000"/>
          <w:sz w:val="24"/>
        </w:rPr>
      </w:pPr>
    </w:p>
    <w:p>
      <w:pPr>
        <w:pStyle w:val="15"/>
        <w:snapToGrid w:val="0"/>
        <w:spacing w:line="360" w:lineRule="auto"/>
        <w:ind w:firstLine="0"/>
        <w:rPr>
          <w:rFonts w:ascii="宋体" w:hAnsi="宋体" w:cs="宋体"/>
          <w:sz w:val="24"/>
        </w:rPr>
      </w:pPr>
      <w:r>
        <w:rPr>
          <w:rFonts w:hint="eastAsia" w:ascii="宋体" w:hAnsi="宋体" w:cs="宋体"/>
          <w:color w:val="000000"/>
          <w:sz w:val="24"/>
        </w:rPr>
        <w:t>代理人：</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color w:val="000000"/>
          <w:sz w:val="24"/>
        </w:rPr>
        <w:t>性别：</w:t>
      </w:r>
      <w:r>
        <w:rPr>
          <w:rFonts w:hint="eastAsia" w:ascii="宋体" w:hAnsi="宋体" w:cs="宋体"/>
          <w:sz w:val="24"/>
          <w:u w:val="single"/>
        </w:rPr>
        <w:t xml:space="preserve">                </w:t>
      </w:r>
      <w:r>
        <w:rPr>
          <w:rFonts w:hint="eastAsia" w:ascii="宋体" w:hAnsi="宋体" w:cs="宋体"/>
          <w:color w:val="000000"/>
          <w:sz w:val="24"/>
        </w:rPr>
        <w:t>年龄：</w:t>
      </w:r>
      <w:r>
        <w:rPr>
          <w:rFonts w:hint="eastAsia" w:ascii="宋体" w:hAnsi="宋体" w:cs="宋体"/>
          <w:sz w:val="24"/>
          <w:u w:val="single"/>
        </w:rPr>
        <w:t xml:space="preserve">               </w:t>
      </w:r>
    </w:p>
    <w:p>
      <w:pPr>
        <w:snapToGrid w:val="0"/>
        <w:spacing w:line="360" w:lineRule="auto"/>
        <w:rPr>
          <w:szCs w:val="24"/>
          <w:u w:val="single"/>
        </w:rPr>
      </w:pPr>
      <w:r>
        <w:rPr>
          <w:rFonts w:hint="eastAsia"/>
          <w:color w:val="000000"/>
          <w:szCs w:val="24"/>
        </w:rPr>
        <w:t>代理人单位：</w:t>
      </w:r>
      <w:r>
        <w:rPr>
          <w:rFonts w:hint="eastAsia"/>
          <w:szCs w:val="24"/>
          <w:u w:val="single"/>
        </w:rPr>
        <w:t xml:space="preserve">                    </w:t>
      </w:r>
      <w:r>
        <w:rPr>
          <w:rFonts w:hint="eastAsia"/>
          <w:color w:val="000000"/>
          <w:szCs w:val="24"/>
        </w:rPr>
        <w:t>部门：</w:t>
      </w:r>
      <w:r>
        <w:rPr>
          <w:rFonts w:hint="eastAsia"/>
          <w:szCs w:val="24"/>
          <w:u w:val="single"/>
        </w:rPr>
        <w:t xml:space="preserve">              </w:t>
      </w:r>
      <w:r>
        <w:rPr>
          <w:rFonts w:hint="eastAsia"/>
          <w:color w:val="000000"/>
          <w:szCs w:val="24"/>
        </w:rPr>
        <w:t>职务：</w:t>
      </w:r>
      <w:r>
        <w:rPr>
          <w:rFonts w:hint="eastAsia"/>
          <w:szCs w:val="24"/>
          <w:u w:val="single"/>
        </w:rPr>
        <w:t xml:space="preserve">               </w:t>
      </w:r>
    </w:p>
    <w:p>
      <w:pPr>
        <w:spacing w:line="440" w:lineRule="exact"/>
        <w:rPr>
          <w:szCs w:val="24"/>
        </w:rPr>
      </w:pPr>
    </w:p>
    <w:p>
      <w:pPr>
        <w:snapToGrid w:val="0"/>
        <w:spacing w:line="360" w:lineRule="auto"/>
        <w:rPr>
          <w:szCs w:val="24"/>
        </w:rPr>
      </w:pPr>
      <w:r>
        <w:rPr>
          <w:rFonts w:hint="eastAsia"/>
          <w:szCs w:val="24"/>
        </w:rPr>
        <w:t>投标人(盖单位章)：</w:t>
      </w:r>
      <w:r>
        <w:rPr>
          <w:rFonts w:hint="eastAsia"/>
          <w:szCs w:val="24"/>
          <w:u w:val="single"/>
        </w:rPr>
        <w:t xml:space="preserve">                               </w:t>
      </w:r>
    </w:p>
    <w:p>
      <w:pPr>
        <w:snapToGrid w:val="0"/>
        <w:spacing w:line="360" w:lineRule="auto"/>
        <w:rPr>
          <w:szCs w:val="24"/>
          <w:u w:val="single"/>
        </w:rPr>
      </w:pPr>
      <w:r>
        <w:rPr>
          <w:rFonts w:hint="eastAsia"/>
          <w:szCs w:val="24"/>
        </w:rPr>
        <w:t>法定代表人(签字或盖章)：</w:t>
      </w:r>
      <w:r>
        <w:rPr>
          <w:rFonts w:hint="eastAsia"/>
          <w:szCs w:val="24"/>
          <w:u w:val="single"/>
        </w:rPr>
        <w:t xml:space="preserve">                        </w:t>
      </w:r>
    </w:p>
    <w:p>
      <w:pPr>
        <w:pStyle w:val="15"/>
        <w:snapToGrid w:val="0"/>
        <w:spacing w:line="360" w:lineRule="auto"/>
        <w:ind w:firstLine="0"/>
        <w:rPr>
          <w:rFonts w:ascii="宋体" w:hAnsi="宋体"/>
          <w:color w:val="000000"/>
          <w:sz w:val="24"/>
        </w:rPr>
      </w:pPr>
    </w:p>
    <w:tbl>
      <w:tblPr>
        <w:tblStyle w:val="61"/>
        <w:tblW w:w="0" w:type="auto"/>
        <w:tblInd w:w="10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6" w:hRule="atLeast"/>
        </w:trPr>
        <w:tc>
          <w:tcPr>
            <w:tcW w:w="7848" w:type="dxa"/>
            <w:noWrap w:val="0"/>
            <w:vAlign w:val="top"/>
          </w:tcPr>
          <w:p>
            <w:pPr>
              <w:snapToGrid w:val="0"/>
              <w:spacing w:line="420" w:lineRule="exact"/>
              <w:ind w:firstLine="404" w:firstLineChars="202"/>
              <w:jc w:val="left"/>
              <w:textAlignment w:val="baseline"/>
              <w:rPr>
                <w:sz w:val="20"/>
                <w:szCs w:val="22"/>
              </w:rPr>
            </w:pPr>
          </w:p>
          <w:p>
            <w:pPr>
              <w:snapToGrid w:val="0"/>
              <w:spacing w:line="420" w:lineRule="exact"/>
              <w:ind w:firstLine="404" w:firstLineChars="202"/>
              <w:jc w:val="left"/>
              <w:textAlignment w:val="baseline"/>
              <w:rPr>
                <w:sz w:val="20"/>
                <w:szCs w:val="22"/>
              </w:rPr>
            </w:pPr>
          </w:p>
          <w:p>
            <w:pPr>
              <w:snapToGrid w:val="0"/>
              <w:spacing w:line="420" w:lineRule="exact"/>
              <w:jc w:val="center"/>
              <w:textAlignment w:val="baseline"/>
              <w:rPr>
                <w:b/>
                <w:bCs/>
                <w:sz w:val="20"/>
                <w:szCs w:val="22"/>
              </w:rPr>
            </w:pPr>
            <w:r>
              <w:rPr>
                <w:rFonts w:hint="eastAsia" w:ascii="宋体" w:hAnsi="宋体" w:eastAsia="宋体" w:cs="宋体"/>
                <w:b/>
                <w:szCs w:val="22"/>
              </w:rPr>
              <w:t>法定代表授权委托人身</w:t>
            </w:r>
            <w:r>
              <w:rPr>
                <w:rFonts w:hint="eastAsia" w:cs="宋体"/>
                <w:b/>
                <w:bCs/>
                <w:szCs w:val="22"/>
              </w:rPr>
              <w:t>份证</w:t>
            </w:r>
            <w:r>
              <w:rPr>
                <w:rFonts w:hint="eastAsia" w:cs="宋体"/>
                <w:b/>
                <w:szCs w:val="22"/>
              </w:rPr>
              <w:t>（正、反面）</w:t>
            </w:r>
            <w:r>
              <w:rPr>
                <w:rFonts w:hint="eastAsia" w:cs="宋体"/>
                <w:b/>
                <w:bCs/>
                <w:szCs w:val="22"/>
              </w:rPr>
              <w:t>复印件或扫描件</w:t>
            </w:r>
          </w:p>
          <w:p>
            <w:pPr>
              <w:snapToGrid w:val="0"/>
              <w:spacing w:line="420" w:lineRule="exact"/>
              <w:jc w:val="center"/>
              <w:textAlignment w:val="baseline"/>
              <w:rPr>
                <w:b/>
                <w:bCs/>
                <w:sz w:val="20"/>
                <w:szCs w:val="22"/>
              </w:rPr>
            </w:pPr>
          </w:p>
          <w:p>
            <w:pPr>
              <w:snapToGrid w:val="0"/>
              <w:spacing w:line="420" w:lineRule="exact"/>
              <w:jc w:val="center"/>
              <w:textAlignment w:val="baseline"/>
              <w:rPr>
                <w:b/>
                <w:bCs/>
                <w:sz w:val="20"/>
                <w:szCs w:val="22"/>
              </w:rPr>
            </w:pPr>
          </w:p>
          <w:p>
            <w:pPr>
              <w:snapToGrid w:val="0"/>
              <w:spacing w:line="420" w:lineRule="exact"/>
              <w:jc w:val="center"/>
              <w:textAlignment w:val="baseline"/>
              <w:rPr>
                <w:b/>
                <w:bCs/>
                <w:sz w:val="20"/>
                <w:szCs w:val="22"/>
              </w:rPr>
            </w:pPr>
          </w:p>
          <w:p>
            <w:pPr>
              <w:snapToGrid w:val="0"/>
              <w:spacing w:line="420" w:lineRule="exact"/>
              <w:jc w:val="center"/>
              <w:textAlignment w:val="baseline"/>
              <w:rPr>
                <w:sz w:val="20"/>
                <w:szCs w:val="22"/>
              </w:rPr>
            </w:pPr>
          </w:p>
        </w:tc>
      </w:tr>
    </w:tbl>
    <w:p>
      <w:pPr>
        <w:pStyle w:val="15"/>
        <w:snapToGrid w:val="0"/>
        <w:spacing w:line="360" w:lineRule="auto"/>
        <w:ind w:firstLine="0"/>
        <w:jc w:val="right"/>
        <w:rPr>
          <w:rFonts w:ascii="宋体" w:hAnsi="宋体"/>
          <w:color w:val="000000"/>
          <w:sz w:val="24"/>
        </w:rPr>
      </w:pPr>
    </w:p>
    <w:p>
      <w:pPr>
        <w:pStyle w:val="15"/>
        <w:snapToGrid w:val="0"/>
        <w:spacing w:line="360" w:lineRule="auto"/>
        <w:ind w:firstLine="0"/>
        <w:jc w:val="right"/>
        <w:rPr>
          <w:rFonts w:ascii="宋体" w:hAnsi="宋体"/>
          <w:sz w:val="24"/>
        </w:rPr>
      </w:pPr>
      <w:r>
        <w:rPr>
          <w:rFonts w:hint="eastAsia" w:ascii="宋体" w:hAnsi="宋体"/>
          <w:color w:val="000000"/>
          <w:sz w:val="24"/>
        </w:rPr>
        <w:t>日期：</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spacing w:beforeLines="50" w:afterLines="100" w:line="440" w:lineRule="exact"/>
      </w:pPr>
      <w:r>
        <w:rPr>
          <w:rFonts w:hint="eastAsia"/>
          <w:b/>
          <w:color w:val="000000"/>
          <w:szCs w:val="24"/>
        </w:rPr>
        <w:t>备注：若系投标人的法定代表人亲自参与本项目投标的一切活动，并签署投标文件，则无需此授权书。</w:t>
      </w:r>
    </w:p>
    <w:p>
      <w:pPr>
        <w:jc w:val="center"/>
        <w:rPr>
          <w:b/>
          <w:sz w:val="32"/>
          <w:szCs w:val="32"/>
        </w:rPr>
      </w:pPr>
      <w:r>
        <w:rPr>
          <w:sz w:val="28"/>
        </w:rPr>
        <w:br w:type="page"/>
      </w:r>
      <w:bookmarkEnd w:id="57"/>
      <w:bookmarkEnd w:id="58"/>
      <w:bookmarkEnd w:id="59"/>
      <w:r>
        <w:rPr>
          <w:rFonts w:hint="eastAsia"/>
          <w:b/>
          <w:sz w:val="32"/>
          <w:szCs w:val="32"/>
        </w:rPr>
        <w:t>四、计划投入的主要施工机械设备表</w:t>
      </w:r>
    </w:p>
    <w:p>
      <w:pPr>
        <w:adjustRightInd w:val="0"/>
        <w:spacing w:line="360" w:lineRule="auto"/>
        <w:jc w:val="center"/>
        <w:textAlignment w:val="baseline"/>
        <w:rPr>
          <w:rFonts w:ascii="等线" w:eastAsia="等线"/>
          <w:sz w:val="25"/>
          <w:szCs w:val="22"/>
        </w:rPr>
      </w:pPr>
    </w:p>
    <w:tbl>
      <w:tblPr>
        <w:tblStyle w:val="6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adjustRightInd w:val="0"/>
              <w:spacing w:line="360" w:lineRule="auto"/>
              <w:jc w:val="center"/>
              <w:textAlignment w:val="baseline"/>
              <w:rPr>
                <w:rFonts w:eastAsia="等线"/>
                <w:position w:val="-32"/>
                <w:sz w:val="23"/>
                <w:szCs w:val="22"/>
              </w:rPr>
            </w:pPr>
            <w:r>
              <w:rPr>
                <w:rFonts w:hint="eastAsia" w:eastAsia="等线"/>
                <w:position w:val="-32"/>
                <w:sz w:val="23"/>
                <w:szCs w:val="22"/>
              </w:rPr>
              <w:t>序号</w:t>
            </w:r>
          </w:p>
        </w:tc>
        <w:tc>
          <w:tcPr>
            <w:tcW w:w="1700" w:type="dxa"/>
          </w:tcPr>
          <w:p>
            <w:pPr>
              <w:adjustRightInd w:val="0"/>
              <w:spacing w:line="360" w:lineRule="auto"/>
              <w:jc w:val="center"/>
              <w:textAlignment w:val="baseline"/>
              <w:rPr>
                <w:rFonts w:eastAsia="等线"/>
                <w:position w:val="-50"/>
                <w:sz w:val="23"/>
                <w:szCs w:val="22"/>
              </w:rPr>
            </w:pPr>
            <w:r>
              <w:rPr>
                <w:rFonts w:hint="eastAsia" w:eastAsia="等线"/>
                <w:position w:val="-50"/>
                <w:sz w:val="23"/>
                <w:szCs w:val="22"/>
              </w:rPr>
              <w:t>机械设备名称</w:t>
            </w:r>
          </w:p>
        </w:tc>
        <w:tc>
          <w:tcPr>
            <w:tcW w:w="700" w:type="dxa"/>
          </w:tcPr>
          <w:p>
            <w:pPr>
              <w:adjustRightInd w:val="0"/>
              <w:spacing w:line="360" w:lineRule="auto"/>
              <w:jc w:val="center"/>
              <w:textAlignment w:val="baseline"/>
              <w:rPr>
                <w:rFonts w:eastAsia="等线"/>
                <w:position w:val="-30"/>
                <w:sz w:val="23"/>
                <w:szCs w:val="22"/>
              </w:rPr>
            </w:pPr>
            <w:r>
              <w:rPr>
                <w:rFonts w:hint="eastAsia" w:eastAsia="等线"/>
                <w:position w:val="-30"/>
                <w:sz w:val="23"/>
                <w:szCs w:val="22"/>
              </w:rPr>
              <w:t>型号规格</w:t>
            </w:r>
          </w:p>
        </w:tc>
        <w:tc>
          <w:tcPr>
            <w:tcW w:w="700" w:type="dxa"/>
          </w:tcPr>
          <w:p>
            <w:pPr>
              <w:adjustRightInd w:val="0"/>
              <w:spacing w:line="360" w:lineRule="auto"/>
              <w:jc w:val="center"/>
              <w:textAlignment w:val="baseline"/>
              <w:rPr>
                <w:rFonts w:eastAsia="等线"/>
                <w:position w:val="-50"/>
                <w:sz w:val="23"/>
                <w:szCs w:val="22"/>
              </w:rPr>
            </w:pPr>
            <w:r>
              <w:rPr>
                <w:rFonts w:hint="eastAsia" w:eastAsia="等线"/>
                <w:position w:val="-50"/>
                <w:sz w:val="23"/>
                <w:szCs w:val="22"/>
              </w:rPr>
              <w:t>数量</w:t>
            </w:r>
          </w:p>
        </w:tc>
        <w:tc>
          <w:tcPr>
            <w:tcW w:w="900" w:type="dxa"/>
          </w:tcPr>
          <w:p>
            <w:pPr>
              <w:adjustRightInd w:val="0"/>
              <w:spacing w:line="360" w:lineRule="auto"/>
              <w:jc w:val="center"/>
              <w:textAlignment w:val="baseline"/>
              <w:rPr>
                <w:rFonts w:eastAsia="等线"/>
                <w:position w:val="-30"/>
                <w:sz w:val="23"/>
                <w:szCs w:val="22"/>
              </w:rPr>
            </w:pPr>
            <w:r>
              <w:rPr>
                <w:rFonts w:hint="eastAsia" w:eastAsia="等线"/>
                <w:position w:val="-30"/>
                <w:sz w:val="23"/>
                <w:szCs w:val="22"/>
              </w:rPr>
              <w:t>国 别</w:t>
            </w:r>
          </w:p>
          <w:p>
            <w:pPr>
              <w:adjustRightInd w:val="0"/>
              <w:spacing w:line="360" w:lineRule="auto"/>
              <w:jc w:val="center"/>
              <w:textAlignment w:val="baseline"/>
              <w:rPr>
                <w:rFonts w:eastAsia="等线"/>
                <w:position w:val="-30"/>
                <w:sz w:val="23"/>
                <w:szCs w:val="22"/>
              </w:rPr>
            </w:pPr>
            <w:r>
              <w:rPr>
                <w:rFonts w:hint="eastAsia" w:eastAsia="等线"/>
                <w:position w:val="-30"/>
                <w:sz w:val="23"/>
                <w:szCs w:val="22"/>
              </w:rPr>
              <w:t>产 地</w:t>
            </w:r>
          </w:p>
        </w:tc>
        <w:tc>
          <w:tcPr>
            <w:tcW w:w="900" w:type="dxa"/>
          </w:tcPr>
          <w:p>
            <w:pPr>
              <w:adjustRightInd w:val="0"/>
              <w:spacing w:line="360" w:lineRule="auto"/>
              <w:jc w:val="center"/>
              <w:textAlignment w:val="baseline"/>
              <w:rPr>
                <w:rFonts w:eastAsia="等线"/>
                <w:position w:val="-30"/>
                <w:sz w:val="23"/>
                <w:szCs w:val="22"/>
              </w:rPr>
            </w:pPr>
            <w:r>
              <w:rPr>
                <w:rFonts w:hint="eastAsia" w:eastAsia="等线"/>
                <w:position w:val="-30"/>
                <w:sz w:val="23"/>
                <w:szCs w:val="22"/>
              </w:rPr>
              <w:t>制 造</w:t>
            </w:r>
          </w:p>
          <w:p>
            <w:pPr>
              <w:adjustRightInd w:val="0"/>
              <w:spacing w:line="360" w:lineRule="auto"/>
              <w:jc w:val="center"/>
              <w:textAlignment w:val="baseline"/>
              <w:rPr>
                <w:rFonts w:eastAsia="等线"/>
                <w:position w:val="-30"/>
                <w:sz w:val="23"/>
                <w:szCs w:val="22"/>
              </w:rPr>
            </w:pPr>
            <w:r>
              <w:rPr>
                <w:rFonts w:hint="eastAsia" w:eastAsia="等线"/>
                <w:position w:val="-30"/>
                <w:sz w:val="23"/>
                <w:szCs w:val="22"/>
              </w:rPr>
              <w:t>年 份</w:t>
            </w:r>
          </w:p>
        </w:tc>
        <w:tc>
          <w:tcPr>
            <w:tcW w:w="1100" w:type="dxa"/>
          </w:tcPr>
          <w:p>
            <w:pPr>
              <w:adjustRightInd w:val="0"/>
              <w:spacing w:line="360" w:lineRule="auto"/>
              <w:jc w:val="center"/>
              <w:textAlignment w:val="baseline"/>
              <w:rPr>
                <w:rFonts w:eastAsia="等线"/>
                <w:position w:val="-30"/>
                <w:szCs w:val="22"/>
              </w:rPr>
            </w:pPr>
            <w:r>
              <w:rPr>
                <w:rFonts w:hint="eastAsia" w:eastAsia="等线"/>
                <w:position w:val="-30"/>
                <w:szCs w:val="22"/>
              </w:rPr>
              <w:t>额定功率(KW)</w:t>
            </w:r>
          </w:p>
        </w:tc>
        <w:tc>
          <w:tcPr>
            <w:tcW w:w="1100" w:type="dxa"/>
          </w:tcPr>
          <w:p>
            <w:pPr>
              <w:adjustRightInd w:val="0"/>
              <w:spacing w:line="360" w:lineRule="auto"/>
              <w:jc w:val="center"/>
              <w:textAlignment w:val="baseline"/>
              <w:rPr>
                <w:rFonts w:eastAsia="等线"/>
                <w:position w:val="-30"/>
                <w:szCs w:val="22"/>
              </w:rPr>
            </w:pPr>
            <w:r>
              <w:rPr>
                <w:rFonts w:hint="eastAsia" w:eastAsia="等线"/>
                <w:position w:val="-30"/>
                <w:szCs w:val="22"/>
              </w:rPr>
              <w:t>生产能力(MH)</w:t>
            </w:r>
          </w:p>
        </w:tc>
        <w:tc>
          <w:tcPr>
            <w:tcW w:w="1600" w:type="dxa"/>
          </w:tcPr>
          <w:p>
            <w:pPr>
              <w:adjustRightInd w:val="0"/>
              <w:spacing w:line="360" w:lineRule="auto"/>
              <w:jc w:val="center"/>
              <w:textAlignment w:val="baseline"/>
              <w:rPr>
                <w:rFonts w:eastAsia="等线"/>
                <w:position w:val="-50"/>
                <w:sz w:val="23"/>
                <w:szCs w:val="22"/>
              </w:rPr>
            </w:pPr>
            <w:r>
              <w:rPr>
                <w:rFonts w:hint="eastAsia" w:eastAsia="等线"/>
                <w:position w:val="-50"/>
                <w:sz w:val="23"/>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eastAsia="等线"/>
                <w:sz w:val="25"/>
                <w:szCs w:val="22"/>
              </w:rPr>
            </w:pPr>
          </w:p>
        </w:tc>
        <w:tc>
          <w:tcPr>
            <w:tcW w:w="1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7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9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100" w:type="dxa"/>
          </w:tcPr>
          <w:p>
            <w:pPr>
              <w:adjustRightInd w:val="0"/>
              <w:spacing w:line="360" w:lineRule="auto"/>
              <w:textAlignment w:val="baseline"/>
              <w:rPr>
                <w:rFonts w:eastAsia="等线"/>
                <w:sz w:val="25"/>
                <w:szCs w:val="22"/>
              </w:rPr>
            </w:pPr>
          </w:p>
        </w:tc>
        <w:tc>
          <w:tcPr>
            <w:tcW w:w="1600" w:type="dxa"/>
          </w:tcPr>
          <w:p>
            <w:pPr>
              <w:adjustRightInd w:val="0"/>
              <w:spacing w:line="360" w:lineRule="auto"/>
              <w:textAlignment w:val="baseline"/>
              <w:rPr>
                <w:rFonts w:eastAsia="等线"/>
                <w:sz w:val="25"/>
                <w:szCs w:val="22"/>
              </w:rPr>
            </w:pPr>
          </w:p>
        </w:tc>
      </w:tr>
    </w:tbl>
    <w:p>
      <w:pPr>
        <w:keepNext/>
        <w:keepLines/>
        <w:snapToGrid w:val="0"/>
        <w:spacing w:before="260" w:after="260"/>
        <w:jc w:val="center"/>
        <w:rPr>
          <w:sz w:val="28"/>
        </w:rPr>
      </w:pPr>
    </w:p>
    <w:p>
      <w:pPr>
        <w:keepNext/>
        <w:keepLines/>
        <w:snapToGrid w:val="0"/>
        <w:spacing w:before="260" w:after="260"/>
        <w:jc w:val="center"/>
        <w:rPr>
          <w:sz w:val="32"/>
        </w:rPr>
      </w:pPr>
      <w:r>
        <w:rPr>
          <w:rFonts w:hint="eastAsia"/>
          <w:sz w:val="28"/>
        </w:rPr>
        <w:br w:type="page"/>
      </w:r>
      <w:r>
        <w:rPr>
          <w:rFonts w:hint="eastAsia"/>
          <w:b/>
          <w:sz w:val="32"/>
          <w:szCs w:val="32"/>
        </w:rPr>
        <w:t>五、投标人基本情况表</w:t>
      </w:r>
    </w:p>
    <w:tbl>
      <w:tblPr>
        <w:tblStyle w:val="61"/>
        <w:tblW w:w="0" w:type="auto"/>
        <w:jc w:val="center"/>
        <w:tblLayout w:type="fixed"/>
        <w:tblCellMar>
          <w:top w:w="0" w:type="dxa"/>
          <w:left w:w="0" w:type="dxa"/>
          <w:bottom w:w="0" w:type="dxa"/>
          <w:right w:w="0" w:type="dxa"/>
        </w:tblCellMar>
      </w:tblPr>
      <w:tblGrid>
        <w:gridCol w:w="1825"/>
        <w:gridCol w:w="998"/>
        <w:gridCol w:w="1273"/>
        <w:gridCol w:w="477"/>
        <w:gridCol w:w="795"/>
        <w:gridCol w:w="119"/>
        <w:gridCol w:w="517"/>
        <w:gridCol w:w="663"/>
        <w:gridCol w:w="650"/>
        <w:gridCol w:w="118"/>
        <w:gridCol w:w="1713"/>
      </w:tblGrid>
      <w:tr>
        <w:tblPrEx>
          <w:tblCellMar>
            <w:top w:w="0" w:type="dxa"/>
            <w:left w:w="0" w:type="dxa"/>
            <w:bottom w:w="0" w:type="dxa"/>
            <w:right w:w="0" w:type="dxa"/>
          </w:tblCellMar>
        </w:tblPrEx>
        <w:trPr>
          <w:trHeight w:val="6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pPr>
            <w:r>
              <w:rPr>
                <w:rFonts w:hint="eastAsia"/>
              </w:rPr>
              <w:t>投标人名称</w:t>
            </w:r>
          </w:p>
        </w:tc>
        <w:tc>
          <w:tcPr>
            <w:tcW w:w="7323" w:type="dxa"/>
            <w:gridSpan w:val="10"/>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pPr>
          </w:p>
        </w:tc>
      </w:tr>
      <w:tr>
        <w:tblPrEx>
          <w:tblCellMar>
            <w:top w:w="0" w:type="dxa"/>
            <w:left w:w="0" w:type="dxa"/>
            <w:bottom w:w="0" w:type="dxa"/>
            <w:right w:w="0" w:type="dxa"/>
          </w:tblCellMar>
        </w:tblPrEx>
        <w:trPr>
          <w:trHeight w:val="6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注册地址</w:t>
            </w:r>
          </w:p>
        </w:tc>
        <w:tc>
          <w:tcPr>
            <w:tcW w:w="2748"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431"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邮政编码</w:t>
            </w:r>
          </w:p>
        </w:tc>
        <w:tc>
          <w:tcPr>
            <w:tcW w:w="3144" w:type="dxa"/>
            <w:gridSpan w:val="4"/>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326" w:hRule="atLeast"/>
          <w:jc w:val="center"/>
        </w:trPr>
        <w:tc>
          <w:tcPr>
            <w:tcW w:w="1825"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联系方式</w:t>
            </w:r>
          </w:p>
        </w:tc>
        <w:tc>
          <w:tcPr>
            <w:tcW w:w="998" w:type="dxa"/>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联系人</w:t>
            </w:r>
          </w:p>
        </w:tc>
        <w:tc>
          <w:tcPr>
            <w:tcW w:w="1750"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431"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电话</w:t>
            </w:r>
          </w:p>
        </w:tc>
        <w:tc>
          <w:tcPr>
            <w:tcW w:w="3144" w:type="dxa"/>
            <w:gridSpan w:val="4"/>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325" w:hRule="atLeast"/>
          <w:jc w:val="center"/>
        </w:trPr>
        <w:tc>
          <w:tcPr>
            <w:tcW w:w="1825"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传真</w:t>
            </w:r>
          </w:p>
        </w:tc>
        <w:tc>
          <w:tcPr>
            <w:tcW w:w="1750"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431"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网址</w:t>
            </w:r>
          </w:p>
        </w:tc>
        <w:tc>
          <w:tcPr>
            <w:tcW w:w="3144" w:type="dxa"/>
            <w:gridSpan w:val="4"/>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6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企业统一社会信用代码</w:t>
            </w:r>
          </w:p>
        </w:tc>
        <w:tc>
          <w:tcPr>
            <w:tcW w:w="7323" w:type="dxa"/>
            <w:gridSpan w:val="10"/>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6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法定代表人</w:t>
            </w:r>
          </w:p>
        </w:tc>
        <w:tc>
          <w:tcPr>
            <w:tcW w:w="9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姓名</w:t>
            </w:r>
          </w:p>
        </w:tc>
        <w:tc>
          <w:tcPr>
            <w:tcW w:w="1273" w:type="dxa"/>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27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技术职称</w:t>
            </w:r>
          </w:p>
        </w:tc>
        <w:tc>
          <w:tcPr>
            <w:tcW w:w="1299"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768"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电话</w:t>
            </w:r>
          </w:p>
        </w:tc>
        <w:tc>
          <w:tcPr>
            <w:tcW w:w="1713" w:type="dxa"/>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6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技术负责人</w:t>
            </w:r>
          </w:p>
        </w:tc>
        <w:tc>
          <w:tcPr>
            <w:tcW w:w="9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姓名</w:t>
            </w:r>
          </w:p>
        </w:tc>
        <w:tc>
          <w:tcPr>
            <w:tcW w:w="1273" w:type="dxa"/>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27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技术职称</w:t>
            </w:r>
          </w:p>
        </w:tc>
        <w:tc>
          <w:tcPr>
            <w:tcW w:w="1299"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768"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电话</w:t>
            </w:r>
          </w:p>
        </w:tc>
        <w:tc>
          <w:tcPr>
            <w:tcW w:w="1713" w:type="dxa"/>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6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成立时间</w:t>
            </w:r>
          </w:p>
        </w:tc>
        <w:tc>
          <w:tcPr>
            <w:tcW w:w="227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5052" w:type="dxa"/>
            <w:gridSpan w:val="8"/>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员工总人数：</w:t>
            </w:r>
          </w:p>
        </w:tc>
      </w:tr>
      <w:tr>
        <w:tblPrEx>
          <w:tblCellMar>
            <w:top w:w="0" w:type="dxa"/>
            <w:left w:w="0" w:type="dxa"/>
            <w:bottom w:w="0" w:type="dxa"/>
            <w:right w:w="0" w:type="dxa"/>
          </w:tblCellMar>
        </w:tblPrEx>
        <w:trPr>
          <w:trHeight w:val="2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企业资质等级</w:t>
            </w:r>
          </w:p>
        </w:tc>
        <w:tc>
          <w:tcPr>
            <w:tcW w:w="227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391" w:type="dxa"/>
            <w:gridSpan w:val="3"/>
            <w:vMerge w:val="restart"/>
            <w:tcBorders>
              <w:top w:val="single" w:color="000000" w:sz="4" w:space="0"/>
              <w:left w:val="single" w:color="000000" w:sz="4" w:space="0"/>
              <w:right w:val="single" w:color="000000" w:sz="4" w:space="0"/>
            </w:tcBorders>
            <w:vAlign w:val="center"/>
          </w:tcPr>
          <w:p>
            <w:pPr>
              <w:tabs>
                <w:tab w:val="left" w:pos="993"/>
              </w:tabs>
              <w:snapToGrid w:val="0"/>
              <w:spacing w:line="360" w:lineRule="auto"/>
              <w:jc w:val="center"/>
            </w:pPr>
            <w:r>
              <w:rPr>
                <w:rFonts w:hint="eastAsia"/>
              </w:rPr>
              <w:t>其中</w:t>
            </w: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注册建造师</w:t>
            </w:r>
          </w:p>
        </w:tc>
        <w:tc>
          <w:tcPr>
            <w:tcW w:w="183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2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营业执照号</w:t>
            </w:r>
          </w:p>
        </w:tc>
        <w:tc>
          <w:tcPr>
            <w:tcW w:w="227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391" w:type="dxa"/>
            <w:gridSpan w:val="3"/>
            <w:vMerge w:val="continue"/>
            <w:tcBorders>
              <w:left w:val="single" w:color="000000" w:sz="4" w:space="0"/>
              <w:right w:val="single" w:color="000000" w:sz="4" w:space="0"/>
            </w:tcBorders>
            <w:vAlign w:val="center"/>
          </w:tcPr>
          <w:p>
            <w:pPr>
              <w:tabs>
                <w:tab w:val="left" w:pos="993"/>
              </w:tabs>
              <w:snapToGrid w:val="0"/>
              <w:spacing w:line="360" w:lineRule="auto"/>
              <w:jc w:val="center"/>
            </w:pP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高级职称人员</w:t>
            </w:r>
          </w:p>
        </w:tc>
        <w:tc>
          <w:tcPr>
            <w:tcW w:w="183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2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注册资金</w:t>
            </w:r>
          </w:p>
        </w:tc>
        <w:tc>
          <w:tcPr>
            <w:tcW w:w="227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391" w:type="dxa"/>
            <w:gridSpan w:val="3"/>
            <w:vMerge w:val="continue"/>
            <w:tcBorders>
              <w:left w:val="single" w:color="000000" w:sz="4" w:space="0"/>
              <w:right w:val="single" w:color="000000" w:sz="4" w:space="0"/>
            </w:tcBorders>
            <w:vAlign w:val="center"/>
          </w:tcPr>
          <w:p>
            <w:pPr>
              <w:tabs>
                <w:tab w:val="left" w:pos="993"/>
              </w:tabs>
              <w:snapToGrid w:val="0"/>
              <w:spacing w:line="360" w:lineRule="auto"/>
              <w:jc w:val="center"/>
            </w:pP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中级职称人员</w:t>
            </w:r>
          </w:p>
        </w:tc>
        <w:tc>
          <w:tcPr>
            <w:tcW w:w="183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2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开户银行</w:t>
            </w:r>
          </w:p>
        </w:tc>
        <w:tc>
          <w:tcPr>
            <w:tcW w:w="227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391" w:type="dxa"/>
            <w:gridSpan w:val="3"/>
            <w:vMerge w:val="continue"/>
            <w:tcBorders>
              <w:left w:val="single" w:color="000000" w:sz="4" w:space="0"/>
              <w:right w:val="single" w:color="000000" w:sz="4" w:space="0"/>
            </w:tcBorders>
            <w:vAlign w:val="center"/>
          </w:tcPr>
          <w:p>
            <w:pPr>
              <w:tabs>
                <w:tab w:val="left" w:pos="993"/>
              </w:tabs>
              <w:snapToGrid w:val="0"/>
              <w:spacing w:line="360" w:lineRule="auto"/>
              <w:jc w:val="center"/>
            </w:pP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初级职称人员</w:t>
            </w:r>
          </w:p>
        </w:tc>
        <w:tc>
          <w:tcPr>
            <w:tcW w:w="183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258" w:hRule="atLeast"/>
          <w:jc w:val="center"/>
        </w:trPr>
        <w:tc>
          <w:tcPr>
            <w:tcW w:w="1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jc w:val="center"/>
            </w:pPr>
            <w:r>
              <w:rPr>
                <w:rFonts w:hint="eastAsia"/>
              </w:rPr>
              <w:t>账号</w:t>
            </w:r>
          </w:p>
        </w:tc>
        <w:tc>
          <w:tcPr>
            <w:tcW w:w="227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391" w:type="dxa"/>
            <w:gridSpan w:val="3"/>
            <w:vMerge w:val="continue"/>
            <w:tcBorders>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r>
              <w:rPr>
                <w:rFonts w:hint="eastAsia"/>
              </w:rPr>
              <w:t>技  工</w:t>
            </w:r>
          </w:p>
        </w:tc>
        <w:tc>
          <w:tcPr>
            <w:tcW w:w="1831" w:type="dxa"/>
            <w:gridSpan w:val="2"/>
            <w:tcBorders>
              <w:top w:val="single" w:color="000000" w:sz="4" w:space="0"/>
              <w:left w:val="single" w:color="000000" w:sz="4" w:space="0"/>
              <w:bottom w:val="single" w:color="000000" w:sz="4" w:space="0"/>
              <w:right w:val="single" w:color="000000" w:sz="4" w:space="0"/>
            </w:tcBorders>
            <w:vAlign w:val="center"/>
          </w:tcPr>
          <w:p>
            <w:pPr>
              <w:tabs>
                <w:tab w:val="left" w:pos="993"/>
              </w:tabs>
              <w:snapToGrid w:val="0"/>
              <w:spacing w:line="360" w:lineRule="auto"/>
              <w:jc w:val="center"/>
            </w:pPr>
          </w:p>
        </w:tc>
      </w:tr>
      <w:tr>
        <w:tblPrEx>
          <w:tblCellMar>
            <w:top w:w="0" w:type="dxa"/>
            <w:left w:w="0" w:type="dxa"/>
            <w:bottom w:w="0" w:type="dxa"/>
            <w:right w:w="0" w:type="dxa"/>
          </w:tblCellMar>
        </w:tblPrEx>
        <w:trPr>
          <w:trHeight w:val="3490" w:hRule="atLeast"/>
          <w:jc w:val="center"/>
        </w:trPr>
        <w:tc>
          <w:tcPr>
            <w:tcW w:w="9148" w:type="dxa"/>
            <w:gridSpan w:val="11"/>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pPr>
            <w:r>
              <w:rPr>
                <w:rFonts w:hint="eastAsia"/>
              </w:rPr>
              <w:t>主营范围</w:t>
            </w:r>
          </w:p>
          <w:p>
            <w:pPr>
              <w:tabs>
                <w:tab w:val="left" w:pos="993"/>
              </w:tabs>
              <w:snapToGrid w:val="0"/>
              <w:spacing w:line="360" w:lineRule="auto"/>
              <w:jc w:val="center"/>
            </w:pPr>
          </w:p>
        </w:tc>
      </w:tr>
      <w:tr>
        <w:tblPrEx>
          <w:tblCellMar>
            <w:top w:w="0" w:type="dxa"/>
            <w:left w:w="0" w:type="dxa"/>
            <w:bottom w:w="0" w:type="dxa"/>
            <w:right w:w="0" w:type="dxa"/>
          </w:tblCellMar>
        </w:tblPrEx>
        <w:trPr>
          <w:trHeight w:val="702" w:hRule="atLeast"/>
          <w:jc w:val="center"/>
        </w:trPr>
        <w:tc>
          <w:tcPr>
            <w:tcW w:w="9148" w:type="dxa"/>
            <w:gridSpan w:val="11"/>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993"/>
              </w:tabs>
              <w:snapToGrid w:val="0"/>
              <w:spacing w:line="360" w:lineRule="auto"/>
            </w:pPr>
            <w:r>
              <w:rPr>
                <w:rFonts w:hint="eastAsia"/>
              </w:rPr>
              <w:t>其他需要说明的情况：</w:t>
            </w:r>
          </w:p>
        </w:tc>
      </w:tr>
    </w:tbl>
    <w:p>
      <w:pPr>
        <w:snapToGrid w:val="0"/>
        <w:spacing w:after="284" w:line="420" w:lineRule="atLeast"/>
        <w:jc w:val="right"/>
        <w:sectPr>
          <w:headerReference r:id="rId10" w:type="default"/>
          <w:footerReference r:id="rId11" w:type="default"/>
          <w:pgSz w:w="11905" w:h="16838"/>
          <w:pgMar w:top="1361" w:right="1417" w:bottom="1361" w:left="1417" w:header="850" w:footer="992" w:gutter="0"/>
          <w:pgNumType w:start="1"/>
          <w:cols w:space="720" w:num="1"/>
          <w:docGrid w:type="lines" w:linePitch="335" w:charSpace="0"/>
        </w:sectPr>
      </w:pPr>
    </w:p>
    <w:p>
      <w:pPr>
        <w:rPr>
          <w:rFonts w:hint="eastAsia"/>
          <w:b/>
          <w:sz w:val="32"/>
        </w:rPr>
      </w:pPr>
    </w:p>
    <w:p>
      <w:pPr>
        <w:keepNext/>
        <w:keepLines/>
        <w:snapToGrid w:val="0"/>
        <w:spacing w:before="260" w:after="260" w:line="360" w:lineRule="auto"/>
        <w:jc w:val="center"/>
        <w:rPr>
          <w:b/>
          <w:sz w:val="32"/>
        </w:rPr>
      </w:pPr>
      <w:r>
        <w:rPr>
          <w:rFonts w:hint="eastAsia"/>
          <w:b/>
          <w:sz w:val="32"/>
          <w:lang w:val="en-US" w:eastAsia="zh-CN"/>
        </w:rPr>
        <w:t>六</w:t>
      </w:r>
      <w:r>
        <w:rPr>
          <w:rFonts w:hint="eastAsia"/>
          <w:b/>
          <w:sz w:val="32"/>
        </w:rPr>
        <w:t>、拟派往本招标工程施工项目负责人简历表</w:t>
      </w:r>
    </w:p>
    <w:p>
      <w:pPr>
        <w:tabs>
          <w:tab w:val="left" w:pos="993"/>
        </w:tabs>
        <w:snapToGrid w:val="0"/>
        <w:spacing w:line="360" w:lineRule="auto"/>
        <w:rPr>
          <w:u w:val="single"/>
        </w:rPr>
      </w:pPr>
      <w:r>
        <w:rPr>
          <w:rFonts w:hint="eastAsia"/>
        </w:rPr>
        <w:t>招标人名称</w:t>
      </w:r>
      <w:r>
        <w:rPr>
          <w:rFonts w:hint="eastAsia"/>
          <w:u w:val="single"/>
        </w:rPr>
        <w:t xml:space="preserve">                                       </w:t>
      </w:r>
    </w:p>
    <w:tbl>
      <w:tblPr>
        <w:tblStyle w:val="61"/>
        <w:tblW w:w="0" w:type="auto"/>
        <w:tblInd w:w="0" w:type="dxa"/>
        <w:tblLayout w:type="fixed"/>
        <w:tblCellMar>
          <w:top w:w="0" w:type="dxa"/>
          <w:left w:w="0" w:type="dxa"/>
          <w:bottom w:w="0" w:type="dxa"/>
          <w:right w:w="0" w:type="dxa"/>
        </w:tblCellMar>
      </w:tblPr>
      <w:tblGrid>
        <w:gridCol w:w="1008"/>
        <w:gridCol w:w="700"/>
        <w:gridCol w:w="1280"/>
        <w:gridCol w:w="180"/>
        <w:gridCol w:w="640"/>
        <w:gridCol w:w="400"/>
        <w:gridCol w:w="900"/>
        <w:gridCol w:w="100"/>
        <w:gridCol w:w="880"/>
        <w:gridCol w:w="564"/>
        <w:gridCol w:w="636"/>
        <w:gridCol w:w="325"/>
        <w:gridCol w:w="539"/>
        <w:gridCol w:w="1200"/>
      </w:tblGrid>
      <w:tr>
        <w:trPr>
          <w:trHeight w:val="631" w:hRule="atLeast"/>
        </w:trPr>
        <w:tc>
          <w:tcPr>
            <w:tcW w:w="100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姓名</w:t>
            </w:r>
          </w:p>
        </w:tc>
        <w:tc>
          <w:tcPr>
            <w:tcW w:w="216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04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性别</w:t>
            </w:r>
          </w:p>
        </w:tc>
        <w:tc>
          <w:tcPr>
            <w:tcW w:w="188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年龄</w:t>
            </w:r>
          </w:p>
        </w:tc>
        <w:tc>
          <w:tcPr>
            <w:tcW w:w="206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631" w:hRule="atLeast"/>
        </w:trPr>
        <w:tc>
          <w:tcPr>
            <w:tcW w:w="100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职务</w:t>
            </w:r>
          </w:p>
        </w:tc>
        <w:tc>
          <w:tcPr>
            <w:tcW w:w="216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04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职称</w:t>
            </w:r>
          </w:p>
        </w:tc>
        <w:tc>
          <w:tcPr>
            <w:tcW w:w="188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学历</w:t>
            </w:r>
          </w:p>
        </w:tc>
        <w:tc>
          <w:tcPr>
            <w:tcW w:w="206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631" w:hRule="atLeast"/>
        </w:trPr>
        <w:tc>
          <w:tcPr>
            <w:tcW w:w="298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参加工作时间</w:t>
            </w:r>
          </w:p>
        </w:tc>
        <w:tc>
          <w:tcPr>
            <w:tcW w:w="2220" w:type="dxa"/>
            <w:gridSpan w:val="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405"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担任项目负责人/技术负责人年限</w:t>
            </w:r>
          </w:p>
        </w:tc>
        <w:tc>
          <w:tcPr>
            <w:tcW w:w="1739"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631" w:hRule="atLeast"/>
        </w:trPr>
        <w:tc>
          <w:tcPr>
            <w:tcW w:w="298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注册证书编号</w:t>
            </w:r>
          </w:p>
        </w:tc>
        <w:tc>
          <w:tcPr>
            <w:tcW w:w="6364" w:type="dxa"/>
            <w:gridSpan w:val="11"/>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610" w:hRule="atLeast"/>
        </w:trPr>
        <w:tc>
          <w:tcPr>
            <w:tcW w:w="9352"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在建和已完工程项目情况</w:t>
            </w:r>
          </w:p>
        </w:tc>
      </w:tr>
      <w:tr>
        <w:tblPrEx>
          <w:tblCellMar>
            <w:top w:w="0" w:type="dxa"/>
            <w:left w:w="0" w:type="dxa"/>
            <w:bottom w:w="0" w:type="dxa"/>
            <w:right w:w="0" w:type="dxa"/>
          </w:tblCellMar>
        </w:tblPrEx>
        <w:trPr>
          <w:trHeight w:val="631"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建设单位</w:t>
            </w: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项目名称</w:t>
            </w: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建设规模</w:t>
            </w: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ind w:left="-120" w:right="-120"/>
              <w:jc w:val="center"/>
            </w:pPr>
            <w:r>
              <w:rPr>
                <w:rFonts w:hint="eastAsia"/>
              </w:rPr>
              <w:t>开、竣工日期</w:t>
            </w: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在建或已完</w:t>
            </w: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r>
              <w:rPr>
                <w:rFonts w:hint="eastAsia"/>
              </w:rPr>
              <w:t>工程质量</w:t>
            </w:r>
          </w:p>
        </w:tc>
      </w:tr>
      <w:tr>
        <w:tblPrEx>
          <w:tblCellMar>
            <w:top w:w="0" w:type="dxa"/>
            <w:left w:w="0" w:type="dxa"/>
            <w:bottom w:w="0" w:type="dxa"/>
            <w:right w:w="0" w:type="dxa"/>
          </w:tblCellMar>
        </w:tblPrEx>
        <w:trPr>
          <w:trHeight w:val="549"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70"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49"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49"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70"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49"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49"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49"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70"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49"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49"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49"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r>
        <w:tblPrEx>
          <w:tblCellMar>
            <w:top w:w="0" w:type="dxa"/>
            <w:left w:w="0" w:type="dxa"/>
            <w:bottom w:w="0" w:type="dxa"/>
            <w:right w:w="0" w:type="dxa"/>
          </w:tblCellMar>
        </w:tblPrEx>
        <w:trPr>
          <w:trHeight w:val="570" w:hRule="atLeast"/>
        </w:trPr>
        <w:tc>
          <w:tcPr>
            <w:tcW w:w="17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21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30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4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5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993"/>
              </w:tabs>
              <w:snapToGrid w:val="0"/>
              <w:spacing w:line="360" w:lineRule="auto"/>
              <w:jc w:val="center"/>
            </w:pPr>
          </w:p>
        </w:tc>
      </w:tr>
    </w:tbl>
    <w:p>
      <w:pPr>
        <w:tabs>
          <w:tab w:val="left" w:pos="993"/>
        </w:tabs>
        <w:snapToGrid w:val="0"/>
        <w:spacing w:line="360" w:lineRule="auto"/>
        <w:jc w:val="center"/>
        <w:rPr>
          <w:b/>
          <w:sz w:val="32"/>
        </w:rPr>
      </w:pPr>
      <w:r>
        <w:rPr>
          <w:rFonts w:hint="eastAsia"/>
          <w:b/>
          <w:sz w:val="32"/>
          <w:lang w:val="en-US" w:eastAsia="zh-CN"/>
        </w:rPr>
        <w:t>七</w:t>
      </w:r>
      <w:r>
        <w:rPr>
          <w:rFonts w:hint="eastAsia"/>
          <w:b/>
          <w:sz w:val="32"/>
        </w:rPr>
        <w:t>、项目管理机构组成表</w:t>
      </w:r>
    </w:p>
    <w:tbl>
      <w:tblPr>
        <w:tblStyle w:val="61"/>
        <w:tblW w:w="0" w:type="auto"/>
        <w:tblInd w:w="0" w:type="dxa"/>
        <w:tblLayout w:type="fixed"/>
        <w:tblCellMar>
          <w:top w:w="0" w:type="dxa"/>
          <w:left w:w="0" w:type="dxa"/>
          <w:bottom w:w="0" w:type="dxa"/>
          <w:right w:w="0" w:type="dxa"/>
        </w:tblCellMar>
      </w:tblPr>
      <w:tblGrid>
        <w:gridCol w:w="925"/>
        <w:gridCol w:w="924"/>
        <w:gridCol w:w="924"/>
        <w:gridCol w:w="1560"/>
        <w:gridCol w:w="924"/>
        <w:gridCol w:w="924"/>
        <w:gridCol w:w="924"/>
        <w:gridCol w:w="1560"/>
        <w:gridCol w:w="924"/>
      </w:tblGrid>
      <w:tr>
        <w:tblPrEx>
          <w:tblCellMar>
            <w:top w:w="0" w:type="dxa"/>
            <w:left w:w="0" w:type="dxa"/>
            <w:bottom w:w="0" w:type="dxa"/>
            <w:right w:w="0" w:type="dxa"/>
          </w:tblCellMar>
        </w:tblPrEx>
        <w:trPr>
          <w:trHeight w:val="788" w:hRule="atLeast"/>
        </w:trPr>
        <w:tc>
          <w:tcPr>
            <w:tcW w:w="925"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jc w:val="center"/>
              <w:rPr>
                <w:b/>
              </w:rPr>
            </w:pPr>
            <w:r>
              <w:rPr>
                <w:rFonts w:hint="eastAsia"/>
                <w:b/>
              </w:rPr>
              <w:t>职务</w:t>
            </w:r>
          </w:p>
        </w:tc>
        <w:tc>
          <w:tcPr>
            <w:tcW w:w="92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jc w:val="center"/>
              <w:rPr>
                <w:b/>
              </w:rPr>
            </w:pPr>
            <w:r>
              <w:rPr>
                <w:rFonts w:hint="eastAsia"/>
                <w:b/>
              </w:rPr>
              <w:t>姓名</w:t>
            </w:r>
          </w:p>
        </w:tc>
        <w:tc>
          <w:tcPr>
            <w:tcW w:w="92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jc w:val="center"/>
              <w:rPr>
                <w:b/>
              </w:rPr>
            </w:pPr>
            <w:r>
              <w:rPr>
                <w:rFonts w:hint="eastAsia"/>
                <w:b/>
              </w:rPr>
              <w:t>职称</w:t>
            </w:r>
          </w:p>
        </w:tc>
        <w:tc>
          <w:tcPr>
            <w:tcW w:w="5892" w:type="dxa"/>
            <w:gridSpan w:val="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jc w:val="center"/>
              <w:rPr>
                <w:b/>
              </w:rPr>
            </w:pPr>
            <w:r>
              <w:rPr>
                <w:rFonts w:hint="eastAsia"/>
                <w:b/>
              </w:rPr>
              <w:t>执业或职业资格证明</w:t>
            </w: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rPr>
                <w:b/>
              </w:rPr>
            </w:pPr>
            <w:r>
              <w:rPr>
                <w:rFonts w:hint="eastAsia"/>
                <w:b/>
              </w:rPr>
              <w:t>备注</w:t>
            </w:r>
          </w:p>
        </w:tc>
      </w:tr>
      <w:tr>
        <w:tblPrEx>
          <w:tblCellMar>
            <w:top w:w="0" w:type="dxa"/>
            <w:left w:w="0" w:type="dxa"/>
            <w:bottom w:w="0" w:type="dxa"/>
            <w:right w:w="0" w:type="dxa"/>
          </w:tblCellMar>
        </w:tblPrEx>
        <w:trPr>
          <w:trHeight w:val="788" w:hRule="atLeast"/>
        </w:trPr>
        <w:tc>
          <w:tcPr>
            <w:tcW w:w="92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rPr>
                <w:b/>
              </w:rPr>
            </w:pPr>
          </w:p>
        </w:tc>
        <w:tc>
          <w:tcPr>
            <w:tcW w:w="92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rPr>
                <w:b/>
              </w:rPr>
            </w:pPr>
          </w:p>
        </w:tc>
        <w:tc>
          <w:tcPr>
            <w:tcW w:w="92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rPr>
                <w:b/>
              </w:rPr>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jc w:val="center"/>
              <w:rPr>
                <w:b/>
              </w:rPr>
            </w:pPr>
            <w:r>
              <w:rPr>
                <w:rFonts w:hint="eastAsia"/>
                <w:b/>
              </w:rPr>
              <w:t>证书名称</w:t>
            </w: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jc w:val="center"/>
              <w:rPr>
                <w:b/>
              </w:rPr>
            </w:pPr>
            <w:r>
              <w:rPr>
                <w:rFonts w:hint="eastAsia"/>
                <w:b/>
              </w:rPr>
              <w:t>级别</w:t>
            </w: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jc w:val="center"/>
              <w:rPr>
                <w:b/>
              </w:rPr>
            </w:pPr>
            <w:r>
              <w:rPr>
                <w:rFonts w:hint="eastAsia"/>
                <w:b/>
              </w:rPr>
              <w:t>证号</w:t>
            </w: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jc w:val="center"/>
              <w:rPr>
                <w:b/>
              </w:rPr>
            </w:pPr>
            <w:r>
              <w:rPr>
                <w:rFonts w:hint="eastAsia"/>
                <w:b/>
              </w:rPr>
              <w:t>专业</w:t>
            </w: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460" w:lineRule="exact"/>
              <w:jc w:val="center"/>
              <w:rPr>
                <w:b/>
              </w:rPr>
            </w:pPr>
            <w:r>
              <w:rPr>
                <w:rFonts w:hint="eastAsia"/>
                <w:b/>
              </w:rPr>
              <w:t>社会保险</w:t>
            </w: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rPr>
                <w:b/>
              </w:rPr>
            </w:pPr>
          </w:p>
        </w:tc>
      </w:tr>
      <w:tr>
        <w:tblPrEx>
          <w:tblCellMar>
            <w:top w:w="0" w:type="dxa"/>
            <w:left w:w="0" w:type="dxa"/>
            <w:bottom w:w="0" w:type="dxa"/>
            <w:right w:w="0" w:type="dxa"/>
          </w:tblCellMar>
        </w:tblPrEx>
        <w:trPr>
          <w:trHeight w:val="814"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r>
        <w:tblPrEx>
          <w:tblCellMar>
            <w:top w:w="0" w:type="dxa"/>
            <w:left w:w="0" w:type="dxa"/>
            <w:bottom w:w="0" w:type="dxa"/>
            <w:right w:w="0" w:type="dxa"/>
          </w:tblCellMar>
        </w:tblPrEx>
        <w:trPr>
          <w:trHeight w:val="788"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r>
        <w:tblPrEx>
          <w:tblCellMar>
            <w:top w:w="0" w:type="dxa"/>
            <w:left w:w="0" w:type="dxa"/>
            <w:bottom w:w="0" w:type="dxa"/>
            <w:right w:w="0" w:type="dxa"/>
          </w:tblCellMar>
        </w:tblPrEx>
        <w:trPr>
          <w:trHeight w:val="788"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r>
        <w:tblPrEx>
          <w:tblCellMar>
            <w:top w:w="0" w:type="dxa"/>
            <w:left w:w="0" w:type="dxa"/>
            <w:bottom w:w="0" w:type="dxa"/>
            <w:right w:w="0" w:type="dxa"/>
          </w:tblCellMar>
        </w:tblPrEx>
        <w:trPr>
          <w:trHeight w:val="814"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r>
        <w:tblPrEx>
          <w:tblCellMar>
            <w:top w:w="0" w:type="dxa"/>
            <w:left w:w="0" w:type="dxa"/>
            <w:bottom w:w="0" w:type="dxa"/>
            <w:right w:w="0" w:type="dxa"/>
          </w:tblCellMar>
        </w:tblPrEx>
        <w:trPr>
          <w:trHeight w:val="788"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r>
        <w:tblPrEx>
          <w:tblCellMar>
            <w:top w:w="0" w:type="dxa"/>
            <w:left w:w="0" w:type="dxa"/>
            <w:bottom w:w="0" w:type="dxa"/>
            <w:right w:w="0" w:type="dxa"/>
          </w:tblCellMar>
        </w:tblPrEx>
        <w:trPr>
          <w:trHeight w:val="788"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r>
        <w:tblPrEx>
          <w:tblCellMar>
            <w:top w:w="0" w:type="dxa"/>
            <w:left w:w="0" w:type="dxa"/>
            <w:bottom w:w="0" w:type="dxa"/>
            <w:right w:w="0" w:type="dxa"/>
          </w:tblCellMar>
        </w:tblPrEx>
        <w:trPr>
          <w:trHeight w:val="814"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r>
        <w:tblPrEx>
          <w:tblCellMar>
            <w:top w:w="0" w:type="dxa"/>
            <w:left w:w="0" w:type="dxa"/>
            <w:bottom w:w="0" w:type="dxa"/>
            <w:right w:w="0" w:type="dxa"/>
          </w:tblCellMar>
        </w:tblPrEx>
        <w:trPr>
          <w:trHeight w:val="814"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r>
        <w:tblPrEx>
          <w:tblCellMar>
            <w:top w:w="0" w:type="dxa"/>
            <w:left w:w="0" w:type="dxa"/>
            <w:bottom w:w="0" w:type="dxa"/>
            <w:right w:w="0" w:type="dxa"/>
          </w:tblCellMar>
        </w:tblPrEx>
        <w:trPr>
          <w:trHeight w:val="814"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r>
        <w:tblPrEx>
          <w:tblCellMar>
            <w:top w:w="0" w:type="dxa"/>
            <w:left w:w="0" w:type="dxa"/>
            <w:bottom w:w="0" w:type="dxa"/>
            <w:right w:w="0" w:type="dxa"/>
          </w:tblCellMar>
        </w:tblPrEx>
        <w:trPr>
          <w:trHeight w:val="814" w:hRule="atLeast"/>
        </w:trPr>
        <w:tc>
          <w:tcPr>
            <w:tcW w:w="9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c>
          <w:tcPr>
            <w:tcW w:w="9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460" w:lineRule="exact"/>
            </w:pPr>
          </w:p>
        </w:tc>
      </w:tr>
    </w:tbl>
    <w:p>
      <w:pPr>
        <w:snapToGrid w:val="0"/>
        <w:spacing w:line="360" w:lineRule="auto"/>
        <w:ind w:firstLine="480"/>
        <w:rPr>
          <w:b/>
          <w:sz w:val="36"/>
        </w:rPr>
      </w:pPr>
    </w:p>
    <w:p>
      <w:pPr>
        <w:spacing w:beforeLines="50" w:afterLines="50" w:line="480" w:lineRule="exact"/>
        <w:jc w:val="center"/>
        <w:rPr>
          <w:b/>
          <w:sz w:val="32"/>
        </w:rPr>
      </w:pPr>
      <w:r>
        <w:br w:type="page"/>
      </w:r>
      <w:r>
        <w:rPr>
          <w:rFonts w:hint="eastAsia"/>
          <w:b/>
          <w:sz w:val="32"/>
          <w:lang w:val="en-US" w:eastAsia="zh-CN"/>
        </w:rPr>
        <w:t>八</w:t>
      </w:r>
      <w:r>
        <w:rPr>
          <w:rFonts w:hint="eastAsia"/>
          <w:b/>
          <w:sz w:val="32"/>
        </w:rPr>
        <w:t>、诚信承诺书</w:t>
      </w:r>
    </w:p>
    <w:p>
      <w:pPr>
        <w:widowControl/>
        <w:snapToGrid w:val="0"/>
        <w:spacing w:line="360" w:lineRule="auto"/>
        <w:jc w:val="left"/>
      </w:pPr>
      <w:r>
        <w:rPr>
          <w:rFonts w:hint="eastAsia"/>
          <w:u w:val="single"/>
        </w:rPr>
        <w:t xml:space="preserve">                          </w:t>
      </w:r>
      <w:r>
        <w:rPr>
          <w:rFonts w:hint="eastAsia"/>
        </w:rPr>
        <w:t>：</w:t>
      </w:r>
    </w:p>
    <w:p>
      <w:pPr>
        <w:widowControl/>
        <w:snapToGrid w:val="0"/>
        <w:spacing w:line="360" w:lineRule="auto"/>
        <w:ind w:firstLine="448"/>
        <w:jc w:val="left"/>
      </w:pPr>
      <w:r>
        <w:rPr>
          <w:rFonts w:hint="eastAsia"/>
        </w:rPr>
        <w:t>我方参加你方的</w:t>
      </w:r>
      <w:r>
        <w:rPr>
          <w:rFonts w:hint="eastAsia"/>
          <w:b/>
          <w:u w:val="single"/>
        </w:rPr>
        <w:t xml:space="preserve">                          </w:t>
      </w:r>
      <w:r>
        <w:rPr>
          <w:rFonts w:hint="eastAsia"/>
        </w:rPr>
        <w:t>（以下简称“本工程”）的投标，现我方法定代表人向你方慎重承诺：</w:t>
      </w:r>
    </w:p>
    <w:p>
      <w:pPr>
        <w:widowControl/>
        <w:snapToGrid w:val="0"/>
        <w:spacing w:line="360" w:lineRule="auto"/>
        <w:ind w:firstLine="424" w:firstLineChars="177"/>
        <w:jc w:val="left"/>
      </w:pPr>
      <w:r>
        <w:rPr>
          <w:rFonts w:hint="eastAsia"/>
        </w:rPr>
        <w:t>1、我方拟派项目负责人未同时在两个或两个以上单位受聘或者执业：(1)未同时在两个及以上单位签订劳动合同或交纳社会保险；(2)未将本人执（职）业资格证书同时注册在两个及以上单位。</w:t>
      </w:r>
    </w:p>
    <w:p>
      <w:pPr>
        <w:snapToGrid w:val="0"/>
        <w:spacing w:line="360" w:lineRule="auto"/>
        <w:ind w:firstLine="424" w:firstLineChars="177"/>
        <w:jc w:val="left"/>
      </w:pPr>
      <w:r>
        <w:rPr>
          <w:rFonts w:hint="eastAsia"/>
        </w:rPr>
        <w:t>2、我方拟派项目施工负责人</w:t>
      </w:r>
      <w:r>
        <w:rPr>
          <w:rFonts w:hint="eastAsia"/>
          <w:u w:val="single"/>
        </w:rPr>
        <w:t xml:space="preserve">          </w:t>
      </w:r>
      <w:r>
        <w:rPr>
          <w:rFonts w:hint="eastAsia"/>
        </w:rPr>
        <w:t>无在建工程，如果我方经本工程评标委员会评定为中标候选人，在公示期间被他人举报并经招标投标监管机构核实，确认拟派项目负责人有在建工程，且不符合江苏省建设厅“苏建规字（2017）1号”《 省住房和城乡建设厅关于改革和完善房屋建筑和市政基础设施工程招标投标制度的实施意见》附件一《江苏省房屋建筑和市政基础设施工程施工招标资格审查办法》第十条第五款的规定，你方即可取消我方中标候选人资格，并同意投标保证金不予退还。</w:t>
      </w:r>
    </w:p>
    <w:p>
      <w:pPr>
        <w:widowControl/>
        <w:snapToGrid w:val="0"/>
        <w:spacing w:line="360" w:lineRule="auto"/>
        <w:ind w:firstLine="448"/>
        <w:jc w:val="left"/>
      </w:pPr>
      <w:r>
        <w:rPr>
          <w:rFonts w:hint="eastAsia"/>
        </w:rPr>
        <w:t>3、我单位不存在下列任何情形：</w:t>
      </w:r>
    </w:p>
    <w:p>
      <w:pPr>
        <w:widowControl/>
        <w:snapToGrid w:val="0"/>
        <w:spacing w:line="360" w:lineRule="auto"/>
        <w:ind w:firstLine="448"/>
        <w:jc w:val="left"/>
      </w:pPr>
      <w:r>
        <w:rPr>
          <w:rFonts w:hint="eastAsia"/>
        </w:rPr>
        <w:t>①为招标人不具有独立法人资格的附属机构（单位）；</w:t>
      </w:r>
    </w:p>
    <w:p>
      <w:pPr>
        <w:widowControl/>
        <w:snapToGrid w:val="0"/>
        <w:spacing w:line="360" w:lineRule="auto"/>
        <w:ind w:firstLine="448"/>
        <w:jc w:val="left"/>
      </w:pPr>
      <w:r>
        <w:rPr>
          <w:rFonts w:hint="eastAsia"/>
        </w:rPr>
        <w:t>②为本招标项目的监理人、代建人、项目管理人，以及为本招标项目提供招标代理、设计服务的；</w:t>
      </w:r>
    </w:p>
    <w:p>
      <w:pPr>
        <w:widowControl/>
        <w:snapToGrid w:val="0"/>
        <w:spacing w:line="360" w:lineRule="auto"/>
        <w:ind w:firstLine="448"/>
        <w:jc w:val="left"/>
      </w:pPr>
      <w:r>
        <w:rPr>
          <w:rFonts w:hint="eastAsia"/>
        </w:rPr>
        <w:t>③与本招标项目的监理人、代建人、招标代理机构同为一个法定代表人的，或者相互控股、参股的；</w:t>
      </w:r>
    </w:p>
    <w:p>
      <w:pPr>
        <w:widowControl/>
        <w:snapToGrid w:val="0"/>
        <w:spacing w:line="360" w:lineRule="auto"/>
        <w:ind w:firstLine="448"/>
        <w:jc w:val="left"/>
      </w:pPr>
      <w:r>
        <w:rPr>
          <w:rFonts w:hint="eastAsia"/>
        </w:rPr>
        <w:t>④与招标人存在厉害关系可能影响招标公正性的；</w:t>
      </w:r>
    </w:p>
    <w:p>
      <w:pPr>
        <w:widowControl/>
        <w:snapToGrid w:val="0"/>
        <w:spacing w:line="360" w:lineRule="auto"/>
        <w:ind w:firstLine="448"/>
        <w:jc w:val="left"/>
      </w:pPr>
      <w:r>
        <w:rPr>
          <w:rFonts w:hint="eastAsia"/>
        </w:rPr>
        <w:t>⑤单位负责人为同一人或者存在控股、管理关系的不同单位；</w:t>
      </w:r>
    </w:p>
    <w:p>
      <w:pPr>
        <w:widowControl/>
        <w:snapToGrid w:val="0"/>
        <w:spacing w:line="360" w:lineRule="auto"/>
        <w:ind w:firstLine="448"/>
        <w:jc w:val="left"/>
      </w:pPr>
      <w:r>
        <w:rPr>
          <w:rFonts w:hint="eastAsia"/>
        </w:rPr>
        <w:t>⑥处于被责令停业、财产被接管、冻结和破产状态，以及投标资格被取消或者被暂停且在暂停期内的；</w:t>
      </w:r>
    </w:p>
    <w:p>
      <w:pPr>
        <w:widowControl/>
        <w:snapToGrid w:val="0"/>
        <w:spacing w:line="360" w:lineRule="auto"/>
        <w:ind w:firstLine="448"/>
        <w:jc w:val="left"/>
      </w:pPr>
      <w:r>
        <w:rPr>
          <w:rFonts w:hint="eastAsia"/>
        </w:rPr>
        <w:t>⑦因拖欠工人工资或者因发生质量安全事故被有关部门限制在招标项目所在地承接工程的；</w:t>
      </w:r>
    </w:p>
    <w:p>
      <w:pPr>
        <w:widowControl/>
        <w:snapToGrid w:val="0"/>
        <w:spacing w:line="360" w:lineRule="auto"/>
        <w:ind w:firstLine="448"/>
        <w:jc w:val="left"/>
      </w:pPr>
      <w:r>
        <w:rPr>
          <w:rFonts w:hint="eastAsia"/>
        </w:rPr>
        <w:t>⑧</w:t>
      </w:r>
      <w:r>
        <w:rPr>
          <w:rFonts w:hint="eastAsia"/>
          <w:szCs w:val="21"/>
        </w:rPr>
        <w:t>投标人近3年内有行贿犯罪行为且被记录，或者法定代表人有行贿犯罪记录且自记录之日起未超过5年的。</w:t>
      </w:r>
    </w:p>
    <w:p>
      <w:pPr>
        <w:widowControl/>
        <w:snapToGrid w:val="0"/>
        <w:spacing w:line="360" w:lineRule="auto"/>
        <w:ind w:firstLine="460"/>
        <w:jc w:val="left"/>
      </w:pPr>
      <w:r>
        <w:rPr>
          <w:rFonts w:hint="eastAsia"/>
        </w:rPr>
        <w:t>4、企业财务和经营状况良好，具备履行合同能力；未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pPr>
        <w:widowControl/>
        <w:snapToGrid w:val="0"/>
        <w:spacing w:line="360" w:lineRule="auto"/>
        <w:ind w:firstLine="460"/>
        <w:jc w:val="left"/>
      </w:pPr>
      <w:r>
        <w:rPr>
          <w:rFonts w:hint="eastAsia"/>
        </w:rPr>
        <w:t>5、我方严格执行《江苏省工程建设领域违法违纪违规行为防治办法》（苏建监[2004]272号），在江苏省内无因该办法第六条列举且被县级及以上建设行政主管部门作出的在有效期内的处罚决定事项的承包人的不当行为。</w:t>
      </w:r>
    </w:p>
    <w:p>
      <w:pPr>
        <w:widowControl/>
        <w:snapToGrid w:val="0"/>
        <w:spacing w:line="360" w:lineRule="auto"/>
        <w:ind w:firstLine="448"/>
        <w:jc w:val="left"/>
      </w:pPr>
      <w:r>
        <w:rPr>
          <w:rFonts w:hint="eastAsia"/>
        </w:rPr>
        <w:t>6、本单位递交的投标文件中的所有资料都是真实可信的，没有弄虚作假。</w:t>
      </w:r>
    </w:p>
    <w:p>
      <w:pPr>
        <w:snapToGrid w:val="0"/>
        <w:spacing w:line="360" w:lineRule="auto"/>
        <w:ind w:firstLine="460"/>
        <w:jc w:val="left"/>
      </w:pPr>
      <w:r>
        <w:rPr>
          <w:rFonts w:hint="eastAsia"/>
        </w:rPr>
        <w:t>7、我单位保证在本工程项目投标中不组织、不参与串标围标、绝无借资质、挂靠、提供虚假材料等违法违规行为。</w:t>
      </w:r>
    </w:p>
    <w:p>
      <w:pPr>
        <w:snapToGrid w:val="0"/>
        <w:spacing w:line="360" w:lineRule="auto"/>
        <w:ind w:firstLine="460"/>
        <w:jc w:val="left"/>
      </w:pPr>
      <w:r>
        <w:rPr>
          <w:rFonts w:hint="eastAsia"/>
        </w:rPr>
        <w:t>8、我单位保证在本工程项目投标中遵守国家廉政相关规定，无失信、行贿等不良行为。</w:t>
      </w:r>
    </w:p>
    <w:p>
      <w:pPr>
        <w:widowControl/>
        <w:snapToGrid w:val="0"/>
        <w:spacing w:line="360" w:lineRule="auto"/>
        <w:ind w:firstLine="448"/>
        <w:jc w:val="left"/>
      </w:pPr>
      <w:r>
        <w:rPr>
          <w:rFonts w:hint="eastAsia"/>
        </w:rPr>
        <w:t>9、如果以后涉及招标投标方面的投诉举报，我方将严格按照《工程建设项目招标投标活动投诉处理办法》（七部委第11号令）的规定进行投诉，否则，招标人可以不予受理。</w:t>
      </w:r>
    </w:p>
    <w:p>
      <w:pPr>
        <w:widowControl/>
        <w:spacing w:line="360" w:lineRule="auto"/>
        <w:ind w:firstLine="480" w:firstLineChars="200"/>
        <w:jc w:val="left"/>
      </w:pPr>
      <w:r>
        <w:rPr>
          <w:rFonts w:hint="eastAsia"/>
        </w:rPr>
        <w:t>10、</w:t>
      </w:r>
      <w:r>
        <w:rPr>
          <w:rFonts w:hint="eastAsia"/>
          <w:szCs w:val="21"/>
        </w:rPr>
        <w:t>我方保证：如我方中标，确保在公示结束后十天内提交符合要求的履约保证金并签订施工合同，中标公示期结束后立即进场施工，并在规定的合同工期内完成施工任务。如在规定的合同工期内未完成施工任务，即可认为我方施工组织不力。</w:t>
      </w:r>
    </w:p>
    <w:p>
      <w:pPr>
        <w:widowControl/>
        <w:spacing w:line="360" w:lineRule="auto"/>
        <w:ind w:firstLine="480" w:firstLineChars="200"/>
        <w:jc w:val="left"/>
        <w:rPr>
          <w:szCs w:val="21"/>
        </w:rPr>
      </w:pPr>
      <w:r>
        <w:rPr>
          <w:rFonts w:hint="eastAsia"/>
        </w:rPr>
        <w:t>11、我方保证：如中标，确保在中标结果公告结束后</w:t>
      </w:r>
      <w:r>
        <w:rPr>
          <w:rFonts w:hint="eastAsia"/>
          <w:szCs w:val="21"/>
        </w:rPr>
        <w:t>我方法定代表人、项目负责人、管理人员来参加你方组织的约谈。如在规定的时间内未能前来参加法人约谈，即可认为我方主动放弃中标候选人资格，并同意投标保证金不予退还。</w:t>
      </w:r>
    </w:p>
    <w:p>
      <w:pPr>
        <w:widowControl/>
        <w:spacing w:line="360" w:lineRule="auto"/>
        <w:ind w:firstLine="480" w:firstLineChars="200"/>
        <w:jc w:val="left"/>
        <w:rPr>
          <w:szCs w:val="21"/>
        </w:rPr>
      </w:pPr>
      <w:r>
        <w:rPr>
          <w:rFonts w:hint="eastAsia"/>
          <w:szCs w:val="21"/>
        </w:rPr>
        <w:t>12、我方保证：除非不可抗力因素，整个施工期内不更换项目负责人。如在规定的时间内未能驻场，我方自愿放弃中标资格。</w:t>
      </w:r>
    </w:p>
    <w:p>
      <w:pPr>
        <w:widowControl/>
        <w:snapToGrid w:val="0"/>
        <w:spacing w:line="360" w:lineRule="auto"/>
        <w:ind w:firstLine="448"/>
        <w:jc w:val="left"/>
      </w:pPr>
    </w:p>
    <w:p>
      <w:pPr>
        <w:snapToGrid w:val="0"/>
        <w:spacing w:line="360" w:lineRule="auto"/>
        <w:ind w:firstLine="462"/>
        <w:rPr>
          <w:b/>
        </w:rPr>
      </w:pPr>
      <w:r>
        <w:rPr>
          <w:rFonts w:hint="eastAsia"/>
          <w:b/>
        </w:rPr>
        <w:t>我方承诺：违反上述任何一条承诺，愿意接受任何处罚，包括同意你方取消我方中标资格并不予退还投标保证金或履约保证金，并愿意接受招标人和监管部门的</w:t>
      </w:r>
      <w:r>
        <w:rPr>
          <w:rFonts w:hint="eastAsia"/>
          <w:b/>
          <w:lang w:val="en-US" w:eastAsia="zh-CN"/>
        </w:rPr>
        <w:t>处理</w:t>
      </w:r>
      <w:r>
        <w:rPr>
          <w:rFonts w:hint="eastAsia"/>
          <w:b/>
        </w:rPr>
        <w:t>。</w:t>
      </w:r>
    </w:p>
    <w:p>
      <w:pPr>
        <w:snapToGrid w:val="0"/>
        <w:spacing w:line="370" w:lineRule="exact"/>
        <w:ind w:firstLine="462"/>
        <w:rPr>
          <w:b/>
        </w:rPr>
      </w:pPr>
    </w:p>
    <w:p>
      <w:pPr>
        <w:snapToGrid w:val="0"/>
        <w:spacing w:line="360" w:lineRule="auto"/>
      </w:pPr>
      <w:r>
        <w:rPr>
          <w:rFonts w:hint="eastAsia"/>
        </w:rPr>
        <w:t>投标人(盖单位章)：</w:t>
      </w:r>
      <w:r>
        <w:rPr>
          <w:rFonts w:hint="eastAsia"/>
          <w:u w:val="single"/>
        </w:rPr>
        <w:t xml:space="preserve">                               </w:t>
      </w:r>
    </w:p>
    <w:p>
      <w:pPr>
        <w:snapToGrid w:val="0"/>
        <w:spacing w:line="360" w:lineRule="auto"/>
        <w:rPr>
          <w:u w:val="single"/>
        </w:rPr>
      </w:pPr>
      <w:r>
        <w:rPr>
          <w:rFonts w:hint="eastAsia"/>
        </w:rPr>
        <w:t>法定代表人或委托代理人(签字或盖章)：</w:t>
      </w:r>
      <w:r>
        <w:rPr>
          <w:rFonts w:hint="eastAsia"/>
          <w:u w:val="single"/>
        </w:rPr>
        <w:t xml:space="preserve">                        </w:t>
      </w:r>
    </w:p>
    <w:p>
      <w:pPr>
        <w:snapToGrid w:val="0"/>
        <w:spacing w:line="400" w:lineRule="exact"/>
        <w:ind w:right="-1"/>
        <w:rPr>
          <w:b/>
        </w:rPr>
      </w:pPr>
      <w:r>
        <w:rPr>
          <w:rFonts w:hint="eastAsia"/>
        </w:rPr>
        <w:t>日期：     年    月    日</w:t>
      </w:r>
      <w:r>
        <w:rPr>
          <w:szCs w:val="21"/>
        </w:rPr>
        <w:t xml:space="preserve"> </w:t>
      </w:r>
    </w:p>
    <w:p>
      <w:pPr>
        <w:tabs>
          <w:tab w:val="left" w:pos="993"/>
        </w:tabs>
        <w:spacing w:line="360" w:lineRule="auto"/>
        <w:jc w:val="center"/>
        <w:rPr>
          <w:b/>
          <w:sz w:val="32"/>
        </w:rPr>
      </w:pPr>
      <w:r>
        <w:rPr>
          <w:szCs w:val="21"/>
        </w:rPr>
        <w:br w:type="page"/>
      </w:r>
      <w:r>
        <w:rPr>
          <w:rFonts w:hint="eastAsia" w:cs="Calibri"/>
          <w:b/>
          <w:sz w:val="32"/>
          <w:szCs w:val="32"/>
          <w:lang w:val="en-US" w:eastAsia="zh-CN"/>
        </w:rPr>
        <w:t>九</w:t>
      </w:r>
      <w:r>
        <w:rPr>
          <w:rFonts w:hint="eastAsia" w:cs="Calibri"/>
          <w:b/>
          <w:sz w:val="32"/>
          <w:szCs w:val="32"/>
        </w:rPr>
        <w:t>、</w:t>
      </w:r>
      <w:bookmarkStart w:id="60" w:name="_Toc297106036"/>
      <w:bookmarkStart w:id="61" w:name="_Toc268498962"/>
      <w:bookmarkStart w:id="62" w:name="_Toc262456720"/>
      <w:bookmarkStart w:id="63" w:name="_Toc290479874"/>
      <w:bookmarkStart w:id="64" w:name="_Toc384362306"/>
      <w:bookmarkStart w:id="65" w:name="_Toc288209285"/>
      <w:bookmarkStart w:id="66" w:name="_Toc321922479"/>
      <w:r>
        <w:rPr>
          <w:rFonts w:hint="eastAsia" w:cs="Calibri"/>
          <w:b/>
          <w:sz w:val="32"/>
          <w:szCs w:val="32"/>
        </w:rPr>
        <w:t>拟派项目施工负责人无在建工程承诺书</w:t>
      </w:r>
      <w:bookmarkEnd w:id="60"/>
      <w:bookmarkEnd w:id="61"/>
      <w:bookmarkEnd w:id="62"/>
      <w:bookmarkEnd w:id="63"/>
      <w:bookmarkEnd w:id="64"/>
      <w:bookmarkEnd w:id="65"/>
      <w:bookmarkEnd w:id="66"/>
    </w:p>
    <w:p>
      <w:pPr>
        <w:autoSpaceDN w:val="0"/>
        <w:spacing w:line="360" w:lineRule="auto"/>
        <w:rPr>
          <w:u w:val="single"/>
        </w:rPr>
      </w:pPr>
    </w:p>
    <w:p>
      <w:pPr>
        <w:autoSpaceDN w:val="0"/>
        <w:spacing w:line="360" w:lineRule="auto"/>
      </w:pPr>
      <w:r>
        <w:rPr>
          <w:u w:val="single"/>
        </w:rPr>
        <w:t xml:space="preserve">                          </w:t>
      </w:r>
      <w:r>
        <w:rPr>
          <w:rFonts w:hint="eastAsia"/>
        </w:rPr>
        <w:t>（招标人）：</w:t>
      </w:r>
    </w:p>
    <w:p>
      <w:pPr>
        <w:widowControl/>
        <w:autoSpaceDN w:val="0"/>
        <w:spacing w:line="360" w:lineRule="auto"/>
        <w:ind w:firstLine="480"/>
      </w:pPr>
      <w:r>
        <w:rPr>
          <w:rFonts w:hint="eastAsia"/>
        </w:rPr>
        <w:t>我公司参加贵方的</w:t>
      </w:r>
      <w:r>
        <w:rPr>
          <w:u w:val="single"/>
        </w:rPr>
        <w:t xml:space="preserve">                       </w:t>
      </w:r>
      <w:r>
        <w:rPr>
          <w:rFonts w:hint="eastAsia"/>
        </w:rPr>
        <w:t>工程（以下简称“本工程”）施工投标活动。现我公司慎重承诺：</w:t>
      </w:r>
    </w:p>
    <w:p>
      <w:pPr>
        <w:widowControl/>
        <w:spacing w:line="360" w:lineRule="auto"/>
        <w:ind w:firstLine="480" w:firstLineChars="200"/>
      </w:pPr>
      <w:r>
        <w:rPr>
          <w:rFonts w:hint="eastAsia"/>
        </w:rPr>
        <w:t>我方申请参与你方</w:t>
      </w:r>
      <w:r>
        <w:rPr>
          <w:u w:val="single"/>
        </w:rPr>
        <w:t xml:space="preserve">                 </w:t>
      </w:r>
      <w:r>
        <w:rPr>
          <w:rFonts w:hint="eastAsia"/>
        </w:rPr>
        <w:t>（项目名称）</w:t>
      </w:r>
      <w:r>
        <w:t xml:space="preserve"> </w:t>
      </w:r>
      <w:r>
        <w:rPr>
          <w:rFonts w:hint="eastAsia"/>
        </w:rPr>
        <w:t>工程（以下简称“本工程”）的施工投标，拟派项目负责人为</w:t>
      </w:r>
      <w:r>
        <w:rPr>
          <w:u w:val="single"/>
        </w:rPr>
        <w:t xml:space="preserve">               </w:t>
      </w:r>
      <w:r>
        <w:rPr>
          <w:rFonts w:hint="eastAsia"/>
        </w:rPr>
        <w:t>，注册证号为</w:t>
      </w:r>
      <w:r>
        <w:rPr>
          <w:u w:val="single"/>
        </w:rPr>
        <w:t xml:space="preserve">                </w:t>
      </w:r>
      <w:r>
        <w:rPr>
          <w:rFonts w:hint="eastAsia"/>
        </w:rPr>
        <w:t>，从现在开始至本工程投标文件截止时间未同时在两个或者两个以上单位受聘或者执业（1、同时在两个及以上单位签订劳动合同或交纳社会保险； 2、将本人执（职）业资格证书同时注册在两个及以上单位）。项目负责人无行贿犯罪行为记录；或者有行贿犯罪行为记录，但自记录之日起已超过5年。项目负责人无在建工程，且无已中标未开工的项目，如果我方经本工程评标委员会评定为第一中标候选人，在公示期间被他人举报并经招标投标监管机构核实，确认拟派项目负责人有在建工程但不符合“项目负责人有在建工程，但该在建工程与本次招标的工程属于同一工程项目、同一项目批文、同一施工地点分段发包或分期施工的情况且总的工程规模在项目负责人执业范围之内。”的情况或有已中标未开工的项目，那么取消我方中标候选人资格，同时我方自愿放弃相应投标保证金。</w:t>
      </w:r>
    </w:p>
    <w:p>
      <w:pPr>
        <w:autoSpaceDN w:val="0"/>
        <w:spacing w:line="360" w:lineRule="auto"/>
        <w:ind w:firstLine="480"/>
      </w:pPr>
      <w:r>
        <w:rPr>
          <w:rFonts w:hint="eastAsia"/>
        </w:rPr>
        <w:t>对违反承诺内容所引发的一切后果，我单位愿负法律责任。</w:t>
      </w:r>
    </w:p>
    <w:p>
      <w:pPr>
        <w:autoSpaceDN w:val="0"/>
        <w:spacing w:line="360" w:lineRule="auto"/>
        <w:ind w:firstLine="432"/>
      </w:pPr>
    </w:p>
    <w:p>
      <w:pPr>
        <w:autoSpaceDN w:val="0"/>
        <w:spacing w:line="360" w:lineRule="auto"/>
      </w:pPr>
    </w:p>
    <w:p>
      <w:pPr>
        <w:autoSpaceDN w:val="0"/>
        <w:spacing w:line="360" w:lineRule="auto"/>
      </w:pPr>
    </w:p>
    <w:p>
      <w:pPr>
        <w:autoSpaceDN w:val="0"/>
        <w:spacing w:line="360" w:lineRule="auto"/>
      </w:pPr>
    </w:p>
    <w:p>
      <w:pPr>
        <w:autoSpaceDN w:val="0"/>
        <w:snapToGrid w:val="0"/>
        <w:spacing w:line="360" w:lineRule="auto"/>
        <w:ind w:right="-512" w:firstLine="3986" w:firstLineChars="1661"/>
        <w:rPr>
          <w:szCs w:val="24"/>
        </w:rPr>
      </w:pPr>
      <w:r>
        <w:rPr>
          <w:rFonts w:hint="eastAsia"/>
          <w:color w:val="000000"/>
          <w:szCs w:val="24"/>
        </w:rPr>
        <w:t>投标人</w:t>
      </w:r>
      <w:r>
        <w:rPr>
          <w:color w:val="000000"/>
          <w:szCs w:val="24"/>
        </w:rPr>
        <w:t>(</w:t>
      </w:r>
      <w:r>
        <w:rPr>
          <w:rFonts w:hint="eastAsia"/>
          <w:color w:val="000000"/>
          <w:szCs w:val="24"/>
        </w:rPr>
        <w:t>盖公章</w:t>
      </w:r>
      <w:r>
        <w:rPr>
          <w:color w:val="000000"/>
          <w:szCs w:val="24"/>
        </w:rPr>
        <w:t>)</w:t>
      </w:r>
      <w:r>
        <w:rPr>
          <w:rFonts w:hint="eastAsia"/>
          <w:color w:val="000000"/>
          <w:szCs w:val="24"/>
        </w:rPr>
        <w:t>：</w:t>
      </w:r>
      <w:r>
        <w:rPr>
          <w:color w:val="000000"/>
          <w:szCs w:val="24"/>
          <w:u w:val="single"/>
        </w:rPr>
        <w:t xml:space="preserve">                  </w:t>
      </w:r>
    </w:p>
    <w:p>
      <w:pPr>
        <w:tabs>
          <w:tab w:val="left" w:pos="4320"/>
        </w:tabs>
        <w:autoSpaceDN w:val="0"/>
        <w:snapToGrid w:val="0"/>
        <w:spacing w:line="360" w:lineRule="auto"/>
        <w:ind w:right="-512" w:firstLine="3986" w:firstLineChars="1661"/>
        <w:rPr>
          <w:szCs w:val="24"/>
        </w:rPr>
      </w:pPr>
      <w:r>
        <w:rPr>
          <w:rFonts w:hint="eastAsia"/>
          <w:color w:val="000000"/>
          <w:szCs w:val="24"/>
        </w:rPr>
        <w:t>法定代表人</w:t>
      </w:r>
      <w:r>
        <w:rPr>
          <w:color w:val="000000"/>
          <w:szCs w:val="24"/>
        </w:rPr>
        <w:t>(</w:t>
      </w:r>
      <w:r>
        <w:rPr>
          <w:rFonts w:hint="eastAsia"/>
          <w:color w:val="000000"/>
          <w:szCs w:val="24"/>
        </w:rPr>
        <w:t>签字或盖章</w:t>
      </w:r>
      <w:r>
        <w:rPr>
          <w:color w:val="000000"/>
          <w:szCs w:val="24"/>
        </w:rPr>
        <w:t>)</w:t>
      </w:r>
      <w:r>
        <w:rPr>
          <w:rFonts w:hint="eastAsia"/>
          <w:color w:val="000000"/>
          <w:szCs w:val="24"/>
        </w:rPr>
        <w:t>：</w:t>
      </w:r>
      <w:r>
        <w:rPr>
          <w:color w:val="000000"/>
          <w:szCs w:val="24"/>
          <w:u w:val="single"/>
        </w:rPr>
        <w:t xml:space="preserve">              </w:t>
      </w:r>
    </w:p>
    <w:p>
      <w:pPr>
        <w:jc w:val="center"/>
        <w:rPr>
          <w:b/>
          <w:sz w:val="32"/>
        </w:rPr>
      </w:pPr>
      <w:r>
        <w:rPr>
          <w:color w:val="000000"/>
          <w:szCs w:val="24"/>
        </w:rPr>
        <w:t xml:space="preserve">                        </w:t>
      </w:r>
      <w:r>
        <w:rPr>
          <w:rFonts w:hint="eastAsia"/>
          <w:color w:val="000000"/>
          <w:szCs w:val="24"/>
        </w:rPr>
        <w:t>日期：</w:t>
      </w:r>
      <w:r>
        <w:rPr>
          <w:rFonts w:hint="eastAsia"/>
          <w:color w:val="000000"/>
          <w:szCs w:val="24"/>
          <w:u w:val="single"/>
        </w:rPr>
        <w:t xml:space="preserve">         </w:t>
      </w:r>
      <w:r>
        <w:rPr>
          <w:rFonts w:hint="eastAsia"/>
          <w:color w:val="000000"/>
          <w:szCs w:val="24"/>
        </w:rPr>
        <w:t>年</w:t>
      </w:r>
      <w:r>
        <w:rPr>
          <w:rFonts w:hint="eastAsia"/>
          <w:color w:val="000000"/>
          <w:szCs w:val="24"/>
          <w:u w:val="single"/>
        </w:rPr>
        <w:t xml:space="preserve">       </w:t>
      </w:r>
      <w:r>
        <w:rPr>
          <w:rFonts w:hint="eastAsia"/>
          <w:color w:val="000000"/>
          <w:szCs w:val="24"/>
        </w:rPr>
        <w:t>月</w:t>
      </w:r>
      <w:r>
        <w:rPr>
          <w:rFonts w:hint="eastAsia"/>
          <w:color w:val="000000"/>
          <w:szCs w:val="24"/>
          <w:u w:val="single"/>
        </w:rPr>
        <w:t xml:space="preserve">      </w:t>
      </w:r>
      <w:r>
        <w:rPr>
          <w:rFonts w:hint="eastAsia"/>
          <w:color w:val="000000"/>
          <w:szCs w:val="24"/>
        </w:rPr>
        <w:t>日</w:t>
      </w:r>
    </w:p>
    <w:p>
      <w:pPr>
        <w:spacing w:after="240" w:line="360" w:lineRule="auto"/>
        <w:jc w:val="center"/>
        <w:rPr>
          <w:b/>
          <w:sz w:val="32"/>
          <w:szCs w:val="32"/>
        </w:rPr>
      </w:pPr>
      <w:r>
        <w:rPr>
          <w:rFonts w:hint="eastAsia"/>
          <w:b/>
          <w:sz w:val="32"/>
        </w:rPr>
        <w:br w:type="page"/>
      </w:r>
      <w:r>
        <w:rPr>
          <w:rFonts w:hint="eastAsia"/>
          <w:b/>
          <w:sz w:val="32"/>
          <w:szCs w:val="32"/>
        </w:rPr>
        <w:t>十、工程完工证明</w:t>
      </w:r>
    </w:p>
    <w:p>
      <w:pPr>
        <w:adjustRightInd w:val="0"/>
        <w:snapToGrid w:val="0"/>
        <w:spacing w:line="360" w:lineRule="auto"/>
        <w:rPr>
          <w:b/>
          <w:bCs/>
        </w:rPr>
      </w:pPr>
    </w:p>
    <w:p>
      <w:pPr>
        <w:adjustRightInd w:val="0"/>
        <w:snapToGrid w:val="0"/>
        <w:spacing w:line="360" w:lineRule="auto"/>
      </w:pPr>
      <w:r>
        <w:rPr>
          <w:rFonts w:hint="eastAsia"/>
          <w:u w:val="single"/>
        </w:rPr>
        <w:t xml:space="preserve">                                  </w:t>
      </w:r>
      <w:r>
        <w:rPr>
          <w:rFonts w:hint="eastAsia"/>
        </w:rPr>
        <w:t>：</w:t>
      </w:r>
      <w:r>
        <w:rPr>
          <w:rFonts w:hint="eastAsia"/>
          <w:color w:val="000000"/>
        </w:rPr>
        <w:t>（招标人名称）</w:t>
      </w:r>
    </w:p>
    <w:p>
      <w:pPr>
        <w:adjustRightInd w:val="0"/>
        <w:snapToGrid w:val="0"/>
        <w:spacing w:line="360" w:lineRule="auto"/>
        <w:ind w:firstLine="482" w:firstLineChars="200"/>
        <w:rPr>
          <w:color w:val="000000"/>
        </w:rPr>
      </w:pPr>
      <w:r>
        <w:rPr>
          <w:rFonts w:hint="eastAsia"/>
          <w:b/>
          <w:u w:val="single"/>
        </w:rPr>
        <w:t xml:space="preserve">                                   </w:t>
      </w:r>
      <w:r>
        <w:rPr>
          <w:rFonts w:hint="eastAsia"/>
          <w:color w:val="000000"/>
        </w:rPr>
        <w:t>（中标单位名称）的项目经理（项目负责人）</w:t>
      </w:r>
      <w:r>
        <w:rPr>
          <w:rFonts w:hint="eastAsia"/>
          <w:b/>
          <w:u w:val="single"/>
        </w:rPr>
        <w:t xml:space="preserve">               </w:t>
      </w:r>
      <w:r>
        <w:rPr>
          <w:rFonts w:hint="eastAsia"/>
          <w:color w:val="000000"/>
        </w:rPr>
        <w:t xml:space="preserve">（姓名及注册编号）承接我单位的 </w:t>
      </w:r>
      <w:r>
        <w:rPr>
          <w:rFonts w:hint="eastAsia"/>
          <w:b/>
          <w:u w:val="single"/>
        </w:rPr>
        <w:t xml:space="preserve">                       </w:t>
      </w:r>
      <w:r>
        <w:rPr>
          <w:rFonts w:hint="eastAsia"/>
          <w:color w:val="000000"/>
        </w:rPr>
        <w:t>（项目名称）</w:t>
      </w:r>
      <w:r>
        <w:rPr>
          <w:rFonts w:hint="eastAsia"/>
          <w:b/>
          <w:u w:val="single"/>
        </w:rPr>
        <w:t xml:space="preserve">                 </w:t>
      </w:r>
      <w:r>
        <w:rPr>
          <w:rFonts w:hint="eastAsia"/>
          <w:color w:val="000000"/>
        </w:rPr>
        <w:t>（标段名称）于</w:t>
      </w:r>
      <w:r>
        <w:rPr>
          <w:rFonts w:hint="eastAsia"/>
          <w:b/>
          <w:u w:val="single"/>
        </w:rPr>
        <w:t xml:space="preserve">       </w:t>
      </w:r>
      <w:r>
        <w:rPr>
          <w:rFonts w:hint="eastAsia"/>
          <w:color w:val="000000"/>
        </w:rPr>
        <w:t xml:space="preserve">年 </w:t>
      </w:r>
      <w:r>
        <w:rPr>
          <w:rFonts w:hint="eastAsia"/>
          <w:b/>
          <w:u w:val="single"/>
        </w:rPr>
        <w:t xml:space="preserve">     </w:t>
      </w:r>
      <w:r>
        <w:rPr>
          <w:rFonts w:hint="eastAsia"/>
          <w:color w:val="000000"/>
        </w:rPr>
        <w:t>月</w:t>
      </w:r>
      <w:r>
        <w:rPr>
          <w:rFonts w:hint="eastAsia"/>
          <w:b/>
          <w:u w:val="single"/>
        </w:rPr>
        <w:t xml:space="preserve">    </w:t>
      </w:r>
      <w:r>
        <w:rPr>
          <w:rFonts w:hint="eastAsia"/>
          <w:color w:val="000000"/>
        </w:rPr>
        <w:t>日完工，现同意该项目经理参加其他工程招投标活动。</w:t>
      </w:r>
    </w:p>
    <w:p>
      <w:pPr>
        <w:adjustRightInd w:val="0"/>
        <w:snapToGrid w:val="0"/>
        <w:spacing w:line="360" w:lineRule="auto"/>
        <w:ind w:firstLine="480" w:firstLineChars="200"/>
        <w:rPr>
          <w:color w:val="000000"/>
        </w:rPr>
      </w:pPr>
      <w:r>
        <w:rPr>
          <w:rFonts w:hint="eastAsia"/>
          <w:color w:val="000000"/>
        </w:rPr>
        <w:t>特此证明。</w:t>
      </w:r>
    </w:p>
    <w:p>
      <w:pPr>
        <w:adjustRightInd w:val="0"/>
        <w:snapToGrid w:val="0"/>
        <w:spacing w:line="360" w:lineRule="auto"/>
        <w:rPr>
          <w:color w:val="000000"/>
        </w:rPr>
      </w:pPr>
    </w:p>
    <w:p>
      <w:pPr>
        <w:adjustRightInd w:val="0"/>
        <w:snapToGrid w:val="0"/>
        <w:spacing w:line="360" w:lineRule="auto"/>
        <w:rPr>
          <w:color w:val="000000"/>
        </w:rPr>
      </w:pPr>
      <w:r>
        <w:rPr>
          <w:rFonts w:hint="eastAsia"/>
          <w:color w:val="000000"/>
        </w:rPr>
        <w:t>注：如项目已竣工验收，附竣工验收单。</w:t>
      </w:r>
    </w:p>
    <w:p>
      <w:pPr>
        <w:adjustRightInd w:val="0"/>
        <w:snapToGrid w:val="0"/>
        <w:spacing w:line="360" w:lineRule="auto"/>
        <w:rPr>
          <w:highlight w:val="yellow"/>
        </w:rPr>
      </w:pPr>
    </w:p>
    <w:p>
      <w:pPr>
        <w:adjustRightInd w:val="0"/>
        <w:snapToGrid w:val="0"/>
        <w:spacing w:line="360" w:lineRule="auto"/>
        <w:rPr>
          <w:highlight w:val="yellow"/>
        </w:rPr>
      </w:pPr>
    </w:p>
    <w:p>
      <w:pPr>
        <w:adjustRightInd w:val="0"/>
        <w:snapToGrid w:val="0"/>
        <w:spacing w:line="360" w:lineRule="auto"/>
        <w:ind w:firstLine="482" w:firstLineChars="200"/>
        <w:rPr>
          <w:b/>
          <w:highlight w:val="yellow"/>
        </w:rPr>
      </w:pPr>
    </w:p>
    <w:p>
      <w:pPr>
        <w:adjustRightInd w:val="0"/>
        <w:snapToGrid w:val="0"/>
        <w:spacing w:line="360" w:lineRule="auto"/>
        <w:ind w:firstLine="4348" w:firstLineChars="1812"/>
        <w:rPr>
          <w:color w:val="000000"/>
        </w:rPr>
      </w:pPr>
      <w:r>
        <w:rPr>
          <w:rFonts w:hint="eastAsia"/>
          <w:color w:val="000000"/>
        </w:rPr>
        <w:t>单位公章（注：单位内设科室盖章无效）</w:t>
      </w:r>
    </w:p>
    <w:p>
      <w:pPr>
        <w:spacing w:line="360" w:lineRule="auto"/>
        <w:rPr>
          <w:szCs w:val="21"/>
        </w:rPr>
      </w:pPr>
      <w:r>
        <w:rPr>
          <w:rFonts w:hint="eastAsia"/>
          <w:color w:val="000000"/>
          <w:szCs w:val="24"/>
        </w:rPr>
        <w:t xml:space="preserve">                              日期：</w:t>
      </w:r>
      <w:r>
        <w:rPr>
          <w:rFonts w:hint="eastAsia"/>
          <w:color w:val="000000"/>
          <w:szCs w:val="24"/>
          <w:u w:val="single"/>
        </w:rPr>
        <w:t xml:space="preserve">         </w:t>
      </w:r>
      <w:r>
        <w:rPr>
          <w:rFonts w:hint="eastAsia"/>
          <w:color w:val="000000"/>
          <w:szCs w:val="24"/>
        </w:rPr>
        <w:t>年</w:t>
      </w:r>
      <w:r>
        <w:rPr>
          <w:rFonts w:hint="eastAsia"/>
          <w:color w:val="000000"/>
          <w:szCs w:val="24"/>
          <w:u w:val="single"/>
        </w:rPr>
        <w:t xml:space="preserve">       </w:t>
      </w:r>
      <w:r>
        <w:rPr>
          <w:rFonts w:hint="eastAsia"/>
          <w:color w:val="000000"/>
          <w:szCs w:val="24"/>
        </w:rPr>
        <w:t>月</w:t>
      </w:r>
      <w:r>
        <w:rPr>
          <w:rFonts w:hint="eastAsia"/>
          <w:color w:val="000000"/>
          <w:szCs w:val="24"/>
          <w:u w:val="single"/>
        </w:rPr>
        <w:t xml:space="preserve">      </w:t>
      </w:r>
      <w:r>
        <w:rPr>
          <w:rFonts w:hint="eastAsia"/>
          <w:color w:val="000000"/>
          <w:szCs w:val="24"/>
        </w:rPr>
        <w:t>日</w:t>
      </w:r>
    </w:p>
    <w:sectPr>
      <w:pgSz w:w="11905" w:h="16838"/>
      <w:pgMar w:top="1440" w:right="1559" w:bottom="1440" w:left="1276" w:header="850" w:footer="992" w:gutter="0"/>
      <w:cols w:space="720" w:num="1"/>
      <w:docGrid w:type="lines" w:linePitch="3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serif">
    <w:altName w:val="Segoe Print"/>
    <w:panose1 w:val="00000000000000000000"/>
    <w:charset w:val="00"/>
    <w:family w:val="auto"/>
    <w:pitch w:val="default"/>
    <w:sig w:usb0="00000000" w:usb1="00000000" w:usb2="00000000" w:usb3="00000000" w:csb0="00040001" w:csb1="00000000"/>
  </w:font>
  <w:font w:name="方正仿宋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Futura Bk BT">
    <w:altName w:val="Arial"/>
    <w:panose1 w:val="00000000000000000000"/>
    <w:charset w:val="00"/>
    <w:family w:val="swiss"/>
    <w:pitch w:val="default"/>
    <w:sig w:usb0="00000000" w:usb1="00000000" w:usb2="00000000" w:usb3="00000000" w:csb0="0000001B" w:csb1="00000000"/>
  </w:font>
  <w:font w:name="PMingLiU">
    <w:altName w:val="PMingLiU-ExtB"/>
    <w:panose1 w:val="02020500000000000000"/>
    <w:charset w:val="88"/>
    <w:family w:val="auto"/>
    <w:pitch w:val="default"/>
    <w:sig w:usb0="00000000" w:usb1="00000000" w:usb2="00000016" w:usb3="00000000" w:csb0="00100001" w:csb1="0000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文鼎CS中宋">
    <w:altName w:val="宋体"/>
    <w:panose1 w:val="00000000000000000000"/>
    <w:charset w:val="86"/>
    <w:family w:val="modern"/>
    <w:pitch w:val="default"/>
    <w:sig w:usb0="00000000" w:usb1="00000000" w:usb2="00000010" w:usb3="00000000" w:csb0="00040000" w:csb1="00000000"/>
  </w:font>
  <w:font w:name="e">
    <w:altName w:val="Times New Roman"/>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Plotter">
    <w:altName w:val="Times New Roman"/>
    <w:panose1 w:val="00000000000000000000"/>
    <w:charset w:val="00"/>
    <w:family w:val="roman"/>
    <w:pitch w:val="default"/>
    <w:sig w:usb0="00000000" w:usb1="00000000" w:usb2="00000000" w:usb3="00000000" w:csb0="00000001" w:csb1="00000000"/>
  </w:font>
  <w:font w:name="华文细黑">
    <w:panose1 w:val="02010600040101010101"/>
    <w:charset w:val="86"/>
    <w:family w:val="auto"/>
    <w:pitch w:val="default"/>
    <w:sig w:usb0="00000287" w:usb1="080F0000" w:usb2="00000000" w:usb3="00000000" w:csb0="0004009F" w:csb1="DFD70000"/>
  </w:font>
  <w:font w:name="长城仿宋">
    <w:altName w:val="宋体"/>
    <w:panose1 w:val="00000000000000000000"/>
    <w:charset w:val="86"/>
    <w:family w:val="auto"/>
    <w:pitch w:val="default"/>
    <w:sig w:usb0="00000000" w:usb1="00000000" w:usb2="00000010" w:usb3="00000000" w:csb0="00040000" w:csb1="00000000"/>
  </w:font>
  <w:font w:name="Calisto MT">
    <w:panose1 w:val="02040603050505030304"/>
    <w:charset w:val="00"/>
    <w:family w:val="roman"/>
    <w:pitch w:val="default"/>
    <w:sig w:usb0="00000003" w:usb1="00000000" w:usb2="00000000" w:usb3="00000000" w:csb0="20000001" w:csb1="00000000"/>
  </w:font>
  <w:font w:name="Wingdings 2">
    <w:panose1 w:val="05020102010507070707"/>
    <w:charset w:val="02"/>
    <w:family w:val="roman"/>
    <w:pitch w:val="default"/>
    <w:sig w:usb0="00000000" w:usb1="00000000" w:usb2="00000000" w:usb3="00000000" w:csb0="8000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framePr w:wrap="around" w:vAnchor="text" w:hAnchor="margin" w:xAlign="center" w:y="1"/>
      <w:rPr>
        <w:rStyle w:val="65"/>
      </w:rPr>
    </w:pPr>
    <w:r>
      <w:fldChar w:fldCharType="begin"/>
    </w:r>
    <w:r>
      <w:rPr>
        <w:rStyle w:val="65"/>
      </w:rPr>
      <w:instrText xml:space="preserve">PAGE  </w:instrText>
    </w:r>
    <w:r>
      <w:fldChar w:fldCharType="separate"/>
    </w:r>
    <w:r>
      <w:rPr>
        <w:rStyle w:val="65"/>
      </w:rPr>
      <w:t>2</w:t>
    </w:r>
    <w:r>
      <w:fldChar w:fldCharType="end"/>
    </w:r>
  </w:p>
  <w:p>
    <w:pPr>
      <w:pStyle w:val="3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framePr w:wrap="around" w:vAnchor="text" w:hAnchor="margin" w:xAlign="center" w:y="1"/>
      <w:rPr>
        <w:rStyle w:val="65"/>
      </w:rPr>
    </w:pPr>
    <w:r>
      <w:fldChar w:fldCharType="begin"/>
    </w:r>
    <w:r>
      <w:rPr>
        <w:rStyle w:val="65"/>
      </w:rPr>
      <w:instrText xml:space="preserve">PAGE  </w:instrText>
    </w:r>
    <w:r>
      <w:fldChar w:fldCharType="end"/>
    </w:r>
  </w:p>
  <w:p>
    <w:pPr>
      <w:pStyle w:val="3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8"/>
                            <w:jc w:val="center"/>
                          </w:pPr>
                          <w:r>
                            <w:fldChar w:fldCharType="begin"/>
                          </w:r>
                          <w:r>
                            <w:instrText xml:space="preserve">PAGE   \* MERGEFORMAT</w:instrText>
                          </w:r>
                          <w:r>
                            <w:fldChar w:fldCharType="separate"/>
                          </w:r>
                          <w:r>
                            <w:rPr>
                              <w:lang w:val="zh-CN"/>
                            </w:rPr>
                            <w:t>70</w:t>
                          </w:r>
                          <w:r>
                            <w:rPr>
                              <w:lang w:val="zh-CN"/>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drTmJyQEAAJkDAAAOAAAAAAAAAAEAIAAAAB4BAABkcnMvZTJvRG9j&#10;LnhtbFBLBQYAAAAABgAGAFkBAABZBQAAAAA=&#10;">
              <v:fill on="f" focussize="0,0"/>
              <v:stroke on="f"/>
              <v:imagedata o:title=""/>
              <o:lock v:ext="edit" aspectratio="f"/>
              <v:textbox inset="0mm,0mm,0mm,0mm" style="mso-fit-shape-to-text:t;">
                <w:txbxContent>
                  <w:p>
                    <w:pPr>
                      <w:pStyle w:val="38"/>
                      <w:jc w:val="center"/>
                    </w:pPr>
                    <w:r>
                      <w:fldChar w:fldCharType="begin"/>
                    </w:r>
                    <w:r>
                      <w:instrText xml:space="preserve">PAGE   \* MERGEFORMAT</w:instrText>
                    </w:r>
                    <w:r>
                      <w:fldChar w:fldCharType="separate"/>
                    </w:r>
                    <w:r>
                      <w:rPr>
                        <w:lang w:val="zh-CN"/>
                      </w:rPr>
                      <w:t>70</w:t>
                    </w:r>
                    <w:r>
                      <w:rPr>
                        <w:lang w:val="zh-CN"/>
                      </w:rPr>
                      <w:fldChar w:fldCharType="end"/>
                    </w:r>
                  </w:p>
                </w:txbxContent>
              </v:textbox>
            </v:shape>
          </w:pict>
        </mc:Fallback>
      </mc:AlternateContent>
    </w:r>
  </w:p>
  <w:p>
    <w:pPr>
      <w:tabs>
        <w:tab w:val="center" w:pos="4153"/>
        <w:tab w:val="right" w:pos="8306"/>
      </w:tabs>
      <w:snapToGrid w:val="0"/>
      <w:ind w:right="360"/>
      <w:jc w:val="center"/>
      <w:rPr>
        <w:sz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Bdr>
        <w:bottom w:val="none" w:color="auto" w:sz="0" w:space="0"/>
      </w:pBdr>
      <w:jc w:val="both"/>
      <w:rPr>
        <w:u w:val="single"/>
      </w:rPr>
    </w:pPr>
    <w:r>
      <w:rPr>
        <w:rFonts w:hint="eastAsia" w:ascii="宋体" w:hAnsi="宋体" w:cs="宋体"/>
        <w:u w:val="single"/>
      </w:rPr>
      <w:t>202</w:t>
    </w:r>
    <w:r>
      <w:rPr>
        <w:rFonts w:hint="eastAsia" w:ascii="宋体" w:hAnsi="宋体" w:cs="宋体"/>
        <w:u w:val="single"/>
        <w:lang w:val="en-US" w:eastAsia="zh-CN"/>
      </w:rPr>
      <w:t>3</w:t>
    </w:r>
    <w:r>
      <w:rPr>
        <w:rFonts w:hint="eastAsia" w:ascii="宋体" w:hAnsi="宋体" w:cs="宋体"/>
        <w:u w:val="single"/>
      </w:rPr>
      <w:t>年度濠河景区十一立体花卉布置工程设计、施工总承包项目                                    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Bdr>
        <w:bottom w:val="none" w:color="auto" w:sz="0" w:space="0"/>
      </w:pBdr>
      <w:jc w:val="both"/>
      <w:rPr>
        <w:u w:val="single"/>
      </w:rPr>
    </w:pPr>
    <w:r>
      <w:rPr>
        <w:rFonts w:hint="eastAsia" w:ascii="宋体" w:hAnsi="宋体" w:cs="宋体"/>
        <w:u w:val="single"/>
      </w:rPr>
      <w:t>202</w:t>
    </w:r>
    <w:r>
      <w:rPr>
        <w:rFonts w:hint="eastAsia" w:ascii="宋体" w:hAnsi="宋体" w:cs="宋体"/>
        <w:u w:val="single"/>
        <w:lang w:val="en-US" w:eastAsia="zh-CN"/>
      </w:rPr>
      <w:t>3</w:t>
    </w:r>
    <w:r>
      <w:rPr>
        <w:rFonts w:hint="eastAsia" w:ascii="宋体" w:hAnsi="宋体" w:cs="宋体"/>
        <w:u w:val="single"/>
      </w:rPr>
      <w:t>年度濠河景区十一立体花卉布置工程设计、施工总承包项目                                    招标文件</w:t>
    </w:r>
  </w:p>
  <w:p>
    <w:pPr>
      <w:tabs>
        <w:tab w:val="center" w:pos="4153"/>
        <w:tab w:val="right" w:pos="8306"/>
      </w:tabs>
      <w:snapToGrid w:val="0"/>
      <w:jc w:val="cent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85931B"/>
    <w:multiLevelType w:val="singleLevel"/>
    <w:tmpl w:val="8B85931B"/>
    <w:lvl w:ilvl="0" w:tentative="0">
      <w:start w:val="1"/>
      <w:numFmt w:val="decimal"/>
      <w:suff w:val="nothing"/>
      <w:lvlText w:val="（%1）"/>
      <w:lvlJc w:val="left"/>
    </w:lvl>
  </w:abstractNum>
  <w:abstractNum w:abstractNumId="1">
    <w:nsid w:val="FBE2A957"/>
    <w:multiLevelType w:val="singleLevel"/>
    <w:tmpl w:val="FBE2A957"/>
    <w:lvl w:ilvl="0" w:tentative="0">
      <w:start w:val="1"/>
      <w:numFmt w:val="decimal"/>
      <w:suff w:val="nothing"/>
      <w:lvlText w:val="（%1）"/>
      <w:lvlJc w:val="left"/>
    </w:lvl>
  </w:abstractNum>
  <w:abstractNum w:abstractNumId="2">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77A2302"/>
    <w:multiLevelType w:val="singleLevel"/>
    <w:tmpl w:val="077A2302"/>
    <w:lvl w:ilvl="0" w:tentative="0">
      <w:start w:val="1"/>
      <w:numFmt w:val="decimal"/>
      <w:suff w:val="nothing"/>
      <w:lvlText w:val="（%1）"/>
      <w:lvlJc w:val="left"/>
    </w:lvl>
  </w:abstractNum>
  <w:abstractNum w:abstractNumId="4">
    <w:nsid w:val="51D60979"/>
    <w:multiLevelType w:val="singleLevel"/>
    <w:tmpl w:val="51D60979"/>
    <w:lvl w:ilvl="0" w:tentative="0">
      <w:start w:val="3"/>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240"/>
  <w:drawingGridVerticalSpacing w:val="168"/>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ZDljNmZiMGQxMjUzZmEyMDZjYzg3ZDhjMTFlZDMifQ=="/>
  </w:docVars>
  <w:rsids>
    <w:rsidRoot w:val="00172A27"/>
    <w:rsid w:val="00000342"/>
    <w:rsid w:val="000006E1"/>
    <w:rsid w:val="00001AE8"/>
    <w:rsid w:val="00001C9E"/>
    <w:rsid w:val="00003601"/>
    <w:rsid w:val="00003FDF"/>
    <w:rsid w:val="00005555"/>
    <w:rsid w:val="000112BF"/>
    <w:rsid w:val="00011300"/>
    <w:rsid w:val="000123FB"/>
    <w:rsid w:val="00013795"/>
    <w:rsid w:val="000144E3"/>
    <w:rsid w:val="000157D4"/>
    <w:rsid w:val="00015E97"/>
    <w:rsid w:val="0001652C"/>
    <w:rsid w:val="00020352"/>
    <w:rsid w:val="000205CA"/>
    <w:rsid w:val="00020A06"/>
    <w:rsid w:val="000213B3"/>
    <w:rsid w:val="00021402"/>
    <w:rsid w:val="00021D7F"/>
    <w:rsid w:val="00022075"/>
    <w:rsid w:val="0002208C"/>
    <w:rsid w:val="000220A2"/>
    <w:rsid w:val="00022B2F"/>
    <w:rsid w:val="00023027"/>
    <w:rsid w:val="00023ADC"/>
    <w:rsid w:val="0002519E"/>
    <w:rsid w:val="00025649"/>
    <w:rsid w:val="00025A54"/>
    <w:rsid w:val="000269A1"/>
    <w:rsid w:val="00026B23"/>
    <w:rsid w:val="00027CE0"/>
    <w:rsid w:val="00030007"/>
    <w:rsid w:val="000304A2"/>
    <w:rsid w:val="00030A23"/>
    <w:rsid w:val="00032A36"/>
    <w:rsid w:val="00033FD5"/>
    <w:rsid w:val="000350EF"/>
    <w:rsid w:val="00035FCC"/>
    <w:rsid w:val="00036007"/>
    <w:rsid w:val="00036079"/>
    <w:rsid w:val="000364E5"/>
    <w:rsid w:val="0003685C"/>
    <w:rsid w:val="00037B9D"/>
    <w:rsid w:val="00037E9C"/>
    <w:rsid w:val="00037F51"/>
    <w:rsid w:val="00037FAA"/>
    <w:rsid w:val="00040326"/>
    <w:rsid w:val="00040653"/>
    <w:rsid w:val="00040659"/>
    <w:rsid w:val="00041395"/>
    <w:rsid w:val="000425C4"/>
    <w:rsid w:val="000426F9"/>
    <w:rsid w:val="00042C09"/>
    <w:rsid w:val="00042CFD"/>
    <w:rsid w:val="00043C3C"/>
    <w:rsid w:val="00043E10"/>
    <w:rsid w:val="00043F5F"/>
    <w:rsid w:val="00045402"/>
    <w:rsid w:val="000464D1"/>
    <w:rsid w:val="00046F33"/>
    <w:rsid w:val="00047998"/>
    <w:rsid w:val="00050BBB"/>
    <w:rsid w:val="00051639"/>
    <w:rsid w:val="0005247B"/>
    <w:rsid w:val="00052ACD"/>
    <w:rsid w:val="0005381B"/>
    <w:rsid w:val="00053EC3"/>
    <w:rsid w:val="00054633"/>
    <w:rsid w:val="0005482C"/>
    <w:rsid w:val="00054AFB"/>
    <w:rsid w:val="00054E32"/>
    <w:rsid w:val="000553E0"/>
    <w:rsid w:val="000559B0"/>
    <w:rsid w:val="00055D69"/>
    <w:rsid w:val="00056015"/>
    <w:rsid w:val="000562C8"/>
    <w:rsid w:val="00057364"/>
    <w:rsid w:val="0005783F"/>
    <w:rsid w:val="0006033B"/>
    <w:rsid w:val="000605B8"/>
    <w:rsid w:val="00061E9F"/>
    <w:rsid w:val="000625D7"/>
    <w:rsid w:val="00062CE8"/>
    <w:rsid w:val="00062D51"/>
    <w:rsid w:val="000630D0"/>
    <w:rsid w:val="00063578"/>
    <w:rsid w:val="0006444C"/>
    <w:rsid w:val="00065FF4"/>
    <w:rsid w:val="00066736"/>
    <w:rsid w:val="0006683E"/>
    <w:rsid w:val="00067EE7"/>
    <w:rsid w:val="00070BF0"/>
    <w:rsid w:val="0007278D"/>
    <w:rsid w:val="0007388D"/>
    <w:rsid w:val="00073B95"/>
    <w:rsid w:val="000754C9"/>
    <w:rsid w:val="000758AA"/>
    <w:rsid w:val="0007599E"/>
    <w:rsid w:val="00075B67"/>
    <w:rsid w:val="00080E44"/>
    <w:rsid w:val="00082868"/>
    <w:rsid w:val="00082AAC"/>
    <w:rsid w:val="00082E24"/>
    <w:rsid w:val="000848C9"/>
    <w:rsid w:val="00084FF3"/>
    <w:rsid w:val="0009167A"/>
    <w:rsid w:val="00092DD2"/>
    <w:rsid w:val="00093406"/>
    <w:rsid w:val="00093450"/>
    <w:rsid w:val="00094164"/>
    <w:rsid w:val="00095543"/>
    <w:rsid w:val="00095583"/>
    <w:rsid w:val="0009567F"/>
    <w:rsid w:val="000967C2"/>
    <w:rsid w:val="000967CE"/>
    <w:rsid w:val="00096D90"/>
    <w:rsid w:val="00097AB9"/>
    <w:rsid w:val="00097E8A"/>
    <w:rsid w:val="000A028B"/>
    <w:rsid w:val="000A0CD2"/>
    <w:rsid w:val="000A1309"/>
    <w:rsid w:val="000A2126"/>
    <w:rsid w:val="000A22A6"/>
    <w:rsid w:val="000A262D"/>
    <w:rsid w:val="000A58BB"/>
    <w:rsid w:val="000A611C"/>
    <w:rsid w:val="000A6166"/>
    <w:rsid w:val="000A6184"/>
    <w:rsid w:val="000A6841"/>
    <w:rsid w:val="000B004B"/>
    <w:rsid w:val="000B110C"/>
    <w:rsid w:val="000B1A6C"/>
    <w:rsid w:val="000B2072"/>
    <w:rsid w:val="000B2511"/>
    <w:rsid w:val="000B257D"/>
    <w:rsid w:val="000B2B4B"/>
    <w:rsid w:val="000B3779"/>
    <w:rsid w:val="000B3D7F"/>
    <w:rsid w:val="000B4630"/>
    <w:rsid w:val="000B4718"/>
    <w:rsid w:val="000B4B24"/>
    <w:rsid w:val="000B5C50"/>
    <w:rsid w:val="000B5CA5"/>
    <w:rsid w:val="000B5DC1"/>
    <w:rsid w:val="000B5DDE"/>
    <w:rsid w:val="000C0EB4"/>
    <w:rsid w:val="000C24AE"/>
    <w:rsid w:val="000C3B24"/>
    <w:rsid w:val="000C4B16"/>
    <w:rsid w:val="000C6738"/>
    <w:rsid w:val="000C6B96"/>
    <w:rsid w:val="000D062B"/>
    <w:rsid w:val="000D0EFF"/>
    <w:rsid w:val="000D159B"/>
    <w:rsid w:val="000D15CE"/>
    <w:rsid w:val="000D2B49"/>
    <w:rsid w:val="000D2C7F"/>
    <w:rsid w:val="000D334B"/>
    <w:rsid w:val="000D3380"/>
    <w:rsid w:val="000D3C5A"/>
    <w:rsid w:val="000D3DAE"/>
    <w:rsid w:val="000D4D2D"/>
    <w:rsid w:val="000D540B"/>
    <w:rsid w:val="000D5C6B"/>
    <w:rsid w:val="000D6043"/>
    <w:rsid w:val="000D68EA"/>
    <w:rsid w:val="000D7412"/>
    <w:rsid w:val="000D7C54"/>
    <w:rsid w:val="000E013E"/>
    <w:rsid w:val="000E040C"/>
    <w:rsid w:val="000E04CF"/>
    <w:rsid w:val="000E06B1"/>
    <w:rsid w:val="000E0B79"/>
    <w:rsid w:val="000E1502"/>
    <w:rsid w:val="000E16EA"/>
    <w:rsid w:val="000E1FC3"/>
    <w:rsid w:val="000E241F"/>
    <w:rsid w:val="000E2519"/>
    <w:rsid w:val="000E3034"/>
    <w:rsid w:val="000E390B"/>
    <w:rsid w:val="000E57D9"/>
    <w:rsid w:val="000E583A"/>
    <w:rsid w:val="000E5BD6"/>
    <w:rsid w:val="000E61C0"/>
    <w:rsid w:val="000E62C1"/>
    <w:rsid w:val="000E6DB1"/>
    <w:rsid w:val="000E772E"/>
    <w:rsid w:val="000E7C72"/>
    <w:rsid w:val="000F0C0D"/>
    <w:rsid w:val="000F0CF1"/>
    <w:rsid w:val="000F28E0"/>
    <w:rsid w:val="000F368D"/>
    <w:rsid w:val="000F36C2"/>
    <w:rsid w:val="000F3904"/>
    <w:rsid w:val="000F49D9"/>
    <w:rsid w:val="000F4B94"/>
    <w:rsid w:val="000F565C"/>
    <w:rsid w:val="000F6D4B"/>
    <w:rsid w:val="000F727A"/>
    <w:rsid w:val="000F77B7"/>
    <w:rsid w:val="000F7B56"/>
    <w:rsid w:val="000F7CC0"/>
    <w:rsid w:val="000F7F5F"/>
    <w:rsid w:val="00100009"/>
    <w:rsid w:val="0010396E"/>
    <w:rsid w:val="00103F80"/>
    <w:rsid w:val="00106579"/>
    <w:rsid w:val="001103BF"/>
    <w:rsid w:val="00111110"/>
    <w:rsid w:val="001114BA"/>
    <w:rsid w:val="00111C5F"/>
    <w:rsid w:val="00111CE1"/>
    <w:rsid w:val="00111E6C"/>
    <w:rsid w:val="00113528"/>
    <w:rsid w:val="00113654"/>
    <w:rsid w:val="00114C5E"/>
    <w:rsid w:val="00115B8C"/>
    <w:rsid w:val="001166EA"/>
    <w:rsid w:val="001178A3"/>
    <w:rsid w:val="00120263"/>
    <w:rsid w:val="00120520"/>
    <w:rsid w:val="00121014"/>
    <w:rsid w:val="00121105"/>
    <w:rsid w:val="00122637"/>
    <w:rsid w:val="001240B5"/>
    <w:rsid w:val="0012462B"/>
    <w:rsid w:val="0012578E"/>
    <w:rsid w:val="001261D3"/>
    <w:rsid w:val="0012698B"/>
    <w:rsid w:val="00126C4C"/>
    <w:rsid w:val="001301A7"/>
    <w:rsid w:val="001306C7"/>
    <w:rsid w:val="00130D41"/>
    <w:rsid w:val="00132140"/>
    <w:rsid w:val="001334B2"/>
    <w:rsid w:val="00134F39"/>
    <w:rsid w:val="00135141"/>
    <w:rsid w:val="00135404"/>
    <w:rsid w:val="001361C9"/>
    <w:rsid w:val="00136A0C"/>
    <w:rsid w:val="00136DD4"/>
    <w:rsid w:val="001370E6"/>
    <w:rsid w:val="00137E6B"/>
    <w:rsid w:val="00140209"/>
    <w:rsid w:val="0014161D"/>
    <w:rsid w:val="00141C17"/>
    <w:rsid w:val="0014299B"/>
    <w:rsid w:val="00142DAB"/>
    <w:rsid w:val="001431A5"/>
    <w:rsid w:val="00143A5D"/>
    <w:rsid w:val="00143CF4"/>
    <w:rsid w:val="00143EF7"/>
    <w:rsid w:val="0014418B"/>
    <w:rsid w:val="001455A1"/>
    <w:rsid w:val="00145C62"/>
    <w:rsid w:val="001462D3"/>
    <w:rsid w:val="00146626"/>
    <w:rsid w:val="00147058"/>
    <w:rsid w:val="00147791"/>
    <w:rsid w:val="00147ABA"/>
    <w:rsid w:val="00150312"/>
    <w:rsid w:val="00150579"/>
    <w:rsid w:val="001505EF"/>
    <w:rsid w:val="00150731"/>
    <w:rsid w:val="00150D24"/>
    <w:rsid w:val="00151811"/>
    <w:rsid w:val="0015183D"/>
    <w:rsid w:val="0015282E"/>
    <w:rsid w:val="00153450"/>
    <w:rsid w:val="00153646"/>
    <w:rsid w:val="00155286"/>
    <w:rsid w:val="00155D22"/>
    <w:rsid w:val="00156962"/>
    <w:rsid w:val="00157F40"/>
    <w:rsid w:val="00161522"/>
    <w:rsid w:val="00161D2D"/>
    <w:rsid w:val="001622A4"/>
    <w:rsid w:val="00162FBF"/>
    <w:rsid w:val="00163913"/>
    <w:rsid w:val="001639FC"/>
    <w:rsid w:val="001656FE"/>
    <w:rsid w:val="00170562"/>
    <w:rsid w:val="0017183C"/>
    <w:rsid w:val="00171DE5"/>
    <w:rsid w:val="001726D3"/>
    <w:rsid w:val="00172870"/>
    <w:rsid w:val="00172A27"/>
    <w:rsid w:val="00172C68"/>
    <w:rsid w:val="00175B3D"/>
    <w:rsid w:val="00175D31"/>
    <w:rsid w:val="0017609E"/>
    <w:rsid w:val="00176473"/>
    <w:rsid w:val="00176E57"/>
    <w:rsid w:val="00177D2F"/>
    <w:rsid w:val="001806DD"/>
    <w:rsid w:val="00180D83"/>
    <w:rsid w:val="00180DF0"/>
    <w:rsid w:val="00180EAD"/>
    <w:rsid w:val="00181661"/>
    <w:rsid w:val="0018202B"/>
    <w:rsid w:val="0018285E"/>
    <w:rsid w:val="00182FCE"/>
    <w:rsid w:val="0018325E"/>
    <w:rsid w:val="00184197"/>
    <w:rsid w:val="001848F4"/>
    <w:rsid w:val="00184BC6"/>
    <w:rsid w:val="001862CC"/>
    <w:rsid w:val="001867EB"/>
    <w:rsid w:val="00187782"/>
    <w:rsid w:val="001913EC"/>
    <w:rsid w:val="001913F5"/>
    <w:rsid w:val="00191D56"/>
    <w:rsid w:val="00193640"/>
    <w:rsid w:val="00193C1A"/>
    <w:rsid w:val="00194926"/>
    <w:rsid w:val="00194B74"/>
    <w:rsid w:val="0019511A"/>
    <w:rsid w:val="0019599D"/>
    <w:rsid w:val="001963B9"/>
    <w:rsid w:val="0019656E"/>
    <w:rsid w:val="00196BFD"/>
    <w:rsid w:val="00196C97"/>
    <w:rsid w:val="00197066"/>
    <w:rsid w:val="001A0671"/>
    <w:rsid w:val="001A0746"/>
    <w:rsid w:val="001A11DA"/>
    <w:rsid w:val="001A1D37"/>
    <w:rsid w:val="001A2C45"/>
    <w:rsid w:val="001A363C"/>
    <w:rsid w:val="001A6534"/>
    <w:rsid w:val="001B08C9"/>
    <w:rsid w:val="001B1154"/>
    <w:rsid w:val="001B19E0"/>
    <w:rsid w:val="001B204E"/>
    <w:rsid w:val="001B240E"/>
    <w:rsid w:val="001B3EA7"/>
    <w:rsid w:val="001B5A1D"/>
    <w:rsid w:val="001C3773"/>
    <w:rsid w:val="001C3C7A"/>
    <w:rsid w:val="001C4402"/>
    <w:rsid w:val="001C510C"/>
    <w:rsid w:val="001C525F"/>
    <w:rsid w:val="001C7A54"/>
    <w:rsid w:val="001D05C4"/>
    <w:rsid w:val="001D0863"/>
    <w:rsid w:val="001D0914"/>
    <w:rsid w:val="001D241B"/>
    <w:rsid w:val="001D273C"/>
    <w:rsid w:val="001D30FE"/>
    <w:rsid w:val="001D393C"/>
    <w:rsid w:val="001D3C51"/>
    <w:rsid w:val="001D3D2F"/>
    <w:rsid w:val="001D4AB0"/>
    <w:rsid w:val="001E0654"/>
    <w:rsid w:val="001E097A"/>
    <w:rsid w:val="001E22D0"/>
    <w:rsid w:val="001E371F"/>
    <w:rsid w:val="001E4348"/>
    <w:rsid w:val="001E486B"/>
    <w:rsid w:val="001E50C1"/>
    <w:rsid w:val="001E5829"/>
    <w:rsid w:val="001E5FF0"/>
    <w:rsid w:val="001E6DFA"/>
    <w:rsid w:val="001E74BD"/>
    <w:rsid w:val="001E7633"/>
    <w:rsid w:val="001E7871"/>
    <w:rsid w:val="001F0C58"/>
    <w:rsid w:val="001F2830"/>
    <w:rsid w:val="001F2D65"/>
    <w:rsid w:val="001F3276"/>
    <w:rsid w:val="001F4A55"/>
    <w:rsid w:val="001F4C49"/>
    <w:rsid w:val="001F554F"/>
    <w:rsid w:val="001F64B7"/>
    <w:rsid w:val="001F6ABE"/>
    <w:rsid w:val="001F6CC6"/>
    <w:rsid w:val="001F7188"/>
    <w:rsid w:val="001F7F39"/>
    <w:rsid w:val="002002E2"/>
    <w:rsid w:val="002016A0"/>
    <w:rsid w:val="00201F4B"/>
    <w:rsid w:val="00203330"/>
    <w:rsid w:val="0020406E"/>
    <w:rsid w:val="00205BF7"/>
    <w:rsid w:val="0020690A"/>
    <w:rsid w:val="00207514"/>
    <w:rsid w:val="00211689"/>
    <w:rsid w:val="00213005"/>
    <w:rsid w:val="00214F07"/>
    <w:rsid w:val="00216989"/>
    <w:rsid w:val="00217416"/>
    <w:rsid w:val="00220DB5"/>
    <w:rsid w:val="00221104"/>
    <w:rsid w:val="00222C89"/>
    <w:rsid w:val="0022318F"/>
    <w:rsid w:val="00223271"/>
    <w:rsid w:val="002234A9"/>
    <w:rsid w:val="002259EE"/>
    <w:rsid w:val="002265C4"/>
    <w:rsid w:val="00226947"/>
    <w:rsid w:val="00226D80"/>
    <w:rsid w:val="00227E44"/>
    <w:rsid w:val="00230332"/>
    <w:rsid w:val="0023082F"/>
    <w:rsid w:val="002315F7"/>
    <w:rsid w:val="00232982"/>
    <w:rsid w:val="00235870"/>
    <w:rsid w:val="00235C4B"/>
    <w:rsid w:val="002362EE"/>
    <w:rsid w:val="00236768"/>
    <w:rsid w:val="00236F76"/>
    <w:rsid w:val="0023716A"/>
    <w:rsid w:val="00240416"/>
    <w:rsid w:val="0024157A"/>
    <w:rsid w:val="00242D87"/>
    <w:rsid w:val="0024331A"/>
    <w:rsid w:val="0024332E"/>
    <w:rsid w:val="002442AD"/>
    <w:rsid w:val="00244759"/>
    <w:rsid w:val="00244ADC"/>
    <w:rsid w:val="0024718C"/>
    <w:rsid w:val="0024732B"/>
    <w:rsid w:val="00247395"/>
    <w:rsid w:val="00250102"/>
    <w:rsid w:val="00250435"/>
    <w:rsid w:val="00251FCB"/>
    <w:rsid w:val="0025210D"/>
    <w:rsid w:val="0025227B"/>
    <w:rsid w:val="00252486"/>
    <w:rsid w:val="00252644"/>
    <w:rsid w:val="002538BB"/>
    <w:rsid w:val="002542E0"/>
    <w:rsid w:val="00254D85"/>
    <w:rsid w:val="0025596B"/>
    <w:rsid w:val="00256F3E"/>
    <w:rsid w:val="00257745"/>
    <w:rsid w:val="00257B74"/>
    <w:rsid w:val="00261A59"/>
    <w:rsid w:val="00261FAD"/>
    <w:rsid w:val="0026260F"/>
    <w:rsid w:val="00262610"/>
    <w:rsid w:val="00262918"/>
    <w:rsid w:val="00264338"/>
    <w:rsid w:val="00264622"/>
    <w:rsid w:val="00264C63"/>
    <w:rsid w:val="002654C0"/>
    <w:rsid w:val="00266494"/>
    <w:rsid w:val="00267179"/>
    <w:rsid w:val="00267EF8"/>
    <w:rsid w:val="00270D81"/>
    <w:rsid w:val="00271302"/>
    <w:rsid w:val="00271632"/>
    <w:rsid w:val="0027267D"/>
    <w:rsid w:val="00272ABF"/>
    <w:rsid w:val="0027350E"/>
    <w:rsid w:val="002738AB"/>
    <w:rsid w:val="0027419A"/>
    <w:rsid w:val="0027434E"/>
    <w:rsid w:val="00274566"/>
    <w:rsid w:val="00274ED3"/>
    <w:rsid w:val="002763D4"/>
    <w:rsid w:val="00276D30"/>
    <w:rsid w:val="002773CD"/>
    <w:rsid w:val="0027746E"/>
    <w:rsid w:val="0028010A"/>
    <w:rsid w:val="00280388"/>
    <w:rsid w:val="00280F81"/>
    <w:rsid w:val="002811DB"/>
    <w:rsid w:val="0028184F"/>
    <w:rsid w:val="00282401"/>
    <w:rsid w:val="002824BD"/>
    <w:rsid w:val="00282A5B"/>
    <w:rsid w:val="002837A3"/>
    <w:rsid w:val="002838EC"/>
    <w:rsid w:val="00283DD1"/>
    <w:rsid w:val="00283DFB"/>
    <w:rsid w:val="0028492F"/>
    <w:rsid w:val="00284C13"/>
    <w:rsid w:val="00284E2E"/>
    <w:rsid w:val="00286910"/>
    <w:rsid w:val="002870B9"/>
    <w:rsid w:val="00287C2A"/>
    <w:rsid w:val="00287F83"/>
    <w:rsid w:val="002914F0"/>
    <w:rsid w:val="00291F8D"/>
    <w:rsid w:val="00292533"/>
    <w:rsid w:val="00292573"/>
    <w:rsid w:val="0029274A"/>
    <w:rsid w:val="00292CEF"/>
    <w:rsid w:val="00294BE5"/>
    <w:rsid w:val="00296557"/>
    <w:rsid w:val="002968F3"/>
    <w:rsid w:val="00296E91"/>
    <w:rsid w:val="00297B3B"/>
    <w:rsid w:val="002A027D"/>
    <w:rsid w:val="002A29CE"/>
    <w:rsid w:val="002A3297"/>
    <w:rsid w:val="002A3587"/>
    <w:rsid w:val="002A3A9B"/>
    <w:rsid w:val="002A4306"/>
    <w:rsid w:val="002A4AC9"/>
    <w:rsid w:val="002A4E58"/>
    <w:rsid w:val="002A4EF2"/>
    <w:rsid w:val="002A5A21"/>
    <w:rsid w:val="002A678E"/>
    <w:rsid w:val="002A7E01"/>
    <w:rsid w:val="002B0D12"/>
    <w:rsid w:val="002B1093"/>
    <w:rsid w:val="002B22FB"/>
    <w:rsid w:val="002B3A9D"/>
    <w:rsid w:val="002B50EC"/>
    <w:rsid w:val="002B5E8F"/>
    <w:rsid w:val="002B6088"/>
    <w:rsid w:val="002C0A56"/>
    <w:rsid w:val="002C1323"/>
    <w:rsid w:val="002C1806"/>
    <w:rsid w:val="002C24AA"/>
    <w:rsid w:val="002C2BFC"/>
    <w:rsid w:val="002C2E8D"/>
    <w:rsid w:val="002C2ECE"/>
    <w:rsid w:val="002C5017"/>
    <w:rsid w:val="002C62DD"/>
    <w:rsid w:val="002C72E7"/>
    <w:rsid w:val="002C73C2"/>
    <w:rsid w:val="002C784C"/>
    <w:rsid w:val="002C7C69"/>
    <w:rsid w:val="002C7D57"/>
    <w:rsid w:val="002C7F79"/>
    <w:rsid w:val="002D0B13"/>
    <w:rsid w:val="002D1428"/>
    <w:rsid w:val="002D4C2E"/>
    <w:rsid w:val="002D52CD"/>
    <w:rsid w:val="002D5C64"/>
    <w:rsid w:val="002D79AA"/>
    <w:rsid w:val="002D7A62"/>
    <w:rsid w:val="002D7A7C"/>
    <w:rsid w:val="002E1D37"/>
    <w:rsid w:val="002E3B48"/>
    <w:rsid w:val="002E4BF1"/>
    <w:rsid w:val="002E4E47"/>
    <w:rsid w:val="002E5727"/>
    <w:rsid w:val="002E5ADA"/>
    <w:rsid w:val="002E6ECD"/>
    <w:rsid w:val="002E7668"/>
    <w:rsid w:val="002E78E5"/>
    <w:rsid w:val="002E7FCF"/>
    <w:rsid w:val="002F0DD1"/>
    <w:rsid w:val="002F1292"/>
    <w:rsid w:val="002F1E67"/>
    <w:rsid w:val="002F22FA"/>
    <w:rsid w:val="002F2696"/>
    <w:rsid w:val="002F2FC9"/>
    <w:rsid w:val="002F3D75"/>
    <w:rsid w:val="002F44E8"/>
    <w:rsid w:val="002F49F4"/>
    <w:rsid w:val="002F5CF1"/>
    <w:rsid w:val="002F6CBA"/>
    <w:rsid w:val="002F7718"/>
    <w:rsid w:val="003006B1"/>
    <w:rsid w:val="00300A47"/>
    <w:rsid w:val="00301E48"/>
    <w:rsid w:val="00302412"/>
    <w:rsid w:val="00302C87"/>
    <w:rsid w:val="00302E33"/>
    <w:rsid w:val="00303AD5"/>
    <w:rsid w:val="00304FB9"/>
    <w:rsid w:val="00306084"/>
    <w:rsid w:val="0030678B"/>
    <w:rsid w:val="0030679C"/>
    <w:rsid w:val="0030766F"/>
    <w:rsid w:val="00307FAE"/>
    <w:rsid w:val="00307FC0"/>
    <w:rsid w:val="00310DF4"/>
    <w:rsid w:val="00310E7F"/>
    <w:rsid w:val="00311E28"/>
    <w:rsid w:val="00312F13"/>
    <w:rsid w:val="00313D75"/>
    <w:rsid w:val="003153F4"/>
    <w:rsid w:val="00316062"/>
    <w:rsid w:val="003175CE"/>
    <w:rsid w:val="003209A8"/>
    <w:rsid w:val="003226F6"/>
    <w:rsid w:val="00322785"/>
    <w:rsid w:val="00322B3C"/>
    <w:rsid w:val="00322D06"/>
    <w:rsid w:val="00322F84"/>
    <w:rsid w:val="003239AA"/>
    <w:rsid w:val="00324760"/>
    <w:rsid w:val="00324C8C"/>
    <w:rsid w:val="003256D9"/>
    <w:rsid w:val="00326518"/>
    <w:rsid w:val="00326DD4"/>
    <w:rsid w:val="0033033E"/>
    <w:rsid w:val="003308F5"/>
    <w:rsid w:val="0033205F"/>
    <w:rsid w:val="0033278D"/>
    <w:rsid w:val="00332928"/>
    <w:rsid w:val="00332D56"/>
    <w:rsid w:val="003342D9"/>
    <w:rsid w:val="00334A6D"/>
    <w:rsid w:val="00335186"/>
    <w:rsid w:val="00335A62"/>
    <w:rsid w:val="0033661B"/>
    <w:rsid w:val="00336E85"/>
    <w:rsid w:val="0033726E"/>
    <w:rsid w:val="00340124"/>
    <w:rsid w:val="003404CC"/>
    <w:rsid w:val="0034083E"/>
    <w:rsid w:val="00340FEF"/>
    <w:rsid w:val="0034158B"/>
    <w:rsid w:val="00342642"/>
    <w:rsid w:val="00342C7C"/>
    <w:rsid w:val="0034347F"/>
    <w:rsid w:val="00343A43"/>
    <w:rsid w:val="003464AC"/>
    <w:rsid w:val="00347826"/>
    <w:rsid w:val="00347915"/>
    <w:rsid w:val="00351601"/>
    <w:rsid w:val="00351F06"/>
    <w:rsid w:val="00353025"/>
    <w:rsid w:val="00355F35"/>
    <w:rsid w:val="00356ACC"/>
    <w:rsid w:val="00356C71"/>
    <w:rsid w:val="00357085"/>
    <w:rsid w:val="003576B0"/>
    <w:rsid w:val="00362427"/>
    <w:rsid w:val="00362622"/>
    <w:rsid w:val="00362A3D"/>
    <w:rsid w:val="0036367B"/>
    <w:rsid w:val="00363879"/>
    <w:rsid w:val="003639B9"/>
    <w:rsid w:val="00363A3A"/>
    <w:rsid w:val="00364279"/>
    <w:rsid w:val="00365B02"/>
    <w:rsid w:val="00365BD8"/>
    <w:rsid w:val="0036626B"/>
    <w:rsid w:val="003673B7"/>
    <w:rsid w:val="00367400"/>
    <w:rsid w:val="00367C8B"/>
    <w:rsid w:val="00371425"/>
    <w:rsid w:val="0037195F"/>
    <w:rsid w:val="00372724"/>
    <w:rsid w:val="00373638"/>
    <w:rsid w:val="00373791"/>
    <w:rsid w:val="00373A4B"/>
    <w:rsid w:val="00374162"/>
    <w:rsid w:val="0037477B"/>
    <w:rsid w:val="00376AF2"/>
    <w:rsid w:val="00377035"/>
    <w:rsid w:val="00377669"/>
    <w:rsid w:val="00377AE7"/>
    <w:rsid w:val="00380180"/>
    <w:rsid w:val="0038184A"/>
    <w:rsid w:val="00381DB8"/>
    <w:rsid w:val="0038448D"/>
    <w:rsid w:val="00384BE2"/>
    <w:rsid w:val="00385366"/>
    <w:rsid w:val="00385B8F"/>
    <w:rsid w:val="0038676D"/>
    <w:rsid w:val="00390EA4"/>
    <w:rsid w:val="0039128E"/>
    <w:rsid w:val="003915C3"/>
    <w:rsid w:val="00391743"/>
    <w:rsid w:val="00391DBA"/>
    <w:rsid w:val="003925D9"/>
    <w:rsid w:val="0039372A"/>
    <w:rsid w:val="003942EA"/>
    <w:rsid w:val="00395272"/>
    <w:rsid w:val="003971D9"/>
    <w:rsid w:val="00397BEC"/>
    <w:rsid w:val="00397E26"/>
    <w:rsid w:val="003A021A"/>
    <w:rsid w:val="003A2711"/>
    <w:rsid w:val="003A36B2"/>
    <w:rsid w:val="003A39BA"/>
    <w:rsid w:val="003A3A4A"/>
    <w:rsid w:val="003A4158"/>
    <w:rsid w:val="003A4BB0"/>
    <w:rsid w:val="003A5A88"/>
    <w:rsid w:val="003A621B"/>
    <w:rsid w:val="003A78A8"/>
    <w:rsid w:val="003A7F8B"/>
    <w:rsid w:val="003B007F"/>
    <w:rsid w:val="003B0110"/>
    <w:rsid w:val="003B01EE"/>
    <w:rsid w:val="003B08ED"/>
    <w:rsid w:val="003B16D8"/>
    <w:rsid w:val="003B6B88"/>
    <w:rsid w:val="003B732D"/>
    <w:rsid w:val="003C03CF"/>
    <w:rsid w:val="003C06D9"/>
    <w:rsid w:val="003C093A"/>
    <w:rsid w:val="003C134C"/>
    <w:rsid w:val="003C20B3"/>
    <w:rsid w:val="003C27B6"/>
    <w:rsid w:val="003C34A3"/>
    <w:rsid w:val="003C3E4A"/>
    <w:rsid w:val="003C5496"/>
    <w:rsid w:val="003C5D14"/>
    <w:rsid w:val="003C6276"/>
    <w:rsid w:val="003D0729"/>
    <w:rsid w:val="003D0A6B"/>
    <w:rsid w:val="003D14E8"/>
    <w:rsid w:val="003D14F8"/>
    <w:rsid w:val="003D1603"/>
    <w:rsid w:val="003D19F3"/>
    <w:rsid w:val="003D24F4"/>
    <w:rsid w:val="003D338A"/>
    <w:rsid w:val="003D612B"/>
    <w:rsid w:val="003D61D8"/>
    <w:rsid w:val="003D6883"/>
    <w:rsid w:val="003D6EB4"/>
    <w:rsid w:val="003D787B"/>
    <w:rsid w:val="003D7A75"/>
    <w:rsid w:val="003E1099"/>
    <w:rsid w:val="003E1267"/>
    <w:rsid w:val="003E181F"/>
    <w:rsid w:val="003E63BE"/>
    <w:rsid w:val="003E6FA3"/>
    <w:rsid w:val="003F1011"/>
    <w:rsid w:val="003F23CE"/>
    <w:rsid w:val="003F284A"/>
    <w:rsid w:val="003F434B"/>
    <w:rsid w:val="003F4601"/>
    <w:rsid w:val="003F5889"/>
    <w:rsid w:val="003F5CBA"/>
    <w:rsid w:val="003F6104"/>
    <w:rsid w:val="004004E5"/>
    <w:rsid w:val="0040053C"/>
    <w:rsid w:val="00400C13"/>
    <w:rsid w:val="004019FF"/>
    <w:rsid w:val="00402678"/>
    <w:rsid w:val="00402BF5"/>
    <w:rsid w:val="00402F3F"/>
    <w:rsid w:val="00403C7F"/>
    <w:rsid w:val="00403D8C"/>
    <w:rsid w:val="00404149"/>
    <w:rsid w:val="0040477D"/>
    <w:rsid w:val="00405360"/>
    <w:rsid w:val="00405B87"/>
    <w:rsid w:val="00407195"/>
    <w:rsid w:val="00407FE1"/>
    <w:rsid w:val="00410A00"/>
    <w:rsid w:val="00410DE4"/>
    <w:rsid w:val="00411162"/>
    <w:rsid w:val="00411789"/>
    <w:rsid w:val="00411F31"/>
    <w:rsid w:val="0041288B"/>
    <w:rsid w:val="00413722"/>
    <w:rsid w:val="00414563"/>
    <w:rsid w:val="0041600A"/>
    <w:rsid w:val="004165B2"/>
    <w:rsid w:val="00416D69"/>
    <w:rsid w:val="00417A50"/>
    <w:rsid w:val="00417EA0"/>
    <w:rsid w:val="004215D4"/>
    <w:rsid w:val="004219BF"/>
    <w:rsid w:val="0042251F"/>
    <w:rsid w:val="0042366B"/>
    <w:rsid w:val="0042388C"/>
    <w:rsid w:val="004245D7"/>
    <w:rsid w:val="004300B5"/>
    <w:rsid w:val="00431747"/>
    <w:rsid w:val="00431A4A"/>
    <w:rsid w:val="004326BC"/>
    <w:rsid w:val="00432D57"/>
    <w:rsid w:val="0043354E"/>
    <w:rsid w:val="00433558"/>
    <w:rsid w:val="004337FD"/>
    <w:rsid w:val="00433F71"/>
    <w:rsid w:val="00434544"/>
    <w:rsid w:val="004350CC"/>
    <w:rsid w:val="00436207"/>
    <w:rsid w:val="004373F0"/>
    <w:rsid w:val="00437FD0"/>
    <w:rsid w:val="00440C6B"/>
    <w:rsid w:val="00440D98"/>
    <w:rsid w:val="00442755"/>
    <w:rsid w:val="004433AB"/>
    <w:rsid w:val="004436E6"/>
    <w:rsid w:val="00444323"/>
    <w:rsid w:val="004465B3"/>
    <w:rsid w:val="00446B99"/>
    <w:rsid w:val="00447C6D"/>
    <w:rsid w:val="0045115B"/>
    <w:rsid w:val="004514B8"/>
    <w:rsid w:val="00451762"/>
    <w:rsid w:val="00452FC2"/>
    <w:rsid w:val="00454AEB"/>
    <w:rsid w:val="004551AF"/>
    <w:rsid w:val="00455850"/>
    <w:rsid w:val="0045614C"/>
    <w:rsid w:val="0045685E"/>
    <w:rsid w:val="00456B57"/>
    <w:rsid w:val="0046053A"/>
    <w:rsid w:val="0046124A"/>
    <w:rsid w:val="004612B6"/>
    <w:rsid w:val="00462CBB"/>
    <w:rsid w:val="004644E1"/>
    <w:rsid w:val="004669E1"/>
    <w:rsid w:val="00466E7E"/>
    <w:rsid w:val="004752CD"/>
    <w:rsid w:val="00480181"/>
    <w:rsid w:val="00481744"/>
    <w:rsid w:val="00481B8E"/>
    <w:rsid w:val="004831A4"/>
    <w:rsid w:val="00486084"/>
    <w:rsid w:val="004870DD"/>
    <w:rsid w:val="004872EE"/>
    <w:rsid w:val="00490240"/>
    <w:rsid w:val="0049064B"/>
    <w:rsid w:val="00491603"/>
    <w:rsid w:val="00491FB4"/>
    <w:rsid w:val="00492E30"/>
    <w:rsid w:val="004949C2"/>
    <w:rsid w:val="00494CAB"/>
    <w:rsid w:val="00494CBF"/>
    <w:rsid w:val="00495459"/>
    <w:rsid w:val="00496BE9"/>
    <w:rsid w:val="00497914"/>
    <w:rsid w:val="004A11B3"/>
    <w:rsid w:val="004A16BB"/>
    <w:rsid w:val="004A1B0E"/>
    <w:rsid w:val="004A263A"/>
    <w:rsid w:val="004A272D"/>
    <w:rsid w:val="004A413A"/>
    <w:rsid w:val="004A4A89"/>
    <w:rsid w:val="004A4D45"/>
    <w:rsid w:val="004A64E2"/>
    <w:rsid w:val="004A7F8F"/>
    <w:rsid w:val="004B03F6"/>
    <w:rsid w:val="004B04F5"/>
    <w:rsid w:val="004B1D00"/>
    <w:rsid w:val="004B1D20"/>
    <w:rsid w:val="004B22B7"/>
    <w:rsid w:val="004B2564"/>
    <w:rsid w:val="004B26B1"/>
    <w:rsid w:val="004B4ABD"/>
    <w:rsid w:val="004B4C26"/>
    <w:rsid w:val="004B5A74"/>
    <w:rsid w:val="004B738D"/>
    <w:rsid w:val="004B7AFA"/>
    <w:rsid w:val="004C039D"/>
    <w:rsid w:val="004C1F8F"/>
    <w:rsid w:val="004C2368"/>
    <w:rsid w:val="004C252D"/>
    <w:rsid w:val="004C2C72"/>
    <w:rsid w:val="004C2D96"/>
    <w:rsid w:val="004C3089"/>
    <w:rsid w:val="004C390D"/>
    <w:rsid w:val="004C4852"/>
    <w:rsid w:val="004C4E64"/>
    <w:rsid w:val="004C5061"/>
    <w:rsid w:val="004C5426"/>
    <w:rsid w:val="004C5470"/>
    <w:rsid w:val="004C61C8"/>
    <w:rsid w:val="004C672F"/>
    <w:rsid w:val="004C6DA8"/>
    <w:rsid w:val="004D0B80"/>
    <w:rsid w:val="004D1EF9"/>
    <w:rsid w:val="004D3749"/>
    <w:rsid w:val="004D3DF2"/>
    <w:rsid w:val="004D4F97"/>
    <w:rsid w:val="004D7022"/>
    <w:rsid w:val="004D75B0"/>
    <w:rsid w:val="004E0265"/>
    <w:rsid w:val="004E0418"/>
    <w:rsid w:val="004E08B5"/>
    <w:rsid w:val="004E1019"/>
    <w:rsid w:val="004E16D7"/>
    <w:rsid w:val="004E3266"/>
    <w:rsid w:val="004E3BA3"/>
    <w:rsid w:val="004E3D10"/>
    <w:rsid w:val="004E408C"/>
    <w:rsid w:val="004E5B0A"/>
    <w:rsid w:val="004E6415"/>
    <w:rsid w:val="004E6544"/>
    <w:rsid w:val="004E73A4"/>
    <w:rsid w:val="004E78E1"/>
    <w:rsid w:val="004E7978"/>
    <w:rsid w:val="004F039D"/>
    <w:rsid w:val="004F078B"/>
    <w:rsid w:val="004F082F"/>
    <w:rsid w:val="004F0AED"/>
    <w:rsid w:val="004F1056"/>
    <w:rsid w:val="004F177B"/>
    <w:rsid w:val="004F1856"/>
    <w:rsid w:val="004F1BD1"/>
    <w:rsid w:val="004F2B70"/>
    <w:rsid w:val="004F4CD0"/>
    <w:rsid w:val="004F554E"/>
    <w:rsid w:val="004F57A8"/>
    <w:rsid w:val="004F6742"/>
    <w:rsid w:val="004F6E29"/>
    <w:rsid w:val="00500B62"/>
    <w:rsid w:val="00500EDC"/>
    <w:rsid w:val="00501246"/>
    <w:rsid w:val="00502C97"/>
    <w:rsid w:val="0050324A"/>
    <w:rsid w:val="00503415"/>
    <w:rsid w:val="00503642"/>
    <w:rsid w:val="00503BB2"/>
    <w:rsid w:val="005042D0"/>
    <w:rsid w:val="00504E42"/>
    <w:rsid w:val="0050600E"/>
    <w:rsid w:val="0050607D"/>
    <w:rsid w:val="00506085"/>
    <w:rsid w:val="005069AB"/>
    <w:rsid w:val="005078D2"/>
    <w:rsid w:val="005079ED"/>
    <w:rsid w:val="005128CE"/>
    <w:rsid w:val="00512ABC"/>
    <w:rsid w:val="00513C8C"/>
    <w:rsid w:val="00514C8F"/>
    <w:rsid w:val="00514F48"/>
    <w:rsid w:val="0051546D"/>
    <w:rsid w:val="00515A5F"/>
    <w:rsid w:val="00515D07"/>
    <w:rsid w:val="00516890"/>
    <w:rsid w:val="0051703B"/>
    <w:rsid w:val="005201FB"/>
    <w:rsid w:val="00520319"/>
    <w:rsid w:val="00522F57"/>
    <w:rsid w:val="00523278"/>
    <w:rsid w:val="005233F2"/>
    <w:rsid w:val="00523CF1"/>
    <w:rsid w:val="00524072"/>
    <w:rsid w:val="00524386"/>
    <w:rsid w:val="00524F64"/>
    <w:rsid w:val="00527230"/>
    <w:rsid w:val="00527529"/>
    <w:rsid w:val="005277EB"/>
    <w:rsid w:val="00530A58"/>
    <w:rsid w:val="00530AC1"/>
    <w:rsid w:val="00530FBD"/>
    <w:rsid w:val="00534954"/>
    <w:rsid w:val="00534C4F"/>
    <w:rsid w:val="0053568C"/>
    <w:rsid w:val="00536E78"/>
    <w:rsid w:val="0054035C"/>
    <w:rsid w:val="00540449"/>
    <w:rsid w:val="0054083E"/>
    <w:rsid w:val="005448D5"/>
    <w:rsid w:val="0054503C"/>
    <w:rsid w:val="00545292"/>
    <w:rsid w:val="00546BE6"/>
    <w:rsid w:val="00546BEB"/>
    <w:rsid w:val="00546FC4"/>
    <w:rsid w:val="00551FCE"/>
    <w:rsid w:val="005523A0"/>
    <w:rsid w:val="00552605"/>
    <w:rsid w:val="00553797"/>
    <w:rsid w:val="00554853"/>
    <w:rsid w:val="00555B6F"/>
    <w:rsid w:val="005568D1"/>
    <w:rsid w:val="00557207"/>
    <w:rsid w:val="005577C5"/>
    <w:rsid w:val="00560946"/>
    <w:rsid w:val="00560CBE"/>
    <w:rsid w:val="00562419"/>
    <w:rsid w:val="005636F9"/>
    <w:rsid w:val="00563D17"/>
    <w:rsid w:val="00565622"/>
    <w:rsid w:val="0056585A"/>
    <w:rsid w:val="00565E79"/>
    <w:rsid w:val="0056653E"/>
    <w:rsid w:val="0056726D"/>
    <w:rsid w:val="005701EF"/>
    <w:rsid w:val="00571B87"/>
    <w:rsid w:val="00571F29"/>
    <w:rsid w:val="00572E14"/>
    <w:rsid w:val="00573EDE"/>
    <w:rsid w:val="00573EE2"/>
    <w:rsid w:val="00573EE5"/>
    <w:rsid w:val="00576187"/>
    <w:rsid w:val="005762F2"/>
    <w:rsid w:val="00576477"/>
    <w:rsid w:val="00580C85"/>
    <w:rsid w:val="005819A4"/>
    <w:rsid w:val="005819EC"/>
    <w:rsid w:val="00581B20"/>
    <w:rsid w:val="00581DC3"/>
    <w:rsid w:val="00582048"/>
    <w:rsid w:val="005835BF"/>
    <w:rsid w:val="00583B07"/>
    <w:rsid w:val="0058518A"/>
    <w:rsid w:val="005859C4"/>
    <w:rsid w:val="00585BDB"/>
    <w:rsid w:val="0058640B"/>
    <w:rsid w:val="00586E78"/>
    <w:rsid w:val="00587460"/>
    <w:rsid w:val="0059002F"/>
    <w:rsid w:val="005900CC"/>
    <w:rsid w:val="005908CC"/>
    <w:rsid w:val="00591CAC"/>
    <w:rsid w:val="0059253F"/>
    <w:rsid w:val="00593698"/>
    <w:rsid w:val="0059394E"/>
    <w:rsid w:val="00593FA6"/>
    <w:rsid w:val="00594F71"/>
    <w:rsid w:val="0059551E"/>
    <w:rsid w:val="00596054"/>
    <w:rsid w:val="00596119"/>
    <w:rsid w:val="005979F0"/>
    <w:rsid w:val="00597FF4"/>
    <w:rsid w:val="005A0627"/>
    <w:rsid w:val="005A07F9"/>
    <w:rsid w:val="005A0E46"/>
    <w:rsid w:val="005A1923"/>
    <w:rsid w:val="005A1B51"/>
    <w:rsid w:val="005A1EC0"/>
    <w:rsid w:val="005A1F7A"/>
    <w:rsid w:val="005A261C"/>
    <w:rsid w:val="005A2CAF"/>
    <w:rsid w:val="005A39C1"/>
    <w:rsid w:val="005A39F9"/>
    <w:rsid w:val="005A3B63"/>
    <w:rsid w:val="005A3BDD"/>
    <w:rsid w:val="005A4C37"/>
    <w:rsid w:val="005A4ED9"/>
    <w:rsid w:val="005A5DAA"/>
    <w:rsid w:val="005A67B9"/>
    <w:rsid w:val="005A739E"/>
    <w:rsid w:val="005B1F29"/>
    <w:rsid w:val="005B3093"/>
    <w:rsid w:val="005B315E"/>
    <w:rsid w:val="005B4EC6"/>
    <w:rsid w:val="005B5507"/>
    <w:rsid w:val="005B5AC3"/>
    <w:rsid w:val="005B616C"/>
    <w:rsid w:val="005B6691"/>
    <w:rsid w:val="005C12AF"/>
    <w:rsid w:val="005C1B09"/>
    <w:rsid w:val="005C3597"/>
    <w:rsid w:val="005C421F"/>
    <w:rsid w:val="005C46CC"/>
    <w:rsid w:val="005C4CFE"/>
    <w:rsid w:val="005C4D5C"/>
    <w:rsid w:val="005C4F4D"/>
    <w:rsid w:val="005C58B5"/>
    <w:rsid w:val="005C6697"/>
    <w:rsid w:val="005C6A30"/>
    <w:rsid w:val="005C6FAD"/>
    <w:rsid w:val="005D03A4"/>
    <w:rsid w:val="005D0BF1"/>
    <w:rsid w:val="005D1DDC"/>
    <w:rsid w:val="005D32AE"/>
    <w:rsid w:val="005D385C"/>
    <w:rsid w:val="005D4234"/>
    <w:rsid w:val="005D513A"/>
    <w:rsid w:val="005D6198"/>
    <w:rsid w:val="005D61FD"/>
    <w:rsid w:val="005D66E0"/>
    <w:rsid w:val="005D6BE7"/>
    <w:rsid w:val="005E076C"/>
    <w:rsid w:val="005E0A63"/>
    <w:rsid w:val="005E0F2E"/>
    <w:rsid w:val="005E1E50"/>
    <w:rsid w:val="005E2DE4"/>
    <w:rsid w:val="005E5144"/>
    <w:rsid w:val="005E6D0E"/>
    <w:rsid w:val="005E7DE0"/>
    <w:rsid w:val="005F0652"/>
    <w:rsid w:val="005F070E"/>
    <w:rsid w:val="005F2945"/>
    <w:rsid w:val="005F2FDA"/>
    <w:rsid w:val="005F3199"/>
    <w:rsid w:val="005F3AD4"/>
    <w:rsid w:val="005F4F29"/>
    <w:rsid w:val="005F58D0"/>
    <w:rsid w:val="005F690E"/>
    <w:rsid w:val="005F7BE1"/>
    <w:rsid w:val="006003B5"/>
    <w:rsid w:val="0060159B"/>
    <w:rsid w:val="00601F77"/>
    <w:rsid w:val="006025EB"/>
    <w:rsid w:val="00602D2E"/>
    <w:rsid w:val="006043CD"/>
    <w:rsid w:val="0060522D"/>
    <w:rsid w:val="006054AA"/>
    <w:rsid w:val="006067B1"/>
    <w:rsid w:val="00611370"/>
    <w:rsid w:val="006116DA"/>
    <w:rsid w:val="00611C4C"/>
    <w:rsid w:val="006123CC"/>
    <w:rsid w:val="006128F1"/>
    <w:rsid w:val="00612E83"/>
    <w:rsid w:val="006134FD"/>
    <w:rsid w:val="006138F1"/>
    <w:rsid w:val="00615A85"/>
    <w:rsid w:val="0061652B"/>
    <w:rsid w:val="0061660B"/>
    <w:rsid w:val="006166D8"/>
    <w:rsid w:val="00616A8D"/>
    <w:rsid w:val="00616B98"/>
    <w:rsid w:val="00617F99"/>
    <w:rsid w:val="00621678"/>
    <w:rsid w:val="00621C14"/>
    <w:rsid w:val="00621E98"/>
    <w:rsid w:val="00623038"/>
    <w:rsid w:val="0062309F"/>
    <w:rsid w:val="0062400E"/>
    <w:rsid w:val="0062401E"/>
    <w:rsid w:val="006264BF"/>
    <w:rsid w:val="00626566"/>
    <w:rsid w:val="00626699"/>
    <w:rsid w:val="00627256"/>
    <w:rsid w:val="006311F6"/>
    <w:rsid w:val="00631B96"/>
    <w:rsid w:val="00633A3E"/>
    <w:rsid w:val="00633C99"/>
    <w:rsid w:val="00634592"/>
    <w:rsid w:val="00634652"/>
    <w:rsid w:val="0063477D"/>
    <w:rsid w:val="00635921"/>
    <w:rsid w:val="006359AA"/>
    <w:rsid w:val="00636F33"/>
    <w:rsid w:val="00640E66"/>
    <w:rsid w:val="00641997"/>
    <w:rsid w:val="006419E7"/>
    <w:rsid w:val="00644110"/>
    <w:rsid w:val="0064512D"/>
    <w:rsid w:val="00646428"/>
    <w:rsid w:val="00647060"/>
    <w:rsid w:val="006477FA"/>
    <w:rsid w:val="006524CF"/>
    <w:rsid w:val="00652820"/>
    <w:rsid w:val="00653934"/>
    <w:rsid w:val="00654236"/>
    <w:rsid w:val="00654B57"/>
    <w:rsid w:val="00655540"/>
    <w:rsid w:val="006559EA"/>
    <w:rsid w:val="00656191"/>
    <w:rsid w:val="006566EC"/>
    <w:rsid w:val="00657172"/>
    <w:rsid w:val="00657213"/>
    <w:rsid w:val="006574F3"/>
    <w:rsid w:val="00657D57"/>
    <w:rsid w:val="00657E6A"/>
    <w:rsid w:val="00660243"/>
    <w:rsid w:val="00660605"/>
    <w:rsid w:val="006616B8"/>
    <w:rsid w:val="00661C8C"/>
    <w:rsid w:val="006624CA"/>
    <w:rsid w:val="00662CAD"/>
    <w:rsid w:val="00663185"/>
    <w:rsid w:val="00663972"/>
    <w:rsid w:val="00664B60"/>
    <w:rsid w:val="00664BE4"/>
    <w:rsid w:val="00665C7E"/>
    <w:rsid w:val="006660FE"/>
    <w:rsid w:val="006664A0"/>
    <w:rsid w:val="006667EB"/>
    <w:rsid w:val="0066740E"/>
    <w:rsid w:val="006677E3"/>
    <w:rsid w:val="00670848"/>
    <w:rsid w:val="00670C71"/>
    <w:rsid w:val="006714DD"/>
    <w:rsid w:val="00671F87"/>
    <w:rsid w:val="00672ED2"/>
    <w:rsid w:val="00673AA4"/>
    <w:rsid w:val="00674780"/>
    <w:rsid w:val="00674D1E"/>
    <w:rsid w:val="00674DF6"/>
    <w:rsid w:val="0067581F"/>
    <w:rsid w:val="00676C5C"/>
    <w:rsid w:val="00677242"/>
    <w:rsid w:val="00677FCE"/>
    <w:rsid w:val="006806BC"/>
    <w:rsid w:val="0068179F"/>
    <w:rsid w:val="00681FDE"/>
    <w:rsid w:val="006829E6"/>
    <w:rsid w:val="0068366B"/>
    <w:rsid w:val="00684B3E"/>
    <w:rsid w:val="00685191"/>
    <w:rsid w:val="00685218"/>
    <w:rsid w:val="006855F4"/>
    <w:rsid w:val="006874FE"/>
    <w:rsid w:val="006906A4"/>
    <w:rsid w:val="006915FE"/>
    <w:rsid w:val="00691F81"/>
    <w:rsid w:val="00693102"/>
    <w:rsid w:val="00694904"/>
    <w:rsid w:val="00694E1D"/>
    <w:rsid w:val="0069516A"/>
    <w:rsid w:val="006954F0"/>
    <w:rsid w:val="00696E81"/>
    <w:rsid w:val="006971D1"/>
    <w:rsid w:val="006971E8"/>
    <w:rsid w:val="00697390"/>
    <w:rsid w:val="006A0750"/>
    <w:rsid w:val="006A1047"/>
    <w:rsid w:val="006A2AC5"/>
    <w:rsid w:val="006A3A06"/>
    <w:rsid w:val="006A43F3"/>
    <w:rsid w:val="006A456F"/>
    <w:rsid w:val="006A5524"/>
    <w:rsid w:val="006A6D7F"/>
    <w:rsid w:val="006B07FF"/>
    <w:rsid w:val="006B0EDC"/>
    <w:rsid w:val="006B10EE"/>
    <w:rsid w:val="006B1DB7"/>
    <w:rsid w:val="006B2884"/>
    <w:rsid w:val="006B29EA"/>
    <w:rsid w:val="006B3782"/>
    <w:rsid w:val="006B3932"/>
    <w:rsid w:val="006B5633"/>
    <w:rsid w:val="006B75BE"/>
    <w:rsid w:val="006B7F98"/>
    <w:rsid w:val="006C0102"/>
    <w:rsid w:val="006C0B81"/>
    <w:rsid w:val="006C337C"/>
    <w:rsid w:val="006C43F8"/>
    <w:rsid w:val="006C4C59"/>
    <w:rsid w:val="006C5D49"/>
    <w:rsid w:val="006C6451"/>
    <w:rsid w:val="006C6D5F"/>
    <w:rsid w:val="006C725B"/>
    <w:rsid w:val="006C737C"/>
    <w:rsid w:val="006D05B0"/>
    <w:rsid w:val="006D1BFB"/>
    <w:rsid w:val="006D2C23"/>
    <w:rsid w:val="006D3F60"/>
    <w:rsid w:val="006D47CA"/>
    <w:rsid w:val="006D517B"/>
    <w:rsid w:val="006D5396"/>
    <w:rsid w:val="006D55B6"/>
    <w:rsid w:val="006D567A"/>
    <w:rsid w:val="006D5719"/>
    <w:rsid w:val="006D5741"/>
    <w:rsid w:val="006D592E"/>
    <w:rsid w:val="006D7741"/>
    <w:rsid w:val="006E06C1"/>
    <w:rsid w:val="006E0BA5"/>
    <w:rsid w:val="006E10B3"/>
    <w:rsid w:val="006E123D"/>
    <w:rsid w:val="006E33C4"/>
    <w:rsid w:val="006E3637"/>
    <w:rsid w:val="006E3676"/>
    <w:rsid w:val="006E4575"/>
    <w:rsid w:val="006E5B0D"/>
    <w:rsid w:val="006E6F40"/>
    <w:rsid w:val="006E7171"/>
    <w:rsid w:val="006E7264"/>
    <w:rsid w:val="006F0998"/>
    <w:rsid w:val="006F18B5"/>
    <w:rsid w:val="006F1B34"/>
    <w:rsid w:val="006F1CD5"/>
    <w:rsid w:val="006F2047"/>
    <w:rsid w:val="006F24DB"/>
    <w:rsid w:val="006F2615"/>
    <w:rsid w:val="006F3443"/>
    <w:rsid w:val="006F3D6D"/>
    <w:rsid w:val="006F45D0"/>
    <w:rsid w:val="006F6E0A"/>
    <w:rsid w:val="006F7599"/>
    <w:rsid w:val="0070088F"/>
    <w:rsid w:val="00700FC1"/>
    <w:rsid w:val="00702619"/>
    <w:rsid w:val="007032D9"/>
    <w:rsid w:val="00703712"/>
    <w:rsid w:val="00704480"/>
    <w:rsid w:val="00704BA9"/>
    <w:rsid w:val="00704CE7"/>
    <w:rsid w:val="0070735B"/>
    <w:rsid w:val="0070738F"/>
    <w:rsid w:val="0071092C"/>
    <w:rsid w:val="00710ABD"/>
    <w:rsid w:val="0071172E"/>
    <w:rsid w:val="00711906"/>
    <w:rsid w:val="00711BF6"/>
    <w:rsid w:val="00711CB1"/>
    <w:rsid w:val="00711D94"/>
    <w:rsid w:val="00712655"/>
    <w:rsid w:val="00712A4E"/>
    <w:rsid w:val="00712C0A"/>
    <w:rsid w:val="00713C85"/>
    <w:rsid w:val="00714AAB"/>
    <w:rsid w:val="0071515B"/>
    <w:rsid w:val="00716595"/>
    <w:rsid w:val="00716A48"/>
    <w:rsid w:val="00716CD0"/>
    <w:rsid w:val="00716D6F"/>
    <w:rsid w:val="00717677"/>
    <w:rsid w:val="00717AF5"/>
    <w:rsid w:val="00721011"/>
    <w:rsid w:val="00721336"/>
    <w:rsid w:val="00721C5E"/>
    <w:rsid w:val="0072248A"/>
    <w:rsid w:val="0072424D"/>
    <w:rsid w:val="00724F4E"/>
    <w:rsid w:val="00724FC3"/>
    <w:rsid w:val="007263F1"/>
    <w:rsid w:val="00727AFF"/>
    <w:rsid w:val="00730587"/>
    <w:rsid w:val="00730AA6"/>
    <w:rsid w:val="00731998"/>
    <w:rsid w:val="00733775"/>
    <w:rsid w:val="007340AC"/>
    <w:rsid w:val="00734442"/>
    <w:rsid w:val="00734714"/>
    <w:rsid w:val="00734F55"/>
    <w:rsid w:val="00735621"/>
    <w:rsid w:val="00735640"/>
    <w:rsid w:val="00735A3E"/>
    <w:rsid w:val="0073630C"/>
    <w:rsid w:val="00736958"/>
    <w:rsid w:val="007370FE"/>
    <w:rsid w:val="00737F62"/>
    <w:rsid w:val="0074031C"/>
    <w:rsid w:val="00740CF2"/>
    <w:rsid w:val="00740FF9"/>
    <w:rsid w:val="007423FD"/>
    <w:rsid w:val="007428B5"/>
    <w:rsid w:val="00742D7D"/>
    <w:rsid w:val="00742EBC"/>
    <w:rsid w:val="00745731"/>
    <w:rsid w:val="00745FB2"/>
    <w:rsid w:val="0074747B"/>
    <w:rsid w:val="00747764"/>
    <w:rsid w:val="00747F45"/>
    <w:rsid w:val="0075022A"/>
    <w:rsid w:val="00752770"/>
    <w:rsid w:val="00752BB4"/>
    <w:rsid w:val="00753D53"/>
    <w:rsid w:val="00754378"/>
    <w:rsid w:val="00756043"/>
    <w:rsid w:val="00756362"/>
    <w:rsid w:val="00756B1B"/>
    <w:rsid w:val="0076009F"/>
    <w:rsid w:val="0076096A"/>
    <w:rsid w:val="007613DD"/>
    <w:rsid w:val="0076344D"/>
    <w:rsid w:val="00764B0A"/>
    <w:rsid w:val="00765050"/>
    <w:rsid w:val="007656F5"/>
    <w:rsid w:val="00765B79"/>
    <w:rsid w:val="00765C85"/>
    <w:rsid w:val="00766CFD"/>
    <w:rsid w:val="00766F12"/>
    <w:rsid w:val="00767084"/>
    <w:rsid w:val="0076713F"/>
    <w:rsid w:val="007679B7"/>
    <w:rsid w:val="00770045"/>
    <w:rsid w:val="007701C1"/>
    <w:rsid w:val="00770636"/>
    <w:rsid w:val="0077068D"/>
    <w:rsid w:val="00771166"/>
    <w:rsid w:val="00772390"/>
    <w:rsid w:val="0077260C"/>
    <w:rsid w:val="007727C5"/>
    <w:rsid w:val="00773CE4"/>
    <w:rsid w:val="0077422C"/>
    <w:rsid w:val="007757A8"/>
    <w:rsid w:val="00775FE0"/>
    <w:rsid w:val="00777D79"/>
    <w:rsid w:val="007806AE"/>
    <w:rsid w:val="00780989"/>
    <w:rsid w:val="0078130C"/>
    <w:rsid w:val="00782A3E"/>
    <w:rsid w:val="00782CEC"/>
    <w:rsid w:val="00782ECB"/>
    <w:rsid w:val="007854BB"/>
    <w:rsid w:val="007864AE"/>
    <w:rsid w:val="007868E4"/>
    <w:rsid w:val="00790186"/>
    <w:rsid w:val="00792D4C"/>
    <w:rsid w:val="00793D88"/>
    <w:rsid w:val="00794770"/>
    <w:rsid w:val="007947BA"/>
    <w:rsid w:val="00795F96"/>
    <w:rsid w:val="007975D3"/>
    <w:rsid w:val="0079782E"/>
    <w:rsid w:val="00797DE2"/>
    <w:rsid w:val="007A0A64"/>
    <w:rsid w:val="007A151A"/>
    <w:rsid w:val="007A1A78"/>
    <w:rsid w:val="007A5353"/>
    <w:rsid w:val="007A53C2"/>
    <w:rsid w:val="007A5BD0"/>
    <w:rsid w:val="007A711C"/>
    <w:rsid w:val="007A771D"/>
    <w:rsid w:val="007B0A3F"/>
    <w:rsid w:val="007B1EE1"/>
    <w:rsid w:val="007B2079"/>
    <w:rsid w:val="007B216F"/>
    <w:rsid w:val="007B2FE8"/>
    <w:rsid w:val="007B375D"/>
    <w:rsid w:val="007B3F27"/>
    <w:rsid w:val="007B607F"/>
    <w:rsid w:val="007B633B"/>
    <w:rsid w:val="007B6D7F"/>
    <w:rsid w:val="007B7514"/>
    <w:rsid w:val="007B7849"/>
    <w:rsid w:val="007C00B9"/>
    <w:rsid w:val="007C144E"/>
    <w:rsid w:val="007C15E4"/>
    <w:rsid w:val="007C175C"/>
    <w:rsid w:val="007C1E96"/>
    <w:rsid w:val="007C247A"/>
    <w:rsid w:val="007C2A07"/>
    <w:rsid w:val="007C3069"/>
    <w:rsid w:val="007C3F29"/>
    <w:rsid w:val="007C4D5E"/>
    <w:rsid w:val="007C4D62"/>
    <w:rsid w:val="007C520A"/>
    <w:rsid w:val="007C5C1F"/>
    <w:rsid w:val="007C61C3"/>
    <w:rsid w:val="007C631E"/>
    <w:rsid w:val="007C637D"/>
    <w:rsid w:val="007C6B3D"/>
    <w:rsid w:val="007C7427"/>
    <w:rsid w:val="007D047F"/>
    <w:rsid w:val="007D0E5F"/>
    <w:rsid w:val="007D0ED8"/>
    <w:rsid w:val="007D1810"/>
    <w:rsid w:val="007D1946"/>
    <w:rsid w:val="007D1B1B"/>
    <w:rsid w:val="007D28A0"/>
    <w:rsid w:val="007D2A59"/>
    <w:rsid w:val="007D32CE"/>
    <w:rsid w:val="007D346E"/>
    <w:rsid w:val="007D3495"/>
    <w:rsid w:val="007D4E73"/>
    <w:rsid w:val="007D4F0F"/>
    <w:rsid w:val="007D52CB"/>
    <w:rsid w:val="007D6519"/>
    <w:rsid w:val="007D6BB8"/>
    <w:rsid w:val="007D7BFB"/>
    <w:rsid w:val="007D7CC5"/>
    <w:rsid w:val="007D7F4D"/>
    <w:rsid w:val="007E007F"/>
    <w:rsid w:val="007E064B"/>
    <w:rsid w:val="007E0AB8"/>
    <w:rsid w:val="007E0C42"/>
    <w:rsid w:val="007E0E3A"/>
    <w:rsid w:val="007E0FA1"/>
    <w:rsid w:val="007E1B9D"/>
    <w:rsid w:val="007E263B"/>
    <w:rsid w:val="007E2FC8"/>
    <w:rsid w:val="007E30CF"/>
    <w:rsid w:val="007E4A31"/>
    <w:rsid w:val="007E63DC"/>
    <w:rsid w:val="007E7774"/>
    <w:rsid w:val="007E78B1"/>
    <w:rsid w:val="007E79C1"/>
    <w:rsid w:val="007F2B76"/>
    <w:rsid w:val="007F33B9"/>
    <w:rsid w:val="007F49F6"/>
    <w:rsid w:val="007F5A58"/>
    <w:rsid w:val="007F74A6"/>
    <w:rsid w:val="0080032D"/>
    <w:rsid w:val="008005ED"/>
    <w:rsid w:val="00800936"/>
    <w:rsid w:val="008009B9"/>
    <w:rsid w:val="00800E72"/>
    <w:rsid w:val="00801903"/>
    <w:rsid w:val="00801F62"/>
    <w:rsid w:val="008027CA"/>
    <w:rsid w:val="0080293E"/>
    <w:rsid w:val="0080342D"/>
    <w:rsid w:val="00804C1A"/>
    <w:rsid w:val="0080524D"/>
    <w:rsid w:val="0081044E"/>
    <w:rsid w:val="00810B6F"/>
    <w:rsid w:val="0081165D"/>
    <w:rsid w:val="00811EBF"/>
    <w:rsid w:val="00812557"/>
    <w:rsid w:val="008138EC"/>
    <w:rsid w:val="00813934"/>
    <w:rsid w:val="008140E5"/>
    <w:rsid w:val="0081415C"/>
    <w:rsid w:val="008150B8"/>
    <w:rsid w:val="00815939"/>
    <w:rsid w:val="00815DE7"/>
    <w:rsid w:val="0081605E"/>
    <w:rsid w:val="00820210"/>
    <w:rsid w:val="00820C1D"/>
    <w:rsid w:val="008258F7"/>
    <w:rsid w:val="00826871"/>
    <w:rsid w:val="00826F5B"/>
    <w:rsid w:val="0083033E"/>
    <w:rsid w:val="0083086F"/>
    <w:rsid w:val="00831111"/>
    <w:rsid w:val="00831959"/>
    <w:rsid w:val="00831A8A"/>
    <w:rsid w:val="00832329"/>
    <w:rsid w:val="00833C9C"/>
    <w:rsid w:val="00835DA5"/>
    <w:rsid w:val="00836DCC"/>
    <w:rsid w:val="008371C8"/>
    <w:rsid w:val="00837885"/>
    <w:rsid w:val="00837FD6"/>
    <w:rsid w:val="00840531"/>
    <w:rsid w:val="00840C47"/>
    <w:rsid w:val="008410C6"/>
    <w:rsid w:val="0084201B"/>
    <w:rsid w:val="00842917"/>
    <w:rsid w:val="00844466"/>
    <w:rsid w:val="00845856"/>
    <w:rsid w:val="0084668E"/>
    <w:rsid w:val="008466AC"/>
    <w:rsid w:val="008478D8"/>
    <w:rsid w:val="0085008A"/>
    <w:rsid w:val="00851292"/>
    <w:rsid w:val="00852DCB"/>
    <w:rsid w:val="00853406"/>
    <w:rsid w:val="00853496"/>
    <w:rsid w:val="00853F81"/>
    <w:rsid w:val="0085411B"/>
    <w:rsid w:val="008546D9"/>
    <w:rsid w:val="00854868"/>
    <w:rsid w:val="00854894"/>
    <w:rsid w:val="00855374"/>
    <w:rsid w:val="00856001"/>
    <w:rsid w:val="00857D96"/>
    <w:rsid w:val="00860295"/>
    <w:rsid w:val="00860F37"/>
    <w:rsid w:val="00861ECF"/>
    <w:rsid w:val="0086290A"/>
    <w:rsid w:val="00862F55"/>
    <w:rsid w:val="00863939"/>
    <w:rsid w:val="008639CE"/>
    <w:rsid w:val="00864700"/>
    <w:rsid w:val="0086566A"/>
    <w:rsid w:val="00865785"/>
    <w:rsid w:val="00867707"/>
    <w:rsid w:val="00867CC4"/>
    <w:rsid w:val="00870283"/>
    <w:rsid w:val="008707EC"/>
    <w:rsid w:val="00870B89"/>
    <w:rsid w:val="0087112C"/>
    <w:rsid w:val="00871E75"/>
    <w:rsid w:val="00874ED8"/>
    <w:rsid w:val="008768D9"/>
    <w:rsid w:val="0087791E"/>
    <w:rsid w:val="008801C6"/>
    <w:rsid w:val="008807FA"/>
    <w:rsid w:val="0088132F"/>
    <w:rsid w:val="00881E1F"/>
    <w:rsid w:val="00882352"/>
    <w:rsid w:val="008836B6"/>
    <w:rsid w:val="00883C93"/>
    <w:rsid w:val="008845F5"/>
    <w:rsid w:val="00884980"/>
    <w:rsid w:val="00885242"/>
    <w:rsid w:val="00885F8B"/>
    <w:rsid w:val="008867EE"/>
    <w:rsid w:val="008869B7"/>
    <w:rsid w:val="00887581"/>
    <w:rsid w:val="0089050A"/>
    <w:rsid w:val="00890D27"/>
    <w:rsid w:val="00890D41"/>
    <w:rsid w:val="00891074"/>
    <w:rsid w:val="00891CD3"/>
    <w:rsid w:val="00892098"/>
    <w:rsid w:val="008929E7"/>
    <w:rsid w:val="00892B7D"/>
    <w:rsid w:val="008930FE"/>
    <w:rsid w:val="00893270"/>
    <w:rsid w:val="008950FF"/>
    <w:rsid w:val="00895B79"/>
    <w:rsid w:val="00896006"/>
    <w:rsid w:val="0089607E"/>
    <w:rsid w:val="008961B2"/>
    <w:rsid w:val="008964E8"/>
    <w:rsid w:val="00896C37"/>
    <w:rsid w:val="008A0303"/>
    <w:rsid w:val="008A0924"/>
    <w:rsid w:val="008A0AC2"/>
    <w:rsid w:val="008A0E66"/>
    <w:rsid w:val="008A34B7"/>
    <w:rsid w:val="008A3C05"/>
    <w:rsid w:val="008A4943"/>
    <w:rsid w:val="008A57CA"/>
    <w:rsid w:val="008A75F9"/>
    <w:rsid w:val="008A7E43"/>
    <w:rsid w:val="008B011F"/>
    <w:rsid w:val="008B0D13"/>
    <w:rsid w:val="008B26BB"/>
    <w:rsid w:val="008B34D4"/>
    <w:rsid w:val="008B37C2"/>
    <w:rsid w:val="008B37E2"/>
    <w:rsid w:val="008B4B7C"/>
    <w:rsid w:val="008B560F"/>
    <w:rsid w:val="008B5789"/>
    <w:rsid w:val="008B5DA6"/>
    <w:rsid w:val="008B6768"/>
    <w:rsid w:val="008B70C4"/>
    <w:rsid w:val="008B7D27"/>
    <w:rsid w:val="008B7FCF"/>
    <w:rsid w:val="008C05EA"/>
    <w:rsid w:val="008C095D"/>
    <w:rsid w:val="008C137F"/>
    <w:rsid w:val="008C1505"/>
    <w:rsid w:val="008C18A8"/>
    <w:rsid w:val="008C1B8C"/>
    <w:rsid w:val="008C34C5"/>
    <w:rsid w:val="008C45A6"/>
    <w:rsid w:val="008C5248"/>
    <w:rsid w:val="008C7AFF"/>
    <w:rsid w:val="008D0733"/>
    <w:rsid w:val="008D1975"/>
    <w:rsid w:val="008D1A55"/>
    <w:rsid w:val="008D1A96"/>
    <w:rsid w:val="008D3747"/>
    <w:rsid w:val="008D4463"/>
    <w:rsid w:val="008D548E"/>
    <w:rsid w:val="008D611B"/>
    <w:rsid w:val="008D647E"/>
    <w:rsid w:val="008D67DD"/>
    <w:rsid w:val="008D6FE7"/>
    <w:rsid w:val="008D7755"/>
    <w:rsid w:val="008D7B7C"/>
    <w:rsid w:val="008D7C08"/>
    <w:rsid w:val="008E0F4F"/>
    <w:rsid w:val="008E1CEE"/>
    <w:rsid w:val="008E26A8"/>
    <w:rsid w:val="008E2744"/>
    <w:rsid w:val="008E2E4F"/>
    <w:rsid w:val="008E3C01"/>
    <w:rsid w:val="008E641B"/>
    <w:rsid w:val="008F013D"/>
    <w:rsid w:val="008F2D3C"/>
    <w:rsid w:val="008F30C9"/>
    <w:rsid w:val="008F4F70"/>
    <w:rsid w:val="008F6534"/>
    <w:rsid w:val="008F6783"/>
    <w:rsid w:val="008F6BDC"/>
    <w:rsid w:val="008F7967"/>
    <w:rsid w:val="00901CDE"/>
    <w:rsid w:val="00902538"/>
    <w:rsid w:val="00902BCC"/>
    <w:rsid w:val="00903448"/>
    <w:rsid w:val="00903707"/>
    <w:rsid w:val="009037DE"/>
    <w:rsid w:val="00904061"/>
    <w:rsid w:val="009045AD"/>
    <w:rsid w:val="009049D9"/>
    <w:rsid w:val="00905074"/>
    <w:rsid w:val="00905F7C"/>
    <w:rsid w:val="00906A64"/>
    <w:rsid w:val="00906DA3"/>
    <w:rsid w:val="00906EEF"/>
    <w:rsid w:val="00907B18"/>
    <w:rsid w:val="00907EC8"/>
    <w:rsid w:val="00910DC2"/>
    <w:rsid w:val="0091132B"/>
    <w:rsid w:val="009129F2"/>
    <w:rsid w:val="009137C9"/>
    <w:rsid w:val="00913E21"/>
    <w:rsid w:val="00914F45"/>
    <w:rsid w:val="00916230"/>
    <w:rsid w:val="00916CCE"/>
    <w:rsid w:val="00916FAE"/>
    <w:rsid w:val="009170B6"/>
    <w:rsid w:val="009202E4"/>
    <w:rsid w:val="00920622"/>
    <w:rsid w:val="00920A00"/>
    <w:rsid w:val="00921097"/>
    <w:rsid w:val="00921105"/>
    <w:rsid w:val="00921198"/>
    <w:rsid w:val="00921D50"/>
    <w:rsid w:val="00923942"/>
    <w:rsid w:val="00924200"/>
    <w:rsid w:val="00924E00"/>
    <w:rsid w:val="00925408"/>
    <w:rsid w:val="00927F3F"/>
    <w:rsid w:val="00930556"/>
    <w:rsid w:val="00931DBA"/>
    <w:rsid w:val="009323D0"/>
    <w:rsid w:val="00933699"/>
    <w:rsid w:val="00934D0B"/>
    <w:rsid w:val="00934E92"/>
    <w:rsid w:val="00934F92"/>
    <w:rsid w:val="00935612"/>
    <w:rsid w:val="00935867"/>
    <w:rsid w:val="00935FD2"/>
    <w:rsid w:val="009370A3"/>
    <w:rsid w:val="00937D0A"/>
    <w:rsid w:val="00937FB1"/>
    <w:rsid w:val="00940900"/>
    <w:rsid w:val="0094103F"/>
    <w:rsid w:val="00941DD3"/>
    <w:rsid w:val="0094321E"/>
    <w:rsid w:val="0094376A"/>
    <w:rsid w:val="00944B2A"/>
    <w:rsid w:val="00945602"/>
    <w:rsid w:val="00945627"/>
    <w:rsid w:val="009456CF"/>
    <w:rsid w:val="00945A84"/>
    <w:rsid w:val="00945DB8"/>
    <w:rsid w:val="00946766"/>
    <w:rsid w:val="00946A8B"/>
    <w:rsid w:val="00946F0F"/>
    <w:rsid w:val="009479A1"/>
    <w:rsid w:val="009501A1"/>
    <w:rsid w:val="00950757"/>
    <w:rsid w:val="0095098A"/>
    <w:rsid w:val="00950F2D"/>
    <w:rsid w:val="009518D0"/>
    <w:rsid w:val="0095244C"/>
    <w:rsid w:val="009538C6"/>
    <w:rsid w:val="009539BF"/>
    <w:rsid w:val="009539CC"/>
    <w:rsid w:val="00955E1E"/>
    <w:rsid w:val="009563C5"/>
    <w:rsid w:val="0096030A"/>
    <w:rsid w:val="00960688"/>
    <w:rsid w:val="00960E0C"/>
    <w:rsid w:val="00961294"/>
    <w:rsid w:val="00963155"/>
    <w:rsid w:val="00963CBD"/>
    <w:rsid w:val="009650FD"/>
    <w:rsid w:val="009659E7"/>
    <w:rsid w:val="00966317"/>
    <w:rsid w:val="00967727"/>
    <w:rsid w:val="0097053F"/>
    <w:rsid w:val="009707AB"/>
    <w:rsid w:val="00970D36"/>
    <w:rsid w:val="0097128F"/>
    <w:rsid w:val="00971349"/>
    <w:rsid w:val="00972716"/>
    <w:rsid w:val="00973394"/>
    <w:rsid w:val="00973AAE"/>
    <w:rsid w:val="0097473B"/>
    <w:rsid w:val="00976380"/>
    <w:rsid w:val="00976456"/>
    <w:rsid w:val="00976AEA"/>
    <w:rsid w:val="00977599"/>
    <w:rsid w:val="009804E2"/>
    <w:rsid w:val="00980536"/>
    <w:rsid w:val="0098086C"/>
    <w:rsid w:val="00981CDC"/>
    <w:rsid w:val="009831FA"/>
    <w:rsid w:val="009839A3"/>
    <w:rsid w:val="00984AD1"/>
    <w:rsid w:val="00985025"/>
    <w:rsid w:val="009852BF"/>
    <w:rsid w:val="009853C3"/>
    <w:rsid w:val="009856F6"/>
    <w:rsid w:val="00987897"/>
    <w:rsid w:val="009878DA"/>
    <w:rsid w:val="00987D0B"/>
    <w:rsid w:val="00990334"/>
    <w:rsid w:val="00990F55"/>
    <w:rsid w:val="00991DA3"/>
    <w:rsid w:val="009931A3"/>
    <w:rsid w:val="00993E43"/>
    <w:rsid w:val="0099404E"/>
    <w:rsid w:val="009946C6"/>
    <w:rsid w:val="00995054"/>
    <w:rsid w:val="00995B86"/>
    <w:rsid w:val="00996EDA"/>
    <w:rsid w:val="00997271"/>
    <w:rsid w:val="00997A19"/>
    <w:rsid w:val="00997F89"/>
    <w:rsid w:val="009A1B2C"/>
    <w:rsid w:val="009A1C90"/>
    <w:rsid w:val="009A4B0A"/>
    <w:rsid w:val="009A4D6D"/>
    <w:rsid w:val="009A5399"/>
    <w:rsid w:val="009A54DD"/>
    <w:rsid w:val="009A65DB"/>
    <w:rsid w:val="009B0FDB"/>
    <w:rsid w:val="009B2920"/>
    <w:rsid w:val="009B3070"/>
    <w:rsid w:val="009B4947"/>
    <w:rsid w:val="009B5616"/>
    <w:rsid w:val="009B5D05"/>
    <w:rsid w:val="009B620F"/>
    <w:rsid w:val="009B6699"/>
    <w:rsid w:val="009B6A58"/>
    <w:rsid w:val="009C225B"/>
    <w:rsid w:val="009C2331"/>
    <w:rsid w:val="009C3F73"/>
    <w:rsid w:val="009C40F9"/>
    <w:rsid w:val="009C422C"/>
    <w:rsid w:val="009C49E3"/>
    <w:rsid w:val="009C4AC5"/>
    <w:rsid w:val="009C592B"/>
    <w:rsid w:val="009D0E6F"/>
    <w:rsid w:val="009D1E8D"/>
    <w:rsid w:val="009D24FC"/>
    <w:rsid w:val="009D33E5"/>
    <w:rsid w:val="009D4F18"/>
    <w:rsid w:val="009D5591"/>
    <w:rsid w:val="009D6E49"/>
    <w:rsid w:val="009D738F"/>
    <w:rsid w:val="009E01CF"/>
    <w:rsid w:val="009E0DEE"/>
    <w:rsid w:val="009E0E39"/>
    <w:rsid w:val="009E0F3F"/>
    <w:rsid w:val="009E113E"/>
    <w:rsid w:val="009E1B45"/>
    <w:rsid w:val="009E1B65"/>
    <w:rsid w:val="009E3D93"/>
    <w:rsid w:val="009E5B68"/>
    <w:rsid w:val="009E6548"/>
    <w:rsid w:val="009E7FAB"/>
    <w:rsid w:val="009F0D61"/>
    <w:rsid w:val="009F23BB"/>
    <w:rsid w:val="009F3617"/>
    <w:rsid w:val="009F3A71"/>
    <w:rsid w:val="009F49E9"/>
    <w:rsid w:val="009F4A7E"/>
    <w:rsid w:val="009F5FF8"/>
    <w:rsid w:val="009F6926"/>
    <w:rsid w:val="009F6B67"/>
    <w:rsid w:val="009F6D41"/>
    <w:rsid w:val="009F6DA6"/>
    <w:rsid w:val="00A02252"/>
    <w:rsid w:val="00A0312F"/>
    <w:rsid w:val="00A03866"/>
    <w:rsid w:val="00A039F7"/>
    <w:rsid w:val="00A03B5A"/>
    <w:rsid w:val="00A03F41"/>
    <w:rsid w:val="00A048F7"/>
    <w:rsid w:val="00A05BC6"/>
    <w:rsid w:val="00A06493"/>
    <w:rsid w:val="00A06F91"/>
    <w:rsid w:val="00A074EA"/>
    <w:rsid w:val="00A07EB4"/>
    <w:rsid w:val="00A109CA"/>
    <w:rsid w:val="00A10C84"/>
    <w:rsid w:val="00A1173C"/>
    <w:rsid w:val="00A1612A"/>
    <w:rsid w:val="00A1678B"/>
    <w:rsid w:val="00A16DB6"/>
    <w:rsid w:val="00A17C12"/>
    <w:rsid w:val="00A20840"/>
    <w:rsid w:val="00A22B14"/>
    <w:rsid w:val="00A23A43"/>
    <w:rsid w:val="00A24024"/>
    <w:rsid w:val="00A25354"/>
    <w:rsid w:val="00A25E63"/>
    <w:rsid w:val="00A27625"/>
    <w:rsid w:val="00A27C36"/>
    <w:rsid w:val="00A30198"/>
    <w:rsid w:val="00A307AD"/>
    <w:rsid w:val="00A30F73"/>
    <w:rsid w:val="00A34018"/>
    <w:rsid w:val="00A34941"/>
    <w:rsid w:val="00A34C26"/>
    <w:rsid w:val="00A35134"/>
    <w:rsid w:val="00A35EDC"/>
    <w:rsid w:val="00A366B1"/>
    <w:rsid w:val="00A36ACB"/>
    <w:rsid w:val="00A36C62"/>
    <w:rsid w:val="00A40866"/>
    <w:rsid w:val="00A40DE9"/>
    <w:rsid w:val="00A412AF"/>
    <w:rsid w:val="00A415CB"/>
    <w:rsid w:val="00A41AE6"/>
    <w:rsid w:val="00A41B65"/>
    <w:rsid w:val="00A41CCA"/>
    <w:rsid w:val="00A424A2"/>
    <w:rsid w:val="00A42EC0"/>
    <w:rsid w:val="00A4596E"/>
    <w:rsid w:val="00A45D2E"/>
    <w:rsid w:val="00A45F11"/>
    <w:rsid w:val="00A4648A"/>
    <w:rsid w:val="00A47187"/>
    <w:rsid w:val="00A47432"/>
    <w:rsid w:val="00A4795A"/>
    <w:rsid w:val="00A47AD8"/>
    <w:rsid w:val="00A504D1"/>
    <w:rsid w:val="00A5069B"/>
    <w:rsid w:val="00A53406"/>
    <w:rsid w:val="00A53CE7"/>
    <w:rsid w:val="00A543F1"/>
    <w:rsid w:val="00A54EBE"/>
    <w:rsid w:val="00A54F1F"/>
    <w:rsid w:val="00A55815"/>
    <w:rsid w:val="00A56C0B"/>
    <w:rsid w:val="00A56FA0"/>
    <w:rsid w:val="00A60B85"/>
    <w:rsid w:val="00A6105A"/>
    <w:rsid w:val="00A619B9"/>
    <w:rsid w:val="00A624FB"/>
    <w:rsid w:val="00A62797"/>
    <w:rsid w:val="00A63740"/>
    <w:rsid w:val="00A652A2"/>
    <w:rsid w:val="00A665EA"/>
    <w:rsid w:val="00A66E4D"/>
    <w:rsid w:val="00A67A8B"/>
    <w:rsid w:val="00A70267"/>
    <w:rsid w:val="00A71475"/>
    <w:rsid w:val="00A71595"/>
    <w:rsid w:val="00A719D7"/>
    <w:rsid w:val="00A736FF"/>
    <w:rsid w:val="00A74A55"/>
    <w:rsid w:val="00A74BEF"/>
    <w:rsid w:val="00A75698"/>
    <w:rsid w:val="00A76B78"/>
    <w:rsid w:val="00A76CB0"/>
    <w:rsid w:val="00A77B03"/>
    <w:rsid w:val="00A8070E"/>
    <w:rsid w:val="00A816D4"/>
    <w:rsid w:val="00A8355C"/>
    <w:rsid w:val="00A8380F"/>
    <w:rsid w:val="00A838B6"/>
    <w:rsid w:val="00A84B5D"/>
    <w:rsid w:val="00A9072D"/>
    <w:rsid w:val="00A91328"/>
    <w:rsid w:val="00A91D0A"/>
    <w:rsid w:val="00A92205"/>
    <w:rsid w:val="00A92EEC"/>
    <w:rsid w:val="00A934E9"/>
    <w:rsid w:val="00A9352E"/>
    <w:rsid w:val="00A93A91"/>
    <w:rsid w:val="00A94E04"/>
    <w:rsid w:val="00A95510"/>
    <w:rsid w:val="00A95FC0"/>
    <w:rsid w:val="00A97397"/>
    <w:rsid w:val="00A977FE"/>
    <w:rsid w:val="00AA06B2"/>
    <w:rsid w:val="00AA2510"/>
    <w:rsid w:val="00AA26D2"/>
    <w:rsid w:val="00AA2AAD"/>
    <w:rsid w:val="00AA3B9B"/>
    <w:rsid w:val="00AA3F5D"/>
    <w:rsid w:val="00AA42AB"/>
    <w:rsid w:val="00AA66DE"/>
    <w:rsid w:val="00AA7275"/>
    <w:rsid w:val="00AA7630"/>
    <w:rsid w:val="00AB002E"/>
    <w:rsid w:val="00AB0D03"/>
    <w:rsid w:val="00AB21D1"/>
    <w:rsid w:val="00AB3800"/>
    <w:rsid w:val="00AB5603"/>
    <w:rsid w:val="00AB7F5F"/>
    <w:rsid w:val="00AC060A"/>
    <w:rsid w:val="00AC16EA"/>
    <w:rsid w:val="00AC1F55"/>
    <w:rsid w:val="00AC27CB"/>
    <w:rsid w:val="00AC3357"/>
    <w:rsid w:val="00AC399E"/>
    <w:rsid w:val="00AC3E18"/>
    <w:rsid w:val="00AC4BB0"/>
    <w:rsid w:val="00AC6005"/>
    <w:rsid w:val="00AC6411"/>
    <w:rsid w:val="00AC7308"/>
    <w:rsid w:val="00AC7A48"/>
    <w:rsid w:val="00AC7F0D"/>
    <w:rsid w:val="00AD0022"/>
    <w:rsid w:val="00AD00FF"/>
    <w:rsid w:val="00AD014C"/>
    <w:rsid w:val="00AD07A1"/>
    <w:rsid w:val="00AD1196"/>
    <w:rsid w:val="00AD168B"/>
    <w:rsid w:val="00AD18B0"/>
    <w:rsid w:val="00AD1DC0"/>
    <w:rsid w:val="00AD2C23"/>
    <w:rsid w:val="00AD440E"/>
    <w:rsid w:val="00AD57CC"/>
    <w:rsid w:val="00AE00EF"/>
    <w:rsid w:val="00AE09A6"/>
    <w:rsid w:val="00AE0DCA"/>
    <w:rsid w:val="00AE1A8F"/>
    <w:rsid w:val="00AE2C30"/>
    <w:rsid w:val="00AE30DE"/>
    <w:rsid w:val="00AE350D"/>
    <w:rsid w:val="00AE66EC"/>
    <w:rsid w:val="00AE6E34"/>
    <w:rsid w:val="00AE7E51"/>
    <w:rsid w:val="00AF1878"/>
    <w:rsid w:val="00AF1C74"/>
    <w:rsid w:val="00AF2680"/>
    <w:rsid w:val="00AF4259"/>
    <w:rsid w:val="00AF48E2"/>
    <w:rsid w:val="00AF5808"/>
    <w:rsid w:val="00AF5F96"/>
    <w:rsid w:val="00AF6F6C"/>
    <w:rsid w:val="00AF7ED6"/>
    <w:rsid w:val="00B00553"/>
    <w:rsid w:val="00B00693"/>
    <w:rsid w:val="00B00A41"/>
    <w:rsid w:val="00B02CF1"/>
    <w:rsid w:val="00B033EB"/>
    <w:rsid w:val="00B034FB"/>
    <w:rsid w:val="00B05259"/>
    <w:rsid w:val="00B05730"/>
    <w:rsid w:val="00B0681F"/>
    <w:rsid w:val="00B0765E"/>
    <w:rsid w:val="00B07C65"/>
    <w:rsid w:val="00B1056A"/>
    <w:rsid w:val="00B10C49"/>
    <w:rsid w:val="00B11126"/>
    <w:rsid w:val="00B11D83"/>
    <w:rsid w:val="00B12508"/>
    <w:rsid w:val="00B127E5"/>
    <w:rsid w:val="00B12921"/>
    <w:rsid w:val="00B13005"/>
    <w:rsid w:val="00B157C3"/>
    <w:rsid w:val="00B178DB"/>
    <w:rsid w:val="00B20582"/>
    <w:rsid w:val="00B20C25"/>
    <w:rsid w:val="00B21946"/>
    <w:rsid w:val="00B21D2B"/>
    <w:rsid w:val="00B21FAF"/>
    <w:rsid w:val="00B234E2"/>
    <w:rsid w:val="00B23AB5"/>
    <w:rsid w:val="00B24160"/>
    <w:rsid w:val="00B24235"/>
    <w:rsid w:val="00B24B1D"/>
    <w:rsid w:val="00B25E3C"/>
    <w:rsid w:val="00B275FC"/>
    <w:rsid w:val="00B27DD3"/>
    <w:rsid w:val="00B32C65"/>
    <w:rsid w:val="00B34F5F"/>
    <w:rsid w:val="00B35E91"/>
    <w:rsid w:val="00B3646C"/>
    <w:rsid w:val="00B375C8"/>
    <w:rsid w:val="00B40F76"/>
    <w:rsid w:val="00B41CDD"/>
    <w:rsid w:val="00B4242A"/>
    <w:rsid w:val="00B44D9E"/>
    <w:rsid w:val="00B45842"/>
    <w:rsid w:val="00B45D36"/>
    <w:rsid w:val="00B47501"/>
    <w:rsid w:val="00B47D30"/>
    <w:rsid w:val="00B504DF"/>
    <w:rsid w:val="00B51D3C"/>
    <w:rsid w:val="00B5204B"/>
    <w:rsid w:val="00B520A0"/>
    <w:rsid w:val="00B54283"/>
    <w:rsid w:val="00B54C2E"/>
    <w:rsid w:val="00B56FA5"/>
    <w:rsid w:val="00B57A07"/>
    <w:rsid w:val="00B609BE"/>
    <w:rsid w:val="00B610FF"/>
    <w:rsid w:val="00B616C8"/>
    <w:rsid w:val="00B61BD0"/>
    <w:rsid w:val="00B621A4"/>
    <w:rsid w:val="00B6243B"/>
    <w:rsid w:val="00B62B0C"/>
    <w:rsid w:val="00B6332E"/>
    <w:rsid w:val="00B63354"/>
    <w:rsid w:val="00B633A2"/>
    <w:rsid w:val="00B6367B"/>
    <w:rsid w:val="00B641AB"/>
    <w:rsid w:val="00B64A92"/>
    <w:rsid w:val="00B64D49"/>
    <w:rsid w:val="00B64F19"/>
    <w:rsid w:val="00B65295"/>
    <w:rsid w:val="00B654E7"/>
    <w:rsid w:val="00B65AE6"/>
    <w:rsid w:val="00B70C2F"/>
    <w:rsid w:val="00B7124A"/>
    <w:rsid w:val="00B73A25"/>
    <w:rsid w:val="00B7509A"/>
    <w:rsid w:val="00B755B8"/>
    <w:rsid w:val="00B77A1A"/>
    <w:rsid w:val="00B80116"/>
    <w:rsid w:val="00B801C9"/>
    <w:rsid w:val="00B80AA9"/>
    <w:rsid w:val="00B80CB7"/>
    <w:rsid w:val="00B82492"/>
    <w:rsid w:val="00B828F7"/>
    <w:rsid w:val="00B82FC0"/>
    <w:rsid w:val="00B83AEF"/>
    <w:rsid w:val="00B83BFA"/>
    <w:rsid w:val="00B84386"/>
    <w:rsid w:val="00B852EB"/>
    <w:rsid w:val="00B85958"/>
    <w:rsid w:val="00B86C8C"/>
    <w:rsid w:val="00B872FA"/>
    <w:rsid w:val="00B87C07"/>
    <w:rsid w:val="00B91394"/>
    <w:rsid w:val="00B91B1E"/>
    <w:rsid w:val="00B9283B"/>
    <w:rsid w:val="00B92CE9"/>
    <w:rsid w:val="00B94005"/>
    <w:rsid w:val="00B9493C"/>
    <w:rsid w:val="00B94EAE"/>
    <w:rsid w:val="00B97DF4"/>
    <w:rsid w:val="00BA02E9"/>
    <w:rsid w:val="00BA0354"/>
    <w:rsid w:val="00BA05D0"/>
    <w:rsid w:val="00BA3ACA"/>
    <w:rsid w:val="00BA496A"/>
    <w:rsid w:val="00BA55AB"/>
    <w:rsid w:val="00BA78F4"/>
    <w:rsid w:val="00BB008F"/>
    <w:rsid w:val="00BB0C70"/>
    <w:rsid w:val="00BB2640"/>
    <w:rsid w:val="00BB31E6"/>
    <w:rsid w:val="00BB3AC0"/>
    <w:rsid w:val="00BB3E29"/>
    <w:rsid w:val="00BB5E9C"/>
    <w:rsid w:val="00BB60BE"/>
    <w:rsid w:val="00BB6BE0"/>
    <w:rsid w:val="00BB6FD0"/>
    <w:rsid w:val="00BB7BA9"/>
    <w:rsid w:val="00BC0755"/>
    <w:rsid w:val="00BC0F49"/>
    <w:rsid w:val="00BC13EC"/>
    <w:rsid w:val="00BC1BD5"/>
    <w:rsid w:val="00BC23A0"/>
    <w:rsid w:val="00BC3338"/>
    <w:rsid w:val="00BC3CC9"/>
    <w:rsid w:val="00BC46F3"/>
    <w:rsid w:val="00BC50B1"/>
    <w:rsid w:val="00BC5DC4"/>
    <w:rsid w:val="00BC5DD6"/>
    <w:rsid w:val="00BC5FC5"/>
    <w:rsid w:val="00BD031D"/>
    <w:rsid w:val="00BD04EF"/>
    <w:rsid w:val="00BD0CE1"/>
    <w:rsid w:val="00BD177D"/>
    <w:rsid w:val="00BD18BA"/>
    <w:rsid w:val="00BD1AED"/>
    <w:rsid w:val="00BD1B44"/>
    <w:rsid w:val="00BD1D33"/>
    <w:rsid w:val="00BD20CA"/>
    <w:rsid w:val="00BD2AAF"/>
    <w:rsid w:val="00BD371E"/>
    <w:rsid w:val="00BD3D68"/>
    <w:rsid w:val="00BD4159"/>
    <w:rsid w:val="00BD4460"/>
    <w:rsid w:val="00BD5073"/>
    <w:rsid w:val="00BD5ACA"/>
    <w:rsid w:val="00BD6E60"/>
    <w:rsid w:val="00BD74BE"/>
    <w:rsid w:val="00BD77B0"/>
    <w:rsid w:val="00BD7E9D"/>
    <w:rsid w:val="00BE0350"/>
    <w:rsid w:val="00BE0D83"/>
    <w:rsid w:val="00BE0F77"/>
    <w:rsid w:val="00BE16B7"/>
    <w:rsid w:val="00BE1FFF"/>
    <w:rsid w:val="00BE2637"/>
    <w:rsid w:val="00BE276C"/>
    <w:rsid w:val="00BE40A3"/>
    <w:rsid w:val="00BE5147"/>
    <w:rsid w:val="00BE582F"/>
    <w:rsid w:val="00BE7302"/>
    <w:rsid w:val="00BE7421"/>
    <w:rsid w:val="00BF0BCA"/>
    <w:rsid w:val="00BF1B6F"/>
    <w:rsid w:val="00BF26AB"/>
    <w:rsid w:val="00BF3026"/>
    <w:rsid w:val="00BF4453"/>
    <w:rsid w:val="00BF5848"/>
    <w:rsid w:val="00BF5A18"/>
    <w:rsid w:val="00BF5EFC"/>
    <w:rsid w:val="00BF759F"/>
    <w:rsid w:val="00C01BF4"/>
    <w:rsid w:val="00C02F63"/>
    <w:rsid w:val="00C0303D"/>
    <w:rsid w:val="00C043FF"/>
    <w:rsid w:val="00C04E76"/>
    <w:rsid w:val="00C05036"/>
    <w:rsid w:val="00C050A3"/>
    <w:rsid w:val="00C06001"/>
    <w:rsid w:val="00C060C6"/>
    <w:rsid w:val="00C064F9"/>
    <w:rsid w:val="00C06724"/>
    <w:rsid w:val="00C068DD"/>
    <w:rsid w:val="00C07D5B"/>
    <w:rsid w:val="00C11AC4"/>
    <w:rsid w:val="00C12CA2"/>
    <w:rsid w:val="00C1329C"/>
    <w:rsid w:val="00C13856"/>
    <w:rsid w:val="00C1481D"/>
    <w:rsid w:val="00C14CA5"/>
    <w:rsid w:val="00C1530A"/>
    <w:rsid w:val="00C15C32"/>
    <w:rsid w:val="00C160A4"/>
    <w:rsid w:val="00C16353"/>
    <w:rsid w:val="00C165E0"/>
    <w:rsid w:val="00C16768"/>
    <w:rsid w:val="00C16BEA"/>
    <w:rsid w:val="00C16DF5"/>
    <w:rsid w:val="00C177D0"/>
    <w:rsid w:val="00C20C63"/>
    <w:rsid w:val="00C2243D"/>
    <w:rsid w:val="00C226FD"/>
    <w:rsid w:val="00C23583"/>
    <w:rsid w:val="00C235F2"/>
    <w:rsid w:val="00C23919"/>
    <w:rsid w:val="00C23F4E"/>
    <w:rsid w:val="00C240E5"/>
    <w:rsid w:val="00C25ADF"/>
    <w:rsid w:val="00C26802"/>
    <w:rsid w:val="00C26F0C"/>
    <w:rsid w:val="00C30419"/>
    <w:rsid w:val="00C313F8"/>
    <w:rsid w:val="00C31F4B"/>
    <w:rsid w:val="00C32344"/>
    <w:rsid w:val="00C323BB"/>
    <w:rsid w:val="00C332EE"/>
    <w:rsid w:val="00C33416"/>
    <w:rsid w:val="00C33E21"/>
    <w:rsid w:val="00C34795"/>
    <w:rsid w:val="00C348BE"/>
    <w:rsid w:val="00C35036"/>
    <w:rsid w:val="00C350BF"/>
    <w:rsid w:val="00C350FB"/>
    <w:rsid w:val="00C356B7"/>
    <w:rsid w:val="00C35FEF"/>
    <w:rsid w:val="00C36122"/>
    <w:rsid w:val="00C3623C"/>
    <w:rsid w:val="00C40004"/>
    <w:rsid w:val="00C40136"/>
    <w:rsid w:val="00C4020F"/>
    <w:rsid w:val="00C4117B"/>
    <w:rsid w:val="00C41930"/>
    <w:rsid w:val="00C42618"/>
    <w:rsid w:val="00C427EE"/>
    <w:rsid w:val="00C444B5"/>
    <w:rsid w:val="00C447B5"/>
    <w:rsid w:val="00C44DDB"/>
    <w:rsid w:val="00C46328"/>
    <w:rsid w:val="00C47B85"/>
    <w:rsid w:val="00C515EF"/>
    <w:rsid w:val="00C51EF5"/>
    <w:rsid w:val="00C533BE"/>
    <w:rsid w:val="00C53F2C"/>
    <w:rsid w:val="00C57944"/>
    <w:rsid w:val="00C60C71"/>
    <w:rsid w:val="00C61038"/>
    <w:rsid w:val="00C61920"/>
    <w:rsid w:val="00C62214"/>
    <w:rsid w:val="00C642D7"/>
    <w:rsid w:val="00C65AA4"/>
    <w:rsid w:val="00C65E51"/>
    <w:rsid w:val="00C66ABA"/>
    <w:rsid w:val="00C66E63"/>
    <w:rsid w:val="00C706D8"/>
    <w:rsid w:val="00C71039"/>
    <w:rsid w:val="00C71BCC"/>
    <w:rsid w:val="00C72AFA"/>
    <w:rsid w:val="00C740E0"/>
    <w:rsid w:val="00C74446"/>
    <w:rsid w:val="00C8072C"/>
    <w:rsid w:val="00C80B1A"/>
    <w:rsid w:val="00C818B6"/>
    <w:rsid w:val="00C82138"/>
    <w:rsid w:val="00C82B5C"/>
    <w:rsid w:val="00C83522"/>
    <w:rsid w:val="00C835E3"/>
    <w:rsid w:val="00C83A88"/>
    <w:rsid w:val="00C9096C"/>
    <w:rsid w:val="00C91415"/>
    <w:rsid w:val="00C914A7"/>
    <w:rsid w:val="00C928B0"/>
    <w:rsid w:val="00C92ECA"/>
    <w:rsid w:val="00C93AA1"/>
    <w:rsid w:val="00C93F6D"/>
    <w:rsid w:val="00C94A60"/>
    <w:rsid w:val="00C94A79"/>
    <w:rsid w:val="00C96044"/>
    <w:rsid w:val="00C96538"/>
    <w:rsid w:val="00C967CF"/>
    <w:rsid w:val="00C976E5"/>
    <w:rsid w:val="00C97709"/>
    <w:rsid w:val="00CA041E"/>
    <w:rsid w:val="00CA07A2"/>
    <w:rsid w:val="00CA1CF9"/>
    <w:rsid w:val="00CA1EB9"/>
    <w:rsid w:val="00CA22E3"/>
    <w:rsid w:val="00CA4563"/>
    <w:rsid w:val="00CA4679"/>
    <w:rsid w:val="00CA5342"/>
    <w:rsid w:val="00CA5B30"/>
    <w:rsid w:val="00CA737E"/>
    <w:rsid w:val="00CA74B8"/>
    <w:rsid w:val="00CB0046"/>
    <w:rsid w:val="00CB08C6"/>
    <w:rsid w:val="00CB1345"/>
    <w:rsid w:val="00CB1A2B"/>
    <w:rsid w:val="00CB1D85"/>
    <w:rsid w:val="00CB2535"/>
    <w:rsid w:val="00CB3134"/>
    <w:rsid w:val="00CB3A02"/>
    <w:rsid w:val="00CB40D7"/>
    <w:rsid w:val="00CB45E5"/>
    <w:rsid w:val="00CB5E83"/>
    <w:rsid w:val="00CC1348"/>
    <w:rsid w:val="00CC15E1"/>
    <w:rsid w:val="00CC1A44"/>
    <w:rsid w:val="00CC1CF4"/>
    <w:rsid w:val="00CC2086"/>
    <w:rsid w:val="00CC2403"/>
    <w:rsid w:val="00CC25DD"/>
    <w:rsid w:val="00CC2799"/>
    <w:rsid w:val="00CC2BDB"/>
    <w:rsid w:val="00CC34A6"/>
    <w:rsid w:val="00CC464F"/>
    <w:rsid w:val="00CC497F"/>
    <w:rsid w:val="00CC5530"/>
    <w:rsid w:val="00CC5F49"/>
    <w:rsid w:val="00CC64C1"/>
    <w:rsid w:val="00CC65F3"/>
    <w:rsid w:val="00CC6DE7"/>
    <w:rsid w:val="00CC6DFC"/>
    <w:rsid w:val="00CD0CE1"/>
    <w:rsid w:val="00CD101A"/>
    <w:rsid w:val="00CD16F4"/>
    <w:rsid w:val="00CD228C"/>
    <w:rsid w:val="00CD33E7"/>
    <w:rsid w:val="00CD44C5"/>
    <w:rsid w:val="00CD4811"/>
    <w:rsid w:val="00CD557E"/>
    <w:rsid w:val="00CD5614"/>
    <w:rsid w:val="00CD5F8E"/>
    <w:rsid w:val="00CE055D"/>
    <w:rsid w:val="00CE12C7"/>
    <w:rsid w:val="00CE231E"/>
    <w:rsid w:val="00CE29A4"/>
    <w:rsid w:val="00CE3242"/>
    <w:rsid w:val="00CE4B94"/>
    <w:rsid w:val="00CE4D8B"/>
    <w:rsid w:val="00CE5E62"/>
    <w:rsid w:val="00CF07BD"/>
    <w:rsid w:val="00CF17D1"/>
    <w:rsid w:val="00CF2A94"/>
    <w:rsid w:val="00CF2E73"/>
    <w:rsid w:val="00CF3211"/>
    <w:rsid w:val="00CF351D"/>
    <w:rsid w:val="00CF49A4"/>
    <w:rsid w:val="00CF55C1"/>
    <w:rsid w:val="00CF5B6C"/>
    <w:rsid w:val="00CF5F44"/>
    <w:rsid w:val="00D00209"/>
    <w:rsid w:val="00D002E9"/>
    <w:rsid w:val="00D00591"/>
    <w:rsid w:val="00D00902"/>
    <w:rsid w:val="00D01D0D"/>
    <w:rsid w:val="00D04368"/>
    <w:rsid w:val="00D05D89"/>
    <w:rsid w:val="00D062B8"/>
    <w:rsid w:val="00D0649B"/>
    <w:rsid w:val="00D0798F"/>
    <w:rsid w:val="00D1127C"/>
    <w:rsid w:val="00D129FB"/>
    <w:rsid w:val="00D13E60"/>
    <w:rsid w:val="00D14B62"/>
    <w:rsid w:val="00D14BCE"/>
    <w:rsid w:val="00D14BEB"/>
    <w:rsid w:val="00D15D76"/>
    <w:rsid w:val="00D1656E"/>
    <w:rsid w:val="00D1713F"/>
    <w:rsid w:val="00D171C8"/>
    <w:rsid w:val="00D172A9"/>
    <w:rsid w:val="00D172F1"/>
    <w:rsid w:val="00D17428"/>
    <w:rsid w:val="00D17435"/>
    <w:rsid w:val="00D17C7D"/>
    <w:rsid w:val="00D212D1"/>
    <w:rsid w:val="00D23162"/>
    <w:rsid w:val="00D23939"/>
    <w:rsid w:val="00D264DC"/>
    <w:rsid w:val="00D27932"/>
    <w:rsid w:val="00D31441"/>
    <w:rsid w:val="00D31C2E"/>
    <w:rsid w:val="00D31D2C"/>
    <w:rsid w:val="00D31E2F"/>
    <w:rsid w:val="00D3222F"/>
    <w:rsid w:val="00D327D9"/>
    <w:rsid w:val="00D32CA4"/>
    <w:rsid w:val="00D32E0B"/>
    <w:rsid w:val="00D35E2D"/>
    <w:rsid w:val="00D364C4"/>
    <w:rsid w:val="00D37125"/>
    <w:rsid w:val="00D37831"/>
    <w:rsid w:val="00D40286"/>
    <w:rsid w:val="00D404E6"/>
    <w:rsid w:val="00D422B5"/>
    <w:rsid w:val="00D428B7"/>
    <w:rsid w:val="00D43005"/>
    <w:rsid w:val="00D45D49"/>
    <w:rsid w:val="00D46091"/>
    <w:rsid w:val="00D462CE"/>
    <w:rsid w:val="00D46C8C"/>
    <w:rsid w:val="00D4799C"/>
    <w:rsid w:val="00D51BEF"/>
    <w:rsid w:val="00D53961"/>
    <w:rsid w:val="00D53DBD"/>
    <w:rsid w:val="00D5456C"/>
    <w:rsid w:val="00D54D7D"/>
    <w:rsid w:val="00D56AFA"/>
    <w:rsid w:val="00D6020B"/>
    <w:rsid w:val="00D60870"/>
    <w:rsid w:val="00D61477"/>
    <w:rsid w:val="00D6239A"/>
    <w:rsid w:val="00D62467"/>
    <w:rsid w:val="00D63109"/>
    <w:rsid w:val="00D64140"/>
    <w:rsid w:val="00D64825"/>
    <w:rsid w:val="00D66383"/>
    <w:rsid w:val="00D6649F"/>
    <w:rsid w:val="00D666FD"/>
    <w:rsid w:val="00D67350"/>
    <w:rsid w:val="00D67592"/>
    <w:rsid w:val="00D67B3D"/>
    <w:rsid w:val="00D70972"/>
    <w:rsid w:val="00D70A11"/>
    <w:rsid w:val="00D70BF8"/>
    <w:rsid w:val="00D722FE"/>
    <w:rsid w:val="00D7477D"/>
    <w:rsid w:val="00D747B2"/>
    <w:rsid w:val="00D748A1"/>
    <w:rsid w:val="00D74A11"/>
    <w:rsid w:val="00D76CEE"/>
    <w:rsid w:val="00D7719B"/>
    <w:rsid w:val="00D77D2D"/>
    <w:rsid w:val="00D80172"/>
    <w:rsid w:val="00D804F0"/>
    <w:rsid w:val="00D80722"/>
    <w:rsid w:val="00D810BE"/>
    <w:rsid w:val="00D81AD1"/>
    <w:rsid w:val="00D85989"/>
    <w:rsid w:val="00D8672F"/>
    <w:rsid w:val="00D86F2D"/>
    <w:rsid w:val="00D87D2F"/>
    <w:rsid w:val="00D90158"/>
    <w:rsid w:val="00D906E6"/>
    <w:rsid w:val="00D90ECE"/>
    <w:rsid w:val="00D929C5"/>
    <w:rsid w:val="00D930B7"/>
    <w:rsid w:val="00D94548"/>
    <w:rsid w:val="00D94903"/>
    <w:rsid w:val="00D94E25"/>
    <w:rsid w:val="00D94F16"/>
    <w:rsid w:val="00D95402"/>
    <w:rsid w:val="00D95EBC"/>
    <w:rsid w:val="00D95FC0"/>
    <w:rsid w:val="00D9614C"/>
    <w:rsid w:val="00DA00A3"/>
    <w:rsid w:val="00DA0319"/>
    <w:rsid w:val="00DA05F7"/>
    <w:rsid w:val="00DA33A3"/>
    <w:rsid w:val="00DA586A"/>
    <w:rsid w:val="00DA5B0A"/>
    <w:rsid w:val="00DA63C2"/>
    <w:rsid w:val="00DA6B12"/>
    <w:rsid w:val="00DA74F5"/>
    <w:rsid w:val="00DA75DB"/>
    <w:rsid w:val="00DA75FE"/>
    <w:rsid w:val="00DB02FA"/>
    <w:rsid w:val="00DB0CEC"/>
    <w:rsid w:val="00DB10F7"/>
    <w:rsid w:val="00DB27DC"/>
    <w:rsid w:val="00DB2E1B"/>
    <w:rsid w:val="00DB35C5"/>
    <w:rsid w:val="00DB37A4"/>
    <w:rsid w:val="00DB49BE"/>
    <w:rsid w:val="00DB4C97"/>
    <w:rsid w:val="00DB5383"/>
    <w:rsid w:val="00DB7CE8"/>
    <w:rsid w:val="00DB7DDE"/>
    <w:rsid w:val="00DC1572"/>
    <w:rsid w:val="00DC2006"/>
    <w:rsid w:val="00DC2784"/>
    <w:rsid w:val="00DC2ECE"/>
    <w:rsid w:val="00DC2F9A"/>
    <w:rsid w:val="00DC31F3"/>
    <w:rsid w:val="00DC64D3"/>
    <w:rsid w:val="00DC71B5"/>
    <w:rsid w:val="00DD0439"/>
    <w:rsid w:val="00DD081D"/>
    <w:rsid w:val="00DD1401"/>
    <w:rsid w:val="00DD1BEA"/>
    <w:rsid w:val="00DD26C8"/>
    <w:rsid w:val="00DD3312"/>
    <w:rsid w:val="00DD35F7"/>
    <w:rsid w:val="00DD3C30"/>
    <w:rsid w:val="00DD3F7D"/>
    <w:rsid w:val="00DD3FF6"/>
    <w:rsid w:val="00DD57A2"/>
    <w:rsid w:val="00DD7B3F"/>
    <w:rsid w:val="00DE0217"/>
    <w:rsid w:val="00DE0A5B"/>
    <w:rsid w:val="00DE0E16"/>
    <w:rsid w:val="00DE3F06"/>
    <w:rsid w:val="00DE52DF"/>
    <w:rsid w:val="00DE5717"/>
    <w:rsid w:val="00DE5BA8"/>
    <w:rsid w:val="00DE6DE3"/>
    <w:rsid w:val="00DE7982"/>
    <w:rsid w:val="00DF0505"/>
    <w:rsid w:val="00DF1057"/>
    <w:rsid w:val="00DF29BB"/>
    <w:rsid w:val="00DF33A6"/>
    <w:rsid w:val="00DF41AE"/>
    <w:rsid w:val="00DF4289"/>
    <w:rsid w:val="00DF686A"/>
    <w:rsid w:val="00DF7A99"/>
    <w:rsid w:val="00DF7EE6"/>
    <w:rsid w:val="00E01180"/>
    <w:rsid w:val="00E0167A"/>
    <w:rsid w:val="00E01933"/>
    <w:rsid w:val="00E02448"/>
    <w:rsid w:val="00E03315"/>
    <w:rsid w:val="00E1091F"/>
    <w:rsid w:val="00E10C11"/>
    <w:rsid w:val="00E124BB"/>
    <w:rsid w:val="00E12B9F"/>
    <w:rsid w:val="00E142EB"/>
    <w:rsid w:val="00E1562C"/>
    <w:rsid w:val="00E16D84"/>
    <w:rsid w:val="00E171AB"/>
    <w:rsid w:val="00E17701"/>
    <w:rsid w:val="00E17B7E"/>
    <w:rsid w:val="00E17DB8"/>
    <w:rsid w:val="00E20544"/>
    <w:rsid w:val="00E2180A"/>
    <w:rsid w:val="00E21983"/>
    <w:rsid w:val="00E21E13"/>
    <w:rsid w:val="00E21EE9"/>
    <w:rsid w:val="00E2248D"/>
    <w:rsid w:val="00E23FFA"/>
    <w:rsid w:val="00E24B3B"/>
    <w:rsid w:val="00E259B4"/>
    <w:rsid w:val="00E26040"/>
    <w:rsid w:val="00E2673C"/>
    <w:rsid w:val="00E277F1"/>
    <w:rsid w:val="00E27D0E"/>
    <w:rsid w:val="00E30320"/>
    <w:rsid w:val="00E31143"/>
    <w:rsid w:val="00E3150A"/>
    <w:rsid w:val="00E32053"/>
    <w:rsid w:val="00E32685"/>
    <w:rsid w:val="00E32980"/>
    <w:rsid w:val="00E337FE"/>
    <w:rsid w:val="00E339AA"/>
    <w:rsid w:val="00E34A2D"/>
    <w:rsid w:val="00E360C8"/>
    <w:rsid w:val="00E376E6"/>
    <w:rsid w:val="00E417CD"/>
    <w:rsid w:val="00E42388"/>
    <w:rsid w:val="00E426D6"/>
    <w:rsid w:val="00E4368B"/>
    <w:rsid w:val="00E43879"/>
    <w:rsid w:val="00E44A3C"/>
    <w:rsid w:val="00E44CC0"/>
    <w:rsid w:val="00E4528C"/>
    <w:rsid w:val="00E46803"/>
    <w:rsid w:val="00E47042"/>
    <w:rsid w:val="00E47454"/>
    <w:rsid w:val="00E505CE"/>
    <w:rsid w:val="00E509CA"/>
    <w:rsid w:val="00E515D5"/>
    <w:rsid w:val="00E51AAB"/>
    <w:rsid w:val="00E52636"/>
    <w:rsid w:val="00E5266E"/>
    <w:rsid w:val="00E54C22"/>
    <w:rsid w:val="00E54E5B"/>
    <w:rsid w:val="00E56065"/>
    <w:rsid w:val="00E5680D"/>
    <w:rsid w:val="00E60D4B"/>
    <w:rsid w:val="00E60D9A"/>
    <w:rsid w:val="00E624A5"/>
    <w:rsid w:val="00E62B08"/>
    <w:rsid w:val="00E63992"/>
    <w:rsid w:val="00E63E62"/>
    <w:rsid w:val="00E650A1"/>
    <w:rsid w:val="00E65388"/>
    <w:rsid w:val="00E6614B"/>
    <w:rsid w:val="00E6672E"/>
    <w:rsid w:val="00E670BC"/>
    <w:rsid w:val="00E677A6"/>
    <w:rsid w:val="00E711F9"/>
    <w:rsid w:val="00E720AE"/>
    <w:rsid w:val="00E73A42"/>
    <w:rsid w:val="00E75B06"/>
    <w:rsid w:val="00E80649"/>
    <w:rsid w:val="00E815A4"/>
    <w:rsid w:val="00E817E8"/>
    <w:rsid w:val="00E81B28"/>
    <w:rsid w:val="00E81D1E"/>
    <w:rsid w:val="00E81F74"/>
    <w:rsid w:val="00E82161"/>
    <w:rsid w:val="00E826BB"/>
    <w:rsid w:val="00E831F1"/>
    <w:rsid w:val="00E83F23"/>
    <w:rsid w:val="00E8537A"/>
    <w:rsid w:val="00E857D2"/>
    <w:rsid w:val="00E85D56"/>
    <w:rsid w:val="00E85E9B"/>
    <w:rsid w:val="00E87973"/>
    <w:rsid w:val="00E90E30"/>
    <w:rsid w:val="00E9156A"/>
    <w:rsid w:val="00E9171D"/>
    <w:rsid w:val="00E91CC0"/>
    <w:rsid w:val="00E91D08"/>
    <w:rsid w:val="00E92293"/>
    <w:rsid w:val="00E922B4"/>
    <w:rsid w:val="00E9271C"/>
    <w:rsid w:val="00E93586"/>
    <w:rsid w:val="00E93D67"/>
    <w:rsid w:val="00E93F46"/>
    <w:rsid w:val="00E949DD"/>
    <w:rsid w:val="00E94A75"/>
    <w:rsid w:val="00E9500D"/>
    <w:rsid w:val="00E95A0A"/>
    <w:rsid w:val="00E97BF9"/>
    <w:rsid w:val="00E97C51"/>
    <w:rsid w:val="00EA0782"/>
    <w:rsid w:val="00EA1892"/>
    <w:rsid w:val="00EA2C6F"/>
    <w:rsid w:val="00EA3144"/>
    <w:rsid w:val="00EA38EF"/>
    <w:rsid w:val="00EA568E"/>
    <w:rsid w:val="00EA650D"/>
    <w:rsid w:val="00EA6FC1"/>
    <w:rsid w:val="00EA7694"/>
    <w:rsid w:val="00EA7C13"/>
    <w:rsid w:val="00EA7EE3"/>
    <w:rsid w:val="00EB0163"/>
    <w:rsid w:val="00EB1560"/>
    <w:rsid w:val="00EB1A4A"/>
    <w:rsid w:val="00EB2309"/>
    <w:rsid w:val="00EB2D20"/>
    <w:rsid w:val="00EB2D22"/>
    <w:rsid w:val="00EB5032"/>
    <w:rsid w:val="00EB549F"/>
    <w:rsid w:val="00EB5B1C"/>
    <w:rsid w:val="00EB632E"/>
    <w:rsid w:val="00EB739F"/>
    <w:rsid w:val="00EB77EE"/>
    <w:rsid w:val="00EB7976"/>
    <w:rsid w:val="00EC1E2B"/>
    <w:rsid w:val="00EC2376"/>
    <w:rsid w:val="00EC2C42"/>
    <w:rsid w:val="00EC42B7"/>
    <w:rsid w:val="00EC4F11"/>
    <w:rsid w:val="00EC57E8"/>
    <w:rsid w:val="00EC644E"/>
    <w:rsid w:val="00EC7CA1"/>
    <w:rsid w:val="00EC7D48"/>
    <w:rsid w:val="00ED05F4"/>
    <w:rsid w:val="00ED0FE4"/>
    <w:rsid w:val="00ED18C3"/>
    <w:rsid w:val="00ED1CC7"/>
    <w:rsid w:val="00ED2075"/>
    <w:rsid w:val="00ED235C"/>
    <w:rsid w:val="00ED2AE1"/>
    <w:rsid w:val="00ED326B"/>
    <w:rsid w:val="00ED42DE"/>
    <w:rsid w:val="00ED47C3"/>
    <w:rsid w:val="00ED64E1"/>
    <w:rsid w:val="00ED6EEB"/>
    <w:rsid w:val="00EE057C"/>
    <w:rsid w:val="00EE08DA"/>
    <w:rsid w:val="00EE1574"/>
    <w:rsid w:val="00EE202B"/>
    <w:rsid w:val="00EE2D51"/>
    <w:rsid w:val="00EE3B36"/>
    <w:rsid w:val="00EE3D61"/>
    <w:rsid w:val="00EE55D1"/>
    <w:rsid w:val="00EE69FC"/>
    <w:rsid w:val="00EE70D9"/>
    <w:rsid w:val="00EF27B4"/>
    <w:rsid w:val="00EF3107"/>
    <w:rsid w:val="00EF410B"/>
    <w:rsid w:val="00EF4FFF"/>
    <w:rsid w:val="00EF5B6A"/>
    <w:rsid w:val="00EF6025"/>
    <w:rsid w:val="00EF6708"/>
    <w:rsid w:val="00EF6814"/>
    <w:rsid w:val="00EF6CEF"/>
    <w:rsid w:val="00F01575"/>
    <w:rsid w:val="00F01E35"/>
    <w:rsid w:val="00F022C1"/>
    <w:rsid w:val="00F02403"/>
    <w:rsid w:val="00F026D6"/>
    <w:rsid w:val="00F027F2"/>
    <w:rsid w:val="00F03FCE"/>
    <w:rsid w:val="00F0511C"/>
    <w:rsid w:val="00F05EF0"/>
    <w:rsid w:val="00F066D9"/>
    <w:rsid w:val="00F06E7D"/>
    <w:rsid w:val="00F07129"/>
    <w:rsid w:val="00F1060C"/>
    <w:rsid w:val="00F106D9"/>
    <w:rsid w:val="00F11534"/>
    <w:rsid w:val="00F11872"/>
    <w:rsid w:val="00F11FC9"/>
    <w:rsid w:val="00F12D5A"/>
    <w:rsid w:val="00F13AC4"/>
    <w:rsid w:val="00F13C9E"/>
    <w:rsid w:val="00F15166"/>
    <w:rsid w:val="00F15972"/>
    <w:rsid w:val="00F16217"/>
    <w:rsid w:val="00F16F42"/>
    <w:rsid w:val="00F20AC1"/>
    <w:rsid w:val="00F22877"/>
    <w:rsid w:val="00F22B9A"/>
    <w:rsid w:val="00F23736"/>
    <w:rsid w:val="00F24095"/>
    <w:rsid w:val="00F246DD"/>
    <w:rsid w:val="00F2508A"/>
    <w:rsid w:val="00F25832"/>
    <w:rsid w:val="00F25B5E"/>
    <w:rsid w:val="00F25F31"/>
    <w:rsid w:val="00F26809"/>
    <w:rsid w:val="00F27E30"/>
    <w:rsid w:val="00F30A0B"/>
    <w:rsid w:val="00F30F73"/>
    <w:rsid w:val="00F31D03"/>
    <w:rsid w:val="00F31D63"/>
    <w:rsid w:val="00F32210"/>
    <w:rsid w:val="00F34353"/>
    <w:rsid w:val="00F34DDB"/>
    <w:rsid w:val="00F35219"/>
    <w:rsid w:val="00F37398"/>
    <w:rsid w:val="00F37762"/>
    <w:rsid w:val="00F40280"/>
    <w:rsid w:val="00F40AD9"/>
    <w:rsid w:val="00F40D59"/>
    <w:rsid w:val="00F40E5F"/>
    <w:rsid w:val="00F417FC"/>
    <w:rsid w:val="00F41E80"/>
    <w:rsid w:val="00F42B5C"/>
    <w:rsid w:val="00F43150"/>
    <w:rsid w:val="00F44A68"/>
    <w:rsid w:val="00F47136"/>
    <w:rsid w:val="00F517D7"/>
    <w:rsid w:val="00F518DE"/>
    <w:rsid w:val="00F519A7"/>
    <w:rsid w:val="00F51A66"/>
    <w:rsid w:val="00F51EC2"/>
    <w:rsid w:val="00F52902"/>
    <w:rsid w:val="00F52FA2"/>
    <w:rsid w:val="00F5355F"/>
    <w:rsid w:val="00F53A3F"/>
    <w:rsid w:val="00F54124"/>
    <w:rsid w:val="00F57E53"/>
    <w:rsid w:val="00F602F2"/>
    <w:rsid w:val="00F6096C"/>
    <w:rsid w:val="00F60FBE"/>
    <w:rsid w:val="00F610B4"/>
    <w:rsid w:val="00F61E00"/>
    <w:rsid w:val="00F62169"/>
    <w:rsid w:val="00F62718"/>
    <w:rsid w:val="00F62951"/>
    <w:rsid w:val="00F629E9"/>
    <w:rsid w:val="00F63750"/>
    <w:rsid w:val="00F6420A"/>
    <w:rsid w:val="00F64C02"/>
    <w:rsid w:val="00F6592B"/>
    <w:rsid w:val="00F67195"/>
    <w:rsid w:val="00F70A1B"/>
    <w:rsid w:val="00F70E63"/>
    <w:rsid w:val="00F70E9A"/>
    <w:rsid w:val="00F70FE5"/>
    <w:rsid w:val="00F71890"/>
    <w:rsid w:val="00F72C77"/>
    <w:rsid w:val="00F73513"/>
    <w:rsid w:val="00F74191"/>
    <w:rsid w:val="00F7777C"/>
    <w:rsid w:val="00F77A86"/>
    <w:rsid w:val="00F80508"/>
    <w:rsid w:val="00F8129E"/>
    <w:rsid w:val="00F826A9"/>
    <w:rsid w:val="00F82792"/>
    <w:rsid w:val="00F8348B"/>
    <w:rsid w:val="00F842EE"/>
    <w:rsid w:val="00F846D3"/>
    <w:rsid w:val="00F854C5"/>
    <w:rsid w:val="00F87F57"/>
    <w:rsid w:val="00F902D7"/>
    <w:rsid w:val="00F90607"/>
    <w:rsid w:val="00F90F12"/>
    <w:rsid w:val="00F9179D"/>
    <w:rsid w:val="00F917F1"/>
    <w:rsid w:val="00F932E8"/>
    <w:rsid w:val="00F9367D"/>
    <w:rsid w:val="00F9400B"/>
    <w:rsid w:val="00F949CE"/>
    <w:rsid w:val="00F9593E"/>
    <w:rsid w:val="00F96E0D"/>
    <w:rsid w:val="00F97FA1"/>
    <w:rsid w:val="00FA0A57"/>
    <w:rsid w:val="00FA216B"/>
    <w:rsid w:val="00FA257F"/>
    <w:rsid w:val="00FA3085"/>
    <w:rsid w:val="00FA357F"/>
    <w:rsid w:val="00FA4C04"/>
    <w:rsid w:val="00FA50C8"/>
    <w:rsid w:val="00FA5789"/>
    <w:rsid w:val="00FA6034"/>
    <w:rsid w:val="00FA6497"/>
    <w:rsid w:val="00FA6EAE"/>
    <w:rsid w:val="00FA72B5"/>
    <w:rsid w:val="00FA78A2"/>
    <w:rsid w:val="00FA7DE3"/>
    <w:rsid w:val="00FB0D2E"/>
    <w:rsid w:val="00FB24CA"/>
    <w:rsid w:val="00FB2EFB"/>
    <w:rsid w:val="00FB3A99"/>
    <w:rsid w:val="00FB4B85"/>
    <w:rsid w:val="00FB4E80"/>
    <w:rsid w:val="00FB56BA"/>
    <w:rsid w:val="00FB6981"/>
    <w:rsid w:val="00FC0331"/>
    <w:rsid w:val="00FC12F6"/>
    <w:rsid w:val="00FC1844"/>
    <w:rsid w:val="00FC2D4F"/>
    <w:rsid w:val="00FC323E"/>
    <w:rsid w:val="00FC491F"/>
    <w:rsid w:val="00FC5BDB"/>
    <w:rsid w:val="00FD0214"/>
    <w:rsid w:val="00FD09AF"/>
    <w:rsid w:val="00FD0B32"/>
    <w:rsid w:val="00FD0CD5"/>
    <w:rsid w:val="00FD2B78"/>
    <w:rsid w:val="00FD2D76"/>
    <w:rsid w:val="00FD2E3B"/>
    <w:rsid w:val="00FD3993"/>
    <w:rsid w:val="00FD477F"/>
    <w:rsid w:val="00FD4953"/>
    <w:rsid w:val="00FD5E12"/>
    <w:rsid w:val="00FD6336"/>
    <w:rsid w:val="00FD642D"/>
    <w:rsid w:val="00FE008C"/>
    <w:rsid w:val="00FE0FC6"/>
    <w:rsid w:val="00FE17E9"/>
    <w:rsid w:val="00FE3419"/>
    <w:rsid w:val="00FE3B3E"/>
    <w:rsid w:val="00FE3F59"/>
    <w:rsid w:val="00FE4071"/>
    <w:rsid w:val="00FE47D5"/>
    <w:rsid w:val="00FE4B99"/>
    <w:rsid w:val="00FE5041"/>
    <w:rsid w:val="00FE5437"/>
    <w:rsid w:val="00FE61E3"/>
    <w:rsid w:val="00FE662B"/>
    <w:rsid w:val="00FE6802"/>
    <w:rsid w:val="00FE6B0A"/>
    <w:rsid w:val="00FE6C3F"/>
    <w:rsid w:val="00FE6F5D"/>
    <w:rsid w:val="00FF11BD"/>
    <w:rsid w:val="00FF27B1"/>
    <w:rsid w:val="00FF2AE5"/>
    <w:rsid w:val="00FF2BCF"/>
    <w:rsid w:val="00FF2EF5"/>
    <w:rsid w:val="00FF3C3C"/>
    <w:rsid w:val="00FF6471"/>
    <w:rsid w:val="00FF770F"/>
    <w:rsid w:val="01283FD9"/>
    <w:rsid w:val="015550D6"/>
    <w:rsid w:val="017950E7"/>
    <w:rsid w:val="019832A8"/>
    <w:rsid w:val="01BD508E"/>
    <w:rsid w:val="01D90406"/>
    <w:rsid w:val="01E10B4E"/>
    <w:rsid w:val="02456404"/>
    <w:rsid w:val="024F68AD"/>
    <w:rsid w:val="029A6FFF"/>
    <w:rsid w:val="02B2439E"/>
    <w:rsid w:val="02B84DBB"/>
    <w:rsid w:val="02BD46F7"/>
    <w:rsid w:val="02C50165"/>
    <w:rsid w:val="02C5156A"/>
    <w:rsid w:val="02CC1D2E"/>
    <w:rsid w:val="02DF576F"/>
    <w:rsid w:val="02F51A16"/>
    <w:rsid w:val="030F05FB"/>
    <w:rsid w:val="03546427"/>
    <w:rsid w:val="035739C7"/>
    <w:rsid w:val="035A7125"/>
    <w:rsid w:val="03710110"/>
    <w:rsid w:val="03783A15"/>
    <w:rsid w:val="038F54BA"/>
    <w:rsid w:val="03935B4D"/>
    <w:rsid w:val="03A542C3"/>
    <w:rsid w:val="03A62E33"/>
    <w:rsid w:val="03AD4740"/>
    <w:rsid w:val="03D2041F"/>
    <w:rsid w:val="03DD44AC"/>
    <w:rsid w:val="03E13E0D"/>
    <w:rsid w:val="03F228F0"/>
    <w:rsid w:val="03FD2E9A"/>
    <w:rsid w:val="042536BD"/>
    <w:rsid w:val="04532AC9"/>
    <w:rsid w:val="045E4BA0"/>
    <w:rsid w:val="04AC7298"/>
    <w:rsid w:val="04C602CD"/>
    <w:rsid w:val="04CC3FDE"/>
    <w:rsid w:val="04EA3DC2"/>
    <w:rsid w:val="05410B6A"/>
    <w:rsid w:val="054450F6"/>
    <w:rsid w:val="059541A9"/>
    <w:rsid w:val="059E1E9B"/>
    <w:rsid w:val="05A33A40"/>
    <w:rsid w:val="05A91762"/>
    <w:rsid w:val="05B32E89"/>
    <w:rsid w:val="05B44408"/>
    <w:rsid w:val="05D83BCA"/>
    <w:rsid w:val="06302761"/>
    <w:rsid w:val="063B7194"/>
    <w:rsid w:val="063E13BD"/>
    <w:rsid w:val="06535873"/>
    <w:rsid w:val="067D598C"/>
    <w:rsid w:val="06A83279"/>
    <w:rsid w:val="06BE4010"/>
    <w:rsid w:val="06DE1255"/>
    <w:rsid w:val="06E97FF2"/>
    <w:rsid w:val="06EE6B35"/>
    <w:rsid w:val="074844C9"/>
    <w:rsid w:val="075A296A"/>
    <w:rsid w:val="075D16BE"/>
    <w:rsid w:val="0789781D"/>
    <w:rsid w:val="078A5A76"/>
    <w:rsid w:val="07973CF3"/>
    <w:rsid w:val="07A16117"/>
    <w:rsid w:val="07C7439E"/>
    <w:rsid w:val="07E6338E"/>
    <w:rsid w:val="080C31C8"/>
    <w:rsid w:val="08162596"/>
    <w:rsid w:val="08F90241"/>
    <w:rsid w:val="091478AF"/>
    <w:rsid w:val="091528AF"/>
    <w:rsid w:val="09545C74"/>
    <w:rsid w:val="095F57D3"/>
    <w:rsid w:val="09895235"/>
    <w:rsid w:val="0A1159C6"/>
    <w:rsid w:val="0A191F80"/>
    <w:rsid w:val="0A226783"/>
    <w:rsid w:val="0A271A2E"/>
    <w:rsid w:val="0A442152"/>
    <w:rsid w:val="0A4A0797"/>
    <w:rsid w:val="0A582E88"/>
    <w:rsid w:val="0A761393"/>
    <w:rsid w:val="0A8D627F"/>
    <w:rsid w:val="0A9439BB"/>
    <w:rsid w:val="0A961422"/>
    <w:rsid w:val="0AD71885"/>
    <w:rsid w:val="0AFA1CAC"/>
    <w:rsid w:val="0B0926B4"/>
    <w:rsid w:val="0B2B76C4"/>
    <w:rsid w:val="0BC911E3"/>
    <w:rsid w:val="0BCC6902"/>
    <w:rsid w:val="0BE178B6"/>
    <w:rsid w:val="0C5E5E27"/>
    <w:rsid w:val="0C756274"/>
    <w:rsid w:val="0C8B16F2"/>
    <w:rsid w:val="0CAF07DA"/>
    <w:rsid w:val="0CCD311C"/>
    <w:rsid w:val="0CCF1B00"/>
    <w:rsid w:val="0CD0296C"/>
    <w:rsid w:val="0CFF69F6"/>
    <w:rsid w:val="0D072B07"/>
    <w:rsid w:val="0D1D5FEA"/>
    <w:rsid w:val="0D3F790F"/>
    <w:rsid w:val="0D4A079E"/>
    <w:rsid w:val="0D4D3237"/>
    <w:rsid w:val="0D592311"/>
    <w:rsid w:val="0DEB1F70"/>
    <w:rsid w:val="0E053408"/>
    <w:rsid w:val="0E0D7EE4"/>
    <w:rsid w:val="0E2B5D03"/>
    <w:rsid w:val="0E2B60D6"/>
    <w:rsid w:val="0E5163ED"/>
    <w:rsid w:val="0E7B6A63"/>
    <w:rsid w:val="0E7C6ECB"/>
    <w:rsid w:val="0E7F7068"/>
    <w:rsid w:val="0E83706B"/>
    <w:rsid w:val="0EB25033"/>
    <w:rsid w:val="0EEE62F4"/>
    <w:rsid w:val="0EF032C8"/>
    <w:rsid w:val="0EFC24E4"/>
    <w:rsid w:val="0F060981"/>
    <w:rsid w:val="0F0F47B7"/>
    <w:rsid w:val="0F143E59"/>
    <w:rsid w:val="0F207701"/>
    <w:rsid w:val="0F254A6C"/>
    <w:rsid w:val="0F4051E4"/>
    <w:rsid w:val="0F4B7B47"/>
    <w:rsid w:val="0F4D143D"/>
    <w:rsid w:val="0F774731"/>
    <w:rsid w:val="0F7B0BA6"/>
    <w:rsid w:val="0FA74586"/>
    <w:rsid w:val="0FCB2AD1"/>
    <w:rsid w:val="0FE733BB"/>
    <w:rsid w:val="0FF529C0"/>
    <w:rsid w:val="0FFC0D6E"/>
    <w:rsid w:val="10017881"/>
    <w:rsid w:val="104275C5"/>
    <w:rsid w:val="10903C9F"/>
    <w:rsid w:val="10AD4AF2"/>
    <w:rsid w:val="10F94C21"/>
    <w:rsid w:val="11220C75"/>
    <w:rsid w:val="1144706D"/>
    <w:rsid w:val="115F2163"/>
    <w:rsid w:val="11A62DD1"/>
    <w:rsid w:val="11EF0038"/>
    <w:rsid w:val="12582A22"/>
    <w:rsid w:val="127E7AE2"/>
    <w:rsid w:val="12D83A24"/>
    <w:rsid w:val="12DE6062"/>
    <w:rsid w:val="12F52F84"/>
    <w:rsid w:val="134520D8"/>
    <w:rsid w:val="1346148C"/>
    <w:rsid w:val="13674D3C"/>
    <w:rsid w:val="136C35DA"/>
    <w:rsid w:val="13953961"/>
    <w:rsid w:val="13A71628"/>
    <w:rsid w:val="13AE302A"/>
    <w:rsid w:val="13CF280E"/>
    <w:rsid w:val="13D70174"/>
    <w:rsid w:val="13E30AC9"/>
    <w:rsid w:val="13E37C09"/>
    <w:rsid w:val="1421111B"/>
    <w:rsid w:val="142944F9"/>
    <w:rsid w:val="142A7D4D"/>
    <w:rsid w:val="143E4A03"/>
    <w:rsid w:val="144902F7"/>
    <w:rsid w:val="144A6FB8"/>
    <w:rsid w:val="1464642D"/>
    <w:rsid w:val="148B58A4"/>
    <w:rsid w:val="149932CC"/>
    <w:rsid w:val="14AE6E24"/>
    <w:rsid w:val="14B505DE"/>
    <w:rsid w:val="15053603"/>
    <w:rsid w:val="151E1C1D"/>
    <w:rsid w:val="153C0AC3"/>
    <w:rsid w:val="155350DF"/>
    <w:rsid w:val="15725034"/>
    <w:rsid w:val="15981F5C"/>
    <w:rsid w:val="15CE594B"/>
    <w:rsid w:val="15F86D5F"/>
    <w:rsid w:val="15FD6D6A"/>
    <w:rsid w:val="161270F8"/>
    <w:rsid w:val="166567D5"/>
    <w:rsid w:val="167066DD"/>
    <w:rsid w:val="16BD1E2B"/>
    <w:rsid w:val="16C61088"/>
    <w:rsid w:val="16CB1BED"/>
    <w:rsid w:val="171D2BD4"/>
    <w:rsid w:val="176B5C0B"/>
    <w:rsid w:val="17AE4BAB"/>
    <w:rsid w:val="17BD6475"/>
    <w:rsid w:val="17CA7C73"/>
    <w:rsid w:val="1807376F"/>
    <w:rsid w:val="180D0461"/>
    <w:rsid w:val="18531FDF"/>
    <w:rsid w:val="186D13DD"/>
    <w:rsid w:val="18AF1F5A"/>
    <w:rsid w:val="1914390B"/>
    <w:rsid w:val="1924229E"/>
    <w:rsid w:val="195D4DA0"/>
    <w:rsid w:val="19824D56"/>
    <w:rsid w:val="1991741B"/>
    <w:rsid w:val="19932386"/>
    <w:rsid w:val="199E4737"/>
    <w:rsid w:val="19BE49BB"/>
    <w:rsid w:val="19CC4978"/>
    <w:rsid w:val="19D256CC"/>
    <w:rsid w:val="19DB6829"/>
    <w:rsid w:val="1A03387A"/>
    <w:rsid w:val="1A1A0C22"/>
    <w:rsid w:val="1A2B65D2"/>
    <w:rsid w:val="1A2D725F"/>
    <w:rsid w:val="1A2E43E5"/>
    <w:rsid w:val="1A3B32C5"/>
    <w:rsid w:val="1A875829"/>
    <w:rsid w:val="1A9412E2"/>
    <w:rsid w:val="1ABE3D63"/>
    <w:rsid w:val="1ACA7835"/>
    <w:rsid w:val="1AFE3577"/>
    <w:rsid w:val="1B673F65"/>
    <w:rsid w:val="1B6F3BF0"/>
    <w:rsid w:val="1B7D0FC7"/>
    <w:rsid w:val="1B7D687A"/>
    <w:rsid w:val="1B8C7899"/>
    <w:rsid w:val="1BF93120"/>
    <w:rsid w:val="1C203E65"/>
    <w:rsid w:val="1C2C23A5"/>
    <w:rsid w:val="1C2D5C1E"/>
    <w:rsid w:val="1C472ED2"/>
    <w:rsid w:val="1C565BC7"/>
    <w:rsid w:val="1C68494F"/>
    <w:rsid w:val="1CC2051A"/>
    <w:rsid w:val="1CDD1C3F"/>
    <w:rsid w:val="1D145DCB"/>
    <w:rsid w:val="1D24410F"/>
    <w:rsid w:val="1D4E1CD2"/>
    <w:rsid w:val="1D5D0664"/>
    <w:rsid w:val="1D6A1FF0"/>
    <w:rsid w:val="1D937D6C"/>
    <w:rsid w:val="1D9E311B"/>
    <w:rsid w:val="1DAE1384"/>
    <w:rsid w:val="1DBB3429"/>
    <w:rsid w:val="1DBF421C"/>
    <w:rsid w:val="1E231722"/>
    <w:rsid w:val="1E2C5179"/>
    <w:rsid w:val="1E3B0809"/>
    <w:rsid w:val="1E4F47B5"/>
    <w:rsid w:val="1E6542B5"/>
    <w:rsid w:val="1E857C91"/>
    <w:rsid w:val="1EA72EFE"/>
    <w:rsid w:val="1EDC5229"/>
    <w:rsid w:val="1EDD1A2D"/>
    <w:rsid w:val="1F155A25"/>
    <w:rsid w:val="1F1964BE"/>
    <w:rsid w:val="1F613262"/>
    <w:rsid w:val="1F993E90"/>
    <w:rsid w:val="1FC93088"/>
    <w:rsid w:val="1FD91D93"/>
    <w:rsid w:val="1FE520A7"/>
    <w:rsid w:val="1FFD1A66"/>
    <w:rsid w:val="20273A17"/>
    <w:rsid w:val="2079108E"/>
    <w:rsid w:val="208C0800"/>
    <w:rsid w:val="20B60D31"/>
    <w:rsid w:val="20C72318"/>
    <w:rsid w:val="20DC1D4E"/>
    <w:rsid w:val="20EC6F0A"/>
    <w:rsid w:val="20EE6483"/>
    <w:rsid w:val="20FE4B54"/>
    <w:rsid w:val="21085208"/>
    <w:rsid w:val="21933074"/>
    <w:rsid w:val="21957D55"/>
    <w:rsid w:val="21AD248D"/>
    <w:rsid w:val="21E349DB"/>
    <w:rsid w:val="21FC1849"/>
    <w:rsid w:val="224A2D2F"/>
    <w:rsid w:val="225F6252"/>
    <w:rsid w:val="228F76AE"/>
    <w:rsid w:val="229E48DB"/>
    <w:rsid w:val="22B95C26"/>
    <w:rsid w:val="22CF34C3"/>
    <w:rsid w:val="23087B9A"/>
    <w:rsid w:val="23393F44"/>
    <w:rsid w:val="23634330"/>
    <w:rsid w:val="23634CA1"/>
    <w:rsid w:val="2368235A"/>
    <w:rsid w:val="23706562"/>
    <w:rsid w:val="237436BA"/>
    <w:rsid w:val="23772530"/>
    <w:rsid w:val="23B77DC2"/>
    <w:rsid w:val="23C4142C"/>
    <w:rsid w:val="23C47091"/>
    <w:rsid w:val="242974D6"/>
    <w:rsid w:val="2434664D"/>
    <w:rsid w:val="24442F64"/>
    <w:rsid w:val="244A2FC2"/>
    <w:rsid w:val="245F5D1E"/>
    <w:rsid w:val="24674CA6"/>
    <w:rsid w:val="24963A38"/>
    <w:rsid w:val="25117C2F"/>
    <w:rsid w:val="25330E4F"/>
    <w:rsid w:val="25430392"/>
    <w:rsid w:val="254A11C0"/>
    <w:rsid w:val="255A422C"/>
    <w:rsid w:val="258512DA"/>
    <w:rsid w:val="258E1CDF"/>
    <w:rsid w:val="25913D7C"/>
    <w:rsid w:val="25D9317F"/>
    <w:rsid w:val="25E86F74"/>
    <w:rsid w:val="25EC1443"/>
    <w:rsid w:val="25F568CD"/>
    <w:rsid w:val="267F1716"/>
    <w:rsid w:val="26825F3F"/>
    <w:rsid w:val="26E37BB4"/>
    <w:rsid w:val="27074EF1"/>
    <w:rsid w:val="2733340E"/>
    <w:rsid w:val="27505B6E"/>
    <w:rsid w:val="275828B3"/>
    <w:rsid w:val="27596DBD"/>
    <w:rsid w:val="276259B8"/>
    <w:rsid w:val="277B25B8"/>
    <w:rsid w:val="279532CD"/>
    <w:rsid w:val="27D03B80"/>
    <w:rsid w:val="27D22BD6"/>
    <w:rsid w:val="27F16DB1"/>
    <w:rsid w:val="281A3325"/>
    <w:rsid w:val="281D3F25"/>
    <w:rsid w:val="28304F89"/>
    <w:rsid w:val="283E3FC5"/>
    <w:rsid w:val="28450A02"/>
    <w:rsid w:val="28656290"/>
    <w:rsid w:val="2871288B"/>
    <w:rsid w:val="289F613A"/>
    <w:rsid w:val="28A50A24"/>
    <w:rsid w:val="29562AB0"/>
    <w:rsid w:val="296173EB"/>
    <w:rsid w:val="29683DDA"/>
    <w:rsid w:val="297406FC"/>
    <w:rsid w:val="297F376B"/>
    <w:rsid w:val="29CB4750"/>
    <w:rsid w:val="29CD0CBF"/>
    <w:rsid w:val="29D163A2"/>
    <w:rsid w:val="29E55528"/>
    <w:rsid w:val="2A335946"/>
    <w:rsid w:val="2A560BEC"/>
    <w:rsid w:val="2A705E8B"/>
    <w:rsid w:val="2A8E2820"/>
    <w:rsid w:val="2A964509"/>
    <w:rsid w:val="2AC3443B"/>
    <w:rsid w:val="2AC87004"/>
    <w:rsid w:val="2ACC4E7C"/>
    <w:rsid w:val="2AD744EE"/>
    <w:rsid w:val="2B5F74E9"/>
    <w:rsid w:val="2B711627"/>
    <w:rsid w:val="2B966B7A"/>
    <w:rsid w:val="2BA3401A"/>
    <w:rsid w:val="2BA65424"/>
    <w:rsid w:val="2BAD4B9C"/>
    <w:rsid w:val="2BBC7C91"/>
    <w:rsid w:val="2BCA223C"/>
    <w:rsid w:val="2BCE073A"/>
    <w:rsid w:val="2C1D389F"/>
    <w:rsid w:val="2C28059F"/>
    <w:rsid w:val="2C9116DB"/>
    <w:rsid w:val="2C981432"/>
    <w:rsid w:val="2C9D478B"/>
    <w:rsid w:val="2CA27B54"/>
    <w:rsid w:val="2CF243B9"/>
    <w:rsid w:val="2D1F3B76"/>
    <w:rsid w:val="2D32579F"/>
    <w:rsid w:val="2D405217"/>
    <w:rsid w:val="2D852FDA"/>
    <w:rsid w:val="2D8C24C9"/>
    <w:rsid w:val="2DEE581C"/>
    <w:rsid w:val="2E111E9A"/>
    <w:rsid w:val="2E1540C5"/>
    <w:rsid w:val="2E155613"/>
    <w:rsid w:val="2E325931"/>
    <w:rsid w:val="2E9A6B02"/>
    <w:rsid w:val="2EA06F07"/>
    <w:rsid w:val="2EA75F26"/>
    <w:rsid w:val="2EF965F3"/>
    <w:rsid w:val="2F08620C"/>
    <w:rsid w:val="2F2C2D2B"/>
    <w:rsid w:val="2F303335"/>
    <w:rsid w:val="2F793D3E"/>
    <w:rsid w:val="2FD460AF"/>
    <w:rsid w:val="2FF45561"/>
    <w:rsid w:val="30086A27"/>
    <w:rsid w:val="302323F9"/>
    <w:rsid w:val="305C0396"/>
    <w:rsid w:val="30607920"/>
    <w:rsid w:val="30626308"/>
    <w:rsid w:val="30742CE8"/>
    <w:rsid w:val="308D2CC6"/>
    <w:rsid w:val="308D6F98"/>
    <w:rsid w:val="30B72A8B"/>
    <w:rsid w:val="30C45E22"/>
    <w:rsid w:val="30DB2B48"/>
    <w:rsid w:val="30EE3BBB"/>
    <w:rsid w:val="30F739D8"/>
    <w:rsid w:val="30F87821"/>
    <w:rsid w:val="31070F02"/>
    <w:rsid w:val="312218FA"/>
    <w:rsid w:val="315C304C"/>
    <w:rsid w:val="31943F0A"/>
    <w:rsid w:val="31A50F78"/>
    <w:rsid w:val="31B11EAB"/>
    <w:rsid w:val="31B41F67"/>
    <w:rsid w:val="31C65B29"/>
    <w:rsid w:val="31D61D50"/>
    <w:rsid w:val="31F35248"/>
    <w:rsid w:val="321A2F2E"/>
    <w:rsid w:val="323E0E1B"/>
    <w:rsid w:val="32557D90"/>
    <w:rsid w:val="325A577D"/>
    <w:rsid w:val="327E12EA"/>
    <w:rsid w:val="328C5AF9"/>
    <w:rsid w:val="32A53370"/>
    <w:rsid w:val="32AD3968"/>
    <w:rsid w:val="32BF42CE"/>
    <w:rsid w:val="32C741D3"/>
    <w:rsid w:val="32C80AE9"/>
    <w:rsid w:val="32DD3E76"/>
    <w:rsid w:val="33063A82"/>
    <w:rsid w:val="330D0017"/>
    <w:rsid w:val="33551CFC"/>
    <w:rsid w:val="3356192C"/>
    <w:rsid w:val="33651C81"/>
    <w:rsid w:val="337F17BF"/>
    <w:rsid w:val="338B3EA7"/>
    <w:rsid w:val="339D5B95"/>
    <w:rsid w:val="33E324CA"/>
    <w:rsid w:val="33FD25A4"/>
    <w:rsid w:val="34106A31"/>
    <w:rsid w:val="3411583A"/>
    <w:rsid w:val="341F50CA"/>
    <w:rsid w:val="34276370"/>
    <w:rsid w:val="344771BB"/>
    <w:rsid w:val="345C5409"/>
    <w:rsid w:val="345E2FA8"/>
    <w:rsid w:val="34B42B99"/>
    <w:rsid w:val="34DF7CE6"/>
    <w:rsid w:val="34F80A47"/>
    <w:rsid w:val="35196D05"/>
    <w:rsid w:val="352904FA"/>
    <w:rsid w:val="35320A2E"/>
    <w:rsid w:val="353335A8"/>
    <w:rsid w:val="35363CFC"/>
    <w:rsid w:val="353852AA"/>
    <w:rsid w:val="35607428"/>
    <w:rsid w:val="358C753C"/>
    <w:rsid w:val="359C2CF5"/>
    <w:rsid w:val="35B02C57"/>
    <w:rsid w:val="35D07E23"/>
    <w:rsid w:val="36092AA6"/>
    <w:rsid w:val="36304A01"/>
    <w:rsid w:val="36331195"/>
    <w:rsid w:val="36491177"/>
    <w:rsid w:val="36561DE9"/>
    <w:rsid w:val="368A7FFD"/>
    <w:rsid w:val="36CB1443"/>
    <w:rsid w:val="36E10471"/>
    <w:rsid w:val="36E9162E"/>
    <w:rsid w:val="36EC08C1"/>
    <w:rsid w:val="371B7667"/>
    <w:rsid w:val="373D76CA"/>
    <w:rsid w:val="374D3A76"/>
    <w:rsid w:val="377A3217"/>
    <w:rsid w:val="377F4DF4"/>
    <w:rsid w:val="37856F96"/>
    <w:rsid w:val="37B03794"/>
    <w:rsid w:val="37B06FC5"/>
    <w:rsid w:val="37C852CB"/>
    <w:rsid w:val="37DD2BD4"/>
    <w:rsid w:val="37F26F01"/>
    <w:rsid w:val="380426B1"/>
    <w:rsid w:val="380E2D5E"/>
    <w:rsid w:val="38793B90"/>
    <w:rsid w:val="38877BFC"/>
    <w:rsid w:val="39053991"/>
    <w:rsid w:val="39432895"/>
    <w:rsid w:val="39477450"/>
    <w:rsid w:val="395F18F6"/>
    <w:rsid w:val="399A1A38"/>
    <w:rsid w:val="399C3380"/>
    <w:rsid w:val="39B2130E"/>
    <w:rsid w:val="39B40EA4"/>
    <w:rsid w:val="39FD1760"/>
    <w:rsid w:val="3A0A4C0C"/>
    <w:rsid w:val="3A115629"/>
    <w:rsid w:val="3A2A7673"/>
    <w:rsid w:val="3ABD680E"/>
    <w:rsid w:val="3AE23B4B"/>
    <w:rsid w:val="3B554F01"/>
    <w:rsid w:val="3B5E485D"/>
    <w:rsid w:val="3B6B7730"/>
    <w:rsid w:val="3B7B4CCA"/>
    <w:rsid w:val="3BBB4E72"/>
    <w:rsid w:val="3BCE277B"/>
    <w:rsid w:val="3BD246E1"/>
    <w:rsid w:val="3BDC007F"/>
    <w:rsid w:val="3BE72D30"/>
    <w:rsid w:val="3C340B8C"/>
    <w:rsid w:val="3C577630"/>
    <w:rsid w:val="3C6305C6"/>
    <w:rsid w:val="3C7A655D"/>
    <w:rsid w:val="3C966F4F"/>
    <w:rsid w:val="3CC21D9E"/>
    <w:rsid w:val="3CD112FD"/>
    <w:rsid w:val="3D103511"/>
    <w:rsid w:val="3D431EEA"/>
    <w:rsid w:val="3D4F4D9E"/>
    <w:rsid w:val="3D603FD5"/>
    <w:rsid w:val="3D9B62AA"/>
    <w:rsid w:val="3DAB7DBC"/>
    <w:rsid w:val="3DDB28E2"/>
    <w:rsid w:val="3DF76EF2"/>
    <w:rsid w:val="3DFA19B8"/>
    <w:rsid w:val="3DFA590E"/>
    <w:rsid w:val="3E0E14A1"/>
    <w:rsid w:val="3E867C8C"/>
    <w:rsid w:val="3EA0231B"/>
    <w:rsid w:val="3EB56406"/>
    <w:rsid w:val="3EC67A80"/>
    <w:rsid w:val="3EC9472D"/>
    <w:rsid w:val="3EDA7904"/>
    <w:rsid w:val="3EE33129"/>
    <w:rsid w:val="3EFD66E6"/>
    <w:rsid w:val="3F540550"/>
    <w:rsid w:val="3FB22A60"/>
    <w:rsid w:val="3FC348ED"/>
    <w:rsid w:val="3FDE6583"/>
    <w:rsid w:val="400E7372"/>
    <w:rsid w:val="40294CC9"/>
    <w:rsid w:val="407A17E7"/>
    <w:rsid w:val="40814ECC"/>
    <w:rsid w:val="40842642"/>
    <w:rsid w:val="408C24CE"/>
    <w:rsid w:val="40C42C28"/>
    <w:rsid w:val="40F07509"/>
    <w:rsid w:val="40FC3A31"/>
    <w:rsid w:val="41072FA8"/>
    <w:rsid w:val="41106659"/>
    <w:rsid w:val="41583043"/>
    <w:rsid w:val="419343A5"/>
    <w:rsid w:val="4195017B"/>
    <w:rsid w:val="41CB3678"/>
    <w:rsid w:val="42140E99"/>
    <w:rsid w:val="42256743"/>
    <w:rsid w:val="42723788"/>
    <w:rsid w:val="4291329A"/>
    <w:rsid w:val="429B2048"/>
    <w:rsid w:val="42A62A4D"/>
    <w:rsid w:val="42BA49E5"/>
    <w:rsid w:val="42C33B04"/>
    <w:rsid w:val="42C43F3A"/>
    <w:rsid w:val="42C96214"/>
    <w:rsid w:val="42D7277F"/>
    <w:rsid w:val="42D8264E"/>
    <w:rsid w:val="42FD1CA7"/>
    <w:rsid w:val="431A70D5"/>
    <w:rsid w:val="435B2F8B"/>
    <w:rsid w:val="43B51C63"/>
    <w:rsid w:val="43BC5A51"/>
    <w:rsid w:val="43DE1F83"/>
    <w:rsid w:val="43F2476A"/>
    <w:rsid w:val="4412115C"/>
    <w:rsid w:val="44295B27"/>
    <w:rsid w:val="443B5809"/>
    <w:rsid w:val="448636F5"/>
    <w:rsid w:val="448D50B0"/>
    <w:rsid w:val="44EE0BC8"/>
    <w:rsid w:val="44FB3266"/>
    <w:rsid w:val="450179A8"/>
    <w:rsid w:val="450C4F9F"/>
    <w:rsid w:val="454D5A21"/>
    <w:rsid w:val="45B6423A"/>
    <w:rsid w:val="45CE3B85"/>
    <w:rsid w:val="45CF54D6"/>
    <w:rsid w:val="45D95D91"/>
    <w:rsid w:val="45E63A10"/>
    <w:rsid w:val="460C7AFB"/>
    <w:rsid w:val="46191E48"/>
    <w:rsid w:val="463B6641"/>
    <w:rsid w:val="466F6C2B"/>
    <w:rsid w:val="467C2391"/>
    <w:rsid w:val="46897B18"/>
    <w:rsid w:val="46B1625F"/>
    <w:rsid w:val="46C545D7"/>
    <w:rsid w:val="46C729E0"/>
    <w:rsid w:val="470859F7"/>
    <w:rsid w:val="47207DDC"/>
    <w:rsid w:val="47261556"/>
    <w:rsid w:val="473A29A7"/>
    <w:rsid w:val="476A7914"/>
    <w:rsid w:val="47B53307"/>
    <w:rsid w:val="480B4BAF"/>
    <w:rsid w:val="48351E8A"/>
    <w:rsid w:val="48464769"/>
    <w:rsid w:val="484D787D"/>
    <w:rsid w:val="48666357"/>
    <w:rsid w:val="48860D1C"/>
    <w:rsid w:val="489F7F75"/>
    <w:rsid w:val="48CC1527"/>
    <w:rsid w:val="48DC7394"/>
    <w:rsid w:val="48E16E45"/>
    <w:rsid w:val="48E3566E"/>
    <w:rsid w:val="48EE4A13"/>
    <w:rsid w:val="49004208"/>
    <w:rsid w:val="4939674F"/>
    <w:rsid w:val="49686480"/>
    <w:rsid w:val="497C7159"/>
    <w:rsid w:val="49855E20"/>
    <w:rsid w:val="499F3834"/>
    <w:rsid w:val="49A55AD6"/>
    <w:rsid w:val="49EF4D62"/>
    <w:rsid w:val="4A160A60"/>
    <w:rsid w:val="4A284A9D"/>
    <w:rsid w:val="4A2D5143"/>
    <w:rsid w:val="4A516EEA"/>
    <w:rsid w:val="4A6A3C8C"/>
    <w:rsid w:val="4A6C4830"/>
    <w:rsid w:val="4A8143F5"/>
    <w:rsid w:val="4AA81C8A"/>
    <w:rsid w:val="4AB234B1"/>
    <w:rsid w:val="4ACD284D"/>
    <w:rsid w:val="4B142F7F"/>
    <w:rsid w:val="4B66236B"/>
    <w:rsid w:val="4B731C59"/>
    <w:rsid w:val="4B8A2ABA"/>
    <w:rsid w:val="4BE82346"/>
    <w:rsid w:val="4BE9485B"/>
    <w:rsid w:val="4BF51FC3"/>
    <w:rsid w:val="4C032DB9"/>
    <w:rsid w:val="4C3473A6"/>
    <w:rsid w:val="4C4065B4"/>
    <w:rsid w:val="4C577180"/>
    <w:rsid w:val="4C747D24"/>
    <w:rsid w:val="4CA613E0"/>
    <w:rsid w:val="4CCE05C9"/>
    <w:rsid w:val="4CDD432E"/>
    <w:rsid w:val="4CF526FB"/>
    <w:rsid w:val="4D097048"/>
    <w:rsid w:val="4D12510E"/>
    <w:rsid w:val="4D2C2228"/>
    <w:rsid w:val="4D386498"/>
    <w:rsid w:val="4D4E1345"/>
    <w:rsid w:val="4D8360DB"/>
    <w:rsid w:val="4D863EF8"/>
    <w:rsid w:val="4E526442"/>
    <w:rsid w:val="4E5528C1"/>
    <w:rsid w:val="4E6D7AE6"/>
    <w:rsid w:val="4E901E60"/>
    <w:rsid w:val="4EB731DA"/>
    <w:rsid w:val="4EC000CD"/>
    <w:rsid w:val="4ECF6BC5"/>
    <w:rsid w:val="4EDA79C9"/>
    <w:rsid w:val="4EDF4A1C"/>
    <w:rsid w:val="4EF542E6"/>
    <w:rsid w:val="4F00798A"/>
    <w:rsid w:val="4F0147F6"/>
    <w:rsid w:val="4F1555C1"/>
    <w:rsid w:val="4F3B04AD"/>
    <w:rsid w:val="4F776D3C"/>
    <w:rsid w:val="4F97284B"/>
    <w:rsid w:val="4F9E469C"/>
    <w:rsid w:val="4FA703CD"/>
    <w:rsid w:val="4FD317B8"/>
    <w:rsid w:val="4FEA17A8"/>
    <w:rsid w:val="4FF279B9"/>
    <w:rsid w:val="4FF75F8E"/>
    <w:rsid w:val="503645F3"/>
    <w:rsid w:val="50455428"/>
    <w:rsid w:val="50680F9E"/>
    <w:rsid w:val="5094153D"/>
    <w:rsid w:val="50A60871"/>
    <w:rsid w:val="50BE6123"/>
    <w:rsid w:val="50C20E58"/>
    <w:rsid w:val="50CD67F5"/>
    <w:rsid w:val="50DD1AA1"/>
    <w:rsid w:val="50E77831"/>
    <w:rsid w:val="50E8725C"/>
    <w:rsid w:val="50EA49EA"/>
    <w:rsid w:val="50F72F73"/>
    <w:rsid w:val="510910DD"/>
    <w:rsid w:val="512D2F98"/>
    <w:rsid w:val="515B2553"/>
    <w:rsid w:val="5197026C"/>
    <w:rsid w:val="519B3862"/>
    <w:rsid w:val="51B32B04"/>
    <w:rsid w:val="51C75054"/>
    <w:rsid w:val="5201073C"/>
    <w:rsid w:val="522237F4"/>
    <w:rsid w:val="522A2E5F"/>
    <w:rsid w:val="522C30CA"/>
    <w:rsid w:val="525A2AA8"/>
    <w:rsid w:val="526E1E36"/>
    <w:rsid w:val="527838C8"/>
    <w:rsid w:val="527D78B0"/>
    <w:rsid w:val="52A357F9"/>
    <w:rsid w:val="52CB5FFF"/>
    <w:rsid w:val="52DE1348"/>
    <w:rsid w:val="52E857BB"/>
    <w:rsid w:val="53550B1E"/>
    <w:rsid w:val="53742CA1"/>
    <w:rsid w:val="537F1833"/>
    <w:rsid w:val="538E2C73"/>
    <w:rsid w:val="53A87D30"/>
    <w:rsid w:val="53DC1322"/>
    <w:rsid w:val="53E85DD5"/>
    <w:rsid w:val="53F7580E"/>
    <w:rsid w:val="546E6F08"/>
    <w:rsid w:val="547129BC"/>
    <w:rsid w:val="54871EA9"/>
    <w:rsid w:val="548C1E2D"/>
    <w:rsid w:val="548D2785"/>
    <w:rsid w:val="54A02DE3"/>
    <w:rsid w:val="54A62ABD"/>
    <w:rsid w:val="54AF5B8E"/>
    <w:rsid w:val="54BC46E6"/>
    <w:rsid w:val="54D6120C"/>
    <w:rsid w:val="54F169A1"/>
    <w:rsid w:val="55442C73"/>
    <w:rsid w:val="554804E8"/>
    <w:rsid w:val="55586358"/>
    <w:rsid w:val="55832F5A"/>
    <w:rsid w:val="55B01A7E"/>
    <w:rsid w:val="55B51A11"/>
    <w:rsid w:val="55FF0AAF"/>
    <w:rsid w:val="560626D8"/>
    <w:rsid w:val="5651048E"/>
    <w:rsid w:val="565C7ED9"/>
    <w:rsid w:val="56795FD8"/>
    <w:rsid w:val="567A0776"/>
    <w:rsid w:val="567D33A8"/>
    <w:rsid w:val="569D4715"/>
    <w:rsid w:val="56AE08AF"/>
    <w:rsid w:val="56B6313F"/>
    <w:rsid w:val="56EB51A7"/>
    <w:rsid w:val="56F86467"/>
    <w:rsid w:val="56FC29CC"/>
    <w:rsid w:val="57063DAA"/>
    <w:rsid w:val="570C22B9"/>
    <w:rsid w:val="570E595A"/>
    <w:rsid w:val="575D4F2D"/>
    <w:rsid w:val="577744EB"/>
    <w:rsid w:val="5777712B"/>
    <w:rsid w:val="57B8707D"/>
    <w:rsid w:val="57E830CF"/>
    <w:rsid w:val="57F753E2"/>
    <w:rsid w:val="58037FF6"/>
    <w:rsid w:val="581311A6"/>
    <w:rsid w:val="5850601A"/>
    <w:rsid w:val="5851550E"/>
    <w:rsid w:val="585C2BE7"/>
    <w:rsid w:val="58725B28"/>
    <w:rsid w:val="588952C0"/>
    <w:rsid w:val="589569B5"/>
    <w:rsid w:val="58AA6390"/>
    <w:rsid w:val="58C57F97"/>
    <w:rsid w:val="58C61F53"/>
    <w:rsid w:val="58E7043F"/>
    <w:rsid w:val="590A313F"/>
    <w:rsid w:val="591160E8"/>
    <w:rsid w:val="591312CF"/>
    <w:rsid w:val="591A7572"/>
    <w:rsid w:val="5954518C"/>
    <w:rsid w:val="59834439"/>
    <w:rsid w:val="59844DF0"/>
    <w:rsid w:val="59864922"/>
    <w:rsid w:val="598C0225"/>
    <w:rsid w:val="5A4675C5"/>
    <w:rsid w:val="5A9B7B35"/>
    <w:rsid w:val="5AD86834"/>
    <w:rsid w:val="5ADD7B07"/>
    <w:rsid w:val="5AE72FA7"/>
    <w:rsid w:val="5AEC714A"/>
    <w:rsid w:val="5AFD6E5D"/>
    <w:rsid w:val="5B18524A"/>
    <w:rsid w:val="5B2A7E78"/>
    <w:rsid w:val="5B395F1F"/>
    <w:rsid w:val="5B512FC2"/>
    <w:rsid w:val="5B5A0A00"/>
    <w:rsid w:val="5B96289C"/>
    <w:rsid w:val="5B970C52"/>
    <w:rsid w:val="5BB506F3"/>
    <w:rsid w:val="5BE405B2"/>
    <w:rsid w:val="5BEE78F2"/>
    <w:rsid w:val="5BF47630"/>
    <w:rsid w:val="5C3C7012"/>
    <w:rsid w:val="5C427004"/>
    <w:rsid w:val="5C5468DC"/>
    <w:rsid w:val="5CBD6370"/>
    <w:rsid w:val="5CC217A5"/>
    <w:rsid w:val="5CCB5939"/>
    <w:rsid w:val="5CCC3BBC"/>
    <w:rsid w:val="5CD32267"/>
    <w:rsid w:val="5CD56034"/>
    <w:rsid w:val="5CE153FB"/>
    <w:rsid w:val="5D031D51"/>
    <w:rsid w:val="5D2538C0"/>
    <w:rsid w:val="5D2B1C7E"/>
    <w:rsid w:val="5D3C14D6"/>
    <w:rsid w:val="5D451DFC"/>
    <w:rsid w:val="5DB10496"/>
    <w:rsid w:val="5DFC5556"/>
    <w:rsid w:val="5E152F33"/>
    <w:rsid w:val="5E266787"/>
    <w:rsid w:val="5E58625D"/>
    <w:rsid w:val="5E625503"/>
    <w:rsid w:val="5E7A17F0"/>
    <w:rsid w:val="5EAA490A"/>
    <w:rsid w:val="5ED87C3F"/>
    <w:rsid w:val="5EE56241"/>
    <w:rsid w:val="5EF45BE8"/>
    <w:rsid w:val="5F77250D"/>
    <w:rsid w:val="5F8D5F26"/>
    <w:rsid w:val="5FB81B42"/>
    <w:rsid w:val="60182EBE"/>
    <w:rsid w:val="60377A1E"/>
    <w:rsid w:val="604571EF"/>
    <w:rsid w:val="607034DD"/>
    <w:rsid w:val="60952542"/>
    <w:rsid w:val="609C3EF7"/>
    <w:rsid w:val="60A15BF4"/>
    <w:rsid w:val="60A209A8"/>
    <w:rsid w:val="617B28A8"/>
    <w:rsid w:val="621A794E"/>
    <w:rsid w:val="6227015A"/>
    <w:rsid w:val="622F108E"/>
    <w:rsid w:val="62501A4E"/>
    <w:rsid w:val="62623304"/>
    <w:rsid w:val="62631F1B"/>
    <w:rsid w:val="6270664D"/>
    <w:rsid w:val="628A078F"/>
    <w:rsid w:val="62990DC7"/>
    <w:rsid w:val="62AE1D3F"/>
    <w:rsid w:val="62B02C81"/>
    <w:rsid w:val="62B73A84"/>
    <w:rsid w:val="63077F94"/>
    <w:rsid w:val="6352534A"/>
    <w:rsid w:val="63550F68"/>
    <w:rsid w:val="636454BD"/>
    <w:rsid w:val="638106F1"/>
    <w:rsid w:val="63A32DA5"/>
    <w:rsid w:val="63E3322E"/>
    <w:rsid w:val="63E57A26"/>
    <w:rsid w:val="63E71282"/>
    <w:rsid w:val="63F34490"/>
    <w:rsid w:val="64353CCD"/>
    <w:rsid w:val="64357FE8"/>
    <w:rsid w:val="644F3EAC"/>
    <w:rsid w:val="64621EBC"/>
    <w:rsid w:val="64633003"/>
    <w:rsid w:val="652E0EAF"/>
    <w:rsid w:val="653E7453"/>
    <w:rsid w:val="65513503"/>
    <w:rsid w:val="65930B51"/>
    <w:rsid w:val="659535D1"/>
    <w:rsid w:val="65F92BF8"/>
    <w:rsid w:val="66055BA0"/>
    <w:rsid w:val="662C747D"/>
    <w:rsid w:val="6632111D"/>
    <w:rsid w:val="664B45EB"/>
    <w:rsid w:val="664C65F4"/>
    <w:rsid w:val="664D0933"/>
    <w:rsid w:val="66561E73"/>
    <w:rsid w:val="66BE4ECE"/>
    <w:rsid w:val="66C07984"/>
    <w:rsid w:val="66D4211D"/>
    <w:rsid w:val="67131033"/>
    <w:rsid w:val="674448F0"/>
    <w:rsid w:val="6748611A"/>
    <w:rsid w:val="67B15C33"/>
    <w:rsid w:val="67C34782"/>
    <w:rsid w:val="67F90497"/>
    <w:rsid w:val="68076C95"/>
    <w:rsid w:val="682C6A07"/>
    <w:rsid w:val="6869128D"/>
    <w:rsid w:val="689616BA"/>
    <w:rsid w:val="68AE1477"/>
    <w:rsid w:val="68B11F1A"/>
    <w:rsid w:val="68D96D3B"/>
    <w:rsid w:val="68F01E8C"/>
    <w:rsid w:val="68F461CB"/>
    <w:rsid w:val="69057199"/>
    <w:rsid w:val="6935579F"/>
    <w:rsid w:val="69364297"/>
    <w:rsid w:val="694679DD"/>
    <w:rsid w:val="69703461"/>
    <w:rsid w:val="69A97F2A"/>
    <w:rsid w:val="69CF1E48"/>
    <w:rsid w:val="69D31178"/>
    <w:rsid w:val="69D36A36"/>
    <w:rsid w:val="6A72254E"/>
    <w:rsid w:val="6A827F47"/>
    <w:rsid w:val="6A886E96"/>
    <w:rsid w:val="6A993BDB"/>
    <w:rsid w:val="6AB83E50"/>
    <w:rsid w:val="6AD81FB0"/>
    <w:rsid w:val="6AE84496"/>
    <w:rsid w:val="6AE87B2E"/>
    <w:rsid w:val="6B31344F"/>
    <w:rsid w:val="6B936703"/>
    <w:rsid w:val="6BA070ED"/>
    <w:rsid w:val="6BA310C0"/>
    <w:rsid w:val="6BAA74BB"/>
    <w:rsid w:val="6BB05E96"/>
    <w:rsid w:val="6BC35C48"/>
    <w:rsid w:val="6BF42A39"/>
    <w:rsid w:val="6C0A7B65"/>
    <w:rsid w:val="6C111E69"/>
    <w:rsid w:val="6C1A4AC6"/>
    <w:rsid w:val="6C2F7A8D"/>
    <w:rsid w:val="6C5238A6"/>
    <w:rsid w:val="6C553F39"/>
    <w:rsid w:val="6C5F145C"/>
    <w:rsid w:val="6CA35F05"/>
    <w:rsid w:val="6CB53A05"/>
    <w:rsid w:val="6D256B62"/>
    <w:rsid w:val="6D4F3A89"/>
    <w:rsid w:val="6D511857"/>
    <w:rsid w:val="6D5913CD"/>
    <w:rsid w:val="6D7846DC"/>
    <w:rsid w:val="6D870EAA"/>
    <w:rsid w:val="6D9539D5"/>
    <w:rsid w:val="6D957F88"/>
    <w:rsid w:val="6DAF00D3"/>
    <w:rsid w:val="6E184D59"/>
    <w:rsid w:val="6E266562"/>
    <w:rsid w:val="6E5443E6"/>
    <w:rsid w:val="6EAD4BAD"/>
    <w:rsid w:val="6ED57C02"/>
    <w:rsid w:val="6F1659E3"/>
    <w:rsid w:val="6F530B6C"/>
    <w:rsid w:val="6F601480"/>
    <w:rsid w:val="6F777E87"/>
    <w:rsid w:val="6FB30AAA"/>
    <w:rsid w:val="6FB6025F"/>
    <w:rsid w:val="6FF04E1F"/>
    <w:rsid w:val="6FF6260D"/>
    <w:rsid w:val="700D6174"/>
    <w:rsid w:val="70174EAD"/>
    <w:rsid w:val="70193F38"/>
    <w:rsid w:val="70243BED"/>
    <w:rsid w:val="703579AB"/>
    <w:rsid w:val="7095215B"/>
    <w:rsid w:val="70AD06FD"/>
    <w:rsid w:val="70EE2CEE"/>
    <w:rsid w:val="71035667"/>
    <w:rsid w:val="71071981"/>
    <w:rsid w:val="71234441"/>
    <w:rsid w:val="71365B4F"/>
    <w:rsid w:val="71386683"/>
    <w:rsid w:val="71960D24"/>
    <w:rsid w:val="71A90FF9"/>
    <w:rsid w:val="71AD1F44"/>
    <w:rsid w:val="71B47563"/>
    <w:rsid w:val="71D45A1F"/>
    <w:rsid w:val="71F24357"/>
    <w:rsid w:val="71FD3172"/>
    <w:rsid w:val="72060CF1"/>
    <w:rsid w:val="72091B63"/>
    <w:rsid w:val="72773A74"/>
    <w:rsid w:val="72797FBE"/>
    <w:rsid w:val="727D22B7"/>
    <w:rsid w:val="729E3C12"/>
    <w:rsid w:val="72B0507E"/>
    <w:rsid w:val="72C40F68"/>
    <w:rsid w:val="72D020D2"/>
    <w:rsid w:val="72E01316"/>
    <w:rsid w:val="73022BBF"/>
    <w:rsid w:val="730A5C0B"/>
    <w:rsid w:val="732833BE"/>
    <w:rsid w:val="734F591D"/>
    <w:rsid w:val="735440EC"/>
    <w:rsid w:val="73655288"/>
    <w:rsid w:val="737E2273"/>
    <w:rsid w:val="73A603A7"/>
    <w:rsid w:val="73AD6D28"/>
    <w:rsid w:val="73B22ADB"/>
    <w:rsid w:val="73B713BF"/>
    <w:rsid w:val="73C374ED"/>
    <w:rsid w:val="73E033D8"/>
    <w:rsid w:val="7425710E"/>
    <w:rsid w:val="743411B5"/>
    <w:rsid w:val="74366314"/>
    <w:rsid w:val="743A0522"/>
    <w:rsid w:val="74564928"/>
    <w:rsid w:val="74A21979"/>
    <w:rsid w:val="74C82398"/>
    <w:rsid w:val="74D15AE0"/>
    <w:rsid w:val="74D7102C"/>
    <w:rsid w:val="74FF6350"/>
    <w:rsid w:val="756C19BE"/>
    <w:rsid w:val="756F53FE"/>
    <w:rsid w:val="75717456"/>
    <w:rsid w:val="758751F0"/>
    <w:rsid w:val="759E73E3"/>
    <w:rsid w:val="75A037AC"/>
    <w:rsid w:val="75A814EF"/>
    <w:rsid w:val="75D60099"/>
    <w:rsid w:val="75E0134F"/>
    <w:rsid w:val="76222050"/>
    <w:rsid w:val="76332B2C"/>
    <w:rsid w:val="7635621C"/>
    <w:rsid w:val="76692532"/>
    <w:rsid w:val="7676315A"/>
    <w:rsid w:val="768024CC"/>
    <w:rsid w:val="76834C34"/>
    <w:rsid w:val="76BF63B4"/>
    <w:rsid w:val="76D17776"/>
    <w:rsid w:val="76D8199E"/>
    <w:rsid w:val="76E47624"/>
    <w:rsid w:val="77320D03"/>
    <w:rsid w:val="775D4063"/>
    <w:rsid w:val="77733653"/>
    <w:rsid w:val="77A75813"/>
    <w:rsid w:val="77B95B47"/>
    <w:rsid w:val="77C64D1E"/>
    <w:rsid w:val="78212908"/>
    <w:rsid w:val="783B5727"/>
    <w:rsid w:val="785E1E1E"/>
    <w:rsid w:val="7862077B"/>
    <w:rsid w:val="786D738B"/>
    <w:rsid w:val="786E6942"/>
    <w:rsid w:val="789D75BC"/>
    <w:rsid w:val="78AC5D69"/>
    <w:rsid w:val="78AE3BDE"/>
    <w:rsid w:val="78CF1F1C"/>
    <w:rsid w:val="78F82D2D"/>
    <w:rsid w:val="79073154"/>
    <w:rsid w:val="7919354D"/>
    <w:rsid w:val="791C1B28"/>
    <w:rsid w:val="791E2365"/>
    <w:rsid w:val="791E7A17"/>
    <w:rsid w:val="792118BE"/>
    <w:rsid w:val="79224752"/>
    <w:rsid w:val="792D4E05"/>
    <w:rsid w:val="79522A8F"/>
    <w:rsid w:val="798F4A71"/>
    <w:rsid w:val="79B77A76"/>
    <w:rsid w:val="79DB2839"/>
    <w:rsid w:val="7A5705A3"/>
    <w:rsid w:val="7A870F33"/>
    <w:rsid w:val="7AA76D46"/>
    <w:rsid w:val="7ADC2256"/>
    <w:rsid w:val="7B277AA3"/>
    <w:rsid w:val="7B444483"/>
    <w:rsid w:val="7BAD4848"/>
    <w:rsid w:val="7BD16B03"/>
    <w:rsid w:val="7BE5671E"/>
    <w:rsid w:val="7BE6304D"/>
    <w:rsid w:val="7BEA7CB8"/>
    <w:rsid w:val="7BF451C1"/>
    <w:rsid w:val="7BF81E04"/>
    <w:rsid w:val="7BFA7B56"/>
    <w:rsid w:val="7C05626C"/>
    <w:rsid w:val="7C0A62BB"/>
    <w:rsid w:val="7C24212E"/>
    <w:rsid w:val="7C553422"/>
    <w:rsid w:val="7C682613"/>
    <w:rsid w:val="7C694488"/>
    <w:rsid w:val="7C8D6A86"/>
    <w:rsid w:val="7C946859"/>
    <w:rsid w:val="7CA038CF"/>
    <w:rsid w:val="7CA1172E"/>
    <w:rsid w:val="7CA777EF"/>
    <w:rsid w:val="7CDF48B7"/>
    <w:rsid w:val="7CF61F93"/>
    <w:rsid w:val="7CF87E15"/>
    <w:rsid w:val="7D6C422B"/>
    <w:rsid w:val="7D7C783B"/>
    <w:rsid w:val="7D983DD0"/>
    <w:rsid w:val="7DA26922"/>
    <w:rsid w:val="7DAD2EB4"/>
    <w:rsid w:val="7DAD4495"/>
    <w:rsid w:val="7DB20677"/>
    <w:rsid w:val="7DD0263B"/>
    <w:rsid w:val="7E0A4C2E"/>
    <w:rsid w:val="7E277D00"/>
    <w:rsid w:val="7E316E38"/>
    <w:rsid w:val="7E6C2A10"/>
    <w:rsid w:val="7E771721"/>
    <w:rsid w:val="7E7C4314"/>
    <w:rsid w:val="7E8B0424"/>
    <w:rsid w:val="7EA0538E"/>
    <w:rsid w:val="7EB81192"/>
    <w:rsid w:val="7EBC47AD"/>
    <w:rsid w:val="7F3E3C5B"/>
    <w:rsid w:val="7F68095C"/>
    <w:rsid w:val="7F7D43C7"/>
    <w:rsid w:val="7F82713E"/>
    <w:rsid w:val="7F8F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99"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 w:val="24"/>
      <w:lang w:val="en-US" w:eastAsia="zh-CN" w:bidi="ar-SA"/>
    </w:rPr>
  </w:style>
  <w:style w:type="paragraph" w:styleId="4">
    <w:name w:val="heading 1"/>
    <w:basedOn w:val="1"/>
    <w:next w:val="1"/>
    <w:link w:val="78"/>
    <w:qFormat/>
    <w:uiPriority w:val="99"/>
    <w:pPr>
      <w:keepNext/>
      <w:keepLines/>
      <w:spacing w:line="360" w:lineRule="auto"/>
      <w:outlineLvl w:val="0"/>
    </w:pPr>
    <w:rPr>
      <w:rFonts w:ascii="Times New Roman" w:hAnsi="Times New Roman" w:eastAsia="黑体" w:cs="Times New Roman"/>
      <w:b/>
      <w:bCs/>
      <w:kern w:val="44"/>
      <w:sz w:val="32"/>
      <w:szCs w:val="44"/>
    </w:rPr>
  </w:style>
  <w:style w:type="paragraph" w:styleId="2">
    <w:name w:val="heading 2"/>
    <w:basedOn w:val="1"/>
    <w:next w:val="1"/>
    <w:link w:val="79"/>
    <w:qFormat/>
    <w:uiPriority w:val="99"/>
    <w:pPr>
      <w:keepNext/>
      <w:keepLines/>
      <w:spacing w:before="60" w:after="60" w:line="413" w:lineRule="auto"/>
      <w:outlineLvl w:val="1"/>
    </w:pPr>
    <w:rPr>
      <w:rFonts w:ascii="Arial" w:hAnsi="Arial" w:eastAsia="黑体" w:cs="Times New Roman"/>
      <w:b/>
      <w:bCs/>
      <w:kern w:val="2"/>
      <w:sz w:val="21"/>
      <w:szCs w:val="32"/>
    </w:rPr>
  </w:style>
  <w:style w:type="paragraph" w:styleId="5">
    <w:name w:val="heading 3"/>
    <w:basedOn w:val="1"/>
    <w:next w:val="1"/>
    <w:link w:val="80"/>
    <w:qFormat/>
    <w:uiPriority w:val="0"/>
    <w:pPr>
      <w:keepNext/>
      <w:keepLines/>
      <w:spacing w:line="360" w:lineRule="auto"/>
      <w:outlineLvl w:val="2"/>
    </w:pPr>
    <w:rPr>
      <w:rFonts w:ascii="Times New Roman" w:hAnsi="Times New Roman" w:eastAsia="黑体" w:cs="Times New Roman"/>
      <w:b/>
      <w:bCs/>
      <w:kern w:val="2"/>
      <w:sz w:val="21"/>
      <w:szCs w:val="32"/>
    </w:rPr>
  </w:style>
  <w:style w:type="paragraph" w:styleId="6">
    <w:name w:val="heading 4"/>
    <w:basedOn w:val="1"/>
    <w:next w:val="1"/>
    <w:link w:val="76"/>
    <w:qFormat/>
    <w:uiPriority w:val="0"/>
    <w:pPr>
      <w:keepNext/>
      <w:keepLines/>
      <w:spacing w:line="360" w:lineRule="auto"/>
      <w:outlineLvl w:val="3"/>
    </w:pPr>
    <w:rPr>
      <w:rFonts w:ascii="Arial" w:hAnsi="Arial" w:cs="Times New Roman"/>
      <w:b/>
      <w:bCs/>
      <w:kern w:val="2"/>
      <w:sz w:val="21"/>
      <w:szCs w:val="28"/>
    </w:rPr>
  </w:style>
  <w:style w:type="paragraph" w:styleId="7">
    <w:name w:val="heading 5"/>
    <w:basedOn w:val="1"/>
    <w:next w:val="1"/>
    <w:link w:val="81"/>
    <w:qFormat/>
    <w:uiPriority w:val="0"/>
    <w:pPr>
      <w:keepNext/>
      <w:keepLines/>
      <w:spacing w:before="280" w:after="290" w:line="376" w:lineRule="auto"/>
      <w:outlineLvl w:val="4"/>
    </w:pPr>
    <w:rPr>
      <w:rFonts w:ascii="Times New Roman" w:hAnsi="Times New Roman" w:cs="Times New Roman"/>
      <w:b/>
      <w:bCs/>
      <w:kern w:val="2"/>
      <w:sz w:val="28"/>
      <w:szCs w:val="28"/>
    </w:rPr>
  </w:style>
  <w:style w:type="paragraph" w:styleId="8">
    <w:name w:val="heading 6"/>
    <w:basedOn w:val="1"/>
    <w:next w:val="1"/>
    <w:link w:val="82"/>
    <w:qFormat/>
    <w:uiPriority w:val="0"/>
    <w:pPr>
      <w:keepNext/>
      <w:keepLines/>
      <w:spacing w:before="240" w:after="64" w:line="317" w:lineRule="auto"/>
      <w:outlineLvl w:val="5"/>
    </w:pPr>
    <w:rPr>
      <w:rFonts w:ascii="Cambria" w:hAnsi="Cambria" w:cs="Times New Roman"/>
      <w:b/>
      <w:bCs/>
      <w:kern w:val="2"/>
      <w:szCs w:val="24"/>
    </w:rPr>
  </w:style>
  <w:style w:type="paragraph" w:styleId="9">
    <w:name w:val="heading 7"/>
    <w:basedOn w:val="1"/>
    <w:next w:val="1"/>
    <w:link w:val="83"/>
    <w:qFormat/>
    <w:uiPriority w:val="0"/>
    <w:pPr>
      <w:keepNext/>
      <w:keepLines/>
      <w:spacing w:before="240" w:after="64" w:line="317" w:lineRule="auto"/>
      <w:outlineLvl w:val="6"/>
    </w:pPr>
    <w:rPr>
      <w:rFonts w:ascii="Calibri" w:hAnsi="Calibri" w:cs="Times New Roman"/>
      <w:b/>
      <w:bCs/>
      <w:kern w:val="2"/>
      <w:szCs w:val="24"/>
    </w:rPr>
  </w:style>
  <w:style w:type="paragraph" w:styleId="10">
    <w:name w:val="heading 8"/>
    <w:basedOn w:val="1"/>
    <w:next w:val="1"/>
    <w:link w:val="84"/>
    <w:qFormat/>
    <w:uiPriority w:val="0"/>
    <w:pPr>
      <w:keepNext/>
      <w:keepLines/>
      <w:spacing w:before="240" w:after="64" w:line="317" w:lineRule="auto"/>
      <w:outlineLvl w:val="7"/>
    </w:pPr>
    <w:rPr>
      <w:rFonts w:ascii="Cambria" w:hAnsi="Cambria" w:cs="Times New Roman"/>
      <w:kern w:val="2"/>
      <w:szCs w:val="24"/>
    </w:rPr>
  </w:style>
  <w:style w:type="paragraph" w:styleId="11">
    <w:name w:val="heading 9"/>
    <w:basedOn w:val="1"/>
    <w:next w:val="1"/>
    <w:link w:val="85"/>
    <w:qFormat/>
    <w:uiPriority w:val="0"/>
    <w:pPr>
      <w:keepNext/>
      <w:keepLines/>
      <w:spacing w:before="240" w:after="64" w:line="317" w:lineRule="auto"/>
      <w:outlineLvl w:val="8"/>
    </w:pPr>
    <w:rPr>
      <w:rFonts w:ascii="Cambria" w:hAnsi="Cambria" w:cs="Times New Roman"/>
      <w:kern w:val="2"/>
      <w:sz w:val="21"/>
      <w:szCs w:val="21"/>
    </w:rPr>
  </w:style>
  <w:style w:type="character" w:default="1" w:styleId="63">
    <w:name w:val="Default Paragraph Font"/>
    <w:semiHidden/>
    <w:unhideWhenUsed/>
    <w:qFormat/>
    <w:uiPriority w:val="1"/>
  </w:style>
  <w:style w:type="table" w:default="1" w:styleId="61">
    <w:name w:val="Normal Table"/>
    <w:semiHidden/>
    <w:unhideWhenUsed/>
    <w:qFormat/>
    <w:uiPriority w:val="99"/>
    <w:tblPr>
      <w:tblCellMar>
        <w:top w:w="0" w:type="dxa"/>
        <w:left w:w="108" w:type="dxa"/>
        <w:bottom w:w="0" w:type="dxa"/>
        <w:right w:w="108" w:type="dxa"/>
      </w:tblCellMar>
    </w:tblPr>
  </w:style>
  <w:style w:type="paragraph" w:styleId="3">
    <w:name w:val="macro"/>
    <w:link w:val="77"/>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lang w:val="en-US" w:eastAsia="zh-CN" w:bidi="ar-SA"/>
    </w:rPr>
  </w:style>
  <w:style w:type="paragraph" w:styleId="12">
    <w:name w:val="toc 7"/>
    <w:basedOn w:val="1"/>
    <w:next w:val="1"/>
    <w:qFormat/>
    <w:uiPriority w:val="39"/>
    <w:pPr>
      <w:ind w:left="2520" w:leftChars="1200"/>
    </w:pPr>
    <w:rPr>
      <w:rFonts w:ascii="Calibri" w:hAnsi="Calibri"/>
      <w:szCs w:val="22"/>
    </w:rPr>
  </w:style>
  <w:style w:type="paragraph" w:styleId="13">
    <w:name w:val="Note Heading"/>
    <w:basedOn w:val="1"/>
    <w:next w:val="1"/>
    <w:link w:val="86"/>
    <w:qFormat/>
    <w:uiPriority w:val="0"/>
    <w:pPr>
      <w:jc w:val="center"/>
    </w:pPr>
    <w:rPr>
      <w:rFonts w:ascii="Times New Roman" w:hAnsi="Times New Roman" w:cs="Times New Roman"/>
      <w:kern w:val="2"/>
      <w:sz w:val="21"/>
      <w:szCs w:val="24"/>
    </w:rPr>
  </w:style>
  <w:style w:type="paragraph" w:styleId="14">
    <w:name w:val="E-mail Signature"/>
    <w:basedOn w:val="1"/>
    <w:link w:val="87"/>
    <w:qFormat/>
    <w:uiPriority w:val="0"/>
    <w:rPr>
      <w:rFonts w:ascii="Times New Roman" w:hAnsi="Times New Roman" w:cs="Times New Roman"/>
      <w:kern w:val="2"/>
      <w:sz w:val="21"/>
      <w:szCs w:val="24"/>
    </w:rPr>
  </w:style>
  <w:style w:type="paragraph" w:styleId="15">
    <w:name w:val="Normal Indent"/>
    <w:basedOn w:val="1"/>
    <w:link w:val="88"/>
    <w:qFormat/>
    <w:uiPriority w:val="0"/>
    <w:pPr>
      <w:widowControl/>
      <w:ind w:firstLine="420"/>
      <w:jc w:val="left"/>
    </w:pPr>
    <w:rPr>
      <w:rFonts w:ascii="Times New Roman" w:hAnsi="Times New Roman" w:cs="Times New Roman"/>
      <w:kern w:val="2"/>
      <w:sz w:val="20"/>
      <w:szCs w:val="24"/>
    </w:rPr>
  </w:style>
  <w:style w:type="paragraph" w:styleId="16">
    <w:name w:val="caption"/>
    <w:basedOn w:val="1"/>
    <w:next w:val="1"/>
    <w:qFormat/>
    <w:uiPriority w:val="0"/>
    <w:rPr>
      <w:rFonts w:ascii="Cambria" w:hAnsi="Cambria" w:eastAsia="黑体"/>
      <w:sz w:val="20"/>
    </w:rPr>
  </w:style>
  <w:style w:type="paragraph" w:styleId="17">
    <w:name w:val="Document Map"/>
    <w:basedOn w:val="1"/>
    <w:link w:val="89"/>
    <w:qFormat/>
    <w:uiPriority w:val="0"/>
    <w:pPr>
      <w:shd w:val="clear" w:color="auto" w:fill="000080"/>
    </w:pPr>
    <w:rPr>
      <w:rFonts w:ascii="Times New Roman" w:hAnsi="Times New Roman" w:cs="Times New Roman"/>
      <w:kern w:val="2"/>
      <w:sz w:val="21"/>
      <w:szCs w:val="24"/>
      <w:shd w:val="clear" w:color="auto" w:fill="000080"/>
    </w:rPr>
  </w:style>
  <w:style w:type="paragraph" w:styleId="18">
    <w:name w:val="toa heading"/>
    <w:basedOn w:val="1"/>
    <w:next w:val="1"/>
    <w:qFormat/>
    <w:uiPriority w:val="0"/>
    <w:pPr>
      <w:spacing w:line="360" w:lineRule="atLeast"/>
      <w:jc w:val="center"/>
    </w:pPr>
    <w:rPr>
      <w:rFonts w:ascii="Arial" w:eastAsia="黑体"/>
      <w:sz w:val="36"/>
    </w:rPr>
  </w:style>
  <w:style w:type="paragraph" w:styleId="19">
    <w:name w:val="annotation text"/>
    <w:basedOn w:val="1"/>
    <w:link w:val="90"/>
    <w:qFormat/>
    <w:uiPriority w:val="99"/>
    <w:pPr>
      <w:jc w:val="left"/>
    </w:pPr>
    <w:rPr>
      <w:rFonts w:ascii="Times New Roman" w:hAnsi="Times New Roman" w:cs="Times New Roman"/>
      <w:kern w:val="2"/>
      <w:sz w:val="21"/>
      <w:szCs w:val="24"/>
    </w:rPr>
  </w:style>
  <w:style w:type="paragraph" w:styleId="20">
    <w:name w:val="Salutation"/>
    <w:basedOn w:val="1"/>
    <w:next w:val="1"/>
    <w:link w:val="91"/>
    <w:qFormat/>
    <w:uiPriority w:val="0"/>
    <w:pPr>
      <w:widowControl/>
    </w:pPr>
    <w:rPr>
      <w:rFonts w:ascii="Times New Roman" w:cs="Times New Roman"/>
      <w:sz w:val="30"/>
    </w:rPr>
  </w:style>
  <w:style w:type="paragraph" w:styleId="21">
    <w:name w:val="Body Text 3"/>
    <w:basedOn w:val="1"/>
    <w:next w:val="1"/>
    <w:link w:val="92"/>
    <w:qFormat/>
    <w:uiPriority w:val="0"/>
    <w:pPr>
      <w:spacing w:line="500" w:lineRule="exact"/>
    </w:pPr>
    <w:rPr>
      <w:rFonts w:ascii="Times New Roman" w:cs="Times New Roman"/>
      <w:color w:val="000000"/>
    </w:rPr>
  </w:style>
  <w:style w:type="paragraph" w:styleId="22">
    <w:name w:val="Closing"/>
    <w:basedOn w:val="1"/>
    <w:link w:val="93"/>
    <w:qFormat/>
    <w:uiPriority w:val="0"/>
    <w:pPr>
      <w:ind w:left="100" w:leftChars="2100"/>
    </w:pPr>
    <w:rPr>
      <w:rFonts w:ascii="Times New Roman" w:hAnsi="Times New Roman" w:cs="Times New Roman"/>
      <w:kern w:val="2"/>
      <w:sz w:val="21"/>
      <w:szCs w:val="24"/>
    </w:rPr>
  </w:style>
  <w:style w:type="paragraph" w:styleId="23">
    <w:name w:val="Body Text"/>
    <w:basedOn w:val="1"/>
    <w:next w:val="1"/>
    <w:link w:val="94"/>
    <w:qFormat/>
    <w:uiPriority w:val="0"/>
    <w:pPr>
      <w:adjustRightInd w:val="0"/>
      <w:spacing w:after="60" w:line="360" w:lineRule="atLeast"/>
      <w:ind w:left="72" w:leftChars="30" w:right="30" w:rightChars="30"/>
      <w:jc w:val="center"/>
      <w:textAlignment w:val="baseline"/>
    </w:pPr>
    <w:rPr>
      <w:rFonts w:ascii="Times New Roman" w:hAnsi="Times New Roman" w:cs="Times New Roman"/>
      <w:kern w:val="2"/>
      <w:sz w:val="21"/>
      <w:szCs w:val="22"/>
    </w:rPr>
  </w:style>
  <w:style w:type="paragraph" w:styleId="24">
    <w:name w:val="Body Text Indent"/>
    <w:basedOn w:val="1"/>
    <w:next w:val="25"/>
    <w:link w:val="95"/>
    <w:qFormat/>
    <w:uiPriority w:val="0"/>
    <w:pPr>
      <w:spacing w:before="240" w:line="360" w:lineRule="auto"/>
      <w:ind w:firstLine="552" w:firstLineChars="263"/>
    </w:pPr>
    <w:rPr>
      <w:rFonts w:cs="Times New Roman"/>
      <w:kern w:val="2"/>
      <w:sz w:val="21"/>
    </w:rPr>
  </w:style>
  <w:style w:type="paragraph" w:styleId="25">
    <w:name w:val="envelope return"/>
    <w:basedOn w:val="1"/>
    <w:unhideWhenUsed/>
    <w:qFormat/>
    <w:uiPriority w:val="99"/>
    <w:pPr>
      <w:snapToGrid w:val="0"/>
    </w:pPr>
    <w:rPr>
      <w:rFonts w:ascii="Arial" w:hAnsi="Arial"/>
    </w:rPr>
  </w:style>
  <w:style w:type="paragraph" w:styleId="26">
    <w:name w:val="Block Text"/>
    <w:basedOn w:val="1"/>
    <w:next w:val="1"/>
    <w:qFormat/>
    <w:uiPriority w:val="0"/>
    <w:pPr>
      <w:spacing w:line="360" w:lineRule="auto"/>
      <w:ind w:right="210" w:firstLine="560"/>
    </w:pPr>
    <w:rPr>
      <w:color w:val="000000"/>
    </w:rPr>
  </w:style>
  <w:style w:type="paragraph" w:styleId="27">
    <w:name w:val="HTML Address"/>
    <w:basedOn w:val="1"/>
    <w:link w:val="96"/>
    <w:qFormat/>
    <w:uiPriority w:val="0"/>
    <w:rPr>
      <w:rFonts w:ascii="Times New Roman" w:hAnsi="Times New Roman" w:cs="Times New Roman"/>
      <w:i/>
      <w:kern w:val="2"/>
      <w:sz w:val="21"/>
      <w:szCs w:val="24"/>
    </w:rPr>
  </w:style>
  <w:style w:type="paragraph" w:styleId="28">
    <w:name w:val="index 4"/>
    <w:basedOn w:val="1"/>
    <w:next w:val="1"/>
    <w:qFormat/>
    <w:uiPriority w:val="0"/>
    <w:pPr>
      <w:ind w:left="600" w:leftChars="600"/>
    </w:pPr>
  </w:style>
  <w:style w:type="paragraph" w:styleId="29">
    <w:name w:val="toc 5"/>
    <w:basedOn w:val="1"/>
    <w:next w:val="1"/>
    <w:qFormat/>
    <w:uiPriority w:val="39"/>
    <w:pPr>
      <w:ind w:left="1680" w:leftChars="800"/>
    </w:pPr>
    <w:rPr>
      <w:rFonts w:ascii="Calibri" w:hAnsi="Calibri"/>
      <w:szCs w:val="22"/>
    </w:rPr>
  </w:style>
  <w:style w:type="paragraph" w:styleId="30">
    <w:name w:val="toc 3"/>
    <w:basedOn w:val="31"/>
    <w:next w:val="31"/>
    <w:qFormat/>
    <w:uiPriority w:val="39"/>
    <w:pPr>
      <w:ind w:left="840" w:leftChars="400"/>
    </w:pPr>
  </w:style>
  <w:style w:type="paragraph" w:customStyle="1" w:styleId="31">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32">
    <w:name w:val="Plain Text"/>
    <w:basedOn w:val="1"/>
    <w:link w:val="97"/>
    <w:qFormat/>
    <w:uiPriority w:val="0"/>
    <w:rPr>
      <w:rFonts w:hAnsi="Courier New" w:cs="Times New Roman"/>
      <w:kern w:val="2"/>
      <w:sz w:val="21"/>
      <w:szCs w:val="24"/>
    </w:rPr>
  </w:style>
  <w:style w:type="paragraph" w:styleId="33">
    <w:name w:val="toc 8"/>
    <w:basedOn w:val="1"/>
    <w:next w:val="1"/>
    <w:qFormat/>
    <w:uiPriority w:val="39"/>
    <w:pPr>
      <w:ind w:left="2940" w:leftChars="1400"/>
    </w:pPr>
    <w:rPr>
      <w:rFonts w:ascii="Calibri" w:hAnsi="Calibri"/>
      <w:szCs w:val="22"/>
    </w:rPr>
  </w:style>
  <w:style w:type="paragraph" w:styleId="34">
    <w:name w:val="Date"/>
    <w:basedOn w:val="1"/>
    <w:next w:val="1"/>
    <w:link w:val="98"/>
    <w:qFormat/>
    <w:uiPriority w:val="0"/>
    <w:pPr>
      <w:ind w:left="100" w:leftChars="2500"/>
    </w:pPr>
    <w:rPr>
      <w:rFonts w:ascii="Times New Roman" w:hAnsi="Times New Roman" w:cs="Times New Roman"/>
      <w:kern w:val="2"/>
      <w:sz w:val="21"/>
      <w:szCs w:val="24"/>
    </w:rPr>
  </w:style>
  <w:style w:type="paragraph" w:styleId="35">
    <w:name w:val="Body Text Indent 2"/>
    <w:basedOn w:val="1"/>
    <w:link w:val="99"/>
    <w:qFormat/>
    <w:uiPriority w:val="0"/>
    <w:pPr>
      <w:spacing w:after="120" w:line="480" w:lineRule="auto"/>
      <w:ind w:left="420" w:leftChars="200"/>
    </w:pPr>
    <w:rPr>
      <w:rFonts w:ascii="Times New Roman" w:hAnsi="Times New Roman" w:cs="Times New Roman"/>
      <w:kern w:val="2"/>
      <w:sz w:val="21"/>
      <w:szCs w:val="24"/>
    </w:rPr>
  </w:style>
  <w:style w:type="paragraph" w:styleId="36">
    <w:name w:val="endnote text"/>
    <w:basedOn w:val="1"/>
    <w:link w:val="100"/>
    <w:qFormat/>
    <w:uiPriority w:val="0"/>
    <w:pPr>
      <w:snapToGrid w:val="0"/>
      <w:jc w:val="left"/>
    </w:pPr>
    <w:rPr>
      <w:rFonts w:ascii="Times New Roman" w:hAnsi="Times New Roman" w:cs="Times New Roman"/>
      <w:kern w:val="2"/>
      <w:sz w:val="20"/>
    </w:rPr>
  </w:style>
  <w:style w:type="paragraph" w:styleId="37">
    <w:name w:val="Balloon Text"/>
    <w:basedOn w:val="1"/>
    <w:link w:val="101"/>
    <w:qFormat/>
    <w:uiPriority w:val="99"/>
    <w:rPr>
      <w:rFonts w:ascii="Times New Roman" w:hAnsi="Times New Roman" w:cs="Times New Roman"/>
      <w:kern w:val="2"/>
      <w:sz w:val="18"/>
      <w:szCs w:val="18"/>
    </w:rPr>
  </w:style>
  <w:style w:type="paragraph" w:styleId="38">
    <w:name w:val="footer"/>
    <w:basedOn w:val="1"/>
    <w:link w:val="102"/>
    <w:qFormat/>
    <w:uiPriority w:val="99"/>
    <w:pPr>
      <w:tabs>
        <w:tab w:val="center" w:pos="4153"/>
        <w:tab w:val="right" w:pos="8306"/>
      </w:tabs>
      <w:snapToGrid w:val="0"/>
      <w:jc w:val="left"/>
    </w:pPr>
    <w:rPr>
      <w:rFonts w:ascii="Times New Roman" w:hAnsi="Times New Roman" w:cs="Times New Roman"/>
      <w:kern w:val="2"/>
      <w:sz w:val="18"/>
      <w:szCs w:val="18"/>
    </w:rPr>
  </w:style>
  <w:style w:type="paragraph" w:styleId="39">
    <w:name w:val="header"/>
    <w:basedOn w:val="1"/>
    <w:link w:val="103"/>
    <w:qFormat/>
    <w:uiPriority w:val="0"/>
    <w:pPr>
      <w:pBdr>
        <w:bottom w:val="single" w:color="auto" w:sz="6" w:space="1"/>
      </w:pBdr>
      <w:tabs>
        <w:tab w:val="center" w:pos="4153"/>
        <w:tab w:val="right" w:pos="8306"/>
      </w:tabs>
      <w:snapToGrid w:val="0"/>
      <w:jc w:val="center"/>
    </w:pPr>
    <w:rPr>
      <w:rFonts w:ascii="Times New Roman" w:hAnsi="Times New Roman" w:cs="Times New Roman"/>
      <w:kern w:val="2"/>
      <w:sz w:val="18"/>
      <w:szCs w:val="18"/>
    </w:rPr>
  </w:style>
  <w:style w:type="paragraph" w:styleId="40">
    <w:name w:val="Signature"/>
    <w:basedOn w:val="1"/>
    <w:link w:val="104"/>
    <w:qFormat/>
    <w:uiPriority w:val="0"/>
    <w:pPr>
      <w:ind w:left="100" w:leftChars="2100"/>
    </w:pPr>
    <w:rPr>
      <w:rFonts w:ascii="Times New Roman" w:hAnsi="Times New Roman" w:cs="Times New Roman"/>
      <w:kern w:val="2"/>
      <w:sz w:val="21"/>
      <w:szCs w:val="24"/>
    </w:rPr>
  </w:style>
  <w:style w:type="paragraph" w:styleId="41">
    <w:name w:val="toc 1"/>
    <w:basedOn w:val="1"/>
    <w:next w:val="1"/>
    <w:qFormat/>
    <w:uiPriority w:val="0"/>
    <w:pPr>
      <w:spacing w:before="60" w:line="400" w:lineRule="exact"/>
    </w:pPr>
    <w:rPr>
      <w:rFonts w:eastAsia="黑体"/>
    </w:rPr>
  </w:style>
  <w:style w:type="paragraph" w:styleId="42">
    <w:name w:val="toc 4"/>
    <w:basedOn w:val="31"/>
    <w:next w:val="31"/>
    <w:qFormat/>
    <w:uiPriority w:val="39"/>
    <w:pPr>
      <w:ind w:left="1260" w:leftChars="600"/>
    </w:pPr>
  </w:style>
  <w:style w:type="paragraph" w:styleId="43">
    <w:name w:val="Subtitle"/>
    <w:basedOn w:val="1"/>
    <w:next w:val="1"/>
    <w:link w:val="105"/>
    <w:qFormat/>
    <w:uiPriority w:val="0"/>
    <w:pPr>
      <w:spacing w:before="240" w:after="60" w:line="312" w:lineRule="auto"/>
      <w:jc w:val="center"/>
      <w:outlineLvl w:val="1"/>
    </w:pPr>
    <w:rPr>
      <w:rFonts w:ascii="Cambria" w:hAnsi="Cambria" w:cs="Times New Roman"/>
      <w:b/>
      <w:bCs/>
      <w:kern w:val="28"/>
      <w:sz w:val="32"/>
      <w:szCs w:val="32"/>
    </w:rPr>
  </w:style>
  <w:style w:type="paragraph" w:styleId="44">
    <w:name w:val="List"/>
    <w:basedOn w:val="1"/>
    <w:next w:val="1"/>
    <w:qFormat/>
    <w:uiPriority w:val="0"/>
    <w:pPr>
      <w:ind w:left="200" w:hanging="200"/>
    </w:pPr>
  </w:style>
  <w:style w:type="paragraph" w:styleId="45">
    <w:name w:val="footnote text"/>
    <w:basedOn w:val="1"/>
    <w:link w:val="106"/>
    <w:qFormat/>
    <w:uiPriority w:val="0"/>
    <w:pPr>
      <w:adjustRightInd w:val="0"/>
      <w:spacing w:line="312" w:lineRule="atLeast"/>
      <w:jc w:val="left"/>
      <w:textAlignment w:val="baseline"/>
    </w:pPr>
    <w:rPr>
      <w:rFonts w:ascii="Times New Roman" w:hAnsi="Times New Roman" w:cs="Times New Roman"/>
      <w:sz w:val="18"/>
    </w:rPr>
  </w:style>
  <w:style w:type="paragraph" w:styleId="46">
    <w:name w:val="toc 6"/>
    <w:basedOn w:val="1"/>
    <w:next w:val="1"/>
    <w:qFormat/>
    <w:uiPriority w:val="39"/>
    <w:pPr>
      <w:ind w:left="2100" w:leftChars="1000"/>
    </w:pPr>
    <w:rPr>
      <w:rFonts w:ascii="Calibri" w:hAnsi="Calibri"/>
      <w:szCs w:val="22"/>
    </w:rPr>
  </w:style>
  <w:style w:type="paragraph" w:styleId="47">
    <w:name w:val="Body Text Indent 3"/>
    <w:basedOn w:val="1"/>
    <w:next w:val="18"/>
    <w:link w:val="107"/>
    <w:qFormat/>
    <w:uiPriority w:val="99"/>
    <w:pPr>
      <w:spacing w:after="120"/>
      <w:ind w:left="420"/>
    </w:pPr>
    <w:rPr>
      <w:rFonts w:ascii="Times New Roman" w:cs="Times New Roman"/>
      <w:sz w:val="16"/>
    </w:rPr>
  </w:style>
  <w:style w:type="paragraph" w:styleId="48">
    <w:name w:val="toc 2"/>
    <w:basedOn w:val="1"/>
    <w:next w:val="1"/>
    <w:qFormat/>
    <w:uiPriority w:val="39"/>
    <w:pPr>
      <w:ind w:left="420" w:leftChars="200"/>
    </w:pPr>
    <w:rPr>
      <w:rFonts w:ascii="Calibri" w:hAnsi="Calibri"/>
      <w:szCs w:val="22"/>
    </w:rPr>
  </w:style>
  <w:style w:type="paragraph" w:styleId="49">
    <w:name w:val="toc 9"/>
    <w:basedOn w:val="1"/>
    <w:next w:val="1"/>
    <w:qFormat/>
    <w:uiPriority w:val="39"/>
    <w:pPr>
      <w:ind w:left="3360" w:leftChars="1600"/>
    </w:pPr>
    <w:rPr>
      <w:rFonts w:ascii="Calibri" w:hAnsi="Calibri"/>
      <w:szCs w:val="22"/>
    </w:rPr>
  </w:style>
  <w:style w:type="paragraph" w:styleId="50">
    <w:name w:val="Body Text 2"/>
    <w:basedOn w:val="1"/>
    <w:next w:val="51"/>
    <w:link w:val="108"/>
    <w:qFormat/>
    <w:uiPriority w:val="0"/>
    <w:pPr>
      <w:spacing w:line="320" w:lineRule="exact"/>
      <w:ind w:right="-108"/>
      <w:jc w:val="center"/>
    </w:pPr>
    <w:rPr>
      <w:rFonts w:ascii="Times New Roman" w:cs="Times New Roman"/>
    </w:rPr>
  </w:style>
  <w:style w:type="paragraph" w:customStyle="1" w:styleId="51">
    <w:name w:val="目录 61"/>
    <w:basedOn w:val="1"/>
    <w:next w:val="1"/>
    <w:qFormat/>
    <w:uiPriority w:val="0"/>
    <w:pPr>
      <w:ind w:left="2100"/>
    </w:pPr>
    <w:rPr>
      <w:rFonts w:ascii="Calibri"/>
    </w:rPr>
  </w:style>
  <w:style w:type="paragraph" w:styleId="52">
    <w:name w:val="Message Header"/>
    <w:basedOn w:val="1"/>
    <w:link w:val="109"/>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Times New Roman"/>
      <w:kern w:val="2"/>
      <w:szCs w:val="24"/>
    </w:rPr>
  </w:style>
  <w:style w:type="paragraph" w:styleId="53">
    <w:name w:val="HTML Preformatted"/>
    <w:basedOn w:val="1"/>
    <w:next w:val="54"/>
    <w:link w:val="110"/>
    <w:qFormat/>
    <w:uiPriority w:val="99"/>
    <w:pPr>
      <w:widowControl/>
    </w:pPr>
    <w:rPr>
      <w:rFonts w:ascii="Arial" w:cs="Times New Roman"/>
    </w:rPr>
  </w:style>
  <w:style w:type="paragraph" w:customStyle="1" w:styleId="54">
    <w:name w:val="目录 91"/>
    <w:basedOn w:val="1"/>
    <w:next w:val="1"/>
    <w:qFormat/>
    <w:uiPriority w:val="0"/>
    <w:pPr>
      <w:ind w:left="3360"/>
    </w:pPr>
    <w:rPr>
      <w:rFonts w:ascii="Calibri"/>
    </w:rPr>
  </w:style>
  <w:style w:type="paragraph" w:styleId="55">
    <w:name w:val="Normal (Web)"/>
    <w:basedOn w:val="1"/>
    <w:qFormat/>
    <w:uiPriority w:val="0"/>
    <w:pPr>
      <w:widowControl/>
      <w:spacing w:before="100" w:beforeAutospacing="1" w:after="100" w:afterAutospacing="1"/>
      <w:jc w:val="left"/>
    </w:pPr>
  </w:style>
  <w:style w:type="paragraph" w:styleId="56">
    <w:name w:val="index 1"/>
    <w:basedOn w:val="1"/>
    <w:next w:val="1"/>
    <w:qFormat/>
    <w:uiPriority w:val="0"/>
    <w:rPr>
      <w:rFonts w:ascii="Calibri" w:hAnsi="Calibri" w:eastAsia="仿宋_GB2312"/>
      <w:sz w:val="28"/>
    </w:rPr>
  </w:style>
  <w:style w:type="paragraph" w:styleId="57">
    <w:name w:val="Title"/>
    <w:basedOn w:val="1"/>
    <w:next w:val="1"/>
    <w:link w:val="111"/>
    <w:qFormat/>
    <w:uiPriority w:val="10"/>
    <w:pPr>
      <w:spacing w:before="240" w:after="60"/>
      <w:jc w:val="center"/>
      <w:outlineLvl w:val="0"/>
    </w:pPr>
    <w:rPr>
      <w:rFonts w:ascii="Cambria" w:hAnsi="Cambria" w:cs="Times New Roman"/>
      <w:b/>
      <w:bCs/>
      <w:kern w:val="2"/>
      <w:sz w:val="32"/>
      <w:szCs w:val="32"/>
    </w:rPr>
  </w:style>
  <w:style w:type="paragraph" w:styleId="58">
    <w:name w:val="annotation subject"/>
    <w:basedOn w:val="19"/>
    <w:next w:val="19"/>
    <w:link w:val="112"/>
    <w:qFormat/>
    <w:uiPriority w:val="0"/>
    <w:rPr>
      <w:b/>
      <w:bCs/>
    </w:rPr>
  </w:style>
  <w:style w:type="paragraph" w:styleId="59">
    <w:name w:val="Body Text First Indent"/>
    <w:next w:val="1"/>
    <w:link w:val="113"/>
    <w:qFormat/>
    <w:uiPriority w:val="0"/>
    <w:pPr>
      <w:widowControl w:val="0"/>
      <w:spacing w:after="120"/>
      <w:ind w:firstLine="420"/>
      <w:jc w:val="both"/>
    </w:pPr>
    <w:rPr>
      <w:rFonts w:ascii="Times New Roman" w:hAnsi="宋体" w:eastAsia="宋体" w:cs="宋体"/>
      <w:sz w:val="21"/>
      <w:lang w:val="en-US" w:eastAsia="zh-CN" w:bidi="ar-SA"/>
    </w:rPr>
  </w:style>
  <w:style w:type="paragraph" w:styleId="60">
    <w:name w:val="Body Text First Indent 2"/>
    <w:basedOn w:val="24"/>
    <w:next w:val="1"/>
    <w:link w:val="114"/>
    <w:qFormat/>
    <w:uiPriority w:val="0"/>
    <w:pPr>
      <w:spacing w:before="0" w:after="120" w:line="240" w:lineRule="auto"/>
      <w:ind w:left="420" w:leftChars="200" w:firstLine="420" w:firstLineChars="200"/>
    </w:pPr>
    <w:rPr>
      <w:rFonts w:ascii="Times New Roman" w:hAnsi="Times New Roman" w:eastAsia="仿宋_GB2312"/>
      <w:szCs w:val="24"/>
    </w:rPr>
  </w:style>
  <w:style w:type="table" w:styleId="62">
    <w:name w:val="Table Grid"/>
    <w:basedOn w:val="61"/>
    <w:qFormat/>
    <w:uiPriority w:val="0"/>
    <w:pPr>
      <w:widowControl w:val="0"/>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4">
    <w:name w:val="Strong"/>
    <w:qFormat/>
    <w:uiPriority w:val="0"/>
    <w:rPr>
      <w:b/>
      <w:bCs/>
    </w:rPr>
  </w:style>
  <w:style w:type="character" w:styleId="65">
    <w:name w:val="page number"/>
    <w:qFormat/>
    <w:uiPriority w:val="0"/>
  </w:style>
  <w:style w:type="character" w:styleId="66">
    <w:name w:val="FollowedHyperlink"/>
    <w:qFormat/>
    <w:uiPriority w:val="0"/>
    <w:rPr>
      <w:color w:val="DD8905"/>
      <w:u w:val="none"/>
    </w:rPr>
  </w:style>
  <w:style w:type="character" w:styleId="67">
    <w:name w:val="Emphasis"/>
    <w:qFormat/>
    <w:uiPriority w:val="0"/>
    <w:rPr>
      <w:i/>
      <w:iCs/>
    </w:rPr>
  </w:style>
  <w:style w:type="character" w:styleId="68">
    <w:name w:val="HTML Definition"/>
    <w:qFormat/>
    <w:uiPriority w:val="0"/>
    <w:rPr>
      <w:u w:val="single"/>
    </w:rPr>
  </w:style>
  <w:style w:type="character" w:styleId="69">
    <w:name w:val="HTML Variable"/>
    <w:qFormat/>
    <w:uiPriority w:val="0"/>
  </w:style>
  <w:style w:type="character" w:styleId="70">
    <w:name w:val="Hyperlink"/>
    <w:qFormat/>
    <w:uiPriority w:val="0"/>
    <w:rPr>
      <w:color w:val="000000"/>
      <w:u w:val="none"/>
    </w:rPr>
  </w:style>
  <w:style w:type="character" w:styleId="71">
    <w:name w:val="HTML Code"/>
    <w:qFormat/>
    <w:uiPriority w:val="0"/>
    <w:rPr>
      <w:rFonts w:hint="default" w:ascii="serif" w:hAnsi="serif" w:eastAsia="serif" w:cs="serif"/>
      <w:sz w:val="21"/>
      <w:szCs w:val="21"/>
    </w:rPr>
  </w:style>
  <w:style w:type="character" w:styleId="72">
    <w:name w:val="annotation reference"/>
    <w:qFormat/>
    <w:uiPriority w:val="0"/>
    <w:rPr>
      <w:sz w:val="21"/>
      <w:szCs w:val="21"/>
    </w:rPr>
  </w:style>
  <w:style w:type="character" w:styleId="73">
    <w:name w:val="HTML Cite"/>
    <w:qFormat/>
    <w:uiPriority w:val="0"/>
  </w:style>
  <w:style w:type="character" w:styleId="74">
    <w:name w:val="HTML Keyboard"/>
    <w:qFormat/>
    <w:uiPriority w:val="0"/>
    <w:rPr>
      <w:rFonts w:ascii="serif" w:hAnsi="serif" w:eastAsia="serif" w:cs="serif"/>
      <w:sz w:val="21"/>
      <w:szCs w:val="21"/>
    </w:rPr>
  </w:style>
  <w:style w:type="character" w:styleId="75">
    <w:name w:val="HTML Sample"/>
    <w:qFormat/>
    <w:uiPriority w:val="0"/>
    <w:rPr>
      <w:rFonts w:hint="default" w:ascii="serif" w:hAnsi="serif" w:eastAsia="serif" w:cs="serif"/>
      <w:color w:val="DEDEDE"/>
      <w:sz w:val="21"/>
      <w:szCs w:val="21"/>
    </w:rPr>
  </w:style>
  <w:style w:type="character" w:customStyle="1" w:styleId="76">
    <w:name w:val="标题 4 Char3"/>
    <w:link w:val="6"/>
    <w:qFormat/>
    <w:uiPriority w:val="0"/>
    <w:rPr>
      <w:rFonts w:ascii="Arial" w:hAnsi="Arial" w:eastAsia="宋体"/>
      <w:b/>
      <w:bCs/>
      <w:kern w:val="2"/>
      <w:sz w:val="21"/>
      <w:szCs w:val="28"/>
      <w:lang w:val="en-US" w:eastAsia="zh-CN" w:bidi="ar-SA"/>
    </w:rPr>
  </w:style>
  <w:style w:type="character" w:customStyle="1" w:styleId="77">
    <w:name w:val="宏文本 Char"/>
    <w:link w:val="3"/>
    <w:qFormat/>
    <w:uiPriority w:val="0"/>
    <w:rPr>
      <w:rFonts w:ascii="Courier New" w:hAnsi="Courier New"/>
      <w:kern w:val="2"/>
      <w:sz w:val="24"/>
      <w:lang w:val="en-US" w:eastAsia="zh-CN" w:bidi="ar-SA"/>
    </w:rPr>
  </w:style>
  <w:style w:type="character" w:customStyle="1" w:styleId="78">
    <w:name w:val="标题 1 Char3"/>
    <w:link w:val="4"/>
    <w:qFormat/>
    <w:uiPriority w:val="99"/>
    <w:rPr>
      <w:rFonts w:eastAsia="黑体"/>
      <w:b/>
      <w:bCs/>
      <w:kern w:val="44"/>
      <w:sz w:val="32"/>
      <w:szCs w:val="44"/>
      <w:lang w:bidi="ar-SA"/>
    </w:rPr>
  </w:style>
  <w:style w:type="character" w:customStyle="1" w:styleId="79">
    <w:name w:val="标题 2 Char3"/>
    <w:link w:val="2"/>
    <w:qFormat/>
    <w:uiPriority w:val="99"/>
    <w:rPr>
      <w:rFonts w:ascii="Arial" w:hAnsi="Arial" w:eastAsia="黑体"/>
      <w:b/>
      <w:bCs/>
      <w:kern w:val="2"/>
      <w:sz w:val="21"/>
      <w:szCs w:val="32"/>
      <w:lang w:bidi="ar-SA"/>
    </w:rPr>
  </w:style>
  <w:style w:type="character" w:customStyle="1" w:styleId="80">
    <w:name w:val="标题 3 Char3"/>
    <w:link w:val="5"/>
    <w:qFormat/>
    <w:uiPriority w:val="0"/>
    <w:rPr>
      <w:rFonts w:eastAsia="黑体"/>
      <w:b/>
      <w:bCs/>
      <w:kern w:val="2"/>
      <w:sz w:val="21"/>
      <w:szCs w:val="32"/>
      <w:lang w:bidi="ar-SA"/>
    </w:rPr>
  </w:style>
  <w:style w:type="character" w:customStyle="1" w:styleId="81">
    <w:name w:val="标题 5 Char3"/>
    <w:link w:val="7"/>
    <w:qFormat/>
    <w:uiPriority w:val="0"/>
    <w:rPr>
      <w:rFonts w:eastAsia="宋体"/>
      <w:b/>
      <w:bCs/>
      <w:kern w:val="2"/>
      <w:sz w:val="28"/>
      <w:szCs w:val="28"/>
      <w:lang w:val="en-US" w:eastAsia="zh-CN" w:bidi="ar-SA"/>
    </w:rPr>
  </w:style>
  <w:style w:type="character" w:customStyle="1" w:styleId="82">
    <w:name w:val="标题 6 Char3"/>
    <w:link w:val="8"/>
    <w:qFormat/>
    <w:uiPriority w:val="0"/>
    <w:rPr>
      <w:rFonts w:ascii="Cambria" w:hAnsi="Cambria"/>
      <w:b/>
      <w:bCs/>
      <w:kern w:val="2"/>
      <w:sz w:val="24"/>
      <w:szCs w:val="24"/>
    </w:rPr>
  </w:style>
  <w:style w:type="character" w:customStyle="1" w:styleId="83">
    <w:name w:val="标题 7 Char3"/>
    <w:link w:val="9"/>
    <w:qFormat/>
    <w:uiPriority w:val="0"/>
    <w:rPr>
      <w:rFonts w:ascii="Calibri" w:hAnsi="Calibri"/>
      <w:b/>
      <w:bCs/>
      <w:kern w:val="2"/>
      <w:sz w:val="24"/>
      <w:szCs w:val="24"/>
    </w:rPr>
  </w:style>
  <w:style w:type="character" w:customStyle="1" w:styleId="84">
    <w:name w:val="标题 8 Char3"/>
    <w:link w:val="10"/>
    <w:qFormat/>
    <w:uiPriority w:val="0"/>
    <w:rPr>
      <w:rFonts w:ascii="Cambria" w:hAnsi="Cambria"/>
      <w:kern w:val="2"/>
      <w:sz w:val="24"/>
      <w:szCs w:val="24"/>
    </w:rPr>
  </w:style>
  <w:style w:type="character" w:customStyle="1" w:styleId="85">
    <w:name w:val="标题 9 Char3"/>
    <w:link w:val="11"/>
    <w:qFormat/>
    <w:uiPriority w:val="0"/>
    <w:rPr>
      <w:rFonts w:ascii="Cambria" w:hAnsi="Cambria"/>
      <w:kern w:val="2"/>
      <w:sz w:val="21"/>
      <w:szCs w:val="21"/>
    </w:rPr>
  </w:style>
  <w:style w:type="character" w:customStyle="1" w:styleId="86">
    <w:name w:val="注释标题 Char"/>
    <w:link w:val="13"/>
    <w:qFormat/>
    <w:uiPriority w:val="0"/>
    <w:rPr>
      <w:kern w:val="2"/>
      <w:sz w:val="21"/>
      <w:szCs w:val="24"/>
    </w:rPr>
  </w:style>
  <w:style w:type="character" w:customStyle="1" w:styleId="87">
    <w:name w:val="电子邮件签名 Char"/>
    <w:link w:val="14"/>
    <w:qFormat/>
    <w:uiPriority w:val="0"/>
    <w:rPr>
      <w:kern w:val="2"/>
      <w:sz w:val="21"/>
      <w:szCs w:val="24"/>
    </w:rPr>
  </w:style>
  <w:style w:type="character" w:customStyle="1" w:styleId="88">
    <w:name w:val="正文缩进 Char2"/>
    <w:link w:val="15"/>
    <w:qFormat/>
    <w:uiPriority w:val="0"/>
    <w:rPr>
      <w:kern w:val="2"/>
      <w:szCs w:val="24"/>
    </w:rPr>
  </w:style>
  <w:style w:type="character" w:customStyle="1" w:styleId="89">
    <w:name w:val="文档结构图 Char4"/>
    <w:link w:val="17"/>
    <w:qFormat/>
    <w:uiPriority w:val="0"/>
    <w:rPr>
      <w:kern w:val="2"/>
      <w:sz w:val="21"/>
      <w:szCs w:val="24"/>
      <w:shd w:val="clear" w:color="auto" w:fill="000080"/>
      <w:lang w:bidi="ar-SA"/>
    </w:rPr>
  </w:style>
  <w:style w:type="character" w:customStyle="1" w:styleId="90">
    <w:name w:val="批注文字 Char4"/>
    <w:link w:val="19"/>
    <w:qFormat/>
    <w:uiPriority w:val="99"/>
    <w:rPr>
      <w:rFonts w:eastAsia="宋体"/>
      <w:kern w:val="2"/>
      <w:sz w:val="21"/>
      <w:szCs w:val="24"/>
      <w:lang w:val="en-US" w:eastAsia="zh-CN" w:bidi="ar-SA"/>
    </w:rPr>
  </w:style>
  <w:style w:type="character" w:customStyle="1" w:styleId="91">
    <w:name w:val="称呼 Char3"/>
    <w:link w:val="20"/>
    <w:qFormat/>
    <w:uiPriority w:val="0"/>
    <w:rPr>
      <w:rFonts w:hAnsi="宋体" w:cs="宋体"/>
      <w:sz w:val="30"/>
    </w:rPr>
  </w:style>
  <w:style w:type="character" w:customStyle="1" w:styleId="92">
    <w:name w:val="正文文本 3 Char3"/>
    <w:link w:val="21"/>
    <w:qFormat/>
    <w:uiPriority w:val="0"/>
    <w:rPr>
      <w:rFonts w:hAnsi="宋体" w:cs="宋体"/>
      <w:color w:val="000000"/>
      <w:sz w:val="24"/>
    </w:rPr>
  </w:style>
  <w:style w:type="character" w:customStyle="1" w:styleId="93">
    <w:name w:val="结束语 Char"/>
    <w:link w:val="22"/>
    <w:qFormat/>
    <w:uiPriority w:val="0"/>
    <w:rPr>
      <w:kern w:val="2"/>
      <w:sz w:val="21"/>
      <w:szCs w:val="24"/>
    </w:rPr>
  </w:style>
  <w:style w:type="character" w:customStyle="1" w:styleId="94">
    <w:name w:val="正文文本 Char4"/>
    <w:link w:val="23"/>
    <w:qFormat/>
    <w:uiPriority w:val="0"/>
    <w:rPr>
      <w:rFonts w:eastAsia="宋体"/>
      <w:kern w:val="2"/>
      <w:sz w:val="21"/>
      <w:szCs w:val="22"/>
      <w:lang w:val="en-US" w:eastAsia="zh-CN" w:bidi="ar-SA"/>
    </w:rPr>
  </w:style>
  <w:style w:type="character" w:customStyle="1" w:styleId="95">
    <w:name w:val="正文文本缩进 Char2"/>
    <w:link w:val="24"/>
    <w:qFormat/>
    <w:uiPriority w:val="0"/>
    <w:rPr>
      <w:rFonts w:ascii="宋体" w:hAnsi="宋体"/>
      <w:kern w:val="2"/>
      <w:sz w:val="21"/>
      <w:lang w:bidi="ar-SA"/>
    </w:rPr>
  </w:style>
  <w:style w:type="character" w:customStyle="1" w:styleId="96">
    <w:name w:val="HTML 地址 Char"/>
    <w:link w:val="27"/>
    <w:qFormat/>
    <w:uiPriority w:val="0"/>
    <w:rPr>
      <w:i/>
      <w:kern w:val="2"/>
      <w:sz w:val="21"/>
      <w:szCs w:val="24"/>
    </w:rPr>
  </w:style>
  <w:style w:type="character" w:customStyle="1" w:styleId="97">
    <w:name w:val="纯文本 Char3"/>
    <w:link w:val="32"/>
    <w:qFormat/>
    <w:uiPriority w:val="0"/>
    <w:rPr>
      <w:rFonts w:ascii="宋体" w:hAnsi="Courier New" w:eastAsia="宋体"/>
      <w:kern w:val="2"/>
      <w:sz w:val="21"/>
      <w:szCs w:val="24"/>
      <w:lang w:val="en-US" w:eastAsia="zh-CN" w:bidi="ar-SA"/>
    </w:rPr>
  </w:style>
  <w:style w:type="character" w:customStyle="1" w:styleId="98">
    <w:name w:val="日期 Char3"/>
    <w:link w:val="34"/>
    <w:qFormat/>
    <w:uiPriority w:val="0"/>
    <w:rPr>
      <w:kern w:val="2"/>
      <w:sz w:val="21"/>
      <w:szCs w:val="24"/>
      <w:lang w:bidi="ar-SA"/>
    </w:rPr>
  </w:style>
  <w:style w:type="character" w:customStyle="1" w:styleId="99">
    <w:name w:val="正文文本缩进 2 Char2"/>
    <w:link w:val="35"/>
    <w:qFormat/>
    <w:uiPriority w:val="0"/>
    <w:rPr>
      <w:kern w:val="2"/>
      <w:sz w:val="21"/>
      <w:szCs w:val="24"/>
      <w:lang w:bidi="ar-SA"/>
    </w:rPr>
  </w:style>
  <w:style w:type="character" w:customStyle="1" w:styleId="100">
    <w:name w:val="尾注文本 Char2"/>
    <w:link w:val="36"/>
    <w:qFormat/>
    <w:uiPriority w:val="0"/>
    <w:rPr>
      <w:kern w:val="2"/>
    </w:rPr>
  </w:style>
  <w:style w:type="character" w:customStyle="1" w:styleId="101">
    <w:name w:val="批注框文本 Char3"/>
    <w:link w:val="37"/>
    <w:qFormat/>
    <w:uiPriority w:val="99"/>
    <w:rPr>
      <w:kern w:val="2"/>
      <w:sz w:val="18"/>
      <w:szCs w:val="18"/>
      <w:lang w:bidi="ar-SA"/>
    </w:rPr>
  </w:style>
  <w:style w:type="character" w:customStyle="1" w:styleId="102">
    <w:name w:val="页脚 Char3"/>
    <w:link w:val="38"/>
    <w:qFormat/>
    <w:uiPriority w:val="99"/>
    <w:rPr>
      <w:kern w:val="2"/>
      <w:sz w:val="18"/>
      <w:szCs w:val="18"/>
      <w:lang w:bidi="ar-SA"/>
    </w:rPr>
  </w:style>
  <w:style w:type="character" w:customStyle="1" w:styleId="103">
    <w:name w:val="页眉 Char3"/>
    <w:link w:val="39"/>
    <w:qFormat/>
    <w:uiPriority w:val="0"/>
    <w:rPr>
      <w:kern w:val="2"/>
      <w:sz w:val="18"/>
      <w:szCs w:val="18"/>
      <w:lang w:bidi="ar-SA"/>
    </w:rPr>
  </w:style>
  <w:style w:type="character" w:customStyle="1" w:styleId="104">
    <w:name w:val="签名 Char"/>
    <w:link w:val="40"/>
    <w:qFormat/>
    <w:uiPriority w:val="0"/>
    <w:rPr>
      <w:kern w:val="2"/>
      <w:sz w:val="21"/>
      <w:szCs w:val="24"/>
    </w:rPr>
  </w:style>
  <w:style w:type="character" w:customStyle="1" w:styleId="105">
    <w:name w:val="副标题 Char4"/>
    <w:link w:val="43"/>
    <w:qFormat/>
    <w:uiPriority w:val="0"/>
    <w:rPr>
      <w:rFonts w:ascii="Cambria" w:hAnsi="Cambria"/>
      <w:b/>
      <w:bCs/>
      <w:kern w:val="28"/>
      <w:sz w:val="32"/>
      <w:szCs w:val="32"/>
    </w:rPr>
  </w:style>
  <w:style w:type="character" w:customStyle="1" w:styleId="106">
    <w:name w:val="脚注文本 Char2"/>
    <w:link w:val="45"/>
    <w:qFormat/>
    <w:uiPriority w:val="0"/>
    <w:rPr>
      <w:sz w:val="18"/>
      <w:lang w:bidi="ar-SA"/>
    </w:rPr>
  </w:style>
  <w:style w:type="character" w:customStyle="1" w:styleId="107">
    <w:name w:val="正文文本缩进 3 Char3"/>
    <w:link w:val="47"/>
    <w:qFormat/>
    <w:uiPriority w:val="99"/>
    <w:rPr>
      <w:rFonts w:hAnsi="宋体" w:cs="宋体"/>
      <w:sz w:val="16"/>
    </w:rPr>
  </w:style>
  <w:style w:type="character" w:customStyle="1" w:styleId="108">
    <w:name w:val="正文文本 2 Char3"/>
    <w:link w:val="50"/>
    <w:qFormat/>
    <w:uiPriority w:val="0"/>
    <w:rPr>
      <w:rFonts w:hAnsi="宋体" w:cs="宋体"/>
      <w:sz w:val="24"/>
    </w:rPr>
  </w:style>
  <w:style w:type="character" w:customStyle="1" w:styleId="109">
    <w:name w:val="信息标题 Char"/>
    <w:link w:val="52"/>
    <w:qFormat/>
    <w:uiPriority w:val="0"/>
    <w:rPr>
      <w:rFonts w:ascii="Arial" w:hAnsi="Arial" w:cs="Arial"/>
      <w:kern w:val="2"/>
      <w:sz w:val="24"/>
      <w:szCs w:val="24"/>
      <w:shd w:val="pct20" w:color="auto" w:fill="auto"/>
    </w:rPr>
  </w:style>
  <w:style w:type="character" w:customStyle="1" w:styleId="110">
    <w:name w:val="HTML 预设格式 Char4"/>
    <w:link w:val="53"/>
    <w:qFormat/>
    <w:uiPriority w:val="99"/>
    <w:rPr>
      <w:rFonts w:ascii="Arial" w:hAnsi="宋体" w:cs="宋体"/>
      <w:sz w:val="24"/>
    </w:rPr>
  </w:style>
  <w:style w:type="character" w:customStyle="1" w:styleId="111">
    <w:name w:val="标题 Char4"/>
    <w:link w:val="57"/>
    <w:qFormat/>
    <w:uiPriority w:val="10"/>
    <w:rPr>
      <w:rFonts w:ascii="Cambria" w:hAnsi="Cambria"/>
      <w:b/>
      <w:bCs/>
      <w:kern w:val="2"/>
      <w:sz w:val="32"/>
      <w:szCs w:val="32"/>
      <w:lang w:bidi="ar-SA"/>
    </w:rPr>
  </w:style>
  <w:style w:type="character" w:customStyle="1" w:styleId="112">
    <w:name w:val="批注主题 Char5"/>
    <w:link w:val="58"/>
    <w:qFormat/>
    <w:uiPriority w:val="0"/>
    <w:rPr>
      <w:b/>
      <w:bCs/>
      <w:kern w:val="2"/>
      <w:sz w:val="21"/>
      <w:szCs w:val="24"/>
      <w:lang w:bidi="ar-SA"/>
    </w:rPr>
  </w:style>
  <w:style w:type="character" w:customStyle="1" w:styleId="113">
    <w:name w:val="正文首行缩进 Char3"/>
    <w:link w:val="59"/>
    <w:qFormat/>
    <w:uiPriority w:val="0"/>
    <w:rPr>
      <w:rFonts w:hAnsi="宋体" w:cs="宋体"/>
      <w:sz w:val="21"/>
      <w:lang w:val="en-US" w:eastAsia="zh-CN" w:bidi="ar-SA"/>
    </w:rPr>
  </w:style>
  <w:style w:type="character" w:customStyle="1" w:styleId="114">
    <w:name w:val="正文首行缩进 2 Char"/>
    <w:link w:val="60"/>
    <w:qFormat/>
    <w:uiPriority w:val="0"/>
    <w:rPr>
      <w:rFonts w:eastAsia="仿宋_GB2312"/>
      <w:kern w:val="2"/>
      <w:sz w:val="21"/>
      <w:szCs w:val="24"/>
    </w:rPr>
  </w:style>
  <w:style w:type="paragraph" w:customStyle="1" w:styleId="115">
    <w:name w:val="style4"/>
    <w:basedOn w:val="1"/>
    <w:next w:val="116"/>
    <w:qFormat/>
    <w:uiPriority w:val="0"/>
    <w:pPr>
      <w:widowControl/>
      <w:spacing w:before="280" w:after="280"/>
    </w:pPr>
    <w:rPr>
      <w:sz w:val="18"/>
    </w:rPr>
  </w:style>
  <w:style w:type="paragraph" w:customStyle="1" w:styleId="116">
    <w:name w:val="2"/>
    <w:next w:val="1"/>
    <w:qFormat/>
    <w:uiPriority w:val="0"/>
    <w:pPr>
      <w:widowControl w:val="0"/>
      <w:jc w:val="both"/>
    </w:pPr>
    <w:rPr>
      <w:rFonts w:ascii="Times New Roman" w:hAnsi="Times New Roman" w:eastAsia="宋体" w:cs="Times New Roman"/>
      <w:sz w:val="21"/>
      <w:szCs w:val="22"/>
      <w:lang w:val="en-US" w:eastAsia="zh-CN" w:bidi="ar-SA"/>
    </w:rPr>
  </w:style>
  <w:style w:type="character" w:customStyle="1" w:styleId="117">
    <w:name w:val="fontstyle01"/>
    <w:qFormat/>
    <w:uiPriority w:val="0"/>
    <w:rPr>
      <w:rFonts w:hint="eastAsia" w:ascii="方正仿宋_GBK" w:hAnsi="方正仿宋_GBK" w:eastAsia="方正仿宋_GBK" w:cs="方正仿宋_GBK"/>
      <w:color w:val="000000"/>
      <w:sz w:val="32"/>
      <w:szCs w:val="32"/>
    </w:rPr>
  </w:style>
  <w:style w:type="character" w:customStyle="1" w:styleId="118">
    <w:name w:val="font41"/>
    <w:qFormat/>
    <w:uiPriority w:val="0"/>
    <w:rPr>
      <w:rFonts w:hint="default" w:ascii="仿宋_GB2312" w:eastAsia="仿宋_GB2312" w:cs="仿宋_GB2312"/>
      <w:color w:val="000000"/>
      <w:sz w:val="21"/>
      <w:szCs w:val="21"/>
      <w:u w:val="none"/>
    </w:rPr>
  </w:style>
  <w:style w:type="character" w:customStyle="1" w:styleId="119">
    <w:name w:val="纯文本 字符1"/>
    <w:qFormat/>
    <w:uiPriority w:val="0"/>
    <w:rPr>
      <w:rFonts w:hint="eastAsia" w:ascii="等线" w:hAnsi="Courier New" w:eastAsia="等线" w:cs="Courier New"/>
      <w:kern w:val="2"/>
      <w:sz w:val="21"/>
      <w:szCs w:val="24"/>
    </w:rPr>
  </w:style>
  <w:style w:type="character" w:customStyle="1" w:styleId="120">
    <w:name w:val="副标题 Char3"/>
    <w:qFormat/>
    <w:uiPriority w:val="0"/>
    <w:rPr>
      <w:rFonts w:ascii="Cambria" w:hAnsi="Cambria"/>
      <w:b/>
      <w:bCs/>
      <w:kern w:val="28"/>
      <w:sz w:val="32"/>
      <w:szCs w:val="32"/>
    </w:rPr>
  </w:style>
  <w:style w:type="character" w:customStyle="1" w:styleId="121">
    <w:name w:val="标题 2 Char2"/>
    <w:qFormat/>
    <w:uiPriority w:val="0"/>
    <w:rPr>
      <w:rFonts w:ascii="Arial" w:hAnsi="Arial" w:eastAsia="黑体"/>
      <w:b/>
      <w:bCs/>
      <w:kern w:val="2"/>
      <w:sz w:val="32"/>
      <w:szCs w:val="32"/>
    </w:rPr>
  </w:style>
  <w:style w:type="character" w:customStyle="1" w:styleId="122">
    <w:name w:val="Char Char24"/>
    <w:qFormat/>
    <w:uiPriority w:val="0"/>
    <w:rPr>
      <w:rFonts w:eastAsia="宋体"/>
      <w:b/>
      <w:bCs/>
      <w:kern w:val="44"/>
      <w:sz w:val="32"/>
      <w:szCs w:val="44"/>
      <w:lang w:val="en-US" w:eastAsia="zh-CN" w:bidi="ar-SA"/>
    </w:rPr>
  </w:style>
  <w:style w:type="character" w:customStyle="1" w:styleId="123">
    <w:name w:val="页眉 Char1"/>
    <w:qFormat/>
    <w:uiPriority w:val="99"/>
    <w:rPr>
      <w:rFonts w:ascii="宋体"/>
      <w:sz w:val="18"/>
      <w:szCs w:val="18"/>
    </w:rPr>
  </w:style>
  <w:style w:type="character" w:customStyle="1" w:styleId="124">
    <w:name w:val="msointenseemphasis"/>
    <w:qFormat/>
    <w:uiPriority w:val="0"/>
    <w:rPr>
      <w:b/>
      <w:i/>
      <w:color w:val="4F81BD"/>
    </w:rPr>
  </w:style>
  <w:style w:type="character" w:customStyle="1" w:styleId="125">
    <w:name w:val="Comment Text Char"/>
    <w:qFormat/>
    <w:uiPriority w:val="0"/>
    <w:rPr>
      <w:rFonts w:cs="Times New Roman"/>
      <w:sz w:val="24"/>
      <w:szCs w:val="24"/>
    </w:rPr>
  </w:style>
  <w:style w:type="character" w:customStyle="1" w:styleId="126">
    <w:name w:val="明显引用 Char"/>
    <w:qFormat/>
    <w:uiPriority w:val="0"/>
    <w:rPr>
      <w:b/>
      <w:bCs/>
      <w:i/>
      <w:iCs/>
      <w:color w:val="4F81BD"/>
      <w:lang w:bidi="ar-SA"/>
    </w:rPr>
  </w:style>
  <w:style w:type="character" w:customStyle="1" w:styleId="127">
    <w:name w:val="正文文本缩进 2 Char"/>
    <w:qFormat/>
    <w:uiPriority w:val="0"/>
    <w:rPr>
      <w:kern w:val="2"/>
      <w:sz w:val="21"/>
      <w:szCs w:val="24"/>
      <w:lang w:bidi="ar-SA"/>
    </w:rPr>
  </w:style>
  <w:style w:type="character" w:customStyle="1" w:styleId="128">
    <w:name w:val="正文文本 2 Char1"/>
    <w:qFormat/>
    <w:uiPriority w:val="0"/>
    <w:rPr>
      <w:rFonts w:ascii="宋体"/>
      <w:sz w:val="24"/>
    </w:rPr>
  </w:style>
  <w:style w:type="character" w:customStyle="1" w:styleId="129">
    <w:name w:val="脚注文本 Char1"/>
    <w:qFormat/>
    <w:uiPriority w:val="0"/>
    <w:rPr>
      <w:sz w:val="18"/>
    </w:rPr>
  </w:style>
  <w:style w:type="character" w:customStyle="1" w:styleId="130">
    <w:name w:val="页脚 Char1"/>
    <w:qFormat/>
    <w:uiPriority w:val="99"/>
    <w:rPr>
      <w:rFonts w:ascii="宋体"/>
      <w:sz w:val="18"/>
      <w:szCs w:val="18"/>
    </w:rPr>
  </w:style>
  <w:style w:type="character" w:customStyle="1" w:styleId="131">
    <w:name w:val="标题 4 Char1"/>
    <w:qFormat/>
    <w:uiPriority w:val="0"/>
    <w:rPr>
      <w:rFonts w:ascii="Arial" w:hAnsi="Arial" w:eastAsia="黑体"/>
      <w:b/>
      <w:bCs/>
      <w:kern w:val="2"/>
      <w:sz w:val="28"/>
      <w:szCs w:val="28"/>
      <w:lang w:bidi="ar-SA"/>
    </w:rPr>
  </w:style>
  <w:style w:type="character" w:customStyle="1" w:styleId="132">
    <w:name w:val="标题 Char2"/>
    <w:qFormat/>
    <w:uiPriority w:val="0"/>
    <w:rPr>
      <w:rFonts w:ascii="Cambria" w:hAnsi="Cambria" w:eastAsia="宋体" w:cs="Times New Roman"/>
      <w:b/>
      <w:bCs/>
      <w:sz w:val="32"/>
      <w:szCs w:val="32"/>
    </w:rPr>
  </w:style>
  <w:style w:type="character" w:customStyle="1" w:styleId="133">
    <w:name w:val="引用 Char"/>
    <w:qFormat/>
    <w:uiPriority w:val="0"/>
    <w:rPr>
      <w:i/>
      <w:iCs/>
      <w:color w:val="000000"/>
      <w:lang w:bidi="ar-SA"/>
    </w:rPr>
  </w:style>
  <w:style w:type="character" w:customStyle="1" w:styleId="134">
    <w:name w:val="标题 Char3"/>
    <w:qFormat/>
    <w:uiPriority w:val="0"/>
    <w:rPr>
      <w:rFonts w:ascii="Cambria" w:hAnsi="Cambria"/>
      <w:b/>
      <w:bCs/>
      <w:kern w:val="2"/>
      <w:sz w:val="32"/>
      <w:szCs w:val="32"/>
    </w:rPr>
  </w:style>
  <w:style w:type="character" w:customStyle="1" w:styleId="135">
    <w:name w:val="尾注文本 字符1"/>
    <w:qFormat/>
    <w:uiPriority w:val="0"/>
    <w:rPr>
      <w:kern w:val="2"/>
      <w:sz w:val="21"/>
      <w:szCs w:val="24"/>
    </w:rPr>
  </w:style>
  <w:style w:type="character" w:customStyle="1" w:styleId="136">
    <w:name w:val="标题 Char1"/>
    <w:qFormat/>
    <w:uiPriority w:val="10"/>
    <w:rPr>
      <w:rFonts w:ascii="Cambria" w:hAnsi="Cambria" w:eastAsia="宋体" w:cs="Times New Roman"/>
      <w:b/>
      <w:bCs/>
      <w:sz w:val="32"/>
      <w:szCs w:val="32"/>
    </w:rPr>
  </w:style>
  <w:style w:type="character" w:customStyle="1" w:styleId="137">
    <w:name w:val="apple-converted-space"/>
    <w:qFormat/>
    <w:uiPriority w:val="0"/>
    <w:rPr>
      <w:sz w:val="20"/>
    </w:rPr>
  </w:style>
  <w:style w:type="character" w:customStyle="1" w:styleId="138">
    <w:name w:val="标题 7 Char1"/>
    <w:qFormat/>
    <w:uiPriority w:val="0"/>
    <w:rPr>
      <w:rFonts w:ascii="Calibri" w:hAnsi="Calibri" w:eastAsia="宋体"/>
      <w:b/>
      <w:bCs/>
      <w:kern w:val="2"/>
      <w:sz w:val="24"/>
      <w:szCs w:val="24"/>
      <w:lang w:val="en-US" w:eastAsia="zh-CN" w:bidi="ar-SA"/>
    </w:rPr>
  </w:style>
  <w:style w:type="character" w:customStyle="1" w:styleId="139">
    <w:name w:val="文档结构图 Char"/>
    <w:qFormat/>
    <w:uiPriority w:val="0"/>
    <w:rPr>
      <w:kern w:val="2"/>
      <w:sz w:val="21"/>
      <w:szCs w:val="24"/>
      <w:shd w:val="clear" w:color="auto" w:fill="000080"/>
      <w:lang w:bidi="ar-SA"/>
    </w:rPr>
  </w:style>
  <w:style w:type="character" w:customStyle="1" w:styleId="140">
    <w:name w:val="标题 9 Char"/>
    <w:qFormat/>
    <w:uiPriority w:val="0"/>
    <w:rPr>
      <w:rFonts w:ascii="Cambria" w:hAnsi="Cambria"/>
      <w:kern w:val="2"/>
      <w:sz w:val="21"/>
      <w:szCs w:val="21"/>
    </w:rPr>
  </w:style>
  <w:style w:type="character" w:customStyle="1" w:styleId="141">
    <w:name w:val="bigfont"/>
    <w:qFormat/>
    <w:uiPriority w:val="0"/>
    <w:rPr>
      <w:sz w:val="20"/>
    </w:rPr>
  </w:style>
  <w:style w:type="character" w:customStyle="1" w:styleId="142">
    <w:name w:val="标题 5 Char1"/>
    <w:qFormat/>
    <w:uiPriority w:val="0"/>
    <w:rPr>
      <w:rFonts w:eastAsia="宋体"/>
      <w:b/>
      <w:bCs/>
      <w:kern w:val="2"/>
      <w:sz w:val="28"/>
      <w:szCs w:val="28"/>
      <w:lang w:bidi="ar-SA"/>
    </w:rPr>
  </w:style>
  <w:style w:type="character" w:customStyle="1" w:styleId="143">
    <w:name w:val="正文文本 3 Char"/>
    <w:qFormat/>
    <w:uiPriority w:val="0"/>
    <w:rPr>
      <w:rFonts w:hAnsi="宋体" w:cs="宋体"/>
      <w:color w:val="000000"/>
      <w:sz w:val="24"/>
    </w:rPr>
  </w:style>
  <w:style w:type="character" w:customStyle="1" w:styleId="144">
    <w:name w:val="正文文本缩进 3 字符1"/>
    <w:qFormat/>
    <w:uiPriority w:val="0"/>
    <w:rPr>
      <w:kern w:val="2"/>
      <w:sz w:val="16"/>
      <w:szCs w:val="16"/>
    </w:rPr>
  </w:style>
  <w:style w:type="character" w:customStyle="1" w:styleId="145">
    <w:name w:val="样式 新宋体 小四"/>
    <w:qFormat/>
    <w:uiPriority w:val="0"/>
    <w:rPr>
      <w:rFonts w:ascii="新宋体" w:hAnsi="新宋体" w:eastAsia="宋体"/>
      <w:sz w:val="21"/>
    </w:rPr>
  </w:style>
  <w:style w:type="character" w:customStyle="1" w:styleId="146">
    <w:name w:val="批注文字 字符1"/>
    <w:qFormat/>
    <w:uiPriority w:val="0"/>
    <w:rPr>
      <w:kern w:val="2"/>
      <w:sz w:val="21"/>
      <w:szCs w:val="24"/>
    </w:rPr>
  </w:style>
  <w:style w:type="character" w:customStyle="1" w:styleId="147">
    <w:name w:val="无间隔 Char"/>
    <w:link w:val="148"/>
    <w:qFormat/>
    <w:uiPriority w:val="0"/>
    <w:rPr>
      <w:kern w:val="2"/>
      <w:sz w:val="21"/>
      <w:szCs w:val="24"/>
      <w:lang w:val="en-US" w:eastAsia="zh-CN" w:bidi="ar-SA"/>
    </w:rPr>
  </w:style>
  <w:style w:type="paragraph" w:styleId="148">
    <w:name w:val="No Spacing"/>
    <w:link w:val="147"/>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49">
    <w:name w:val="样式14 Char"/>
    <w:qFormat/>
    <w:uiPriority w:val="0"/>
    <w:rPr>
      <w:sz w:val="20"/>
    </w:rPr>
  </w:style>
  <w:style w:type="character" w:customStyle="1" w:styleId="150">
    <w:name w:val="正文文本首行缩进 字符1"/>
    <w:qFormat/>
    <w:uiPriority w:val="0"/>
    <w:rPr>
      <w:kern w:val="2"/>
      <w:sz w:val="21"/>
      <w:szCs w:val="24"/>
    </w:rPr>
  </w:style>
  <w:style w:type="character" w:customStyle="1" w:styleId="151">
    <w:name w:val="页脚 Char Char"/>
    <w:qFormat/>
    <w:uiPriority w:val="0"/>
    <w:rPr>
      <w:rFonts w:hint="eastAsia" w:ascii="宋体" w:hAnsi="宋体" w:eastAsia="宋体" w:cs="宋体"/>
      <w:kern w:val="2"/>
      <w:sz w:val="18"/>
      <w:szCs w:val="24"/>
      <w:lang w:val="en-US" w:eastAsia="zh-CN"/>
    </w:rPr>
  </w:style>
  <w:style w:type="character" w:customStyle="1" w:styleId="152">
    <w:name w:val="样式 Char"/>
    <w:link w:val="153"/>
    <w:qFormat/>
    <w:locked/>
    <w:uiPriority w:val="0"/>
    <w:rPr>
      <w:rFonts w:ascii="宋体" w:hAnsi="宋体" w:cs="宋体"/>
      <w:sz w:val="24"/>
      <w:szCs w:val="24"/>
      <w:lang w:val="en-US" w:eastAsia="zh-CN" w:bidi="ar-SA"/>
    </w:rPr>
  </w:style>
  <w:style w:type="paragraph" w:customStyle="1" w:styleId="153">
    <w:name w:val="样式"/>
    <w:link w:val="152"/>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54">
    <w:name w:val="纯文本 Char2"/>
    <w:qFormat/>
    <w:locked/>
    <w:uiPriority w:val="0"/>
    <w:rPr>
      <w:rFonts w:ascii="宋体" w:hAnsi="Courier New"/>
      <w:kern w:val="2"/>
    </w:rPr>
  </w:style>
  <w:style w:type="character" w:customStyle="1" w:styleId="155">
    <w:name w:val="Heading 2 Char"/>
    <w:qFormat/>
    <w:uiPriority w:val="0"/>
    <w:rPr>
      <w:rFonts w:ascii="Arial" w:hAnsi="Arial" w:eastAsia="黑体"/>
      <w:b/>
      <w:bCs/>
      <w:kern w:val="2"/>
      <w:sz w:val="32"/>
      <w:szCs w:val="32"/>
      <w:lang w:val="en-US" w:eastAsia="zh-CN" w:bidi="ar-SA"/>
    </w:rPr>
  </w:style>
  <w:style w:type="character" w:customStyle="1" w:styleId="156">
    <w:name w:val="Body Text Indent Char"/>
    <w:qFormat/>
    <w:uiPriority w:val="0"/>
    <w:rPr>
      <w:rFonts w:ascii="宋体" w:hAnsi="宋体" w:eastAsia="宋体"/>
      <w:kern w:val="2"/>
      <w:sz w:val="21"/>
      <w:lang w:val="en-US" w:eastAsia="zh-CN" w:bidi="ar-SA"/>
    </w:rPr>
  </w:style>
  <w:style w:type="character" w:customStyle="1" w:styleId="157">
    <w:name w:val="Heading 3 Char1"/>
    <w:qFormat/>
    <w:uiPriority w:val="0"/>
    <w:rPr>
      <w:rFonts w:eastAsia="宋体"/>
      <w:b/>
      <w:bCs/>
      <w:kern w:val="2"/>
      <w:sz w:val="24"/>
      <w:szCs w:val="32"/>
      <w:lang w:val="en-US" w:eastAsia="zh-CN" w:bidi="ar-SA"/>
    </w:rPr>
  </w:style>
  <w:style w:type="character" w:customStyle="1" w:styleId="158">
    <w:name w:val="正文文本缩进 Char1"/>
    <w:qFormat/>
    <w:uiPriority w:val="0"/>
    <w:rPr>
      <w:rFonts w:eastAsia="仿宋_GB2312"/>
      <w:kern w:val="2"/>
      <w:sz w:val="25"/>
      <w:szCs w:val="24"/>
    </w:rPr>
  </w:style>
  <w:style w:type="character" w:customStyle="1" w:styleId="159">
    <w:name w:val="宏文本 字符1"/>
    <w:qFormat/>
    <w:uiPriority w:val="0"/>
    <w:rPr>
      <w:rFonts w:ascii="Courier New" w:hAnsi="Courier New" w:cs="Courier New"/>
      <w:kern w:val="2"/>
      <w:sz w:val="24"/>
      <w:szCs w:val="24"/>
    </w:rPr>
  </w:style>
  <w:style w:type="character" w:customStyle="1" w:styleId="160">
    <w:name w:val="Char Char2"/>
    <w:qFormat/>
    <w:uiPriority w:val="0"/>
    <w:rPr>
      <w:sz w:val="20"/>
    </w:rPr>
  </w:style>
  <w:style w:type="character" w:customStyle="1" w:styleId="161">
    <w:name w:val="标题 4 Char2"/>
    <w:qFormat/>
    <w:uiPriority w:val="0"/>
    <w:rPr>
      <w:rFonts w:ascii="Cambria" w:hAnsi="Cambria" w:eastAsia="宋体" w:cs="Times New Roman"/>
      <w:b/>
      <w:bCs/>
      <w:kern w:val="2"/>
      <w:sz w:val="28"/>
      <w:szCs w:val="28"/>
    </w:rPr>
  </w:style>
  <w:style w:type="character" w:customStyle="1" w:styleId="162">
    <w:name w:val="超链接_0"/>
    <w:qFormat/>
    <w:uiPriority w:val="99"/>
    <w:rPr>
      <w:rFonts w:ascii="Calibri" w:hAnsi="Calibri" w:cs="Times New Roman"/>
      <w:color w:val="0000FF"/>
      <w:u w:val="single"/>
    </w:rPr>
  </w:style>
  <w:style w:type="character" w:customStyle="1" w:styleId="163">
    <w:name w:val="批注文字 Char1"/>
    <w:qFormat/>
    <w:uiPriority w:val="0"/>
    <w:rPr>
      <w:rFonts w:ascii="Times New Roman" w:hAnsi="Times New Roman" w:eastAsia="宋体" w:cs="Times New Roman"/>
      <w:szCs w:val="24"/>
    </w:rPr>
  </w:style>
  <w:style w:type="character" w:customStyle="1" w:styleId="164">
    <w:name w:val="Heading 5 Char"/>
    <w:qFormat/>
    <w:uiPriority w:val="0"/>
    <w:rPr>
      <w:rFonts w:eastAsia="宋体"/>
      <w:b/>
      <w:bCs/>
      <w:kern w:val="2"/>
      <w:sz w:val="28"/>
      <w:szCs w:val="28"/>
      <w:lang w:val="en-US" w:eastAsia="zh-CN" w:bidi="ar-SA"/>
    </w:rPr>
  </w:style>
  <w:style w:type="character" w:customStyle="1" w:styleId="165">
    <w:name w:val="标题1"/>
    <w:qFormat/>
    <w:uiPriority w:val="0"/>
  </w:style>
  <w:style w:type="character" w:customStyle="1" w:styleId="166">
    <w:name w:val="标题 6 Char2"/>
    <w:qFormat/>
    <w:uiPriority w:val="0"/>
    <w:rPr>
      <w:rFonts w:ascii="Cambria" w:hAnsi="Cambria" w:eastAsia="宋体"/>
      <w:b/>
      <w:bCs/>
      <w:kern w:val="2"/>
      <w:sz w:val="24"/>
      <w:szCs w:val="24"/>
    </w:rPr>
  </w:style>
  <w:style w:type="character" w:customStyle="1" w:styleId="167">
    <w:name w:val="标题 7 Char"/>
    <w:qFormat/>
    <w:uiPriority w:val="0"/>
    <w:rPr>
      <w:rFonts w:ascii="Calibri" w:hAnsi="Calibri"/>
      <w:b/>
      <w:bCs/>
      <w:kern w:val="2"/>
      <w:sz w:val="24"/>
      <w:szCs w:val="24"/>
    </w:rPr>
  </w:style>
  <w:style w:type="character" w:customStyle="1" w:styleId="168">
    <w:name w:val="引用 Char2"/>
    <w:qFormat/>
    <w:uiPriority w:val="0"/>
    <w:rPr>
      <w:rFonts w:eastAsia="宋体"/>
      <w:i/>
      <w:iCs/>
      <w:color w:val="000000"/>
      <w:kern w:val="2"/>
      <w:sz w:val="21"/>
      <w:szCs w:val="24"/>
    </w:rPr>
  </w:style>
  <w:style w:type="character" w:customStyle="1" w:styleId="169">
    <w:name w:val="Char Char7"/>
    <w:qFormat/>
    <w:uiPriority w:val="0"/>
    <w:rPr>
      <w:sz w:val="20"/>
    </w:rPr>
  </w:style>
  <w:style w:type="character" w:customStyle="1" w:styleId="170">
    <w:name w:val="font31"/>
    <w:qFormat/>
    <w:uiPriority w:val="0"/>
    <w:rPr>
      <w:rFonts w:hint="default" w:ascii="仿宋_GB2312" w:eastAsia="仿宋_GB2312" w:cs="仿宋_GB2312"/>
      <w:color w:val="000000"/>
      <w:sz w:val="21"/>
      <w:szCs w:val="21"/>
      <w:u w:val="none"/>
    </w:rPr>
  </w:style>
  <w:style w:type="character" w:customStyle="1" w:styleId="171">
    <w:name w:val="Char Char13"/>
    <w:qFormat/>
    <w:uiPriority w:val="0"/>
    <w:rPr>
      <w:b/>
      <w:sz w:val="20"/>
    </w:rPr>
  </w:style>
  <w:style w:type="character" w:customStyle="1" w:styleId="172">
    <w:name w:val="文档结构图 Char3"/>
    <w:qFormat/>
    <w:uiPriority w:val="0"/>
    <w:rPr>
      <w:kern w:val="2"/>
      <w:sz w:val="21"/>
      <w:szCs w:val="24"/>
      <w:shd w:val="clear" w:color="auto" w:fill="000080"/>
    </w:rPr>
  </w:style>
  <w:style w:type="character" w:customStyle="1" w:styleId="173">
    <w:name w:val="HTML 预设格式 Char1"/>
    <w:qFormat/>
    <w:uiPriority w:val="0"/>
    <w:rPr>
      <w:rFonts w:ascii="Arial" w:hAnsi="宋体" w:cs="宋体"/>
      <w:sz w:val="24"/>
    </w:rPr>
  </w:style>
  <w:style w:type="character" w:customStyle="1" w:styleId="174">
    <w:name w:val="正文文本 Char1"/>
    <w:qFormat/>
    <w:uiPriority w:val="99"/>
    <w:rPr>
      <w:kern w:val="2"/>
      <w:sz w:val="21"/>
      <w:szCs w:val="22"/>
    </w:rPr>
  </w:style>
  <w:style w:type="character" w:customStyle="1" w:styleId="175">
    <w:name w:val="批注主题 Char3"/>
    <w:qFormat/>
    <w:uiPriority w:val="99"/>
    <w:rPr>
      <w:rFonts w:eastAsia="宋体"/>
      <w:b/>
      <w:bCs/>
      <w:kern w:val="2"/>
      <w:sz w:val="21"/>
      <w:szCs w:val="24"/>
    </w:rPr>
  </w:style>
  <w:style w:type="character" w:customStyle="1" w:styleId="176">
    <w:name w:val="Comment Subject Char"/>
    <w:qFormat/>
    <w:uiPriority w:val="0"/>
    <w:rPr>
      <w:b/>
      <w:sz w:val="24"/>
      <w:lang w:bidi="ar-SA"/>
    </w:rPr>
  </w:style>
  <w:style w:type="character" w:customStyle="1" w:styleId="177">
    <w:name w:val="正文文本 Char3"/>
    <w:qFormat/>
    <w:uiPriority w:val="0"/>
    <w:rPr>
      <w:kern w:val="2"/>
      <w:sz w:val="21"/>
      <w:szCs w:val="24"/>
    </w:rPr>
  </w:style>
  <w:style w:type="character" w:customStyle="1" w:styleId="178">
    <w:name w:val="Char Char8"/>
    <w:qFormat/>
    <w:uiPriority w:val="0"/>
    <w:rPr>
      <w:sz w:val="20"/>
    </w:rPr>
  </w:style>
  <w:style w:type="character" w:customStyle="1" w:styleId="179">
    <w:name w:val="正文文本缩进 3 Char"/>
    <w:qFormat/>
    <w:uiPriority w:val="0"/>
    <w:rPr>
      <w:rFonts w:hAnsi="宋体" w:cs="宋体"/>
      <w:sz w:val="16"/>
    </w:rPr>
  </w:style>
  <w:style w:type="character" w:customStyle="1" w:styleId="180">
    <w:name w:val="Char Char10"/>
    <w:qFormat/>
    <w:uiPriority w:val="0"/>
    <w:rPr>
      <w:sz w:val="20"/>
    </w:rPr>
  </w:style>
  <w:style w:type="character" w:customStyle="1" w:styleId="181">
    <w:name w:val="正文文本首行缩进 字符"/>
    <w:qFormat/>
    <w:uiPriority w:val="0"/>
    <w:rPr>
      <w:rFonts w:hint="eastAsia" w:ascii="仿宋_GB2312" w:eastAsia="仿宋_GB2312" w:cs="仿宋_GB2312"/>
      <w:kern w:val="2"/>
      <w:sz w:val="21"/>
      <w:szCs w:val="24"/>
    </w:rPr>
  </w:style>
  <w:style w:type="character" w:customStyle="1" w:styleId="182">
    <w:name w:val="Char Char20"/>
    <w:qFormat/>
    <w:uiPriority w:val="0"/>
    <w:rPr>
      <w:rFonts w:ascii="Times New Roman" w:hAnsi="Times New Roman" w:eastAsia="宋体" w:cs="Times New Roman"/>
      <w:b/>
      <w:bCs/>
      <w:sz w:val="24"/>
      <w:szCs w:val="32"/>
    </w:rPr>
  </w:style>
  <w:style w:type="character" w:customStyle="1" w:styleId="183">
    <w:name w:val="副标题 Char2"/>
    <w:qFormat/>
    <w:uiPriority w:val="0"/>
    <w:rPr>
      <w:rFonts w:ascii="Cambria" w:hAnsi="Cambria" w:eastAsia="宋体" w:cs="Times New Roman"/>
      <w:b/>
      <w:bCs/>
      <w:kern w:val="28"/>
      <w:sz w:val="32"/>
      <w:szCs w:val="32"/>
    </w:rPr>
  </w:style>
  <w:style w:type="character" w:customStyle="1" w:styleId="184">
    <w:name w:val="font131"/>
    <w:qFormat/>
    <w:uiPriority w:val="0"/>
    <w:rPr>
      <w:rFonts w:ascii="仿宋" w:hAnsi="仿宋" w:eastAsia="仿宋" w:cs="仿宋"/>
      <w:color w:val="000000"/>
      <w:sz w:val="21"/>
      <w:szCs w:val="21"/>
      <w:u w:val="none"/>
    </w:rPr>
  </w:style>
  <w:style w:type="character" w:customStyle="1" w:styleId="185">
    <w:name w:val="副标题 Char"/>
    <w:qFormat/>
    <w:uiPriority w:val="0"/>
    <w:rPr>
      <w:rFonts w:ascii="Cambria" w:hAnsi="Cambria"/>
      <w:b/>
      <w:bCs/>
      <w:kern w:val="28"/>
      <w:sz w:val="32"/>
      <w:szCs w:val="32"/>
    </w:rPr>
  </w:style>
  <w:style w:type="character" w:customStyle="1" w:styleId="186">
    <w:name w:val="标题 7 Char2"/>
    <w:qFormat/>
    <w:uiPriority w:val="0"/>
    <w:rPr>
      <w:rFonts w:ascii="Calibri" w:hAnsi="Calibri" w:eastAsia="宋体"/>
      <w:b/>
      <w:bCs/>
      <w:kern w:val="2"/>
      <w:sz w:val="24"/>
      <w:szCs w:val="24"/>
    </w:rPr>
  </w:style>
  <w:style w:type="character" w:customStyle="1" w:styleId="187">
    <w:name w:val="标题 5 Char"/>
    <w:qFormat/>
    <w:uiPriority w:val="9"/>
    <w:rPr>
      <w:rFonts w:eastAsia="宋体"/>
      <w:b/>
      <w:bCs/>
      <w:kern w:val="2"/>
      <w:sz w:val="28"/>
      <w:szCs w:val="28"/>
      <w:lang w:val="en-US" w:eastAsia="zh-CN" w:bidi="ar-SA"/>
    </w:rPr>
  </w:style>
  <w:style w:type="character" w:customStyle="1" w:styleId="188">
    <w:name w:val="Char Char5"/>
    <w:qFormat/>
    <w:uiPriority w:val="0"/>
    <w:rPr>
      <w:sz w:val="20"/>
    </w:rPr>
  </w:style>
  <w:style w:type="character" w:customStyle="1" w:styleId="189">
    <w:name w:val="Char Char Char Char Char Char"/>
    <w:qFormat/>
    <w:uiPriority w:val="0"/>
    <w:rPr>
      <w:sz w:val="20"/>
    </w:rPr>
  </w:style>
  <w:style w:type="character" w:customStyle="1" w:styleId="190">
    <w:name w:val="页眉 Char"/>
    <w:qFormat/>
    <w:uiPriority w:val="99"/>
    <w:rPr>
      <w:kern w:val="2"/>
      <w:sz w:val="18"/>
      <w:szCs w:val="18"/>
      <w:lang w:bidi="ar-SA"/>
    </w:rPr>
  </w:style>
  <w:style w:type="character" w:customStyle="1" w:styleId="191">
    <w:name w:val="Char Char91"/>
    <w:qFormat/>
    <w:uiPriority w:val="0"/>
    <w:rPr>
      <w:rFonts w:eastAsia="宋体"/>
      <w:b/>
      <w:bCs/>
      <w:kern w:val="44"/>
      <w:sz w:val="32"/>
      <w:szCs w:val="44"/>
      <w:lang w:val="en-US" w:eastAsia="zh-CN" w:bidi="ar-SA"/>
    </w:rPr>
  </w:style>
  <w:style w:type="character" w:customStyle="1" w:styleId="192">
    <w:name w:val="尾注文本 Char"/>
    <w:qFormat/>
    <w:uiPriority w:val="0"/>
    <w:rPr>
      <w:kern w:val="2"/>
      <w:sz w:val="21"/>
      <w:szCs w:val="24"/>
    </w:rPr>
  </w:style>
  <w:style w:type="character" w:customStyle="1" w:styleId="193">
    <w:name w:val="正文文本缩进 Char"/>
    <w:qFormat/>
    <w:uiPriority w:val="0"/>
    <w:rPr>
      <w:rFonts w:ascii="宋体" w:hAnsi="宋体"/>
      <w:kern w:val="2"/>
      <w:sz w:val="21"/>
      <w:lang w:bidi="ar-SA"/>
    </w:rPr>
  </w:style>
  <w:style w:type="character" w:customStyle="1" w:styleId="194">
    <w:name w:val="副标题 字符1"/>
    <w:qFormat/>
    <w:uiPriority w:val="0"/>
    <w:rPr>
      <w:rFonts w:ascii="等线" w:hAnsi="等线" w:eastAsia="等线" w:cs="Times New Roman"/>
      <w:b/>
      <w:kern w:val="28"/>
      <w:sz w:val="32"/>
      <w:szCs w:val="32"/>
    </w:rPr>
  </w:style>
  <w:style w:type="character" w:customStyle="1" w:styleId="195">
    <w:name w:val="文档结构图 Char2"/>
    <w:qFormat/>
    <w:uiPriority w:val="0"/>
    <w:rPr>
      <w:rFonts w:ascii="宋体" w:eastAsia="宋体"/>
      <w:kern w:val="2"/>
      <w:sz w:val="18"/>
      <w:szCs w:val="18"/>
    </w:rPr>
  </w:style>
  <w:style w:type="character" w:customStyle="1" w:styleId="196">
    <w:name w:val="正文B Char"/>
    <w:link w:val="197"/>
    <w:qFormat/>
    <w:uiPriority w:val="0"/>
    <w:rPr>
      <w:rFonts w:eastAsia="楷体_GB2312"/>
      <w:spacing w:val="8"/>
      <w:sz w:val="28"/>
    </w:rPr>
  </w:style>
  <w:style w:type="paragraph" w:customStyle="1" w:styleId="197">
    <w:name w:val="正文B"/>
    <w:basedOn w:val="1"/>
    <w:link w:val="196"/>
    <w:qFormat/>
    <w:uiPriority w:val="0"/>
    <w:pPr>
      <w:adjustRightInd w:val="0"/>
      <w:spacing w:line="390" w:lineRule="exact"/>
      <w:ind w:firstLine="601"/>
      <w:textAlignment w:val="baseline"/>
    </w:pPr>
    <w:rPr>
      <w:rFonts w:ascii="Times New Roman" w:hAnsi="Times New Roman" w:eastAsia="楷体_GB2312" w:cs="Times New Roman"/>
      <w:spacing w:val="8"/>
      <w:sz w:val="28"/>
    </w:rPr>
  </w:style>
  <w:style w:type="character" w:customStyle="1" w:styleId="198">
    <w:name w:val="页眉 字符1"/>
    <w:qFormat/>
    <w:uiPriority w:val="0"/>
    <w:rPr>
      <w:kern w:val="2"/>
      <w:sz w:val="18"/>
      <w:szCs w:val="18"/>
    </w:rPr>
  </w:style>
  <w:style w:type="character" w:customStyle="1" w:styleId="199">
    <w:name w:val="批注框文本 字符1"/>
    <w:qFormat/>
    <w:uiPriority w:val="0"/>
    <w:rPr>
      <w:kern w:val="2"/>
      <w:sz w:val="18"/>
      <w:szCs w:val="18"/>
    </w:rPr>
  </w:style>
  <w:style w:type="character" w:customStyle="1" w:styleId="200">
    <w:name w:val="批注主题 Char4"/>
    <w:qFormat/>
    <w:uiPriority w:val="0"/>
    <w:rPr>
      <w:rFonts w:ascii="宋体"/>
      <w:b/>
      <w:bCs/>
      <w:sz w:val="28"/>
    </w:rPr>
  </w:style>
  <w:style w:type="character" w:customStyle="1" w:styleId="201">
    <w:name w:val="正文文本 2 Char2"/>
    <w:qFormat/>
    <w:uiPriority w:val="0"/>
    <w:rPr>
      <w:rFonts w:ascii="宋体" w:hAnsi="宋体"/>
      <w:kern w:val="2"/>
      <w:szCs w:val="24"/>
      <w:u w:val="single"/>
    </w:rPr>
  </w:style>
  <w:style w:type="character" w:customStyle="1" w:styleId="202">
    <w:name w:val="批注文字 Char"/>
    <w:qFormat/>
    <w:uiPriority w:val="0"/>
    <w:rPr>
      <w:kern w:val="2"/>
      <w:sz w:val="21"/>
      <w:szCs w:val="24"/>
    </w:rPr>
  </w:style>
  <w:style w:type="character" w:customStyle="1" w:styleId="203">
    <w:name w:val="称呼 Char"/>
    <w:qFormat/>
    <w:uiPriority w:val="0"/>
    <w:rPr>
      <w:rFonts w:hAnsi="宋体" w:cs="宋体"/>
      <w:sz w:val="30"/>
    </w:rPr>
  </w:style>
  <w:style w:type="character" w:customStyle="1" w:styleId="204">
    <w:name w:val="Date Char"/>
    <w:qFormat/>
    <w:uiPriority w:val="0"/>
    <w:rPr>
      <w:rFonts w:eastAsia="宋体"/>
      <w:kern w:val="2"/>
      <w:sz w:val="21"/>
      <w:szCs w:val="24"/>
      <w:lang w:val="en-US" w:eastAsia="zh-CN" w:bidi="ar-SA"/>
    </w:rPr>
  </w:style>
  <w:style w:type="character" w:customStyle="1" w:styleId="205">
    <w:name w:val="页眉 Char2"/>
    <w:qFormat/>
    <w:uiPriority w:val="0"/>
    <w:rPr>
      <w:kern w:val="2"/>
      <w:sz w:val="18"/>
      <w:szCs w:val="18"/>
    </w:rPr>
  </w:style>
  <w:style w:type="character" w:customStyle="1" w:styleId="206">
    <w:name w:val="签名 Char1"/>
    <w:qFormat/>
    <w:uiPriority w:val="0"/>
    <w:rPr>
      <w:rFonts w:ascii="宋体" w:hAnsi="宋体" w:cs="宋体"/>
      <w:sz w:val="24"/>
    </w:rPr>
  </w:style>
  <w:style w:type="character" w:customStyle="1" w:styleId="207">
    <w:name w:val="标题 6 Char1"/>
    <w:qFormat/>
    <w:uiPriority w:val="0"/>
    <w:rPr>
      <w:rFonts w:ascii="Cambria" w:hAnsi="Cambria" w:eastAsia="宋体"/>
      <w:b/>
      <w:bCs/>
      <w:kern w:val="2"/>
      <w:sz w:val="24"/>
      <w:szCs w:val="24"/>
      <w:lang w:val="en-US" w:eastAsia="zh-CN" w:bidi="ar-SA"/>
    </w:rPr>
  </w:style>
  <w:style w:type="character" w:customStyle="1" w:styleId="208">
    <w:name w:val="标题 8 Char2"/>
    <w:qFormat/>
    <w:uiPriority w:val="0"/>
    <w:rPr>
      <w:rFonts w:ascii="Cambria" w:hAnsi="Cambria" w:eastAsia="宋体"/>
      <w:kern w:val="2"/>
      <w:sz w:val="24"/>
      <w:szCs w:val="24"/>
    </w:rPr>
  </w:style>
  <w:style w:type="character" w:customStyle="1" w:styleId="209">
    <w:name w:val="样式 标题 3h3section:3Level 3 HeadH3level_3PIM 33rd level3H... Char Char"/>
    <w:qFormat/>
    <w:uiPriority w:val="0"/>
    <w:rPr>
      <w:b/>
      <w:sz w:val="20"/>
    </w:rPr>
  </w:style>
  <w:style w:type="character" w:customStyle="1" w:styleId="210">
    <w:name w:val="Char Char21"/>
    <w:qFormat/>
    <w:uiPriority w:val="0"/>
    <w:rPr>
      <w:rFonts w:ascii="Arial" w:hAnsi="Arial" w:eastAsia="黑体" w:cs="Times New Roman"/>
      <w:b/>
      <w:bCs/>
      <w:sz w:val="32"/>
      <w:szCs w:val="32"/>
    </w:rPr>
  </w:style>
  <w:style w:type="character" w:customStyle="1" w:styleId="211">
    <w:name w:val="批注文字 Char2"/>
    <w:qFormat/>
    <w:uiPriority w:val="0"/>
    <w:rPr>
      <w:rFonts w:eastAsia="宋体"/>
      <w:kern w:val="2"/>
      <w:sz w:val="21"/>
      <w:szCs w:val="24"/>
      <w:lang w:val="en-US" w:eastAsia="zh-CN" w:bidi="ar-SA"/>
    </w:rPr>
  </w:style>
  <w:style w:type="character" w:customStyle="1" w:styleId="212">
    <w:name w:val="font91"/>
    <w:qFormat/>
    <w:uiPriority w:val="0"/>
    <w:rPr>
      <w:rFonts w:hint="default" w:ascii="仿宋_GB2312" w:eastAsia="仿宋_GB2312" w:cs="仿宋_GB2312"/>
      <w:color w:val="000000"/>
      <w:sz w:val="21"/>
      <w:szCs w:val="21"/>
      <w:u w:val="none"/>
      <w:vertAlign w:val="superscript"/>
    </w:rPr>
  </w:style>
  <w:style w:type="character" w:customStyle="1" w:styleId="213">
    <w:name w:val="宏文本 Char1"/>
    <w:qFormat/>
    <w:uiPriority w:val="0"/>
    <w:rPr>
      <w:rFonts w:ascii="Courier New" w:hAnsi="Courier New" w:cs="Courier New"/>
      <w:sz w:val="24"/>
      <w:szCs w:val="24"/>
    </w:rPr>
  </w:style>
  <w:style w:type="character" w:customStyle="1" w:styleId="214">
    <w:name w:val="msointensereference"/>
    <w:qFormat/>
    <w:uiPriority w:val="0"/>
    <w:rPr>
      <w:b/>
      <w:smallCaps/>
      <w:color w:val="C0504D"/>
      <w:spacing w:val="5"/>
      <w:u w:val="single"/>
    </w:rPr>
  </w:style>
  <w:style w:type="character" w:customStyle="1" w:styleId="215">
    <w:name w:val="正文首行缩进 Char"/>
    <w:qFormat/>
    <w:uiPriority w:val="0"/>
    <w:rPr>
      <w:sz w:val="20"/>
    </w:rPr>
  </w:style>
  <w:style w:type="character" w:customStyle="1" w:styleId="216">
    <w:name w:val="newsbg1"/>
    <w:qFormat/>
    <w:uiPriority w:val="0"/>
    <w:rPr>
      <w:sz w:val="20"/>
    </w:rPr>
  </w:style>
  <w:style w:type="character" w:customStyle="1" w:styleId="217">
    <w:name w:val="方案文档 Char"/>
    <w:link w:val="218"/>
    <w:qFormat/>
    <w:uiPriority w:val="0"/>
    <w:rPr>
      <w:rFonts w:ascii="宋体" w:hAnsi="宋体"/>
      <w:sz w:val="24"/>
      <w:szCs w:val="24"/>
      <w:lang w:val="zh-CN"/>
    </w:rPr>
  </w:style>
  <w:style w:type="paragraph" w:customStyle="1" w:styleId="218">
    <w:name w:val="方案文档"/>
    <w:basedOn w:val="1"/>
    <w:link w:val="217"/>
    <w:qFormat/>
    <w:uiPriority w:val="0"/>
    <w:pPr>
      <w:spacing w:before="120" w:after="120" w:line="360" w:lineRule="auto"/>
      <w:ind w:right="32" w:firstLine="480"/>
    </w:pPr>
    <w:rPr>
      <w:rFonts w:cs="Times New Roman"/>
      <w:szCs w:val="24"/>
      <w:lang w:val="zh-CN"/>
    </w:rPr>
  </w:style>
  <w:style w:type="character" w:customStyle="1" w:styleId="219">
    <w:name w:val="ask-title2"/>
    <w:qFormat/>
    <w:uiPriority w:val="0"/>
  </w:style>
  <w:style w:type="character" w:customStyle="1" w:styleId="220">
    <w:name w:val="批注主题 字符1"/>
    <w:qFormat/>
    <w:uiPriority w:val="0"/>
    <w:rPr>
      <w:b/>
      <w:kern w:val="2"/>
      <w:sz w:val="21"/>
      <w:szCs w:val="24"/>
    </w:rPr>
  </w:style>
  <w:style w:type="character" w:customStyle="1" w:styleId="221">
    <w:name w:val="脚注文本 字符1"/>
    <w:qFormat/>
    <w:uiPriority w:val="0"/>
    <w:rPr>
      <w:kern w:val="2"/>
      <w:sz w:val="18"/>
      <w:szCs w:val="18"/>
    </w:rPr>
  </w:style>
  <w:style w:type="character" w:customStyle="1" w:styleId="222">
    <w:name w:val="正文文本首行缩进 2 字符"/>
    <w:qFormat/>
    <w:uiPriority w:val="0"/>
    <w:rPr>
      <w:rFonts w:hint="eastAsia" w:ascii="宋体" w:hAnsi="宋体" w:eastAsia="宋体" w:cs="宋体"/>
      <w:kern w:val="2"/>
      <w:sz w:val="21"/>
      <w:szCs w:val="24"/>
    </w:rPr>
  </w:style>
  <w:style w:type="character" w:customStyle="1" w:styleId="223">
    <w:name w:val="正文文本缩进 2 Char1"/>
    <w:qFormat/>
    <w:uiPriority w:val="0"/>
    <w:rPr>
      <w:kern w:val="2"/>
      <w:szCs w:val="24"/>
    </w:rPr>
  </w:style>
  <w:style w:type="character" w:customStyle="1" w:styleId="224">
    <w:name w:val="尾注文本 Char1"/>
    <w:qFormat/>
    <w:uiPriority w:val="0"/>
    <w:rPr>
      <w:kern w:val="2"/>
      <w:sz w:val="21"/>
      <w:szCs w:val="24"/>
    </w:rPr>
  </w:style>
  <w:style w:type="character" w:customStyle="1" w:styleId="225">
    <w:name w:val="样式12 Char"/>
    <w:qFormat/>
    <w:uiPriority w:val="0"/>
    <w:rPr>
      <w:sz w:val="20"/>
    </w:rPr>
  </w:style>
  <w:style w:type="character" w:customStyle="1" w:styleId="226">
    <w:name w:val="HTML 预设格式 字符1"/>
    <w:qFormat/>
    <w:uiPriority w:val="0"/>
    <w:rPr>
      <w:rFonts w:hint="default" w:ascii="Courier New" w:hAnsi="Courier New" w:cs="Courier New"/>
      <w:kern w:val="2"/>
    </w:rPr>
  </w:style>
  <w:style w:type="character" w:customStyle="1" w:styleId="227">
    <w:name w:val="apple-style-span"/>
    <w:qFormat/>
    <w:uiPriority w:val="0"/>
    <w:rPr>
      <w:rFonts w:cs="Times New Roman"/>
    </w:rPr>
  </w:style>
  <w:style w:type="character" w:customStyle="1" w:styleId="228">
    <w:name w:val="level1"/>
    <w:qFormat/>
    <w:uiPriority w:val="0"/>
    <w:rPr>
      <w:sz w:val="20"/>
    </w:rPr>
  </w:style>
  <w:style w:type="character" w:customStyle="1" w:styleId="229">
    <w:name w:val="msosubtleemphasis"/>
    <w:qFormat/>
    <w:uiPriority w:val="0"/>
    <w:rPr>
      <w:i/>
      <w:color w:val="808080"/>
    </w:rPr>
  </w:style>
  <w:style w:type="character" w:customStyle="1" w:styleId="230">
    <w:name w:val="title2"/>
    <w:qFormat/>
    <w:uiPriority w:val="0"/>
    <w:rPr>
      <w:b/>
      <w:color w:val="111111"/>
      <w:sz w:val="20"/>
      <w:u w:val="none"/>
    </w:rPr>
  </w:style>
  <w:style w:type="character" w:customStyle="1" w:styleId="231">
    <w:name w:val="文档结构图 字符1"/>
    <w:qFormat/>
    <w:uiPriority w:val="0"/>
    <w:rPr>
      <w:rFonts w:hint="eastAsia" w:ascii="Microsoft YaHei UI" w:hAnsi="Microsoft YaHei UI" w:eastAsia="Microsoft YaHei UI" w:cs="Microsoft YaHei UI"/>
      <w:kern w:val="2"/>
      <w:sz w:val="18"/>
      <w:szCs w:val="18"/>
    </w:rPr>
  </w:style>
  <w:style w:type="character" w:customStyle="1" w:styleId="232">
    <w:name w:val="H2 Char"/>
    <w:qFormat/>
    <w:uiPriority w:val="0"/>
    <w:rPr>
      <w:b/>
      <w:sz w:val="20"/>
    </w:rPr>
  </w:style>
  <w:style w:type="character" w:customStyle="1" w:styleId="233">
    <w:name w:val="样式 标题 3h3section:3Level 3 HeadH3level_3PIM 33rd level3H... Char"/>
    <w:qFormat/>
    <w:uiPriority w:val="0"/>
    <w:rPr>
      <w:b/>
      <w:sz w:val="20"/>
    </w:rPr>
  </w:style>
  <w:style w:type="character" w:customStyle="1" w:styleId="234">
    <w:name w:val="普通文字 Char"/>
    <w:qFormat/>
    <w:uiPriority w:val="0"/>
    <w:rPr>
      <w:sz w:val="20"/>
    </w:rPr>
  </w:style>
  <w:style w:type="character" w:customStyle="1" w:styleId="235">
    <w:name w:val="普通文字 Char2"/>
    <w:semiHidden/>
    <w:qFormat/>
    <w:uiPriority w:val="0"/>
    <w:rPr>
      <w:sz w:val="20"/>
    </w:rPr>
  </w:style>
  <w:style w:type="character" w:customStyle="1" w:styleId="236">
    <w:name w:val="标题 3 Char1"/>
    <w:qFormat/>
    <w:uiPriority w:val="0"/>
    <w:rPr>
      <w:rFonts w:ascii="Calibri" w:hAnsi="Calibri" w:eastAsia="宋体" w:cs="Arial"/>
      <w:b/>
      <w:kern w:val="0"/>
      <w:sz w:val="32"/>
      <w:szCs w:val="20"/>
    </w:rPr>
  </w:style>
  <w:style w:type="character" w:customStyle="1" w:styleId="237">
    <w:name w:val="明显引用 Char2"/>
    <w:qFormat/>
    <w:uiPriority w:val="0"/>
    <w:rPr>
      <w:rFonts w:eastAsia="宋体"/>
      <w:b/>
      <w:bCs/>
      <w:i/>
      <w:iCs/>
      <w:color w:val="4F81BD"/>
      <w:kern w:val="2"/>
      <w:sz w:val="21"/>
      <w:szCs w:val="24"/>
    </w:rPr>
  </w:style>
  <w:style w:type="character" w:customStyle="1" w:styleId="238">
    <w:name w:val="标题 2 Char1"/>
    <w:qFormat/>
    <w:uiPriority w:val="0"/>
    <w:rPr>
      <w:rFonts w:ascii="Arial" w:hAnsi="Arial" w:eastAsia="黑体" w:cs="Calibri"/>
      <w:b/>
      <w:kern w:val="0"/>
      <w:sz w:val="32"/>
      <w:szCs w:val="20"/>
    </w:rPr>
  </w:style>
  <w:style w:type="character" w:customStyle="1" w:styleId="239">
    <w:name w:val="Char Char14"/>
    <w:qFormat/>
    <w:uiPriority w:val="0"/>
    <w:rPr>
      <w:sz w:val="20"/>
    </w:rPr>
  </w:style>
  <w:style w:type="character" w:customStyle="1" w:styleId="240">
    <w:name w:val="样式11 Char"/>
    <w:qFormat/>
    <w:uiPriority w:val="0"/>
    <w:rPr>
      <w:sz w:val="20"/>
    </w:rPr>
  </w:style>
  <w:style w:type="character" w:customStyle="1" w:styleId="241">
    <w:name w:val="HTML 预设格式 Char"/>
    <w:qFormat/>
    <w:uiPriority w:val="0"/>
    <w:rPr>
      <w:sz w:val="20"/>
    </w:rPr>
  </w:style>
  <w:style w:type="character" w:customStyle="1" w:styleId="242">
    <w:name w:val="标题 2 Char"/>
    <w:qFormat/>
    <w:uiPriority w:val="9"/>
    <w:rPr>
      <w:rFonts w:ascii="Arial" w:hAnsi="Arial" w:eastAsia="黑体"/>
      <w:b/>
      <w:bCs/>
      <w:kern w:val="2"/>
      <w:sz w:val="21"/>
      <w:szCs w:val="32"/>
      <w:lang w:bidi="ar-SA"/>
    </w:rPr>
  </w:style>
  <w:style w:type="character" w:customStyle="1" w:styleId="243">
    <w:name w:val="正文首行缩进 2 Char1"/>
    <w:qFormat/>
    <w:uiPriority w:val="0"/>
    <w:rPr>
      <w:rFonts w:ascii="宋体" w:hAnsi="宋体"/>
      <w:kern w:val="2"/>
      <w:sz w:val="21"/>
      <w:szCs w:val="24"/>
      <w:lang w:bidi="ar-SA"/>
    </w:rPr>
  </w:style>
  <w:style w:type="character" w:customStyle="1" w:styleId="244">
    <w:name w:val="Comment Text Char1"/>
    <w:qFormat/>
    <w:uiPriority w:val="0"/>
    <w:rPr>
      <w:sz w:val="24"/>
      <w:lang w:bidi="ar-SA"/>
    </w:rPr>
  </w:style>
  <w:style w:type="character" w:customStyle="1" w:styleId="245">
    <w:name w:val="Footer Char"/>
    <w:qFormat/>
    <w:uiPriority w:val="0"/>
    <w:rPr>
      <w:rFonts w:eastAsia="宋体"/>
      <w:kern w:val="2"/>
      <w:sz w:val="18"/>
      <w:szCs w:val="18"/>
      <w:lang w:val="en-US" w:eastAsia="zh-CN" w:bidi="ar-SA"/>
    </w:rPr>
  </w:style>
  <w:style w:type="character" w:customStyle="1" w:styleId="246">
    <w:name w:val="页码1"/>
    <w:qFormat/>
    <w:uiPriority w:val="0"/>
  </w:style>
  <w:style w:type="character" w:customStyle="1" w:styleId="247">
    <w:name w:val="引用 字符1"/>
    <w:qFormat/>
    <w:uiPriority w:val="0"/>
    <w:rPr>
      <w:i/>
      <w:color w:val="404040"/>
      <w:kern w:val="2"/>
      <w:sz w:val="21"/>
      <w:szCs w:val="24"/>
    </w:rPr>
  </w:style>
  <w:style w:type="character" w:customStyle="1" w:styleId="248">
    <w:name w:val="Char Char15"/>
    <w:qFormat/>
    <w:uiPriority w:val="0"/>
    <w:rPr>
      <w:rFonts w:eastAsia="宋体"/>
      <w:kern w:val="2"/>
      <w:sz w:val="18"/>
      <w:szCs w:val="24"/>
      <w:lang w:val="en-US" w:eastAsia="zh-CN" w:bidi="ar-SA"/>
    </w:rPr>
  </w:style>
  <w:style w:type="character" w:customStyle="1" w:styleId="249">
    <w:name w:val="Balloon Text Char"/>
    <w:qFormat/>
    <w:uiPriority w:val="0"/>
    <w:rPr>
      <w:sz w:val="18"/>
      <w:lang w:bidi="ar-SA"/>
    </w:rPr>
  </w:style>
  <w:style w:type="character" w:customStyle="1" w:styleId="250">
    <w:name w:val="标题 5 Char2"/>
    <w:qFormat/>
    <w:uiPriority w:val="0"/>
    <w:rPr>
      <w:b/>
      <w:bCs/>
      <w:kern w:val="2"/>
      <w:sz w:val="28"/>
      <w:szCs w:val="28"/>
    </w:rPr>
  </w:style>
  <w:style w:type="character" w:customStyle="1" w:styleId="251">
    <w:name w:val="正文文本 Char"/>
    <w:qFormat/>
    <w:uiPriority w:val="0"/>
    <w:rPr>
      <w:rFonts w:eastAsia="宋体"/>
      <w:kern w:val="2"/>
      <w:sz w:val="21"/>
      <w:szCs w:val="22"/>
      <w:lang w:val="en-US" w:eastAsia="zh-CN" w:bidi="ar-SA"/>
    </w:rPr>
  </w:style>
  <w:style w:type="character" w:customStyle="1" w:styleId="252">
    <w:name w:val="称呼 Char1"/>
    <w:qFormat/>
    <w:uiPriority w:val="0"/>
    <w:rPr>
      <w:kern w:val="2"/>
      <w:szCs w:val="24"/>
    </w:rPr>
  </w:style>
  <w:style w:type="character" w:customStyle="1" w:styleId="253">
    <w:name w:val="Char Char4"/>
    <w:qFormat/>
    <w:uiPriority w:val="0"/>
    <w:rPr>
      <w:b/>
      <w:sz w:val="20"/>
    </w:rPr>
  </w:style>
  <w:style w:type="character" w:customStyle="1" w:styleId="254">
    <w:name w:val="标题2"/>
    <w:qFormat/>
    <w:uiPriority w:val="0"/>
    <w:rPr>
      <w:rFonts w:eastAsia="宋体"/>
      <w:sz w:val="21"/>
    </w:rPr>
  </w:style>
  <w:style w:type="character" w:customStyle="1" w:styleId="255">
    <w:name w:val="正文文本 3 Char2"/>
    <w:qFormat/>
    <w:uiPriority w:val="0"/>
    <w:rPr>
      <w:kern w:val="2"/>
      <w:sz w:val="16"/>
      <w:szCs w:val="16"/>
    </w:rPr>
  </w:style>
  <w:style w:type="character" w:customStyle="1" w:styleId="256">
    <w:name w:val="Char Char191"/>
    <w:qFormat/>
    <w:uiPriority w:val="0"/>
    <w:rPr>
      <w:rFonts w:ascii="Arial" w:hAnsi="Arial" w:eastAsia="黑体"/>
      <w:b/>
      <w:bCs/>
      <w:kern w:val="2"/>
      <w:sz w:val="32"/>
      <w:szCs w:val="32"/>
    </w:rPr>
  </w:style>
  <w:style w:type="character" w:customStyle="1" w:styleId="257">
    <w:name w:val="称呼 Char2"/>
    <w:qFormat/>
    <w:locked/>
    <w:uiPriority w:val="0"/>
    <w:rPr>
      <w:rFonts w:ascii="宋体"/>
      <w:sz w:val="24"/>
    </w:rPr>
  </w:style>
  <w:style w:type="character" w:customStyle="1" w:styleId="258">
    <w:name w:val="日期 Char1"/>
    <w:qFormat/>
    <w:uiPriority w:val="0"/>
    <w:rPr>
      <w:rFonts w:ascii="Times New Roman" w:hAnsi="Times New Roman" w:eastAsia="宋体" w:cs="Times New Roman"/>
      <w:szCs w:val="24"/>
    </w:rPr>
  </w:style>
  <w:style w:type="character" w:customStyle="1" w:styleId="259">
    <w:name w:val="font71"/>
    <w:qFormat/>
    <w:uiPriority w:val="0"/>
    <w:rPr>
      <w:rFonts w:ascii="仿宋" w:hAnsi="仿宋" w:eastAsia="仿宋" w:cs="仿宋"/>
      <w:color w:val="000000"/>
      <w:sz w:val="21"/>
      <w:szCs w:val="21"/>
      <w:u w:val="none"/>
    </w:rPr>
  </w:style>
  <w:style w:type="character" w:customStyle="1" w:styleId="260">
    <w:name w:val="HTML 地址 字符1"/>
    <w:qFormat/>
    <w:uiPriority w:val="0"/>
    <w:rPr>
      <w:i/>
      <w:kern w:val="2"/>
      <w:sz w:val="21"/>
      <w:szCs w:val="24"/>
    </w:rPr>
  </w:style>
  <w:style w:type="character" w:customStyle="1" w:styleId="261">
    <w:name w:val="Subtle Emphasis"/>
    <w:qFormat/>
    <w:uiPriority w:val="0"/>
    <w:rPr>
      <w:i/>
      <w:iCs/>
      <w:color w:val="808080"/>
    </w:rPr>
  </w:style>
  <w:style w:type="character" w:customStyle="1" w:styleId="262">
    <w:name w:val="标题 8 Char1"/>
    <w:qFormat/>
    <w:uiPriority w:val="0"/>
    <w:rPr>
      <w:rFonts w:ascii="Cambria" w:hAnsi="Cambria" w:eastAsia="宋体"/>
      <w:kern w:val="2"/>
      <w:sz w:val="24"/>
      <w:szCs w:val="24"/>
      <w:lang w:val="en-US" w:eastAsia="zh-CN" w:bidi="ar-SA"/>
    </w:rPr>
  </w:style>
  <w:style w:type="character" w:customStyle="1" w:styleId="263">
    <w:name w:val="标题 3 Char Char"/>
    <w:qFormat/>
    <w:uiPriority w:val="0"/>
    <w:rPr>
      <w:rFonts w:eastAsia="宋体"/>
      <w:b/>
      <w:bCs/>
      <w:kern w:val="2"/>
      <w:sz w:val="32"/>
      <w:szCs w:val="32"/>
      <w:lang w:val="en-US" w:eastAsia="zh-CN" w:bidi="ar-SA"/>
    </w:rPr>
  </w:style>
  <w:style w:type="character" w:customStyle="1" w:styleId="264">
    <w:name w:val="样式3 Char Char Char Char"/>
    <w:qFormat/>
    <w:uiPriority w:val="0"/>
    <w:rPr>
      <w:b/>
      <w:sz w:val="20"/>
    </w:rPr>
  </w:style>
  <w:style w:type="character" w:customStyle="1" w:styleId="265">
    <w:name w:val="明显引用 Char1"/>
    <w:qFormat/>
    <w:uiPriority w:val="0"/>
    <w:rPr>
      <w:rFonts w:ascii="Times New Roman" w:hAnsi="Times New Roman" w:eastAsia="宋体" w:cs="Times New Roman"/>
      <w:b/>
      <w:bCs/>
      <w:i/>
      <w:iCs/>
      <w:color w:val="4F81BD"/>
      <w:szCs w:val="24"/>
    </w:rPr>
  </w:style>
  <w:style w:type="character" w:customStyle="1" w:styleId="266">
    <w:name w:val="textcontents"/>
    <w:qFormat/>
    <w:uiPriority w:val="0"/>
    <w:rPr>
      <w:rFonts w:cs="Times New Roman"/>
    </w:rPr>
  </w:style>
  <w:style w:type="character" w:customStyle="1" w:styleId="267">
    <w:name w:val="标题 2 字符1"/>
    <w:semiHidden/>
    <w:qFormat/>
    <w:locked/>
    <w:uiPriority w:val="99"/>
    <w:rPr>
      <w:rFonts w:ascii="Arial" w:hAnsi="Arial" w:eastAsia="黑体"/>
      <w:b/>
      <w:bCs/>
      <w:kern w:val="2"/>
      <w:sz w:val="32"/>
      <w:szCs w:val="32"/>
    </w:rPr>
  </w:style>
  <w:style w:type="character" w:customStyle="1" w:styleId="268">
    <w:name w:val="Char Char6"/>
    <w:qFormat/>
    <w:uiPriority w:val="0"/>
    <w:rPr>
      <w:rFonts w:hint="eastAsia" w:ascii="宋体" w:hAnsi="宋体" w:eastAsia="宋体" w:cs="宋体"/>
      <w:kern w:val="2"/>
      <w:sz w:val="18"/>
      <w:szCs w:val="18"/>
      <w:lang w:val="en-US" w:eastAsia="zh-CN"/>
    </w:rPr>
  </w:style>
  <w:style w:type="character" w:customStyle="1" w:styleId="269">
    <w:name w:val="Char Char201"/>
    <w:qFormat/>
    <w:uiPriority w:val="0"/>
    <w:rPr>
      <w:b/>
      <w:bCs/>
      <w:kern w:val="44"/>
      <w:sz w:val="44"/>
      <w:szCs w:val="44"/>
    </w:rPr>
  </w:style>
  <w:style w:type="character" w:customStyle="1" w:styleId="270">
    <w:name w:val="style41"/>
    <w:qFormat/>
    <w:uiPriority w:val="0"/>
    <w:rPr>
      <w:color w:val="AA1515"/>
      <w:sz w:val="20"/>
    </w:rPr>
  </w:style>
  <w:style w:type="character" w:customStyle="1" w:styleId="271">
    <w:name w:val="标题 4 Char"/>
    <w:qFormat/>
    <w:uiPriority w:val="0"/>
    <w:rPr>
      <w:rFonts w:ascii="Arial" w:hAnsi="Arial" w:eastAsia="宋体"/>
      <w:b/>
      <w:bCs/>
      <w:kern w:val="2"/>
      <w:sz w:val="21"/>
      <w:szCs w:val="28"/>
      <w:lang w:val="en-US" w:eastAsia="zh-CN" w:bidi="ar-SA"/>
    </w:rPr>
  </w:style>
  <w:style w:type="character" w:customStyle="1" w:styleId="272">
    <w:name w:val="Char Char12"/>
    <w:qFormat/>
    <w:uiPriority w:val="0"/>
    <w:rPr>
      <w:rFonts w:eastAsia="宋体"/>
      <w:sz w:val="24"/>
      <w:szCs w:val="24"/>
      <w:lang w:val="en-US" w:eastAsia="zh-CN" w:bidi="ar-SA"/>
    </w:rPr>
  </w:style>
  <w:style w:type="character" w:customStyle="1" w:styleId="273">
    <w:name w:val="标题 1 Char"/>
    <w:qFormat/>
    <w:uiPriority w:val="9"/>
    <w:rPr>
      <w:rFonts w:eastAsia="黑体"/>
      <w:b/>
      <w:bCs/>
      <w:kern w:val="44"/>
      <w:sz w:val="32"/>
      <w:szCs w:val="44"/>
      <w:lang w:bidi="ar-SA"/>
    </w:rPr>
  </w:style>
  <w:style w:type="character" w:customStyle="1" w:styleId="274">
    <w:name w:val="引用 Char4"/>
    <w:link w:val="275"/>
    <w:qFormat/>
    <w:uiPriority w:val="0"/>
    <w:rPr>
      <w:i/>
      <w:iCs/>
      <w:color w:val="000000"/>
      <w:lang w:bidi="ar-SA"/>
    </w:rPr>
  </w:style>
  <w:style w:type="paragraph" w:styleId="275">
    <w:name w:val="Quote"/>
    <w:basedOn w:val="1"/>
    <w:next w:val="1"/>
    <w:link w:val="274"/>
    <w:qFormat/>
    <w:uiPriority w:val="0"/>
    <w:rPr>
      <w:rFonts w:ascii="Times New Roman" w:hAnsi="Times New Roman" w:cs="Times New Roman"/>
      <w:i/>
      <w:iCs/>
      <w:color w:val="000000"/>
      <w:sz w:val="20"/>
    </w:rPr>
  </w:style>
  <w:style w:type="character" w:customStyle="1" w:styleId="276">
    <w:name w:val="标题 9 Char1"/>
    <w:qFormat/>
    <w:uiPriority w:val="0"/>
    <w:rPr>
      <w:rFonts w:ascii="Cambria" w:hAnsi="Cambria" w:eastAsia="宋体"/>
      <w:kern w:val="2"/>
      <w:sz w:val="21"/>
      <w:szCs w:val="21"/>
      <w:lang w:val="en-US" w:eastAsia="zh-CN" w:bidi="ar-SA"/>
    </w:rPr>
  </w:style>
  <w:style w:type="character" w:customStyle="1" w:styleId="277">
    <w:name w:val="Book Title"/>
    <w:qFormat/>
    <w:uiPriority w:val="0"/>
    <w:rPr>
      <w:b/>
      <w:bCs/>
      <w:smallCaps/>
      <w:spacing w:val="5"/>
    </w:rPr>
  </w:style>
  <w:style w:type="character" w:customStyle="1" w:styleId="278">
    <w:name w:val="Char Char181"/>
    <w:qFormat/>
    <w:uiPriority w:val="0"/>
    <w:rPr>
      <w:b/>
      <w:bCs/>
      <w:kern w:val="44"/>
      <w:sz w:val="44"/>
      <w:szCs w:val="44"/>
    </w:rPr>
  </w:style>
  <w:style w:type="character" w:customStyle="1" w:styleId="279">
    <w:name w:val="样式9 Char"/>
    <w:qFormat/>
    <w:uiPriority w:val="0"/>
    <w:rPr>
      <w:sz w:val="20"/>
    </w:rPr>
  </w:style>
  <w:style w:type="character" w:customStyle="1" w:styleId="280">
    <w:name w:val="正文文本 3 Char1"/>
    <w:qFormat/>
    <w:uiPriority w:val="0"/>
    <w:rPr>
      <w:kern w:val="2"/>
      <w:sz w:val="16"/>
      <w:szCs w:val="16"/>
    </w:rPr>
  </w:style>
  <w:style w:type="character" w:customStyle="1" w:styleId="281">
    <w:name w:val="标题 6 Char"/>
    <w:qFormat/>
    <w:uiPriority w:val="0"/>
    <w:rPr>
      <w:rFonts w:ascii="Cambria" w:hAnsi="Cambria"/>
      <w:b/>
      <w:bCs/>
      <w:kern w:val="2"/>
      <w:sz w:val="24"/>
      <w:szCs w:val="24"/>
    </w:rPr>
  </w:style>
  <w:style w:type="character" w:customStyle="1" w:styleId="282">
    <w:name w:val="批注主题 Char"/>
    <w:qFormat/>
    <w:uiPriority w:val="0"/>
    <w:rPr>
      <w:b/>
      <w:bCs/>
      <w:kern w:val="2"/>
      <w:sz w:val="21"/>
      <w:szCs w:val="24"/>
      <w:lang w:bidi="ar-SA"/>
    </w:rPr>
  </w:style>
  <w:style w:type="character" w:customStyle="1" w:styleId="283">
    <w:name w:val="Char Char61"/>
    <w:qFormat/>
    <w:uiPriority w:val="0"/>
    <w:rPr>
      <w:rFonts w:eastAsia="宋体"/>
      <w:b/>
      <w:bCs/>
      <w:kern w:val="44"/>
      <w:sz w:val="32"/>
      <w:szCs w:val="44"/>
      <w:lang w:val="en-US" w:eastAsia="zh-CN" w:bidi="ar-SA"/>
    </w:rPr>
  </w:style>
  <w:style w:type="character" w:customStyle="1" w:styleId="284">
    <w:name w:val="注释标题 Char1"/>
    <w:qFormat/>
    <w:uiPriority w:val="0"/>
    <w:rPr>
      <w:rFonts w:ascii="宋体" w:hAnsi="宋体" w:cs="宋体"/>
      <w:sz w:val="24"/>
    </w:rPr>
  </w:style>
  <w:style w:type="character" w:customStyle="1" w:styleId="285">
    <w:name w:val="HTML 预设格式 Char2"/>
    <w:qFormat/>
    <w:locked/>
    <w:uiPriority w:val="0"/>
    <w:rPr>
      <w:rFonts w:ascii="宋体" w:hAnsi="宋体" w:cs="宋体"/>
      <w:sz w:val="24"/>
      <w:szCs w:val="24"/>
    </w:rPr>
  </w:style>
  <w:style w:type="character" w:customStyle="1" w:styleId="286">
    <w:name w:val="页脚 Char"/>
    <w:qFormat/>
    <w:uiPriority w:val="99"/>
    <w:rPr>
      <w:rFonts w:eastAsia="Calibri"/>
      <w:sz w:val="21"/>
    </w:rPr>
  </w:style>
  <w:style w:type="character" w:customStyle="1" w:styleId="287">
    <w:name w:val="Intense Reference"/>
    <w:qFormat/>
    <w:uiPriority w:val="32"/>
    <w:rPr>
      <w:b/>
      <w:bCs/>
      <w:smallCaps/>
      <w:color w:val="C0504D"/>
      <w:spacing w:val="5"/>
      <w:u w:val="single"/>
    </w:rPr>
  </w:style>
  <w:style w:type="character" w:customStyle="1" w:styleId="288">
    <w:name w:val="批注主题 Char1"/>
    <w:qFormat/>
    <w:uiPriority w:val="0"/>
    <w:rPr>
      <w:rFonts w:ascii="Times New Roman" w:hAnsi="Times New Roman" w:eastAsia="宋体" w:cs="Times New Roman"/>
      <w:b/>
      <w:bCs/>
      <w:szCs w:val="24"/>
    </w:rPr>
  </w:style>
  <w:style w:type="character" w:customStyle="1" w:styleId="289">
    <w:name w:val="Document Map Char"/>
    <w:qFormat/>
    <w:uiPriority w:val="0"/>
    <w:rPr>
      <w:rFonts w:eastAsia="宋体"/>
      <w:kern w:val="2"/>
      <w:sz w:val="21"/>
      <w:szCs w:val="24"/>
      <w:lang w:val="en-US" w:eastAsia="zh-CN" w:bidi="ar-SA"/>
    </w:rPr>
  </w:style>
  <w:style w:type="character" w:customStyle="1" w:styleId="290">
    <w:name w:val="批注框文本 Char1"/>
    <w:qFormat/>
    <w:uiPriority w:val="0"/>
    <w:rPr>
      <w:rFonts w:ascii="Times New Roman" w:hAnsi="Times New Roman" w:eastAsia="宋体" w:cs="Times New Roman"/>
      <w:sz w:val="18"/>
      <w:szCs w:val="18"/>
    </w:rPr>
  </w:style>
  <w:style w:type="character" w:customStyle="1" w:styleId="291">
    <w:name w:val="Body Text Indent 2 Char"/>
    <w:qFormat/>
    <w:uiPriority w:val="0"/>
    <w:rPr>
      <w:rFonts w:eastAsia="宋体"/>
      <w:kern w:val="2"/>
      <w:sz w:val="21"/>
      <w:szCs w:val="24"/>
      <w:lang w:val="en-US" w:eastAsia="zh-CN" w:bidi="ar-SA"/>
    </w:rPr>
  </w:style>
  <w:style w:type="character" w:customStyle="1" w:styleId="292">
    <w:name w:val="标题 1 Char2"/>
    <w:qFormat/>
    <w:uiPriority w:val="0"/>
    <w:rPr>
      <w:b/>
      <w:bCs/>
      <w:kern w:val="44"/>
      <w:sz w:val="44"/>
      <w:szCs w:val="44"/>
    </w:rPr>
  </w:style>
  <w:style w:type="character" w:customStyle="1" w:styleId="293">
    <w:name w:val="Char Char19"/>
    <w:qFormat/>
    <w:uiPriority w:val="0"/>
    <w:rPr>
      <w:rFonts w:ascii="Arial" w:hAnsi="Arial" w:eastAsia="宋体" w:cs="Times New Roman"/>
      <w:b/>
      <w:bCs/>
      <w:szCs w:val="28"/>
    </w:rPr>
  </w:style>
  <w:style w:type="character" w:customStyle="1" w:styleId="294">
    <w:name w:val="副标题 Char1"/>
    <w:qFormat/>
    <w:uiPriority w:val="11"/>
    <w:rPr>
      <w:rFonts w:hint="default" w:ascii="Cambria" w:hAnsi="Cambria" w:cs="Times New Roman"/>
      <w:b/>
      <w:bCs/>
      <w:kern w:val="28"/>
      <w:sz w:val="32"/>
      <w:szCs w:val="32"/>
    </w:rPr>
  </w:style>
  <w:style w:type="character" w:customStyle="1" w:styleId="295">
    <w:name w:val="样式3 Char Char"/>
    <w:qFormat/>
    <w:uiPriority w:val="0"/>
    <w:rPr>
      <w:b/>
      <w:sz w:val="20"/>
    </w:rPr>
  </w:style>
  <w:style w:type="character" w:customStyle="1" w:styleId="296">
    <w:name w:val="Char Char22"/>
    <w:qFormat/>
    <w:uiPriority w:val="0"/>
    <w:rPr>
      <w:rFonts w:ascii="Times New Roman" w:hAnsi="Times New Roman" w:eastAsia="宋体" w:cs="Times New Roman"/>
      <w:b/>
      <w:bCs/>
      <w:kern w:val="44"/>
      <w:sz w:val="32"/>
      <w:szCs w:val="44"/>
    </w:rPr>
  </w:style>
  <w:style w:type="character" w:customStyle="1" w:styleId="297">
    <w:name w:val="正文文本 Char2"/>
    <w:qFormat/>
    <w:uiPriority w:val="0"/>
    <w:rPr>
      <w:sz w:val="20"/>
    </w:rPr>
  </w:style>
  <w:style w:type="character" w:customStyle="1" w:styleId="298">
    <w:name w:val="Char Char3"/>
    <w:qFormat/>
    <w:uiPriority w:val="0"/>
    <w:rPr>
      <w:sz w:val="20"/>
    </w:rPr>
  </w:style>
  <w:style w:type="character" w:customStyle="1" w:styleId="299">
    <w:name w:val="Char Char11"/>
    <w:qFormat/>
    <w:uiPriority w:val="0"/>
    <w:rPr>
      <w:rFonts w:eastAsia="宋体"/>
      <w:sz w:val="24"/>
      <w:szCs w:val="24"/>
      <w:lang w:val="en-US" w:eastAsia="zh-CN" w:bidi="ar-SA"/>
    </w:rPr>
  </w:style>
  <w:style w:type="character" w:customStyle="1" w:styleId="300">
    <w:name w:val="文一 Char"/>
    <w:link w:val="301"/>
    <w:qFormat/>
    <w:uiPriority w:val="0"/>
    <w:rPr>
      <w:spacing w:val="4"/>
      <w:sz w:val="24"/>
      <w:szCs w:val="24"/>
    </w:rPr>
  </w:style>
  <w:style w:type="paragraph" w:customStyle="1" w:styleId="301">
    <w:name w:val="文一"/>
    <w:basedOn w:val="1"/>
    <w:link w:val="300"/>
    <w:qFormat/>
    <w:uiPriority w:val="0"/>
    <w:pPr>
      <w:topLinePunct/>
      <w:adjustRightInd w:val="0"/>
      <w:snapToGrid w:val="0"/>
      <w:spacing w:line="360" w:lineRule="auto"/>
      <w:ind w:firstLine="200" w:firstLineChars="200"/>
    </w:pPr>
    <w:rPr>
      <w:rFonts w:ascii="Times New Roman" w:hAnsi="Times New Roman" w:cs="Times New Roman"/>
      <w:spacing w:val="4"/>
      <w:szCs w:val="24"/>
    </w:rPr>
  </w:style>
  <w:style w:type="character" w:customStyle="1" w:styleId="302">
    <w:name w:val="结束语 字符1"/>
    <w:qFormat/>
    <w:uiPriority w:val="0"/>
    <w:rPr>
      <w:kern w:val="2"/>
      <w:sz w:val="21"/>
      <w:szCs w:val="24"/>
    </w:rPr>
  </w:style>
  <w:style w:type="character" w:customStyle="1" w:styleId="303">
    <w:name w:val="正文首行缩进 Char1"/>
    <w:qFormat/>
    <w:uiPriority w:val="0"/>
    <w:rPr>
      <w:kern w:val="2"/>
      <w:sz w:val="21"/>
      <w:szCs w:val="24"/>
      <w:lang w:val="en-US" w:eastAsia="zh-CN" w:bidi="ar-SA"/>
    </w:rPr>
  </w:style>
  <w:style w:type="character" w:customStyle="1" w:styleId="304">
    <w:name w:val="标题 3 Char2"/>
    <w:qFormat/>
    <w:uiPriority w:val="0"/>
    <w:rPr>
      <w:b/>
      <w:bCs/>
      <w:kern w:val="2"/>
      <w:sz w:val="32"/>
      <w:szCs w:val="32"/>
    </w:rPr>
  </w:style>
  <w:style w:type="character" w:customStyle="1" w:styleId="305">
    <w:name w:val="Title Char"/>
    <w:qFormat/>
    <w:uiPriority w:val="0"/>
    <w:rPr>
      <w:rFonts w:ascii="Cambria" w:hAnsi="Cambria"/>
      <w:b/>
      <w:sz w:val="32"/>
      <w:lang w:bidi="ar-SA"/>
    </w:rPr>
  </w:style>
  <w:style w:type="character" w:customStyle="1" w:styleId="306">
    <w:name w:val="Variable"/>
    <w:qFormat/>
    <w:uiPriority w:val="0"/>
    <w:rPr>
      <w:i/>
      <w:sz w:val="20"/>
    </w:rPr>
  </w:style>
  <w:style w:type="character" w:customStyle="1" w:styleId="307">
    <w:name w:val="信息标题 字符1"/>
    <w:qFormat/>
    <w:uiPriority w:val="0"/>
    <w:rPr>
      <w:rFonts w:ascii="等线 Light" w:hAnsi="等线 Light" w:eastAsia="等线 Light" w:cs="Times New Roman"/>
      <w:kern w:val="2"/>
      <w:sz w:val="24"/>
      <w:szCs w:val="24"/>
      <w:shd w:val="pct20" w:color="auto" w:fill="auto"/>
    </w:rPr>
  </w:style>
  <w:style w:type="character" w:customStyle="1" w:styleId="308">
    <w:name w:val="电子邮件签名 Char1"/>
    <w:qFormat/>
    <w:uiPriority w:val="0"/>
    <w:rPr>
      <w:rFonts w:ascii="宋体" w:hAnsi="宋体" w:cs="宋体"/>
      <w:sz w:val="24"/>
    </w:rPr>
  </w:style>
  <w:style w:type="character" w:customStyle="1" w:styleId="309">
    <w:name w:val="正文缩进 Char1"/>
    <w:qFormat/>
    <w:uiPriority w:val="0"/>
    <w:rPr>
      <w:rFonts w:hint="eastAsia" w:ascii="宋体" w:hAnsi="宋体" w:eastAsia="宋体" w:cs="宋体"/>
      <w:sz w:val="24"/>
      <w:szCs w:val="24"/>
      <w:lang w:val="en-US" w:eastAsia="zh-CN"/>
    </w:rPr>
  </w:style>
  <w:style w:type="character" w:customStyle="1" w:styleId="310">
    <w:name w:val="正文缩进 Char3"/>
    <w:qFormat/>
    <w:uiPriority w:val="0"/>
    <w:rPr>
      <w:kern w:val="2"/>
      <w:szCs w:val="24"/>
    </w:rPr>
  </w:style>
  <w:style w:type="character" w:customStyle="1" w:styleId="311">
    <w:name w:val="批注主题 Char2"/>
    <w:qFormat/>
    <w:uiPriority w:val="0"/>
    <w:rPr>
      <w:b/>
      <w:bCs/>
      <w:kern w:val="2"/>
      <w:sz w:val="21"/>
      <w:szCs w:val="24"/>
    </w:rPr>
  </w:style>
  <w:style w:type="character" w:customStyle="1" w:styleId="312">
    <w:name w:val="批注文字 Char Char"/>
    <w:qFormat/>
    <w:uiPriority w:val="0"/>
    <w:rPr>
      <w:rFonts w:ascii="宋体" w:hAnsi="Times New Roman" w:eastAsia="宋体" w:cs="Times New Roman"/>
      <w:sz w:val="28"/>
      <w:szCs w:val="20"/>
    </w:rPr>
  </w:style>
  <w:style w:type="character" w:customStyle="1" w:styleId="313">
    <w:name w:val="正文文本 2 Char"/>
    <w:qFormat/>
    <w:uiPriority w:val="0"/>
    <w:rPr>
      <w:rFonts w:hAnsi="宋体" w:cs="宋体"/>
      <w:sz w:val="24"/>
    </w:rPr>
  </w:style>
  <w:style w:type="character" w:customStyle="1" w:styleId="314">
    <w:name w:val="信息标题 Char1"/>
    <w:qFormat/>
    <w:uiPriority w:val="0"/>
    <w:rPr>
      <w:rFonts w:ascii="Cambria" w:hAnsi="Cambria" w:eastAsia="宋体" w:cs="Times New Roman"/>
      <w:sz w:val="24"/>
      <w:szCs w:val="24"/>
      <w:shd w:val="pct20" w:color="auto" w:fill="auto"/>
    </w:rPr>
  </w:style>
  <w:style w:type="character" w:customStyle="1" w:styleId="315">
    <w:name w:val="标题 字符1"/>
    <w:qFormat/>
    <w:uiPriority w:val="0"/>
    <w:rPr>
      <w:rFonts w:hint="eastAsia" w:ascii="等线 Light" w:hAnsi="等线 Light" w:eastAsia="等线 Light" w:cs="Times New Roman"/>
      <w:b/>
      <w:kern w:val="2"/>
      <w:sz w:val="32"/>
      <w:szCs w:val="32"/>
    </w:rPr>
  </w:style>
  <w:style w:type="character" w:customStyle="1" w:styleId="316">
    <w:name w:val="Char Char71"/>
    <w:qFormat/>
    <w:uiPriority w:val="0"/>
    <w:rPr>
      <w:rFonts w:hint="eastAsia" w:ascii="宋体" w:hAnsi="宋体" w:eastAsia="宋体" w:cs="宋体"/>
      <w:kern w:val="2"/>
      <w:sz w:val="18"/>
      <w:szCs w:val="24"/>
      <w:lang w:val="en-US" w:eastAsia="zh-CN"/>
    </w:rPr>
  </w:style>
  <w:style w:type="character" w:customStyle="1" w:styleId="317">
    <w:name w:val="注释标题 字符1"/>
    <w:qFormat/>
    <w:uiPriority w:val="0"/>
    <w:rPr>
      <w:kern w:val="2"/>
      <w:sz w:val="21"/>
      <w:szCs w:val="24"/>
    </w:rPr>
  </w:style>
  <w:style w:type="character" w:customStyle="1" w:styleId="318">
    <w:name w:val="仿宋，小四"/>
    <w:qFormat/>
    <w:uiPriority w:val="0"/>
    <w:rPr>
      <w:sz w:val="20"/>
    </w:rPr>
  </w:style>
  <w:style w:type="character" w:customStyle="1" w:styleId="319">
    <w:name w:val="正文首行缩进 Char2"/>
    <w:qFormat/>
    <w:uiPriority w:val="0"/>
    <w:rPr>
      <w:kern w:val="2"/>
      <w:sz w:val="21"/>
      <w:szCs w:val="24"/>
    </w:rPr>
  </w:style>
  <w:style w:type="character" w:customStyle="1" w:styleId="320">
    <w:name w:val="日期 Char2"/>
    <w:qFormat/>
    <w:uiPriority w:val="0"/>
    <w:rPr>
      <w:kern w:val="2"/>
      <w:sz w:val="21"/>
      <w:szCs w:val="24"/>
    </w:rPr>
  </w:style>
  <w:style w:type="character" w:customStyle="1" w:styleId="321">
    <w:name w:val="Heading 4 Char"/>
    <w:qFormat/>
    <w:uiPriority w:val="0"/>
    <w:rPr>
      <w:rFonts w:ascii="Arial" w:hAnsi="Arial" w:eastAsia="宋体"/>
      <w:b/>
      <w:bCs/>
      <w:kern w:val="2"/>
      <w:sz w:val="21"/>
      <w:szCs w:val="28"/>
      <w:lang w:val="en-US" w:eastAsia="zh-CN" w:bidi="ar-SA"/>
    </w:rPr>
  </w:style>
  <w:style w:type="character" w:customStyle="1" w:styleId="322">
    <w:name w:val="批注文字 Char3"/>
    <w:qFormat/>
    <w:uiPriority w:val="0"/>
    <w:rPr>
      <w:kern w:val="2"/>
      <w:sz w:val="21"/>
      <w:szCs w:val="24"/>
    </w:rPr>
  </w:style>
  <w:style w:type="character" w:customStyle="1" w:styleId="323">
    <w:name w:val="标题 9 Char2"/>
    <w:qFormat/>
    <w:uiPriority w:val="0"/>
    <w:rPr>
      <w:rFonts w:ascii="Cambria" w:hAnsi="Cambria" w:eastAsia="宋体"/>
      <w:kern w:val="2"/>
      <w:sz w:val="21"/>
      <w:szCs w:val="21"/>
    </w:rPr>
  </w:style>
  <w:style w:type="character" w:customStyle="1" w:styleId="324">
    <w:name w:val="电子邮件签名 字符1"/>
    <w:qFormat/>
    <w:uiPriority w:val="0"/>
    <w:rPr>
      <w:kern w:val="2"/>
      <w:sz w:val="21"/>
      <w:szCs w:val="24"/>
    </w:rPr>
  </w:style>
  <w:style w:type="character" w:customStyle="1" w:styleId="325">
    <w:name w:val="标题4 Char Char"/>
    <w:link w:val="326"/>
    <w:qFormat/>
    <w:uiPriority w:val="0"/>
    <w:rPr>
      <w:rFonts w:ascii="Arial" w:hAnsi="Arial"/>
      <w:b/>
      <w:bCs/>
      <w:sz w:val="24"/>
      <w:szCs w:val="32"/>
      <w:lang w:bidi="ar-SA"/>
    </w:rPr>
  </w:style>
  <w:style w:type="paragraph" w:customStyle="1" w:styleId="326">
    <w:name w:val="标题4"/>
    <w:basedOn w:val="2"/>
    <w:next w:val="28"/>
    <w:link w:val="325"/>
    <w:qFormat/>
    <w:uiPriority w:val="0"/>
    <w:rPr>
      <w:rFonts w:eastAsia="宋体"/>
      <w:kern w:val="0"/>
      <w:sz w:val="24"/>
    </w:rPr>
  </w:style>
  <w:style w:type="character" w:customStyle="1" w:styleId="327">
    <w:name w:val="Subtle Reference"/>
    <w:qFormat/>
    <w:uiPriority w:val="0"/>
    <w:rPr>
      <w:smallCaps/>
      <w:color w:val="C0504D"/>
      <w:u w:val="single"/>
    </w:rPr>
  </w:style>
  <w:style w:type="character" w:customStyle="1" w:styleId="328">
    <w:name w:val="mini-outputtext1"/>
    <w:qFormat/>
    <w:uiPriority w:val="0"/>
  </w:style>
  <w:style w:type="character" w:customStyle="1" w:styleId="329">
    <w:name w:val="Heading 3 Char"/>
    <w:qFormat/>
    <w:uiPriority w:val="0"/>
    <w:rPr>
      <w:rFonts w:cs="Times New Roman"/>
      <w:b/>
      <w:bCs/>
      <w:kern w:val="2"/>
      <w:sz w:val="32"/>
      <w:szCs w:val="32"/>
    </w:rPr>
  </w:style>
  <w:style w:type="character" w:customStyle="1" w:styleId="330">
    <w:name w:val="Intense Emphasis"/>
    <w:qFormat/>
    <w:uiPriority w:val="0"/>
    <w:rPr>
      <w:b/>
      <w:bCs/>
      <w:i/>
      <w:iCs/>
      <w:color w:val="4F81BD"/>
    </w:rPr>
  </w:style>
  <w:style w:type="character" w:customStyle="1" w:styleId="331">
    <w:name w:val="称呼 字符1"/>
    <w:qFormat/>
    <w:uiPriority w:val="0"/>
    <w:rPr>
      <w:kern w:val="2"/>
      <w:sz w:val="21"/>
      <w:szCs w:val="24"/>
    </w:rPr>
  </w:style>
  <w:style w:type="character" w:customStyle="1" w:styleId="332">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333">
    <w:name w:val="明显引用 Char3"/>
    <w:qFormat/>
    <w:uiPriority w:val="0"/>
    <w:rPr>
      <w:b/>
      <w:bCs/>
      <w:i/>
      <w:iCs/>
      <w:color w:val="4F81BD"/>
      <w:kern w:val="2"/>
      <w:sz w:val="21"/>
      <w:szCs w:val="22"/>
    </w:rPr>
  </w:style>
  <w:style w:type="character" w:customStyle="1" w:styleId="334">
    <w:name w:val="H1 Char"/>
    <w:qFormat/>
    <w:uiPriority w:val="0"/>
    <w:rPr>
      <w:b/>
      <w:sz w:val="20"/>
    </w:rPr>
  </w:style>
  <w:style w:type="character" w:customStyle="1" w:styleId="335">
    <w:name w:val="Char Char1"/>
    <w:qFormat/>
    <w:uiPriority w:val="0"/>
    <w:rPr>
      <w:sz w:val="20"/>
    </w:rPr>
  </w:style>
  <w:style w:type="character" w:customStyle="1" w:styleId="336">
    <w:name w:val="Char Char9"/>
    <w:qFormat/>
    <w:uiPriority w:val="0"/>
    <w:rPr>
      <w:rFonts w:eastAsia="宋体"/>
      <w:b/>
      <w:bCs/>
      <w:kern w:val="44"/>
      <w:sz w:val="32"/>
      <w:szCs w:val="44"/>
      <w:lang w:val="en-US" w:eastAsia="zh-CN" w:bidi="ar-SA"/>
    </w:rPr>
  </w:style>
  <w:style w:type="character" w:customStyle="1" w:styleId="337">
    <w:name w:val="标题5 Char Char"/>
    <w:link w:val="338"/>
    <w:qFormat/>
    <w:uiPriority w:val="0"/>
    <w:rPr>
      <w:rFonts w:ascii="Arial" w:hAnsi="Arial"/>
      <w:b/>
      <w:bCs/>
      <w:sz w:val="24"/>
      <w:szCs w:val="32"/>
      <w:lang w:bidi="ar-SA"/>
    </w:rPr>
  </w:style>
  <w:style w:type="paragraph" w:customStyle="1" w:styleId="338">
    <w:name w:val="标题5"/>
    <w:basedOn w:val="5"/>
    <w:link w:val="337"/>
    <w:qFormat/>
    <w:uiPriority w:val="0"/>
    <w:pPr>
      <w:spacing w:before="260" w:after="260" w:line="413" w:lineRule="auto"/>
    </w:pPr>
    <w:rPr>
      <w:rFonts w:ascii="Arial" w:hAnsi="Arial" w:eastAsia="宋体"/>
      <w:kern w:val="0"/>
      <w:sz w:val="24"/>
    </w:rPr>
  </w:style>
  <w:style w:type="character" w:customStyle="1" w:styleId="339">
    <w:name w:val="正文文本首行缩进 2 字符1"/>
    <w:qFormat/>
    <w:uiPriority w:val="0"/>
    <w:rPr>
      <w:kern w:val="2"/>
      <w:sz w:val="21"/>
      <w:szCs w:val="24"/>
    </w:rPr>
  </w:style>
  <w:style w:type="character" w:customStyle="1" w:styleId="340">
    <w:name w:val="页眉 Char Char"/>
    <w:qFormat/>
    <w:uiPriority w:val="0"/>
    <w:rPr>
      <w:rFonts w:hint="eastAsia" w:ascii="宋体" w:hAnsi="宋体" w:eastAsia="宋体" w:cs="宋体"/>
      <w:kern w:val="2"/>
      <w:sz w:val="18"/>
      <w:szCs w:val="18"/>
      <w:lang w:val="en-US" w:eastAsia="zh-CN"/>
    </w:rPr>
  </w:style>
  <w:style w:type="character" w:customStyle="1" w:styleId="341">
    <w:name w:val="明显引用 Char4"/>
    <w:link w:val="342"/>
    <w:qFormat/>
    <w:uiPriority w:val="0"/>
    <w:rPr>
      <w:b/>
      <w:bCs/>
      <w:i/>
      <w:iCs/>
      <w:color w:val="4F81BD"/>
      <w:lang w:bidi="ar-SA"/>
    </w:rPr>
  </w:style>
  <w:style w:type="paragraph" w:styleId="342">
    <w:name w:val="Intense Quote"/>
    <w:basedOn w:val="1"/>
    <w:next w:val="1"/>
    <w:link w:val="341"/>
    <w:qFormat/>
    <w:uiPriority w:val="0"/>
    <w:pPr>
      <w:pBdr>
        <w:bottom w:val="single" w:color="4F81BD" w:sz="4" w:space="4"/>
      </w:pBdr>
      <w:spacing w:before="200" w:after="280"/>
      <w:ind w:left="936" w:right="936"/>
    </w:pPr>
    <w:rPr>
      <w:rFonts w:ascii="Times New Roman" w:hAnsi="Times New Roman" w:cs="Times New Roman"/>
      <w:b/>
      <w:bCs/>
      <w:i/>
      <w:iCs/>
      <w:color w:val="4F81BD"/>
      <w:sz w:val="20"/>
    </w:rPr>
  </w:style>
  <w:style w:type="character" w:customStyle="1" w:styleId="343">
    <w:name w:val="引用 Char1"/>
    <w:qFormat/>
    <w:uiPriority w:val="0"/>
    <w:rPr>
      <w:rFonts w:ascii="Times New Roman" w:hAnsi="Times New Roman" w:eastAsia="宋体" w:cs="Times New Roman"/>
      <w:i/>
      <w:iCs/>
      <w:color w:val="000000"/>
      <w:szCs w:val="24"/>
    </w:rPr>
  </w:style>
  <w:style w:type="character" w:customStyle="1" w:styleId="344">
    <w:name w:val="Char Char23"/>
    <w:qFormat/>
    <w:uiPriority w:val="0"/>
    <w:rPr>
      <w:rFonts w:eastAsia="宋体"/>
      <w:b/>
      <w:bCs/>
      <w:kern w:val="44"/>
      <w:sz w:val="32"/>
      <w:szCs w:val="44"/>
      <w:lang w:val="en-US" w:eastAsia="zh-CN" w:bidi="ar-SA"/>
    </w:rPr>
  </w:style>
  <w:style w:type="character" w:customStyle="1" w:styleId="345">
    <w:name w:val="Heading 1 Char"/>
    <w:qFormat/>
    <w:uiPriority w:val="0"/>
    <w:rPr>
      <w:rFonts w:eastAsia="宋体"/>
      <w:b/>
      <w:bCs/>
      <w:kern w:val="44"/>
      <w:sz w:val="32"/>
      <w:szCs w:val="44"/>
      <w:lang w:val="en-US" w:eastAsia="zh-CN" w:bidi="ar-SA"/>
    </w:rPr>
  </w:style>
  <w:style w:type="character" w:customStyle="1" w:styleId="346">
    <w:name w:val="Char Char121"/>
    <w:qFormat/>
    <w:uiPriority w:val="0"/>
    <w:rPr>
      <w:rFonts w:hint="eastAsia" w:ascii="仿宋_GB2312" w:eastAsia="仿宋_GB2312" w:cs="仿宋_GB2312"/>
      <w:kern w:val="2"/>
      <w:sz w:val="23"/>
      <w:szCs w:val="24"/>
      <w:lang w:val="en-US" w:eastAsia="zh-CN"/>
    </w:rPr>
  </w:style>
  <w:style w:type="character" w:customStyle="1" w:styleId="347">
    <w:name w:val="结束语 Char1"/>
    <w:qFormat/>
    <w:uiPriority w:val="0"/>
    <w:rPr>
      <w:rFonts w:ascii="宋体" w:hAnsi="宋体" w:cs="宋体"/>
      <w:sz w:val="24"/>
    </w:rPr>
  </w:style>
  <w:style w:type="character" w:customStyle="1" w:styleId="348">
    <w:name w:val="样式10 Char"/>
    <w:qFormat/>
    <w:uiPriority w:val="0"/>
    <w:rPr>
      <w:sz w:val="20"/>
    </w:rPr>
  </w:style>
  <w:style w:type="character" w:customStyle="1" w:styleId="349">
    <w:name w:val="正文文本 3 字符1"/>
    <w:qFormat/>
    <w:uiPriority w:val="0"/>
    <w:rPr>
      <w:kern w:val="2"/>
      <w:sz w:val="16"/>
      <w:szCs w:val="16"/>
    </w:rPr>
  </w:style>
  <w:style w:type="character" w:customStyle="1" w:styleId="350">
    <w:name w:val="Footnote Text Char"/>
    <w:qFormat/>
    <w:uiPriority w:val="0"/>
    <w:rPr>
      <w:rFonts w:eastAsia="宋体"/>
      <w:sz w:val="18"/>
      <w:lang w:val="en-US" w:eastAsia="zh-CN" w:bidi="ar-SA"/>
    </w:rPr>
  </w:style>
  <w:style w:type="character" w:customStyle="1" w:styleId="351">
    <w:name w:val="日期 Char"/>
    <w:qFormat/>
    <w:uiPriority w:val="0"/>
    <w:rPr>
      <w:kern w:val="2"/>
      <w:sz w:val="21"/>
      <w:szCs w:val="24"/>
      <w:lang w:bidi="ar-SA"/>
    </w:rPr>
  </w:style>
  <w:style w:type="character" w:customStyle="1" w:styleId="352">
    <w:name w:val="Header Char"/>
    <w:qFormat/>
    <w:uiPriority w:val="0"/>
    <w:rPr>
      <w:rFonts w:eastAsia="宋体"/>
      <w:kern w:val="2"/>
      <w:sz w:val="18"/>
      <w:szCs w:val="18"/>
      <w:lang w:val="en-US" w:eastAsia="zh-CN" w:bidi="ar-SA"/>
    </w:rPr>
  </w:style>
  <w:style w:type="character" w:customStyle="1" w:styleId="353">
    <w:name w:val="tt21"/>
    <w:qFormat/>
    <w:uiPriority w:val="0"/>
    <w:rPr>
      <w:b/>
      <w:sz w:val="20"/>
    </w:rPr>
  </w:style>
  <w:style w:type="character" w:customStyle="1" w:styleId="354">
    <w:name w:val="msobooktitle"/>
    <w:qFormat/>
    <w:uiPriority w:val="0"/>
    <w:rPr>
      <w:b/>
      <w:smallCaps/>
      <w:spacing w:val="5"/>
    </w:rPr>
  </w:style>
  <w:style w:type="character" w:customStyle="1" w:styleId="355">
    <w:name w:val="Char Char18"/>
    <w:qFormat/>
    <w:uiPriority w:val="0"/>
    <w:rPr>
      <w:rFonts w:ascii="Times New Roman" w:hAnsi="Times New Roman" w:eastAsia="宋体" w:cs="Times New Roman"/>
      <w:b/>
      <w:bCs/>
      <w:sz w:val="28"/>
      <w:szCs w:val="28"/>
    </w:rPr>
  </w:style>
  <w:style w:type="character" w:customStyle="1" w:styleId="356">
    <w:name w:val="正文缩进 Char"/>
    <w:qFormat/>
    <w:uiPriority w:val="0"/>
    <w:rPr>
      <w:sz w:val="20"/>
    </w:rPr>
  </w:style>
  <w:style w:type="character" w:customStyle="1" w:styleId="357">
    <w:name w:val="批注框文本 Char2"/>
    <w:qFormat/>
    <w:uiPriority w:val="0"/>
    <w:rPr>
      <w:kern w:val="2"/>
      <w:sz w:val="18"/>
      <w:szCs w:val="18"/>
    </w:rPr>
  </w:style>
  <w:style w:type="character" w:customStyle="1" w:styleId="358">
    <w:name w:val="正文文本缩进 3 Char1"/>
    <w:qFormat/>
    <w:uiPriority w:val="0"/>
    <w:rPr>
      <w:kern w:val="2"/>
      <w:sz w:val="16"/>
      <w:szCs w:val="16"/>
    </w:rPr>
  </w:style>
  <w:style w:type="character" w:customStyle="1" w:styleId="359">
    <w:name w:val="页脚 字符1"/>
    <w:qFormat/>
    <w:uiPriority w:val="0"/>
    <w:rPr>
      <w:kern w:val="2"/>
      <w:sz w:val="18"/>
      <w:szCs w:val="18"/>
    </w:rPr>
  </w:style>
  <w:style w:type="character" w:customStyle="1" w:styleId="360">
    <w:name w:val="Plain Text Char"/>
    <w:qFormat/>
    <w:uiPriority w:val="0"/>
    <w:rPr>
      <w:rFonts w:ascii="宋体" w:hAnsi="Courier New" w:eastAsia="宋体"/>
      <w:sz w:val="24"/>
      <w:lang w:bidi="ar-SA"/>
    </w:rPr>
  </w:style>
  <w:style w:type="character" w:customStyle="1" w:styleId="361">
    <w:name w:val="日期 字符1"/>
    <w:qFormat/>
    <w:uiPriority w:val="0"/>
    <w:rPr>
      <w:kern w:val="2"/>
      <w:sz w:val="21"/>
      <w:szCs w:val="24"/>
    </w:rPr>
  </w:style>
  <w:style w:type="character" w:customStyle="1" w:styleId="362">
    <w:name w:val="文档结构图 Char1"/>
    <w:qFormat/>
    <w:uiPriority w:val="0"/>
    <w:rPr>
      <w:rFonts w:ascii="宋体" w:hAnsi="Times New Roman" w:eastAsia="宋体" w:cs="Times New Roman"/>
      <w:sz w:val="18"/>
      <w:szCs w:val="18"/>
    </w:rPr>
  </w:style>
  <w:style w:type="character" w:customStyle="1" w:styleId="363">
    <w:name w:val="列表编号 2A Char"/>
    <w:link w:val="364"/>
    <w:qFormat/>
    <w:uiPriority w:val="0"/>
    <w:rPr>
      <w:kern w:val="2"/>
      <w:sz w:val="28"/>
    </w:rPr>
  </w:style>
  <w:style w:type="paragraph" w:customStyle="1" w:styleId="364">
    <w:name w:val="列表编号 2A"/>
    <w:basedOn w:val="1"/>
    <w:link w:val="363"/>
    <w:qFormat/>
    <w:uiPriority w:val="0"/>
    <w:pPr>
      <w:tabs>
        <w:tab w:val="left" w:pos="845"/>
        <w:tab w:val="left" w:pos="1035"/>
      </w:tabs>
      <w:ind w:left="740" w:hanging="425"/>
    </w:pPr>
    <w:rPr>
      <w:rFonts w:ascii="Times New Roman" w:hAnsi="Times New Roman" w:cs="Times New Roman"/>
      <w:kern w:val="2"/>
      <w:sz w:val="28"/>
    </w:rPr>
  </w:style>
  <w:style w:type="character" w:customStyle="1" w:styleId="365">
    <w:name w:val="页脚 Char2"/>
    <w:qFormat/>
    <w:uiPriority w:val="0"/>
    <w:rPr>
      <w:kern w:val="2"/>
      <w:sz w:val="18"/>
      <w:szCs w:val="24"/>
    </w:rPr>
  </w:style>
  <w:style w:type="character" w:customStyle="1" w:styleId="366">
    <w:name w:val="样式13 Char"/>
    <w:qFormat/>
    <w:uiPriority w:val="0"/>
    <w:rPr>
      <w:sz w:val="20"/>
    </w:rPr>
  </w:style>
  <w:style w:type="character" w:customStyle="1" w:styleId="367">
    <w:name w:val="msosubtlereference"/>
    <w:qFormat/>
    <w:uiPriority w:val="0"/>
    <w:rPr>
      <w:smallCaps/>
      <w:color w:val="C0504D"/>
      <w:u w:val="single"/>
    </w:rPr>
  </w:style>
  <w:style w:type="character" w:customStyle="1" w:styleId="368">
    <w:name w:val="纯文本 Char1"/>
    <w:qFormat/>
    <w:uiPriority w:val="0"/>
    <w:rPr>
      <w:rFonts w:ascii="宋体" w:hAnsi="Courier New" w:eastAsia="宋体" w:cs="Courier New"/>
      <w:szCs w:val="21"/>
    </w:rPr>
  </w:style>
  <w:style w:type="character" w:customStyle="1" w:styleId="369">
    <w:name w:val="样式15 Char"/>
    <w:qFormat/>
    <w:uiPriority w:val="0"/>
    <w:rPr>
      <w:sz w:val="20"/>
    </w:rPr>
  </w:style>
  <w:style w:type="character" w:customStyle="1" w:styleId="370">
    <w:name w:val="标题 3 Char"/>
    <w:qFormat/>
    <w:uiPriority w:val="9"/>
    <w:rPr>
      <w:rFonts w:eastAsia="黑体"/>
      <w:b/>
      <w:bCs/>
      <w:kern w:val="2"/>
      <w:sz w:val="21"/>
      <w:szCs w:val="32"/>
      <w:lang w:bidi="ar-SA"/>
    </w:rPr>
  </w:style>
  <w:style w:type="character" w:customStyle="1" w:styleId="371">
    <w:name w:val="标题 Char"/>
    <w:qFormat/>
    <w:uiPriority w:val="0"/>
    <w:rPr>
      <w:rFonts w:ascii="Cambria" w:hAnsi="Cambria"/>
      <w:b/>
      <w:bCs/>
      <w:kern w:val="2"/>
      <w:sz w:val="32"/>
      <w:szCs w:val="32"/>
      <w:lang w:bidi="ar-SA"/>
    </w:rPr>
  </w:style>
  <w:style w:type="character" w:customStyle="1" w:styleId="372">
    <w:name w:val="签名 字符1"/>
    <w:qFormat/>
    <w:uiPriority w:val="0"/>
    <w:rPr>
      <w:kern w:val="2"/>
      <w:sz w:val="21"/>
      <w:szCs w:val="24"/>
    </w:rPr>
  </w:style>
  <w:style w:type="character" w:customStyle="1" w:styleId="373">
    <w:name w:val="未处理的提及"/>
    <w:unhideWhenUsed/>
    <w:qFormat/>
    <w:uiPriority w:val="99"/>
    <w:rPr>
      <w:color w:val="605E5C"/>
      <w:shd w:val="clear" w:color="auto" w:fill="E1DFDD"/>
    </w:rPr>
  </w:style>
  <w:style w:type="character" w:customStyle="1" w:styleId="374">
    <w:name w:val="正文文本缩进 2 字符1"/>
    <w:qFormat/>
    <w:uiPriority w:val="0"/>
    <w:rPr>
      <w:kern w:val="2"/>
      <w:sz w:val="21"/>
      <w:szCs w:val="24"/>
    </w:rPr>
  </w:style>
  <w:style w:type="character" w:customStyle="1" w:styleId="375">
    <w:name w:val="明显引用 字符1"/>
    <w:qFormat/>
    <w:uiPriority w:val="0"/>
    <w:rPr>
      <w:i/>
      <w:color w:val="4472C4"/>
      <w:kern w:val="2"/>
      <w:sz w:val="21"/>
      <w:szCs w:val="24"/>
    </w:rPr>
  </w:style>
  <w:style w:type="character" w:customStyle="1" w:styleId="376">
    <w:name w:val="HTML 预设格式 Char3"/>
    <w:qFormat/>
    <w:uiPriority w:val="0"/>
    <w:rPr>
      <w:rFonts w:hint="default" w:ascii="Arial" w:hAnsi="Arial" w:eastAsia="Times New Roman" w:cs="Arial"/>
      <w:sz w:val="24"/>
      <w:szCs w:val="24"/>
    </w:rPr>
  </w:style>
  <w:style w:type="character" w:customStyle="1" w:styleId="377">
    <w:name w:val="批注框文本 Char"/>
    <w:qFormat/>
    <w:uiPriority w:val="0"/>
    <w:rPr>
      <w:kern w:val="2"/>
      <w:sz w:val="18"/>
      <w:szCs w:val="18"/>
      <w:lang w:bidi="ar-SA"/>
    </w:rPr>
  </w:style>
  <w:style w:type="character" w:customStyle="1" w:styleId="378">
    <w:name w:val="标题 1 Char1"/>
    <w:qFormat/>
    <w:uiPriority w:val="0"/>
    <w:rPr>
      <w:rFonts w:ascii="Calibri" w:hAnsi="Calibri" w:eastAsia="宋体" w:cs="Arial"/>
      <w:b/>
      <w:kern w:val="44"/>
      <w:sz w:val="44"/>
      <w:szCs w:val="20"/>
    </w:rPr>
  </w:style>
  <w:style w:type="character" w:customStyle="1" w:styleId="379">
    <w:name w:val="引用 Char3"/>
    <w:qFormat/>
    <w:uiPriority w:val="0"/>
    <w:rPr>
      <w:i/>
      <w:iCs/>
      <w:color w:val="000000"/>
      <w:kern w:val="2"/>
      <w:sz w:val="21"/>
      <w:szCs w:val="22"/>
    </w:rPr>
  </w:style>
  <w:style w:type="character" w:customStyle="1" w:styleId="380">
    <w:name w:val="标题 8 Char"/>
    <w:qFormat/>
    <w:uiPriority w:val="0"/>
    <w:rPr>
      <w:rFonts w:ascii="Cambria" w:hAnsi="Cambria"/>
      <w:kern w:val="2"/>
      <w:sz w:val="24"/>
      <w:szCs w:val="24"/>
    </w:rPr>
  </w:style>
  <w:style w:type="character" w:customStyle="1" w:styleId="381">
    <w:name w:val="正文文本缩进 3 Char2"/>
    <w:qFormat/>
    <w:uiPriority w:val="0"/>
    <w:rPr>
      <w:kern w:val="2"/>
      <w:sz w:val="16"/>
      <w:szCs w:val="16"/>
    </w:rPr>
  </w:style>
  <w:style w:type="character" w:customStyle="1" w:styleId="382">
    <w:name w:val="脚注文本 Char"/>
    <w:qFormat/>
    <w:uiPriority w:val="0"/>
    <w:rPr>
      <w:sz w:val="18"/>
      <w:lang w:bidi="ar-SA"/>
    </w:rPr>
  </w:style>
  <w:style w:type="character" w:customStyle="1" w:styleId="383">
    <w:name w:val="纯文本 Char"/>
    <w:qFormat/>
    <w:uiPriority w:val="0"/>
    <w:rPr>
      <w:rFonts w:ascii="宋体" w:hAnsi="Courier New" w:eastAsia="宋体"/>
      <w:kern w:val="2"/>
      <w:sz w:val="21"/>
      <w:szCs w:val="24"/>
      <w:lang w:val="en-US" w:eastAsia="zh-CN" w:bidi="ar-SA"/>
    </w:rPr>
  </w:style>
  <w:style w:type="character" w:customStyle="1" w:styleId="384">
    <w:name w:val="正文文本 2 字符1"/>
    <w:qFormat/>
    <w:uiPriority w:val="0"/>
    <w:rPr>
      <w:kern w:val="2"/>
      <w:sz w:val="21"/>
      <w:szCs w:val="24"/>
    </w:rPr>
  </w:style>
  <w:style w:type="character" w:customStyle="1" w:styleId="385">
    <w:name w:val="HTML 地址 Char1"/>
    <w:qFormat/>
    <w:uiPriority w:val="0"/>
    <w:rPr>
      <w:rFonts w:ascii="宋体" w:hAnsi="宋体" w:cs="宋体"/>
      <w:i/>
      <w:iCs/>
      <w:sz w:val="24"/>
    </w:rPr>
  </w:style>
  <w:style w:type="character" w:customStyle="1" w:styleId="386">
    <w:name w:val="font111"/>
    <w:qFormat/>
    <w:uiPriority w:val="0"/>
    <w:rPr>
      <w:rFonts w:hint="default" w:ascii="仿宋_GB2312" w:eastAsia="仿宋_GB2312" w:cs="仿宋_GB2312"/>
      <w:color w:val="000000"/>
      <w:sz w:val="21"/>
      <w:szCs w:val="21"/>
      <w:u w:val="none"/>
      <w:vertAlign w:val="superscript"/>
    </w:rPr>
  </w:style>
  <w:style w:type="character" w:customStyle="1" w:styleId="387">
    <w:name w:val="表蕊 Char1"/>
    <w:link w:val="388"/>
    <w:qFormat/>
    <w:uiPriority w:val="0"/>
    <w:rPr>
      <w:rFonts w:eastAsia="楷体_GB2312"/>
      <w:spacing w:val="-10"/>
    </w:rPr>
  </w:style>
  <w:style w:type="paragraph" w:customStyle="1" w:styleId="388">
    <w:name w:val="表蕊"/>
    <w:basedOn w:val="1"/>
    <w:link w:val="387"/>
    <w:qFormat/>
    <w:uiPriority w:val="0"/>
    <w:pPr>
      <w:adjustRightInd w:val="0"/>
      <w:spacing w:line="320" w:lineRule="atLeast"/>
      <w:jc w:val="left"/>
      <w:textAlignment w:val="baseline"/>
    </w:pPr>
    <w:rPr>
      <w:rFonts w:ascii="Times New Roman" w:hAnsi="Times New Roman" w:eastAsia="楷体_GB2312" w:cs="Times New Roman"/>
      <w:spacing w:val="-10"/>
      <w:sz w:val="20"/>
    </w:rPr>
  </w:style>
  <w:style w:type="character" w:customStyle="1" w:styleId="389">
    <w:name w:val="font81"/>
    <w:qFormat/>
    <w:uiPriority w:val="0"/>
    <w:rPr>
      <w:rFonts w:ascii="仿宋" w:hAnsi="仿宋" w:eastAsia="仿宋" w:cs="仿宋"/>
      <w:color w:val="000000"/>
      <w:sz w:val="21"/>
      <w:szCs w:val="21"/>
      <w:u w:val="none"/>
    </w:rPr>
  </w:style>
  <w:style w:type="character" w:customStyle="1" w:styleId="390">
    <w:name w:val="font01"/>
    <w:qFormat/>
    <w:uiPriority w:val="0"/>
    <w:rPr>
      <w:rFonts w:hint="default" w:ascii="仿宋_GB2312" w:eastAsia="仿宋_GB2312" w:cs="仿宋_GB2312"/>
      <w:color w:val="000000"/>
      <w:sz w:val="21"/>
      <w:szCs w:val="21"/>
      <w:u w:val="none"/>
      <w:vertAlign w:val="superscript"/>
    </w:rPr>
  </w:style>
  <w:style w:type="character" w:customStyle="1" w:styleId="391">
    <w:name w:val="font51"/>
    <w:qFormat/>
    <w:uiPriority w:val="0"/>
    <w:rPr>
      <w:rFonts w:hint="default" w:ascii="仿宋_GB2312" w:eastAsia="仿宋_GB2312" w:cs="仿宋_GB2312"/>
      <w:color w:val="000000"/>
      <w:sz w:val="21"/>
      <w:szCs w:val="21"/>
      <w:u w:val="none"/>
      <w:vertAlign w:val="superscript"/>
    </w:rPr>
  </w:style>
  <w:style w:type="character" w:customStyle="1" w:styleId="392">
    <w:name w:val="font101"/>
    <w:qFormat/>
    <w:uiPriority w:val="0"/>
    <w:rPr>
      <w:rFonts w:hint="default" w:ascii="仿宋_GB2312" w:eastAsia="仿宋_GB2312" w:cs="仿宋_GB2312"/>
      <w:color w:val="000000"/>
      <w:sz w:val="21"/>
      <w:szCs w:val="21"/>
      <w:u w:val="none"/>
    </w:rPr>
  </w:style>
  <w:style w:type="character" w:customStyle="1" w:styleId="393">
    <w:name w:val="headline-content4"/>
    <w:qFormat/>
    <w:uiPriority w:val="0"/>
  </w:style>
  <w:style w:type="character" w:customStyle="1" w:styleId="394">
    <w:name w:val="font112"/>
    <w:qFormat/>
    <w:uiPriority w:val="0"/>
    <w:rPr>
      <w:rFonts w:hint="default" w:ascii="仿宋_GB2312" w:eastAsia="仿宋_GB2312" w:cs="仿宋_GB2312"/>
      <w:color w:val="000000"/>
      <w:sz w:val="21"/>
      <w:szCs w:val="21"/>
      <w:u w:val="none"/>
      <w:vertAlign w:val="superscript"/>
    </w:rPr>
  </w:style>
  <w:style w:type="character" w:customStyle="1" w:styleId="395">
    <w:name w:val="font21"/>
    <w:qFormat/>
    <w:uiPriority w:val="0"/>
    <w:rPr>
      <w:rFonts w:hint="default" w:ascii="仿宋_GB2312" w:eastAsia="仿宋_GB2312" w:cs="仿宋_GB2312"/>
      <w:color w:val="000000"/>
      <w:sz w:val="21"/>
      <w:szCs w:val="21"/>
      <w:u w:val="none"/>
      <w:vertAlign w:val="superscript"/>
    </w:rPr>
  </w:style>
  <w:style w:type="character" w:customStyle="1" w:styleId="396">
    <w:name w:val="表头 Char"/>
    <w:link w:val="397"/>
    <w:qFormat/>
    <w:uiPriority w:val="0"/>
    <w:rPr>
      <w:rFonts w:eastAsia="黑体"/>
      <w:spacing w:val="-10"/>
    </w:rPr>
  </w:style>
  <w:style w:type="paragraph" w:customStyle="1" w:styleId="397">
    <w:name w:val="表头"/>
    <w:basedOn w:val="1"/>
    <w:link w:val="396"/>
    <w:qFormat/>
    <w:uiPriority w:val="0"/>
    <w:pPr>
      <w:adjustRightInd w:val="0"/>
      <w:snapToGrid w:val="0"/>
      <w:spacing w:line="320" w:lineRule="atLeast"/>
      <w:jc w:val="center"/>
      <w:textAlignment w:val="baseline"/>
    </w:pPr>
    <w:rPr>
      <w:rFonts w:ascii="Times New Roman" w:hAnsi="Times New Roman" w:eastAsia="黑体" w:cs="Times New Roman"/>
      <w:spacing w:val="-10"/>
      <w:sz w:val="20"/>
    </w:rPr>
  </w:style>
  <w:style w:type="character" w:customStyle="1" w:styleId="398">
    <w:name w:val="font122"/>
    <w:qFormat/>
    <w:uiPriority w:val="0"/>
    <w:rPr>
      <w:rFonts w:hint="default" w:ascii="仿宋_GB2312" w:eastAsia="仿宋_GB2312" w:cs="仿宋_GB2312"/>
      <w:color w:val="000000"/>
      <w:sz w:val="21"/>
      <w:szCs w:val="21"/>
      <w:u w:val="none"/>
      <w:vertAlign w:val="superscript"/>
    </w:rPr>
  </w:style>
  <w:style w:type="character" w:customStyle="1" w:styleId="399">
    <w:name w:val="表后文 Char"/>
    <w:link w:val="400"/>
    <w:qFormat/>
    <w:uiPriority w:val="0"/>
    <w:rPr>
      <w:rFonts w:eastAsia="楷体_GB2312"/>
      <w:spacing w:val="8"/>
      <w:sz w:val="28"/>
    </w:rPr>
  </w:style>
  <w:style w:type="paragraph" w:customStyle="1" w:styleId="400">
    <w:name w:val="表后文"/>
    <w:basedOn w:val="1"/>
    <w:link w:val="399"/>
    <w:qFormat/>
    <w:uiPriority w:val="0"/>
    <w:pPr>
      <w:adjustRightInd w:val="0"/>
      <w:spacing w:before="120" w:line="400" w:lineRule="exact"/>
      <w:ind w:firstLine="601"/>
      <w:textAlignment w:val="baseline"/>
    </w:pPr>
    <w:rPr>
      <w:rFonts w:ascii="Times New Roman" w:hAnsi="Times New Roman" w:eastAsia="楷体_GB2312" w:cs="Times New Roman"/>
      <w:spacing w:val="8"/>
      <w:sz w:val="28"/>
    </w:rPr>
  </w:style>
  <w:style w:type="character" w:customStyle="1" w:styleId="401">
    <w:name w:val="font121"/>
    <w:qFormat/>
    <w:uiPriority w:val="0"/>
    <w:rPr>
      <w:rFonts w:ascii="仿宋" w:hAnsi="仿宋" w:eastAsia="仿宋" w:cs="仿宋"/>
      <w:color w:val="000000"/>
      <w:sz w:val="21"/>
      <w:szCs w:val="21"/>
      <w:u w:val="none"/>
    </w:rPr>
  </w:style>
  <w:style w:type="character" w:customStyle="1" w:styleId="402">
    <w:name w:val="Bullet 1 Char Char"/>
    <w:link w:val="403"/>
    <w:qFormat/>
    <w:uiPriority w:val="0"/>
    <w:rPr>
      <w:rFonts w:ascii="Futura Bk BT" w:hAnsi="Futura Bk BT" w:eastAsia="PMingLiU"/>
      <w:color w:val="000000"/>
      <w:szCs w:val="22"/>
      <w:lang w:eastAsia="en-US"/>
    </w:rPr>
  </w:style>
  <w:style w:type="paragraph" w:customStyle="1" w:styleId="403">
    <w:name w:val="Bullet 1"/>
    <w:basedOn w:val="1"/>
    <w:link w:val="402"/>
    <w:qFormat/>
    <w:uiPriority w:val="0"/>
    <w:pPr>
      <w:widowControl/>
      <w:tabs>
        <w:tab w:val="left" w:pos="240"/>
        <w:tab w:val="left" w:pos="2700"/>
        <w:tab w:val="left" w:pos="3060"/>
      </w:tabs>
      <w:autoSpaceDE w:val="0"/>
      <w:autoSpaceDN w:val="0"/>
      <w:adjustRightInd w:val="0"/>
      <w:spacing w:line="360" w:lineRule="atLeast"/>
      <w:ind w:left="3060" w:hanging="360"/>
      <w:jc w:val="left"/>
      <w:textAlignment w:val="center"/>
    </w:pPr>
    <w:rPr>
      <w:rFonts w:ascii="Futura Bk BT" w:hAnsi="Futura Bk BT" w:eastAsia="PMingLiU" w:cs="Times New Roman"/>
      <w:color w:val="000000"/>
      <w:sz w:val="20"/>
      <w:szCs w:val="22"/>
      <w:lang w:eastAsia="en-US"/>
    </w:rPr>
  </w:style>
  <w:style w:type="paragraph" w:customStyle="1" w:styleId="404">
    <w:name w:val="xl139"/>
    <w:basedOn w:val="1"/>
    <w:next w:val="405"/>
    <w:qFormat/>
    <w:uiPriority w:val="0"/>
    <w:pPr>
      <w:widowControl/>
      <w:spacing w:before="280" w:after="280"/>
    </w:pPr>
    <w:rPr>
      <w:sz w:val="20"/>
    </w:rPr>
  </w:style>
  <w:style w:type="paragraph" w:customStyle="1" w:styleId="405">
    <w:name w:val="xl134"/>
    <w:basedOn w:val="1"/>
    <w:next w:val="406"/>
    <w:qFormat/>
    <w:uiPriority w:val="0"/>
    <w:pPr>
      <w:widowControl/>
      <w:spacing w:before="280" w:after="280"/>
      <w:jc w:val="center"/>
    </w:pPr>
    <w:rPr>
      <w:sz w:val="20"/>
    </w:rPr>
  </w:style>
  <w:style w:type="paragraph" w:customStyle="1" w:styleId="406">
    <w:name w:val="xl164"/>
    <w:basedOn w:val="1"/>
    <w:next w:val="407"/>
    <w:qFormat/>
    <w:uiPriority w:val="0"/>
    <w:pPr>
      <w:widowControl/>
      <w:spacing w:before="280" w:after="280"/>
      <w:jc w:val="center"/>
    </w:pPr>
    <w:rPr>
      <w:color w:val="000000"/>
      <w:sz w:val="20"/>
    </w:rPr>
  </w:style>
  <w:style w:type="paragraph" w:customStyle="1" w:styleId="407">
    <w:name w:val="_Style 16"/>
    <w:basedOn w:val="1"/>
    <w:next w:val="408"/>
    <w:qFormat/>
    <w:uiPriority w:val="0"/>
    <w:pPr>
      <w:widowControl/>
      <w:spacing w:line="400" w:lineRule="exact"/>
      <w:jc w:val="center"/>
    </w:pPr>
  </w:style>
  <w:style w:type="paragraph" w:customStyle="1" w:styleId="408">
    <w:name w:val="xl142"/>
    <w:basedOn w:val="1"/>
    <w:next w:val="1"/>
    <w:qFormat/>
    <w:uiPriority w:val="0"/>
    <w:pPr>
      <w:widowControl/>
      <w:spacing w:before="280" w:after="280"/>
      <w:jc w:val="center"/>
    </w:pPr>
    <w:rPr>
      <w:color w:val="000000"/>
      <w:sz w:val="20"/>
    </w:rPr>
  </w:style>
  <w:style w:type="paragraph" w:customStyle="1" w:styleId="409">
    <w:name w:val="Char Char Char Char Char Char Char Char Char Char Char Char Char Char Char"/>
    <w:basedOn w:val="1"/>
    <w:next w:val="410"/>
    <w:qFormat/>
    <w:uiPriority w:val="0"/>
    <w:pPr>
      <w:widowControl/>
      <w:spacing w:line="400" w:lineRule="exact"/>
      <w:jc w:val="center"/>
    </w:pPr>
    <w:rPr>
      <w:rFonts w:ascii="Verdana"/>
    </w:rPr>
  </w:style>
  <w:style w:type="paragraph" w:customStyle="1" w:styleId="410">
    <w:name w:val="font13"/>
    <w:basedOn w:val="1"/>
    <w:next w:val="411"/>
    <w:qFormat/>
    <w:uiPriority w:val="0"/>
    <w:pPr>
      <w:widowControl/>
      <w:spacing w:before="280" w:after="280"/>
    </w:pPr>
    <w:rPr>
      <w:sz w:val="20"/>
    </w:rPr>
  </w:style>
  <w:style w:type="paragraph" w:customStyle="1" w:styleId="411">
    <w:name w:val="表格文字"/>
    <w:basedOn w:val="1"/>
    <w:next w:val="1"/>
    <w:qFormat/>
    <w:uiPriority w:val="0"/>
    <w:pPr>
      <w:autoSpaceDE w:val="0"/>
      <w:autoSpaceDN w:val="0"/>
      <w:spacing w:before="6" w:after="6"/>
    </w:pPr>
    <w:rPr>
      <w:sz w:val="20"/>
    </w:rPr>
  </w:style>
  <w:style w:type="paragraph" w:customStyle="1" w:styleId="412">
    <w:name w:val="msoquote"/>
    <w:basedOn w:val="1"/>
    <w:next w:val="1"/>
    <w:qFormat/>
    <w:uiPriority w:val="0"/>
    <w:rPr>
      <w:i/>
      <w:color w:val="000000"/>
    </w:rPr>
  </w:style>
  <w:style w:type="paragraph" w:customStyle="1" w:styleId="413">
    <w:name w:val="目录 92"/>
    <w:next w:val="1"/>
    <w:qFormat/>
    <w:uiPriority w:val="0"/>
    <w:pPr>
      <w:wordWrap w:val="0"/>
      <w:ind w:left="3400"/>
      <w:jc w:val="both"/>
    </w:pPr>
    <w:rPr>
      <w:rFonts w:ascii="宋体" w:hAnsi="宋体" w:eastAsia="宋体" w:cs="宋体"/>
      <w:sz w:val="21"/>
      <w:lang w:val="en-US" w:eastAsia="zh-CN" w:bidi="ar-SA"/>
    </w:rPr>
  </w:style>
  <w:style w:type="paragraph" w:customStyle="1" w:styleId="414">
    <w:name w:val="纯文本11"/>
    <w:basedOn w:val="1"/>
    <w:qFormat/>
    <w:uiPriority w:val="0"/>
    <w:rPr>
      <w:rFonts w:hAnsi="Courier New"/>
    </w:rPr>
  </w:style>
  <w:style w:type="paragraph" w:customStyle="1" w:styleId="415">
    <w:name w:val="Char Char Char Char Char Char Char Char Char Char Char Char Char Char Char Char Char Char Char"/>
    <w:basedOn w:val="1"/>
    <w:next w:val="416"/>
    <w:qFormat/>
    <w:uiPriority w:val="0"/>
    <w:pPr>
      <w:widowControl/>
      <w:spacing w:line="400" w:lineRule="exact"/>
      <w:jc w:val="center"/>
    </w:pPr>
    <w:rPr>
      <w:rFonts w:ascii="Verdana"/>
    </w:rPr>
  </w:style>
  <w:style w:type="paragraph" w:customStyle="1" w:styleId="416">
    <w:name w:val="样式 宋体 首行缩进:  2 字符 段前: 7.8 磅 段后: 7.8 磅"/>
    <w:basedOn w:val="1"/>
    <w:next w:val="417"/>
    <w:qFormat/>
    <w:uiPriority w:val="0"/>
    <w:pPr>
      <w:spacing w:before="156" w:after="156" w:line="360" w:lineRule="auto"/>
      <w:ind w:firstLine="200"/>
    </w:pPr>
  </w:style>
  <w:style w:type="paragraph" w:customStyle="1" w:styleId="417">
    <w:name w:val="样式 标题 2 + Times New Roman 四号 非加粗 段前: 5 磅 段后: 0 磅 行距: 固定值 20..."/>
    <w:basedOn w:val="2"/>
    <w:qFormat/>
    <w:uiPriority w:val="0"/>
    <w:pPr>
      <w:spacing w:before="100" w:after="0" w:line="400" w:lineRule="exact"/>
    </w:pPr>
    <w:rPr>
      <w:rFonts w:ascii="Times New Roman" w:hAnsi="Times New Roman" w:cs="宋体"/>
      <w:b w:val="0"/>
      <w:bCs w:val="0"/>
      <w:kern w:val="0"/>
      <w:sz w:val="28"/>
      <w:szCs w:val="20"/>
    </w:rPr>
  </w:style>
  <w:style w:type="paragraph" w:customStyle="1" w:styleId="418">
    <w:name w:val="style1"/>
    <w:basedOn w:val="1"/>
    <w:next w:val="419"/>
    <w:qFormat/>
    <w:uiPriority w:val="0"/>
    <w:pPr>
      <w:widowControl/>
      <w:spacing w:before="280" w:after="280"/>
    </w:pPr>
  </w:style>
  <w:style w:type="paragraph" w:customStyle="1" w:styleId="419">
    <w:name w:val="百姓X"/>
    <w:basedOn w:val="1"/>
    <w:next w:val="413"/>
    <w:qFormat/>
    <w:uiPriority w:val="0"/>
    <w:pPr>
      <w:spacing w:before="120" w:after="120" w:line="360" w:lineRule="auto"/>
      <w:ind w:firstLine="540"/>
    </w:pPr>
    <w:rPr>
      <w:rFonts w:ascii="Arial Narrow"/>
    </w:rPr>
  </w:style>
  <w:style w:type="paragraph" w:customStyle="1" w:styleId="420">
    <w:name w:val="xl156"/>
    <w:basedOn w:val="1"/>
    <w:next w:val="415"/>
    <w:qFormat/>
    <w:uiPriority w:val="0"/>
    <w:pPr>
      <w:widowControl/>
      <w:shd w:val="clear" w:color="000000" w:fill="C0C0C0"/>
      <w:spacing w:before="280" w:after="280"/>
    </w:pPr>
    <w:rPr>
      <w:sz w:val="20"/>
    </w:rPr>
  </w:style>
  <w:style w:type="paragraph" w:customStyle="1" w:styleId="421">
    <w:name w:val="font7"/>
    <w:basedOn w:val="1"/>
    <w:next w:val="26"/>
    <w:qFormat/>
    <w:uiPriority w:val="0"/>
    <w:pPr>
      <w:widowControl/>
      <w:spacing w:before="280" w:after="280"/>
    </w:pPr>
    <w:rPr>
      <w:sz w:val="18"/>
    </w:rPr>
  </w:style>
  <w:style w:type="paragraph" w:customStyle="1" w:styleId="422">
    <w:name w:val="标题 4_0"/>
    <w:basedOn w:val="31"/>
    <w:next w:val="31"/>
    <w:qFormat/>
    <w:uiPriority w:val="0"/>
    <w:pPr>
      <w:keepNext/>
      <w:keepLines/>
      <w:spacing w:before="280" w:after="290" w:line="372" w:lineRule="auto"/>
      <w:outlineLvl w:val="3"/>
    </w:pPr>
    <w:rPr>
      <w:rFonts w:ascii="Cambria" w:hAnsi="Cambria"/>
      <w:b/>
      <w:bCs/>
      <w:sz w:val="28"/>
      <w:szCs w:val="28"/>
    </w:rPr>
  </w:style>
  <w:style w:type="paragraph" w:customStyle="1" w:styleId="423">
    <w:name w:val="xl170"/>
    <w:basedOn w:val="1"/>
    <w:next w:val="424"/>
    <w:qFormat/>
    <w:uiPriority w:val="0"/>
    <w:pPr>
      <w:widowControl/>
      <w:shd w:val="clear" w:color="000000" w:fill="0066CC"/>
      <w:spacing w:before="280" w:after="280"/>
      <w:jc w:val="center"/>
    </w:pPr>
    <w:rPr>
      <w:sz w:val="20"/>
    </w:rPr>
  </w:style>
  <w:style w:type="paragraph" w:customStyle="1" w:styleId="424">
    <w:name w:val="reader-word-layer reader-word-s1-9"/>
    <w:basedOn w:val="1"/>
    <w:next w:val="47"/>
    <w:qFormat/>
    <w:uiPriority w:val="0"/>
    <w:pPr>
      <w:widowControl/>
      <w:spacing w:before="280" w:after="280"/>
    </w:pPr>
  </w:style>
  <w:style w:type="paragraph" w:customStyle="1" w:styleId="425">
    <w:name w:val="封三"/>
    <w:basedOn w:val="301"/>
    <w:next w:val="301"/>
    <w:qFormat/>
    <w:uiPriority w:val="0"/>
  </w:style>
  <w:style w:type="paragraph" w:customStyle="1" w:styleId="426">
    <w:name w:val="xl161"/>
    <w:basedOn w:val="1"/>
    <w:next w:val="427"/>
    <w:qFormat/>
    <w:uiPriority w:val="0"/>
    <w:pPr>
      <w:widowControl/>
      <w:spacing w:before="280" w:after="280"/>
      <w:jc w:val="center"/>
    </w:pPr>
    <w:rPr>
      <w:color w:val="000000"/>
      <w:sz w:val="20"/>
    </w:rPr>
  </w:style>
  <w:style w:type="paragraph" w:customStyle="1" w:styleId="427">
    <w:name w:val="样式 首行缩进:  2 字符"/>
    <w:basedOn w:val="1"/>
    <w:next w:val="428"/>
    <w:qFormat/>
    <w:uiPriority w:val="0"/>
    <w:pPr>
      <w:spacing w:line="360" w:lineRule="auto"/>
      <w:ind w:firstLine="480"/>
    </w:pPr>
    <w:rPr>
      <w:rFonts w:ascii="Arial"/>
    </w:rPr>
  </w:style>
  <w:style w:type="paragraph" w:customStyle="1" w:styleId="428">
    <w:name w:val="paragraphindent"/>
    <w:basedOn w:val="1"/>
    <w:next w:val="429"/>
    <w:qFormat/>
    <w:uiPriority w:val="0"/>
    <w:pPr>
      <w:widowControl/>
      <w:spacing w:before="280" w:after="280"/>
    </w:pPr>
  </w:style>
  <w:style w:type="paragraph" w:customStyle="1" w:styleId="429">
    <w:name w:val="列出段落11"/>
    <w:basedOn w:val="1"/>
    <w:next w:val="17"/>
    <w:qFormat/>
    <w:uiPriority w:val="0"/>
    <w:pPr>
      <w:ind w:firstLine="420"/>
    </w:pPr>
    <w:rPr>
      <w:rFonts w:ascii="Calibri"/>
    </w:rPr>
  </w:style>
  <w:style w:type="paragraph" w:customStyle="1" w:styleId="430">
    <w:name w:val="空半行"/>
    <w:basedOn w:val="1"/>
    <w:qFormat/>
    <w:uiPriority w:val="0"/>
    <w:pPr>
      <w:adjustRightInd w:val="0"/>
      <w:spacing w:line="120" w:lineRule="exact"/>
      <w:textAlignment w:val="baseline"/>
    </w:pPr>
    <w:rPr>
      <w:rFonts w:eastAsia="仿宋_GB2312"/>
      <w:color w:val="FFFFFF"/>
      <w:sz w:val="30"/>
    </w:rPr>
  </w:style>
  <w:style w:type="paragraph" w:customStyle="1" w:styleId="431">
    <w:name w:val="Char Char1 Char Char Char Char Char Char Char Char Char Char Char Char Char Char"/>
    <w:basedOn w:val="1"/>
    <w:next w:val="423"/>
    <w:qFormat/>
    <w:uiPriority w:val="0"/>
    <w:pPr>
      <w:spacing w:after="160" w:line="240" w:lineRule="exact"/>
    </w:pPr>
  </w:style>
  <w:style w:type="paragraph" w:customStyle="1" w:styleId="432">
    <w:name w:val="样式15"/>
    <w:next w:val="433"/>
    <w:qFormat/>
    <w:uiPriority w:val="0"/>
    <w:pPr>
      <w:widowControl w:val="0"/>
      <w:jc w:val="center"/>
    </w:pPr>
    <w:rPr>
      <w:rFonts w:ascii="Times New Roman" w:hAnsi="宋体" w:eastAsia="宋体" w:cs="宋体"/>
      <w:sz w:val="18"/>
      <w:lang w:val="en-US" w:eastAsia="zh-CN" w:bidi="ar-SA"/>
    </w:rPr>
  </w:style>
  <w:style w:type="paragraph" w:customStyle="1" w:styleId="433">
    <w:name w:val="Char Char Char Char Char Char Char Char Char Char Char Char Char"/>
    <w:basedOn w:val="1"/>
    <w:next w:val="434"/>
    <w:qFormat/>
    <w:uiPriority w:val="0"/>
    <w:pPr>
      <w:ind w:left="420" w:hanging="420"/>
    </w:pPr>
    <w:rPr>
      <w:rFonts w:ascii="Tahoma"/>
    </w:rPr>
  </w:style>
  <w:style w:type="paragraph" w:customStyle="1" w:styleId="434">
    <w:name w:val="xl158"/>
    <w:basedOn w:val="1"/>
    <w:next w:val="435"/>
    <w:qFormat/>
    <w:uiPriority w:val="0"/>
    <w:pPr>
      <w:widowControl/>
      <w:spacing w:before="280" w:after="280"/>
    </w:pPr>
    <w:rPr>
      <w:b/>
      <w:sz w:val="18"/>
    </w:rPr>
  </w:style>
  <w:style w:type="paragraph" w:customStyle="1" w:styleId="435">
    <w:name w:val="TOC 标题1"/>
    <w:basedOn w:val="4"/>
    <w:next w:val="1"/>
    <w:qFormat/>
    <w:uiPriority w:val="0"/>
    <w:pPr>
      <w:keepNext w:val="0"/>
      <w:keepLines w:val="0"/>
      <w:widowControl/>
      <w:spacing w:before="480" w:line="276" w:lineRule="auto"/>
    </w:pPr>
    <w:rPr>
      <w:rFonts w:ascii="Cambria" w:hAnsi="宋体" w:eastAsia="宋体" w:cs="宋体"/>
      <w:bCs w:val="0"/>
      <w:color w:val="365F91"/>
      <w:kern w:val="0"/>
      <w:sz w:val="28"/>
      <w:szCs w:val="20"/>
    </w:rPr>
  </w:style>
  <w:style w:type="paragraph" w:customStyle="1" w:styleId="436">
    <w:name w:val="样式4"/>
    <w:basedOn w:val="1"/>
    <w:next w:val="16"/>
    <w:qFormat/>
    <w:uiPriority w:val="0"/>
    <w:pPr>
      <w:ind w:right="13"/>
      <w:jc w:val="right"/>
    </w:pPr>
    <w:rPr>
      <w:rFonts w:eastAsia="仿宋_GB2312"/>
      <w:sz w:val="28"/>
    </w:rPr>
  </w:style>
  <w:style w:type="paragraph" w:customStyle="1" w:styleId="437">
    <w:name w:val="font11"/>
    <w:basedOn w:val="1"/>
    <w:next w:val="412"/>
    <w:qFormat/>
    <w:uiPriority w:val="0"/>
    <w:pPr>
      <w:widowControl/>
      <w:spacing w:before="280" w:after="280"/>
    </w:pPr>
    <w:rPr>
      <w:sz w:val="18"/>
    </w:rPr>
  </w:style>
  <w:style w:type="paragraph" w:customStyle="1" w:styleId="43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39">
    <w:name w:val="标题_0"/>
    <w:basedOn w:val="440"/>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0">
    <w:name w:val="正文_1"/>
    <w:qFormat/>
    <w:uiPriority w:val="0"/>
    <w:rPr>
      <w:rFonts w:ascii="Times New Roman" w:hAnsi="Times New Roman" w:eastAsia="宋体" w:cs="Times New Roman"/>
      <w:sz w:val="21"/>
      <w:szCs w:val="22"/>
      <w:lang w:val="en-US" w:eastAsia="zh-CN" w:bidi="ar-SA"/>
    </w:rPr>
  </w:style>
  <w:style w:type="paragraph" w:customStyle="1" w:styleId="441">
    <w:name w:val="xl169"/>
    <w:basedOn w:val="1"/>
    <w:next w:val="431"/>
    <w:qFormat/>
    <w:uiPriority w:val="0"/>
    <w:pPr>
      <w:widowControl/>
      <w:shd w:val="clear" w:color="000000" w:fill="C0C0C0"/>
      <w:spacing w:before="280" w:after="280"/>
      <w:jc w:val="center"/>
    </w:pPr>
    <w:rPr>
      <w:sz w:val="20"/>
    </w:rPr>
  </w:style>
  <w:style w:type="paragraph" w:customStyle="1" w:styleId="442">
    <w:name w:val="Char Char Char1 Char Char Char Char Char Char Char"/>
    <w:basedOn w:val="1"/>
    <w:next w:val="41"/>
    <w:qFormat/>
    <w:uiPriority w:val="0"/>
    <w:rPr>
      <w:rFonts w:ascii="Tahoma"/>
    </w:rPr>
  </w:style>
  <w:style w:type="paragraph" w:customStyle="1" w:styleId="443">
    <w:name w:val="章节三"/>
    <w:basedOn w:val="301"/>
    <w:next w:val="301"/>
    <w:qFormat/>
    <w:uiPriority w:val="0"/>
  </w:style>
  <w:style w:type="paragraph" w:customStyle="1" w:styleId="444">
    <w:name w:val="Table Paragraph"/>
    <w:basedOn w:val="1"/>
    <w:next w:val="430"/>
    <w:qFormat/>
    <w:uiPriority w:val="0"/>
    <w:rPr>
      <w:rFonts w:ascii="Calibri"/>
      <w:sz w:val="22"/>
    </w:rPr>
  </w:style>
  <w:style w:type="paragraph" w:customStyle="1" w:styleId="445">
    <w:name w:val="xl24"/>
    <w:basedOn w:val="1"/>
    <w:next w:val="446"/>
    <w:qFormat/>
    <w:uiPriority w:val="0"/>
    <w:pPr>
      <w:widowControl/>
      <w:spacing w:before="280" w:after="280"/>
    </w:pPr>
    <w:rPr>
      <w:sz w:val="20"/>
    </w:rPr>
  </w:style>
  <w:style w:type="paragraph" w:customStyle="1" w:styleId="446">
    <w:name w:val="xl159"/>
    <w:basedOn w:val="1"/>
    <w:next w:val="447"/>
    <w:qFormat/>
    <w:uiPriority w:val="0"/>
    <w:pPr>
      <w:widowControl/>
      <w:spacing w:before="280" w:after="280"/>
    </w:pPr>
    <w:rPr>
      <w:b/>
      <w:sz w:val="18"/>
    </w:rPr>
  </w:style>
  <w:style w:type="paragraph" w:customStyle="1" w:styleId="447">
    <w:name w:val="xl171"/>
    <w:basedOn w:val="1"/>
    <w:next w:val="418"/>
    <w:qFormat/>
    <w:uiPriority w:val="0"/>
    <w:pPr>
      <w:widowControl/>
      <w:spacing w:before="280" w:after="280"/>
      <w:jc w:val="center"/>
    </w:pPr>
    <w:rPr>
      <w:rFonts w:ascii="华文中宋" w:eastAsia="华文中宋"/>
    </w:rPr>
  </w:style>
  <w:style w:type="paragraph" w:customStyle="1" w:styleId="448">
    <w:name w:val="xl152"/>
    <w:basedOn w:val="1"/>
    <w:next w:val="449"/>
    <w:qFormat/>
    <w:uiPriority w:val="0"/>
    <w:pPr>
      <w:widowControl/>
      <w:spacing w:before="280" w:after="280"/>
    </w:pPr>
    <w:rPr>
      <w:b/>
      <w:sz w:val="18"/>
    </w:rPr>
  </w:style>
  <w:style w:type="paragraph" w:customStyle="1" w:styleId="449">
    <w:name w:val="reader-word-layer reader-word-s1-11"/>
    <w:basedOn w:val="1"/>
    <w:next w:val="450"/>
    <w:qFormat/>
    <w:uiPriority w:val="0"/>
    <w:pPr>
      <w:widowControl/>
      <w:spacing w:before="280" w:after="280"/>
    </w:pPr>
  </w:style>
  <w:style w:type="paragraph" w:customStyle="1" w:styleId="450">
    <w:name w:val="目录 21"/>
    <w:next w:val="1"/>
    <w:qFormat/>
    <w:uiPriority w:val="0"/>
    <w:pPr>
      <w:wordWrap w:val="0"/>
      <w:ind w:left="425"/>
      <w:jc w:val="both"/>
    </w:pPr>
    <w:rPr>
      <w:rFonts w:ascii="宋体" w:hAnsi="宋体" w:eastAsia="宋体" w:cs="宋体"/>
      <w:sz w:val="21"/>
      <w:lang w:val="en-US" w:eastAsia="zh-CN" w:bidi="ar-SA"/>
    </w:rPr>
  </w:style>
  <w:style w:type="paragraph" w:customStyle="1" w:styleId="451">
    <w:name w:val="xl151"/>
    <w:basedOn w:val="1"/>
    <w:next w:val="452"/>
    <w:qFormat/>
    <w:uiPriority w:val="0"/>
    <w:pPr>
      <w:widowControl/>
      <w:spacing w:before="280" w:after="280"/>
    </w:pPr>
  </w:style>
  <w:style w:type="paragraph" w:customStyle="1" w:styleId="452">
    <w:name w:val="p15"/>
    <w:basedOn w:val="1"/>
    <w:next w:val="453"/>
    <w:qFormat/>
    <w:uiPriority w:val="0"/>
    <w:pPr>
      <w:widowControl/>
      <w:ind w:firstLine="420"/>
    </w:pPr>
  </w:style>
  <w:style w:type="paragraph" w:customStyle="1" w:styleId="453">
    <w:name w:val="TOC Heading1"/>
    <w:next w:val="1"/>
    <w:qFormat/>
    <w:uiPriority w:val="0"/>
    <w:pPr>
      <w:wordWrap w:val="0"/>
    </w:pPr>
    <w:rPr>
      <w:rFonts w:ascii="宋体" w:hAnsi="宋体" w:eastAsia="宋体" w:cs="宋体"/>
      <w:sz w:val="32"/>
      <w:lang w:val="en-US" w:eastAsia="zh-CN" w:bidi="ar-SA"/>
    </w:rPr>
  </w:style>
  <w:style w:type="paragraph" w:customStyle="1" w:styleId="454">
    <w:name w:val="目录 41"/>
    <w:basedOn w:val="1"/>
    <w:next w:val="1"/>
    <w:qFormat/>
    <w:uiPriority w:val="0"/>
    <w:pPr>
      <w:ind w:left="630"/>
    </w:pPr>
    <w:rPr>
      <w:rFonts w:ascii="Calibri"/>
    </w:rPr>
  </w:style>
  <w:style w:type="paragraph" w:customStyle="1" w:styleId="455">
    <w:name w:val="封二"/>
    <w:basedOn w:val="301"/>
    <w:next w:val="301"/>
    <w:qFormat/>
    <w:uiPriority w:val="0"/>
  </w:style>
  <w:style w:type="paragraph" w:customStyle="1" w:styleId="456">
    <w:name w:val="reader-word-layer reader-word-s1-10"/>
    <w:basedOn w:val="1"/>
    <w:next w:val="454"/>
    <w:qFormat/>
    <w:uiPriority w:val="0"/>
    <w:pPr>
      <w:widowControl/>
      <w:spacing w:before="280" w:after="280"/>
    </w:pPr>
  </w:style>
  <w:style w:type="paragraph" w:customStyle="1" w:styleId="457">
    <w:name w:val="Char Char Char Char Char Char Char Char Char Char Char Char Char Char Char Char Char Char Char Char Char Char Char Char Char1"/>
    <w:basedOn w:val="1"/>
    <w:qFormat/>
    <w:uiPriority w:val="0"/>
    <w:rPr>
      <w:rFonts w:ascii="Calibri" w:hAnsi="Calibri"/>
    </w:rPr>
  </w:style>
  <w:style w:type="paragraph" w:customStyle="1" w:styleId="458">
    <w:name w:val="xl149"/>
    <w:basedOn w:val="1"/>
    <w:next w:val="459"/>
    <w:qFormat/>
    <w:uiPriority w:val="0"/>
    <w:pPr>
      <w:widowControl/>
      <w:spacing w:before="280" w:after="280"/>
    </w:pPr>
    <w:rPr>
      <w:sz w:val="18"/>
    </w:rPr>
  </w:style>
  <w:style w:type="paragraph" w:customStyle="1" w:styleId="459">
    <w:name w:val="xl133"/>
    <w:basedOn w:val="1"/>
    <w:next w:val="460"/>
    <w:qFormat/>
    <w:uiPriority w:val="0"/>
    <w:pPr>
      <w:widowControl/>
      <w:shd w:val="clear" w:color="000000" w:fill="C0C0C0"/>
      <w:spacing w:before="280" w:after="280"/>
    </w:pPr>
    <w:rPr>
      <w:sz w:val="20"/>
    </w:rPr>
  </w:style>
  <w:style w:type="paragraph" w:customStyle="1" w:styleId="460">
    <w:name w:val="msointensequote"/>
    <w:basedOn w:val="1"/>
    <w:next w:val="1"/>
    <w:qFormat/>
    <w:uiPriority w:val="0"/>
    <w:pPr>
      <w:spacing w:before="200" w:after="280"/>
      <w:ind w:left="936" w:right="936"/>
    </w:pPr>
    <w:rPr>
      <w:b/>
      <w:i/>
      <w:color w:val="4F81BD"/>
    </w:rPr>
  </w:style>
  <w:style w:type="paragraph" w:customStyle="1" w:styleId="461">
    <w:name w:val="Char Char Char Char Char Char Char Char Char Char Char Char Char11"/>
    <w:basedOn w:val="1"/>
    <w:next w:val="462"/>
    <w:qFormat/>
    <w:uiPriority w:val="0"/>
    <w:pPr>
      <w:ind w:left="420" w:hanging="420"/>
    </w:pPr>
    <w:rPr>
      <w:rFonts w:ascii="Tahoma"/>
    </w:rPr>
  </w:style>
  <w:style w:type="paragraph" w:customStyle="1" w:styleId="462">
    <w:name w:val="Char Char Char Char1"/>
    <w:basedOn w:val="1"/>
    <w:next w:val="1"/>
    <w:qFormat/>
    <w:uiPriority w:val="0"/>
    <w:pPr>
      <w:widowControl/>
      <w:spacing w:after="160" w:line="240" w:lineRule="exact"/>
    </w:pPr>
  </w:style>
  <w:style w:type="paragraph" w:customStyle="1" w:styleId="463">
    <w:name w:val="普通(网站)1"/>
    <w:basedOn w:val="1"/>
    <w:next w:val="1"/>
    <w:qFormat/>
    <w:uiPriority w:val="0"/>
    <w:pPr>
      <w:widowControl/>
      <w:wordWrap w:val="0"/>
    </w:pPr>
    <w:rPr>
      <w:rFonts w:eastAsia="Times New Roman"/>
    </w:rPr>
  </w:style>
  <w:style w:type="paragraph" w:customStyle="1" w:styleId="464">
    <w:name w:val="默认段落字体 Para Char Char Char Char"/>
    <w:basedOn w:val="1"/>
    <w:next w:val="37"/>
    <w:qFormat/>
    <w:uiPriority w:val="0"/>
  </w:style>
  <w:style w:type="paragraph" w:customStyle="1" w:styleId="465">
    <w:name w:val="WPSOffice手动目录 1"/>
    <w:qFormat/>
    <w:uiPriority w:val="0"/>
    <w:rPr>
      <w:rFonts w:ascii="Times New Roman" w:hAnsi="Times New Roman" w:eastAsia="宋体" w:cs="Times New Roman"/>
      <w:lang w:val="en-US" w:eastAsia="zh-CN" w:bidi="ar-SA"/>
    </w:rPr>
  </w:style>
  <w:style w:type="paragraph" w:customStyle="1" w:styleId="466">
    <w:name w:val="目录 31"/>
    <w:basedOn w:val="1"/>
    <w:next w:val="1"/>
    <w:qFormat/>
    <w:uiPriority w:val="0"/>
    <w:pPr>
      <w:ind w:left="840"/>
    </w:pPr>
    <w:rPr>
      <w:rFonts w:eastAsia="仿宋_GB2312"/>
      <w:sz w:val="28"/>
    </w:rPr>
  </w:style>
  <w:style w:type="paragraph" w:customStyle="1" w:styleId="467">
    <w:name w:val="xl131"/>
    <w:basedOn w:val="1"/>
    <w:next w:val="468"/>
    <w:qFormat/>
    <w:uiPriority w:val="0"/>
    <w:pPr>
      <w:widowControl/>
      <w:spacing w:before="280" w:after="280"/>
    </w:pPr>
  </w:style>
  <w:style w:type="paragraph" w:customStyle="1" w:styleId="468">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469">
    <w:name w:val="Paragraph P1&amp;2"/>
    <w:basedOn w:val="1"/>
    <w:next w:val="441"/>
    <w:qFormat/>
    <w:uiPriority w:val="0"/>
    <w:pPr>
      <w:widowControl/>
      <w:spacing w:before="40" w:after="60" w:line="360" w:lineRule="auto"/>
      <w:ind w:left="720" w:hanging="360"/>
    </w:pPr>
    <w:rPr>
      <w:color w:val="FF0000"/>
    </w:rPr>
  </w:style>
  <w:style w:type="paragraph" w:customStyle="1" w:styleId="470">
    <w:name w:val="TOC 标题_0"/>
    <w:basedOn w:val="471"/>
    <w:next w:val="31"/>
    <w:qFormat/>
    <w:uiPriority w:val="0"/>
    <w:pPr>
      <w:outlineLvl w:val="9"/>
    </w:pPr>
    <w:rPr>
      <w:rFonts w:ascii="Calibri" w:hAnsi="Calibri"/>
    </w:rPr>
  </w:style>
  <w:style w:type="paragraph" w:customStyle="1" w:styleId="471">
    <w:name w:val="标题 1_0"/>
    <w:basedOn w:val="31"/>
    <w:next w:val="31"/>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472">
    <w:name w:val="Char Char Char1 Char1"/>
    <w:basedOn w:val="2"/>
    <w:next w:val="1"/>
    <w:qFormat/>
    <w:uiPriority w:val="0"/>
    <w:pPr>
      <w:keepNext w:val="0"/>
      <w:keepLines w:val="0"/>
      <w:spacing w:before="120" w:after="120" w:line="240" w:lineRule="auto"/>
    </w:pPr>
    <w:rPr>
      <w:rFonts w:hAnsi="宋体" w:cs="宋体"/>
      <w:bCs w:val="0"/>
      <w:kern w:val="0"/>
      <w:sz w:val="32"/>
      <w:szCs w:val="20"/>
    </w:rPr>
  </w:style>
  <w:style w:type="paragraph" w:customStyle="1" w:styleId="473">
    <w:name w:val="样式14"/>
    <w:next w:val="474"/>
    <w:qFormat/>
    <w:uiPriority w:val="0"/>
    <w:pPr>
      <w:widowControl w:val="0"/>
      <w:jc w:val="center"/>
    </w:pPr>
    <w:rPr>
      <w:rFonts w:ascii="Times New Roman" w:hAnsi="宋体" w:eastAsia="宋体" w:cs="宋体"/>
      <w:sz w:val="18"/>
      <w:lang w:val="en-US" w:eastAsia="zh-CN" w:bidi="ar-SA"/>
    </w:rPr>
  </w:style>
  <w:style w:type="paragraph" w:customStyle="1" w:styleId="474">
    <w:name w:val="Char Char2 Char Char Char Char"/>
    <w:basedOn w:val="1"/>
    <w:next w:val="475"/>
    <w:qFormat/>
    <w:uiPriority w:val="0"/>
    <w:rPr>
      <w:rFonts w:ascii="Tahoma"/>
    </w:rPr>
  </w:style>
  <w:style w:type="paragraph" w:customStyle="1" w:styleId="475">
    <w:name w:val="xl165"/>
    <w:basedOn w:val="1"/>
    <w:next w:val="476"/>
    <w:qFormat/>
    <w:uiPriority w:val="0"/>
    <w:pPr>
      <w:widowControl/>
      <w:spacing w:before="280" w:after="280"/>
    </w:pPr>
    <w:rPr>
      <w:sz w:val="18"/>
    </w:rPr>
  </w:style>
  <w:style w:type="paragraph" w:customStyle="1" w:styleId="476">
    <w:name w:val="样式 标题 3 + (中文) 黑体 小四 非加粗 段前: 7.8 磅 段后: 0 磅 行距: 固定值 20 磅"/>
    <w:basedOn w:val="5"/>
    <w:qFormat/>
    <w:uiPriority w:val="0"/>
    <w:pPr>
      <w:spacing w:line="400" w:lineRule="exact"/>
    </w:pPr>
    <w:rPr>
      <w:rFonts w:cs="宋体"/>
      <w:b w:val="0"/>
      <w:bCs w:val="0"/>
      <w:szCs w:val="20"/>
    </w:rPr>
  </w:style>
  <w:style w:type="paragraph" w:customStyle="1" w:styleId="477">
    <w:name w:val="目录 51"/>
    <w:basedOn w:val="1"/>
    <w:next w:val="1"/>
    <w:qFormat/>
    <w:uiPriority w:val="0"/>
    <w:pPr>
      <w:ind w:left="1050"/>
    </w:pPr>
    <w:rPr>
      <w:rFonts w:ascii="Calibri"/>
    </w:rPr>
  </w:style>
  <w:style w:type="paragraph" w:customStyle="1" w:styleId="478">
    <w:name w:val="xl136"/>
    <w:basedOn w:val="1"/>
    <w:next w:val="420"/>
    <w:qFormat/>
    <w:uiPriority w:val="0"/>
    <w:pPr>
      <w:widowControl/>
      <w:spacing w:before="280" w:after="280"/>
      <w:jc w:val="center"/>
    </w:pPr>
    <w:rPr>
      <w:sz w:val="20"/>
    </w:rPr>
  </w:style>
  <w:style w:type="paragraph" w:customStyle="1" w:styleId="479">
    <w:name w:val="样式13"/>
    <w:next w:val="480"/>
    <w:qFormat/>
    <w:uiPriority w:val="0"/>
    <w:pPr>
      <w:widowControl w:val="0"/>
      <w:jc w:val="center"/>
    </w:pPr>
    <w:rPr>
      <w:rFonts w:ascii="Times New Roman" w:hAnsi="宋体" w:eastAsia="宋体" w:cs="宋体"/>
      <w:sz w:val="18"/>
      <w:lang w:val="en-US" w:eastAsia="zh-CN" w:bidi="ar-SA"/>
    </w:rPr>
  </w:style>
  <w:style w:type="paragraph" w:customStyle="1" w:styleId="480">
    <w:name w:val="样式 (中文) 黑体 小二 居中 行距: 1.5 倍行距"/>
    <w:basedOn w:val="1"/>
    <w:next w:val="1"/>
    <w:qFormat/>
    <w:uiPriority w:val="0"/>
    <w:pPr>
      <w:jc w:val="center"/>
    </w:pPr>
    <w:rPr>
      <w:rFonts w:eastAsia="黑体"/>
      <w:sz w:val="36"/>
    </w:rPr>
  </w:style>
  <w:style w:type="paragraph" w:customStyle="1" w:styleId="481">
    <w:name w:val="Heading 71"/>
    <w:basedOn w:val="1"/>
    <w:next w:val="473"/>
    <w:qFormat/>
    <w:uiPriority w:val="0"/>
    <w:pPr>
      <w:outlineLvl w:val="7"/>
    </w:pPr>
    <w:rPr>
      <w:sz w:val="28"/>
    </w:rPr>
  </w:style>
  <w:style w:type="paragraph" w:customStyle="1" w:styleId="482">
    <w:name w:val="样式12"/>
    <w:next w:val="483"/>
    <w:qFormat/>
    <w:uiPriority w:val="0"/>
    <w:pPr>
      <w:widowControl w:val="0"/>
      <w:jc w:val="center"/>
    </w:pPr>
    <w:rPr>
      <w:rFonts w:ascii="Times New Roman" w:hAnsi="宋体" w:eastAsia="宋体" w:cs="宋体"/>
      <w:sz w:val="18"/>
      <w:lang w:val="en-US" w:eastAsia="zh-CN" w:bidi="ar-SA"/>
    </w:rPr>
  </w:style>
  <w:style w:type="paragraph" w:customStyle="1" w:styleId="483">
    <w:name w:val="Char Char1 Char Char Char"/>
    <w:next w:val="484"/>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484">
    <w:name w:val="Heading 41"/>
    <w:basedOn w:val="1"/>
    <w:next w:val="485"/>
    <w:qFormat/>
    <w:uiPriority w:val="0"/>
    <w:pPr>
      <w:outlineLvl w:val="4"/>
    </w:pPr>
    <w:rPr>
      <w:sz w:val="32"/>
    </w:rPr>
  </w:style>
  <w:style w:type="paragraph" w:customStyle="1" w:styleId="485">
    <w:name w:val="Char"/>
    <w:basedOn w:val="1"/>
    <w:next w:val="486"/>
    <w:qFormat/>
    <w:uiPriority w:val="0"/>
    <w:pPr>
      <w:widowControl/>
      <w:spacing w:line="400" w:lineRule="exact"/>
      <w:jc w:val="center"/>
    </w:pPr>
  </w:style>
  <w:style w:type="paragraph" w:customStyle="1" w:styleId="486">
    <w:name w:val="目录 52"/>
    <w:next w:val="1"/>
    <w:qFormat/>
    <w:uiPriority w:val="0"/>
    <w:pPr>
      <w:wordWrap w:val="0"/>
      <w:ind w:left="1700"/>
      <w:jc w:val="both"/>
    </w:pPr>
    <w:rPr>
      <w:rFonts w:ascii="宋体" w:hAnsi="宋体" w:eastAsia="宋体" w:cs="宋体"/>
      <w:sz w:val="21"/>
      <w:lang w:val="en-US" w:eastAsia="zh-CN" w:bidi="ar-SA"/>
    </w:rPr>
  </w:style>
  <w:style w:type="paragraph" w:customStyle="1" w:styleId="487">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488">
    <w:name w:val="xl141"/>
    <w:basedOn w:val="1"/>
    <w:next w:val="489"/>
    <w:qFormat/>
    <w:uiPriority w:val="0"/>
    <w:pPr>
      <w:widowControl/>
      <w:spacing w:before="280" w:after="280"/>
    </w:pPr>
    <w:rPr>
      <w:b/>
      <w:sz w:val="18"/>
    </w:rPr>
  </w:style>
  <w:style w:type="paragraph" w:customStyle="1" w:styleId="489">
    <w:name w:val="xl155"/>
    <w:basedOn w:val="1"/>
    <w:next w:val="490"/>
    <w:qFormat/>
    <w:uiPriority w:val="0"/>
    <w:pPr>
      <w:widowControl/>
      <w:shd w:val="clear" w:color="000000" w:fill="C0C0C0"/>
      <w:spacing w:before="280" w:after="280"/>
    </w:pPr>
    <w:rPr>
      <w:sz w:val="20"/>
    </w:rPr>
  </w:style>
  <w:style w:type="paragraph" w:customStyle="1" w:styleId="490">
    <w:name w:val="样式 标题 3h3section:3Level 3 HeadH3level_3PIM 33rd level3H..."/>
    <w:basedOn w:val="5"/>
    <w:next w:val="491"/>
    <w:qFormat/>
    <w:uiPriority w:val="0"/>
    <w:pPr>
      <w:keepNext w:val="0"/>
      <w:keepLines w:val="0"/>
      <w:spacing w:before="260" w:after="260" w:line="416" w:lineRule="atLeast"/>
      <w:ind w:left="1680" w:hanging="420"/>
    </w:pPr>
    <w:rPr>
      <w:rFonts w:ascii="Arial" w:hAnsi="宋体" w:eastAsia="宋体" w:cs="宋体"/>
      <w:bCs w:val="0"/>
      <w:kern w:val="0"/>
      <w:sz w:val="24"/>
      <w:szCs w:val="20"/>
    </w:rPr>
  </w:style>
  <w:style w:type="paragraph" w:customStyle="1" w:styleId="491">
    <w:name w:val="Char Char Char Char Char Char Char1"/>
    <w:basedOn w:val="1"/>
    <w:next w:val="492"/>
    <w:qFormat/>
    <w:uiPriority w:val="0"/>
    <w:pPr>
      <w:widowControl/>
      <w:spacing w:line="400" w:lineRule="exact"/>
      <w:jc w:val="center"/>
    </w:pPr>
    <w:rPr>
      <w:rFonts w:ascii="Verdana"/>
    </w:rPr>
  </w:style>
  <w:style w:type="paragraph" w:customStyle="1" w:styleId="492">
    <w:name w:val="xl147"/>
    <w:basedOn w:val="1"/>
    <w:next w:val="493"/>
    <w:qFormat/>
    <w:uiPriority w:val="0"/>
    <w:pPr>
      <w:widowControl/>
      <w:spacing w:before="280" w:after="280"/>
    </w:pPr>
    <w:rPr>
      <w:sz w:val="20"/>
    </w:rPr>
  </w:style>
  <w:style w:type="paragraph" w:customStyle="1" w:styleId="493">
    <w:name w:val="xl163"/>
    <w:basedOn w:val="1"/>
    <w:next w:val="494"/>
    <w:qFormat/>
    <w:uiPriority w:val="0"/>
    <w:pPr>
      <w:widowControl/>
      <w:spacing w:before="280" w:after="280"/>
    </w:pPr>
    <w:rPr>
      <w:color w:val="000000"/>
      <w:sz w:val="18"/>
    </w:rPr>
  </w:style>
  <w:style w:type="paragraph" w:customStyle="1" w:styleId="494">
    <w:name w:val="Address"/>
    <w:basedOn w:val="1"/>
    <w:next w:val="1"/>
    <w:qFormat/>
    <w:uiPriority w:val="0"/>
    <w:pPr>
      <w:autoSpaceDE w:val="0"/>
      <w:autoSpaceDN w:val="0"/>
    </w:pPr>
    <w:rPr>
      <w:i/>
    </w:rPr>
  </w:style>
  <w:style w:type="paragraph" w:customStyle="1" w:styleId="495">
    <w:name w:val="样式3 (1)"/>
    <w:basedOn w:val="1"/>
    <w:qFormat/>
    <w:uiPriority w:val="0"/>
    <w:pPr>
      <w:widowControl/>
      <w:tabs>
        <w:tab w:val="left" w:pos="510"/>
      </w:tabs>
      <w:adjustRightInd w:val="0"/>
      <w:spacing w:line="360" w:lineRule="auto"/>
    </w:pPr>
    <w:rPr>
      <w:rFonts w:ascii="Calibri" w:hAnsi="Calibri"/>
    </w:rPr>
  </w:style>
  <w:style w:type="paragraph" w:customStyle="1" w:styleId="496">
    <w:name w:val="表格标题"/>
    <w:basedOn w:val="1"/>
    <w:qFormat/>
    <w:uiPriority w:val="0"/>
    <w:pPr>
      <w:adjustRightInd w:val="0"/>
      <w:spacing w:before="120" w:line="400" w:lineRule="exact"/>
      <w:jc w:val="center"/>
      <w:textAlignment w:val="baseline"/>
    </w:pPr>
    <w:rPr>
      <w:rFonts w:ascii="Times New Roman" w:hAnsi="Times New Roman" w:eastAsia="文鼎CS中宋" w:cs="Times New Roman"/>
      <w:spacing w:val="8"/>
    </w:rPr>
  </w:style>
  <w:style w:type="paragraph" w:customStyle="1" w:styleId="497">
    <w:name w:val="目录 42"/>
    <w:next w:val="1"/>
    <w:qFormat/>
    <w:uiPriority w:val="0"/>
    <w:pPr>
      <w:wordWrap w:val="0"/>
      <w:ind w:left="1275"/>
      <w:jc w:val="both"/>
    </w:pPr>
    <w:rPr>
      <w:rFonts w:ascii="宋体" w:hAnsi="宋体" w:eastAsia="宋体" w:cs="宋体"/>
      <w:sz w:val="21"/>
      <w:lang w:val="en-US" w:eastAsia="zh-CN" w:bidi="ar-SA"/>
    </w:rPr>
  </w:style>
  <w:style w:type="paragraph" w:customStyle="1" w:styleId="498">
    <w:name w:val="样式8"/>
    <w:basedOn w:val="1"/>
    <w:next w:val="499"/>
    <w:qFormat/>
    <w:uiPriority w:val="0"/>
    <w:pPr>
      <w:spacing w:before="260" w:after="260"/>
      <w:jc w:val="center"/>
      <w:outlineLvl w:val="1"/>
    </w:pPr>
    <w:rPr>
      <w:rFonts w:ascii="Arial" w:eastAsia="黑体"/>
      <w:b/>
      <w:sz w:val="72"/>
    </w:rPr>
  </w:style>
  <w:style w:type="paragraph" w:customStyle="1" w:styleId="499">
    <w:name w:val="xl145"/>
    <w:basedOn w:val="1"/>
    <w:next w:val="500"/>
    <w:qFormat/>
    <w:uiPriority w:val="0"/>
    <w:pPr>
      <w:widowControl/>
      <w:spacing w:before="280" w:after="280"/>
      <w:jc w:val="center"/>
    </w:pPr>
    <w:rPr>
      <w:color w:val="000000"/>
      <w:sz w:val="20"/>
    </w:rPr>
  </w:style>
  <w:style w:type="paragraph" w:customStyle="1" w:styleId="500">
    <w:name w:val="Char Char Char Char Char Char Char Char Char Char Char Char Char Char Char Char Char Char Char1"/>
    <w:basedOn w:val="1"/>
    <w:next w:val="1"/>
    <w:qFormat/>
    <w:uiPriority w:val="0"/>
    <w:pPr>
      <w:widowControl/>
      <w:spacing w:line="400" w:lineRule="exact"/>
      <w:jc w:val="center"/>
    </w:pPr>
    <w:rPr>
      <w:rFonts w:ascii="Verdana"/>
    </w:rPr>
  </w:style>
  <w:style w:type="paragraph" w:customStyle="1" w:styleId="501">
    <w:name w:val="_Style 37"/>
    <w:basedOn w:val="1"/>
    <w:next w:val="1"/>
    <w:qFormat/>
    <w:uiPriority w:val="0"/>
  </w:style>
  <w:style w:type="paragraph" w:customStyle="1" w:styleId="502">
    <w:name w:val="xl154"/>
    <w:basedOn w:val="1"/>
    <w:next w:val="503"/>
    <w:qFormat/>
    <w:uiPriority w:val="0"/>
    <w:pPr>
      <w:widowControl/>
      <w:shd w:val="clear" w:color="000000" w:fill="C0C0C0"/>
      <w:spacing w:before="280" w:after="280"/>
    </w:pPr>
    <w:rPr>
      <w:sz w:val="20"/>
    </w:rPr>
  </w:style>
  <w:style w:type="paragraph" w:customStyle="1" w:styleId="503">
    <w:name w:val="样式3"/>
    <w:basedOn w:val="5"/>
    <w:next w:val="1"/>
    <w:qFormat/>
    <w:uiPriority w:val="0"/>
    <w:pPr>
      <w:keepNext w:val="0"/>
      <w:keepLines w:val="0"/>
      <w:spacing w:before="260" w:after="260" w:line="240" w:lineRule="auto"/>
      <w:jc w:val="center"/>
    </w:pPr>
    <w:rPr>
      <w:rFonts w:hAnsi="宋体" w:cs="宋体"/>
      <w:bCs w:val="0"/>
      <w:kern w:val="0"/>
      <w:sz w:val="32"/>
      <w:szCs w:val="20"/>
    </w:rPr>
  </w:style>
  <w:style w:type="paragraph" w:customStyle="1" w:styleId="504">
    <w:name w:val="xl148"/>
    <w:basedOn w:val="1"/>
    <w:next w:val="442"/>
    <w:qFormat/>
    <w:uiPriority w:val="0"/>
    <w:pPr>
      <w:widowControl/>
      <w:spacing w:before="280" w:after="280"/>
    </w:pPr>
    <w:rPr>
      <w:sz w:val="20"/>
    </w:rPr>
  </w:style>
  <w:style w:type="paragraph" w:customStyle="1" w:styleId="505">
    <w:name w:val="Blockquote"/>
    <w:basedOn w:val="1"/>
    <w:next w:val="506"/>
    <w:qFormat/>
    <w:uiPriority w:val="0"/>
    <w:pPr>
      <w:autoSpaceDE w:val="0"/>
      <w:autoSpaceDN w:val="0"/>
      <w:spacing w:before="100" w:after="100"/>
      <w:ind w:left="360" w:right="360"/>
    </w:pPr>
  </w:style>
  <w:style w:type="paragraph" w:customStyle="1" w:styleId="506">
    <w:name w:val="Char Char Char"/>
    <w:basedOn w:val="1"/>
    <w:next w:val="507"/>
    <w:qFormat/>
    <w:uiPriority w:val="0"/>
    <w:pPr>
      <w:ind w:left="420" w:hanging="420"/>
    </w:pPr>
    <w:rPr>
      <w:rFonts w:ascii="Tahoma"/>
    </w:rPr>
  </w:style>
  <w:style w:type="paragraph" w:customStyle="1" w:styleId="507">
    <w:name w:val="xl144"/>
    <w:basedOn w:val="1"/>
    <w:next w:val="437"/>
    <w:qFormat/>
    <w:uiPriority w:val="0"/>
    <w:pPr>
      <w:widowControl/>
      <w:spacing w:before="280" w:after="280"/>
      <w:jc w:val="center"/>
    </w:pPr>
    <w:rPr>
      <w:sz w:val="20"/>
    </w:rPr>
  </w:style>
  <w:style w:type="paragraph" w:customStyle="1" w:styleId="508">
    <w:name w:val="Char Char Char Char Char Char Char Char Char Char Char Char Char Char Char1"/>
    <w:basedOn w:val="1"/>
    <w:next w:val="509"/>
    <w:qFormat/>
    <w:uiPriority w:val="0"/>
    <w:pPr>
      <w:widowControl/>
      <w:spacing w:line="400" w:lineRule="exact"/>
      <w:jc w:val="center"/>
    </w:pPr>
    <w:rPr>
      <w:rFonts w:ascii="Verdana"/>
    </w:rPr>
  </w:style>
  <w:style w:type="paragraph" w:customStyle="1" w:styleId="509">
    <w:name w:val="Char1"/>
    <w:basedOn w:val="1"/>
    <w:qFormat/>
    <w:uiPriority w:val="0"/>
    <w:pPr>
      <w:widowControl/>
      <w:spacing w:after="160" w:line="240" w:lineRule="exact"/>
      <w:jc w:val="left"/>
    </w:pPr>
  </w:style>
  <w:style w:type="paragraph" w:customStyle="1" w:styleId="510">
    <w:name w:val="默认段落字体 Para Char"/>
    <w:basedOn w:val="1"/>
    <w:next w:val="511"/>
    <w:qFormat/>
    <w:uiPriority w:val="0"/>
  </w:style>
  <w:style w:type="paragraph" w:customStyle="1" w:styleId="511">
    <w:name w:val="样式5"/>
    <w:basedOn w:val="512"/>
    <w:next w:val="513"/>
    <w:qFormat/>
    <w:uiPriority w:val="0"/>
    <w:pPr>
      <w:spacing w:before="340" w:after="330" w:line="360" w:lineRule="auto"/>
      <w:ind w:firstLine="0" w:firstLineChars="0"/>
      <w:jc w:val="center"/>
      <w:outlineLvl w:val="0"/>
    </w:pPr>
    <w:rPr>
      <w:rFonts w:ascii="Times New Roman" w:hAnsi="宋体" w:eastAsia="黑体"/>
      <w:b/>
      <w:sz w:val="36"/>
      <w:szCs w:val="20"/>
    </w:rPr>
  </w:style>
  <w:style w:type="paragraph" w:styleId="512">
    <w:name w:val="List Paragraph"/>
    <w:basedOn w:val="1"/>
    <w:qFormat/>
    <w:uiPriority w:val="34"/>
    <w:pPr>
      <w:ind w:firstLine="420" w:firstLineChars="200"/>
    </w:pPr>
    <w:rPr>
      <w:rFonts w:ascii="Calibri" w:hAnsi="Calibri"/>
      <w:szCs w:val="22"/>
    </w:rPr>
  </w:style>
  <w:style w:type="paragraph" w:customStyle="1" w:styleId="513">
    <w:name w:val="Char Char Char1 Char"/>
    <w:basedOn w:val="1"/>
    <w:next w:val="39"/>
    <w:qFormat/>
    <w:uiPriority w:val="0"/>
  </w:style>
  <w:style w:type="paragraph" w:customStyle="1" w:styleId="514">
    <w:name w:val="Char2"/>
    <w:basedOn w:val="1"/>
    <w:qFormat/>
    <w:uiPriority w:val="0"/>
    <w:pPr>
      <w:spacing w:beforeLines="50" w:afterLines="100"/>
      <w:jc w:val="center"/>
    </w:pPr>
    <w:rPr>
      <w:rFonts w:ascii="Calibri" w:hAnsi="Calibri"/>
    </w:rPr>
  </w:style>
  <w:style w:type="paragraph" w:customStyle="1" w:styleId="515">
    <w:name w:val="font12"/>
    <w:basedOn w:val="1"/>
    <w:next w:val="516"/>
    <w:qFormat/>
    <w:uiPriority w:val="0"/>
    <w:pPr>
      <w:widowControl/>
      <w:spacing w:before="280" w:after="280"/>
    </w:pPr>
    <w:rPr>
      <w:color w:val="000000"/>
      <w:sz w:val="18"/>
    </w:rPr>
  </w:style>
  <w:style w:type="paragraph" w:customStyle="1" w:styleId="516">
    <w:name w:val="_Style 17"/>
    <w:basedOn w:val="1"/>
    <w:next w:val="517"/>
    <w:qFormat/>
    <w:uiPriority w:val="0"/>
    <w:pPr>
      <w:widowControl/>
      <w:spacing w:line="400" w:lineRule="exact"/>
      <w:jc w:val="center"/>
    </w:pPr>
  </w:style>
  <w:style w:type="paragraph" w:customStyle="1" w:styleId="517">
    <w:name w:val="xl132"/>
    <w:basedOn w:val="1"/>
    <w:next w:val="1"/>
    <w:qFormat/>
    <w:uiPriority w:val="0"/>
    <w:pPr>
      <w:widowControl/>
      <w:shd w:val="clear" w:color="000000" w:fill="0066CC"/>
      <w:spacing w:before="280" w:after="280"/>
      <w:jc w:val="center"/>
    </w:pPr>
    <w:rPr>
      <w:sz w:val="20"/>
    </w:rPr>
  </w:style>
  <w:style w:type="paragraph" w:customStyle="1" w:styleId="518">
    <w:name w:val="正文1"/>
    <w:next w:val="519"/>
    <w:qFormat/>
    <w:uiPriority w:val="0"/>
    <w:pPr>
      <w:widowControl w:val="0"/>
      <w:spacing w:line="315" w:lineRule="atLeast"/>
      <w:jc w:val="both"/>
    </w:pPr>
    <w:rPr>
      <w:rFonts w:ascii="宋体" w:hAnsi="宋体" w:eastAsia="宋体" w:cs="宋体"/>
      <w:sz w:val="24"/>
      <w:lang w:val="en-US" w:eastAsia="zh-CN" w:bidi="ar-SA"/>
    </w:rPr>
  </w:style>
  <w:style w:type="paragraph" w:customStyle="1" w:styleId="519">
    <w:name w:val="Char3"/>
    <w:basedOn w:val="1"/>
    <w:qFormat/>
    <w:uiPriority w:val="0"/>
    <w:pPr>
      <w:widowControl/>
      <w:spacing w:after="160" w:line="240" w:lineRule="exact"/>
      <w:jc w:val="left"/>
    </w:pPr>
  </w:style>
  <w:style w:type="paragraph" w:customStyle="1" w:styleId="520">
    <w:name w:val="Char Char Char1"/>
    <w:basedOn w:val="1"/>
    <w:qFormat/>
    <w:uiPriority w:val="0"/>
    <w:rPr>
      <w:rFonts w:ascii="Tahoma" w:hAnsi="Tahoma"/>
    </w:rPr>
  </w:style>
  <w:style w:type="paragraph" w:customStyle="1" w:styleId="521">
    <w:name w:val="Char Char Char1 Char Char Char Char Char Char Char1"/>
    <w:basedOn w:val="1"/>
    <w:next w:val="466"/>
    <w:qFormat/>
    <w:uiPriority w:val="0"/>
    <w:rPr>
      <w:rFonts w:ascii="Tahoma"/>
    </w:rPr>
  </w:style>
  <w:style w:type="paragraph" w:customStyle="1" w:styleId="522">
    <w:name w:val="font6"/>
    <w:basedOn w:val="1"/>
    <w:next w:val="523"/>
    <w:qFormat/>
    <w:uiPriority w:val="0"/>
    <w:pPr>
      <w:widowControl/>
      <w:spacing w:before="280" w:after="280"/>
    </w:pPr>
    <w:rPr>
      <w:sz w:val="20"/>
    </w:rPr>
  </w:style>
  <w:style w:type="paragraph" w:customStyle="1" w:styleId="523">
    <w:name w:val="reader-word-layer reader-word-s1-5"/>
    <w:basedOn w:val="1"/>
    <w:next w:val="19"/>
    <w:qFormat/>
    <w:uiPriority w:val="0"/>
    <w:pPr>
      <w:widowControl/>
      <w:spacing w:before="280" w:after="280"/>
    </w:pPr>
  </w:style>
  <w:style w:type="paragraph" w:customStyle="1" w:styleId="524">
    <w:name w:val="正文缩进11"/>
    <w:basedOn w:val="1"/>
    <w:next w:val="1"/>
    <w:qFormat/>
    <w:uiPriority w:val="0"/>
    <w:pPr>
      <w:spacing w:line="360" w:lineRule="atLeast"/>
      <w:ind w:firstLine="482"/>
    </w:pPr>
  </w:style>
  <w:style w:type="paragraph" w:customStyle="1" w:styleId="525">
    <w:name w:val="font9"/>
    <w:basedOn w:val="1"/>
    <w:next w:val="508"/>
    <w:qFormat/>
    <w:uiPriority w:val="0"/>
    <w:pPr>
      <w:widowControl/>
      <w:spacing w:before="280" w:after="280"/>
    </w:pPr>
    <w:rPr>
      <w:sz w:val="18"/>
    </w:rPr>
  </w:style>
  <w:style w:type="paragraph" w:customStyle="1" w:styleId="526">
    <w:name w:val="正文文本_0"/>
    <w:basedOn w:val="31"/>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527">
    <w:name w:val="目录 11"/>
    <w:next w:val="1"/>
    <w:qFormat/>
    <w:uiPriority w:val="0"/>
    <w:pPr>
      <w:wordWrap w:val="0"/>
      <w:jc w:val="both"/>
    </w:pPr>
    <w:rPr>
      <w:rFonts w:ascii="宋体" w:hAnsi="宋体" w:eastAsia="宋体" w:cs="宋体"/>
      <w:sz w:val="21"/>
      <w:lang w:val="en-US" w:eastAsia="zh-CN" w:bidi="ar-SA"/>
    </w:rPr>
  </w:style>
  <w:style w:type="paragraph" w:customStyle="1" w:styleId="528">
    <w:name w:val="正文段"/>
    <w:basedOn w:val="1"/>
    <w:next w:val="529"/>
    <w:qFormat/>
    <w:uiPriority w:val="0"/>
    <w:pPr>
      <w:spacing w:after="240" w:line="312" w:lineRule="atLeast"/>
      <w:ind w:firstLine="425"/>
    </w:pPr>
  </w:style>
  <w:style w:type="paragraph" w:customStyle="1" w:styleId="529">
    <w:name w:val="列出段落1"/>
    <w:basedOn w:val="1"/>
    <w:qFormat/>
    <w:uiPriority w:val="0"/>
    <w:pPr>
      <w:ind w:firstLine="420" w:firstLineChars="200"/>
    </w:pPr>
    <w:rPr>
      <w:rFonts w:ascii="Calibri" w:hAnsi="Calibri"/>
      <w:szCs w:val="22"/>
    </w:rPr>
  </w:style>
  <w:style w:type="paragraph" w:customStyle="1" w:styleId="530">
    <w:name w:val="默认段落字体 Para Char Char Char Char Char Char Char"/>
    <w:basedOn w:val="1"/>
    <w:qFormat/>
    <w:uiPriority w:val="0"/>
    <w:pPr>
      <w:spacing w:line="360" w:lineRule="auto"/>
    </w:pPr>
    <w:rPr>
      <w:rFonts w:ascii="Calibri" w:hAnsi="Calibri"/>
    </w:rPr>
  </w:style>
  <w:style w:type="paragraph" w:customStyle="1" w:styleId="531">
    <w:name w:val="p0"/>
    <w:basedOn w:val="1"/>
    <w:qFormat/>
    <w:uiPriority w:val="0"/>
    <w:pPr>
      <w:widowControl/>
    </w:pPr>
    <w:rPr>
      <w:rFonts w:ascii="Calibri" w:hAnsi="Calibri"/>
      <w:szCs w:val="21"/>
    </w:rPr>
  </w:style>
  <w:style w:type="paragraph" w:customStyle="1" w:styleId="532">
    <w:name w:val="样式11"/>
    <w:next w:val="498"/>
    <w:qFormat/>
    <w:uiPriority w:val="0"/>
    <w:pPr>
      <w:widowControl w:val="0"/>
      <w:jc w:val="center"/>
    </w:pPr>
    <w:rPr>
      <w:rFonts w:ascii="Times New Roman" w:hAnsi="宋体" w:eastAsia="宋体" w:cs="宋体"/>
      <w:sz w:val="18"/>
      <w:lang w:val="en-US" w:eastAsia="zh-CN" w:bidi="ar-SA"/>
    </w:rPr>
  </w:style>
  <w:style w:type="paragraph" w:customStyle="1" w:styleId="533">
    <w:name w:val="Char Char Char Char Char Char Char"/>
    <w:basedOn w:val="1"/>
    <w:qFormat/>
    <w:uiPriority w:val="0"/>
    <w:pPr>
      <w:widowControl/>
      <w:spacing w:after="160" w:line="240" w:lineRule="exact"/>
      <w:jc w:val="left"/>
    </w:pPr>
  </w:style>
  <w:style w:type="paragraph" w:customStyle="1" w:styleId="534">
    <w:name w:val="xl150"/>
    <w:basedOn w:val="1"/>
    <w:next w:val="528"/>
    <w:qFormat/>
    <w:uiPriority w:val="0"/>
    <w:pPr>
      <w:widowControl/>
      <w:spacing w:before="280" w:after="280"/>
    </w:pPr>
    <w:rPr>
      <w:sz w:val="18"/>
    </w:rPr>
  </w:style>
  <w:style w:type="paragraph" w:customStyle="1" w:styleId="535">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536">
    <w:name w:val="目录 62"/>
    <w:next w:val="1"/>
    <w:qFormat/>
    <w:uiPriority w:val="0"/>
    <w:pPr>
      <w:wordWrap w:val="0"/>
      <w:ind w:left="2125"/>
      <w:jc w:val="both"/>
    </w:pPr>
    <w:rPr>
      <w:rFonts w:ascii="宋体" w:hAnsi="宋体" w:eastAsia="宋体" w:cs="宋体"/>
      <w:sz w:val="21"/>
      <w:lang w:val="en-US" w:eastAsia="zh-CN" w:bidi="ar-SA"/>
    </w:rPr>
  </w:style>
  <w:style w:type="paragraph" w:customStyle="1" w:styleId="537">
    <w:name w:val="Char Char Char Char Char Char Char Char Char Char Char Char Char1"/>
    <w:basedOn w:val="1"/>
    <w:qFormat/>
    <w:uiPriority w:val="0"/>
    <w:pPr>
      <w:tabs>
        <w:tab w:val="left" w:pos="420"/>
      </w:tabs>
      <w:ind w:left="420" w:hanging="420"/>
    </w:pPr>
    <w:rPr>
      <w:rFonts w:ascii="Tahoma" w:hAnsi="Tahoma"/>
    </w:rPr>
  </w:style>
  <w:style w:type="paragraph" w:customStyle="1" w:styleId="538">
    <w:name w:val="font5"/>
    <w:basedOn w:val="1"/>
    <w:next w:val="539"/>
    <w:qFormat/>
    <w:uiPriority w:val="0"/>
    <w:pPr>
      <w:widowControl/>
      <w:spacing w:before="280" w:after="280"/>
    </w:pPr>
    <w:rPr>
      <w:sz w:val="18"/>
    </w:rPr>
  </w:style>
  <w:style w:type="paragraph" w:customStyle="1" w:styleId="539">
    <w:name w:val="Char Char16"/>
    <w:basedOn w:val="1"/>
    <w:next w:val="458"/>
    <w:qFormat/>
    <w:uiPriority w:val="0"/>
  </w:style>
  <w:style w:type="paragraph" w:customStyle="1" w:styleId="540">
    <w:name w:val="17"/>
    <w:basedOn w:val="1"/>
    <w:qFormat/>
    <w:uiPriority w:val="0"/>
    <w:pPr>
      <w:widowControl/>
      <w:spacing w:before="100" w:beforeAutospacing="1" w:after="100" w:afterAutospacing="1"/>
      <w:jc w:val="left"/>
    </w:pPr>
  </w:style>
  <w:style w:type="paragraph" w:customStyle="1" w:styleId="541">
    <w:name w:val="样式 (中文) 黑体 小三 黑色"/>
    <w:basedOn w:val="2"/>
    <w:next w:val="542"/>
    <w:qFormat/>
    <w:uiPriority w:val="0"/>
    <w:pPr>
      <w:keepNext w:val="0"/>
      <w:keepLines w:val="0"/>
      <w:spacing w:before="260" w:after="260" w:line="240" w:lineRule="auto"/>
      <w:jc w:val="center"/>
    </w:pPr>
    <w:rPr>
      <w:rFonts w:hAnsi="宋体" w:cs="宋体"/>
      <w:bCs w:val="0"/>
      <w:color w:val="000000"/>
      <w:kern w:val="0"/>
      <w:sz w:val="30"/>
      <w:szCs w:val="20"/>
    </w:rPr>
  </w:style>
  <w:style w:type="paragraph" w:customStyle="1" w:styleId="542">
    <w:name w:val="Char Char Char Char Char Char Char11"/>
    <w:basedOn w:val="1"/>
    <w:next w:val="543"/>
    <w:qFormat/>
    <w:uiPriority w:val="0"/>
    <w:pPr>
      <w:widowControl/>
      <w:spacing w:line="400" w:lineRule="exact"/>
      <w:jc w:val="center"/>
    </w:pPr>
    <w:rPr>
      <w:rFonts w:ascii="Verdana"/>
    </w:rPr>
  </w:style>
  <w:style w:type="paragraph" w:customStyle="1" w:styleId="543">
    <w:name w:val="Char Char2 Char Char Char Char1"/>
    <w:basedOn w:val="1"/>
    <w:next w:val="544"/>
    <w:qFormat/>
    <w:uiPriority w:val="0"/>
    <w:rPr>
      <w:rFonts w:ascii="Tahoma"/>
    </w:rPr>
  </w:style>
  <w:style w:type="paragraph" w:customStyle="1" w:styleId="544">
    <w:name w:val="样式 (中文) 黑体 小二 行距: 1.5 倍行距"/>
    <w:basedOn w:val="1"/>
    <w:next w:val="545"/>
    <w:qFormat/>
    <w:uiPriority w:val="0"/>
    <w:pPr>
      <w:spacing w:line="360" w:lineRule="auto"/>
    </w:pPr>
    <w:rPr>
      <w:rFonts w:eastAsia="黑体"/>
      <w:sz w:val="36"/>
    </w:rPr>
  </w:style>
  <w:style w:type="paragraph" w:customStyle="1" w:styleId="545">
    <w:name w:val="目录 211"/>
    <w:basedOn w:val="1"/>
    <w:next w:val="1"/>
    <w:qFormat/>
    <w:uiPriority w:val="0"/>
    <w:pPr>
      <w:ind w:left="420"/>
    </w:pPr>
  </w:style>
  <w:style w:type="paragraph" w:customStyle="1" w:styleId="546">
    <w:name w:val="1"/>
    <w:basedOn w:val="1"/>
    <w:next w:val="1"/>
    <w:qFormat/>
    <w:uiPriority w:val="0"/>
  </w:style>
  <w:style w:type="paragraph" w:customStyle="1" w:styleId="547">
    <w:name w:val="正文文字3"/>
    <w:basedOn w:val="23"/>
    <w:qFormat/>
    <w:uiPriority w:val="0"/>
    <w:pPr>
      <w:spacing w:after="0"/>
      <w:ind w:left="57" w:leftChars="0" w:right="57" w:rightChars="0"/>
      <w:jc w:val="both"/>
    </w:pPr>
    <w:rPr>
      <w:rFonts w:ascii="Calibri" w:hAnsi="Calibri"/>
      <w:kern w:val="0"/>
      <w:szCs w:val="20"/>
    </w:rPr>
  </w:style>
  <w:style w:type="paragraph" w:customStyle="1" w:styleId="548">
    <w:name w:val="封一"/>
    <w:basedOn w:val="301"/>
    <w:next w:val="301"/>
    <w:qFormat/>
    <w:uiPriority w:val="0"/>
  </w:style>
  <w:style w:type="paragraph" w:customStyle="1" w:styleId="549">
    <w:name w:val="Char Char Char Char"/>
    <w:basedOn w:val="1"/>
    <w:qFormat/>
    <w:uiPriority w:val="0"/>
    <w:pPr>
      <w:widowControl/>
      <w:spacing w:line="500" w:lineRule="exact"/>
      <w:outlineLvl w:val="2"/>
    </w:pPr>
    <w:rPr>
      <w:rFonts w:ascii="黑体" w:hAnsi="Verdana" w:eastAsia="黑体" w:cs="黑体"/>
      <w:sz w:val="28"/>
      <w:szCs w:val="28"/>
      <w:lang w:eastAsia="en-US"/>
    </w:rPr>
  </w:style>
  <w:style w:type="paragraph" w:customStyle="1" w:styleId="550">
    <w:name w:val="Char Char Char Char2"/>
    <w:basedOn w:val="1"/>
    <w:qFormat/>
    <w:uiPriority w:val="0"/>
    <w:rPr>
      <w:rFonts w:ascii="Calibri" w:hAnsi="Calibri"/>
    </w:rPr>
  </w:style>
  <w:style w:type="paragraph" w:customStyle="1" w:styleId="551">
    <w:name w:val="flNote"/>
    <w:basedOn w:val="1"/>
    <w:qFormat/>
    <w:uiPriority w:val="0"/>
    <w:pPr>
      <w:adjustRightInd w:val="0"/>
      <w:spacing w:before="320" w:after="160" w:line="360" w:lineRule="atLeast"/>
      <w:jc w:val="center"/>
      <w:textAlignment w:val="baseline"/>
    </w:pPr>
    <w:rPr>
      <w:rFonts w:ascii="Arial" w:eastAsia="黑体"/>
      <w:sz w:val="30"/>
    </w:rPr>
  </w:style>
  <w:style w:type="paragraph" w:customStyle="1" w:styleId="552">
    <w:name w:val="样式 标题 1 + 居中 行距: 单倍行距"/>
    <w:basedOn w:val="4"/>
    <w:next w:val="2"/>
    <w:qFormat/>
    <w:uiPriority w:val="0"/>
    <w:pPr>
      <w:spacing w:before="340" w:after="330" w:line="240" w:lineRule="auto"/>
      <w:jc w:val="center"/>
    </w:pPr>
    <w:rPr>
      <w:rFonts w:ascii="Calibri" w:hAnsi="Calibri" w:eastAsia="宋体" w:cs="宋体"/>
      <w:szCs w:val="20"/>
    </w:rPr>
  </w:style>
  <w:style w:type="paragraph" w:customStyle="1" w:styleId="553">
    <w:name w:val="31a（正文）章标题"/>
    <w:next w:val="554"/>
    <w:qFormat/>
    <w:uiPriority w:val="0"/>
    <w:pPr>
      <w:ind w:firstLine="315"/>
      <w:jc w:val="both"/>
      <w:outlineLvl w:val="0"/>
    </w:pPr>
    <w:rPr>
      <w:rFonts w:ascii="楷体_GB2312" w:hAnsi="宋体" w:eastAsia="宋体" w:cs="宋体"/>
      <w:sz w:val="21"/>
      <w:lang w:val="en-US" w:eastAsia="zh-CN" w:bidi="ar-SA"/>
    </w:rPr>
  </w:style>
  <w:style w:type="paragraph" w:customStyle="1" w:styleId="554">
    <w:name w:val="xl167"/>
    <w:basedOn w:val="1"/>
    <w:next w:val="555"/>
    <w:qFormat/>
    <w:uiPriority w:val="0"/>
    <w:pPr>
      <w:widowControl/>
      <w:spacing w:before="280" w:after="280"/>
    </w:pPr>
    <w:rPr>
      <w:sz w:val="20"/>
    </w:rPr>
  </w:style>
  <w:style w:type="paragraph" w:customStyle="1" w:styleId="555">
    <w:name w:val="标书正文格式"/>
    <w:next w:val="556"/>
    <w:qFormat/>
    <w:uiPriority w:val="0"/>
    <w:pPr>
      <w:spacing w:line="360" w:lineRule="auto"/>
      <w:ind w:firstLine="200"/>
    </w:pPr>
    <w:rPr>
      <w:rFonts w:ascii="宋体" w:hAnsi="宋体" w:eastAsia="楷体_GB2312" w:cs="宋体"/>
      <w:sz w:val="24"/>
      <w:lang w:val="en-US" w:eastAsia="zh-CN" w:bidi="ar-SA"/>
    </w:rPr>
  </w:style>
  <w:style w:type="paragraph" w:customStyle="1" w:styleId="556">
    <w:name w:val="xl160"/>
    <w:basedOn w:val="1"/>
    <w:next w:val="557"/>
    <w:qFormat/>
    <w:uiPriority w:val="0"/>
    <w:pPr>
      <w:widowControl/>
      <w:shd w:val="clear" w:color="000000" w:fill="C0C0C0"/>
      <w:spacing w:before="280" w:after="280"/>
    </w:pPr>
    <w:rPr>
      <w:sz w:val="20"/>
    </w:rPr>
  </w:style>
  <w:style w:type="paragraph" w:customStyle="1" w:styleId="557">
    <w:name w:val="Char Char Char Char Char Char Char Char Char Char"/>
    <w:basedOn w:val="1"/>
    <w:next w:val="558"/>
    <w:qFormat/>
    <w:uiPriority w:val="0"/>
    <w:pPr>
      <w:widowControl/>
      <w:spacing w:line="400" w:lineRule="exact"/>
      <w:jc w:val="center"/>
    </w:pPr>
    <w:rPr>
      <w:rFonts w:ascii="Verdana"/>
    </w:rPr>
  </w:style>
  <w:style w:type="paragraph" w:customStyle="1" w:styleId="558">
    <w:name w:val="样式 (中文) 黑体 四号 居中 行距: 1.5 倍行距"/>
    <w:basedOn w:val="5"/>
    <w:next w:val="559"/>
    <w:qFormat/>
    <w:uiPriority w:val="0"/>
    <w:pPr>
      <w:keepNext w:val="0"/>
      <w:keepLines w:val="0"/>
      <w:spacing w:before="260" w:after="260" w:line="240" w:lineRule="auto"/>
      <w:jc w:val="center"/>
    </w:pPr>
    <w:rPr>
      <w:rFonts w:hAnsi="宋体" w:cs="宋体"/>
      <w:bCs w:val="0"/>
      <w:kern w:val="0"/>
      <w:sz w:val="28"/>
      <w:szCs w:val="20"/>
    </w:rPr>
  </w:style>
  <w:style w:type="paragraph" w:customStyle="1" w:styleId="559">
    <w:name w:val="目录 32"/>
    <w:next w:val="1"/>
    <w:qFormat/>
    <w:uiPriority w:val="0"/>
    <w:pPr>
      <w:wordWrap w:val="0"/>
      <w:ind w:left="850"/>
      <w:jc w:val="both"/>
    </w:pPr>
    <w:rPr>
      <w:rFonts w:ascii="宋体" w:hAnsi="宋体" w:eastAsia="宋体" w:cs="宋体"/>
      <w:sz w:val="21"/>
      <w:lang w:val="en-US" w:eastAsia="zh-CN" w:bidi="ar-SA"/>
    </w:rPr>
  </w:style>
  <w:style w:type="paragraph" w:customStyle="1" w:styleId="560">
    <w:name w:val="目录 81"/>
    <w:next w:val="1"/>
    <w:qFormat/>
    <w:uiPriority w:val="0"/>
    <w:pPr>
      <w:wordWrap w:val="0"/>
      <w:ind w:left="2975"/>
      <w:jc w:val="both"/>
    </w:pPr>
    <w:rPr>
      <w:rFonts w:ascii="宋体" w:hAnsi="宋体" w:eastAsia="宋体" w:cs="宋体"/>
      <w:sz w:val="21"/>
      <w:lang w:val="en-US" w:eastAsia="zh-CN" w:bidi="ar-SA"/>
    </w:rPr>
  </w:style>
  <w:style w:type="paragraph" w:customStyle="1" w:styleId="561">
    <w:name w:val="_Style 5"/>
    <w:basedOn w:val="1"/>
    <w:qFormat/>
    <w:uiPriority w:val="0"/>
    <w:pPr>
      <w:spacing w:beforeLines="50" w:afterLines="100"/>
      <w:jc w:val="center"/>
    </w:pPr>
    <w:rPr>
      <w:rFonts w:ascii="Calibri" w:hAnsi="Calibri"/>
    </w:rPr>
  </w:style>
  <w:style w:type="paragraph" w:customStyle="1" w:styleId="562">
    <w:name w:val="Char Char1 Char"/>
    <w:basedOn w:val="1"/>
    <w:qFormat/>
    <w:uiPriority w:val="0"/>
    <w:rPr>
      <w:rFonts w:ascii="Calibri" w:hAnsi="Calibri"/>
    </w:rPr>
  </w:style>
  <w:style w:type="paragraph" w:customStyle="1" w:styleId="563">
    <w:name w:val="章节二"/>
    <w:basedOn w:val="301"/>
    <w:next w:val="301"/>
    <w:qFormat/>
    <w:uiPriority w:val="0"/>
  </w:style>
  <w:style w:type="paragraph" w:customStyle="1" w:styleId="564">
    <w:name w:val="font8"/>
    <w:basedOn w:val="1"/>
    <w:next w:val="565"/>
    <w:qFormat/>
    <w:uiPriority w:val="0"/>
    <w:pPr>
      <w:widowControl/>
      <w:spacing w:before="280" w:after="280"/>
    </w:pPr>
    <w:rPr>
      <w:rFonts w:ascii="Arial"/>
      <w:sz w:val="16"/>
    </w:rPr>
  </w:style>
  <w:style w:type="paragraph" w:customStyle="1" w:styleId="565">
    <w:name w:val="目录 71"/>
    <w:basedOn w:val="1"/>
    <w:next w:val="1"/>
    <w:qFormat/>
    <w:uiPriority w:val="0"/>
    <w:pPr>
      <w:ind w:left="2520"/>
    </w:pPr>
    <w:rPr>
      <w:rFonts w:ascii="Calibri"/>
    </w:rPr>
  </w:style>
  <w:style w:type="paragraph" w:customStyle="1" w:styleId="566">
    <w:name w:val="Default Paragraph Font Para Char"/>
    <w:basedOn w:val="1"/>
    <w:qFormat/>
    <w:uiPriority w:val="0"/>
    <w:pPr>
      <w:widowControl/>
      <w:spacing w:after="160" w:line="240" w:lineRule="exact"/>
      <w:jc w:val="left"/>
    </w:pPr>
    <w:rPr>
      <w:rFonts w:ascii="Verdana" w:hAnsi="Verdana"/>
      <w:sz w:val="20"/>
      <w:lang w:eastAsia="en-US"/>
    </w:rPr>
  </w:style>
  <w:style w:type="paragraph" w:customStyle="1" w:styleId="567">
    <w:name w:val="样式 标题 1 + 居中"/>
    <w:basedOn w:val="4"/>
    <w:next w:val="34"/>
    <w:qFormat/>
    <w:uiPriority w:val="0"/>
    <w:pPr>
      <w:keepNext w:val="0"/>
      <w:keepLines w:val="0"/>
      <w:spacing w:before="340" w:after="330" w:line="576" w:lineRule="auto"/>
      <w:jc w:val="center"/>
    </w:pPr>
    <w:rPr>
      <w:rFonts w:hAnsi="宋体" w:eastAsia="宋体" w:cs="宋体"/>
      <w:bCs w:val="0"/>
      <w:kern w:val="0"/>
      <w:szCs w:val="20"/>
    </w:rPr>
  </w:style>
  <w:style w:type="paragraph" w:customStyle="1" w:styleId="568">
    <w:name w:val="封四"/>
    <w:basedOn w:val="301"/>
    <w:next w:val="301"/>
    <w:qFormat/>
    <w:uiPriority w:val="0"/>
  </w:style>
  <w:style w:type="paragraph" w:customStyle="1" w:styleId="569">
    <w:name w:val="prodsubtitle"/>
    <w:basedOn w:val="1"/>
    <w:next w:val="20"/>
    <w:qFormat/>
    <w:uiPriority w:val="0"/>
    <w:pPr>
      <w:widowControl/>
    </w:pPr>
  </w:style>
  <w:style w:type="paragraph" w:customStyle="1" w:styleId="570">
    <w:name w:val="-正文"/>
    <w:basedOn w:val="1"/>
    <w:qFormat/>
    <w:uiPriority w:val="0"/>
    <w:pPr>
      <w:spacing w:line="360" w:lineRule="auto"/>
      <w:ind w:firstLine="200" w:firstLineChars="200"/>
      <w:jc w:val="left"/>
    </w:pPr>
    <w:rPr>
      <w:rFonts w:ascii="Calibri" w:hAnsi="Calibri"/>
    </w:rPr>
  </w:style>
  <w:style w:type="paragraph" w:customStyle="1" w:styleId="571">
    <w:name w:val="font14"/>
    <w:basedOn w:val="1"/>
    <w:next w:val="572"/>
    <w:qFormat/>
    <w:uiPriority w:val="0"/>
    <w:pPr>
      <w:widowControl/>
      <w:spacing w:before="280" w:after="280"/>
    </w:pPr>
    <w:rPr>
      <w:sz w:val="18"/>
    </w:rPr>
  </w:style>
  <w:style w:type="paragraph" w:customStyle="1" w:styleId="572">
    <w:name w:val="五号正文（标准）"/>
    <w:basedOn w:val="1"/>
    <w:next w:val="573"/>
    <w:qFormat/>
    <w:uiPriority w:val="0"/>
    <w:pPr>
      <w:spacing w:line="360" w:lineRule="auto"/>
      <w:ind w:firstLine="600"/>
    </w:pPr>
    <w:rPr>
      <w:rFonts w:ascii="仿宋_GB2312" w:eastAsia="仿宋_GB2312"/>
      <w:b/>
      <w:sz w:val="30"/>
    </w:rPr>
  </w:style>
  <w:style w:type="paragraph" w:customStyle="1" w:styleId="573">
    <w:name w:val="Char Char1 Char Char Char1"/>
    <w:next w:val="23"/>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574">
    <w:name w:val="title1"/>
    <w:basedOn w:val="1"/>
    <w:qFormat/>
    <w:uiPriority w:val="0"/>
    <w:pPr>
      <w:widowControl/>
      <w:spacing w:before="100" w:beforeAutospacing="1" w:after="100" w:afterAutospacing="1"/>
      <w:jc w:val="left"/>
    </w:pPr>
    <w:rPr>
      <w:rFonts w:ascii="e" w:hAnsi="e" w:eastAsia="Arial Unicode MS" w:cs="Arial Unicode MS"/>
      <w:color w:val="990000"/>
      <w:sz w:val="36"/>
      <w:szCs w:val="36"/>
    </w:rPr>
  </w:style>
  <w:style w:type="paragraph" w:customStyle="1" w:styleId="575">
    <w:name w:val="xl168"/>
    <w:basedOn w:val="1"/>
    <w:next w:val="1"/>
    <w:qFormat/>
    <w:uiPriority w:val="0"/>
    <w:pPr>
      <w:widowControl/>
      <w:spacing w:before="280" w:after="280"/>
      <w:jc w:val="center"/>
    </w:pPr>
  </w:style>
  <w:style w:type="paragraph" w:customStyle="1" w:styleId="576">
    <w:name w:val="(1)"/>
    <w:basedOn w:val="1"/>
    <w:qFormat/>
    <w:uiPriority w:val="0"/>
    <w:pPr>
      <w:tabs>
        <w:tab w:val="left" w:pos="1134"/>
        <w:tab w:val="left" w:pos="1647"/>
      </w:tabs>
    </w:pPr>
  </w:style>
  <w:style w:type="paragraph" w:customStyle="1" w:styleId="577">
    <w:name w:val="Char Char Char1 Char2"/>
    <w:basedOn w:val="1"/>
    <w:next w:val="569"/>
    <w:qFormat/>
    <w:uiPriority w:val="0"/>
  </w:style>
  <w:style w:type="paragraph" w:customStyle="1" w:styleId="578">
    <w:name w:val="德吉标题二"/>
    <w:basedOn w:val="2"/>
    <w:next w:val="21"/>
    <w:qFormat/>
    <w:uiPriority w:val="0"/>
    <w:pPr>
      <w:keepNext w:val="0"/>
      <w:keepLines w:val="0"/>
      <w:spacing w:before="260" w:after="260" w:line="416" w:lineRule="auto"/>
    </w:pPr>
    <w:rPr>
      <w:rFonts w:ascii="仿宋_GB2312" w:hAnsi="宋体" w:eastAsia="仿宋_GB2312" w:cs="宋体"/>
      <w:bCs w:val="0"/>
      <w:kern w:val="0"/>
      <w:sz w:val="32"/>
      <w:szCs w:val="20"/>
    </w:rPr>
  </w:style>
  <w:style w:type="paragraph" w:customStyle="1" w:styleId="579">
    <w:name w:val="flName"/>
    <w:basedOn w:val="1"/>
    <w:qFormat/>
    <w:uiPriority w:val="0"/>
    <w:pPr>
      <w:adjustRightInd w:val="0"/>
      <w:spacing w:before="320" w:after="160" w:line="360" w:lineRule="atLeast"/>
      <w:jc w:val="center"/>
      <w:textAlignment w:val="baseline"/>
    </w:pPr>
    <w:rPr>
      <w:rFonts w:ascii="Arial" w:hAnsi="Calibri" w:eastAsia="黑体"/>
      <w:sz w:val="32"/>
    </w:rPr>
  </w:style>
  <w:style w:type="paragraph" w:customStyle="1" w:styleId="580">
    <w:name w:val="正文缩进1"/>
    <w:basedOn w:val="1"/>
    <w:next w:val="581"/>
    <w:qFormat/>
    <w:uiPriority w:val="0"/>
    <w:pPr>
      <w:spacing w:line="312" w:lineRule="atLeast"/>
      <w:ind w:firstLine="420"/>
    </w:pPr>
    <w:rPr>
      <w:rFonts w:ascii="Plotter"/>
    </w:rPr>
  </w:style>
  <w:style w:type="paragraph" w:customStyle="1" w:styleId="581">
    <w:name w:val="List Paragraph1"/>
    <w:basedOn w:val="1"/>
    <w:next w:val="549"/>
    <w:qFormat/>
    <w:uiPriority w:val="0"/>
    <w:pPr>
      <w:ind w:firstLine="420"/>
    </w:pPr>
  </w:style>
  <w:style w:type="paragraph" w:customStyle="1" w:styleId="582">
    <w:name w:val="2-2ji"/>
    <w:basedOn w:val="2"/>
    <w:qFormat/>
    <w:uiPriority w:val="0"/>
    <w:pPr>
      <w:spacing w:before="0" w:after="0" w:line="360" w:lineRule="auto"/>
      <w:jc w:val="center"/>
    </w:pPr>
    <w:rPr>
      <w:rFonts w:ascii="宋体" w:hAnsi="宋体" w:eastAsia="宋体"/>
      <w:sz w:val="36"/>
      <w:szCs w:val="24"/>
    </w:rPr>
  </w:style>
  <w:style w:type="paragraph" w:customStyle="1" w:styleId="583">
    <w:name w:val="_Style 7"/>
    <w:basedOn w:val="1"/>
    <w:next w:val="1"/>
    <w:qFormat/>
    <w:uiPriority w:val="0"/>
    <w:pPr>
      <w:widowControl/>
      <w:spacing w:after="160" w:line="240" w:lineRule="exact"/>
    </w:pPr>
  </w:style>
  <w:style w:type="paragraph" w:customStyle="1" w:styleId="584">
    <w:name w:val="正题"/>
    <w:basedOn w:val="301"/>
    <w:next w:val="301"/>
    <w:qFormat/>
    <w:uiPriority w:val="0"/>
  </w:style>
  <w:style w:type="paragraph" w:customStyle="1" w:styleId="585">
    <w:name w:val="副标题1"/>
    <w:basedOn w:val="1"/>
    <w:next w:val="1"/>
    <w:qFormat/>
    <w:uiPriority w:val="0"/>
    <w:pPr>
      <w:spacing w:before="120" w:after="120"/>
    </w:pPr>
    <w:rPr>
      <w:rFonts w:ascii="Arial"/>
      <w:b/>
      <w:color w:val="000000"/>
      <w:sz w:val="20"/>
    </w:rPr>
  </w:style>
  <w:style w:type="paragraph" w:customStyle="1" w:styleId="586">
    <w:name w:val="xl162"/>
    <w:basedOn w:val="1"/>
    <w:next w:val="1"/>
    <w:qFormat/>
    <w:uiPriority w:val="0"/>
    <w:pPr>
      <w:widowControl/>
      <w:spacing w:before="280" w:after="280"/>
    </w:pPr>
    <w:rPr>
      <w:color w:val="000000"/>
      <w:sz w:val="18"/>
    </w:rPr>
  </w:style>
  <w:style w:type="paragraph" w:customStyle="1" w:styleId="587">
    <w:name w:val="Char Char1 Char1"/>
    <w:basedOn w:val="1"/>
    <w:qFormat/>
    <w:uiPriority w:val="0"/>
    <w:rPr>
      <w:rFonts w:ascii="Calibri" w:hAnsi="Calibri"/>
    </w:rPr>
  </w:style>
  <w:style w:type="paragraph" w:customStyle="1" w:styleId="588">
    <w:name w:val="样式3 Char"/>
    <w:basedOn w:val="5"/>
    <w:next w:val="1"/>
    <w:qFormat/>
    <w:uiPriority w:val="0"/>
    <w:pPr>
      <w:keepNext w:val="0"/>
      <w:keepLines w:val="0"/>
      <w:spacing w:before="260" w:after="260" w:line="240" w:lineRule="auto"/>
      <w:jc w:val="center"/>
    </w:pPr>
    <w:rPr>
      <w:rFonts w:hAnsi="宋体" w:cs="宋体"/>
      <w:bCs w:val="0"/>
      <w:kern w:val="0"/>
      <w:sz w:val="32"/>
      <w:szCs w:val="20"/>
    </w:rPr>
  </w:style>
  <w:style w:type="paragraph" w:customStyle="1" w:styleId="589">
    <w:name w:val="xl166"/>
    <w:basedOn w:val="1"/>
    <w:next w:val="1"/>
    <w:qFormat/>
    <w:uiPriority w:val="0"/>
    <w:pPr>
      <w:widowControl/>
      <w:spacing w:before="280" w:after="280"/>
    </w:pPr>
  </w:style>
  <w:style w:type="paragraph" w:customStyle="1" w:styleId="590">
    <w:name w:val="华文细黑1"/>
    <w:basedOn w:val="1"/>
    <w:next w:val="560"/>
    <w:qFormat/>
    <w:uiPriority w:val="0"/>
    <w:pPr>
      <w:widowControl/>
      <w:spacing w:line="300" w:lineRule="auto"/>
      <w:ind w:firstLine="200"/>
    </w:pPr>
    <w:rPr>
      <w:rFonts w:eastAsia="华文细黑"/>
    </w:rPr>
  </w:style>
  <w:style w:type="paragraph" w:customStyle="1" w:styleId="591">
    <w:name w:val="Char Char41"/>
    <w:basedOn w:val="1"/>
    <w:qFormat/>
    <w:uiPriority w:val="0"/>
    <w:rPr>
      <w:rFonts w:ascii="Calibri" w:hAnsi="Calibri"/>
    </w:rPr>
  </w:style>
  <w:style w:type="paragraph" w:customStyle="1" w:styleId="592">
    <w:name w:val="样式 (中文) 黑体 小二 加粗 居中 行距: 1.5 倍行距"/>
    <w:basedOn w:val="4"/>
    <w:next w:val="487"/>
    <w:qFormat/>
    <w:uiPriority w:val="0"/>
    <w:pPr>
      <w:keepNext w:val="0"/>
      <w:keepLines w:val="0"/>
      <w:spacing w:before="340" w:after="330" w:line="240" w:lineRule="auto"/>
      <w:jc w:val="center"/>
    </w:pPr>
    <w:rPr>
      <w:rFonts w:hAnsi="宋体" w:cs="宋体"/>
      <w:b w:val="0"/>
      <w:bCs w:val="0"/>
      <w:kern w:val="0"/>
      <w:sz w:val="36"/>
      <w:szCs w:val="20"/>
    </w:rPr>
  </w:style>
  <w:style w:type="paragraph" w:customStyle="1" w:styleId="593">
    <w:name w:val="reader-word-layer reader-word-s2-5"/>
    <w:basedOn w:val="1"/>
    <w:qFormat/>
    <w:uiPriority w:val="0"/>
    <w:pPr>
      <w:widowControl/>
      <w:spacing w:before="100" w:beforeAutospacing="1" w:after="100" w:afterAutospacing="1"/>
      <w:jc w:val="left"/>
    </w:pPr>
  </w:style>
  <w:style w:type="paragraph" w:customStyle="1" w:styleId="594">
    <w:name w:val="xl153"/>
    <w:basedOn w:val="1"/>
    <w:next w:val="1"/>
    <w:qFormat/>
    <w:uiPriority w:val="0"/>
    <w:pPr>
      <w:widowControl/>
      <w:shd w:val="clear" w:color="000000" w:fill="C0C0C0"/>
      <w:spacing w:before="280" w:after="280"/>
    </w:pPr>
    <w:rPr>
      <w:sz w:val="20"/>
    </w:rPr>
  </w:style>
  <w:style w:type="paragraph" w:customStyle="1" w:styleId="595">
    <w:name w:val="正"/>
    <w:basedOn w:val="1"/>
    <w:qFormat/>
    <w:uiPriority w:val="0"/>
    <w:pPr>
      <w:spacing w:line="360" w:lineRule="auto"/>
      <w:ind w:left="360" w:hanging="360" w:hangingChars="150"/>
    </w:pPr>
    <w:rPr>
      <w:rFonts w:ascii="Calibri" w:hAnsi="Calibri"/>
    </w:rPr>
  </w:style>
  <w:style w:type="paragraph" w:customStyle="1" w:styleId="596">
    <w:name w:val="标准正文"/>
    <w:basedOn w:val="1"/>
    <w:next w:val="538"/>
    <w:qFormat/>
    <w:uiPriority w:val="0"/>
    <w:pPr>
      <w:spacing w:line="312" w:lineRule="auto"/>
      <w:ind w:firstLine="482"/>
    </w:pPr>
  </w:style>
  <w:style w:type="paragraph" w:customStyle="1" w:styleId="597">
    <w:name w:val="TOC Heading"/>
    <w:basedOn w:val="4"/>
    <w:next w:val="1"/>
    <w:qFormat/>
    <w:uiPriority w:val="39"/>
    <w:pPr>
      <w:spacing w:before="340" w:after="330" w:line="576" w:lineRule="auto"/>
      <w:outlineLvl w:val="9"/>
    </w:pPr>
    <w:rPr>
      <w:rFonts w:ascii="Calibri" w:hAnsi="Calibri"/>
      <w:sz w:val="44"/>
    </w:rPr>
  </w:style>
  <w:style w:type="paragraph" w:customStyle="1" w:styleId="598">
    <w:name w:val="样式10"/>
    <w:next w:val="599"/>
    <w:qFormat/>
    <w:uiPriority w:val="0"/>
    <w:pPr>
      <w:widowControl w:val="0"/>
      <w:jc w:val="center"/>
    </w:pPr>
    <w:rPr>
      <w:rFonts w:ascii="Times New Roman" w:hAnsi="宋体" w:eastAsia="宋体" w:cs="宋体"/>
      <w:sz w:val="18"/>
      <w:lang w:val="en-US" w:eastAsia="zh-CN" w:bidi="ar-SA"/>
    </w:rPr>
  </w:style>
  <w:style w:type="paragraph" w:customStyle="1" w:styleId="599">
    <w:name w:val="Char Char Char Char Char Char Char Char Char Char1"/>
    <w:basedOn w:val="1"/>
    <w:next w:val="28"/>
    <w:qFormat/>
    <w:uiPriority w:val="0"/>
    <w:pPr>
      <w:widowControl/>
      <w:spacing w:line="400" w:lineRule="exact"/>
      <w:jc w:val="center"/>
    </w:pPr>
    <w:rPr>
      <w:rFonts w:ascii="Verdana"/>
    </w:rPr>
  </w:style>
  <w:style w:type="paragraph" w:customStyle="1" w:styleId="600">
    <w:name w:val="样式 标题 2 + (西文) 宋体 居中"/>
    <w:basedOn w:val="2"/>
    <w:next w:val="601"/>
    <w:qFormat/>
    <w:uiPriority w:val="0"/>
    <w:pPr>
      <w:keepNext w:val="0"/>
      <w:keepLines w:val="0"/>
      <w:spacing w:before="260" w:after="260" w:line="416" w:lineRule="auto"/>
      <w:jc w:val="center"/>
    </w:pPr>
    <w:rPr>
      <w:rFonts w:ascii="宋体" w:hAnsi="宋体" w:cs="宋体"/>
      <w:bCs w:val="0"/>
      <w:kern w:val="0"/>
      <w:sz w:val="32"/>
      <w:szCs w:val="20"/>
    </w:rPr>
  </w:style>
  <w:style w:type="paragraph" w:customStyle="1" w:styleId="601">
    <w:name w:val="xl135"/>
    <w:basedOn w:val="1"/>
    <w:next w:val="404"/>
    <w:qFormat/>
    <w:uiPriority w:val="0"/>
    <w:pPr>
      <w:widowControl/>
      <w:spacing w:before="280" w:after="280"/>
    </w:pPr>
    <w:rPr>
      <w:sz w:val="18"/>
    </w:rPr>
  </w:style>
  <w:style w:type="paragraph" w:customStyle="1" w:styleId="602">
    <w:name w:val="pa-0"/>
    <w:basedOn w:val="1"/>
    <w:next w:val="596"/>
    <w:qFormat/>
    <w:uiPriority w:val="0"/>
    <w:pPr>
      <w:widowControl/>
      <w:spacing w:line="240" w:lineRule="atLeast"/>
    </w:pPr>
  </w:style>
  <w:style w:type="paragraph" w:customStyle="1" w:styleId="603">
    <w:name w:val="_Style 6"/>
    <w:basedOn w:val="1"/>
    <w:qFormat/>
    <w:uiPriority w:val="0"/>
    <w:rPr>
      <w:rFonts w:ascii="Calibri" w:hAnsi="Calibri"/>
    </w:rPr>
  </w:style>
  <w:style w:type="paragraph" w:customStyle="1" w:styleId="604">
    <w:name w:val="Char Char Char Char Char Char Char Char Char Char Char Char Char2"/>
    <w:basedOn w:val="1"/>
    <w:qFormat/>
    <w:uiPriority w:val="0"/>
    <w:pPr>
      <w:widowControl/>
      <w:spacing w:line="400" w:lineRule="exact"/>
      <w:jc w:val="center"/>
    </w:pPr>
    <w:rPr>
      <w:rFonts w:ascii="Verdana" w:hAnsi="Verdana"/>
      <w:lang w:eastAsia="en-US"/>
    </w:rPr>
  </w:style>
  <w:style w:type="paragraph" w:customStyle="1" w:styleId="605">
    <w:name w:val="0"/>
    <w:basedOn w:val="1"/>
    <w:qFormat/>
    <w:uiPriority w:val="0"/>
    <w:pPr>
      <w:widowControl/>
      <w:spacing w:before="100" w:beforeAutospacing="1" w:after="100" w:afterAutospacing="1"/>
      <w:jc w:val="left"/>
    </w:pPr>
  </w:style>
  <w:style w:type="paragraph" w:customStyle="1" w:styleId="606">
    <w:name w:val="Body Text 21"/>
    <w:basedOn w:val="1"/>
    <w:qFormat/>
    <w:uiPriority w:val="0"/>
    <w:pPr>
      <w:tabs>
        <w:tab w:val="left" w:pos="567"/>
      </w:tabs>
      <w:autoSpaceDE w:val="0"/>
      <w:autoSpaceDN w:val="0"/>
      <w:adjustRightInd w:val="0"/>
      <w:spacing w:line="360" w:lineRule="auto"/>
      <w:ind w:left="840"/>
      <w:textAlignment w:val="bottom"/>
    </w:pPr>
    <w:rPr>
      <w:rFonts w:ascii="Calibri" w:hAnsi="Calibri"/>
    </w:rPr>
  </w:style>
  <w:style w:type="paragraph" w:customStyle="1" w:styleId="607">
    <w:name w:val="reader-word-layer reader-word-s1-2"/>
    <w:basedOn w:val="1"/>
    <w:next w:val="50"/>
    <w:qFormat/>
    <w:uiPriority w:val="0"/>
    <w:pPr>
      <w:widowControl/>
      <w:spacing w:before="280" w:after="280"/>
    </w:pPr>
  </w:style>
  <w:style w:type="paragraph" w:customStyle="1" w:styleId="608">
    <w:name w:val="Revision"/>
    <w:qFormat/>
    <w:uiPriority w:val="0"/>
    <w:rPr>
      <w:rFonts w:ascii="Times New Roman" w:hAnsi="Times New Roman" w:eastAsia="宋体" w:cs="Times New Roman"/>
      <w:kern w:val="2"/>
      <w:sz w:val="21"/>
      <w:szCs w:val="24"/>
      <w:lang w:val="en-US" w:eastAsia="zh-CN" w:bidi="ar-SA"/>
    </w:rPr>
  </w:style>
  <w:style w:type="paragraph" w:customStyle="1" w:styleId="609">
    <w:name w:val="xl130"/>
    <w:basedOn w:val="1"/>
    <w:next w:val="577"/>
    <w:qFormat/>
    <w:uiPriority w:val="0"/>
    <w:pPr>
      <w:widowControl/>
      <w:spacing w:before="280" w:after="280"/>
    </w:pPr>
  </w:style>
  <w:style w:type="paragraph" w:customStyle="1" w:styleId="610">
    <w:name w:val="重点说明"/>
    <w:basedOn w:val="1"/>
    <w:next w:val="611"/>
    <w:qFormat/>
    <w:uiPriority w:val="0"/>
    <w:pPr>
      <w:widowControl/>
      <w:spacing w:before="40" w:after="40" w:line="400" w:lineRule="exact"/>
      <w:ind w:left="360" w:hanging="360"/>
    </w:pPr>
    <w:rPr>
      <w:b/>
      <w:sz w:val="28"/>
    </w:rPr>
  </w:style>
  <w:style w:type="paragraph" w:customStyle="1" w:styleId="611">
    <w:name w:val="副标题11"/>
    <w:basedOn w:val="1"/>
    <w:next w:val="1"/>
    <w:qFormat/>
    <w:uiPriority w:val="0"/>
    <w:pPr>
      <w:spacing w:before="120" w:after="120"/>
    </w:pPr>
    <w:rPr>
      <w:rFonts w:ascii="Arial"/>
      <w:b/>
      <w:color w:val="000000"/>
      <w:sz w:val="20"/>
    </w:rPr>
  </w:style>
  <w:style w:type="paragraph" w:customStyle="1" w:styleId="612">
    <w:name w:val="Char Char Char Char3"/>
    <w:basedOn w:val="1"/>
    <w:next w:val="1"/>
    <w:qFormat/>
    <w:uiPriority w:val="0"/>
    <w:pPr>
      <w:widowControl/>
      <w:spacing w:after="160" w:line="240" w:lineRule="exact"/>
    </w:pPr>
  </w:style>
  <w:style w:type="paragraph" w:customStyle="1" w:styleId="613">
    <w:name w:val="flType"/>
    <w:basedOn w:val="1"/>
    <w:next w:val="426"/>
    <w:qFormat/>
    <w:uiPriority w:val="0"/>
    <w:pPr>
      <w:spacing w:after="284" w:line="113" w:lineRule="atLeast"/>
      <w:jc w:val="center"/>
    </w:pPr>
  </w:style>
  <w:style w:type="paragraph" w:customStyle="1" w:styleId="614">
    <w:name w:val="1 Char"/>
    <w:basedOn w:val="1"/>
    <w:qFormat/>
    <w:uiPriority w:val="0"/>
    <w:rPr>
      <w:rFonts w:ascii="Tahoma" w:hAnsi="Tahoma" w:cs="Times New Roman"/>
      <w:kern w:val="2"/>
      <w:sz w:val="28"/>
      <w:szCs w:val="28"/>
    </w:rPr>
  </w:style>
  <w:style w:type="paragraph" w:customStyle="1" w:styleId="615">
    <w:name w:val="无编号正文"/>
    <w:basedOn w:val="1"/>
    <w:next w:val="1"/>
    <w:qFormat/>
    <w:uiPriority w:val="0"/>
    <w:pPr>
      <w:ind w:left="200" w:leftChars="200" w:firstLine="200" w:firstLineChars="200"/>
    </w:pPr>
  </w:style>
  <w:style w:type="paragraph" w:customStyle="1" w:styleId="616">
    <w:name w:val="文档正文"/>
    <w:basedOn w:val="1"/>
    <w:next w:val="592"/>
    <w:qFormat/>
    <w:uiPriority w:val="0"/>
    <w:pPr>
      <w:spacing w:line="480" w:lineRule="atLeast"/>
      <w:ind w:firstLine="567"/>
    </w:pPr>
    <w:rPr>
      <w:rFonts w:ascii="长城仿宋"/>
    </w:rPr>
  </w:style>
  <w:style w:type="paragraph" w:customStyle="1" w:styleId="617">
    <w:name w:val="正文2"/>
    <w:qFormat/>
    <w:uiPriority w:val="0"/>
    <w:pPr>
      <w:widowControl w:val="0"/>
      <w:spacing w:line="315" w:lineRule="atLeast"/>
      <w:jc w:val="both"/>
    </w:pPr>
    <w:rPr>
      <w:rFonts w:ascii="宋体" w:hAnsi="宋体" w:eastAsia="宋体" w:cs="宋体"/>
      <w:sz w:val="24"/>
      <w:lang w:val="en-US" w:eastAsia="zh-CN" w:bidi="ar-SA"/>
    </w:rPr>
  </w:style>
  <w:style w:type="paragraph" w:customStyle="1" w:styleId="618">
    <w:name w:val="Subtitle1"/>
    <w:basedOn w:val="1"/>
    <w:next w:val="1"/>
    <w:qFormat/>
    <w:uiPriority w:val="0"/>
    <w:pPr>
      <w:spacing w:before="120" w:after="120"/>
      <w:jc w:val="left"/>
    </w:pPr>
    <w:rPr>
      <w:rFonts w:ascii="Arial" w:hAnsi="Arial"/>
      <w:b/>
      <w:color w:val="000000"/>
      <w:kern w:val="44"/>
      <w:sz w:val="20"/>
    </w:rPr>
  </w:style>
  <w:style w:type="paragraph" w:customStyle="1" w:styleId="619">
    <w:name w:val="样式9"/>
    <w:next w:val="504"/>
    <w:qFormat/>
    <w:uiPriority w:val="0"/>
    <w:pPr>
      <w:widowControl w:val="0"/>
      <w:jc w:val="center"/>
    </w:pPr>
    <w:rPr>
      <w:rFonts w:ascii="Times New Roman" w:hAnsi="宋体" w:eastAsia="宋体" w:cs="宋体"/>
      <w:sz w:val="18"/>
      <w:lang w:val="en-US" w:eastAsia="zh-CN" w:bidi="ar-SA"/>
    </w:rPr>
  </w:style>
  <w:style w:type="paragraph" w:customStyle="1" w:styleId="620">
    <w:name w:val="Char Char1 Char2"/>
    <w:basedOn w:val="1"/>
    <w:qFormat/>
    <w:uiPriority w:val="0"/>
    <w:rPr>
      <w:rFonts w:ascii="Calibri" w:hAnsi="Calibri"/>
    </w:rPr>
  </w:style>
  <w:style w:type="paragraph" w:customStyle="1" w:styleId="621">
    <w:name w:val="标题 3_0"/>
    <w:basedOn w:val="31"/>
    <w:next w:val="31"/>
    <w:qFormat/>
    <w:uiPriority w:val="0"/>
    <w:pPr>
      <w:keepNext/>
      <w:keepLines/>
      <w:spacing w:before="260" w:after="260" w:line="413" w:lineRule="auto"/>
      <w:outlineLvl w:val="2"/>
    </w:pPr>
    <w:rPr>
      <w:rFonts w:ascii="Times New Roman" w:hAnsi="Times New Roman"/>
      <w:b/>
      <w:bCs/>
      <w:sz w:val="32"/>
      <w:szCs w:val="32"/>
    </w:rPr>
  </w:style>
  <w:style w:type="paragraph" w:customStyle="1" w:styleId="622">
    <w:name w:val="样式2"/>
    <w:basedOn w:val="2"/>
    <w:next w:val="1"/>
    <w:qFormat/>
    <w:uiPriority w:val="0"/>
    <w:pPr>
      <w:keepNext w:val="0"/>
      <w:keepLines w:val="0"/>
      <w:spacing w:before="260" w:after="260" w:line="240" w:lineRule="auto"/>
      <w:jc w:val="center"/>
    </w:pPr>
    <w:rPr>
      <w:rFonts w:hAnsi="宋体" w:cs="宋体"/>
      <w:bCs w:val="0"/>
      <w:kern w:val="0"/>
      <w:sz w:val="36"/>
      <w:szCs w:val="20"/>
    </w:rPr>
  </w:style>
  <w:style w:type="paragraph" w:customStyle="1" w:styleId="623">
    <w:name w:val="xl138"/>
    <w:basedOn w:val="1"/>
    <w:next w:val="469"/>
    <w:qFormat/>
    <w:uiPriority w:val="0"/>
    <w:pPr>
      <w:widowControl/>
      <w:spacing w:before="280" w:after="280"/>
      <w:jc w:val="center"/>
    </w:pPr>
  </w:style>
  <w:style w:type="paragraph" w:customStyle="1" w:styleId="624">
    <w:name w:val="样式 小四 行距: 1.5 倍行距"/>
    <w:basedOn w:val="1"/>
    <w:qFormat/>
    <w:uiPriority w:val="0"/>
    <w:pPr>
      <w:spacing w:line="360" w:lineRule="auto"/>
      <w:ind w:firstLine="480" w:firstLineChars="200"/>
    </w:pPr>
    <w:rPr>
      <w:rFonts w:ascii="Calibri" w:hAnsi="Calibri"/>
    </w:rPr>
  </w:style>
  <w:style w:type="paragraph" w:customStyle="1" w:styleId="625">
    <w:name w:val="样式 样式1 + 首行缩进:  2 字符"/>
    <w:basedOn w:val="1"/>
    <w:qFormat/>
    <w:uiPriority w:val="0"/>
    <w:pPr>
      <w:spacing w:line="360" w:lineRule="exact"/>
      <w:ind w:firstLine="420" w:firstLineChars="200"/>
    </w:pPr>
    <w:rPr>
      <w:rFonts w:ascii="Arial" w:hAnsi="Arial"/>
    </w:rPr>
  </w:style>
  <w:style w:type="paragraph" w:customStyle="1" w:styleId="626">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27">
    <w:name w:val="_Style 100"/>
    <w:qFormat/>
    <w:uiPriority w:val="0"/>
    <w:pPr>
      <w:widowControl w:val="0"/>
      <w:jc w:val="both"/>
    </w:pPr>
    <w:rPr>
      <w:rFonts w:ascii="宋体" w:hAnsi="Calibri" w:eastAsia="宋体" w:cs="Times New Roman"/>
      <w:sz w:val="24"/>
      <w:lang w:val="en-US" w:eastAsia="zh-CN" w:bidi="ar-SA"/>
    </w:rPr>
  </w:style>
  <w:style w:type="paragraph" w:customStyle="1" w:styleId="628">
    <w:name w:val="font10"/>
    <w:basedOn w:val="1"/>
    <w:next w:val="613"/>
    <w:qFormat/>
    <w:uiPriority w:val="0"/>
    <w:pPr>
      <w:widowControl/>
      <w:spacing w:before="280" w:after="280"/>
    </w:pPr>
    <w:rPr>
      <w:sz w:val="16"/>
    </w:rPr>
  </w:style>
  <w:style w:type="paragraph" w:customStyle="1" w:styleId="629">
    <w:name w:val="xl146"/>
    <w:basedOn w:val="1"/>
    <w:next w:val="622"/>
    <w:qFormat/>
    <w:uiPriority w:val="0"/>
    <w:pPr>
      <w:widowControl/>
      <w:spacing w:before="280" w:after="280"/>
    </w:pPr>
  </w:style>
  <w:style w:type="paragraph" w:customStyle="1" w:styleId="630">
    <w:name w:val="fontsize"/>
    <w:basedOn w:val="1"/>
    <w:next w:val="616"/>
    <w:qFormat/>
    <w:uiPriority w:val="0"/>
    <w:pPr>
      <w:widowControl/>
      <w:spacing w:before="280" w:after="280"/>
      <w:ind w:firstLine="180"/>
    </w:pPr>
    <w:rPr>
      <w:rFonts w:ascii="Arial Unicode MS" w:eastAsia="Arial Unicode MS"/>
      <w:color w:val="000000"/>
      <w:vertAlign w:val="subscript"/>
    </w:rPr>
  </w:style>
  <w:style w:type="paragraph" w:customStyle="1" w:styleId="631">
    <w:name w:val="列出段落2"/>
    <w:basedOn w:val="1"/>
    <w:qFormat/>
    <w:uiPriority w:val="34"/>
    <w:pPr>
      <w:ind w:firstLine="420" w:firstLineChars="200"/>
    </w:pPr>
    <w:rPr>
      <w:rFonts w:ascii="Calibri" w:hAnsi="Calibri"/>
    </w:rPr>
  </w:style>
  <w:style w:type="paragraph" w:customStyle="1" w:styleId="632">
    <w:name w:val="纯文本3"/>
    <w:basedOn w:val="1"/>
    <w:qFormat/>
    <w:uiPriority w:val="0"/>
    <w:rPr>
      <w:rFonts w:hAnsi="Courier New"/>
    </w:rPr>
  </w:style>
  <w:style w:type="paragraph" w:customStyle="1" w:styleId="633">
    <w:name w:val="Char Char"/>
    <w:basedOn w:val="1"/>
    <w:next w:val="1"/>
    <w:qFormat/>
    <w:uiPriority w:val="0"/>
    <w:pPr>
      <w:widowControl/>
      <w:spacing w:after="160" w:line="240" w:lineRule="exact"/>
    </w:pPr>
  </w:style>
  <w:style w:type="paragraph" w:customStyle="1" w:styleId="634">
    <w:name w:val="目录 811"/>
    <w:basedOn w:val="1"/>
    <w:next w:val="1"/>
    <w:qFormat/>
    <w:uiPriority w:val="0"/>
    <w:pPr>
      <w:ind w:left="2940"/>
    </w:pPr>
    <w:rPr>
      <w:rFonts w:ascii="Calibri"/>
    </w:rPr>
  </w:style>
  <w:style w:type="paragraph" w:customStyle="1" w:styleId="635">
    <w:name w:val="默认段落字体 Para Char Char Char Char Char Char Char Char Char Char"/>
    <w:basedOn w:val="1"/>
    <w:next w:val="607"/>
    <w:qFormat/>
    <w:uiPriority w:val="0"/>
    <w:rPr>
      <w:rFonts w:ascii="Tahoma"/>
    </w:rPr>
  </w:style>
  <w:style w:type="paragraph" w:customStyle="1" w:styleId="636">
    <w:name w:val="纯文本1"/>
    <w:basedOn w:val="1"/>
    <w:qFormat/>
    <w:uiPriority w:val="0"/>
    <w:rPr>
      <w:rFonts w:hAnsi="Courier New"/>
    </w:rPr>
  </w:style>
  <w:style w:type="paragraph" w:customStyle="1" w:styleId="637">
    <w:name w:val="_Style 307"/>
    <w:next w:val="1"/>
    <w:qFormat/>
    <w:uiPriority w:val="99"/>
    <w:pPr>
      <w:widowControl w:val="0"/>
      <w:jc w:val="both"/>
    </w:pPr>
    <w:rPr>
      <w:rFonts w:ascii="宋体" w:hAnsi="宋体" w:eastAsia="宋体" w:cs="宋体"/>
      <w:sz w:val="24"/>
      <w:lang w:val="en-US" w:eastAsia="zh-CN" w:bidi="ar-SA"/>
    </w:rPr>
  </w:style>
  <w:style w:type="paragraph" w:customStyle="1" w:styleId="638">
    <w:name w:val="纯文本2"/>
    <w:basedOn w:val="1"/>
    <w:qFormat/>
    <w:uiPriority w:val="0"/>
    <w:rPr>
      <w:rFonts w:hAnsi="Courier New"/>
    </w:rPr>
  </w:style>
  <w:style w:type="paragraph" w:customStyle="1" w:styleId="639">
    <w:name w:val="样式 (中文) 黑体 小三 加粗 居中 行距: 1.5 倍行距"/>
    <w:basedOn w:val="1"/>
    <w:next w:val="1"/>
    <w:qFormat/>
    <w:uiPriority w:val="0"/>
    <w:pPr>
      <w:spacing w:line="360" w:lineRule="auto"/>
      <w:jc w:val="center"/>
    </w:pPr>
    <w:rPr>
      <w:rFonts w:eastAsia="黑体"/>
      <w:b/>
      <w:sz w:val="30"/>
    </w:rPr>
  </w:style>
  <w:style w:type="paragraph" w:customStyle="1" w:styleId="640">
    <w:name w:val="样式1"/>
    <w:basedOn w:val="1"/>
    <w:next w:val="6"/>
    <w:qFormat/>
    <w:uiPriority w:val="0"/>
    <w:pPr>
      <w:spacing w:line="360" w:lineRule="auto"/>
      <w:ind w:firstLine="420" w:firstLineChars="200"/>
    </w:pPr>
    <w:rPr>
      <w:szCs w:val="21"/>
    </w:rPr>
  </w:style>
  <w:style w:type="paragraph" w:customStyle="1" w:styleId="641">
    <w:name w:val="Char Char Char Char Char Char Char Char Char Char Char Char Char Char Char Char Char Char Char Char Char Char Char Char Char"/>
    <w:basedOn w:val="1"/>
    <w:qFormat/>
    <w:uiPriority w:val="0"/>
    <w:rPr>
      <w:rFonts w:ascii="Calibri" w:hAnsi="Calibri"/>
    </w:rPr>
  </w:style>
  <w:style w:type="paragraph" w:customStyle="1" w:styleId="642">
    <w:name w:val="_Style 11"/>
    <w:basedOn w:val="1"/>
    <w:qFormat/>
    <w:uiPriority w:val="0"/>
    <w:rPr>
      <w:rFonts w:ascii="Calibri" w:hAnsi="Calibri"/>
    </w:rPr>
  </w:style>
  <w:style w:type="paragraph" w:customStyle="1" w:styleId="643">
    <w:name w:val="xl137"/>
    <w:basedOn w:val="1"/>
    <w:next w:val="644"/>
    <w:qFormat/>
    <w:uiPriority w:val="0"/>
    <w:pPr>
      <w:widowControl/>
      <w:spacing w:before="280" w:after="280"/>
      <w:jc w:val="center"/>
    </w:pPr>
    <w:rPr>
      <w:sz w:val="20"/>
    </w:rPr>
  </w:style>
  <w:style w:type="paragraph" w:customStyle="1" w:styleId="644">
    <w:name w:val="xl140"/>
    <w:basedOn w:val="1"/>
    <w:next w:val="645"/>
    <w:qFormat/>
    <w:uiPriority w:val="0"/>
    <w:pPr>
      <w:widowControl/>
      <w:spacing w:before="280" w:after="280"/>
    </w:pPr>
    <w:rPr>
      <w:sz w:val="18"/>
    </w:rPr>
  </w:style>
  <w:style w:type="paragraph" w:customStyle="1" w:styleId="645">
    <w:name w:val="xl143"/>
    <w:basedOn w:val="1"/>
    <w:next w:val="1"/>
    <w:qFormat/>
    <w:uiPriority w:val="0"/>
    <w:pPr>
      <w:widowControl/>
      <w:spacing w:before="280" w:after="280"/>
      <w:jc w:val="center"/>
    </w:pPr>
    <w:rPr>
      <w:color w:val="000000"/>
      <w:sz w:val="20"/>
    </w:rPr>
  </w:style>
  <w:style w:type="paragraph" w:customStyle="1" w:styleId="646">
    <w:name w:val="reader-word-layer"/>
    <w:basedOn w:val="1"/>
    <w:qFormat/>
    <w:uiPriority w:val="0"/>
    <w:pPr>
      <w:widowControl/>
      <w:spacing w:before="100" w:beforeAutospacing="1" w:after="100" w:afterAutospacing="1"/>
      <w:jc w:val="left"/>
    </w:pPr>
  </w:style>
  <w:style w:type="paragraph" w:customStyle="1" w:styleId="647">
    <w:name w:val="目录 72"/>
    <w:next w:val="1"/>
    <w:qFormat/>
    <w:uiPriority w:val="0"/>
    <w:pPr>
      <w:wordWrap w:val="0"/>
      <w:ind w:left="2550"/>
      <w:jc w:val="both"/>
    </w:pPr>
    <w:rPr>
      <w:rFonts w:ascii="宋体" w:hAnsi="宋体" w:eastAsia="宋体" w:cs="宋体"/>
      <w:sz w:val="21"/>
      <w:lang w:val="en-US" w:eastAsia="zh-CN" w:bidi="ar-SA"/>
    </w:rPr>
  </w:style>
  <w:style w:type="paragraph" w:customStyle="1" w:styleId="648">
    <w:name w:val="样式 标题 2 + (中文) 宋体 (西文)五号 非(西文)粗体 段前: 6 磅 段后: 3 磅 行距: 1.5 倍行距"/>
    <w:basedOn w:val="2"/>
    <w:next w:val="590"/>
    <w:qFormat/>
    <w:uiPriority w:val="0"/>
    <w:pPr>
      <w:keepNext w:val="0"/>
      <w:keepLines w:val="0"/>
      <w:spacing w:before="120" w:line="360" w:lineRule="auto"/>
      <w:jc w:val="center"/>
    </w:pPr>
    <w:rPr>
      <w:rFonts w:hAnsi="宋体" w:eastAsia="宋体" w:cs="宋体"/>
      <w:bCs w:val="0"/>
      <w:kern w:val="0"/>
      <w:sz w:val="24"/>
      <w:szCs w:val="20"/>
    </w:rPr>
  </w:style>
  <w:style w:type="paragraph" w:customStyle="1" w:styleId="649">
    <w:name w:val="_Style 10"/>
    <w:basedOn w:val="1"/>
    <w:next w:val="451"/>
    <w:qFormat/>
    <w:uiPriority w:val="0"/>
    <w:pPr>
      <w:widowControl/>
      <w:spacing w:line="400" w:lineRule="exact"/>
      <w:jc w:val="center"/>
    </w:pPr>
  </w:style>
  <w:style w:type="paragraph" w:customStyle="1" w:styleId="650">
    <w:name w:val="xl157"/>
    <w:basedOn w:val="1"/>
    <w:next w:val="1"/>
    <w:qFormat/>
    <w:uiPriority w:val="0"/>
    <w:pPr>
      <w:widowControl/>
      <w:spacing w:before="280" w:after="280"/>
    </w:pPr>
    <w:rPr>
      <w:b/>
      <w:sz w:val="18"/>
    </w:rPr>
  </w:style>
  <w:style w:type="paragraph" w:customStyle="1" w:styleId="651">
    <w:name w:val="正文缩进_0"/>
    <w:basedOn w:val="440"/>
    <w:qFormat/>
    <w:uiPriority w:val="0"/>
    <w:pPr>
      <w:widowControl w:val="0"/>
      <w:ind w:firstLine="420"/>
      <w:jc w:val="both"/>
    </w:pPr>
    <w:rPr>
      <w:kern w:val="2"/>
      <w:u w:val="single"/>
    </w:rPr>
  </w:style>
  <w:style w:type="paragraph" w:customStyle="1" w:styleId="652">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653">
    <w:name w:val="文字"/>
    <w:basedOn w:val="1"/>
    <w:next w:val="534"/>
    <w:qFormat/>
    <w:uiPriority w:val="0"/>
    <w:pPr>
      <w:spacing w:line="312" w:lineRule="auto"/>
      <w:ind w:right="-210" w:firstLine="556"/>
    </w:pPr>
    <w:rPr>
      <w:rFonts w:ascii="楷体_GB2312" w:eastAsia="楷体_GB2312"/>
      <w:sz w:val="28"/>
    </w:rPr>
  </w:style>
  <w:style w:type="paragraph" w:customStyle="1" w:styleId="654">
    <w:name w:val="文提"/>
    <w:basedOn w:val="301"/>
    <w:qFormat/>
    <w:uiPriority w:val="0"/>
  </w:style>
  <w:style w:type="paragraph" w:customStyle="1" w:styleId="655">
    <w:name w:val="列表1）"/>
    <w:next w:val="640"/>
    <w:qFormat/>
    <w:uiPriority w:val="0"/>
    <w:pPr>
      <w:widowControl w:val="0"/>
      <w:spacing w:before="10"/>
      <w:jc w:val="both"/>
    </w:pPr>
    <w:rPr>
      <w:rFonts w:ascii="Verdana" w:hAnsi="宋体" w:eastAsia="宋体" w:cs="宋体"/>
      <w:sz w:val="21"/>
      <w:lang w:val="en-US" w:eastAsia="zh-CN" w:bidi="ar-SA"/>
    </w:rPr>
  </w:style>
  <w:style w:type="table" w:customStyle="1" w:styleId="656">
    <w:name w:val="Table Normal"/>
    <w:basedOn w:val="61"/>
    <w:qFormat/>
    <w:uiPriority w:val="0"/>
    <w:pPr>
      <w:widowControl w:val="0"/>
    </w:pPr>
    <w:rPr>
      <w:rFonts w:eastAsia="等线"/>
      <w:sz w:val="22"/>
      <w:szCs w:val="22"/>
      <w:lang w:eastAsia="en-US"/>
    </w:rPr>
    <w:tblPr>
      <w:tblCellMar>
        <w:top w:w="0" w:type="dxa"/>
        <w:left w:w="0" w:type="dxa"/>
        <w:bottom w:w="0" w:type="dxa"/>
        <w:right w:w="0" w:type="dxa"/>
      </w:tblCellMar>
    </w:tblPr>
  </w:style>
  <w:style w:type="table" w:customStyle="1" w:styleId="657">
    <w:name w:val="网格型1"/>
    <w:basedOn w:val="61"/>
    <w:qFormat/>
    <w:uiPriority w:val="0"/>
    <w:rPr>
      <w:rFonts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58">
    <w:name w:val="网格型2"/>
    <w:basedOn w:val="6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59">
    <w:name w:val="fontstrikethrough"/>
    <w:qFormat/>
    <w:uiPriority w:val="0"/>
    <w:rPr>
      <w:strike/>
    </w:rPr>
  </w:style>
  <w:style w:type="character" w:customStyle="1" w:styleId="660">
    <w:name w:val="fontborder"/>
    <w:qFormat/>
    <w:uiPriority w:val="0"/>
    <w:rPr>
      <w:bdr w:val="single" w:color="000000" w:sz="4" w:space="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D783C-8C61-487E-BFE7-22C9EC590142}">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80</Pages>
  <Words>45630</Words>
  <Characters>48103</Characters>
  <Lines>407</Lines>
  <Paragraphs>114</Paragraphs>
  <TotalTime>28</TotalTime>
  <ScaleCrop>false</ScaleCrop>
  <LinksUpToDate>false</LinksUpToDate>
  <CharactersWithSpaces>52217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2022-05-06T09:49:00Z</dcterms:created>
  <dc:creator>微软用户</dc:creator>
  <cp:lastModifiedBy>东成西就</cp:lastModifiedBy>
  <cp:lastPrinted>2021-08-20T02:11:00Z</cp:lastPrinted>
  <dcterms:modified xsi:type="dcterms:W3CDTF">2023-07-17T07:41:36Z</dcterms:modified>
  <dc:title>广西壮族自治区房屋建筑和市政工程施工电子招标文件范本（2015年版）</dc:title>
  <cp:revision>215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7D6884067A9C434B9FBCB1238FA33B9A_13</vt:lpwstr>
  </property>
</Properties>
</file>