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宋体" w:cs="宋体"/>
          <w:w w:val="80"/>
          <w:sz w:val="44"/>
          <w:szCs w:val="44"/>
        </w:rPr>
      </w:pPr>
      <w:bookmarkStart w:id="56" w:name="_GoBack"/>
      <w:bookmarkEnd w:id="56"/>
    </w:p>
    <w:p>
      <w:pPr>
        <w:jc w:val="center"/>
        <w:rPr>
          <w:rFonts w:eastAsia="宋体" w:cs="宋体"/>
          <w:w w:val="80"/>
          <w:sz w:val="44"/>
          <w:szCs w:val="44"/>
        </w:rPr>
      </w:pPr>
      <w:r>
        <w:rPr>
          <w:rFonts w:hint="eastAsia" w:eastAsia="宋体" w:cs="宋体"/>
          <w:w w:val="80"/>
          <w:sz w:val="44"/>
          <w:szCs w:val="44"/>
        </w:rPr>
        <w:t>南通市崇川区钟秀街道办事处</w:t>
      </w:r>
    </w:p>
    <w:p>
      <w:pPr>
        <w:jc w:val="center"/>
        <w:rPr>
          <w:rFonts w:eastAsia="宋体" w:cs="宋体"/>
          <w:w w:val="80"/>
          <w:sz w:val="44"/>
          <w:szCs w:val="44"/>
        </w:rPr>
      </w:pPr>
      <w:r>
        <w:rPr>
          <w:rFonts w:hint="eastAsia" w:eastAsia="宋体" w:cs="宋体"/>
          <w:w w:val="80"/>
          <w:sz w:val="44"/>
          <w:szCs w:val="44"/>
        </w:rPr>
        <w:t>综合性养老服务中心建设及运营管理、居家养老服务中心（站）运营管理、政府购买居家养老服务、残疾人之家运营管理项目</w:t>
      </w:r>
    </w:p>
    <w:p>
      <w:pPr>
        <w:jc w:val="center"/>
        <w:rPr>
          <w:rFonts w:eastAsia="宋体" w:cs="宋体"/>
          <w:w w:val="80"/>
          <w:sz w:val="44"/>
          <w:szCs w:val="44"/>
        </w:rPr>
      </w:pPr>
    </w:p>
    <w:p>
      <w:pPr>
        <w:jc w:val="center"/>
        <w:rPr>
          <w:rFonts w:eastAsia="宋体" w:cs="宋体"/>
          <w:w w:val="80"/>
          <w:sz w:val="44"/>
          <w:szCs w:val="44"/>
        </w:rPr>
      </w:pPr>
    </w:p>
    <w:p>
      <w:pPr>
        <w:jc w:val="center"/>
        <w:rPr>
          <w:rFonts w:eastAsia="宋体"/>
          <w:b/>
          <w:bCs/>
          <w:w w:val="80"/>
          <w:sz w:val="52"/>
          <w:szCs w:val="52"/>
        </w:rPr>
      </w:pPr>
    </w:p>
    <w:p>
      <w:pPr>
        <w:jc w:val="center"/>
        <w:rPr>
          <w:rFonts w:eastAsia="宋体"/>
          <w:b/>
          <w:bCs/>
          <w:w w:val="80"/>
          <w:sz w:val="52"/>
          <w:szCs w:val="52"/>
        </w:rPr>
      </w:pPr>
    </w:p>
    <w:p>
      <w:pPr>
        <w:tabs>
          <w:tab w:val="left" w:pos="6300"/>
        </w:tabs>
        <w:snapToGrid w:val="0"/>
        <w:spacing w:line="300" w:lineRule="auto"/>
        <w:jc w:val="center"/>
        <w:rPr>
          <w:rFonts w:eastAsia="宋体"/>
          <w:w w:val="80"/>
          <w:sz w:val="72"/>
          <w:szCs w:val="72"/>
        </w:rPr>
      </w:pPr>
    </w:p>
    <w:p>
      <w:pPr>
        <w:tabs>
          <w:tab w:val="left" w:pos="1050"/>
          <w:tab w:val="right" w:leader="dot" w:pos="9402"/>
        </w:tabs>
        <w:spacing w:line="300" w:lineRule="auto"/>
        <w:jc w:val="center"/>
        <w:rPr>
          <w:rFonts w:eastAsia="宋体"/>
          <w:sz w:val="72"/>
          <w:szCs w:val="72"/>
        </w:rPr>
      </w:pPr>
      <w:r>
        <w:rPr>
          <w:rFonts w:hint="eastAsia" w:eastAsia="宋体" w:cs="宋体"/>
          <w:w w:val="80"/>
          <w:sz w:val="72"/>
          <w:szCs w:val="72"/>
        </w:rPr>
        <w:t>政府采购竞争性磋商文件</w:t>
      </w:r>
    </w:p>
    <w:p>
      <w:pPr>
        <w:snapToGrid w:val="0"/>
        <w:spacing w:line="360" w:lineRule="auto"/>
        <w:jc w:val="center"/>
        <w:rPr>
          <w:rFonts w:eastAsia="宋体"/>
          <w:w w:val="80"/>
          <w:sz w:val="32"/>
          <w:szCs w:val="32"/>
        </w:rPr>
      </w:pPr>
    </w:p>
    <w:p>
      <w:pPr>
        <w:snapToGrid w:val="0"/>
        <w:spacing w:line="360" w:lineRule="auto"/>
        <w:jc w:val="center"/>
        <w:rPr>
          <w:rFonts w:eastAsia="宋体"/>
          <w:b/>
          <w:bCs/>
          <w:sz w:val="32"/>
          <w:szCs w:val="32"/>
        </w:rPr>
      </w:pPr>
    </w:p>
    <w:p>
      <w:pPr>
        <w:snapToGrid w:val="0"/>
        <w:spacing w:line="360" w:lineRule="auto"/>
        <w:jc w:val="center"/>
        <w:rPr>
          <w:rFonts w:eastAsia="宋体"/>
          <w:b/>
          <w:bCs/>
          <w:sz w:val="32"/>
          <w:szCs w:val="32"/>
        </w:rPr>
      </w:pPr>
    </w:p>
    <w:p>
      <w:pPr>
        <w:snapToGrid w:val="0"/>
        <w:spacing w:line="360" w:lineRule="auto"/>
        <w:jc w:val="center"/>
        <w:rPr>
          <w:rFonts w:eastAsia="宋体"/>
          <w:b/>
          <w:bCs/>
          <w:sz w:val="32"/>
          <w:szCs w:val="32"/>
        </w:rPr>
      </w:pPr>
    </w:p>
    <w:p>
      <w:pPr>
        <w:snapToGrid w:val="0"/>
        <w:spacing w:line="360" w:lineRule="auto"/>
        <w:jc w:val="center"/>
        <w:rPr>
          <w:rFonts w:eastAsia="宋体"/>
          <w:b/>
          <w:bCs/>
          <w:sz w:val="32"/>
          <w:szCs w:val="32"/>
        </w:rPr>
      </w:pPr>
    </w:p>
    <w:p>
      <w:pPr>
        <w:snapToGrid w:val="0"/>
        <w:spacing w:line="360" w:lineRule="auto"/>
        <w:jc w:val="center"/>
        <w:rPr>
          <w:rFonts w:eastAsia="宋体"/>
          <w:b/>
          <w:bCs/>
          <w:sz w:val="32"/>
          <w:szCs w:val="32"/>
        </w:rPr>
      </w:pPr>
    </w:p>
    <w:p>
      <w:pPr>
        <w:tabs>
          <w:tab w:val="left" w:pos="1050"/>
          <w:tab w:val="right" w:leader="dot" w:pos="9402"/>
        </w:tabs>
        <w:spacing w:line="520" w:lineRule="exact"/>
        <w:jc w:val="center"/>
        <w:rPr>
          <w:rFonts w:eastAsia="宋体"/>
          <w:w w:val="80"/>
          <w:sz w:val="32"/>
          <w:szCs w:val="32"/>
        </w:rPr>
      </w:pPr>
    </w:p>
    <w:p>
      <w:pPr>
        <w:tabs>
          <w:tab w:val="left" w:pos="1050"/>
          <w:tab w:val="right" w:leader="dot" w:pos="9402"/>
        </w:tabs>
        <w:spacing w:line="520" w:lineRule="exact"/>
        <w:jc w:val="center"/>
        <w:rPr>
          <w:rFonts w:eastAsia="宋体"/>
          <w:w w:val="80"/>
          <w:sz w:val="32"/>
          <w:szCs w:val="32"/>
        </w:rPr>
      </w:pPr>
    </w:p>
    <w:p>
      <w:pPr>
        <w:tabs>
          <w:tab w:val="left" w:pos="1050"/>
          <w:tab w:val="right" w:leader="dot" w:pos="9402"/>
        </w:tabs>
        <w:spacing w:line="520" w:lineRule="exact"/>
        <w:jc w:val="center"/>
        <w:rPr>
          <w:rFonts w:eastAsia="宋体"/>
          <w:w w:val="80"/>
          <w:sz w:val="32"/>
          <w:szCs w:val="32"/>
        </w:rPr>
      </w:pPr>
    </w:p>
    <w:p>
      <w:pPr>
        <w:tabs>
          <w:tab w:val="left" w:pos="1050"/>
          <w:tab w:val="right" w:leader="dot" w:pos="9402"/>
        </w:tabs>
        <w:spacing w:line="520" w:lineRule="exact"/>
        <w:jc w:val="center"/>
        <w:rPr>
          <w:rFonts w:eastAsia="宋体"/>
          <w:w w:val="80"/>
          <w:sz w:val="32"/>
          <w:szCs w:val="32"/>
        </w:rPr>
      </w:pPr>
    </w:p>
    <w:p>
      <w:pPr>
        <w:ind w:firstLine="2048" w:firstLineChars="800"/>
        <w:rPr>
          <w:rFonts w:eastAsia="宋体" w:cs="宋体"/>
          <w:w w:val="80"/>
          <w:sz w:val="44"/>
          <w:szCs w:val="44"/>
        </w:rPr>
      </w:pPr>
      <w:r>
        <w:rPr>
          <w:rFonts w:hint="eastAsia" w:eastAsia="宋体" w:cs="宋体"/>
          <w:w w:val="80"/>
          <w:sz w:val="32"/>
          <w:szCs w:val="32"/>
        </w:rPr>
        <w:t>采</w:t>
      </w:r>
      <w:r>
        <w:rPr>
          <w:rFonts w:eastAsia="宋体" w:cs="宋体"/>
          <w:w w:val="80"/>
          <w:sz w:val="32"/>
          <w:szCs w:val="32"/>
        </w:rPr>
        <w:t xml:space="preserve">   </w:t>
      </w:r>
      <w:r>
        <w:rPr>
          <w:rFonts w:hint="eastAsia" w:eastAsia="宋体" w:cs="宋体"/>
          <w:w w:val="80"/>
          <w:sz w:val="32"/>
          <w:szCs w:val="32"/>
        </w:rPr>
        <w:t>购</w:t>
      </w:r>
      <w:r>
        <w:rPr>
          <w:rFonts w:eastAsia="宋体" w:cs="宋体"/>
          <w:w w:val="80"/>
          <w:sz w:val="32"/>
          <w:szCs w:val="32"/>
        </w:rPr>
        <w:t xml:space="preserve">   </w:t>
      </w:r>
      <w:r>
        <w:rPr>
          <w:rFonts w:hint="eastAsia" w:eastAsia="宋体" w:cs="宋体"/>
          <w:w w:val="80"/>
          <w:sz w:val="32"/>
          <w:szCs w:val="32"/>
        </w:rPr>
        <w:t>人：南通市崇川区钟秀街道办事处</w:t>
      </w:r>
    </w:p>
    <w:p>
      <w:pPr>
        <w:tabs>
          <w:tab w:val="left" w:pos="1050"/>
          <w:tab w:val="right" w:leader="dot" w:pos="9402"/>
        </w:tabs>
        <w:spacing w:line="520" w:lineRule="exact"/>
        <w:ind w:firstLine="2048" w:firstLineChars="800"/>
        <w:rPr>
          <w:rFonts w:eastAsia="宋体"/>
          <w:w w:val="80"/>
          <w:sz w:val="32"/>
          <w:szCs w:val="32"/>
        </w:rPr>
      </w:pPr>
      <w:r>
        <w:rPr>
          <w:rFonts w:hint="eastAsia" w:eastAsia="宋体" w:cs="宋体"/>
          <w:w w:val="80"/>
          <w:sz w:val="32"/>
          <w:szCs w:val="32"/>
        </w:rPr>
        <w:t>采购代理机构：江苏衡通咨询管理有限公司</w:t>
      </w:r>
    </w:p>
    <w:p>
      <w:pPr>
        <w:tabs>
          <w:tab w:val="left" w:pos="1050"/>
          <w:tab w:val="right" w:leader="dot" w:pos="9402"/>
        </w:tabs>
        <w:spacing w:line="520" w:lineRule="exact"/>
        <w:jc w:val="center"/>
        <w:rPr>
          <w:rFonts w:eastAsia="宋体" w:cs="宋体"/>
          <w:w w:val="80"/>
          <w:sz w:val="32"/>
          <w:szCs w:val="32"/>
        </w:rPr>
      </w:pPr>
      <w:r>
        <w:rPr>
          <w:rFonts w:hint="eastAsia" w:eastAsia="宋体" w:cs="宋体"/>
          <w:w w:val="80"/>
          <w:sz w:val="32"/>
          <w:szCs w:val="32"/>
        </w:rPr>
        <w:t>二〇二二年</w:t>
      </w:r>
      <w:r>
        <w:rPr>
          <w:rFonts w:hint="eastAsia" w:eastAsia="宋体" w:cs="宋体"/>
          <w:w w:val="80"/>
          <w:sz w:val="32"/>
          <w:szCs w:val="32"/>
          <w:lang w:val="en-US" w:eastAsia="zh-CN"/>
        </w:rPr>
        <w:t>五</w:t>
      </w:r>
      <w:r>
        <w:rPr>
          <w:rFonts w:hint="eastAsia" w:eastAsia="宋体" w:cs="宋体"/>
          <w:w w:val="80"/>
          <w:sz w:val="32"/>
          <w:szCs w:val="32"/>
        </w:rPr>
        <w:t>月</w:t>
      </w:r>
      <w:r>
        <w:rPr>
          <w:rFonts w:hint="eastAsia" w:eastAsia="宋体" w:cs="宋体"/>
          <w:w w:val="80"/>
          <w:sz w:val="32"/>
          <w:szCs w:val="32"/>
          <w:lang w:val="en-US" w:eastAsia="zh-CN"/>
        </w:rPr>
        <w:t>十一</w:t>
      </w:r>
      <w:r>
        <w:rPr>
          <w:rFonts w:hint="eastAsia" w:eastAsia="宋体" w:cs="宋体"/>
          <w:w w:val="80"/>
          <w:sz w:val="32"/>
          <w:szCs w:val="32"/>
        </w:rPr>
        <w:t>日</w:t>
      </w:r>
    </w:p>
    <w:p>
      <w:pPr>
        <w:pStyle w:val="31"/>
        <w:rPr>
          <w:rFonts w:cs="宋体"/>
          <w:w w:val="80"/>
          <w:sz w:val="32"/>
          <w:szCs w:val="32"/>
        </w:rPr>
      </w:pPr>
    </w:p>
    <w:p>
      <w:pPr>
        <w:pStyle w:val="31"/>
        <w:rPr>
          <w:rFonts w:cs="宋体"/>
          <w:w w:val="80"/>
          <w:sz w:val="32"/>
          <w:szCs w:val="32"/>
        </w:rPr>
      </w:pPr>
    </w:p>
    <w:p>
      <w:pPr>
        <w:pStyle w:val="31"/>
        <w:rPr>
          <w:rFonts w:cs="宋体"/>
          <w:w w:val="80"/>
          <w:sz w:val="32"/>
          <w:szCs w:val="32"/>
        </w:rPr>
      </w:pPr>
    </w:p>
    <w:p>
      <w:pPr>
        <w:tabs>
          <w:tab w:val="left" w:pos="1050"/>
          <w:tab w:val="right" w:leader="dot" w:pos="9402"/>
        </w:tabs>
        <w:spacing w:line="520" w:lineRule="exact"/>
        <w:jc w:val="center"/>
        <w:outlineLvl w:val="0"/>
        <w:rPr>
          <w:rFonts w:hint="eastAsia" w:eastAsia="宋体" w:cs="宋体"/>
          <w:b/>
          <w:bCs/>
          <w:w w:val="80"/>
          <w:sz w:val="44"/>
          <w:szCs w:val="44"/>
        </w:rPr>
      </w:pPr>
    </w:p>
    <w:p>
      <w:pPr>
        <w:tabs>
          <w:tab w:val="left" w:pos="1050"/>
          <w:tab w:val="right" w:leader="dot" w:pos="9402"/>
        </w:tabs>
        <w:spacing w:line="520" w:lineRule="exact"/>
        <w:jc w:val="center"/>
        <w:outlineLvl w:val="0"/>
        <w:rPr>
          <w:rFonts w:eastAsia="宋体"/>
          <w:b/>
          <w:bCs/>
          <w:w w:val="80"/>
          <w:sz w:val="44"/>
          <w:szCs w:val="44"/>
          <w:highlight w:val="none"/>
        </w:rPr>
      </w:pPr>
      <w:r>
        <w:rPr>
          <w:rFonts w:hint="eastAsia" w:eastAsia="宋体" w:cs="宋体"/>
          <w:b/>
          <w:bCs/>
          <w:w w:val="80"/>
          <w:sz w:val="44"/>
          <w:szCs w:val="44"/>
          <w:highlight w:val="none"/>
        </w:rPr>
        <w:t>目</w:t>
      </w:r>
      <w:r>
        <w:rPr>
          <w:rFonts w:eastAsia="宋体" w:cs="宋体"/>
          <w:b/>
          <w:bCs/>
          <w:w w:val="80"/>
          <w:sz w:val="44"/>
          <w:szCs w:val="44"/>
          <w:highlight w:val="none"/>
        </w:rPr>
        <w:t xml:space="preserve">  </w:t>
      </w:r>
      <w:r>
        <w:rPr>
          <w:rFonts w:hint="eastAsia" w:eastAsia="宋体" w:cs="宋体"/>
          <w:b/>
          <w:bCs/>
          <w:w w:val="80"/>
          <w:sz w:val="44"/>
          <w:szCs w:val="44"/>
          <w:highlight w:val="none"/>
        </w:rPr>
        <w:t>录</w:t>
      </w:r>
    </w:p>
    <w:p>
      <w:pPr>
        <w:tabs>
          <w:tab w:val="right" w:leader="dot" w:pos="9072"/>
        </w:tabs>
        <w:adjustRightInd w:val="0"/>
        <w:spacing w:line="1200" w:lineRule="exact"/>
        <w:ind w:right="-2"/>
        <w:jc w:val="center"/>
        <w:textAlignment w:val="baseline"/>
        <w:rPr>
          <w:rFonts w:eastAsia="宋体"/>
          <w:w w:val="80"/>
          <w:sz w:val="32"/>
          <w:szCs w:val="32"/>
          <w:highlight w:val="none"/>
        </w:rPr>
      </w:pPr>
      <w:r>
        <w:rPr>
          <w:rFonts w:eastAsia="宋体"/>
          <w:b/>
          <w:bCs/>
          <w:sz w:val="30"/>
          <w:szCs w:val="30"/>
          <w:highlight w:val="none"/>
        </w:rPr>
        <w:fldChar w:fldCharType="begin"/>
      </w:r>
      <w:r>
        <w:rPr>
          <w:rFonts w:eastAsia="宋体"/>
          <w:b/>
          <w:bCs/>
          <w:sz w:val="30"/>
          <w:szCs w:val="30"/>
          <w:highlight w:val="none"/>
        </w:rPr>
        <w:instrText xml:space="preserve"> TOC \o "1-1" </w:instrText>
      </w:r>
      <w:r>
        <w:rPr>
          <w:rFonts w:eastAsia="宋体"/>
          <w:b/>
          <w:bCs/>
          <w:sz w:val="30"/>
          <w:szCs w:val="30"/>
          <w:highlight w:val="none"/>
        </w:rPr>
        <w:fldChar w:fldCharType="separate"/>
      </w:r>
      <w:r>
        <w:rPr>
          <w:rFonts w:hint="eastAsia" w:eastAsia="宋体" w:cs="宋体"/>
          <w:sz w:val="30"/>
          <w:szCs w:val="30"/>
          <w:highlight w:val="none"/>
        </w:rPr>
        <w:t>第一章</w:t>
      </w:r>
      <w:r>
        <w:rPr>
          <w:rFonts w:eastAsia="宋体" w:cs="宋体"/>
          <w:sz w:val="30"/>
          <w:szCs w:val="30"/>
          <w:highlight w:val="none"/>
        </w:rPr>
        <w:t xml:space="preserve">  </w:t>
      </w:r>
      <w:r>
        <w:rPr>
          <w:rFonts w:hint="eastAsia" w:eastAsia="宋体" w:cs="宋体"/>
          <w:sz w:val="30"/>
          <w:szCs w:val="30"/>
          <w:highlight w:val="none"/>
        </w:rPr>
        <w:t>竞争性磋商公告</w:t>
      </w:r>
      <w:r>
        <w:rPr>
          <w:rFonts w:eastAsia="宋体"/>
          <w:sz w:val="30"/>
          <w:szCs w:val="30"/>
          <w:highlight w:val="none"/>
        </w:rPr>
        <w:tab/>
      </w:r>
      <w:r>
        <w:rPr>
          <w:rFonts w:eastAsia="宋体"/>
          <w:sz w:val="30"/>
          <w:szCs w:val="30"/>
          <w:highlight w:val="none"/>
        </w:rPr>
        <w:t>3</w:t>
      </w:r>
    </w:p>
    <w:p>
      <w:pPr>
        <w:tabs>
          <w:tab w:val="right" w:leader="dot" w:pos="9072"/>
        </w:tabs>
        <w:adjustRightInd w:val="0"/>
        <w:spacing w:line="1200" w:lineRule="exact"/>
        <w:ind w:right="-2"/>
        <w:jc w:val="center"/>
        <w:textAlignment w:val="baseline"/>
        <w:rPr>
          <w:rFonts w:eastAsia="宋体"/>
          <w:sz w:val="30"/>
          <w:szCs w:val="30"/>
          <w:highlight w:val="none"/>
        </w:rPr>
      </w:pPr>
      <w:r>
        <w:rPr>
          <w:rFonts w:hint="eastAsia" w:eastAsia="宋体" w:cs="宋体"/>
          <w:sz w:val="30"/>
          <w:szCs w:val="30"/>
          <w:highlight w:val="none"/>
        </w:rPr>
        <w:t>第二章</w:t>
      </w:r>
      <w:r>
        <w:rPr>
          <w:rFonts w:eastAsia="宋体" w:cs="宋体"/>
          <w:sz w:val="30"/>
          <w:szCs w:val="30"/>
          <w:highlight w:val="none"/>
        </w:rPr>
        <w:t xml:space="preserve">  </w:t>
      </w:r>
      <w:r>
        <w:rPr>
          <w:rFonts w:hint="eastAsia" w:eastAsia="宋体" w:cs="宋体"/>
          <w:sz w:val="30"/>
          <w:szCs w:val="30"/>
          <w:highlight w:val="none"/>
        </w:rPr>
        <w:t>供应商须知</w:t>
      </w:r>
      <w:r>
        <w:rPr>
          <w:rFonts w:eastAsia="宋体"/>
          <w:sz w:val="30"/>
          <w:szCs w:val="30"/>
          <w:highlight w:val="none"/>
        </w:rPr>
        <w:tab/>
      </w:r>
      <w:r>
        <w:rPr>
          <w:rFonts w:eastAsia="宋体"/>
          <w:sz w:val="30"/>
          <w:szCs w:val="30"/>
          <w:highlight w:val="none"/>
        </w:rPr>
        <w:t>6</w:t>
      </w:r>
    </w:p>
    <w:p>
      <w:pPr>
        <w:tabs>
          <w:tab w:val="right" w:leader="dot" w:pos="9072"/>
        </w:tabs>
        <w:adjustRightInd w:val="0"/>
        <w:spacing w:line="1200" w:lineRule="exact"/>
        <w:ind w:right="-2"/>
        <w:jc w:val="center"/>
        <w:textAlignment w:val="baseline"/>
        <w:rPr>
          <w:rFonts w:eastAsia="宋体"/>
          <w:sz w:val="30"/>
          <w:szCs w:val="30"/>
          <w:highlight w:val="none"/>
        </w:rPr>
      </w:pPr>
      <w:r>
        <w:rPr>
          <w:rFonts w:hint="eastAsia" w:eastAsia="宋体" w:cs="宋体"/>
          <w:sz w:val="30"/>
          <w:szCs w:val="30"/>
          <w:highlight w:val="none"/>
        </w:rPr>
        <w:t>第三章</w:t>
      </w:r>
      <w:r>
        <w:rPr>
          <w:rFonts w:eastAsia="宋体" w:cs="宋体"/>
          <w:sz w:val="30"/>
          <w:szCs w:val="30"/>
          <w:highlight w:val="none"/>
        </w:rPr>
        <w:t xml:space="preserve">  </w:t>
      </w:r>
      <w:r>
        <w:rPr>
          <w:rFonts w:hint="eastAsia" w:eastAsia="宋体" w:cs="宋体"/>
          <w:sz w:val="30"/>
          <w:szCs w:val="30"/>
          <w:highlight w:val="none"/>
        </w:rPr>
        <w:t>项目需求</w:t>
      </w:r>
      <w:r>
        <w:rPr>
          <w:rFonts w:eastAsia="宋体"/>
          <w:sz w:val="30"/>
          <w:szCs w:val="30"/>
          <w:highlight w:val="none"/>
        </w:rPr>
        <w:tab/>
      </w:r>
      <w:r>
        <w:rPr>
          <w:rFonts w:eastAsia="宋体"/>
          <w:sz w:val="30"/>
          <w:szCs w:val="30"/>
          <w:highlight w:val="none"/>
        </w:rPr>
        <w:t>11</w:t>
      </w:r>
    </w:p>
    <w:p>
      <w:pPr>
        <w:tabs>
          <w:tab w:val="right" w:leader="dot" w:pos="9072"/>
        </w:tabs>
        <w:adjustRightInd w:val="0"/>
        <w:spacing w:line="1200" w:lineRule="exact"/>
        <w:ind w:right="-2"/>
        <w:jc w:val="center"/>
        <w:textAlignment w:val="baseline"/>
        <w:rPr>
          <w:rFonts w:hint="eastAsia" w:eastAsia="宋体"/>
          <w:sz w:val="30"/>
          <w:szCs w:val="30"/>
          <w:highlight w:val="none"/>
          <w:lang w:eastAsia="zh-CN"/>
        </w:rPr>
      </w:pPr>
      <w:r>
        <w:rPr>
          <w:rFonts w:hint="eastAsia" w:eastAsia="宋体" w:cs="宋体"/>
          <w:sz w:val="30"/>
          <w:szCs w:val="30"/>
          <w:highlight w:val="none"/>
        </w:rPr>
        <w:t>第四章</w:t>
      </w:r>
      <w:r>
        <w:rPr>
          <w:rFonts w:eastAsia="宋体" w:cs="宋体"/>
          <w:sz w:val="30"/>
          <w:szCs w:val="30"/>
          <w:highlight w:val="none"/>
        </w:rPr>
        <w:t xml:space="preserve">  </w:t>
      </w:r>
      <w:r>
        <w:rPr>
          <w:rFonts w:hint="eastAsia" w:eastAsia="宋体" w:cs="宋体"/>
          <w:sz w:val="30"/>
          <w:szCs w:val="30"/>
          <w:highlight w:val="none"/>
        </w:rPr>
        <w:t>评审程序和方法</w:t>
      </w:r>
      <w:r>
        <w:rPr>
          <w:rFonts w:eastAsia="宋体"/>
          <w:sz w:val="30"/>
          <w:szCs w:val="30"/>
          <w:highlight w:val="none"/>
        </w:rPr>
        <w:tab/>
      </w:r>
      <w:r>
        <w:rPr>
          <w:rFonts w:eastAsia="宋体"/>
          <w:sz w:val="30"/>
          <w:szCs w:val="30"/>
          <w:highlight w:val="none"/>
        </w:rPr>
        <w:t>3</w:t>
      </w:r>
      <w:r>
        <w:rPr>
          <w:rFonts w:hint="eastAsia" w:eastAsia="宋体"/>
          <w:sz w:val="30"/>
          <w:szCs w:val="30"/>
          <w:highlight w:val="none"/>
          <w:lang w:val="en-US" w:eastAsia="zh-CN"/>
        </w:rPr>
        <w:t>6</w:t>
      </w:r>
    </w:p>
    <w:p>
      <w:pPr>
        <w:tabs>
          <w:tab w:val="right" w:leader="dot" w:pos="9072"/>
        </w:tabs>
        <w:adjustRightInd w:val="0"/>
        <w:spacing w:line="1200" w:lineRule="exact"/>
        <w:ind w:right="-2"/>
        <w:jc w:val="center"/>
        <w:textAlignment w:val="baseline"/>
        <w:rPr>
          <w:rFonts w:hint="eastAsia" w:eastAsia="宋体"/>
          <w:sz w:val="30"/>
          <w:szCs w:val="30"/>
          <w:highlight w:val="none"/>
          <w:lang w:eastAsia="zh-CN"/>
        </w:rPr>
      </w:pPr>
      <w:r>
        <w:rPr>
          <w:rFonts w:hint="eastAsia" w:eastAsia="宋体" w:cs="宋体"/>
          <w:sz w:val="30"/>
          <w:szCs w:val="30"/>
          <w:highlight w:val="none"/>
        </w:rPr>
        <w:t>第五章</w:t>
      </w:r>
      <w:r>
        <w:rPr>
          <w:rFonts w:eastAsia="宋体" w:cs="宋体"/>
          <w:sz w:val="30"/>
          <w:szCs w:val="30"/>
          <w:highlight w:val="none"/>
        </w:rPr>
        <w:t xml:space="preserve">  </w:t>
      </w:r>
      <w:r>
        <w:rPr>
          <w:rFonts w:hint="eastAsia" w:eastAsia="宋体" w:cs="宋体"/>
          <w:sz w:val="30"/>
          <w:szCs w:val="30"/>
          <w:highlight w:val="none"/>
        </w:rPr>
        <w:t>合同授予</w:t>
      </w:r>
      <w:r>
        <w:rPr>
          <w:rFonts w:eastAsia="宋体"/>
          <w:sz w:val="30"/>
          <w:szCs w:val="30"/>
          <w:highlight w:val="none"/>
        </w:rPr>
        <w:tab/>
      </w:r>
      <w:r>
        <w:rPr>
          <w:rFonts w:eastAsia="宋体"/>
          <w:sz w:val="30"/>
          <w:szCs w:val="30"/>
          <w:highlight w:val="none"/>
        </w:rPr>
        <w:t>4</w:t>
      </w:r>
      <w:r>
        <w:rPr>
          <w:rFonts w:hint="eastAsia" w:eastAsia="宋体"/>
          <w:sz w:val="30"/>
          <w:szCs w:val="30"/>
          <w:highlight w:val="none"/>
          <w:lang w:val="en-US" w:eastAsia="zh-CN"/>
        </w:rPr>
        <w:t>5</w:t>
      </w:r>
    </w:p>
    <w:p>
      <w:pPr>
        <w:tabs>
          <w:tab w:val="right" w:leader="dot" w:pos="9072"/>
        </w:tabs>
        <w:adjustRightInd w:val="0"/>
        <w:spacing w:line="1200" w:lineRule="exact"/>
        <w:ind w:right="-2"/>
        <w:jc w:val="center"/>
        <w:textAlignment w:val="baseline"/>
        <w:rPr>
          <w:rFonts w:hint="eastAsia" w:eastAsia="宋体"/>
          <w:sz w:val="30"/>
          <w:szCs w:val="30"/>
          <w:highlight w:val="none"/>
          <w:lang w:eastAsia="zh-CN"/>
        </w:rPr>
      </w:pPr>
      <w:r>
        <w:rPr>
          <w:rFonts w:hint="eastAsia" w:eastAsia="宋体" w:cs="宋体"/>
          <w:sz w:val="30"/>
          <w:szCs w:val="30"/>
          <w:highlight w:val="none"/>
        </w:rPr>
        <w:t>第六章</w:t>
      </w:r>
      <w:r>
        <w:rPr>
          <w:rFonts w:eastAsia="宋体" w:cs="宋体"/>
          <w:sz w:val="30"/>
          <w:szCs w:val="30"/>
          <w:highlight w:val="none"/>
        </w:rPr>
        <w:t xml:space="preserve">  </w:t>
      </w:r>
      <w:r>
        <w:rPr>
          <w:rFonts w:hint="eastAsia" w:eastAsia="宋体" w:cs="宋体"/>
          <w:sz w:val="30"/>
          <w:szCs w:val="30"/>
          <w:highlight w:val="none"/>
        </w:rPr>
        <w:t>质疑与投诉</w:t>
      </w:r>
      <w:r>
        <w:rPr>
          <w:rFonts w:eastAsia="宋体"/>
          <w:sz w:val="30"/>
          <w:szCs w:val="30"/>
          <w:highlight w:val="none"/>
        </w:rPr>
        <w:tab/>
      </w:r>
      <w:r>
        <w:rPr>
          <w:rFonts w:eastAsia="宋体"/>
          <w:sz w:val="30"/>
          <w:szCs w:val="30"/>
          <w:highlight w:val="none"/>
        </w:rPr>
        <w:t>4</w:t>
      </w:r>
      <w:r>
        <w:rPr>
          <w:rFonts w:hint="eastAsia" w:eastAsia="宋体"/>
          <w:sz w:val="30"/>
          <w:szCs w:val="30"/>
          <w:highlight w:val="none"/>
          <w:lang w:val="en-US" w:eastAsia="zh-CN"/>
        </w:rPr>
        <w:t>6</w:t>
      </w:r>
    </w:p>
    <w:p>
      <w:pPr>
        <w:tabs>
          <w:tab w:val="right" w:leader="dot" w:pos="9072"/>
        </w:tabs>
        <w:adjustRightInd w:val="0"/>
        <w:spacing w:line="1200" w:lineRule="exact"/>
        <w:ind w:right="-2"/>
        <w:jc w:val="center"/>
        <w:textAlignment w:val="baseline"/>
        <w:rPr>
          <w:rFonts w:hint="default" w:eastAsia="宋体"/>
          <w:sz w:val="30"/>
          <w:szCs w:val="30"/>
          <w:highlight w:val="none"/>
          <w:lang w:val="en-US" w:eastAsia="zh-CN"/>
        </w:rPr>
      </w:pPr>
      <w:r>
        <w:rPr>
          <w:rFonts w:hint="eastAsia" w:eastAsia="宋体" w:cs="宋体"/>
          <w:sz w:val="30"/>
          <w:szCs w:val="30"/>
          <w:highlight w:val="none"/>
        </w:rPr>
        <w:t>第七章</w:t>
      </w:r>
      <w:r>
        <w:rPr>
          <w:rFonts w:eastAsia="宋体" w:cs="宋体"/>
          <w:sz w:val="30"/>
          <w:szCs w:val="30"/>
          <w:highlight w:val="none"/>
        </w:rPr>
        <w:t xml:space="preserve">  </w:t>
      </w:r>
      <w:r>
        <w:rPr>
          <w:rFonts w:hint="eastAsia" w:eastAsia="宋体" w:cs="宋体"/>
          <w:sz w:val="30"/>
          <w:szCs w:val="30"/>
          <w:highlight w:val="none"/>
        </w:rPr>
        <w:t>磋商响应文件组成及格式</w:t>
      </w:r>
      <w:r>
        <w:rPr>
          <w:rFonts w:eastAsia="宋体"/>
          <w:sz w:val="30"/>
          <w:szCs w:val="30"/>
          <w:highlight w:val="none"/>
        </w:rPr>
        <w:tab/>
      </w:r>
      <w:r>
        <w:rPr>
          <w:rFonts w:hint="eastAsia" w:eastAsia="宋体"/>
          <w:sz w:val="30"/>
          <w:szCs w:val="30"/>
          <w:highlight w:val="none"/>
          <w:lang w:val="en-US" w:eastAsia="zh-CN"/>
        </w:rPr>
        <w:t>49</w:t>
      </w:r>
    </w:p>
    <w:p>
      <w:pPr>
        <w:tabs>
          <w:tab w:val="right" w:leader="dot" w:pos="9072"/>
        </w:tabs>
        <w:adjustRightInd w:val="0"/>
        <w:spacing w:line="1200" w:lineRule="exact"/>
        <w:ind w:right="-2"/>
        <w:jc w:val="center"/>
        <w:textAlignment w:val="baseline"/>
        <w:rPr>
          <w:rFonts w:eastAsia="宋体"/>
          <w:kern w:val="0"/>
          <w:highlight w:val="yellow"/>
        </w:rPr>
      </w:pPr>
      <w:r>
        <w:rPr>
          <w:rFonts w:eastAsia="宋体"/>
          <w:b/>
          <w:bCs/>
          <w:sz w:val="30"/>
          <w:szCs w:val="30"/>
          <w:highlight w:val="none"/>
        </w:rPr>
        <w:fldChar w:fldCharType="end"/>
      </w:r>
    </w:p>
    <w:p>
      <w:pPr>
        <w:spacing w:line="420" w:lineRule="exact"/>
        <w:rPr>
          <w:rFonts w:eastAsia="宋体"/>
          <w:kern w:val="0"/>
        </w:rPr>
      </w:pPr>
    </w:p>
    <w:p>
      <w:pPr>
        <w:spacing w:line="420" w:lineRule="exact"/>
        <w:rPr>
          <w:rFonts w:eastAsia="宋体"/>
          <w:kern w:val="0"/>
        </w:rPr>
      </w:pPr>
    </w:p>
    <w:p>
      <w:pPr>
        <w:spacing w:line="420" w:lineRule="exact"/>
        <w:rPr>
          <w:rFonts w:eastAsia="宋体"/>
          <w:kern w:val="0"/>
        </w:rPr>
      </w:pPr>
    </w:p>
    <w:p>
      <w:pPr>
        <w:spacing w:line="420" w:lineRule="exact"/>
        <w:rPr>
          <w:rFonts w:eastAsia="宋体"/>
          <w:kern w:val="0"/>
        </w:rPr>
      </w:pPr>
    </w:p>
    <w:p>
      <w:pPr>
        <w:spacing w:line="420" w:lineRule="exact"/>
        <w:rPr>
          <w:rFonts w:eastAsia="宋体"/>
          <w:kern w:val="0"/>
        </w:rPr>
      </w:pPr>
    </w:p>
    <w:p>
      <w:pPr>
        <w:spacing w:line="420" w:lineRule="exact"/>
        <w:rPr>
          <w:rFonts w:eastAsia="宋体"/>
          <w:kern w:val="0"/>
        </w:rPr>
      </w:pPr>
    </w:p>
    <w:p>
      <w:pPr>
        <w:spacing w:line="420" w:lineRule="exact"/>
        <w:rPr>
          <w:rFonts w:eastAsia="宋体"/>
          <w:kern w:val="0"/>
        </w:rPr>
      </w:pPr>
    </w:p>
    <w:p>
      <w:pPr>
        <w:spacing w:line="420" w:lineRule="exact"/>
        <w:rPr>
          <w:rFonts w:eastAsia="宋体"/>
          <w:kern w:val="0"/>
        </w:rPr>
      </w:pPr>
    </w:p>
    <w:p>
      <w:pPr>
        <w:spacing w:line="420" w:lineRule="exact"/>
        <w:rPr>
          <w:rFonts w:eastAsia="宋体"/>
          <w:kern w:val="0"/>
        </w:rPr>
      </w:pPr>
    </w:p>
    <w:p>
      <w:pPr>
        <w:spacing w:line="420" w:lineRule="exact"/>
        <w:rPr>
          <w:rFonts w:eastAsia="宋体"/>
          <w:kern w:val="0"/>
        </w:rPr>
      </w:pPr>
    </w:p>
    <w:p>
      <w:pPr>
        <w:rPr>
          <w:rFonts w:hint="eastAsia" w:eastAsia="宋体" w:cs="宋体"/>
          <w:b/>
          <w:bCs/>
        </w:rPr>
      </w:pPr>
      <w:r>
        <w:rPr>
          <w:rFonts w:hint="eastAsia" w:eastAsia="宋体" w:cs="宋体"/>
          <w:b/>
          <w:bCs/>
        </w:rPr>
        <w:br w:type="page"/>
      </w:r>
    </w:p>
    <w:p>
      <w:pPr>
        <w:snapToGrid w:val="0"/>
        <w:spacing w:line="360" w:lineRule="exact"/>
        <w:rPr>
          <w:rFonts w:hint="eastAsia" w:eastAsia="宋体" w:cs="宋体"/>
          <w:b/>
          <w:bCs/>
        </w:rPr>
      </w:pPr>
    </w:p>
    <w:p>
      <w:pPr>
        <w:snapToGrid w:val="0"/>
        <w:spacing w:line="360" w:lineRule="exact"/>
        <w:rPr>
          <w:rFonts w:eastAsia="宋体"/>
          <w:b/>
          <w:bCs/>
        </w:rPr>
      </w:pPr>
      <w:r>
        <w:rPr>
          <w:rFonts w:hint="eastAsia" w:eastAsia="宋体" w:cs="宋体"/>
          <w:b/>
          <w:bCs/>
        </w:rPr>
        <w:t>尊敬的磋商响应供应商：</w:t>
      </w:r>
    </w:p>
    <w:p>
      <w:pPr>
        <w:snapToGrid w:val="0"/>
        <w:spacing w:line="360" w:lineRule="exact"/>
        <w:ind w:firstLine="482" w:firstLineChars="200"/>
        <w:rPr>
          <w:rFonts w:eastAsia="宋体"/>
        </w:rPr>
      </w:pPr>
      <w:r>
        <w:rPr>
          <w:rFonts w:hint="eastAsia" w:eastAsia="宋体" w:cs="宋体"/>
          <w:b/>
          <w:bCs/>
        </w:rPr>
        <w:t>欢迎参加本采购项目的竞争性磋商。为了保证本项目磋商顺利进行，请在制作磋商响应文件之前，仔细阅读本竞争性磋商文件的各项条款，并按要求制作和递交磋商响应文件。谢谢合作！</w:t>
      </w:r>
    </w:p>
    <w:p>
      <w:pPr>
        <w:tabs>
          <w:tab w:val="left" w:pos="1050"/>
          <w:tab w:val="right" w:leader="dot" w:pos="9402"/>
        </w:tabs>
        <w:spacing w:afterLines="50" w:line="600" w:lineRule="exact"/>
        <w:jc w:val="center"/>
        <w:outlineLvl w:val="0"/>
        <w:rPr>
          <w:rFonts w:ascii="宋体" w:hAnsi="宋体" w:eastAsia="宋体" w:cs="宋体"/>
          <w:b/>
          <w:bCs/>
          <w:w w:val="80"/>
          <w:sz w:val="36"/>
          <w:szCs w:val="36"/>
        </w:rPr>
      </w:pPr>
      <w:bookmarkStart w:id="0" w:name="_Toc363573853"/>
      <w:r>
        <w:rPr>
          <w:rFonts w:hint="eastAsia" w:ascii="宋体" w:hAnsi="宋体" w:eastAsia="宋体" w:cs="宋体"/>
          <w:b/>
          <w:bCs/>
          <w:w w:val="80"/>
          <w:sz w:val="36"/>
          <w:szCs w:val="36"/>
        </w:rPr>
        <w:t>第一章</w:t>
      </w:r>
      <w:bookmarkEnd w:id="0"/>
      <w:r>
        <w:rPr>
          <w:rFonts w:ascii="宋体" w:hAnsi="宋体" w:eastAsia="宋体" w:cs="宋体"/>
          <w:b/>
          <w:bCs/>
          <w:w w:val="80"/>
          <w:sz w:val="36"/>
          <w:szCs w:val="36"/>
        </w:rPr>
        <w:t xml:space="preserve">  </w:t>
      </w:r>
      <w:r>
        <w:rPr>
          <w:rFonts w:hint="eastAsia" w:ascii="宋体" w:hAnsi="宋体" w:eastAsia="宋体" w:cs="宋体"/>
          <w:b/>
          <w:bCs/>
          <w:w w:val="80"/>
          <w:sz w:val="36"/>
          <w:szCs w:val="36"/>
        </w:rPr>
        <w:t>竞争性磋商公告</w:t>
      </w:r>
    </w:p>
    <w:p>
      <w:pPr>
        <w:pBdr>
          <w:top w:val="single" w:color="auto" w:sz="4" w:space="1"/>
          <w:left w:val="single" w:color="auto" w:sz="4" w:space="4"/>
          <w:bottom w:val="single" w:color="auto" w:sz="4" w:space="4"/>
          <w:right w:val="single" w:color="auto" w:sz="4" w:space="0"/>
        </w:pBdr>
        <w:spacing w:line="420" w:lineRule="exact"/>
        <w:ind w:firstLine="482" w:firstLineChars="200"/>
        <w:rPr>
          <w:rFonts w:ascii="宋体" w:hAnsi="宋体" w:eastAsia="宋体" w:cs="宋体"/>
          <w:b/>
          <w:bCs/>
        </w:rPr>
      </w:pPr>
      <w:bookmarkStart w:id="1" w:name="_Hlk67480463"/>
      <w:bookmarkStart w:id="2" w:name="_Hlk47464923"/>
      <w:bookmarkStart w:id="3" w:name="_Hlk22000923"/>
      <w:bookmarkStart w:id="4" w:name="_Hlk23325252"/>
      <w:bookmarkStart w:id="5" w:name="_Hlk46362535"/>
      <w:bookmarkStart w:id="6" w:name="_Hlk62850190"/>
      <w:r>
        <w:rPr>
          <w:rFonts w:hint="eastAsia" w:ascii="宋体" w:hAnsi="宋体" w:eastAsia="宋体" w:cs="宋体"/>
          <w:b/>
          <w:bCs/>
        </w:rPr>
        <w:t>项目概况</w:t>
      </w:r>
    </w:p>
    <w:p>
      <w:pPr>
        <w:pBdr>
          <w:top w:val="single" w:color="auto" w:sz="4" w:space="1"/>
          <w:left w:val="single" w:color="auto" w:sz="4" w:space="4"/>
          <w:bottom w:val="single" w:color="auto" w:sz="4" w:space="4"/>
          <w:right w:val="single" w:color="auto" w:sz="4" w:space="0"/>
        </w:pBdr>
        <w:spacing w:line="420" w:lineRule="exact"/>
        <w:ind w:firstLine="482" w:firstLineChars="200"/>
        <w:rPr>
          <w:rFonts w:ascii="宋体" w:hAnsi="宋体" w:eastAsia="宋体" w:cs="宋体"/>
          <w:b/>
          <w:bCs/>
        </w:rPr>
      </w:pPr>
      <w:r>
        <w:rPr>
          <w:rFonts w:hint="eastAsia" w:ascii="宋体" w:hAnsi="宋体" w:eastAsia="宋体" w:cs="宋体"/>
          <w:b/>
          <w:bCs/>
          <w:u w:val="single"/>
        </w:rPr>
        <w:t>南通市崇川区钟秀街道办事处综合性养老服务中心建设及运营管理、居家养老服务中心（站）运营管理、政府购买居家养老服务、残疾人之家运营管理项目</w:t>
      </w:r>
      <w:r>
        <w:rPr>
          <w:rFonts w:hint="eastAsia" w:ascii="宋体" w:hAnsi="宋体" w:eastAsia="宋体" w:cs="宋体"/>
          <w:b/>
          <w:bCs/>
        </w:rPr>
        <w:t>的潜在供应商应在</w:t>
      </w:r>
      <w:r>
        <w:rPr>
          <w:rFonts w:hint="eastAsia" w:ascii="宋体" w:hAnsi="宋体" w:eastAsia="宋体" w:cs="宋体"/>
          <w:b/>
          <w:bCs/>
          <w:u w:val="single"/>
        </w:rPr>
        <w:t>“南通市崇川区人民政府网→我要看→公示公告栏”</w:t>
      </w:r>
      <w:r>
        <w:rPr>
          <w:rFonts w:hint="eastAsia" w:ascii="宋体" w:hAnsi="宋体" w:eastAsia="宋体" w:cs="宋体"/>
          <w:b/>
          <w:bCs/>
        </w:rPr>
        <w:t>内获取采购文件，并于</w:t>
      </w:r>
      <w:r>
        <w:rPr>
          <w:rFonts w:ascii="宋体" w:hAnsi="宋体" w:eastAsia="宋体" w:cs="宋体"/>
          <w:b/>
          <w:bCs/>
          <w:u w:val="single"/>
        </w:rPr>
        <w:t>2022</w:t>
      </w:r>
      <w:r>
        <w:rPr>
          <w:rFonts w:hint="eastAsia" w:ascii="宋体" w:hAnsi="宋体" w:eastAsia="宋体" w:cs="宋体"/>
          <w:b/>
          <w:bCs/>
          <w:u w:val="single"/>
        </w:rPr>
        <w:t>年</w:t>
      </w:r>
      <w:r>
        <w:rPr>
          <w:rFonts w:hint="eastAsia" w:ascii="宋体" w:hAnsi="宋体" w:eastAsia="宋体" w:cs="宋体"/>
          <w:b/>
          <w:bCs/>
          <w:u w:val="single"/>
          <w:lang w:val="en-US" w:eastAsia="zh-CN"/>
        </w:rPr>
        <w:t>5</w:t>
      </w:r>
      <w:r>
        <w:rPr>
          <w:rFonts w:hint="eastAsia" w:ascii="宋体" w:hAnsi="宋体" w:eastAsia="宋体" w:cs="宋体"/>
          <w:b/>
          <w:bCs/>
          <w:u w:val="single"/>
        </w:rPr>
        <w:t>月</w:t>
      </w:r>
      <w:r>
        <w:rPr>
          <w:rFonts w:hint="eastAsia" w:ascii="宋体" w:hAnsi="宋体" w:eastAsia="宋体" w:cs="宋体"/>
          <w:b/>
          <w:bCs/>
          <w:u w:val="single"/>
          <w:lang w:val="en-US" w:eastAsia="zh-CN"/>
        </w:rPr>
        <w:t>25</w:t>
      </w:r>
      <w:r>
        <w:rPr>
          <w:rFonts w:hint="eastAsia" w:ascii="宋体" w:hAnsi="宋体" w:eastAsia="宋体" w:cs="宋体"/>
          <w:b/>
          <w:bCs/>
          <w:u w:val="single"/>
        </w:rPr>
        <w:t>日下午</w:t>
      </w:r>
      <w:r>
        <w:rPr>
          <w:rFonts w:ascii="宋体" w:hAnsi="宋体" w:eastAsia="宋体" w:cs="宋体"/>
          <w:b/>
          <w:bCs/>
          <w:u w:val="single"/>
        </w:rPr>
        <w:t>2</w:t>
      </w:r>
      <w:r>
        <w:rPr>
          <w:rFonts w:hint="eastAsia" w:ascii="宋体" w:hAnsi="宋体" w:eastAsia="宋体" w:cs="宋体"/>
          <w:b/>
          <w:bCs/>
          <w:u w:val="single"/>
          <w:lang w:eastAsia="zh-CN"/>
        </w:rPr>
        <w:t>：</w:t>
      </w:r>
      <w:r>
        <w:rPr>
          <w:rFonts w:hint="eastAsia" w:ascii="宋体" w:hAnsi="宋体" w:eastAsia="宋体" w:cs="宋体"/>
          <w:b/>
          <w:bCs/>
          <w:u w:val="single"/>
          <w:lang w:val="en-US" w:eastAsia="zh-CN"/>
        </w:rPr>
        <w:t>30</w:t>
      </w:r>
      <w:r>
        <w:rPr>
          <w:rFonts w:hint="eastAsia" w:ascii="宋体" w:hAnsi="宋体" w:eastAsia="宋体" w:cs="宋体"/>
          <w:b/>
          <w:bCs/>
          <w:u w:val="single"/>
        </w:rPr>
        <w:t>时</w:t>
      </w:r>
      <w:r>
        <w:rPr>
          <w:rFonts w:hint="eastAsia" w:ascii="宋体" w:hAnsi="宋体" w:eastAsia="宋体" w:cs="宋体"/>
          <w:b/>
          <w:bCs/>
        </w:rPr>
        <w:t>（北京时间）前提交响应文件。</w:t>
      </w:r>
    </w:p>
    <w:bookmarkEnd w:id="1"/>
    <w:p>
      <w:pPr>
        <w:snapToGrid w:val="0"/>
        <w:spacing w:beforeLines="50" w:line="420" w:lineRule="exact"/>
        <w:ind w:left="-2" w:leftChars="-1" w:firstLine="569"/>
        <w:rPr>
          <w:rFonts w:ascii="宋体" w:hAnsi="宋体" w:eastAsia="宋体" w:cs="宋体"/>
        </w:rPr>
      </w:pPr>
      <w:r>
        <w:rPr>
          <w:rFonts w:hint="eastAsia" w:ascii="宋体" w:hAnsi="宋体" w:eastAsia="宋体" w:cs="宋体"/>
        </w:rPr>
        <w:t>江苏衡通咨询管理有限公司</w:t>
      </w:r>
      <w:r>
        <w:rPr>
          <w:rFonts w:hint="eastAsia" w:ascii="宋体" w:hAnsi="宋体" w:eastAsia="宋体" w:cs="宋体"/>
          <w:b/>
          <w:bCs/>
        </w:rPr>
        <w:t>（以下称采购代理机构）</w:t>
      </w:r>
      <w:r>
        <w:rPr>
          <w:rFonts w:hint="eastAsia" w:ascii="宋体" w:hAnsi="宋体" w:eastAsia="宋体" w:cs="宋体"/>
        </w:rPr>
        <w:t>受南通市崇川区钟秀街道办事处</w:t>
      </w:r>
      <w:r>
        <w:rPr>
          <w:rFonts w:hint="eastAsia" w:ascii="宋体" w:hAnsi="宋体" w:eastAsia="宋体" w:cs="宋体"/>
          <w:b/>
          <w:bCs/>
        </w:rPr>
        <w:t>（以下称采购人）</w:t>
      </w:r>
      <w:r>
        <w:rPr>
          <w:rFonts w:hint="eastAsia" w:ascii="宋体" w:hAnsi="宋体" w:eastAsia="宋体" w:cs="宋体"/>
        </w:rPr>
        <w:t>的委托，就街道下的综合性养老服务中心建设及运营管理、居家养老服务中心（站）运营管理、政府购买居家养老服务、残疾人之家运营管理项目组织竞争性磋商采购，诚邀符合资格条件的潜在供应商参加磋商响应。</w:t>
      </w:r>
    </w:p>
    <w:p>
      <w:pPr>
        <w:snapToGrid w:val="0"/>
        <w:spacing w:line="420" w:lineRule="exact"/>
        <w:ind w:left="-2" w:leftChars="-1" w:firstLine="428"/>
        <w:outlineLvl w:val="1"/>
        <w:rPr>
          <w:rFonts w:ascii="宋体" w:hAnsi="宋体" w:eastAsia="宋体" w:cs="宋体"/>
          <w:b/>
          <w:bCs/>
        </w:rPr>
      </w:pPr>
      <w:r>
        <w:rPr>
          <w:rFonts w:hint="eastAsia" w:ascii="宋体" w:hAnsi="宋体" w:eastAsia="宋体" w:cs="宋体"/>
          <w:b/>
          <w:bCs/>
        </w:rPr>
        <w:t>一、项目基本情况：</w:t>
      </w:r>
    </w:p>
    <w:p>
      <w:pPr>
        <w:autoSpaceDE w:val="0"/>
        <w:autoSpaceDN w:val="0"/>
        <w:adjustRightInd w:val="0"/>
        <w:spacing w:line="420" w:lineRule="exact"/>
        <w:ind w:firstLine="426"/>
        <w:rPr>
          <w:rFonts w:ascii="宋体" w:hAnsi="宋体" w:eastAsia="宋体" w:cs="宋体"/>
          <w:kern w:val="0"/>
        </w:rPr>
      </w:pPr>
      <w:r>
        <w:rPr>
          <w:rFonts w:ascii="宋体" w:hAnsi="宋体" w:eastAsia="宋体" w:cs="宋体"/>
          <w:kern w:val="0"/>
        </w:rPr>
        <w:t>1.</w:t>
      </w:r>
      <w:bookmarkStart w:id="7" w:name="_Hlk71409173"/>
      <w:r>
        <w:rPr>
          <w:rFonts w:hint="eastAsia" w:ascii="宋体" w:hAnsi="宋体" w:eastAsia="宋体" w:cs="宋体"/>
          <w:kern w:val="0"/>
        </w:rPr>
        <w:t>项目名称：</w:t>
      </w:r>
      <w:bookmarkStart w:id="8" w:name="_Hlk71391740"/>
      <w:r>
        <w:rPr>
          <w:rFonts w:hint="eastAsia" w:ascii="宋体" w:hAnsi="宋体" w:eastAsia="宋体" w:cs="宋体"/>
          <w:kern w:val="0"/>
        </w:rPr>
        <w:t>南通市崇川区钟秀街道办事处综合性养老服务中心建设及运营管理、居家养老服务中心（站）运营管理、政府购买居家养老服务、残疾人之家运营管理项目</w:t>
      </w:r>
      <w:bookmarkEnd w:id="8"/>
      <w:r>
        <w:rPr>
          <w:rFonts w:hint="eastAsia" w:ascii="宋体" w:hAnsi="宋体" w:eastAsia="宋体" w:cs="宋体"/>
          <w:kern w:val="0"/>
        </w:rPr>
        <w:t>。</w:t>
      </w:r>
    </w:p>
    <w:bookmarkEnd w:id="7"/>
    <w:p>
      <w:pPr>
        <w:autoSpaceDE w:val="0"/>
        <w:autoSpaceDN w:val="0"/>
        <w:adjustRightInd w:val="0"/>
        <w:spacing w:line="420" w:lineRule="exact"/>
        <w:ind w:firstLine="426"/>
        <w:rPr>
          <w:rFonts w:ascii="宋体" w:hAnsi="宋体" w:eastAsia="宋体" w:cs="宋体"/>
          <w:kern w:val="0"/>
        </w:rPr>
      </w:pPr>
      <w:r>
        <w:rPr>
          <w:rFonts w:ascii="宋体" w:hAnsi="宋体" w:eastAsia="宋体" w:cs="宋体"/>
          <w:kern w:val="0"/>
        </w:rPr>
        <w:t>2.</w:t>
      </w:r>
      <w:r>
        <w:rPr>
          <w:rFonts w:hint="eastAsia" w:ascii="宋体" w:hAnsi="宋体" w:eastAsia="宋体" w:cs="宋体"/>
          <w:kern w:val="0"/>
        </w:rPr>
        <w:t>采购方式：竞争性磋商。</w:t>
      </w:r>
    </w:p>
    <w:p>
      <w:pPr>
        <w:autoSpaceDE w:val="0"/>
        <w:autoSpaceDN w:val="0"/>
        <w:adjustRightInd w:val="0"/>
        <w:spacing w:line="420" w:lineRule="exact"/>
        <w:ind w:firstLine="426"/>
        <w:rPr>
          <w:rFonts w:ascii="宋体" w:hAnsi="宋体" w:eastAsia="宋体" w:cs="宋体"/>
          <w:color w:val="auto"/>
          <w:kern w:val="0"/>
        </w:rPr>
      </w:pPr>
      <w:r>
        <w:rPr>
          <w:rFonts w:ascii="宋体" w:hAnsi="宋体" w:eastAsia="宋体" w:cs="宋体"/>
          <w:color w:val="auto"/>
          <w:kern w:val="0"/>
        </w:rPr>
        <w:t>3.</w:t>
      </w:r>
      <w:r>
        <w:rPr>
          <w:rFonts w:hint="eastAsia" w:ascii="宋体" w:hAnsi="宋体" w:eastAsia="宋体" w:cs="宋体"/>
          <w:color w:val="auto"/>
          <w:kern w:val="0"/>
        </w:rPr>
        <w:t>采购预算：无采购预算资金</w:t>
      </w:r>
    </w:p>
    <w:p>
      <w:pPr>
        <w:autoSpaceDE w:val="0"/>
        <w:autoSpaceDN w:val="0"/>
        <w:adjustRightInd w:val="0"/>
        <w:spacing w:line="420" w:lineRule="exact"/>
        <w:ind w:firstLine="426"/>
        <w:rPr>
          <w:rFonts w:ascii="宋体" w:hAnsi="宋体" w:eastAsia="宋体" w:cs="宋体"/>
          <w:color w:val="auto"/>
          <w:kern w:val="0"/>
        </w:rPr>
      </w:pPr>
      <w:r>
        <w:rPr>
          <w:rFonts w:hint="eastAsia" w:ascii="宋体" w:hAnsi="宋体" w:eastAsia="宋体" w:cs="宋体"/>
          <w:color w:val="auto"/>
          <w:kern w:val="0"/>
        </w:rPr>
        <w:t>（</w:t>
      </w:r>
      <w:r>
        <w:rPr>
          <w:rFonts w:ascii="宋体" w:hAnsi="宋体" w:eastAsia="宋体" w:cs="宋体"/>
          <w:color w:val="auto"/>
          <w:kern w:val="0"/>
        </w:rPr>
        <w:t>1</w:t>
      </w:r>
      <w:r>
        <w:rPr>
          <w:rFonts w:hint="eastAsia" w:ascii="宋体" w:hAnsi="宋体" w:eastAsia="宋体" w:cs="宋体"/>
          <w:color w:val="auto"/>
          <w:kern w:val="0"/>
        </w:rPr>
        <w:t>）综合性养老服务中心建设及运营管理：在社会资本方承办运营期内，由两部分组成，第一部分：街道办（采购人）给予免费</w:t>
      </w:r>
      <w:r>
        <w:rPr>
          <w:rFonts w:hint="eastAsia" w:ascii="宋体" w:hAnsi="宋体" w:eastAsia="宋体" w:cs="宋体"/>
          <w:color w:val="auto"/>
          <w:kern w:val="0"/>
          <w:lang w:eastAsia="zh-CN"/>
        </w:rPr>
        <w:t>（</w:t>
      </w:r>
      <w:r>
        <w:rPr>
          <w:rFonts w:hint="eastAsia" w:ascii="宋体" w:hAnsi="宋体" w:eastAsia="宋体" w:cs="宋体"/>
          <w:color w:val="auto"/>
          <w:kern w:val="0"/>
          <w:lang w:val="en-US" w:eastAsia="zh-CN"/>
        </w:rPr>
        <w:t>有条件</w:t>
      </w:r>
      <w:r>
        <w:rPr>
          <w:rFonts w:hint="eastAsia" w:ascii="宋体" w:hAnsi="宋体" w:eastAsia="宋体" w:cs="宋体"/>
          <w:color w:val="auto"/>
          <w:kern w:val="0"/>
          <w:lang w:eastAsia="zh-CN"/>
        </w:rPr>
        <w:t>）</w:t>
      </w:r>
      <w:r>
        <w:rPr>
          <w:rFonts w:hint="eastAsia" w:ascii="宋体" w:hAnsi="宋体" w:eastAsia="宋体" w:cs="宋体"/>
          <w:color w:val="auto"/>
          <w:kern w:val="0"/>
        </w:rPr>
        <w:t>提供</w:t>
      </w:r>
      <w:r>
        <w:rPr>
          <w:rFonts w:ascii="宋体" w:hAnsi="宋体" w:eastAsia="宋体" w:cs="宋体"/>
          <w:color w:val="auto"/>
          <w:kern w:val="0"/>
        </w:rPr>
        <w:t>7</w:t>
      </w:r>
      <w:r>
        <w:rPr>
          <w:rFonts w:hint="eastAsia" w:ascii="宋体" w:hAnsi="宋体" w:eastAsia="宋体" w:cs="宋体"/>
          <w:color w:val="auto"/>
          <w:kern w:val="0"/>
        </w:rPr>
        <w:t>年；第二部分为有偿租赁经营</w:t>
      </w:r>
      <w:r>
        <w:rPr>
          <w:rFonts w:ascii="宋体" w:hAnsi="宋体" w:eastAsia="宋体" w:cs="宋体"/>
          <w:color w:val="auto"/>
          <w:kern w:val="0"/>
        </w:rPr>
        <w:t>8</w:t>
      </w:r>
      <w:r>
        <w:rPr>
          <w:rFonts w:hint="eastAsia" w:ascii="宋体" w:hAnsi="宋体" w:eastAsia="宋体" w:cs="宋体"/>
          <w:color w:val="auto"/>
          <w:kern w:val="0"/>
        </w:rPr>
        <w:t>年，有偿提供的租赁经营租金每年度人民币</w:t>
      </w:r>
      <w:r>
        <w:rPr>
          <w:rFonts w:ascii="宋体" w:hAnsi="宋体" w:eastAsia="宋体" w:cs="宋体"/>
          <w:color w:val="auto"/>
          <w:kern w:val="0"/>
        </w:rPr>
        <w:t>5</w:t>
      </w:r>
      <w:r>
        <w:rPr>
          <w:rFonts w:hint="eastAsia" w:ascii="宋体" w:hAnsi="宋体" w:eastAsia="宋体" w:cs="宋体"/>
          <w:color w:val="auto"/>
          <w:kern w:val="0"/>
        </w:rPr>
        <w:t>万元。</w:t>
      </w:r>
    </w:p>
    <w:p>
      <w:pPr>
        <w:autoSpaceDE w:val="0"/>
        <w:autoSpaceDN w:val="0"/>
        <w:adjustRightInd w:val="0"/>
        <w:spacing w:line="420" w:lineRule="exact"/>
        <w:ind w:firstLine="426"/>
        <w:rPr>
          <w:rFonts w:ascii="宋体" w:hAnsi="宋体" w:eastAsia="宋体" w:cs="宋体"/>
          <w:color w:val="auto"/>
          <w:kern w:val="0"/>
        </w:rPr>
      </w:pPr>
      <w:r>
        <w:rPr>
          <w:rFonts w:hint="eastAsia" w:ascii="宋体" w:hAnsi="宋体" w:eastAsia="宋体" w:cs="宋体"/>
          <w:color w:val="auto"/>
          <w:kern w:val="0"/>
        </w:rPr>
        <w:t>（</w:t>
      </w:r>
      <w:r>
        <w:rPr>
          <w:rFonts w:ascii="宋体" w:hAnsi="宋体" w:eastAsia="宋体" w:cs="宋体"/>
          <w:color w:val="auto"/>
          <w:kern w:val="0"/>
        </w:rPr>
        <w:t>2</w:t>
      </w:r>
      <w:r>
        <w:rPr>
          <w:rFonts w:hint="eastAsia" w:ascii="宋体" w:hAnsi="宋体" w:eastAsia="宋体" w:cs="宋体"/>
          <w:color w:val="auto"/>
          <w:kern w:val="0"/>
        </w:rPr>
        <w:t>）居家养老服务中心（站）运营管理：以实际拨付为准。</w:t>
      </w:r>
    </w:p>
    <w:p>
      <w:pPr>
        <w:autoSpaceDE w:val="0"/>
        <w:autoSpaceDN w:val="0"/>
        <w:adjustRightInd w:val="0"/>
        <w:spacing w:line="420" w:lineRule="exact"/>
        <w:ind w:firstLine="426"/>
        <w:rPr>
          <w:rFonts w:ascii="宋体" w:hAnsi="宋体" w:eastAsia="宋体" w:cs="宋体"/>
          <w:color w:val="auto"/>
          <w:kern w:val="0"/>
        </w:rPr>
      </w:pPr>
      <w:r>
        <w:rPr>
          <w:rFonts w:hint="eastAsia" w:ascii="宋体" w:hAnsi="宋体" w:eastAsia="宋体" w:cs="宋体"/>
          <w:color w:val="auto"/>
          <w:kern w:val="0"/>
        </w:rPr>
        <w:t>（</w:t>
      </w:r>
      <w:r>
        <w:rPr>
          <w:rFonts w:ascii="宋体" w:hAnsi="宋体" w:eastAsia="宋体" w:cs="宋体"/>
          <w:color w:val="auto"/>
          <w:kern w:val="0"/>
        </w:rPr>
        <w:t>3</w:t>
      </w:r>
      <w:r>
        <w:rPr>
          <w:rFonts w:hint="eastAsia" w:ascii="宋体" w:hAnsi="宋体" w:eastAsia="宋体" w:cs="宋体"/>
          <w:color w:val="auto"/>
          <w:kern w:val="0"/>
        </w:rPr>
        <w:t>）政府购买居家养老服务：以老人实际消费为准。</w:t>
      </w:r>
    </w:p>
    <w:p>
      <w:pPr>
        <w:autoSpaceDE w:val="0"/>
        <w:autoSpaceDN w:val="0"/>
        <w:adjustRightInd w:val="0"/>
        <w:spacing w:line="420" w:lineRule="exact"/>
        <w:ind w:firstLine="426"/>
        <w:rPr>
          <w:rFonts w:hint="eastAsia" w:ascii="宋体" w:hAnsi="宋体" w:eastAsia="宋体" w:cs="宋体"/>
          <w:color w:val="auto"/>
          <w:kern w:val="0"/>
        </w:rPr>
      </w:pPr>
      <w:r>
        <w:rPr>
          <w:rFonts w:hint="eastAsia" w:ascii="宋体" w:hAnsi="宋体" w:eastAsia="宋体" w:cs="宋体"/>
          <w:color w:val="auto"/>
          <w:kern w:val="0"/>
        </w:rPr>
        <w:t>（</w:t>
      </w:r>
      <w:r>
        <w:rPr>
          <w:rFonts w:ascii="宋体" w:hAnsi="宋体" w:eastAsia="宋体" w:cs="宋体"/>
          <w:color w:val="auto"/>
          <w:kern w:val="0"/>
        </w:rPr>
        <w:t>4</w:t>
      </w:r>
      <w:r>
        <w:rPr>
          <w:rFonts w:hint="eastAsia" w:ascii="宋体" w:hAnsi="宋体" w:eastAsia="宋体" w:cs="宋体"/>
          <w:color w:val="auto"/>
          <w:kern w:val="0"/>
        </w:rPr>
        <w:t>）残疾人之家运营管理：</w:t>
      </w:r>
      <w:r>
        <w:rPr>
          <w:rFonts w:hint="eastAsia" w:ascii="宋体" w:hAnsi="宋体" w:eastAsia="宋体" w:cs="宋体"/>
          <w:color w:val="auto"/>
          <w:kern w:val="0"/>
          <w:highlight w:val="none"/>
        </w:rPr>
        <w:t>运营管理费按当年度最低工资标准</w:t>
      </w:r>
      <w:r>
        <w:rPr>
          <w:rFonts w:ascii="宋体" w:hAnsi="宋体" w:eastAsia="宋体" w:cs="宋体"/>
          <w:color w:val="auto"/>
          <w:kern w:val="0"/>
          <w:highlight w:val="none"/>
        </w:rPr>
        <w:t>*12</w:t>
      </w:r>
      <w:r>
        <w:rPr>
          <w:rFonts w:hint="eastAsia" w:ascii="宋体" w:hAnsi="宋体" w:eastAsia="宋体" w:cs="宋体"/>
          <w:color w:val="auto"/>
          <w:kern w:val="0"/>
          <w:highlight w:val="none"/>
        </w:rPr>
        <w:t>个月结算，</w:t>
      </w:r>
      <w:r>
        <w:rPr>
          <w:rFonts w:hint="eastAsia" w:ascii="宋体" w:hAnsi="宋体" w:eastAsia="宋体" w:cs="宋体"/>
          <w:color w:val="auto"/>
          <w:kern w:val="0"/>
        </w:rPr>
        <w:t>残疾人之家午餐费用以月为单位，按照采购人规定的午餐费用标准，提供票据和相关材料，按实际用餐费用结算。</w:t>
      </w:r>
    </w:p>
    <w:p>
      <w:pPr>
        <w:pStyle w:val="31"/>
        <w:spacing w:line="420" w:lineRule="exact"/>
        <w:ind w:firstLine="480" w:firstLineChars="200"/>
        <w:rPr>
          <w:rFonts w:ascii="宋体" w:cs="宋体"/>
          <w:color w:val="auto"/>
          <w:sz w:val="24"/>
          <w:szCs w:val="24"/>
        </w:rPr>
      </w:pPr>
      <w:r>
        <w:rPr>
          <w:rFonts w:hint="eastAsia" w:ascii="宋体" w:hAnsi="宋体" w:cs="宋体"/>
          <w:color w:val="auto"/>
          <w:sz w:val="24"/>
          <w:szCs w:val="24"/>
        </w:rPr>
        <w:t>具体详见竞争性磋商文件第三章。</w:t>
      </w:r>
    </w:p>
    <w:p>
      <w:pPr>
        <w:autoSpaceDE w:val="0"/>
        <w:autoSpaceDN w:val="0"/>
        <w:adjustRightInd w:val="0"/>
        <w:spacing w:line="420" w:lineRule="exact"/>
        <w:ind w:firstLine="426"/>
        <w:rPr>
          <w:rFonts w:ascii="宋体" w:hAnsi="宋体" w:eastAsia="宋体" w:cs="宋体"/>
          <w:color w:val="auto"/>
          <w:kern w:val="0"/>
        </w:rPr>
      </w:pPr>
      <w:r>
        <w:rPr>
          <w:rFonts w:ascii="宋体" w:hAnsi="宋体" w:eastAsia="宋体" w:cs="宋体"/>
          <w:color w:val="auto"/>
          <w:kern w:val="0"/>
        </w:rPr>
        <w:t>4.</w:t>
      </w:r>
      <w:r>
        <w:rPr>
          <w:rFonts w:hint="eastAsia" w:ascii="宋体" w:hAnsi="宋体" w:eastAsia="宋体" w:cs="宋体"/>
          <w:color w:val="auto"/>
          <w:kern w:val="0"/>
        </w:rPr>
        <w:t>最高限价：无。</w:t>
      </w:r>
    </w:p>
    <w:p>
      <w:pPr>
        <w:autoSpaceDE w:val="0"/>
        <w:autoSpaceDN w:val="0"/>
        <w:adjustRightInd w:val="0"/>
        <w:spacing w:line="420" w:lineRule="exact"/>
        <w:ind w:firstLine="426"/>
        <w:rPr>
          <w:rFonts w:ascii="宋体" w:hAnsi="宋体" w:eastAsia="宋体" w:cs="宋体"/>
          <w:color w:val="auto"/>
          <w:kern w:val="0"/>
        </w:rPr>
      </w:pPr>
      <w:r>
        <w:rPr>
          <w:rFonts w:ascii="宋体" w:hAnsi="宋体" w:eastAsia="宋体" w:cs="宋体"/>
          <w:color w:val="auto"/>
          <w:kern w:val="0"/>
        </w:rPr>
        <w:t>5.</w:t>
      </w:r>
      <w:r>
        <w:rPr>
          <w:rFonts w:hint="eastAsia" w:ascii="宋体" w:hAnsi="宋体" w:eastAsia="宋体" w:cs="宋体"/>
          <w:color w:val="auto"/>
          <w:kern w:val="0"/>
        </w:rPr>
        <w:t>采购需求：详见竞争性磋商文件第三章。</w:t>
      </w:r>
    </w:p>
    <w:p>
      <w:pPr>
        <w:autoSpaceDE w:val="0"/>
        <w:autoSpaceDN w:val="0"/>
        <w:adjustRightInd w:val="0"/>
        <w:spacing w:line="420" w:lineRule="exact"/>
        <w:ind w:firstLine="426"/>
        <w:rPr>
          <w:rFonts w:ascii="宋体" w:hAnsi="宋体" w:eastAsia="宋体" w:cs="宋体"/>
          <w:color w:val="auto"/>
          <w:kern w:val="0"/>
        </w:rPr>
      </w:pPr>
      <w:r>
        <w:rPr>
          <w:rFonts w:ascii="宋体" w:hAnsi="宋体" w:eastAsia="宋体" w:cs="宋体"/>
          <w:color w:val="auto"/>
          <w:kern w:val="0"/>
        </w:rPr>
        <w:t>6.</w:t>
      </w:r>
      <w:r>
        <w:rPr>
          <w:rFonts w:hint="eastAsia" w:ascii="宋体" w:hAnsi="宋体" w:eastAsia="宋体" w:cs="宋体"/>
          <w:color w:val="auto"/>
          <w:kern w:val="0"/>
        </w:rPr>
        <w:t>项目服务合同履约期限：</w:t>
      </w:r>
    </w:p>
    <w:p>
      <w:pPr>
        <w:autoSpaceDE w:val="0"/>
        <w:autoSpaceDN w:val="0"/>
        <w:adjustRightInd w:val="0"/>
        <w:spacing w:line="420" w:lineRule="exact"/>
        <w:ind w:firstLine="426"/>
        <w:rPr>
          <w:rFonts w:ascii="宋体" w:hAnsi="宋体" w:eastAsia="宋体" w:cs="宋体"/>
          <w:color w:val="auto"/>
          <w:kern w:val="0"/>
        </w:rPr>
      </w:pPr>
      <w:r>
        <w:rPr>
          <w:rFonts w:hint="eastAsia" w:ascii="宋体" w:hAnsi="宋体" w:eastAsia="宋体" w:cs="宋体"/>
          <w:color w:val="auto"/>
          <w:kern w:val="0"/>
        </w:rPr>
        <w:t>（</w:t>
      </w:r>
      <w:r>
        <w:rPr>
          <w:rFonts w:ascii="宋体" w:hAnsi="宋体" w:eastAsia="宋体" w:cs="宋体"/>
          <w:color w:val="auto"/>
          <w:kern w:val="0"/>
        </w:rPr>
        <w:t>1</w:t>
      </w:r>
      <w:r>
        <w:rPr>
          <w:rFonts w:hint="eastAsia" w:ascii="宋体" w:hAnsi="宋体" w:eastAsia="宋体" w:cs="宋体"/>
          <w:color w:val="auto"/>
          <w:kern w:val="0"/>
        </w:rPr>
        <w:t>）综合性养老服务中心建设及运营管理：服务期限为</w:t>
      </w:r>
      <w:r>
        <w:rPr>
          <w:rFonts w:ascii="宋体" w:hAnsi="宋体" w:eastAsia="宋体" w:cs="宋体"/>
          <w:color w:val="auto"/>
          <w:kern w:val="0"/>
        </w:rPr>
        <w:t>15</w:t>
      </w:r>
      <w:r>
        <w:rPr>
          <w:rFonts w:hint="eastAsia" w:ascii="宋体" w:hAnsi="宋体" w:eastAsia="宋体" w:cs="宋体"/>
          <w:color w:val="auto"/>
          <w:kern w:val="0"/>
        </w:rPr>
        <w:t>年，</w:t>
      </w:r>
      <w:r>
        <w:rPr>
          <w:rFonts w:hint="eastAsia" w:ascii="宋体" w:hAnsi="宋体" w:eastAsia="宋体" w:cs="宋体"/>
          <w:color w:val="auto"/>
          <w:kern w:val="0"/>
          <w:highlight w:val="none"/>
          <w:lang w:val="en-US" w:eastAsia="zh-CN"/>
        </w:rPr>
        <w:t>按</w:t>
      </w:r>
      <w:r>
        <w:rPr>
          <w:rFonts w:hint="eastAsia" w:ascii="宋体" w:hAnsi="宋体" w:eastAsia="宋体" w:cs="宋体"/>
          <w:color w:val="auto"/>
          <w:kern w:val="0"/>
          <w:highlight w:val="none"/>
        </w:rPr>
        <w:t>合同</w:t>
      </w:r>
      <w:r>
        <w:rPr>
          <w:rFonts w:hint="eastAsia" w:ascii="宋体" w:hAnsi="宋体" w:eastAsia="宋体" w:cs="宋体"/>
          <w:color w:val="auto"/>
          <w:kern w:val="0"/>
          <w:highlight w:val="none"/>
          <w:lang w:val="en-US" w:eastAsia="zh-CN"/>
        </w:rPr>
        <w:t>履约期限15年签订</w:t>
      </w:r>
      <w:r>
        <w:rPr>
          <w:rFonts w:hint="eastAsia" w:ascii="宋体" w:hAnsi="宋体" w:eastAsia="宋体" w:cs="宋体"/>
          <w:color w:val="auto"/>
          <w:kern w:val="0"/>
        </w:rPr>
        <w:t>。</w:t>
      </w:r>
    </w:p>
    <w:p>
      <w:pPr>
        <w:autoSpaceDE w:val="0"/>
        <w:autoSpaceDN w:val="0"/>
        <w:adjustRightInd w:val="0"/>
        <w:spacing w:line="420" w:lineRule="exact"/>
        <w:ind w:firstLine="426"/>
        <w:rPr>
          <w:rFonts w:ascii="宋体" w:hAnsi="宋体" w:eastAsia="宋体" w:cs="宋体"/>
          <w:color w:val="auto"/>
          <w:kern w:val="0"/>
        </w:rPr>
      </w:pPr>
      <w:r>
        <w:rPr>
          <w:rFonts w:hint="eastAsia" w:ascii="宋体" w:hAnsi="宋体" w:eastAsia="宋体" w:cs="宋体"/>
          <w:color w:val="auto"/>
          <w:kern w:val="0"/>
        </w:rPr>
        <w:t>（</w:t>
      </w:r>
      <w:r>
        <w:rPr>
          <w:rFonts w:ascii="宋体" w:hAnsi="宋体" w:eastAsia="宋体" w:cs="宋体"/>
          <w:color w:val="auto"/>
          <w:kern w:val="0"/>
        </w:rPr>
        <w:t>2</w:t>
      </w:r>
      <w:r>
        <w:rPr>
          <w:rFonts w:hint="eastAsia" w:ascii="宋体" w:hAnsi="宋体" w:eastAsia="宋体" w:cs="宋体"/>
          <w:color w:val="auto"/>
          <w:kern w:val="0"/>
        </w:rPr>
        <w:t>）居家养老服务中心（站）运营管理：服务期限为</w:t>
      </w:r>
      <w:r>
        <w:rPr>
          <w:rFonts w:ascii="宋体" w:hAnsi="宋体" w:eastAsia="宋体" w:cs="宋体"/>
          <w:color w:val="auto"/>
          <w:kern w:val="0"/>
        </w:rPr>
        <w:t>3</w:t>
      </w:r>
      <w:r>
        <w:rPr>
          <w:rFonts w:hint="eastAsia" w:ascii="宋体" w:hAnsi="宋体" w:eastAsia="宋体" w:cs="宋体"/>
          <w:color w:val="auto"/>
          <w:kern w:val="0"/>
        </w:rPr>
        <w:t>年，</w:t>
      </w:r>
      <w:r>
        <w:rPr>
          <w:rFonts w:hint="eastAsia" w:ascii="宋体" w:hAnsi="宋体" w:eastAsia="宋体" w:cs="宋体"/>
          <w:color w:val="auto"/>
          <w:kern w:val="0"/>
          <w:lang w:val="en-US" w:eastAsia="zh-CN"/>
        </w:rPr>
        <w:t>以当年考核结果签署次年的合同</w:t>
      </w:r>
      <w:r>
        <w:rPr>
          <w:rFonts w:hint="eastAsia" w:ascii="宋体" w:hAnsi="宋体" w:eastAsia="宋体" w:cs="宋体"/>
          <w:color w:val="auto"/>
          <w:kern w:val="0"/>
        </w:rPr>
        <w:t>。</w:t>
      </w:r>
    </w:p>
    <w:p>
      <w:pPr>
        <w:autoSpaceDE w:val="0"/>
        <w:autoSpaceDN w:val="0"/>
        <w:adjustRightInd w:val="0"/>
        <w:spacing w:line="420" w:lineRule="exact"/>
        <w:ind w:firstLine="426"/>
        <w:rPr>
          <w:rFonts w:ascii="宋体" w:hAnsi="宋体" w:eastAsia="宋体" w:cs="宋体"/>
          <w:color w:val="auto"/>
          <w:kern w:val="0"/>
        </w:rPr>
      </w:pPr>
      <w:r>
        <w:rPr>
          <w:rFonts w:hint="eastAsia" w:ascii="宋体" w:hAnsi="宋体" w:eastAsia="宋体" w:cs="宋体"/>
          <w:color w:val="auto"/>
          <w:kern w:val="0"/>
        </w:rPr>
        <w:t>（</w:t>
      </w:r>
      <w:r>
        <w:rPr>
          <w:rFonts w:ascii="宋体" w:hAnsi="宋体" w:eastAsia="宋体" w:cs="宋体"/>
          <w:color w:val="auto"/>
          <w:kern w:val="0"/>
        </w:rPr>
        <w:t>3</w:t>
      </w:r>
      <w:r>
        <w:rPr>
          <w:rFonts w:hint="eastAsia" w:ascii="宋体" w:hAnsi="宋体" w:eastAsia="宋体" w:cs="宋体"/>
          <w:color w:val="auto"/>
          <w:kern w:val="0"/>
        </w:rPr>
        <w:t>）政府购买居家养老服务：服务期限为</w:t>
      </w:r>
      <w:r>
        <w:rPr>
          <w:rFonts w:ascii="宋体" w:hAnsi="宋体" w:eastAsia="宋体" w:cs="宋体"/>
          <w:color w:val="auto"/>
          <w:kern w:val="0"/>
        </w:rPr>
        <w:t>3</w:t>
      </w:r>
      <w:r>
        <w:rPr>
          <w:rFonts w:hint="eastAsia" w:ascii="宋体" w:hAnsi="宋体" w:eastAsia="宋体" w:cs="宋体"/>
          <w:color w:val="auto"/>
          <w:kern w:val="0"/>
        </w:rPr>
        <w:t>年，</w:t>
      </w:r>
      <w:r>
        <w:rPr>
          <w:rFonts w:hint="eastAsia" w:ascii="宋体" w:hAnsi="宋体" w:eastAsia="宋体" w:cs="宋体"/>
          <w:color w:val="auto"/>
          <w:kern w:val="0"/>
          <w:lang w:val="en-US" w:eastAsia="zh-CN"/>
        </w:rPr>
        <w:t>以当年考核结果签署次年的合同</w:t>
      </w:r>
      <w:r>
        <w:rPr>
          <w:rFonts w:hint="eastAsia" w:ascii="宋体" w:hAnsi="宋体" w:eastAsia="宋体" w:cs="宋体"/>
          <w:color w:val="auto"/>
          <w:kern w:val="0"/>
        </w:rPr>
        <w:t>。</w:t>
      </w:r>
    </w:p>
    <w:p>
      <w:pPr>
        <w:autoSpaceDE w:val="0"/>
        <w:autoSpaceDN w:val="0"/>
        <w:adjustRightInd w:val="0"/>
        <w:spacing w:line="420" w:lineRule="exact"/>
        <w:ind w:firstLine="426"/>
        <w:rPr>
          <w:rFonts w:ascii="宋体" w:hAnsi="宋体" w:eastAsia="宋体" w:cs="宋体"/>
          <w:color w:val="auto"/>
          <w:kern w:val="0"/>
        </w:rPr>
      </w:pPr>
      <w:r>
        <w:rPr>
          <w:rFonts w:hint="eastAsia" w:ascii="宋体" w:hAnsi="宋体" w:eastAsia="宋体" w:cs="宋体"/>
          <w:color w:val="auto"/>
          <w:kern w:val="0"/>
        </w:rPr>
        <w:t>（</w:t>
      </w:r>
      <w:r>
        <w:rPr>
          <w:rFonts w:ascii="宋体" w:hAnsi="宋体" w:eastAsia="宋体" w:cs="宋体"/>
          <w:color w:val="auto"/>
          <w:kern w:val="0"/>
        </w:rPr>
        <w:t>4</w:t>
      </w:r>
      <w:r>
        <w:rPr>
          <w:rFonts w:hint="eastAsia" w:ascii="宋体" w:hAnsi="宋体" w:eastAsia="宋体" w:cs="宋体"/>
          <w:color w:val="auto"/>
          <w:kern w:val="0"/>
        </w:rPr>
        <w:t>）残疾人之家运营管理：服务期限为</w:t>
      </w:r>
      <w:r>
        <w:rPr>
          <w:rFonts w:ascii="宋体" w:hAnsi="宋体" w:eastAsia="宋体" w:cs="宋体"/>
          <w:color w:val="auto"/>
          <w:kern w:val="0"/>
        </w:rPr>
        <w:t>3</w:t>
      </w:r>
      <w:r>
        <w:rPr>
          <w:rFonts w:hint="eastAsia" w:ascii="宋体" w:hAnsi="宋体" w:eastAsia="宋体" w:cs="宋体"/>
          <w:color w:val="auto"/>
          <w:kern w:val="0"/>
        </w:rPr>
        <w:t>年，</w:t>
      </w:r>
      <w:r>
        <w:rPr>
          <w:rFonts w:hint="eastAsia" w:ascii="宋体" w:hAnsi="宋体" w:eastAsia="宋体" w:cs="宋体"/>
          <w:color w:val="auto"/>
          <w:kern w:val="0"/>
          <w:lang w:val="en-US" w:eastAsia="zh-CN"/>
        </w:rPr>
        <w:t>以当年考核结果签署次年的合同</w:t>
      </w:r>
      <w:r>
        <w:rPr>
          <w:rFonts w:hint="eastAsia" w:ascii="宋体" w:hAnsi="宋体" w:eastAsia="宋体" w:cs="宋体"/>
          <w:color w:val="auto"/>
          <w:kern w:val="0"/>
        </w:rPr>
        <w:t>。</w:t>
      </w:r>
    </w:p>
    <w:p>
      <w:pPr>
        <w:autoSpaceDE w:val="0"/>
        <w:autoSpaceDN w:val="0"/>
        <w:adjustRightInd w:val="0"/>
        <w:spacing w:line="420" w:lineRule="exact"/>
        <w:ind w:firstLine="426"/>
        <w:rPr>
          <w:rFonts w:ascii="宋体" w:hAnsi="宋体" w:eastAsia="宋体" w:cs="宋体"/>
          <w:color w:val="auto"/>
          <w:kern w:val="0"/>
        </w:rPr>
      </w:pPr>
      <w:r>
        <w:rPr>
          <w:rFonts w:ascii="宋体" w:hAnsi="宋体" w:eastAsia="宋体" w:cs="宋体"/>
          <w:color w:val="auto"/>
          <w:kern w:val="0"/>
        </w:rPr>
        <w:t>7.</w:t>
      </w:r>
      <w:r>
        <w:rPr>
          <w:rFonts w:hint="eastAsia" w:ascii="宋体" w:hAnsi="宋体" w:eastAsia="宋体" w:cs="宋体"/>
          <w:color w:val="auto"/>
          <w:kern w:val="0"/>
        </w:rPr>
        <w:t>联合体：不接受多个供应商组成联合体参与本项目竞争性磋商采购活动。</w:t>
      </w:r>
    </w:p>
    <w:p>
      <w:pPr>
        <w:snapToGrid w:val="0"/>
        <w:spacing w:line="420" w:lineRule="exact"/>
        <w:ind w:left="-2" w:leftChars="-1" w:firstLine="428"/>
        <w:outlineLvl w:val="1"/>
        <w:rPr>
          <w:rFonts w:ascii="宋体" w:hAnsi="宋体" w:eastAsia="宋体" w:cs="宋体"/>
        </w:rPr>
      </w:pPr>
      <w:r>
        <w:rPr>
          <w:rFonts w:hint="eastAsia" w:ascii="宋体" w:hAnsi="宋体" w:eastAsia="宋体" w:cs="宋体"/>
          <w:b/>
          <w:bCs/>
        </w:rPr>
        <w:t>二、供应商的资格要求</w:t>
      </w:r>
    </w:p>
    <w:p>
      <w:pPr>
        <w:autoSpaceDE w:val="0"/>
        <w:autoSpaceDN w:val="0"/>
        <w:adjustRightInd w:val="0"/>
        <w:spacing w:line="420" w:lineRule="exact"/>
        <w:ind w:firstLine="426"/>
        <w:rPr>
          <w:rFonts w:ascii="宋体" w:hAnsi="宋体" w:eastAsia="宋体" w:cs="宋体"/>
          <w:kern w:val="0"/>
        </w:rPr>
      </w:pPr>
      <w:r>
        <w:rPr>
          <w:rFonts w:ascii="宋体" w:hAnsi="宋体" w:eastAsia="宋体" w:cs="宋体"/>
          <w:kern w:val="0"/>
        </w:rPr>
        <w:t>1.</w:t>
      </w:r>
      <w:r>
        <w:rPr>
          <w:rFonts w:hint="eastAsia" w:ascii="宋体" w:hAnsi="宋体" w:eastAsia="宋体" w:cs="宋体"/>
          <w:kern w:val="0"/>
        </w:rPr>
        <w:t>满足《中华人民共和国政府采购法》第二十二条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pPr>
        <w:autoSpaceDE w:val="0"/>
        <w:autoSpaceDN w:val="0"/>
        <w:adjustRightInd w:val="0"/>
        <w:spacing w:line="420" w:lineRule="exact"/>
        <w:ind w:firstLine="426"/>
        <w:rPr>
          <w:rFonts w:ascii="宋体" w:hAnsi="宋体" w:eastAsia="宋体" w:cs="宋体"/>
          <w:kern w:val="0"/>
        </w:rPr>
      </w:pPr>
      <w:r>
        <w:rPr>
          <w:rFonts w:ascii="宋体" w:hAnsi="宋体" w:eastAsia="宋体" w:cs="宋体"/>
          <w:kern w:val="0"/>
        </w:rPr>
        <w:t>2.</w:t>
      </w:r>
      <w:r>
        <w:rPr>
          <w:rFonts w:hint="eastAsia" w:ascii="宋体" w:hAnsi="宋体" w:eastAsia="宋体" w:cs="宋体"/>
          <w:kern w:val="0"/>
        </w:rPr>
        <w:t>落实政府采购政策需满足的资格要求：无。</w:t>
      </w:r>
    </w:p>
    <w:p>
      <w:pPr>
        <w:autoSpaceDE w:val="0"/>
        <w:autoSpaceDN w:val="0"/>
        <w:adjustRightInd w:val="0"/>
        <w:spacing w:line="420" w:lineRule="exact"/>
        <w:ind w:firstLine="426"/>
        <w:rPr>
          <w:rFonts w:ascii="宋体" w:hAnsi="宋体" w:eastAsia="宋体" w:cs="宋体"/>
        </w:rPr>
      </w:pPr>
      <w:r>
        <w:rPr>
          <w:rFonts w:ascii="宋体" w:hAnsi="宋体" w:eastAsia="宋体" w:cs="宋体"/>
          <w:kern w:val="0"/>
        </w:rPr>
        <w:t>3.</w:t>
      </w:r>
      <w:r>
        <w:rPr>
          <w:rFonts w:hint="eastAsia" w:ascii="宋体" w:hAnsi="宋体" w:eastAsia="宋体" w:cs="宋体"/>
          <w:kern w:val="0"/>
        </w:rPr>
        <w:t>本项目的特定资格要求：</w:t>
      </w:r>
      <w:r>
        <w:rPr>
          <w:rFonts w:hint="eastAsia" w:ascii="宋体" w:hAnsi="宋体" w:eastAsia="宋体" w:cs="宋体"/>
          <w:color w:val="auto"/>
          <w:kern w:val="0"/>
          <w:highlight w:val="none"/>
        </w:rPr>
        <w:t>具有《养老机构设立许可证》（或《设置养老机构备案回执》）和《医疗机构执业许可证》</w:t>
      </w:r>
      <w:r>
        <w:rPr>
          <w:rFonts w:hint="eastAsia" w:ascii="宋体" w:hAnsi="宋体" w:eastAsia="宋体" w:cs="宋体"/>
          <w:color w:val="auto"/>
          <w:kern w:val="0"/>
        </w:rPr>
        <w:t>。</w:t>
      </w:r>
    </w:p>
    <w:p>
      <w:pPr>
        <w:snapToGrid w:val="0"/>
        <w:spacing w:line="420" w:lineRule="exact"/>
        <w:ind w:left="-2" w:leftChars="-1" w:firstLine="428"/>
        <w:outlineLvl w:val="1"/>
        <w:rPr>
          <w:rFonts w:ascii="宋体" w:hAnsi="宋体" w:eastAsia="宋体" w:cs="宋体"/>
          <w:kern w:val="0"/>
        </w:rPr>
      </w:pPr>
      <w:bookmarkStart w:id="9" w:name="_Hlk56731280"/>
      <w:r>
        <w:rPr>
          <w:rFonts w:hint="eastAsia" w:ascii="宋体" w:hAnsi="宋体" w:eastAsia="宋体" w:cs="宋体"/>
          <w:b/>
          <w:bCs/>
        </w:rPr>
        <w:t>三、竞争性磋商文件的获取</w:t>
      </w:r>
    </w:p>
    <w:p>
      <w:pPr>
        <w:autoSpaceDE w:val="0"/>
        <w:autoSpaceDN w:val="0"/>
        <w:adjustRightInd w:val="0"/>
        <w:spacing w:line="420" w:lineRule="exact"/>
        <w:ind w:firstLine="426"/>
        <w:rPr>
          <w:rFonts w:ascii="宋体" w:hAnsi="宋体" w:eastAsia="宋体" w:cs="宋体"/>
          <w:kern w:val="0"/>
        </w:rPr>
      </w:pPr>
      <w:r>
        <w:rPr>
          <w:rFonts w:hint="eastAsia" w:ascii="宋体" w:hAnsi="宋体" w:eastAsia="宋体" w:cs="宋体"/>
          <w:kern w:val="0"/>
        </w:rPr>
        <w:t>有意愿参与本项目竞争性磋商响应的供应商，请于本公告日起至开标截止时间前，到“南通市崇川区人民政府网→我要看→公示公告栏”内下载本项目的竞争性磋商文件。</w:t>
      </w:r>
      <w:bookmarkEnd w:id="9"/>
    </w:p>
    <w:p>
      <w:pPr>
        <w:spacing w:line="420" w:lineRule="exact"/>
        <w:ind w:firstLine="482" w:firstLineChars="200"/>
        <w:jc w:val="left"/>
        <w:outlineLvl w:val="1"/>
        <w:rPr>
          <w:rFonts w:ascii="宋体" w:hAnsi="宋体" w:eastAsia="宋体" w:cs="宋体"/>
          <w:bCs/>
        </w:rPr>
      </w:pPr>
      <w:bookmarkStart w:id="10" w:name="_Toc35393633"/>
      <w:bookmarkStart w:id="11" w:name="_Toc28359016"/>
      <w:bookmarkStart w:id="12" w:name="_Toc35393802"/>
      <w:bookmarkStart w:id="13" w:name="_Toc28359093"/>
      <w:bookmarkStart w:id="14" w:name="_Hlk68916653"/>
      <w:bookmarkStart w:id="15" w:name="_Toc363573854"/>
      <w:r>
        <w:rPr>
          <w:rFonts w:hint="eastAsia" w:ascii="宋体" w:hAnsi="宋体" w:eastAsia="宋体" w:cs="宋体"/>
          <w:b/>
          <w:bCs/>
        </w:rPr>
        <w:t>四、</w:t>
      </w:r>
      <w:bookmarkEnd w:id="10"/>
      <w:bookmarkEnd w:id="11"/>
      <w:bookmarkEnd w:id="12"/>
      <w:bookmarkEnd w:id="13"/>
      <w:r>
        <w:rPr>
          <w:rFonts w:hint="eastAsia" w:ascii="宋体" w:hAnsi="宋体" w:eastAsia="宋体" w:cs="宋体"/>
          <w:b/>
          <w:bCs/>
        </w:rPr>
        <w:t>响应文件的递交、开标</w:t>
      </w:r>
    </w:p>
    <w:p>
      <w:pPr>
        <w:autoSpaceDE w:val="0"/>
        <w:autoSpaceDN w:val="0"/>
        <w:adjustRightInd w:val="0"/>
        <w:spacing w:line="420" w:lineRule="exact"/>
        <w:ind w:firstLine="426"/>
        <w:rPr>
          <w:rFonts w:ascii="宋体" w:hAnsi="宋体" w:eastAsia="宋体" w:cs="宋体"/>
          <w:kern w:val="0"/>
        </w:rPr>
      </w:pPr>
      <w:r>
        <w:rPr>
          <w:rFonts w:ascii="宋体" w:hAnsi="宋体" w:eastAsia="宋体" w:cs="宋体"/>
          <w:kern w:val="0"/>
        </w:rPr>
        <w:t>1</w:t>
      </w:r>
      <w:r>
        <w:rPr>
          <w:rFonts w:hint="eastAsia" w:ascii="宋体" w:hAnsi="宋体" w:eastAsia="宋体" w:cs="宋体"/>
          <w:kern w:val="0"/>
        </w:rPr>
        <w:t>、递交响应文件截止时间为</w:t>
      </w:r>
      <w:r>
        <w:rPr>
          <w:rFonts w:ascii="宋体" w:hAnsi="宋体" w:eastAsia="宋体" w:cs="宋体"/>
          <w:b/>
          <w:bCs/>
          <w:kern w:val="0"/>
          <w:u w:val="single"/>
        </w:rPr>
        <w:t>2022</w:t>
      </w:r>
      <w:r>
        <w:rPr>
          <w:rFonts w:hint="eastAsia" w:ascii="宋体" w:hAnsi="宋体" w:eastAsia="宋体" w:cs="宋体"/>
          <w:b/>
          <w:bCs/>
          <w:kern w:val="0"/>
          <w:u w:val="single"/>
        </w:rPr>
        <w:t>年</w:t>
      </w:r>
      <w:r>
        <w:rPr>
          <w:rFonts w:hint="eastAsia" w:ascii="宋体" w:hAnsi="宋体" w:eastAsia="宋体" w:cs="宋体"/>
          <w:b/>
          <w:bCs/>
          <w:kern w:val="0"/>
          <w:u w:val="single"/>
          <w:lang w:val="en-US" w:eastAsia="zh-CN"/>
        </w:rPr>
        <w:t>5</w:t>
      </w:r>
      <w:r>
        <w:rPr>
          <w:rFonts w:hint="eastAsia" w:ascii="宋体" w:hAnsi="宋体" w:eastAsia="宋体" w:cs="宋体"/>
          <w:b/>
          <w:bCs/>
          <w:kern w:val="0"/>
          <w:u w:val="single"/>
        </w:rPr>
        <w:t>月</w:t>
      </w:r>
      <w:r>
        <w:rPr>
          <w:rFonts w:hint="eastAsia" w:ascii="宋体" w:hAnsi="宋体" w:eastAsia="宋体" w:cs="宋体"/>
          <w:b/>
          <w:bCs/>
          <w:kern w:val="0"/>
          <w:u w:val="single"/>
          <w:lang w:val="en-US" w:eastAsia="zh-CN"/>
        </w:rPr>
        <w:t>25</w:t>
      </w:r>
      <w:r>
        <w:rPr>
          <w:rFonts w:hint="eastAsia" w:ascii="宋体" w:hAnsi="宋体" w:eastAsia="宋体" w:cs="宋体"/>
          <w:b/>
          <w:bCs/>
          <w:kern w:val="0"/>
          <w:u w:val="single"/>
        </w:rPr>
        <w:t>日</w:t>
      </w:r>
      <w:r>
        <w:rPr>
          <w:rFonts w:hint="eastAsia" w:ascii="宋体" w:hAnsi="宋体" w:eastAsia="宋体" w:cs="宋体"/>
          <w:b/>
          <w:bCs/>
          <w:kern w:val="0"/>
          <w:u w:val="single"/>
          <w:lang w:val="en-US" w:eastAsia="zh-CN"/>
        </w:rPr>
        <w:t>下午2：30</w:t>
      </w:r>
      <w:r>
        <w:rPr>
          <w:rFonts w:hint="eastAsia" w:ascii="宋体" w:hAnsi="宋体" w:eastAsia="宋体" w:cs="宋体"/>
          <w:b/>
          <w:bCs/>
          <w:kern w:val="0"/>
          <w:u w:val="single"/>
        </w:rPr>
        <w:t>时（北京时间）</w:t>
      </w:r>
      <w:r>
        <w:rPr>
          <w:rFonts w:hint="eastAsia" w:ascii="宋体" w:hAnsi="宋体" w:eastAsia="宋体" w:cs="宋体"/>
          <w:kern w:val="0"/>
        </w:rPr>
        <w:t>，地点为</w:t>
      </w:r>
      <w:r>
        <w:rPr>
          <w:rFonts w:ascii="宋体" w:hAnsi="宋体" w:eastAsia="宋体" w:cs="宋体"/>
          <w:kern w:val="0"/>
          <w:u w:val="single"/>
        </w:rPr>
        <w:t xml:space="preserve"> </w:t>
      </w:r>
      <w:r>
        <w:rPr>
          <w:rFonts w:hint="eastAsia" w:ascii="宋体" w:hAnsi="宋体" w:eastAsia="宋体" w:cs="宋体"/>
          <w:b/>
          <w:bCs/>
          <w:kern w:val="0"/>
          <w:u w:val="single"/>
        </w:rPr>
        <w:t>南通市崇川区钟秀街道办事处</w:t>
      </w:r>
      <w:r>
        <w:rPr>
          <w:rFonts w:hint="eastAsia" w:ascii="宋体" w:hAnsi="宋体" w:eastAsia="宋体" w:cs="宋体"/>
          <w:b/>
          <w:bCs/>
          <w:kern w:val="0"/>
          <w:u w:val="single"/>
          <w:lang w:val="en-US" w:eastAsia="zh-CN"/>
        </w:rPr>
        <w:t>210室</w:t>
      </w:r>
      <w:r>
        <w:rPr>
          <w:rFonts w:ascii="宋体" w:hAnsi="宋体" w:eastAsia="宋体" w:cs="宋体"/>
          <w:kern w:val="0"/>
          <w:u w:val="single"/>
        </w:rPr>
        <w:t xml:space="preserve"> </w:t>
      </w:r>
      <w:r>
        <w:rPr>
          <w:rFonts w:hint="eastAsia" w:ascii="宋体" w:hAnsi="宋体" w:eastAsia="宋体" w:cs="宋体"/>
          <w:kern w:val="0"/>
        </w:rPr>
        <w:t>，如遇疫情防控管理要求，不能按时开标的，顺延另行公告通知。</w:t>
      </w:r>
    </w:p>
    <w:p>
      <w:pPr>
        <w:autoSpaceDE w:val="0"/>
        <w:autoSpaceDN w:val="0"/>
        <w:adjustRightInd w:val="0"/>
        <w:spacing w:line="420" w:lineRule="exact"/>
        <w:ind w:firstLine="426"/>
        <w:rPr>
          <w:rFonts w:ascii="宋体" w:hAnsi="宋体" w:eastAsia="宋体" w:cs="宋体"/>
          <w:kern w:val="0"/>
        </w:rPr>
      </w:pPr>
      <w:r>
        <w:rPr>
          <w:rFonts w:ascii="宋体" w:hAnsi="宋体" w:eastAsia="宋体" w:cs="宋体"/>
          <w:kern w:val="0"/>
        </w:rPr>
        <w:t>2</w:t>
      </w:r>
      <w:r>
        <w:rPr>
          <w:rFonts w:hint="eastAsia" w:ascii="宋体" w:hAnsi="宋体" w:eastAsia="宋体" w:cs="宋体"/>
          <w:kern w:val="0"/>
        </w:rPr>
        <w:t>、逾期送达或者未送达指定地点的响应文件，采购人不予受理。</w:t>
      </w:r>
    </w:p>
    <w:p>
      <w:pPr>
        <w:autoSpaceDE w:val="0"/>
        <w:autoSpaceDN w:val="0"/>
        <w:adjustRightInd w:val="0"/>
        <w:spacing w:line="420" w:lineRule="exact"/>
        <w:ind w:firstLine="426"/>
        <w:rPr>
          <w:rFonts w:ascii="宋体" w:hAnsi="宋体" w:eastAsia="宋体" w:cs="宋体"/>
          <w:kern w:val="0"/>
        </w:rPr>
      </w:pPr>
      <w:r>
        <w:rPr>
          <w:rFonts w:ascii="宋体" w:hAnsi="宋体" w:eastAsia="宋体" w:cs="宋体"/>
          <w:kern w:val="0"/>
        </w:rPr>
        <w:t>3</w:t>
      </w:r>
      <w:r>
        <w:rPr>
          <w:rFonts w:hint="eastAsia" w:ascii="宋体" w:hAnsi="宋体" w:eastAsia="宋体" w:cs="宋体"/>
          <w:kern w:val="0"/>
        </w:rPr>
        <w:t>、开标时间和地点：同递交响应文件截止时间、地点。</w:t>
      </w:r>
      <w:bookmarkEnd w:id="14"/>
    </w:p>
    <w:p>
      <w:pPr>
        <w:spacing w:line="420" w:lineRule="exact"/>
        <w:ind w:firstLine="482" w:firstLineChars="200"/>
        <w:rPr>
          <w:rFonts w:ascii="宋体" w:hAnsi="宋体" w:eastAsia="宋体" w:cs="宋体"/>
        </w:rPr>
      </w:pPr>
      <w:r>
        <w:rPr>
          <w:rFonts w:hint="eastAsia" w:ascii="宋体" w:hAnsi="宋体" w:eastAsia="宋体" w:cs="宋体"/>
          <w:b/>
          <w:bCs/>
        </w:rPr>
        <w:t>五、竞争性磋商公告期限</w:t>
      </w:r>
      <w:r>
        <w:rPr>
          <w:rFonts w:hint="eastAsia" w:ascii="宋体" w:hAnsi="宋体" w:eastAsia="宋体" w:cs="宋体"/>
        </w:rPr>
        <w:t>：</w:t>
      </w:r>
    </w:p>
    <w:p>
      <w:pPr>
        <w:snapToGrid w:val="0"/>
        <w:spacing w:line="420" w:lineRule="exact"/>
        <w:ind w:left="-2" w:leftChars="-1" w:firstLine="431"/>
        <w:rPr>
          <w:rFonts w:ascii="宋体" w:hAnsi="宋体" w:eastAsia="宋体" w:cs="宋体"/>
        </w:rPr>
      </w:pPr>
      <w:r>
        <w:rPr>
          <w:rFonts w:hint="eastAsia" w:ascii="宋体" w:hAnsi="宋体" w:eastAsia="宋体" w:cs="宋体"/>
        </w:rPr>
        <w:t>自本公告发布之日起</w:t>
      </w:r>
      <w:r>
        <w:rPr>
          <w:rFonts w:ascii="宋体" w:hAnsi="宋体" w:eastAsia="宋体" w:cs="宋体"/>
        </w:rPr>
        <w:t>3</w:t>
      </w:r>
      <w:r>
        <w:rPr>
          <w:rFonts w:hint="eastAsia" w:ascii="宋体" w:hAnsi="宋体" w:eastAsia="宋体" w:cs="宋体"/>
        </w:rPr>
        <w:t>个工作日。</w:t>
      </w:r>
    </w:p>
    <w:p>
      <w:pPr>
        <w:snapToGrid w:val="0"/>
        <w:spacing w:line="420" w:lineRule="exact"/>
        <w:ind w:left="-2" w:leftChars="-1" w:firstLine="431"/>
        <w:outlineLvl w:val="1"/>
        <w:rPr>
          <w:rFonts w:ascii="宋体" w:hAnsi="宋体" w:eastAsia="宋体" w:cs="宋体"/>
        </w:rPr>
      </w:pPr>
      <w:r>
        <w:rPr>
          <w:rFonts w:hint="eastAsia" w:ascii="宋体" w:hAnsi="宋体" w:eastAsia="宋体" w:cs="宋体"/>
          <w:b/>
          <w:bCs/>
        </w:rPr>
        <w:t>六、其他补充事宜</w:t>
      </w:r>
      <w:bookmarkStart w:id="16" w:name="_Hlk67575695"/>
      <w:r>
        <w:rPr>
          <w:rFonts w:hint="eastAsia" w:ascii="宋体" w:hAnsi="宋体" w:eastAsia="宋体" w:cs="宋体"/>
        </w:rPr>
        <w:t>：</w:t>
      </w:r>
    </w:p>
    <w:p>
      <w:pPr>
        <w:spacing w:line="420" w:lineRule="exact"/>
        <w:ind w:firstLine="480" w:firstLineChars="200"/>
        <w:rPr>
          <w:rFonts w:ascii="宋体" w:hAnsi="宋体" w:eastAsia="宋体" w:cs="宋体"/>
          <w:kern w:val="0"/>
        </w:rPr>
      </w:pPr>
      <w:r>
        <w:rPr>
          <w:rFonts w:ascii="宋体" w:hAnsi="宋体" w:eastAsia="宋体" w:cs="宋体"/>
          <w:kern w:val="0"/>
        </w:rPr>
        <w:t>1.</w:t>
      </w:r>
      <w:r>
        <w:rPr>
          <w:rFonts w:hint="eastAsia" w:ascii="宋体" w:hAnsi="宋体" w:eastAsia="宋体" w:cs="宋体"/>
          <w:kern w:val="0"/>
        </w:rPr>
        <w:t>依据本项目供应商的特定资格要求，不接受自然人参加该采购项目的采购活动。</w:t>
      </w:r>
    </w:p>
    <w:bookmarkEnd w:id="16"/>
    <w:p>
      <w:pPr>
        <w:spacing w:line="420" w:lineRule="exact"/>
        <w:ind w:firstLine="480" w:firstLineChars="200"/>
        <w:rPr>
          <w:rFonts w:ascii="宋体" w:hAnsi="宋体" w:eastAsia="宋体" w:cs="宋体"/>
          <w:kern w:val="0"/>
        </w:rPr>
      </w:pPr>
      <w:r>
        <w:rPr>
          <w:rFonts w:ascii="宋体" w:hAnsi="宋体" w:eastAsia="宋体" w:cs="宋体"/>
          <w:kern w:val="0"/>
        </w:rPr>
        <w:t>2.</w:t>
      </w:r>
      <w:r>
        <w:rPr>
          <w:rFonts w:hint="eastAsia" w:ascii="宋体" w:hAnsi="宋体" w:eastAsia="宋体" w:cs="宋体"/>
          <w:kern w:val="0"/>
        </w:rPr>
        <w:t>供应商应依照规定提交各类声明函、承诺函，不再同时提供原件备查或提供有关部门出具的相关证明文件。但本项目成交供应商，应做好提交声明函、承诺函相应原件的核查准备；核查后发现虚假或违背承诺的，将依照相关法律法规规定处理。</w:t>
      </w:r>
    </w:p>
    <w:p>
      <w:pPr>
        <w:snapToGrid w:val="0"/>
        <w:spacing w:line="420" w:lineRule="exact"/>
        <w:ind w:left="-2" w:leftChars="-1" w:firstLine="431"/>
        <w:outlineLvl w:val="1"/>
        <w:rPr>
          <w:rFonts w:ascii="宋体" w:hAnsi="宋体" w:eastAsia="宋体" w:cs="宋体"/>
        </w:rPr>
      </w:pPr>
      <w:r>
        <w:rPr>
          <w:rFonts w:hint="eastAsia" w:ascii="宋体" w:hAnsi="宋体" w:eastAsia="宋体" w:cs="宋体"/>
          <w:b/>
          <w:bCs/>
        </w:rPr>
        <w:t>七、凡对本次采购提出询问，请按以下方式联系</w:t>
      </w:r>
    </w:p>
    <w:bookmarkEnd w:id="2"/>
    <w:p>
      <w:pPr>
        <w:snapToGrid w:val="0"/>
        <w:spacing w:line="420" w:lineRule="exact"/>
        <w:ind w:left="-2" w:leftChars="-1" w:firstLine="431"/>
        <w:rPr>
          <w:rFonts w:ascii="宋体" w:hAnsi="宋体" w:eastAsia="宋体" w:cs="宋体"/>
        </w:rPr>
      </w:pPr>
      <w:r>
        <w:rPr>
          <w:rFonts w:ascii="宋体" w:hAnsi="宋体" w:eastAsia="宋体" w:cs="宋体"/>
        </w:rPr>
        <w:t>1.</w:t>
      </w:r>
      <w:r>
        <w:rPr>
          <w:rFonts w:hint="eastAsia" w:ascii="宋体" w:hAnsi="宋体" w:eastAsia="宋体" w:cs="宋体"/>
        </w:rPr>
        <w:t>采购人信息</w:t>
      </w:r>
    </w:p>
    <w:p>
      <w:pPr>
        <w:spacing w:line="420" w:lineRule="exact"/>
        <w:ind w:firstLine="480" w:firstLineChars="200"/>
        <w:rPr>
          <w:rFonts w:ascii="宋体" w:hAnsi="宋体" w:eastAsia="宋体" w:cs="宋体"/>
          <w:highlight w:val="none"/>
        </w:rPr>
      </w:pPr>
      <w:r>
        <w:rPr>
          <w:rFonts w:hint="eastAsia" w:ascii="宋体" w:hAnsi="宋体" w:eastAsia="宋体" w:cs="宋体"/>
          <w:highlight w:val="none"/>
        </w:rPr>
        <w:t>名称：南通市崇川区钟秀街道办事处；</w:t>
      </w:r>
    </w:p>
    <w:p>
      <w:pPr>
        <w:spacing w:line="420" w:lineRule="exact"/>
        <w:ind w:firstLine="480" w:firstLineChars="200"/>
        <w:rPr>
          <w:rFonts w:ascii="宋体" w:hAnsi="宋体" w:eastAsia="宋体" w:cs="宋体"/>
          <w:highlight w:val="none"/>
        </w:rPr>
      </w:pPr>
      <w:r>
        <w:rPr>
          <w:rFonts w:hint="eastAsia" w:ascii="宋体" w:hAnsi="宋体" w:eastAsia="宋体" w:cs="宋体"/>
          <w:highlight w:val="none"/>
        </w:rPr>
        <w:t>地址：</w:t>
      </w:r>
      <w:r>
        <w:rPr>
          <w:rFonts w:hint="eastAsia" w:ascii="宋体" w:hAnsi="宋体" w:eastAsia="宋体" w:cs="宋体"/>
          <w:highlight w:val="none"/>
          <w:lang w:eastAsia="zh-CN"/>
        </w:rPr>
        <w:t>南通市崇川区钟秀中路</w:t>
      </w:r>
      <w:r>
        <w:rPr>
          <w:rFonts w:hint="eastAsia" w:ascii="宋体" w:hAnsi="宋体" w:eastAsia="宋体" w:cs="宋体"/>
          <w:highlight w:val="none"/>
          <w:lang w:val="en-US" w:eastAsia="zh-CN"/>
        </w:rPr>
        <w:t>88号</w:t>
      </w:r>
      <w:r>
        <w:rPr>
          <w:rFonts w:hint="eastAsia" w:ascii="宋体" w:hAnsi="宋体" w:eastAsia="宋体" w:cs="宋体"/>
          <w:highlight w:val="none"/>
        </w:rPr>
        <w:t>；</w:t>
      </w:r>
    </w:p>
    <w:p>
      <w:pPr>
        <w:spacing w:line="420" w:lineRule="exact"/>
        <w:ind w:firstLine="480" w:firstLineChars="200"/>
        <w:rPr>
          <w:rFonts w:ascii="宋体" w:hAnsi="宋体" w:eastAsia="宋体" w:cs="宋体"/>
          <w:highlight w:val="none"/>
        </w:rPr>
      </w:pPr>
      <w:r>
        <w:rPr>
          <w:rFonts w:hint="eastAsia" w:ascii="宋体" w:hAnsi="宋体" w:eastAsia="宋体" w:cs="宋体"/>
          <w:highlight w:val="none"/>
        </w:rPr>
        <w:t>联系人：</w:t>
      </w:r>
      <w:r>
        <w:rPr>
          <w:rFonts w:hint="eastAsia" w:ascii="宋体" w:hAnsi="宋体" w:eastAsia="宋体" w:cs="宋体"/>
          <w:highlight w:val="none"/>
          <w:lang w:eastAsia="zh-CN"/>
        </w:rPr>
        <w:t>李敏、王雁霖</w:t>
      </w:r>
      <w:r>
        <w:rPr>
          <w:rFonts w:hint="eastAsia" w:ascii="宋体" w:hAnsi="宋体" w:eastAsia="宋体" w:cs="宋体"/>
          <w:highlight w:val="none"/>
        </w:rPr>
        <w:t>；</w:t>
      </w:r>
    </w:p>
    <w:p>
      <w:pPr>
        <w:spacing w:line="420" w:lineRule="exact"/>
        <w:ind w:firstLine="480" w:firstLineChars="200"/>
        <w:rPr>
          <w:rFonts w:ascii="宋体" w:hAnsi="宋体" w:eastAsia="宋体" w:cs="宋体"/>
          <w:highlight w:val="none"/>
        </w:rPr>
      </w:pPr>
      <w:r>
        <w:rPr>
          <w:rFonts w:hint="eastAsia" w:ascii="宋体" w:hAnsi="宋体" w:eastAsia="宋体" w:cs="宋体"/>
          <w:highlight w:val="none"/>
        </w:rPr>
        <w:t>联系电话：</w:t>
      </w:r>
      <w:r>
        <w:rPr>
          <w:rFonts w:hint="eastAsia" w:ascii="宋体" w:hAnsi="宋体" w:eastAsia="宋体" w:cs="宋体"/>
          <w:highlight w:val="none"/>
          <w:lang w:val="en-US" w:eastAsia="zh-CN"/>
        </w:rPr>
        <w:t>0513-85198670</w:t>
      </w:r>
      <w:r>
        <w:rPr>
          <w:rFonts w:hint="eastAsia" w:ascii="宋体" w:hAnsi="宋体" w:eastAsia="宋体" w:cs="宋体"/>
          <w:highlight w:val="none"/>
        </w:rPr>
        <w:t>。</w:t>
      </w:r>
    </w:p>
    <w:p>
      <w:pPr>
        <w:spacing w:line="420" w:lineRule="exact"/>
        <w:ind w:firstLine="480" w:firstLineChars="200"/>
        <w:rPr>
          <w:rFonts w:ascii="宋体" w:hAnsi="宋体" w:eastAsia="宋体" w:cs="宋体"/>
        </w:rPr>
      </w:pPr>
      <w:r>
        <w:rPr>
          <w:rFonts w:ascii="宋体" w:hAnsi="宋体" w:eastAsia="宋体" w:cs="宋体"/>
        </w:rPr>
        <w:t>2.</w:t>
      </w:r>
      <w:r>
        <w:rPr>
          <w:rFonts w:hint="eastAsia" w:ascii="宋体" w:hAnsi="宋体" w:eastAsia="宋体" w:cs="宋体"/>
        </w:rPr>
        <w:t>采购代理机构信息：</w:t>
      </w:r>
    </w:p>
    <w:p>
      <w:pPr>
        <w:spacing w:line="420" w:lineRule="exact"/>
        <w:ind w:firstLine="480" w:firstLineChars="200"/>
        <w:rPr>
          <w:rFonts w:ascii="宋体" w:hAnsi="宋体" w:eastAsia="宋体" w:cs="宋体"/>
        </w:rPr>
      </w:pPr>
      <w:r>
        <w:rPr>
          <w:rFonts w:hint="eastAsia" w:ascii="宋体" w:hAnsi="宋体" w:eastAsia="宋体" w:cs="宋体"/>
        </w:rPr>
        <w:t>名称：江苏衡通咨询管理有限公司；</w:t>
      </w:r>
    </w:p>
    <w:p>
      <w:pPr>
        <w:spacing w:line="420" w:lineRule="exact"/>
        <w:ind w:firstLine="480" w:firstLineChars="200"/>
        <w:rPr>
          <w:rFonts w:ascii="宋体" w:hAnsi="宋体" w:eastAsia="宋体" w:cs="宋体"/>
        </w:rPr>
      </w:pPr>
      <w:r>
        <w:rPr>
          <w:rFonts w:hint="eastAsia" w:ascii="宋体" w:hAnsi="宋体" w:eastAsia="宋体" w:cs="宋体"/>
        </w:rPr>
        <w:t>地址：南通市桃坞路</w:t>
      </w:r>
      <w:r>
        <w:rPr>
          <w:rFonts w:ascii="宋体" w:hAnsi="宋体" w:eastAsia="宋体" w:cs="宋体"/>
        </w:rPr>
        <w:t>2</w:t>
      </w:r>
      <w:r>
        <w:rPr>
          <w:rFonts w:hint="eastAsia" w:ascii="宋体" w:hAnsi="宋体" w:eastAsia="宋体" w:cs="宋体"/>
        </w:rPr>
        <w:t>号友谊大厦</w:t>
      </w:r>
      <w:r>
        <w:rPr>
          <w:rFonts w:ascii="宋体" w:hAnsi="宋体" w:eastAsia="宋体" w:cs="宋体"/>
        </w:rPr>
        <w:t>9</w:t>
      </w:r>
      <w:r>
        <w:rPr>
          <w:rFonts w:hint="eastAsia" w:ascii="宋体" w:hAnsi="宋体" w:eastAsia="宋体" w:cs="宋体"/>
        </w:rPr>
        <w:t>楼；</w:t>
      </w:r>
    </w:p>
    <w:p>
      <w:pPr>
        <w:spacing w:line="420" w:lineRule="exact"/>
        <w:ind w:firstLine="480" w:firstLineChars="200"/>
        <w:rPr>
          <w:rFonts w:ascii="宋体" w:hAnsi="宋体" w:eastAsia="宋体" w:cs="宋体"/>
        </w:rPr>
      </w:pPr>
      <w:r>
        <w:rPr>
          <w:rFonts w:hint="eastAsia" w:ascii="宋体" w:hAnsi="宋体" w:eastAsia="宋体" w:cs="宋体"/>
        </w:rPr>
        <w:t>联系人：顾工；</w:t>
      </w:r>
    </w:p>
    <w:p>
      <w:pPr>
        <w:spacing w:line="420" w:lineRule="exact"/>
        <w:ind w:firstLine="480" w:firstLineChars="200"/>
        <w:rPr>
          <w:rFonts w:ascii="宋体" w:hAnsi="宋体" w:eastAsia="宋体" w:cs="宋体"/>
        </w:rPr>
      </w:pPr>
      <w:r>
        <w:rPr>
          <w:rFonts w:hint="eastAsia" w:ascii="宋体" w:hAnsi="宋体" w:eastAsia="宋体" w:cs="宋体"/>
        </w:rPr>
        <w:t>联系电话：</w:t>
      </w:r>
      <w:r>
        <w:rPr>
          <w:rFonts w:ascii="宋体" w:hAnsi="宋体" w:eastAsia="宋体" w:cs="宋体"/>
        </w:rPr>
        <w:t>13921675218</w:t>
      </w:r>
      <w:r>
        <w:rPr>
          <w:rFonts w:hint="eastAsia" w:ascii="宋体" w:hAnsi="宋体" w:eastAsia="宋体" w:cs="宋体"/>
        </w:rPr>
        <w:t>；</w:t>
      </w:r>
    </w:p>
    <w:p>
      <w:pPr>
        <w:spacing w:line="420" w:lineRule="exact"/>
        <w:ind w:firstLine="480" w:firstLineChars="200"/>
        <w:rPr>
          <w:rFonts w:ascii="宋体" w:hAnsi="宋体" w:eastAsia="宋体" w:cs="宋体"/>
        </w:rPr>
      </w:pPr>
      <w:r>
        <w:rPr>
          <w:rFonts w:hint="eastAsia" w:ascii="宋体" w:hAnsi="宋体" w:eastAsia="宋体" w:cs="宋体"/>
        </w:rPr>
        <w:t>邮箱：</w:t>
      </w:r>
      <w:r>
        <w:rPr>
          <w:rFonts w:ascii="宋体" w:hAnsi="宋体" w:eastAsia="宋体" w:cs="宋体"/>
        </w:rPr>
        <w:t>31439003@qq.com</w:t>
      </w:r>
      <w:r>
        <w:rPr>
          <w:rFonts w:hint="eastAsia" w:ascii="宋体" w:hAnsi="宋体" w:eastAsia="宋体" w:cs="宋体"/>
        </w:rPr>
        <w:t>。</w:t>
      </w:r>
    </w:p>
    <w:p>
      <w:pPr>
        <w:spacing w:line="420" w:lineRule="exact"/>
        <w:ind w:firstLine="480" w:firstLineChars="200"/>
        <w:rPr>
          <w:rFonts w:ascii="宋体" w:hAnsi="宋体" w:eastAsia="宋体" w:cs="宋体"/>
        </w:rPr>
      </w:pPr>
    </w:p>
    <w:p>
      <w:pPr>
        <w:spacing w:line="400" w:lineRule="exact"/>
        <w:ind w:firstLine="424" w:firstLineChars="177"/>
        <w:rPr>
          <w:rFonts w:ascii="宋体" w:hAnsi="宋体" w:eastAsia="宋体" w:cs="宋体"/>
        </w:rPr>
      </w:pPr>
    </w:p>
    <w:p>
      <w:pPr>
        <w:spacing w:line="400" w:lineRule="exact"/>
        <w:ind w:firstLine="424" w:firstLineChars="177"/>
        <w:rPr>
          <w:rFonts w:ascii="宋体" w:hAnsi="宋体" w:eastAsia="宋体" w:cs="宋体"/>
        </w:rPr>
      </w:pPr>
    </w:p>
    <w:p>
      <w:pPr>
        <w:spacing w:line="400" w:lineRule="exact"/>
        <w:ind w:firstLine="424" w:firstLineChars="177"/>
        <w:rPr>
          <w:rFonts w:ascii="宋体" w:hAnsi="宋体" w:eastAsia="宋体" w:cs="宋体"/>
        </w:rPr>
      </w:pPr>
    </w:p>
    <w:p>
      <w:pPr>
        <w:spacing w:line="400" w:lineRule="exact"/>
        <w:ind w:firstLine="424" w:firstLineChars="177"/>
        <w:rPr>
          <w:rFonts w:ascii="宋体" w:hAnsi="宋体" w:eastAsia="宋体" w:cs="宋体"/>
        </w:rPr>
      </w:pPr>
    </w:p>
    <w:p>
      <w:pPr>
        <w:spacing w:line="400" w:lineRule="exact"/>
        <w:ind w:firstLine="424" w:firstLineChars="177"/>
        <w:rPr>
          <w:rFonts w:ascii="宋体" w:hAnsi="宋体" w:eastAsia="宋体" w:cs="宋体"/>
        </w:rPr>
      </w:pPr>
    </w:p>
    <w:p>
      <w:pPr>
        <w:spacing w:line="400" w:lineRule="exact"/>
        <w:ind w:firstLine="424" w:firstLineChars="177"/>
        <w:rPr>
          <w:rFonts w:ascii="宋体" w:hAnsi="宋体" w:eastAsia="宋体" w:cs="宋体"/>
        </w:rPr>
      </w:pPr>
    </w:p>
    <w:p>
      <w:pPr>
        <w:spacing w:line="400" w:lineRule="exact"/>
        <w:ind w:firstLine="424" w:firstLineChars="177"/>
        <w:rPr>
          <w:rFonts w:ascii="宋体" w:hAnsi="宋体" w:eastAsia="宋体" w:cs="宋体"/>
        </w:rPr>
      </w:pPr>
    </w:p>
    <w:p>
      <w:pPr>
        <w:spacing w:line="400" w:lineRule="exact"/>
        <w:ind w:firstLine="424" w:firstLineChars="177"/>
        <w:rPr>
          <w:rFonts w:ascii="宋体" w:hAnsi="宋体" w:eastAsia="宋体" w:cs="宋体"/>
        </w:rPr>
      </w:pPr>
    </w:p>
    <w:p>
      <w:pPr>
        <w:spacing w:line="400" w:lineRule="exact"/>
        <w:ind w:firstLine="424" w:firstLineChars="177"/>
        <w:rPr>
          <w:rFonts w:ascii="宋体" w:hAnsi="宋体" w:eastAsia="宋体" w:cs="宋体"/>
        </w:rPr>
      </w:pPr>
    </w:p>
    <w:p>
      <w:pPr>
        <w:spacing w:line="400" w:lineRule="exact"/>
        <w:ind w:firstLine="424" w:firstLineChars="177"/>
        <w:rPr>
          <w:rFonts w:ascii="宋体" w:hAnsi="宋体" w:eastAsia="宋体" w:cs="宋体"/>
        </w:rPr>
      </w:pPr>
    </w:p>
    <w:p>
      <w:pPr>
        <w:spacing w:line="400" w:lineRule="exact"/>
        <w:ind w:firstLine="424" w:firstLineChars="177"/>
        <w:rPr>
          <w:rFonts w:ascii="宋体" w:hAnsi="宋体" w:eastAsia="宋体" w:cs="宋体"/>
        </w:rPr>
      </w:pPr>
    </w:p>
    <w:p>
      <w:pPr>
        <w:spacing w:line="400" w:lineRule="exact"/>
        <w:ind w:firstLine="424" w:firstLineChars="177"/>
        <w:rPr>
          <w:rFonts w:ascii="宋体" w:hAnsi="宋体" w:eastAsia="宋体" w:cs="宋体"/>
        </w:rPr>
      </w:pPr>
    </w:p>
    <w:p>
      <w:pPr>
        <w:spacing w:line="400" w:lineRule="exact"/>
        <w:ind w:firstLine="424" w:firstLineChars="177"/>
        <w:rPr>
          <w:rFonts w:ascii="宋体" w:hAnsi="宋体" w:eastAsia="宋体" w:cs="宋体"/>
        </w:rPr>
      </w:pPr>
    </w:p>
    <w:p>
      <w:pPr>
        <w:spacing w:line="400" w:lineRule="exact"/>
        <w:ind w:firstLine="424" w:firstLineChars="177"/>
        <w:rPr>
          <w:rFonts w:ascii="宋体" w:hAnsi="宋体" w:eastAsia="宋体" w:cs="宋体"/>
        </w:rPr>
      </w:pPr>
    </w:p>
    <w:p>
      <w:pPr>
        <w:spacing w:line="400" w:lineRule="exact"/>
        <w:ind w:firstLine="424" w:firstLineChars="177"/>
        <w:rPr>
          <w:rFonts w:ascii="宋体" w:hAnsi="宋体" w:eastAsia="宋体" w:cs="宋体"/>
        </w:rPr>
      </w:pPr>
    </w:p>
    <w:p>
      <w:pPr>
        <w:spacing w:line="400" w:lineRule="exact"/>
        <w:ind w:firstLine="424" w:firstLineChars="177"/>
        <w:rPr>
          <w:rFonts w:ascii="宋体" w:hAnsi="宋体" w:eastAsia="宋体" w:cs="宋体"/>
        </w:rPr>
      </w:pPr>
    </w:p>
    <w:p>
      <w:pPr>
        <w:spacing w:line="400" w:lineRule="exact"/>
        <w:ind w:firstLine="424" w:firstLineChars="177"/>
        <w:rPr>
          <w:rFonts w:ascii="宋体" w:hAnsi="宋体" w:eastAsia="宋体" w:cs="宋体"/>
        </w:rPr>
      </w:pPr>
    </w:p>
    <w:p>
      <w:pPr>
        <w:spacing w:line="400" w:lineRule="exact"/>
        <w:ind w:firstLine="424" w:firstLineChars="177"/>
        <w:rPr>
          <w:rFonts w:ascii="宋体" w:hAnsi="宋体" w:eastAsia="宋体" w:cs="宋体"/>
        </w:rPr>
      </w:pPr>
    </w:p>
    <w:p>
      <w:pPr>
        <w:spacing w:line="400" w:lineRule="exact"/>
        <w:ind w:firstLine="424" w:firstLineChars="177"/>
        <w:rPr>
          <w:rFonts w:ascii="宋体" w:hAnsi="宋体" w:eastAsia="宋体" w:cs="宋体"/>
        </w:rPr>
      </w:pPr>
    </w:p>
    <w:p>
      <w:pPr>
        <w:spacing w:line="400" w:lineRule="exact"/>
        <w:ind w:firstLine="424" w:firstLineChars="177"/>
        <w:rPr>
          <w:rFonts w:ascii="宋体" w:hAnsi="宋体" w:eastAsia="宋体" w:cs="宋体"/>
        </w:rPr>
      </w:pPr>
    </w:p>
    <w:p>
      <w:pPr>
        <w:spacing w:line="400" w:lineRule="exact"/>
        <w:ind w:firstLine="424" w:firstLineChars="177"/>
        <w:rPr>
          <w:rFonts w:ascii="宋体" w:hAnsi="宋体" w:eastAsia="宋体" w:cs="宋体"/>
        </w:rPr>
      </w:pPr>
    </w:p>
    <w:p>
      <w:pPr>
        <w:spacing w:line="400" w:lineRule="exact"/>
        <w:ind w:firstLine="424" w:firstLineChars="177"/>
        <w:rPr>
          <w:rFonts w:ascii="宋体" w:hAnsi="宋体" w:eastAsia="宋体" w:cs="宋体"/>
        </w:rPr>
      </w:pPr>
    </w:p>
    <w:p>
      <w:pPr>
        <w:spacing w:line="400" w:lineRule="exact"/>
        <w:ind w:firstLine="424" w:firstLineChars="177"/>
        <w:rPr>
          <w:rFonts w:ascii="宋体" w:hAnsi="宋体" w:eastAsia="宋体" w:cs="宋体"/>
        </w:rPr>
      </w:pPr>
    </w:p>
    <w:p>
      <w:pPr>
        <w:spacing w:line="400" w:lineRule="exact"/>
        <w:ind w:firstLine="424" w:firstLineChars="177"/>
        <w:rPr>
          <w:rFonts w:ascii="宋体" w:hAnsi="宋体" w:eastAsia="宋体" w:cs="宋体"/>
        </w:rPr>
      </w:pPr>
    </w:p>
    <w:p>
      <w:pPr>
        <w:spacing w:line="400" w:lineRule="exact"/>
        <w:ind w:firstLine="424" w:firstLineChars="177"/>
        <w:rPr>
          <w:rFonts w:ascii="宋体" w:hAnsi="宋体" w:eastAsia="宋体" w:cs="宋体"/>
        </w:rPr>
      </w:pPr>
    </w:p>
    <w:bookmarkEnd w:id="3"/>
    <w:bookmarkEnd w:id="4"/>
    <w:bookmarkEnd w:id="5"/>
    <w:bookmarkEnd w:id="6"/>
    <w:p>
      <w:pPr>
        <w:rPr>
          <w:rFonts w:ascii="宋体" w:hAnsi="宋体" w:eastAsia="宋体" w:cs="宋体"/>
          <w:b/>
          <w:bCs/>
          <w:w w:val="80"/>
          <w:sz w:val="36"/>
          <w:szCs w:val="36"/>
        </w:rPr>
      </w:pPr>
      <w:r>
        <w:rPr>
          <w:rFonts w:ascii="宋体" w:hAnsi="宋体" w:eastAsia="宋体" w:cs="宋体"/>
          <w:b/>
          <w:bCs/>
          <w:w w:val="80"/>
          <w:sz w:val="36"/>
          <w:szCs w:val="36"/>
        </w:rPr>
        <w:br w:type="page"/>
      </w:r>
    </w:p>
    <w:p>
      <w:pPr>
        <w:tabs>
          <w:tab w:val="left" w:pos="1050"/>
          <w:tab w:val="left" w:pos="2375"/>
          <w:tab w:val="center" w:pos="4818"/>
          <w:tab w:val="right" w:leader="dot" w:pos="9402"/>
        </w:tabs>
        <w:spacing w:beforeLines="100" w:line="600" w:lineRule="exact"/>
        <w:jc w:val="center"/>
        <w:outlineLvl w:val="0"/>
        <w:rPr>
          <w:rFonts w:ascii="宋体" w:hAnsi="宋体" w:eastAsia="宋体" w:cs="宋体"/>
          <w:b/>
          <w:bCs/>
          <w:w w:val="80"/>
          <w:sz w:val="36"/>
          <w:szCs w:val="36"/>
        </w:rPr>
      </w:pPr>
      <w:r>
        <w:rPr>
          <w:rFonts w:hint="eastAsia" w:ascii="宋体" w:hAnsi="宋体" w:eastAsia="宋体" w:cs="宋体"/>
          <w:b/>
          <w:bCs/>
          <w:w w:val="80"/>
          <w:sz w:val="36"/>
          <w:szCs w:val="36"/>
        </w:rPr>
        <w:t>第二章</w:t>
      </w:r>
      <w:r>
        <w:rPr>
          <w:rFonts w:ascii="宋体" w:hAnsi="宋体" w:eastAsia="宋体" w:cs="宋体"/>
          <w:b/>
          <w:bCs/>
          <w:w w:val="80"/>
          <w:sz w:val="36"/>
          <w:szCs w:val="36"/>
        </w:rPr>
        <w:t xml:space="preserve">  </w:t>
      </w:r>
      <w:r>
        <w:rPr>
          <w:rFonts w:hint="eastAsia" w:ascii="宋体" w:hAnsi="宋体" w:eastAsia="宋体" w:cs="宋体"/>
          <w:b/>
          <w:bCs/>
          <w:w w:val="80"/>
          <w:sz w:val="36"/>
          <w:szCs w:val="36"/>
        </w:rPr>
        <w:t>磋商供应商须知</w:t>
      </w:r>
      <w:bookmarkEnd w:id="15"/>
    </w:p>
    <w:p>
      <w:pPr>
        <w:snapToGrid w:val="0"/>
        <w:spacing w:line="420" w:lineRule="exact"/>
        <w:ind w:firstLine="482" w:firstLineChars="200"/>
        <w:outlineLvl w:val="1"/>
        <w:rPr>
          <w:rFonts w:ascii="宋体" w:hAnsi="宋体" w:eastAsia="宋体" w:cs="宋体"/>
          <w:b/>
          <w:bCs/>
        </w:rPr>
      </w:pPr>
      <w:r>
        <w:rPr>
          <w:rFonts w:hint="eastAsia" w:ascii="宋体" w:hAnsi="宋体" w:eastAsia="宋体" w:cs="宋体"/>
          <w:b/>
          <w:bCs/>
        </w:rPr>
        <w:t>一、说明</w:t>
      </w:r>
    </w:p>
    <w:p>
      <w:pPr>
        <w:snapToGrid w:val="0"/>
        <w:spacing w:line="420" w:lineRule="exact"/>
        <w:ind w:firstLine="480" w:firstLineChars="200"/>
        <w:rPr>
          <w:rFonts w:ascii="宋体" w:hAnsi="宋体" w:eastAsia="宋体" w:cs="宋体"/>
        </w:rPr>
      </w:pPr>
      <w:r>
        <w:rPr>
          <w:rFonts w:ascii="宋体" w:hAnsi="宋体" w:eastAsia="宋体" w:cs="宋体"/>
        </w:rPr>
        <w:t>1.</w:t>
      </w:r>
      <w:r>
        <w:rPr>
          <w:rFonts w:hint="eastAsia" w:ascii="宋体" w:hAnsi="宋体" w:eastAsia="宋体" w:cs="宋体"/>
        </w:rPr>
        <w:t>本磋商文件仅适用于采购人组织的竞争性磋商采购活动。</w:t>
      </w:r>
    </w:p>
    <w:p>
      <w:pPr>
        <w:snapToGrid w:val="0"/>
        <w:spacing w:line="420" w:lineRule="exact"/>
        <w:ind w:firstLine="480" w:firstLineChars="200"/>
        <w:rPr>
          <w:rFonts w:ascii="宋体" w:hAnsi="宋体" w:eastAsia="宋体" w:cs="宋体"/>
        </w:rPr>
      </w:pPr>
      <w:r>
        <w:rPr>
          <w:rFonts w:ascii="宋体" w:hAnsi="宋体" w:eastAsia="宋体" w:cs="宋体"/>
        </w:rPr>
        <w:t>2.</w:t>
      </w:r>
      <w:r>
        <w:rPr>
          <w:rFonts w:hint="eastAsia" w:ascii="宋体" w:hAnsi="宋体" w:eastAsia="宋体" w:cs="宋体"/>
        </w:rPr>
        <w:t>本次竞争性磋商采购活动及因本次采购产生的合同受中国法律制约和保护。</w:t>
      </w:r>
    </w:p>
    <w:p>
      <w:pPr>
        <w:snapToGrid w:val="0"/>
        <w:spacing w:line="420" w:lineRule="exact"/>
        <w:ind w:firstLine="480" w:firstLineChars="200"/>
        <w:rPr>
          <w:rFonts w:ascii="宋体" w:hAnsi="宋体" w:eastAsia="宋体" w:cs="宋体"/>
        </w:rPr>
      </w:pPr>
      <w:r>
        <w:rPr>
          <w:rFonts w:ascii="宋体" w:hAnsi="宋体" w:eastAsia="宋体" w:cs="宋体"/>
        </w:rPr>
        <w:t>3.</w:t>
      </w:r>
      <w:r>
        <w:rPr>
          <w:rFonts w:hint="eastAsia" w:ascii="宋体" w:hAnsi="宋体" w:eastAsia="宋体" w:cs="宋体"/>
        </w:rPr>
        <w:t>本磋商文件的解释权属于本采购人及采购代理机构。</w:t>
      </w:r>
    </w:p>
    <w:p>
      <w:pPr>
        <w:snapToGrid w:val="0"/>
        <w:spacing w:line="420" w:lineRule="exact"/>
        <w:ind w:firstLine="480" w:firstLineChars="200"/>
        <w:rPr>
          <w:rFonts w:ascii="宋体" w:hAnsi="宋体" w:eastAsia="宋体" w:cs="宋体"/>
        </w:rPr>
      </w:pPr>
      <w:r>
        <w:rPr>
          <w:rFonts w:ascii="宋体" w:hAnsi="宋体" w:eastAsia="宋体" w:cs="宋体"/>
        </w:rPr>
        <w:t>4.</w:t>
      </w:r>
      <w:r>
        <w:rPr>
          <w:rFonts w:hint="eastAsia" w:ascii="宋体" w:hAnsi="宋体" w:eastAsia="宋体" w:cs="宋体"/>
        </w:rPr>
        <w:t>供应商在知道或应当知道本项目磋商公告及磋商文件中的所有内容：如内容或页码短缺、资格要求和技术参数出现倾向性或排他性等表述的，应当在获取采购文件或者采购文件公告期限届满之日起</w:t>
      </w:r>
      <w:r>
        <w:rPr>
          <w:rFonts w:ascii="宋体" w:hAnsi="宋体" w:eastAsia="宋体" w:cs="宋体"/>
        </w:rPr>
        <w:t>7</w:t>
      </w:r>
      <w:r>
        <w:rPr>
          <w:rFonts w:hint="eastAsia" w:ascii="宋体" w:hAnsi="宋体" w:eastAsia="宋体" w:cs="宋体"/>
        </w:rPr>
        <w:t>个工作日内提出质疑；未提出或是未在规定期间内提出质疑的视作供应商接受本项目磋商公告及磋商文件中的全部内容；供应商不得在招标活动期间及招标结束后针对本项目磋商公告及磋商文件中的所有内容提出质疑事项。非书面形式的不作为日后质疑提出的依据。</w:t>
      </w:r>
    </w:p>
    <w:p>
      <w:pPr>
        <w:snapToGrid w:val="0"/>
        <w:spacing w:line="420" w:lineRule="exact"/>
        <w:ind w:firstLine="480" w:firstLineChars="200"/>
        <w:rPr>
          <w:rFonts w:ascii="宋体" w:hAnsi="宋体" w:eastAsia="宋体" w:cs="宋体"/>
        </w:rPr>
      </w:pPr>
      <w:r>
        <w:rPr>
          <w:rFonts w:ascii="宋体" w:hAnsi="宋体" w:eastAsia="宋体" w:cs="宋体"/>
        </w:rPr>
        <w:t>5.</w:t>
      </w:r>
      <w:r>
        <w:rPr>
          <w:rFonts w:hint="eastAsia" w:ascii="宋体" w:hAnsi="宋体" w:eastAsia="宋体" w:cs="宋体"/>
        </w:rPr>
        <w:t>供应商应认真审阅本磋商文件中的所有事项、格式、条款和规范要求等，如果供应商没有按照磋商文件要求提交磋商响应文件，或者磋商响应文件没有对磋商文件做出实质性响应，有可能被拒绝参与磋商。</w:t>
      </w:r>
    </w:p>
    <w:p>
      <w:pPr>
        <w:snapToGrid w:val="0"/>
        <w:spacing w:line="420" w:lineRule="exact"/>
        <w:ind w:firstLine="480" w:firstLineChars="200"/>
        <w:rPr>
          <w:rFonts w:ascii="宋体" w:hAnsi="宋体" w:eastAsia="宋体" w:cs="宋体"/>
        </w:rPr>
      </w:pPr>
      <w:r>
        <w:rPr>
          <w:rFonts w:ascii="宋体" w:hAnsi="宋体" w:eastAsia="宋体" w:cs="宋体"/>
        </w:rPr>
        <w:t>6.</w:t>
      </w:r>
      <w:r>
        <w:rPr>
          <w:rFonts w:hint="eastAsia" w:ascii="宋体" w:hAnsi="宋体" w:eastAsia="宋体" w:cs="宋体"/>
        </w:rPr>
        <w:t>本采购文件内所称的“以上”、“以下”、“内”、“以内”，包括本数；所称的“不足”、“少于”，不包括本数。</w:t>
      </w:r>
    </w:p>
    <w:p>
      <w:pPr>
        <w:snapToGrid w:val="0"/>
        <w:spacing w:line="420" w:lineRule="exact"/>
        <w:ind w:firstLine="480" w:firstLineChars="200"/>
        <w:rPr>
          <w:rFonts w:ascii="宋体" w:hAnsi="宋体" w:eastAsia="宋体" w:cs="宋体"/>
        </w:rPr>
      </w:pPr>
      <w:r>
        <w:rPr>
          <w:rFonts w:ascii="宋体" w:hAnsi="宋体" w:eastAsia="宋体" w:cs="宋体"/>
        </w:rPr>
        <w:t>7.</w:t>
      </w:r>
      <w:r>
        <w:rPr>
          <w:rFonts w:hint="eastAsia" w:ascii="宋体" w:hAnsi="宋体" w:eastAsia="宋体" w:cs="宋体"/>
        </w:rPr>
        <w:t>请供应商认真对照资格要求，如不符合要求，无意或故意参与磋商的，所产生的一切后果由供应商承担。若响应供应商提供虚假材料的，将作无效响应处理，并报财政部门将其列入政府采购黑名单，视情公布在南通市崇川区人民政府网。</w:t>
      </w:r>
    </w:p>
    <w:p>
      <w:pPr>
        <w:snapToGrid w:val="0"/>
        <w:spacing w:line="420" w:lineRule="exact"/>
        <w:ind w:firstLine="480" w:firstLineChars="200"/>
        <w:rPr>
          <w:rFonts w:ascii="宋体" w:hAnsi="宋体" w:eastAsia="宋体" w:cs="宋体"/>
        </w:rPr>
      </w:pPr>
      <w:r>
        <w:rPr>
          <w:rFonts w:ascii="宋体" w:hAnsi="宋体" w:eastAsia="宋体" w:cs="宋体"/>
        </w:rPr>
        <w:t>8.</w:t>
      </w:r>
      <w:r>
        <w:rPr>
          <w:rFonts w:hint="eastAsia" w:ascii="宋体" w:hAnsi="宋体" w:eastAsia="宋体" w:cs="宋体"/>
        </w:rPr>
        <w:t>非采购人原因，</w:t>
      </w:r>
      <w:r>
        <w:rPr>
          <w:rFonts w:hint="eastAsia" w:ascii="宋体" w:hAnsi="宋体" w:eastAsia="宋体" w:cs="宋体"/>
          <w:b/>
          <w:bCs/>
        </w:rPr>
        <w:t>成交的供应商（以下称成交人）</w:t>
      </w:r>
      <w:r>
        <w:rPr>
          <w:rFonts w:hint="eastAsia" w:ascii="宋体" w:hAnsi="宋体" w:eastAsia="宋体" w:cs="宋体"/>
        </w:rPr>
        <w:t>放弃成交资格的，报财政部门将其列入政府采购黑名单，视情公布在南通市崇川区人民政府网。</w:t>
      </w:r>
    </w:p>
    <w:p>
      <w:pPr>
        <w:snapToGrid w:val="0"/>
        <w:spacing w:line="420" w:lineRule="exact"/>
        <w:ind w:firstLine="480" w:firstLineChars="200"/>
        <w:rPr>
          <w:rFonts w:ascii="宋体" w:hAnsi="宋体" w:eastAsia="宋体" w:cs="宋体"/>
        </w:rPr>
      </w:pPr>
      <w:r>
        <w:rPr>
          <w:rFonts w:ascii="宋体" w:hAnsi="宋体" w:eastAsia="宋体" w:cs="宋体"/>
        </w:rPr>
        <w:t>9.</w:t>
      </w:r>
      <w:r>
        <w:rPr>
          <w:rFonts w:hint="eastAsia" w:ascii="宋体" w:hAnsi="宋体" w:eastAsia="宋体" w:cs="宋体"/>
        </w:rPr>
        <w:t>单位负责人为同一人或者存在直接控股、管理关系的不同供应商，不得同时参与同一采购项目相同标段的政府采购活动；如发现供应商递交的资格后审材料有弄虚作假行为，该供应商将记入不良记录，并上报有关部门，如已成交，采购人有权取消其成交资格，并由该供应商承担由此带来可能的一切责任和损失。</w:t>
      </w:r>
    </w:p>
    <w:p>
      <w:pPr>
        <w:snapToGrid w:val="0"/>
        <w:spacing w:line="420" w:lineRule="exact"/>
        <w:ind w:firstLine="480" w:firstLineChars="200"/>
        <w:rPr>
          <w:rFonts w:ascii="宋体" w:hAnsi="宋体" w:eastAsia="宋体" w:cs="宋体"/>
        </w:rPr>
      </w:pPr>
      <w:r>
        <w:rPr>
          <w:rFonts w:ascii="宋体" w:hAnsi="宋体" w:eastAsia="宋体" w:cs="宋体"/>
        </w:rPr>
        <w:t>10.</w:t>
      </w:r>
      <w:r>
        <w:rPr>
          <w:rFonts w:hint="eastAsia" w:ascii="宋体" w:hAnsi="宋体" w:eastAsia="宋体" w:cs="宋体"/>
        </w:rPr>
        <w:t>依据本项目供应商的特定资格要求，不接受自然人参加该采购项目的采购活动。</w:t>
      </w:r>
    </w:p>
    <w:p>
      <w:pPr>
        <w:snapToGrid w:val="0"/>
        <w:spacing w:line="420" w:lineRule="exact"/>
        <w:ind w:firstLine="482" w:firstLineChars="200"/>
        <w:rPr>
          <w:rFonts w:ascii="宋体" w:cs="宋体"/>
          <w:b/>
          <w:bCs/>
          <w:kern w:val="2"/>
          <w:sz w:val="24"/>
          <w:szCs w:val="24"/>
        </w:rPr>
      </w:pPr>
      <w:r>
        <w:rPr>
          <w:rFonts w:ascii="宋体" w:hAnsi="宋体" w:eastAsia="宋体" w:cs="宋体"/>
          <w:b/>
          <w:bCs/>
        </w:rPr>
        <w:t>11.</w:t>
      </w:r>
      <w:r>
        <w:rPr>
          <w:rFonts w:hint="eastAsia" w:ascii="宋体" w:hAnsi="宋体" w:eastAsia="宋体" w:cs="宋体"/>
          <w:b/>
          <w:bCs/>
          <w:kern w:val="2"/>
          <w:sz w:val="24"/>
          <w:szCs w:val="24"/>
          <w:lang w:val="en-US" w:eastAsia="zh-CN" w:bidi="ar-SA"/>
        </w:rPr>
        <w:t>因目前仍属于新冠疫情防控阶段，故只允许每个响应单位的1名人员进入开标现场。请各响应单位授权代表做好自身防护，全程配戴口罩，同时还须接受开标现场工作人员的检查（包括但不限于信息登记、检查健康码、行程码、核酸检测证明等）。若健康码为黄码或红码，则一律不得进入开标现场；若行程码带“*”，也不得进入开标现场。若开标当日，南通市防疫部门有最新规定且高于上述标准，则以开标当日南通市防疫部门的规定为准。</w:t>
      </w:r>
    </w:p>
    <w:p>
      <w:pPr>
        <w:snapToGrid w:val="0"/>
        <w:spacing w:line="420" w:lineRule="exact"/>
        <w:ind w:firstLine="482" w:firstLineChars="200"/>
        <w:rPr>
          <w:rFonts w:ascii="宋体" w:hAnsi="宋体" w:eastAsia="宋体" w:cs="宋体"/>
        </w:rPr>
      </w:pPr>
      <w:r>
        <w:rPr>
          <w:rFonts w:hint="eastAsia" w:ascii="宋体" w:hAnsi="宋体" w:eastAsia="宋体" w:cs="宋体"/>
          <w:b/>
          <w:bCs/>
        </w:rPr>
        <w:t>二、项目涉及到的现场勘察</w:t>
      </w:r>
    </w:p>
    <w:p>
      <w:pPr>
        <w:snapToGrid w:val="0"/>
        <w:spacing w:line="420" w:lineRule="exact"/>
        <w:ind w:firstLine="480" w:firstLineChars="200"/>
        <w:rPr>
          <w:rFonts w:ascii="宋体" w:hAnsi="宋体" w:eastAsia="宋体" w:cs="宋体"/>
        </w:rPr>
      </w:pPr>
      <w:r>
        <w:rPr>
          <w:rFonts w:ascii="宋体" w:hAnsi="宋体" w:eastAsia="宋体" w:cs="宋体"/>
          <w:color w:val="auto"/>
        </w:rPr>
        <w:t>1.</w:t>
      </w:r>
      <w:r>
        <w:rPr>
          <w:rFonts w:hint="eastAsia" w:ascii="宋体" w:hAnsi="宋体" w:eastAsia="宋体" w:cs="宋体"/>
          <w:b/>
          <w:bCs/>
          <w:color w:val="auto"/>
          <w:u w:val="thick" w:color="FF0000"/>
        </w:rPr>
        <w:t>本项目必须踏勘现场。</w:t>
      </w:r>
      <w:r>
        <w:rPr>
          <w:rFonts w:hint="eastAsia" w:ascii="宋体" w:hAnsi="宋体" w:eastAsia="宋体" w:cs="宋体"/>
          <w:color w:val="auto"/>
        </w:rPr>
        <w:t>有</w:t>
      </w:r>
      <w:r>
        <w:rPr>
          <w:rFonts w:hint="eastAsia" w:ascii="宋体" w:hAnsi="宋体" w:eastAsia="宋体" w:cs="宋体"/>
        </w:rPr>
        <w:t>意愿参与对本项目竞争性磋商响应的单位，请于本项目在“</w:t>
      </w:r>
      <w:r>
        <w:rPr>
          <w:rFonts w:hint="eastAsia" w:ascii="宋体" w:hAnsi="宋体" w:eastAsia="宋体" w:cs="宋体"/>
          <w:kern w:val="0"/>
        </w:rPr>
        <w:t>南通市崇川区人民政府网→我要看→公示公告栏</w:t>
      </w:r>
      <w:r>
        <w:rPr>
          <w:rFonts w:hint="eastAsia" w:ascii="宋体" w:hAnsi="宋体" w:eastAsia="宋体" w:cs="宋体"/>
        </w:rPr>
        <w:t>”公告之日后起，至响应截止时间前联系采购人勘察现场。</w:t>
      </w:r>
    </w:p>
    <w:p>
      <w:pPr>
        <w:snapToGrid w:val="0"/>
        <w:spacing w:line="420" w:lineRule="exact"/>
        <w:ind w:firstLine="480" w:firstLineChars="200"/>
        <w:rPr>
          <w:rFonts w:ascii="宋体" w:hAnsi="宋体" w:eastAsia="宋体" w:cs="宋体"/>
        </w:rPr>
      </w:pPr>
      <w:r>
        <w:rPr>
          <w:rFonts w:ascii="宋体" w:hAnsi="宋体" w:eastAsia="宋体" w:cs="宋体"/>
        </w:rPr>
        <w:t>2.</w:t>
      </w:r>
      <w:r>
        <w:rPr>
          <w:rFonts w:hint="eastAsia" w:ascii="宋体" w:hAnsi="宋体" w:eastAsia="宋体" w:cs="宋体"/>
        </w:rPr>
        <w:t>采购文件所提供的项目相关数据仅做参考，根据自身需要，供应商可在响应文件递交日前，实地察看有关现场和对周围环境进行勘察，以获取编制磋商响应文件所需的信息。勘察现场如有费用产生，由供应商自行承担。</w:t>
      </w:r>
    </w:p>
    <w:p>
      <w:pPr>
        <w:snapToGrid w:val="0"/>
        <w:spacing w:line="420" w:lineRule="exact"/>
        <w:ind w:firstLine="480" w:firstLineChars="200"/>
        <w:rPr>
          <w:rFonts w:ascii="宋体" w:hAnsi="宋体" w:eastAsia="宋体" w:cs="宋体"/>
        </w:rPr>
      </w:pPr>
      <w:r>
        <w:rPr>
          <w:rFonts w:ascii="宋体" w:hAnsi="宋体" w:eastAsia="宋体" w:cs="宋体"/>
        </w:rPr>
        <w:t>3.</w:t>
      </w:r>
      <w:r>
        <w:rPr>
          <w:rFonts w:hint="eastAsia" w:ascii="宋体" w:hAnsi="宋体" w:eastAsia="宋体" w:cs="宋体"/>
        </w:rPr>
        <w:t>采购人向供应商提供有关现场的资料和数据，是采购人现有的并认为能使供应商可利用的资料。采购人对供应商由此而做出的推论、理解和结论概不负责。</w:t>
      </w:r>
    </w:p>
    <w:p>
      <w:pPr>
        <w:snapToGrid w:val="0"/>
        <w:spacing w:line="420" w:lineRule="exact"/>
        <w:ind w:firstLine="480" w:firstLineChars="200"/>
        <w:rPr>
          <w:rFonts w:ascii="宋体" w:hAnsi="宋体" w:eastAsia="宋体" w:cs="宋体"/>
        </w:rPr>
      </w:pPr>
      <w:r>
        <w:rPr>
          <w:rFonts w:ascii="宋体" w:hAnsi="宋体" w:eastAsia="宋体" w:cs="宋体"/>
        </w:rPr>
        <w:t>3.</w:t>
      </w:r>
      <w:r>
        <w:rPr>
          <w:rFonts w:hint="eastAsia" w:ascii="宋体" w:hAnsi="宋体" w:eastAsia="宋体" w:cs="宋体"/>
        </w:rPr>
        <w:t>潜在供应商为响应本项目而勘察项目现场，但不得因此使采购人承担有关的责任和蒙受损失。供应商须承担勘察现场而带来的一切责任及风险。</w:t>
      </w:r>
    </w:p>
    <w:p>
      <w:pPr>
        <w:snapToGrid w:val="0"/>
        <w:spacing w:line="420" w:lineRule="exact"/>
        <w:ind w:firstLine="480" w:firstLineChars="200"/>
        <w:rPr>
          <w:rFonts w:ascii="宋体" w:hAnsi="宋体" w:eastAsia="宋体" w:cs="宋体"/>
        </w:rPr>
      </w:pPr>
      <w:r>
        <w:rPr>
          <w:rFonts w:ascii="宋体" w:hAnsi="宋体" w:eastAsia="宋体" w:cs="宋体"/>
        </w:rPr>
        <w:t>4.</w:t>
      </w:r>
      <w:r>
        <w:rPr>
          <w:rFonts w:hint="eastAsia" w:ascii="宋体" w:hAnsi="宋体" w:eastAsia="宋体" w:cs="宋体"/>
        </w:rPr>
        <w:t>供应商应在现场勘察时，熟悉现场及周围交通道路等情况，以获得一切可能影响磋商响应响应内容的直接资料。供应商成交后，不得以不完全了解现场情况为理由而向采购人提出任何索赔的要求，对此采购人不承担任何责任，且不作任何答复。</w:t>
      </w:r>
    </w:p>
    <w:p>
      <w:pPr>
        <w:snapToGrid w:val="0"/>
        <w:spacing w:line="420" w:lineRule="exact"/>
        <w:ind w:firstLine="480" w:firstLineChars="200"/>
        <w:rPr>
          <w:rFonts w:ascii="宋体" w:hAnsi="宋体" w:eastAsia="宋体" w:cs="宋体"/>
        </w:rPr>
      </w:pPr>
      <w:r>
        <w:rPr>
          <w:rFonts w:ascii="宋体" w:hAnsi="宋体" w:eastAsia="宋体" w:cs="宋体"/>
        </w:rPr>
        <w:t>5.</w:t>
      </w:r>
      <w:r>
        <w:rPr>
          <w:rFonts w:hint="eastAsia" w:ascii="宋体" w:hAnsi="宋体" w:eastAsia="宋体" w:cs="宋体"/>
        </w:rPr>
        <w:t>勘察现场的联系方式和事项：</w:t>
      </w:r>
    </w:p>
    <w:p>
      <w:pPr>
        <w:snapToGrid w:val="0"/>
        <w:spacing w:line="420" w:lineRule="exact"/>
        <w:ind w:firstLine="480" w:firstLineChars="200"/>
        <w:rPr>
          <w:rFonts w:hint="eastAsia" w:ascii="宋体" w:hAnsi="宋体" w:eastAsia="宋体" w:cs="宋体"/>
        </w:rPr>
      </w:pPr>
      <w:r>
        <w:rPr>
          <w:rFonts w:hint="eastAsia" w:ascii="宋体" w:hAnsi="宋体" w:eastAsia="宋体" w:cs="宋体"/>
        </w:rPr>
        <w:t>（</w:t>
      </w:r>
      <w:r>
        <w:rPr>
          <w:rFonts w:ascii="宋体" w:hAnsi="宋体" w:eastAsia="宋体" w:cs="宋体"/>
        </w:rPr>
        <w:t>1</w:t>
      </w:r>
      <w:r>
        <w:rPr>
          <w:rFonts w:hint="eastAsia" w:ascii="宋体" w:hAnsi="宋体" w:eastAsia="宋体" w:cs="宋体"/>
        </w:rPr>
        <w:t>）联系人：李敏、王雁霖；</w:t>
      </w:r>
    </w:p>
    <w:p>
      <w:pPr>
        <w:snapToGrid w:val="0"/>
        <w:spacing w:line="420" w:lineRule="exact"/>
        <w:ind w:firstLine="480" w:firstLineChars="200"/>
        <w:rPr>
          <w:rFonts w:ascii="宋体" w:hAnsi="宋体" w:eastAsia="宋体" w:cs="宋体"/>
        </w:rPr>
      </w:pPr>
      <w:r>
        <w:rPr>
          <w:rFonts w:hint="eastAsia" w:ascii="宋体" w:hAnsi="宋体" w:eastAsia="宋体" w:cs="宋体"/>
        </w:rPr>
        <w:t>（2）联系电话：</w:t>
      </w:r>
      <w:r>
        <w:rPr>
          <w:rFonts w:hint="eastAsia" w:ascii="宋体" w:hAnsi="宋体" w:eastAsia="宋体" w:cs="宋体"/>
          <w:lang w:val="en-US" w:eastAsia="zh-CN"/>
        </w:rPr>
        <w:t>0513-</w:t>
      </w:r>
      <w:r>
        <w:rPr>
          <w:rFonts w:hint="eastAsia" w:ascii="宋体" w:hAnsi="宋体" w:eastAsia="宋体" w:cs="宋体"/>
        </w:rPr>
        <w:t>85198670 。</w:t>
      </w:r>
    </w:p>
    <w:p>
      <w:pPr>
        <w:snapToGrid w:val="0"/>
        <w:spacing w:line="420" w:lineRule="exact"/>
        <w:ind w:firstLine="480" w:firstLineChars="200"/>
        <w:rPr>
          <w:rFonts w:ascii="宋体" w:hAnsi="宋体" w:eastAsia="宋体" w:cs="宋体"/>
          <w:u w:val="single"/>
        </w:rPr>
      </w:pPr>
      <w:r>
        <w:rPr>
          <w:rFonts w:hint="eastAsia" w:ascii="宋体" w:hAnsi="宋体" w:eastAsia="宋体" w:cs="宋体"/>
        </w:rPr>
        <w:t>（</w:t>
      </w:r>
      <w:r>
        <w:rPr>
          <w:rFonts w:ascii="宋体" w:hAnsi="宋体" w:eastAsia="宋体" w:cs="宋体"/>
        </w:rPr>
        <w:t>3</w:t>
      </w:r>
      <w:r>
        <w:rPr>
          <w:rFonts w:hint="eastAsia" w:ascii="宋体" w:hAnsi="宋体" w:eastAsia="宋体" w:cs="宋体"/>
        </w:rPr>
        <w:t>）勘察时间：自本项目竞争性磋商公告发布之日起至磋商响应文件提交截止时间，工作日的上午</w:t>
      </w:r>
      <w:r>
        <w:rPr>
          <w:rFonts w:ascii="宋体" w:hAnsi="宋体" w:eastAsia="宋体" w:cs="宋体"/>
        </w:rPr>
        <w:t>9</w:t>
      </w:r>
      <w:r>
        <w:rPr>
          <w:rFonts w:hint="eastAsia" w:ascii="宋体" w:hAnsi="宋体" w:eastAsia="宋体" w:cs="宋体"/>
        </w:rPr>
        <w:t>点至</w:t>
      </w:r>
      <w:r>
        <w:rPr>
          <w:rFonts w:ascii="宋体" w:hAnsi="宋体" w:eastAsia="宋体" w:cs="宋体"/>
        </w:rPr>
        <w:t>11</w:t>
      </w:r>
      <w:r>
        <w:rPr>
          <w:rFonts w:hint="eastAsia" w:ascii="宋体" w:hAnsi="宋体" w:eastAsia="宋体" w:cs="宋体"/>
        </w:rPr>
        <w:t>点，下午</w:t>
      </w:r>
      <w:r>
        <w:rPr>
          <w:rFonts w:ascii="宋体" w:hAnsi="宋体" w:eastAsia="宋体" w:cs="宋体"/>
        </w:rPr>
        <w:t>2</w:t>
      </w:r>
      <w:r>
        <w:rPr>
          <w:rFonts w:hint="eastAsia" w:ascii="宋体" w:hAnsi="宋体" w:eastAsia="宋体" w:cs="宋体"/>
        </w:rPr>
        <w:t>点至</w:t>
      </w:r>
      <w:r>
        <w:rPr>
          <w:rFonts w:ascii="宋体" w:hAnsi="宋体" w:eastAsia="宋体" w:cs="宋体"/>
        </w:rPr>
        <w:t>4</w:t>
      </w:r>
      <w:r>
        <w:rPr>
          <w:rFonts w:hint="eastAsia" w:ascii="宋体" w:hAnsi="宋体" w:eastAsia="宋体" w:cs="宋体"/>
        </w:rPr>
        <w:t>点（北京时间）。</w:t>
      </w:r>
    </w:p>
    <w:p>
      <w:pPr>
        <w:snapToGrid w:val="0"/>
        <w:spacing w:line="420" w:lineRule="exact"/>
        <w:ind w:firstLine="482" w:firstLineChars="200"/>
        <w:outlineLvl w:val="1"/>
        <w:rPr>
          <w:rFonts w:ascii="宋体" w:hAnsi="宋体" w:eastAsia="宋体" w:cs="宋体"/>
          <w:b/>
          <w:bCs/>
        </w:rPr>
      </w:pPr>
      <w:r>
        <w:rPr>
          <w:rFonts w:hint="eastAsia" w:ascii="宋体" w:hAnsi="宋体" w:eastAsia="宋体" w:cs="宋体"/>
          <w:b/>
          <w:bCs/>
        </w:rPr>
        <w:t>三、磋商文件的补充说明、澄清、修改、答疑</w:t>
      </w:r>
    </w:p>
    <w:p>
      <w:pPr>
        <w:snapToGrid w:val="0"/>
        <w:spacing w:line="420" w:lineRule="exact"/>
        <w:ind w:firstLine="480" w:firstLineChars="200"/>
        <w:rPr>
          <w:rFonts w:ascii="宋体" w:hAnsi="宋体" w:eastAsia="宋体" w:cs="宋体"/>
        </w:rPr>
      </w:pPr>
      <w:r>
        <w:rPr>
          <w:rFonts w:ascii="宋体" w:hAnsi="宋体" w:eastAsia="宋体" w:cs="宋体"/>
        </w:rPr>
        <w:t>1.</w:t>
      </w:r>
      <w:r>
        <w:rPr>
          <w:rFonts w:hint="eastAsia" w:ascii="宋体" w:hAnsi="宋体" w:eastAsia="宋体" w:cs="宋体"/>
        </w:rPr>
        <w:t>采购代理机构有权对发出的磋商文件进行必要的补充说明、澄清或修改。</w:t>
      </w:r>
    </w:p>
    <w:p>
      <w:pPr>
        <w:snapToGrid w:val="0"/>
        <w:spacing w:line="420" w:lineRule="exact"/>
        <w:ind w:firstLine="480" w:firstLineChars="200"/>
        <w:rPr>
          <w:rFonts w:ascii="宋体" w:hAnsi="宋体" w:eastAsia="宋体" w:cs="宋体"/>
        </w:rPr>
      </w:pPr>
      <w:r>
        <w:rPr>
          <w:rFonts w:ascii="宋体" w:hAnsi="宋体" w:eastAsia="宋体" w:cs="宋体"/>
        </w:rPr>
        <w:t>2.</w:t>
      </w:r>
      <w:r>
        <w:rPr>
          <w:rFonts w:hint="eastAsia" w:ascii="宋体" w:hAnsi="宋体" w:eastAsia="宋体" w:cs="宋体"/>
        </w:rPr>
        <w:t>凡涉及磋商文件的补充说明、澄清或修改，均以采购代理机构在</w:t>
      </w:r>
      <w:r>
        <w:rPr>
          <w:rFonts w:hint="eastAsia" w:ascii="宋体" w:hAnsi="宋体" w:eastAsia="宋体" w:cs="宋体"/>
          <w:kern w:val="0"/>
        </w:rPr>
        <w:t>“南通市崇川区人民政府网→我要看→公示公告栏”发布</w:t>
      </w:r>
      <w:r>
        <w:rPr>
          <w:rFonts w:hint="eastAsia" w:ascii="宋体" w:hAnsi="宋体" w:eastAsia="宋体" w:cs="宋体"/>
        </w:rPr>
        <w:t>的信息为准。</w:t>
      </w:r>
    </w:p>
    <w:p>
      <w:pPr>
        <w:snapToGrid w:val="0"/>
        <w:spacing w:line="420" w:lineRule="exact"/>
        <w:ind w:firstLine="480" w:firstLineChars="200"/>
        <w:rPr>
          <w:rFonts w:ascii="宋体" w:hAnsi="宋体" w:eastAsia="宋体" w:cs="宋体"/>
        </w:rPr>
      </w:pPr>
      <w:r>
        <w:rPr>
          <w:rFonts w:ascii="宋体" w:hAnsi="宋体" w:eastAsia="宋体" w:cs="宋体"/>
        </w:rPr>
        <w:t>3.</w:t>
      </w:r>
      <w:r>
        <w:rPr>
          <w:rFonts w:hint="eastAsia" w:ascii="宋体" w:hAnsi="宋体" w:eastAsia="宋体" w:cs="宋体"/>
        </w:rPr>
        <w:t>采购代理机构对磋商文件的补充说明、澄清或修改，将构成本项目采购文件的一部分，对供应商具有约束力。</w:t>
      </w:r>
    </w:p>
    <w:p>
      <w:pPr>
        <w:snapToGrid w:val="0"/>
        <w:spacing w:line="420" w:lineRule="exact"/>
        <w:ind w:firstLine="480" w:firstLineChars="200"/>
        <w:rPr>
          <w:rFonts w:ascii="宋体" w:hAnsi="宋体" w:eastAsia="宋体" w:cs="宋体"/>
        </w:rPr>
      </w:pPr>
      <w:r>
        <w:rPr>
          <w:rFonts w:ascii="宋体" w:hAnsi="宋体" w:eastAsia="宋体" w:cs="宋体"/>
        </w:rPr>
        <w:t>4.</w:t>
      </w:r>
      <w:r>
        <w:rPr>
          <w:rFonts w:hint="eastAsia" w:ascii="宋体" w:hAnsi="宋体" w:eastAsia="宋体" w:cs="宋体"/>
        </w:rPr>
        <w:t>补充说明、澄清或修改的内容可能影响到响应文件编制的，采购代理机构将在首次提交磋商响应文件截止日</w:t>
      </w:r>
      <w:r>
        <w:rPr>
          <w:rFonts w:ascii="宋体" w:hAnsi="宋体" w:eastAsia="宋体" w:cs="宋体"/>
        </w:rPr>
        <w:t>5</w:t>
      </w:r>
      <w:r>
        <w:rPr>
          <w:rFonts w:hint="eastAsia" w:ascii="宋体" w:hAnsi="宋体" w:eastAsia="宋体" w:cs="宋体"/>
        </w:rPr>
        <w:t>天前，发布补充说明、澄清或修改公告。不足</w:t>
      </w:r>
      <w:r>
        <w:rPr>
          <w:rFonts w:ascii="宋体" w:hAnsi="宋体" w:eastAsia="宋体" w:cs="宋体"/>
        </w:rPr>
        <w:t>5</w:t>
      </w:r>
      <w:r>
        <w:rPr>
          <w:rFonts w:hint="eastAsia" w:ascii="宋体" w:hAnsi="宋体" w:eastAsia="宋体" w:cs="宋体"/>
        </w:rPr>
        <w:t>日的，应当顺延首次提交磋商响应文件截止之日。</w:t>
      </w:r>
    </w:p>
    <w:p>
      <w:pPr>
        <w:snapToGrid w:val="0"/>
        <w:spacing w:line="420" w:lineRule="exact"/>
        <w:ind w:firstLine="480" w:firstLineChars="200"/>
        <w:rPr>
          <w:rFonts w:ascii="宋体" w:hAnsi="宋体" w:eastAsia="宋体" w:cs="宋体"/>
        </w:rPr>
      </w:pPr>
      <w:r>
        <w:rPr>
          <w:rFonts w:ascii="宋体" w:hAnsi="宋体" w:eastAsia="宋体" w:cs="宋体"/>
        </w:rPr>
        <w:t>5.</w:t>
      </w:r>
      <w:r>
        <w:rPr>
          <w:rFonts w:hint="eastAsia" w:ascii="宋体" w:hAnsi="宋体" w:eastAsia="宋体" w:cs="宋体"/>
        </w:rPr>
        <w:t>除非采购代理机构以书面、公告的形式对磋商文件作出澄清、修改、补充并通知到供应商，供应商对涉及磋商文件的任何推论、理解和结论所造成的结果，均由供应商自负。</w:t>
      </w:r>
    </w:p>
    <w:p>
      <w:pPr>
        <w:snapToGrid w:val="0"/>
        <w:spacing w:line="420" w:lineRule="exact"/>
        <w:ind w:firstLine="480" w:firstLineChars="200"/>
        <w:rPr>
          <w:rFonts w:ascii="宋体" w:hAnsi="宋体" w:eastAsia="宋体" w:cs="宋体"/>
        </w:rPr>
      </w:pPr>
      <w:r>
        <w:rPr>
          <w:rFonts w:ascii="宋体" w:hAnsi="宋体" w:eastAsia="宋体" w:cs="宋体"/>
        </w:rPr>
        <w:t>6.</w:t>
      </w:r>
      <w:r>
        <w:rPr>
          <w:rFonts w:hint="eastAsia" w:ascii="宋体" w:hAnsi="宋体" w:eastAsia="宋体" w:cs="宋体"/>
        </w:rPr>
        <w:t>采购人视情组织答疑会。如有产生答疑且对磋商文件内容有修改，采购代理机构将按照本须知有关规定，以补充通知（公告）的方式发出并通知到供应商。</w:t>
      </w:r>
    </w:p>
    <w:p>
      <w:pPr>
        <w:snapToGrid w:val="0"/>
        <w:spacing w:line="420" w:lineRule="exact"/>
        <w:ind w:firstLine="482" w:firstLineChars="200"/>
        <w:outlineLvl w:val="1"/>
        <w:rPr>
          <w:rFonts w:ascii="宋体" w:hAnsi="宋体" w:eastAsia="宋体" w:cs="宋体"/>
          <w:b/>
          <w:bCs/>
        </w:rPr>
      </w:pPr>
      <w:r>
        <w:rPr>
          <w:rFonts w:hint="eastAsia" w:ascii="宋体" w:hAnsi="宋体" w:eastAsia="宋体" w:cs="宋体"/>
          <w:b/>
          <w:bCs/>
        </w:rPr>
        <w:t>四、磋商响应文件的组成及装订</w:t>
      </w:r>
    </w:p>
    <w:p>
      <w:pPr>
        <w:snapToGrid w:val="0"/>
        <w:spacing w:line="420" w:lineRule="exact"/>
        <w:ind w:firstLine="480" w:firstLineChars="200"/>
        <w:rPr>
          <w:rFonts w:ascii="宋体" w:hAnsi="宋体" w:eastAsia="宋体" w:cs="宋体"/>
        </w:rPr>
      </w:pPr>
      <w:r>
        <w:rPr>
          <w:rFonts w:ascii="宋体" w:hAnsi="宋体" w:eastAsia="宋体" w:cs="宋体"/>
        </w:rPr>
        <w:t>1.</w:t>
      </w:r>
      <w:r>
        <w:rPr>
          <w:rFonts w:hint="eastAsia" w:ascii="宋体" w:hAnsi="宋体" w:eastAsia="宋体" w:cs="宋体"/>
        </w:rPr>
        <w:t>磋商响应文件由：</w:t>
      </w:r>
      <w:r>
        <w:rPr>
          <w:rFonts w:ascii="宋体" w:hAnsi="宋体" w:eastAsia="宋体" w:cs="宋体"/>
        </w:rPr>
        <w:t>A</w:t>
      </w:r>
      <w:r>
        <w:rPr>
          <w:rFonts w:hint="eastAsia" w:ascii="宋体" w:hAnsi="宋体" w:eastAsia="宋体" w:cs="宋体"/>
        </w:rPr>
        <w:t>磋商响应资料原件包、</w:t>
      </w:r>
      <w:r>
        <w:rPr>
          <w:rFonts w:ascii="宋体" w:hAnsi="宋体" w:eastAsia="宋体" w:cs="宋体"/>
        </w:rPr>
        <w:t>B</w:t>
      </w:r>
      <w:r>
        <w:rPr>
          <w:rFonts w:hint="eastAsia" w:ascii="宋体" w:hAnsi="宋体" w:eastAsia="宋体" w:cs="宋体"/>
        </w:rPr>
        <w:t>资格后审材料文件、</w:t>
      </w:r>
      <w:r>
        <w:rPr>
          <w:rFonts w:ascii="宋体" w:hAnsi="宋体" w:eastAsia="宋体" w:cs="宋体"/>
        </w:rPr>
        <w:t>C</w:t>
      </w:r>
      <w:r>
        <w:rPr>
          <w:rFonts w:hint="eastAsia" w:ascii="宋体" w:hAnsi="宋体" w:eastAsia="宋体" w:cs="宋体"/>
        </w:rPr>
        <w:t>技术响应文件、</w:t>
      </w:r>
      <w:r>
        <w:rPr>
          <w:rFonts w:ascii="宋体" w:hAnsi="宋体" w:eastAsia="宋体" w:cs="宋体"/>
        </w:rPr>
        <w:t>D</w:t>
      </w:r>
      <w:r>
        <w:rPr>
          <w:rFonts w:hint="eastAsia" w:ascii="宋体" w:hAnsi="宋体" w:eastAsia="宋体" w:cs="宋体"/>
        </w:rPr>
        <w:t>响应文件电子版（</w:t>
      </w:r>
      <w:r>
        <w:rPr>
          <w:rFonts w:ascii="宋体" w:hAnsi="宋体" w:eastAsia="宋体" w:cs="宋体"/>
        </w:rPr>
        <w:t>U</w:t>
      </w:r>
      <w:r>
        <w:rPr>
          <w:rFonts w:hint="eastAsia" w:ascii="宋体" w:hAnsi="宋体" w:eastAsia="宋体" w:cs="宋体"/>
        </w:rPr>
        <w:t>盘</w:t>
      </w:r>
      <w:r>
        <w:rPr>
          <w:rFonts w:hint="eastAsia" w:ascii="宋体" w:hAnsi="宋体" w:eastAsia="宋体" w:cs="宋体"/>
          <w:kern w:val="0"/>
        </w:rPr>
        <w:t>）</w:t>
      </w:r>
      <w:r>
        <w:rPr>
          <w:rFonts w:hint="eastAsia" w:ascii="宋体" w:hAnsi="宋体" w:eastAsia="宋体" w:cs="宋体"/>
        </w:rPr>
        <w:t>，共</w:t>
      </w:r>
      <w:r>
        <w:rPr>
          <w:rFonts w:ascii="宋体" w:hAnsi="宋体" w:eastAsia="宋体" w:cs="宋体"/>
        </w:rPr>
        <w:t>4</w:t>
      </w:r>
      <w:r>
        <w:rPr>
          <w:rFonts w:hint="eastAsia" w:ascii="宋体" w:hAnsi="宋体" w:eastAsia="宋体" w:cs="宋体"/>
        </w:rPr>
        <w:t>部分组成（以下由文件前缀号代称），</w:t>
      </w:r>
      <w:r>
        <w:rPr>
          <w:rFonts w:hint="eastAsia" w:ascii="宋体" w:hAnsi="宋体" w:eastAsia="宋体" w:cs="宋体"/>
          <w:b/>
          <w:bCs/>
          <w:u w:val="thick" w:color="FF0000"/>
        </w:rPr>
        <w:t>具体相关内容见本竞争性磋商文件第七章。</w:t>
      </w:r>
      <w:r>
        <w:rPr>
          <w:rFonts w:hint="eastAsia" w:ascii="宋体" w:hAnsi="宋体" w:eastAsia="宋体" w:cs="宋体"/>
        </w:rPr>
        <w:t>）。</w:t>
      </w:r>
    </w:p>
    <w:p>
      <w:pPr>
        <w:spacing w:line="420" w:lineRule="exact"/>
        <w:ind w:firstLine="484" w:firstLineChars="202"/>
        <w:rPr>
          <w:rFonts w:ascii="宋体" w:hAnsi="宋体" w:eastAsia="宋体" w:cs="宋体"/>
        </w:rPr>
      </w:pPr>
      <w:r>
        <w:rPr>
          <w:rFonts w:ascii="宋体" w:hAnsi="宋体" w:eastAsia="宋体" w:cs="宋体"/>
        </w:rPr>
        <w:t>2.</w:t>
      </w:r>
      <w:r>
        <w:rPr>
          <w:rFonts w:hint="eastAsia" w:ascii="宋体" w:hAnsi="宋体" w:eastAsia="宋体" w:cs="宋体"/>
        </w:rPr>
        <w:t>供应商按磋商响应文件组成顺序编写响应文件，并牢固装订成册。磋商响应文件均需采用</w:t>
      </w:r>
      <w:r>
        <w:rPr>
          <w:rFonts w:ascii="宋体" w:hAnsi="宋体" w:eastAsia="宋体" w:cs="宋体"/>
        </w:rPr>
        <w:t>A4</w:t>
      </w:r>
      <w:r>
        <w:rPr>
          <w:rFonts w:hint="eastAsia" w:ascii="宋体" w:hAnsi="宋体" w:eastAsia="宋体" w:cs="宋体"/>
        </w:rPr>
        <w:t>纸（图纸等除外），不允许使用活页夹、拉杆夹、文件夹、塑料方便式书脊（插入式或穿孔式）装订。磋商响应文件不得行间插字、涂改、增删。修改错漏处，须经过供应商法人代表或其委托的代理人</w:t>
      </w:r>
      <w:r>
        <w:rPr>
          <w:rFonts w:hint="eastAsia" w:ascii="宋体" w:hAnsi="宋体" w:eastAsia="宋体" w:cs="宋体"/>
          <w:b/>
          <w:bCs/>
        </w:rPr>
        <w:t>（以下称被委托受权人）</w:t>
      </w:r>
      <w:r>
        <w:rPr>
          <w:rFonts w:hint="eastAsia" w:ascii="宋体" w:hAnsi="宋体" w:eastAsia="宋体" w:cs="宋体"/>
        </w:rPr>
        <w:t>签字（或盖章）并加盖公章。</w:t>
      </w:r>
    </w:p>
    <w:p>
      <w:pPr>
        <w:snapToGrid w:val="0"/>
        <w:spacing w:line="420" w:lineRule="exact"/>
        <w:ind w:firstLine="482" w:firstLineChars="200"/>
        <w:outlineLvl w:val="1"/>
        <w:rPr>
          <w:rFonts w:ascii="宋体" w:hAnsi="宋体" w:eastAsia="宋体" w:cs="宋体"/>
          <w:b/>
          <w:bCs/>
        </w:rPr>
      </w:pPr>
      <w:r>
        <w:rPr>
          <w:rFonts w:hint="eastAsia" w:ascii="宋体" w:hAnsi="宋体" w:eastAsia="宋体" w:cs="宋体"/>
          <w:b/>
          <w:bCs/>
        </w:rPr>
        <w:t>五、磋商响应文件的份数、签署和退还</w:t>
      </w:r>
    </w:p>
    <w:p>
      <w:pPr>
        <w:snapToGrid w:val="0"/>
        <w:spacing w:line="420" w:lineRule="exact"/>
        <w:ind w:firstLine="480" w:firstLineChars="200"/>
        <w:rPr>
          <w:rFonts w:ascii="宋体" w:hAnsi="宋体" w:eastAsia="宋体" w:cs="宋体"/>
          <w:b/>
          <w:bCs/>
        </w:rPr>
      </w:pPr>
      <w:r>
        <w:rPr>
          <w:rFonts w:ascii="宋体" w:hAnsi="宋体" w:eastAsia="宋体" w:cs="宋体"/>
        </w:rPr>
        <w:t>1.</w:t>
      </w:r>
      <w:r>
        <w:rPr>
          <w:rFonts w:hint="eastAsia" w:ascii="宋体" w:hAnsi="宋体" w:eastAsia="宋体" w:cs="宋体"/>
        </w:rPr>
        <w:t>磋商响应文件中，除【</w:t>
      </w:r>
      <w:r>
        <w:rPr>
          <w:rFonts w:ascii="宋体" w:hAnsi="宋体" w:eastAsia="宋体" w:cs="宋体"/>
        </w:rPr>
        <w:t>A</w:t>
      </w:r>
      <w:r>
        <w:rPr>
          <w:rFonts w:hint="eastAsia" w:ascii="宋体" w:hAnsi="宋体" w:eastAsia="宋体" w:cs="宋体"/>
        </w:rPr>
        <w:t>、</w:t>
      </w:r>
      <w:r>
        <w:rPr>
          <w:rFonts w:ascii="宋体" w:hAnsi="宋体" w:eastAsia="宋体" w:cs="宋体"/>
        </w:rPr>
        <w:t>D</w:t>
      </w:r>
      <w:r>
        <w:rPr>
          <w:rFonts w:hint="eastAsia" w:ascii="宋体" w:hAnsi="宋体" w:eastAsia="宋体" w:cs="宋体"/>
        </w:rPr>
        <w:t>】外的，其余均为</w:t>
      </w:r>
      <w:r>
        <w:rPr>
          <w:rFonts w:hint="eastAsia" w:ascii="宋体" w:hAnsi="宋体" w:eastAsia="宋体" w:cs="宋体"/>
          <w:b/>
          <w:bCs/>
          <w:u w:val="thick" w:color="FF0000"/>
        </w:rPr>
        <w:t>一份“正本”和肆份“副本”</w:t>
      </w:r>
      <w:r>
        <w:rPr>
          <w:rFonts w:hint="eastAsia" w:ascii="宋体" w:hAnsi="宋体" w:eastAsia="宋体" w:cs="宋体"/>
          <w:b/>
          <w:bCs/>
        </w:rPr>
        <w:t>。</w:t>
      </w:r>
    </w:p>
    <w:p>
      <w:pPr>
        <w:snapToGrid w:val="0"/>
        <w:spacing w:line="420" w:lineRule="exact"/>
        <w:ind w:firstLine="480" w:firstLineChars="200"/>
        <w:rPr>
          <w:rFonts w:ascii="宋体" w:hAnsi="宋体" w:eastAsia="宋体" w:cs="宋体"/>
        </w:rPr>
      </w:pPr>
      <w:r>
        <w:rPr>
          <w:rFonts w:ascii="宋体" w:hAnsi="宋体" w:eastAsia="宋体" w:cs="宋体"/>
        </w:rPr>
        <w:t>2.</w:t>
      </w:r>
      <w:r>
        <w:rPr>
          <w:rFonts w:hint="eastAsia" w:ascii="宋体" w:hAnsi="宋体" w:eastAsia="宋体" w:cs="宋体"/>
        </w:rPr>
        <w:t>在每一份磋商响应文件上要明确标注项目名称、磋商响应文件各自对应的名称、供应商全称、“正本”、“副本”字样，“正本”和“副本”若有差异，概以“正本”为准。</w:t>
      </w:r>
    </w:p>
    <w:p>
      <w:pPr>
        <w:snapToGrid w:val="0"/>
        <w:spacing w:line="420" w:lineRule="exact"/>
        <w:ind w:firstLine="480" w:firstLineChars="200"/>
        <w:rPr>
          <w:rFonts w:ascii="宋体" w:hAnsi="宋体" w:eastAsia="宋体" w:cs="宋体"/>
        </w:rPr>
      </w:pPr>
      <w:r>
        <w:rPr>
          <w:rFonts w:ascii="宋体" w:hAnsi="宋体" w:eastAsia="宋体" w:cs="宋体"/>
        </w:rPr>
        <w:t>3.</w:t>
      </w:r>
      <w:r>
        <w:rPr>
          <w:rFonts w:hint="eastAsia" w:ascii="宋体" w:hAnsi="宋体" w:eastAsia="宋体" w:cs="宋体"/>
        </w:rPr>
        <w:t>磋商响应文件中的所有“正本”，须为打印的，其正文内容由法定代表人或被委托受权人签字（或盖章）并加盖公章，“副本”可为“正本”的复印件。</w:t>
      </w:r>
    </w:p>
    <w:p>
      <w:pPr>
        <w:snapToGrid w:val="0"/>
        <w:spacing w:line="420" w:lineRule="exact"/>
        <w:ind w:firstLine="480" w:firstLineChars="200"/>
        <w:rPr>
          <w:rFonts w:ascii="宋体" w:hAnsi="宋体" w:eastAsia="宋体" w:cs="宋体"/>
        </w:rPr>
      </w:pPr>
      <w:r>
        <w:rPr>
          <w:rFonts w:ascii="宋体" w:hAnsi="宋体" w:eastAsia="宋体" w:cs="宋体"/>
        </w:rPr>
        <w:t>4.</w:t>
      </w:r>
      <w:r>
        <w:rPr>
          <w:rFonts w:hint="eastAsia" w:ascii="宋体" w:hAnsi="宋体" w:eastAsia="宋体" w:cs="宋体"/>
        </w:rPr>
        <w:t>磋商程序顺利进行后，除【</w:t>
      </w:r>
      <w:r>
        <w:rPr>
          <w:rFonts w:ascii="宋体" w:hAnsi="宋体" w:eastAsia="宋体" w:cs="宋体"/>
        </w:rPr>
        <w:t>A</w:t>
      </w:r>
      <w:r>
        <w:rPr>
          <w:rFonts w:hint="eastAsia" w:ascii="宋体" w:hAnsi="宋体" w:eastAsia="宋体" w:cs="宋体"/>
        </w:rPr>
        <w:t>】外，其余所有磋商响应文件都将作为档案保存，不论成交与否，采购代理机构均不退回（未拆封的除外）。</w:t>
      </w:r>
    </w:p>
    <w:p>
      <w:pPr>
        <w:snapToGrid w:val="0"/>
        <w:spacing w:line="420" w:lineRule="exact"/>
        <w:ind w:firstLine="472" w:firstLineChars="196"/>
        <w:outlineLvl w:val="1"/>
        <w:rPr>
          <w:rFonts w:ascii="宋体" w:hAnsi="宋体" w:eastAsia="宋体" w:cs="宋体"/>
          <w:b/>
          <w:bCs/>
        </w:rPr>
      </w:pPr>
      <w:r>
        <w:rPr>
          <w:rFonts w:hint="eastAsia" w:ascii="宋体" w:hAnsi="宋体" w:eastAsia="宋体" w:cs="宋体"/>
          <w:b/>
          <w:bCs/>
        </w:rPr>
        <w:t>六、磋商响应文件的密封及标记</w:t>
      </w:r>
    </w:p>
    <w:p>
      <w:pPr>
        <w:snapToGrid w:val="0"/>
        <w:spacing w:line="420" w:lineRule="exact"/>
        <w:ind w:firstLine="480" w:firstLineChars="200"/>
        <w:rPr>
          <w:rFonts w:ascii="宋体" w:hAnsi="宋体" w:eastAsia="宋体" w:cs="宋体"/>
        </w:rPr>
      </w:pPr>
      <w:r>
        <w:rPr>
          <w:rFonts w:ascii="宋体" w:hAnsi="宋体" w:eastAsia="宋体" w:cs="宋体"/>
        </w:rPr>
        <w:t>1.</w:t>
      </w:r>
      <w:r>
        <w:rPr>
          <w:rFonts w:hint="eastAsia" w:ascii="宋体" w:hAnsi="宋体" w:eastAsia="宋体" w:cs="宋体"/>
        </w:rPr>
        <w:t>供应商须将本项目磋商响应文件：【</w:t>
      </w:r>
      <w:r>
        <w:rPr>
          <w:rFonts w:ascii="宋体" w:hAnsi="宋体" w:eastAsia="宋体" w:cs="宋体"/>
        </w:rPr>
        <w:t>A</w:t>
      </w:r>
      <w:r>
        <w:rPr>
          <w:rFonts w:hint="eastAsia" w:ascii="宋体" w:hAnsi="宋体" w:eastAsia="宋体" w:cs="宋体"/>
        </w:rPr>
        <w:t>】、【</w:t>
      </w:r>
      <w:r>
        <w:rPr>
          <w:rFonts w:ascii="宋体" w:hAnsi="宋体" w:eastAsia="宋体" w:cs="宋体"/>
        </w:rPr>
        <w:t>B</w:t>
      </w:r>
      <w:r>
        <w:rPr>
          <w:rFonts w:hint="eastAsia" w:ascii="宋体" w:hAnsi="宋体" w:eastAsia="宋体" w:cs="宋体"/>
        </w:rPr>
        <w:t>】、【</w:t>
      </w:r>
      <w:r>
        <w:rPr>
          <w:rFonts w:ascii="宋体" w:hAnsi="宋体" w:eastAsia="宋体" w:cs="宋体"/>
        </w:rPr>
        <w:t>C</w:t>
      </w:r>
      <w:r>
        <w:rPr>
          <w:rFonts w:hint="eastAsia" w:ascii="宋体" w:hAnsi="宋体" w:eastAsia="宋体" w:cs="宋体"/>
        </w:rPr>
        <w:t>】、【</w:t>
      </w:r>
      <w:r>
        <w:rPr>
          <w:rFonts w:ascii="宋体" w:hAnsi="宋体" w:eastAsia="宋体" w:cs="宋体"/>
        </w:rPr>
        <w:t>D</w:t>
      </w:r>
      <w:r>
        <w:rPr>
          <w:rFonts w:hint="eastAsia" w:ascii="宋体" w:hAnsi="宋体" w:eastAsia="宋体" w:cs="宋体"/>
        </w:rPr>
        <w:t>】</w:t>
      </w:r>
      <w:r>
        <w:rPr>
          <w:rFonts w:hint="eastAsia" w:ascii="宋体" w:hAnsi="宋体" w:eastAsia="宋体" w:cs="宋体"/>
          <w:b/>
          <w:bCs/>
        </w:rPr>
        <w:t>分别单独密封</w:t>
      </w:r>
      <w:r>
        <w:rPr>
          <w:rFonts w:hint="eastAsia" w:ascii="宋体" w:hAnsi="宋体" w:eastAsia="宋体" w:cs="宋体"/>
        </w:rPr>
        <w:t>。</w:t>
      </w:r>
    </w:p>
    <w:p>
      <w:pPr>
        <w:snapToGrid w:val="0"/>
        <w:spacing w:line="420" w:lineRule="exact"/>
        <w:ind w:firstLine="480" w:firstLineChars="200"/>
        <w:rPr>
          <w:rFonts w:ascii="宋体" w:hAnsi="宋体" w:eastAsia="宋体" w:cs="宋体"/>
        </w:rPr>
      </w:pPr>
      <w:r>
        <w:rPr>
          <w:rFonts w:ascii="宋体" w:hAnsi="宋体" w:eastAsia="宋体" w:cs="宋体"/>
        </w:rPr>
        <w:t>2.</w:t>
      </w:r>
      <w:r>
        <w:rPr>
          <w:rFonts w:hint="eastAsia" w:ascii="宋体" w:hAnsi="宋体" w:eastAsia="宋体" w:cs="宋体"/>
        </w:rPr>
        <w:t>密封后，应在每一密封件上明确标注磋商项目名称、磋商响应文件各自对应的名称、供应商全称及日期，同时加盖供应商公章。</w:t>
      </w:r>
    </w:p>
    <w:p>
      <w:pPr>
        <w:snapToGrid w:val="0"/>
        <w:spacing w:line="420" w:lineRule="exact"/>
        <w:ind w:firstLine="482" w:firstLineChars="200"/>
        <w:outlineLvl w:val="1"/>
        <w:rPr>
          <w:rFonts w:ascii="宋体" w:hAnsi="宋体" w:eastAsia="宋体" w:cs="宋体"/>
          <w:b/>
          <w:bCs/>
          <w:color w:val="auto"/>
        </w:rPr>
      </w:pPr>
      <w:r>
        <w:rPr>
          <w:rFonts w:hint="eastAsia" w:ascii="宋体" w:hAnsi="宋体" w:eastAsia="宋体" w:cs="宋体"/>
          <w:b/>
          <w:bCs/>
          <w:color w:val="auto"/>
        </w:rPr>
        <w:t>七、项目采购预算资金的说明</w:t>
      </w:r>
    </w:p>
    <w:p>
      <w:pPr>
        <w:snapToGrid w:val="0"/>
        <w:spacing w:line="420" w:lineRule="exact"/>
        <w:ind w:firstLine="494" w:firstLineChars="206"/>
        <w:rPr>
          <w:rFonts w:ascii="宋体" w:hAnsi="宋体" w:eastAsia="宋体" w:cs="宋体"/>
          <w:color w:val="auto"/>
        </w:rPr>
      </w:pPr>
      <w:r>
        <w:rPr>
          <w:rFonts w:ascii="宋体" w:hAnsi="宋体" w:eastAsia="宋体" w:cs="宋体"/>
          <w:color w:val="auto"/>
        </w:rPr>
        <w:t>1.</w:t>
      </w:r>
      <w:r>
        <w:rPr>
          <w:rFonts w:hint="eastAsia" w:ascii="宋体" w:hAnsi="宋体" w:eastAsia="宋体" w:cs="宋体"/>
          <w:color w:val="auto"/>
        </w:rPr>
        <w:t>本项目是政府与社会资本合作的落实政府民生养老政策的投资建设和承办运营服务采购项目，无采购预算资金。</w:t>
      </w:r>
    </w:p>
    <w:p>
      <w:pPr>
        <w:snapToGrid w:val="0"/>
        <w:spacing w:line="420" w:lineRule="exact"/>
        <w:ind w:firstLine="494" w:firstLineChars="206"/>
        <w:rPr>
          <w:rFonts w:ascii="宋体" w:hAnsi="宋体" w:eastAsia="宋体" w:cs="宋体"/>
          <w:color w:val="auto"/>
        </w:rPr>
      </w:pPr>
      <w:r>
        <w:rPr>
          <w:rFonts w:ascii="宋体" w:hAnsi="宋体" w:eastAsia="宋体" w:cs="宋体"/>
          <w:color w:val="auto"/>
        </w:rPr>
        <w:t>2.</w:t>
      </w:r>
      <w:bookmarkStart w:id="17" w:name="_Hlk73351403"/>
      <w:r>
        <w:rPr>
          <w:rFonts w:hint="eastAsia" w:ascii="宋体" w:hAnsi="宋体" w:eastAsia="宋体" w:cs="宋体"/>
          <w:color w:val="auto"/>
        </w:rPr>
        <w:t>本项目承办运营服务价</w:t>
      </w:r>
      <w:bookmarkEnd w:id="17"/>
      <w:r>
        <w:rPr>
          <w:rFonts w:hint="eastAsia" w:ascii="宋体" w:hAnsi="宋体" w:eastAsia="宋体" w:cs="宋体"/>
          <w:color w:val="auto"/>
        </w:rPr>
        <w:t>为落实政府民生养老政策的固定服务价（含政策补贴），无竞争报价。</w:t>
      </w:r>
    </w:p>
    <w:p>
      <w:pPr>
        <w:snapToGrid w:val="0"/>
        <w:spacing w:line="420" w:lineRule="exact"/>
        <w:ind w:firstLine="494" w:firstLineChars="206"/>
        <w:rPr>
          <w:rFonts w:ascii="宋体" w:hAnsi="宋体" w:eastAsia="宋体" w:cs="宋体"/>
          <w:color w:val="auto"/>
        </w:rPr>
      </w:pPr>
      <w:r>
        <w:rPr>
          <w:rFonts w:ascii="宋体" w:hAnsi="宋体" w:eastAsia="宋体" w:cs="宋体"/>
          <w:color w:val="auto"/>
        </w:rPr>
        <w:t>3.</w:t>
      </w:r>
      <w:r>
        <w:rPr>
          <w:rFonts w:hint="eastAsia" w:ascii="宋体" w:hAnsi="宋体" w:eastAsia="宋体" w:cs="宋体"/>
          <w:color w:val="auto"/>
        </w:rPr>
        <w:t>固定服务价（含政策补贴）以人民币为货币单位。</w:t>
      </w:r>
    </w:p>
    <w:p>
      <w:pPr>
        <w:autoSpaceDE w:val="0"/>
        <w:autoSpaceDN w:val="0"/>
        <w:adjustRightInd w:val="0"/>
        <w:spacing w:line="420" w:lineRule="exact"/>
        <w:ind w:firstLine="426"/>
        <w:rPr>
          <w:rFonts w:ascii="宋体" w:hAnsi="宋体" w:eastAsia="宋体" w:cs="宋体"/>
          <w:color w:val="auto"/>
          <w:kern w:val="0"/>
        </w:rPr>
      </w:pPr>
      <w:r>
        <w:rPr>
          <w:rFonts w:hint="eastAsia" w:ascii="宋体" w:hAnsi="宋体" w:eastAsia="宋体" w:cs="宋体"/>
          <w:color w:val="auto"/>
          <w:kern w:val="0"/>
        </w:rPr>
        <w:t>（</w:t>
      </w:r>
      <w:r>
        <w:rPr>
          <w:rFonts w:ascii="宋体" w:hAnsi="宋体" w:eastAsia="宋体" w:cs="宋体"/>
          <w:color w:val="auto"/>
          <w:kern w:val="0"/>
        </w:rPr>
        <w:t>1</w:t>
      </w:r>
      <w:r>
        <w:rPr>
          <w:rFonts w:hint="eastAsia" w:ascii="宋体" w:hAnsi="宋体" w:eastAsia="宋体" w:cs="宋体"/>
          <w:color w:val="auto"/>
          <w:kern w:val="0"/>
        </w:rPr>
        <w:t>）综合性养老服务中心建设及运营管理：在社会资本方承办运营期内，由两部分组成，第一部分：街道办（采购人）给予免费</w:t>
      </w:r>
      <w:r>
        <w:rPr>
          <w:rFonts w:hint="eastAsia" w:ascii="宋体" w:hAnsi="宋体" w:eastAsia="宋体" w:cs="宋体"/>
          <w:color w:val="auto"/>
          <w:kern w:val="0"/>
          <w:lang w:eastAsia="zh-CN"/>
        </w:rPr>
        <w:t>（</w:t>
      </w:r>
      <w:r>
        <w:rPr>
          <w:rFonts w:hint="eastAsia" w:ascii="宋体" w:hAnsi="宋体" w:eastAsia="宋体" w:cs="宋体"/>
          <w:color w:val="auto"/>
          <w:kern w:val="0"/>
          <w:lang w:val="en-US" w:eastAsia="zh-CN"/>
        </w:rPr>
        <w:t>有条件</w:t>
      </w:r>
      <w:r>
        <w:rPr>
          <w:rFonts w:hint="eastAsia" w:ascii="宋体" w:hAnsi="宋体" w:eastAsia="宋体" w:cs="宋体"/>
          <w:color w:val="auto"/>
          <w:kern w:val="0"/>
          <w:lang w:eastAsia="zh-CN"/>
        </w:rPr>
        <w:t>）</w:t>
      </w:r>
      <w:r>
        <w:rPr>
          <w:rFonts w:hint="eastAsia" w:ascii="宋体" w:hAnsi="宋体" w:eastAsia="宋体" w:cs="宋体"/>
          <w:color w:val="auto"/>
          <w:kern w:val="0"/>
        </w:rPr>
        <w:t>提供</w:t>
      </w:r>
      <w:r>
        <w:rPr>
          <w:rFonts w:ascii="宋体" w:hAnsi="宋体" w:eastAsia="宋体" w:cs="宋体"/>
          <w:color w:val="auto"/>
          <w:kern w:val="0"/>
        </w:rPr>
        <w:t>7</w:t>
      </w:r>
      <w:r>
        <w:rPr>
          <w:rFonts w:hint="eastAsia" w:ascii="宋体" w:hAnsi="宋体" w:eastAsia="宋体" w:cs="宋体"/>
          <w:color w:val="auto"/>
          <w:kern w:val="0"/>
        </w:rPr>
        <w:t>年；第二部分为有偿租赁经营</w:t>
      </w:r>
      <w:r>
        <w:rPr>
          <w:rFonts w:ascii="宋体" w:hAnsi="宋体" w:eastAsia="宋体" w:cs="宋体"/>
          <w:color w:val="auto"/>
          <w:kern w:val="0"/>
        </w:rPr>
        <w:t>8</w:t>
      </w:r>
      <w:r>
        <w:rPr>
          <w:rFonts w:hint="eastAsia" w:ascii="宋体" w:hAnsi="宋体" w:eastAsia="宋体" w:cs="宋体"/>
          <w:color w:val="auto"/>
          <w:kern w:val="0"/>
        </w:rPr>
        <w:t>年，有偿提供的租赁经营租金每年度人民币</w:t>
      </w:r>
      <w:r>
        <w:rPr>
          <w:rFonts w:ascii="宋体" w:hAnsi="宋体" w:eastAsia="宋体" w:cs="宋体"/>
          <w:color w:val="auto"/>
          <w:kern w:val="0"/>
        </w:rPr>
        <w:t>5</w:t>
      </w:r>
      <w:r>
        <w:rPr>
          <w:rFonts w:hint="eastAsia" w:ascii="宋体" w:hAnsi="宋体" w:eastAsia="宋体" w:cs="宋体"/>
          <w:color w:val="auto"/>
          <w:kern w:val="0"/>
        </w:rPr>
        <w:t>万元。</w:t>
      </w:r>
    </w:p>
    <w:p>
      <w:pPr>
        <w:autoSpaceDE w:val="0"/>
        <w:autoSpaceDN w:val="0"/>
        <w:adjustRightInd w:val="0"/>
        <w:spacing w:line="420" w:lineRule="exact"/>
        <w:ind w:firstLine="426"/>
        <w:rPr>
          <w:rFonts w:ascii="宋体" w:hAnsi="宋体" w:eastAsia="宋体" w:cs="宋体"/>
          <w:color w:val="auto"/>
          <w:kern w:val="0"/>
        </w:rPr>
      </w:pPr>
      <w:r>
        <w:rPr>
          <w:rFonts w:hint="eastAsia" w:ascii="宋体" w:hAnsi="宋体" w:eastAsia="宋体" w:cs="宋体"/>
          <w:color w:val="auto"/>
          <w:kern w:val="0"/>
        </w:rPr>
        <w:t>（</w:t>
      </w:r>
      <w:r>
        <w:rPr>
          <w:rFonts w:ascii="宋体" w:hAnsi="宋体" w:eastAsia="宋体" w:cs="宋体"/>
          <w:color w:val="auto"/>
          <w:kern w:val="0"/>
        </w:rPr>
        <w:t>2</w:t>
      </w:r>
      <w:r>
        <w:rPr>
          <w:rFonts w:hint="eastAsia" w:ascii="宋体" w:hAnsi="宋体" w:eastAsia="宋体" w:cs="宋体"/>
          <w:color w:val="auto"/>
          <w:kern w:val="0"/>
        </w:rPr>
        <w:t>）居家养老服务中心（站）运营管理：以实际拨付为准。</w:t>
      </w:r>
    </w:p>
    <w:p>
      <w:pPr>
        <w:autoSpaceDE w:val="0"/>
        <w:autoSpaceDN w:val="0"/>
        <w:adjustRightInd w:val="0"/>
        <w:spacing w:line="420" w:lineRule="exact"/>
        <w:ind w:firstLine="426"/>
        <w:rPr>
          <w:rFonts w:ascii="宋体" w:hAnsi="宋体" w:eastAsia="宋体" w:cs="宋体"/>
          <w:color w:val="auto"/>
          <w:kern w:val="0"/>
        </w:rPr>
      </w:pPr>
      <w:r>
        <w:rPr>
          <w:rFonts w:hint="eastAsia" w:ascii="宋体" w:hAnsi="宋体" w:eastAsia="宋体" w:cs="宋体"/>
          <w:color w:val="auto"/>
          <w:kern w:val="0"/>
        </w:rPr>
        <w:t>（</w:t>
      </w:r>
      <w:r>
        <w:rPr>
          <w:rFonts w:ascii="宋体" w:hAnsi="宋体" w:eastAsia="宋体" w:cs="宋体"/>
          <w:color w:val="auto"/>
          <w:kern w:val="0"/>
        </w:rPr>
        <w:t>3</w:t>
      </w:r>
      <w:r>
        <w:rPr>
          <w:rFonts w:hint="eastAsia" w:ascii="宋体" w:hAnsi="宋体" w:eastAsia="宋体" w:cs="宋体"/>
          <w:color w:val="auto"/>
          <w:kern w:val="0"/>
        </w:rPr>
        <w:t>）政府购买居家养老服务：以老人实际消费为准。</w:t>
      </w:r>
    </w:p>
    <w:p>
      <w:pPr>
        <w:snapToGrid w:val="0"/>
        <w:spacing w:line="420" w:lineRule="exact"/>
        <w:ind w:firstLine="480" w:firstLineChars="200"/>
        <w:rPr>
          <w:rFonts w:hint="eastAsia" w:ascii="宋体" w:hAnsi="宋体" w:eastAsia="宋体" w:cs="宋体"/>
          <w:color w:val="auto"/>
          <w:kern w:val="0"/>
          <w:highlight w:val="none"/>
        </w:rPr>
      </w:pPr>
      <w:r>
        <w:rPr>
          <w:rFonts w:hint="eastAsia" w:ascii="宋体" w:hAnsi="宋体" w:eastAsia="宋体" w:cs="宋体"/>
          <w:color w:val="auto"/>
          <w:kern w:val="0"/>
        </w:rPr>
        <w:t>（</w:t>
      </w:r>
      <w:r>
        <w:rPr>
          <w:rFonts w:ascii="宋体" w:hAnsi="宋体" w:eastAsia="宋体" w:cs="宋体"/>
          <w:color w:val="auto"/>
          <w:kern w:val="0"/>
        </w:rPr>
        <w:t>4</w:t>
      </w:r>
      <w:r>
        <w:rPr>
          <w:rFonts w:hint="eastAsia" w:ascii="宋体" w:hAnsi="宋体" w:eastAsia="宋体" w:cs="宋体"/>
          <w:color w:val="auto"/>
          <w:kern w:val="0"/>
        </w:rPr>
        <w:t>）残疾人之家运营管理：</w:t>
      </w:r>
      <w:r>
        <w:rPr>
          <w:rFonts w:hint="eastAsia" w:ascii="宋体" w:hAnsi="宋体" w:eastAsia="宋体" w:cs="宋体"/>
          <w:color w:val="auto"/>
          <w:kern w:val="0"/>
          <w:highlight w:val="none"/>
        </w:rPr>
        <w:t>运营管理费按当年度最低工资标准</w:t>
      </w:r>
      <w:r>
        <w:rPr>
          <w:rFonts w:ascii="宋体" w:hAnsi="宋体" w:eastAsia="宋体" w:cs="宋体"/>
          <w:color w:val="auto"/>
          <w:kern w:val="0"/>
          <w:highlight w:val="none"/>
        </w:rPr>
        <w:t>*12</w:t>
      </w:r>
      <w:r>
        <w:rPr>
          <w:rFonts w:hint="eastAsia" w:ascii="宋体" w:hAnsi="宋体" w:eastAsia="宋体" w:cs="宋体"/>
          <w:color w:val="auto"/>
          <w:kern w:val="0"/>
          <w:highlight w:val="none"/>
        </w:rPr>
        <w:t>个月结算，残疾人之家午餐费用以月为单位，按照采购人规定的午餐费用标准，提供票据和相关材料，按实际用餐费用结算。</w:t>
      </w:r>
    </w:p>
    <w:p>
      <w:pPr>
        <w:snapToGrid w:val="0"/>
        <w:spacing w:line="420" w:lineRule="exact"/>
        <w:ind w:firstLine="494" w:firstLineChars="206"/>
        <w:rPr>
          <w:rFonts w:ascii="宋体" w:hAnsi="宋体" w:eastAsia="宋体" w:cs="宋体"/>
          <w:color w:val="auto"/>
        </w:rPr>
      </w:pPr>
      <w:r>
        <w:rPr>
          <w:rFonts w:ascii="宋体" w:hAnsi="宋体" w:eastAsia="宋体" w:cs="宋体"/>
          <w:color w:val="auto"/>
        </w:rPr>
        <w:t>4.</w:t>
      </w:r>
      <w:r>
        <w:rPr>
          <w:rFonts w:hint="eastAsia" w:ascii="宋体" w:hAnsi="宋体" w:eastAsia="宋体" w:cs="宋体"/>
          <w:color w:val="auto"/>
        </w:rPr>
        <w:t>成交供应商的固定服务价（含政策补贴）在合同实施期间</w:t>
      </w:r>
      <w:r>
        <w:rPr>
          <w:rFonts w:hint="eastAsia" w:ascii="宋体" w:hAnsi="宋体" w:eastAsia="宋体" w:cs="宋体"/>
          <w:color w:val="auto"/>
          <w:lang w:val="en-US" w:eastAsia="zh-CN"/>
        </w:rPr>
        <w:t>固定不变，除</w:t>
      </w:r>
      <w:r>
        <w:rPr>
          <w:rFonts w:hint="eastAsia" w:ascii="宋体" w:hAnsi="宋体" w:eastAsia="宋体" w:cs="宋体"/>
          <w:color w:val="auto"/>
        </w:rPr>
        <w:t>因政策性变动因素而变化。</w:t>
      </w:r>
    </w:p>
    <w:p>
      <w:pPr>
        <w:snapToGrid w:val="0"/>
        <w:spacing w:line="420" w:lineRule="exact"/>
        <w:ind w:firstLine="494" w:firstLineChars="206"/>
        <w:rPr>
          <w:rFonts w:ascii="宋体" w:hAnsi="宋体" w:eastAsia="宋体" w:cs="宋体"/>
          <w:color w:val="auto"/>
          <w:kern w:val="0"/>
        </w:rPr>
      </w:pPr>
      <w:r>
        <w:rPr>
          <w:rFonts w:ascii="宋体" w:hAnsi="宋体" w:eastAsia="宋体" w:cs="宋体"/>
          <w:color w:val="auto"/>
          <w:kern w:val="0"/>
        </w:rPr>
        <w:t>5.</w:t>
      </w:r>
      <w:bookmarkStart w:id="18" w:name="_Hlk73351583"/>
      <w:r>
        <w:rPr>
          <w:rFonts w:hint="eastAsia" w:ascii="宋体" w:hAnsi="宋体" w:eastAsia="宋体" w:cs="宋体"/>
          <w:color w:val="auto"/>
          <w:kern w:val="0"/>
        </w:rPr>
        <w:t>本项目“综合性养老服务中心建设及运营管理”服务履约期内的水、电、暖等一切经营性费用，以及标的物使用期间涉及到（可能）的物业管理、场地装修、设备维修、维护、保养、天然气入户改造等费用；该类费用均由本项目承办服务商自行承担。</w:t>
      </w:r>
    </w:p>
    <w:bookmarkEnd w:id="18"/>
    <w:p>
      <w:pPr>
        <w:snapToGrid w:val="0"/>
        <w:spacing w:line="420" w:lineRule="exact"/>
        <w:ind w:firstLine="482" w:firstLineChars="200"/>
        <w:outlineLvl w:val="1"/>
        <w:rPr>
          <w:rFonts w:ascii="宋体" w:hAnsi="宋体" w:eastAsia="宋体" w:cs="宋体"/>
          <w:b/>
          <w:bCs/>
        </w:rPr>
      </w:pPr>
      <w:r>
        <w:rPr>
          <w:rFonts w:hint="eastAsia" w:ascii="宋体" w:hAnsi="宋体" w:eastAsia="宋体" w:cs="宋体"/>
          <w:b/>
          <w:bCs/>
        </w:rPr>
        <w:t>八、联合体</w:t>
      </w:r>
    </w:p>
    <w:p>
      <w:pPr>
        <w:snapToGrid w:val="0"/>
        <w:spacing w:line="420" w:lineRule="exact"/>
        <w:ind w:firstLine="484" w:firstLineChars="202"/>
        <w:rPr>
          <w:rFonts w:ascii="宋体" w:hAnsi="宋体" w:eastAsia="宋体" w:cs="宋体"/>
        </w:rPr>
      </w:pPr>
      <w:r>
        <w:rPr>
          <w:rFonts w:hint="eastAsia" w:ascii="宋体" w:hAnsi="宋体" w:eastAsia="宋体" w:cs="宋体"/>
        </w:rPr>
        <w:t>本项目不接受多个供应商组成联合体参与磋商响应。</w:t>
      </w:r>
    </w:p>
    <w:p>
      <w:pPr>
        <w:snapToGrid w:val="0"/>
        <w:spacing w:line="420" w:lineRule="exact"/>
        <w:ind w:firstLine="496" w:firstLineChars="206"/>
        <w:outlineLvl w:val="1"/>
        <w:rPr>
          <w:rFonts w:ascii="宋体" w:hAnsi="宋体" w:eastAsia="宋体" w:cs="宋体"/>
        </w:rPr>
      </w:pPr>
      <w:r>
        <w:rPr>
          <w:rFonts w:hint="eastAsia" w:ascii="宋体" w:hAnsi="宋体" w:eastAsia="宋体" w:cs="宋体"/>
          <w:b/>
          <w:bCs/>
        </w:rPr>
        <w:t>九、磋商响应文件的有效期</w:t>
      </w:r>
    </w:p>
    <w:p>
      <w:pPr>
        <w:spacing w:line="420" w:lineRule="exact"/>
        <w:ind w:firstLine="480" w:firstLineChars="200"/>
        <w:rPr>
          <w:rFonts w:ascii="宋体" w:hAnsi="宋体" w:eastAsia="宋体" w:cs="宋体"/>
        </w:rPr>
      </w:pPr>
      <w:r>
        <w:rPr>
          <w:rFonts w:ascii="宋体" w:hAnsi="宋体" w:eastAsia="宋体" w:cs="宋体"/>
        </w:rPr>
        <w:t>1.</w:t>
      </w:r>
      <w:r>
        <w:rPr>
          <w:rFonts w:hint="eastAsia" w:ascii="宋体" w:hAnsi="宋体" w:eastAsia="宋体" w:cs="宋体"/>
        </w:rPr>
        <w:t>从磋商响应文件接收截止之日算起，</w:t>
      </w:r>
      <w:r>
        <w:rPr>
          <w:rFonts w:ascii="宋体" w:hAnsi="宋体" w:eastAsia="宋体" w:cs="宋体"/>
          <w:b/>
          <w:bCs/>
        </w:rPr>
        <w:t>45</w:t>
      </w:r>
      <w:r>
        <w:rPr>
          <w:rFonts w:hint="eastAsia" w:ascii="宋体" w:hAnsi="宋体" w:eastAsia="宋体" w:cs="宋体"/>
        </w:rPr>
        <w:t>个“日历天”内磋商响应书应保持有效。有效期短于这个规定期限的磋商响应，将被拒绝。</w:t>
      </w:r>
    </w:p>
    <w:p>
      <w:pPr>
        <w:spacing w:line="420" w:lineRule="exact"/>
        <w:ind w:firstLine="480" w:firstLineChars="200"/>
        <w:rPr>
          <w:rFonts w:ascii="宋体" w:hAnsi="宋体" w:eastAsia="宋体" w:cs="宋体"/>
        </w:rPr>
      </w:pPr>
      <w:r>
        <w:rPr>
          <w:rFonts w:ascii="宋体" w:hAnsi="宋体" w:eastAsia="宋体" w:cs="宋体"/>
        </w:rPr>
        <w:t>2.</w:t>
      </w:r>
      <w:r>
        <w:rPr>
          <w:rFonts w:hint="eastAsia" w:ascii="宋体" w:hAnsi="宋体" w:eastAsia="宋体" w:cs="宋体"/>
        </w:rPr>
        <w:t>在特殊情况下，采购代理机构可与磋商响应供应商协商延长磋商响应书的有效期。这种要求和答复都应以书面、传真的形式进行。同意延长有效期的磋商响应供应商不能修改磋商响应文件。拒绝接受延期要求的磋商响应供应商的磋商响应将被拒绝。</w:t>
      </w:r>
    </w:p>
    <w:p>
      <w:pPr>
        <w:snapToGrid w:val="0"/>
        <w:spacing w:line="420" w:lineRule="exact"/>
        <w:ind w:firstLine="496" w:firstLineChars="206"/>
        <w:outlineLvl w:val="1"/>
        <w:rPr>
          <w:rFonts w:ascii="宋体" w:hAnsi="宋体" w:eastAsia="宋体" w:cs="宋体"/>
          <w:b/>
          <w:bCs/>
        </w:rPr>
      </w:pPr>
      <w:r>
        <w:rPr>
          <w:rFonts w:hint="eastAsia" w:ascii="宋体" w:hAnsi="宋体" w:eastAsia="宋体" w:cs="宋体"/>
          <w:b/>
          <w:bCs/>
        </w:rPr>
        <w:t>十、磋商费用</w:t>
      </w:r>
    </w:p>
    <w:p>
      <w:pPr>
        <w:snapToGrid w:val="0"/>
        <w:spacing w:line="420" w:lineRule="exact"/>
        <w:ind w:firstLine="494" w:firstLineChars="206"/>
        <w:rPr>
          <w:rFonts w:ascii="宋体" w:hAnsi="宋体" w:eastAsia="宋体" w:cs="宋体"/>
        </w:rPr>
      </w:pPr>
      <w:r>
        <w:rPr>
          <w:rFonts w:ascii="宋体" w:hAnsi="宋体" w:eastAsia="宋体" w:cs="宋体"/>
        </w:rPr>
        <w:t>1.</w:t>
      </w:r>
      <w:r>
        <w:rPr>
          <w:rFonts w:hint="eastAsia" w:ascii="宋体" w:hAnsi="宋体" w:eastAsia="宋体" w:cs="宋体"/>
        </w:rPr>
        <w:t>无论磋商过程和结果如何，供应商自行承担与本项目磋商有关的全部费用。</w:t>
      </w:r>
    </w:p>
    <w:p>
      <w:pPr>
        <w:snapToGrid w:val="0"/>
        <w:spacing w:line="420" w:lineRule="exact"/>
        <w:ind w:firstLine="494" w:firstLineChars="206"/>
        <w:rPr>
          <w:rFonts w:ascii="宋体" w:hAnsi="宋体" w:eastAsia="宋体" w:cs="宋体"/>
        </w:rPr>
      </w:pPr>
      <w:r>
        <w:rPr>
          <w:rFonts w:ascii="宋体" w:hAnsi="宋体" w:eastAsia="宋体" w:cs="宋体"/>
        </w:rPr>
        <w:t>2.</w:t>
      </w:r>
      <w:r>
        <w:rPr>
          <w:rFonts w:hint="eastAsia" w:ascii="宋体" w:hAnsi="宋体" w:eastAsia="宋体" w:cs="宋体"/>
          <w:b/>
          <w:bCs/>
        </w:rPr>
        <w:t>竞争性磋商文件的费用为</w:t>
      </w:r>
      <w:r>
        <w:rPr>
          <w:rFonts w:ascii="宋体" w:hAnsi="宋体" w:eastAsia="宋体" w:cs="宋体"/>
          <w:b/>
          <w:bCs/>
        </w:rPr>
        <w:t>300</w:t>
      </w:r>
      <w:r>
        <w:rPr>
          <w:rFonts w:hint="eastAsia" w:ascii="宋体" w:hAnsi="宋体" w:eastAsia="宋体" w:cs="宋体"/>
          <w:b/>
          <w:bCs/>
        </w:rPr>
        <w:t>元</w:t>
      </w:r>
      <w:r>
        <w:rPr>
          <w:rFonts w:ascii="宋体" w:hAnsi="宋体" w:eastAsia="宋体" w:cs="宋体"/>
          <w:b/>
          <w:bCs/>
        </w:rPr>
        <w:t>/</w:t>
      </w:r>
      <w:r>
        <w:rPr>
          <w:rFonts w:hint="eastAsia" w:ascii="宋体" w:hAnsi="宋体" w:eastAsia="宋体" w:cs="宋体"/>
          <w:b/>
          <w:bCs/>
        </w:rPr>
        <w:t>份，</w:t>
      </w:r>
      <w:r>
        <w:rPr>
          <w:rFonts w:hint="eastAsia" w:ascii="宋体" w:hAnsi="宋体" w:eastAsia="宋体" w:cs="宋体"/>
        </w:rPr>
        <w:t>在递交竞争性磋商响应文件时缴纳，售后不退。</w:t>
      </w:r>
    </w:p>
    <w:p>
      <w:pPr>
        <w:snapToGrid w:val="0"/>
        <w:spacing w:line="420" w:lineRule="exact"/>
        <w:ind w:firstLine="496" w:firstLineChars="206"/>
        <w:outlineLvl w:val="1"/>
        <w:rPr>
          <w:rFonts w:ascii="宋体" w:hAnsi="宋体" w:eastAsia="宋体" w:cs="宋体"/>
          <w:b/>
          <w:bCs/>
          <w:color w:val="auto"/>
        </w:rPr>
      </w:pPr>
      <w:r>
        <w:rPr>
          <w:rFonts w:hint="eastAsia" w:ascii="宋体" w:hAnsi="宋体" w:eastAsia="宋体" w:cs="宋体"/>
          <w:b/>
          <w:bCs/>
          <w:color w:val="auto"/>
        </w:rPr>
        <w:t>十一、履约保证金</w:t>
      </w:r>
    </w:p>
    <w:p>
      <w:pPr>
        <w:spacing w:line="420" w:lineRule="exact"/>
        <w:ind w:firstLine="482" w:firstLineChars="200"/>
        <w:rPr>
          <w:rFonts w:ascii="宋体" w:hAnsi="宋体" w:eastAsia="宋体" w:cs="宋体"/>
          <w:b/>
          <w:bCs/>
          <w:color w:val="auto"/>
          <w:lang w:val="zh-CN"/>
        </w:rPr>
      </w:pPr>
      <w:r>
        <w:rPr>
          <w:rFonts w:ascii="宋体" w:hAnsi="宋体" w:eastAsia="宋体" w:cs="宋体"/>
          <w:b/>
          <w:bCs/>
          <w:color w:val="auto"/>
          <w:lang w:val="zh-CN"/>
        </w:rPr>
        <w:t>1.</w:t>
      </w:r>
      <w:r>
        <w:rPr>
          <w:rFonts w:hint="eastAsia" w:ascii="宋体" w:hAnsi="宋体" w:eastAsia="宋体" w:cs="宋体"/>
          <w:b/>
          <w:bCs/>
          <w:color w:val="auto"/>
          <w:lang w:val="zh-CN"/>
        </w:rPr>
        <w:t>本项目成交后的履约</w:t>
      </w:r>
      <w:r>
        <w:rPr>
          <w:rFonts w:hint="eastAsia" w:ascii="宋体" w:hAnsi="宋体" w:eastAsia="宋体" w:cs="宋体"/>
          <w:b/>
          <w:bCs/>
          <w:color w:val="auto"/>
        </w:rPr>
        <w:t>保证金</w:t>
      </w:r>
      <w:r>
        <w:rPr>
          <w:rFonts w:hint="eastAsia" w:ascii="宋体" w:hAnsi="宋体" w:eastAsia="宋体" w:cs="宋体"/>
          <w:b/>
          <w:bCs/>
          <w:color w:val="auto"/>
          <w:lang w:val="zh-CN"/>
        </w:rPr>
        <w:t>为人民币</w:t>
      </w:r>
      <w:r>
        <w:rPr>
          <w:rFonts w:ascii="宋体" w:hAnsi="宋体" w:eastAsia="宋体" w:cs="宋体"/>
          <w:b/>
          <w:bCs/>
          <w:color w:val="auto"/>
          <w:u w:val="single"/>
          <w:lang w:val="zh-CN"/>
        </w:rPr>
        <w:t xml:space="preserve"> </w:t>
      </w:r>
      <w:r>
        <w:rPr>
          <w:rFonts w:hint="eastAsia" w:ascii="宋体" w:hAnsi="宋体" w:eastAsia="宋体" w:cs="宋体"/>
          <w:b/>
          <w:bCs/>
          <w:color w:val="auto"/>
          <w:u w:val="single"/>
        </w:rPr>
        <w:t>壹拾</w:t>
      </w:r>
      <w:r>
        <w:rPr>
          <w:rFonts w:hint="eastAsia" w:ascii="宋体" w:hAnsi="宋体" w:eastAsia="宋体" w:cs="宋体"/>
          <w:b/>
          <w:bCs/>
          <w:color w:val="auto"/>
          <w:u w:val="single"/>
          <w:lang w:val="zh-CN"/>
        </w:rPr>
        <w:t>万</w:t>
      </w:r>
      <w:r>
        <w:rPr>
          <w:rFonts w:hint="eastAsia" w:ascii="宋体" w:hAnsi="宋体" w:eastAsia="宋体" w:cs="宋体"/>
          <w:b/>
          <w:bCs/>
          <w:color w:val="auto"/>
          <w:u w:val="single"/>
        </w:rPr>
        <w:t>伍</w:t>
      </w:r>
      <w:r>
        <w:rPr>
          <w:rFonts w:hint="eastAsia" w:ascii="宋体" w:hAnsi="宋体" w:eastAsia="宋体" w:cs="宋体"/>
          <w:b/>
          <w:bCs/>
          <w:color w:val="auto"/>
          <w:u w:val="single"/>
          <w:lang w:val="zh-CN"/>
        </w:rPr>
        <w:t>圆整</w:t>
      </w:r>
      <w:r>
        <w:rPr>
          <w:rFonts w:ascii="宋体" w:hAnsi="宋体" w:eastAsia="宋体" w:cs="宋体"/>
          <w:b/>
          <w:bCs/>
          <w:color w:val="auto"/>
          <w:u w:val="single"/>
          <w:lang w:val="zh-CN"/>
        </w:rPr>
        <w:t xml:space="preserve"> </w:t>
      </w:r>
      <w:r>
        <w:rPr>
          <w:rFonts w:hint="eastAsia" w:ascii="宋体" w:hAnsi="宋体" w:eastAsia="宋体" w:cs="宋体"/>
          <w:b/>
          <w:bCs/>
          <w:color w:val="auto"/>
          <w:lang w:val="zh-CN"/>
        </w:rPr>
        <w:t>，</w:t>
      </w:r>
      <w:r>
        <w:rPr>
          <w:rFonts w:hint="eastAsia" w:ascii="宋体" w:hAnsi="宋体" w:eastAsia="宋体" w:cs="宋体"/>
          <w:color w:val="auto"/>
          <w:kern w:val="0"/>
        </w:rPr>
        <w:t>其中综合性养老服务中心</w:t>
      </w:r>
      <w:r>
        <w:rPr>
          <w:rFonts w:hint="eastAsia" w:ascii="宋体" w:hAnsi="宋体" w:eastAsia="宋体" w:cs="宋体"/>
          <w:color w:val="auto"/>
          <w:kern w:val="0"/>
          <w:lang w:val="en-US" w:eastAsia="zh-CN"/>
        </w:rPr>
        <w:t>装璜安全履约保证金</w:t>
      </w:r>
      <w:r>
        <w:rPr>
          <w:rFonts w:hint="eastAsia" w:ascii="宋体" w:hAnsi="宋体" w:eastAsia="宋体" w:cs="宋体"/>
          <w:color w:val="auto"/>
          <w:kern w:val="0"/>
        </w:rPr>
        <w:t>为伍万圆整；综合性养老服务中心运营管理</w:t>
      </w:r>
      <w:r>
        <w:rPr>
          <w:rFonts w:hint="eastAsia" w:ascii="宋体" w:hAnsi="宋体" w:eastAsia="宋体" w:cs="宋体"/>
          <w:color w:val="auto"/>
          <w:kern w:val="0"/>
          <w:lang w:val="en-US" w:eastAsia="zh-CN"/>
        </w:rPr>
        <w:t>履约保证金</w:t>
      </w:r>
      <w:r>
        <w:rPr>
          <w:rFonts w:hint="eastAsia" w:ascii="宋体" w:hAnsi="宋体" w:eastAsia="宋体" w:cs="宋体"/>
          <w:color w:val="auto"/>
          <w:kern w:val="0"/>
        </w:rPr>
        <w:t>为伍万圆整；居家养老服务中心（站）运营管理及政府购买居家养老服务</w:t>
      </w:r>
      <w:r>
        <w:rPr>
          <w:rFonts w:hint="eastAsia" w:ascii="宋体" w:hAnsi="宋体" w:eastAsia="宋体" w:cs="宋体"/>
          <w:color w:val="auto"/>
          <w:kern w:val="0"/>
          <w:lang w:val="en-US" w:eastAsia="zh-CN"/>
        </w:rPr>
        <w:t>履约保证金</w:t>
      </w:r>
      <w:r>
        <w:rPr>
          <w:rFonts w:hint="eastAsia" w:ascii="宋体" w:hAnsi="宋体" w:eastAsia="宋体" w:cs="宋体"/>
          <w:color w:val="auto"/>
          <w:kern w:val="0"/>
        </w:rPr>
        <w:t>为伍万圆整</w:t>
      </w:r>
      <w:r>
        <w:rPr>
          <w:rFonts w:hint="eastAsia" w:ascii="宋体" w:hAnsi="宋体" w:eastAsia="宋体" w:cs="宋体"/>
          <w:b/>
          <w:bCs/>
          <w:color w:val="auto"/>
          <w:lang w:val="zh-CN"/>
        </w:rPr>
        <w:t>。</w:t>
      </w:r>
    </w:p>
    <w:p>
      <w:pPr>
        <w:snapToGrid w:val="0"/>
        <w:spacing w:line="420" w:lineRule="exact"/>
        <w:ind w:firstLine="480" w:firstLineChars="200"/>
        <w:rPr>
          <w:rFonts w:ascii="宋体" w:hAnsi="宋体" w:eastAsia="宋体" w:cs="宋体"/>
          <w:color w:val="auto"/>
          <w:lang w:val="zh-CN"/>
        </w:rPr>
      </w:pPr>
      <w:r>
        <w:rPr>
          <w:rFonts w:ascii="宋体" w:hAnsi="宋体" w:eastAsia="宋体" w:cs="宋体"/>
          <w:color w:val="auto"/>
          <w:lang w:val="zh-CN"/>
        </w:rPr>
        <w:t>2.</w:t>
      </w:r>
      <w:r>
        <w:rPr>
          <w:rFonts w:hint="eastAsia" w:ascii="宋体" w:hAnsi="宋体" w:eastAsia="宋体" w:cs="宋体"/>
          <w:color w:val="auto"/>
          <w:lang w:val="zh-CN"/>
        </w:rPr>
        <w:t>在成交通知书发出送达后的</w:t>
      </w:r>
      <w:r>
        <w:rPr>
          <w:rFonts w:ascii="宋体" w:hAnsi="宋体" w:eastAsia="宋体" w:cs="宋体"/>
          <w:color w:val="auto"/>
          <w:lang w:val="zh-CN"/>
        </w:rPr>
        <w:t>15</w:t>
      </w:r>
      <w:r>
        <w:rPr>
          <w:rFonts w:hint="eastAsia" w:ascii="宋体" w:hAnsi="宋体" w:eastAsia="宋体" w:cs="宋体"/>
          <w:color w:val="auto"/>
          <w:lang w:val="zh-CN"/>
        </w:rPr>
        <w:t>日内，成交人凭成交通知书和已经汇至采购人账上的履约保证金凭证，与采购人签订合同，超期或未有协商，则视为自动放弃成交资格。</w:t>
      </w:r>
    </w:p>
    <w:p>
      <w:pPr>
        <w:snapToGrid w:val="0"/>
        <w:spacing w:line="420" w:lineRule="exact"/>
        <w:ind w:firstLine="480" w:firstLineChars="200"/>
        <w:rPr>
          <w:rFonts w:ascii="宋体" w:hAnsi="宋体" w:eastAsia="宋体" w:cs="宋体"/>
          <w:color w:val="auto"/>
          <w:lang w:val="zh-CN"/>
        </w:rPr>
      </w:pPr>
      <w:r>
        <w:rPr>
          <w:rFonts w:ascii="宋体" w:hAnsi="宋体" w:eastAsia="宋体" w:cs="宋体"/>
          <w:color w:val="auto"/>
          <w:lang w:val="zh-CN"/>
        </w:rPr>
        <w:t>3.</w:t>
      </w:r>
      <w:r>
        <w:rPr>
          <w:rFonts w:hint="eastAsia" w:ascii="宋体" w:hAnsi="宋体" w:eastAsia="宋体" w:cs="宋体"/>
          <w:color w:val="auto"/>
          <w:kern w:val="0"/>
        </w:rPr>
        <w:t>综合性养老服务中心</w:t>
      </w:r>
      <w:r>
        <w:rPr>
          <w:rFonts w:hint="eastAsia" w:ascii="宋体" w:hAnsi="宋体" w:eastAsia="宋体" w:cs="宋体"/>
          <w:color w:val="auto"/>
          <w:kern w:val="0"/>
          <w:lang w:val="en-US" w:eastAsia="zh-CN"/>
        </w:rPr>
        <w:t>装璜安全</w:t>
      </w:r>
      <w:r>
        <w:rPr>
          <w:rFonts w:hint="eastAsia" w:ascii="宋体" w:hAnsi="宋体" w:eastAsia="宋体" w:cs="宋体"/>
          <w:color w:val="auto"/>
          <w:kern w:val="0"/>
        </w:rPr>
        <w:t>履约保证金：在成交人按要求保质保量的履行完成本合同约定的建设装饰装修义务，经专项验收合格后的</w:t>
      </w:r>
      <w:r>
        <w:rPr>
          <w:rFonts w:ascii="宋体" w:hAnsi="宋体" w:eastAsia="宋体" w:cs="宋体"/>
          <w:color w:val="auto"/>
          <w:kern w:val="0"/>
        </w:rPr>
        <w:t>15</w:t>
      </w:r>
      <w:r>
        <w:rPr>
          <w:rFonts w:hint="eastAsia" w:ascii="宋体" w:hAnsi="宋体" w:eastAsia="宋体" w:cs="宋体"/>
          <w:color w:val="auto"/>
          <w:kern w:val="0"/>
        </w:rPr>
        <w:t>日内，采购人一次性无息退还“</w:t>
      </w:r>
      <w:r>
        <w:rPr>
          <w:rFonts w:hint="eastAsia" w:ascii="宋体" w:hAnsi="宋体" w:eastAsia="宋体" w:cs="宋体"/>
          <w:color w:val="auto"/>
          <w:kern w:val="0"/>
          <w:lang w:val="en-US" w:eastAsia="zh-CN"/>
        </w:rPr>
        <w:t>装璜安全</w:t>
      </w:r>
      <w:r>
        <w:rPr>
          <w:rFonts w:hint="eastAsia" w:ascii="宋体" w:hAnsi="宋体" w:eastAsia="宋体" w:cs="宋体"/>
          <w:color w:val="auto"/>
          <w:kern w:val="0"/>
        </w:rPr>
        <w:t>履约保证金”。综合性养老服务中心运营管理、居家养老服务中心（站）运营管理及政府购买居家养老服务履约保证金：</w:t>
      </w:r>
      <w:r>
        <w:rPr>
          <w:rFonts w:hint="eastAsia" w:ascii="宋体" w:hAnsi="宋体" w:eastAsia="宋体" w:cs="宋体"/>
          <w:color w:val="auto"/>
          <w:kern w:val="0"/>
          <w:lang w:val="zh-CN"/>
        </w:rPr>
        <w:t>成交人</w:t>
      </w:r>
      <w:bookmarkStart w:id="19" w:name="_Hlk54262352"/>
      <w:r>
        <w:rPr>
          <w:rFonts w:hint="eastAsia" w:ascii="宋体" w:hAnsi="宋体" w:eastAsia="宋体" w:cs="宋体"/>
          <w:color w:val="auto"/>
          <w:kern w:val="0"/>
          <w:lang w:val="zh-CN"/>
        </w:rPr>
        <w:t>在按要求保质保量的履行完成该项目后，</w:t>
      </w:r>
      <w:r>
        <w:rPr>
          <w:rFonts w:hint="eastAsia" w:ascii="宋体" w:hAnsi="宋体" w:eastAsia="宋体" w:cs="宋体"/>
          <w:color w:val="auto"/>
          <w:kern w:val="0"/>
        </w:rPr>
        <w:t>采购人</w:t>
      </w:r>
      <w:r>
        <w:rPr>
          <w:rFonts w:hint="eastAsia" w:ascii="宋体" w:hAnsi="宋体" w:eastAsia="宋体" w:cs="宋体"/>
          <w:color w:val="auto"/>
          <w:kern w:val="0"/>
          <w:lang w:val="zh-CN"/>
        </w:rPr>
        <w:t>一次性无息退还履约保证金</w:t>
      </w:r>
      <w:bookmarkEnd w:id="19"/>
      <w:r>
        <w:rPr>
          <w:rFonts w:hint="eastAsia" w:ascii="宋体" w:hAnsi="宋体" w:eastAsia="宋体" w:cs="宋体"/>
          <w:color w:val="auto"/>
          <w:kern w:val="0"/>
          <w:lang w:val="zh-CN"/>
        </w:rPr>
        <w:t>。</w:t>
      </w:r>
    </w:p>
    <w:p>
      <w:pPr>
        <w:snapToGrid w:val="0"/>
        <w:spacing w:line="420" w:lineRule="exact"/>
        <w:ind w:firstLine="480" w:firstLineChars="200"/>
        <w:rPr>
          <w:rFonts w:ascii="宋体" w:hAnsi="宋体" w:eastAsia="宋体" w:cs="宋体"/>
          <w:lang w:val="zh-CN"/>
        </w:rPr>
      </w:pPr>
      <w:r>
        <w:rPr>
          <w:rFonts w:ascii="宋体" w:hAnsi="宋体" w:eastAsia="宋体" w:cs="宋体"/>
          <w:color w:val="auto"/>
          <w:lang w:val="zh-CN"/>
        </w:rPr>
        <w:t>4.</w:t>
      </w:r>
      <w:r>
        <w:rPr>
          <w:rFonts w:hint="eastAsia" w:ascii="宋体" w:hAnsi="宋体" w:eastAsia="宋体" w:cs="宋体"/>
          <w:color w:val="auto"/>
          <w:lang w:val="zh-CN"/>
        </w:rPr>
        <w:t>由于成交人的原因，</w:t>
      </w:r>
      <w:r>
        <w:rPr>
          <w:rFonts w:hint="eastAsia" w:ascii="宋体" w:hAnsi="宋体" w:eastAsia="宋体" w:cs="宋体"/>
          <w:lang w:val="zh-CN"/>
        </w:rPr>
        <w:t>在签订合同后出现不按合同履行或不适当履行的情况，采购人有权将履约保证金作为违约金，</w:t>
      </w:r>
      <w:r>
        <w:rPr>
          <w:rFonts w:hint="eastAsia" w:ascii="宋体" w:hAnsi="宋体" w:eastAsia="宋体" w:cs="宋体"/>
          <w:lang w:val="en-US" w:eastAsia="zh-CN"/>
        </w:rPr>
        <w:t>全</w:t>
      </w:r>
      <w:r>
        <w:rPr>
          <w:rFonts w:hint="eastAsia" w:ascii="宋体" w:hAnsi="宋体" w:eastAsia="宋体" w:cs="宋体"/>
          <w:lang w:val="zh-CN"/>
        </w:rPr>
        <w:t>额不予退还；同时采购人亦有权终止合同，成交人还须依法承担相应的责任。</w:t>
      </w:r>
    </w:p>
    <w:p>
      <w:pPr>
        <w:snapToGrid w:val="0"/>
        <w:spacing w:line="420" w:lineRule="exact"/>
        <w:ind w:firstLine="496" w:firstLineChars="206"/>
        <w:outlineLvl w:val="1"/>
        <w:rPr>
          <w:rFonts w:ascii="宋体" w:hAnsi="宋体" w:eastAsia="宋体" w:cs="宋体"/>
        </w:rPr>
      </w:pPr>
      <w:r>
        <w:rPr>
          <w:rFonts w:hint="eastAsia" w:ascii="宋体" w:hAnsi="宋体" w:eastAsia="宋体" w:cs="宋体"/>
          <w:b/>
          <w:bCs/>
        </w:rPr>
        <w:t>十二、服务量的调整及结算方式</w:t>
      </w:r>
    </w:p>
    <w:p>
      <w:pPr>
        <w:snapToGrid w:val="0"/>
        <w:spacing w:line="420" w:lineRule="exact"/>
        <w:ind w:firstLine="480" w:firstLineChars="200"/>
        <w:rPr>
          <w:rFonts w:ascii="宋体" w:hAnsi="宋体" w:eastAsia="宋体" w:cs="宋体"/>
        </w:rPr>
      </w:pPr>
      <w:r>
        <w:rPr>
          <w:rFonts w:hint="eastAsia" w:ascii="宋体" w:hAnsi="宋体" w:eastAsia="宋体" w:cs="宋体"/>
        </w:rPr>
        <w:t>如因采购人实际需求，服务量（人员）发生变化，成交人须无条件满足采购人需求，确保服务质量并及时提供服务。</w:t>
      </w:r>
    </w:p>
    <w:p>
      <w:pPr>
        <w:snapToGrid w:val="0"/>
        <w:spacing w:line="420" w:lineRule="exact"/>
        <w:ind w:firstLine="496" w:firstLineChars="206"/>
        <w:outlineLvl w:val="1"/>
        <w:rPr>
          <w:rFonts w:ascii="宋体" w:hAnsi="宋体" w:eastAsia="宋体" w:cs="宋体"/>
          <w:b/>
          <w:color w:val="auto"/>
          <w:highlight w:val="none"/>
        </w:rPr>
      </w:pPr>
      <w:r>
        <w:rPr>
          <w:rFonts w:hint="eastAsia" w:ascii="宋体" w:hAnsi="宋体" w:eastAsia="宋体" w:cs="宋体"/>
          <w:b/>
          <w:bCs/>
          <w:color w:val="auto"/>
          <w:highlight w:val="none"/>
        </w:rPr>
        <w:t>十三、结算方式</w:t>
      </w:r>
    </w:p>
    <w:p>
      <w:pPr>
        <w:snapToGrid w:val="0"/>
        <w:spacing w:line="420" w:lineRule="exact"/>
        <w:ind w:firstLine="494" w:firstLineChars="206"/>
        <w:rPr>
          <w:rFonts w:ascii="宋体" w:hAnsi="宋体" w:eastAsia="宋体" w:cs="宋体"/>
          <w:color w:val="auto"/>
          <w:highlight w:val="none"/>
        </w:rPr>
      </w:pPr>
      <w:r>
        <w:rPr>
          <w:rFonts w:ascii="宋体" w:hAnsi="宋体" w:eastAsia="宋体" w:cs="宋体"/>
          <w:color w:val="auto"/>
          <w:highlight w:val="none"/>
        </w:rPr>
        <w:t>1.</w:t>
      </w:r>
      <w:r>
        <w:rPr>
          <w:rFonts w:hint="eastAsia" w:ascii="宋体" w:hAnsi="宋体" w:eastAsia="宋体" w:cs="宋体"/>
          <w:color w:val="auto"/>
          <w:highlight w:val="none"/>
        </w:rPr>
        <w:t>合同签订生效：</w:t>
      </w:r>
    </w:p>
    <w:p>
      <w:pPr>
        <w:autoSpaceDE w:val="0"/>
        <w:autoSpaceDN w:val="0"/>
        <w:adjustRightInd w:val="0"/>
        <w:spacing w:line="420" w:lineRule="exact"/>
        <w:ind w:firstLine="426"/>
        <w:rPr>
          <w:rFonts w:ascii="宋体" w:hAnsi="宋体" w:eastAsia="宋体" w:cs="宋体"/>
          <w:color w:val="auto"/>
          <w:kern w:val="0"/>
          <w:highlight w:val="none"/>
        </w:rPr>
      </w:pPr>
      <w:r>
        <w:rPr>
          <w:rFonts w:hint="eastAsia" w:ascii="宋体" w:hAnsi="宋体" w:eastAsia="宋体" w:cs="宋体"/>
          <w:color w:val="auto"/>
          <w:kern w:val="0"/>
          <w:highlight w:val="none"/>
        </w:rPr>
        <w:t>（</w:t>
      </w:r>
      <w:r>
        <w:rPr>
          <w:rFonts w:ascii="宋体" w:hAnsi="宋体" w:eastAsia="宋体" w:cs="宋体"/>
          <w:color w:val="auto"/>
          <w:kern w:val="0"/>
          <w:highlight w:val="none"/>
        </w:rPr>
        <w:t>1</w:t>
      </w:r>
      <w:r>
        <w:rPr>
          <w:rFonts w:hint="eastAsia" w:ascii="宋体" w:hAnsi="宋体" w:eastAsia="宋体" w:cs="宋体"/>
          <w:color w:val="auto"/>
          <w:kern w:val="0"/>
          <w:highlight w:val="none"/>
        </w:rPr>
        <w:t>）综合性养老服务中心建设及运营管理：服务供应商自营自收。</w:t>
      </w:r>
    </w:p>
    <w:p>
      <w:pPr>
        <w:autoSpaceDE w:val="0"/>
        <w:autoSpaceDN w:val="0"/>
        <w:adjustRightInd w:val="0"/>
        <w:spacing w:line="420" w:lineRule="exact"/>
        <w:ind w:firstLine="426"/>
        <w:rPr>
          <w:rFonts w:ascii="宋体" w:hAnsi="宋体" w:eastAsia="宋体" w:cs="宋体"/>
          <w:color w:val="auto"/>
          <w:kern w:val="0"/>
          <w:highlight w:val="none"/>
        </w:rPr>
      </w:pPr>
      <w:r>
        <w:rPr>
          <w:rFonts w:hint="eastAsia" w:ascii="宋体" w:hAnsi="宋体" w:eastAsia="宋体" w:cs="宋体"/>
          <w:color w:val="auto"/>
          <w:kern w:val="0"/>
          <w:highlight w:val="none"/>
        </w:rPr>
        <w:t>（</w:t>
      </w:r>
      <w:r>
        <w:rPr>
          <w:rFonts w:ascii="宋体" w:hAnsi="宋体" w:eastAsia="宋体" w:cs="宋体"/>
          <w:color w:val="auto"/>
          <w:kern w:val="0"/>
          <w:highlight w:val="none"/>
        </w:rPr>
        <w:t>2</w:t>
      </w:r>
      <w:r>
        <w:rPr>
          <w:rFonts w:hint="eastAsia" w:ascii="宋体" w:hAnsi="宋体" w:eastAsia="宋体" w:cs="宋体"/>
          <w:color w:val="auto"/>
          <w:kern w:val="0"/>
          <w:highlight w:val="none"/>
        </w:rPr>
        <w:t>）居家养老服务中心（站）运营管理：</w:t>
      </w:r>
      <w:r>
        <w:rPr>
          <w:rFonts w:hint="eastAsia" w:ascii="宋体" w:hAnsi="宋体" w:eastAsia="宋体" w:cs="宋体"/>
          <w:color w:val="auto"/>
          <w:highlight w:val="none"/>
        </w:rPr>
        <w:t>结合考核评测结果标准和服务供应商提供的合</w:t>
      </w:r>
      <w:r>
        <w:rPr>
          <w:rFonts w:hint="eastAsia" w:ascii="宋体" w:hAnsi="宋体" w:eastAsia="宋体" w:cs="宋体"/>
          <w:color w:val="auto"/>
          <w:highlight w:val="none"/>
          <w:lang w:val="en-US" w:eastAsia="zh-CN"/>
        </w:rPr>
        <w:t>规</w:t>
      </w:r>
      <w:r>
        <w:rPr>
          <w:rFonts w:hint="eastAsia" w:ascii="宋体" w:hAnsi="宋体" w:eastAsia="宋体" w:cs="宋体"/>
          <w:color w:val="auto"/>
          <w:highlight w:val="none"/>
        </w:rPr>
        <w:t>发票，在财政拨款到位后，</w:t>
      </w:r>
      <w:r>
        <w:rPr>
          <w:rFonts w:hint="eastAsia" w:eastAsia="宋体"/>
          <w:color w:val="auto"/>
          <w:highlight w:val="none"/>
        </w:rPr>
        <w:t>以全年（12个月）为单位</w:t>
      </w:r>
      <w:r>
        <w:rPr>
          <w:rFonts w:hint="eastAsia" w:eastAsia="宋体"/>
          <w:color w:val="auto"/>
          <w:highlight w:val="none"/>
          <w:lang w:val="en-US" w:eastAsia="zh-CN"/>
        </w:rPr>
        <w:t>进行</w:t>
      </w:r>
      <w:r>
        <w:rPr>
          <w:rFonts w:hint="eastAsia" w:ascii="宋体" w:hAnsi="宋体" w:eastAsia="宋体" w:cs="宋体"/>
          <w:color w:val="auto"/>
          <w:highlight w:val="none"/>
        </w:rPr>
        <w:t>支付</w:t>
      </w:r>
      <w:r>
        <w:rPr>
          <w:rFonts w:hint="eastAsia" w:ascii="宋体" w:hAnsi="宋体" w:eastAsia="宋体" w:cs="宋体"/>
          <w:color w:val="auto"/>
          <w:kern w:val="0"/>
          <w:highlight w:val="none"/>
        </w:rPr>
        <w:t>。</w:t>
      </w:r>
    </w:p>
    <w:p>
      <w:pPr>
        <w:snapToGrid w:val="0"/>
        <w:spacing w:line="420" w:lineRule="exact"/>
        <w:ind w:firstLine="494" w:firstLineChars="206"/>
        <w:rPr>
          <w:rFonts w:ascii="宋体" w:hAnsi="宋体" w:eastAsia="宋体" w:cs="宋体"/>
          <w:color w:val="auto"/>
          <w:kern w:val="0"/>
          <w:highlight w:val="none"/>
        </w:rPr>
      </w:pPr>
      <w:r>
        <w:rPr>
          <w:rFonts w:hint="eastAsia" w:ascii="宋体" w:hAnsi="宋体" w:eastAsia="宋体" w:cs="宋体"/>
          <w:color w:val="auto"/>
          <w:kern w:val="0"/>
          <w:highlight w:val="none"/>
        </w:rPr>
        <w:t>（</w:t>
      </w:r>
      <w:r>
        <w:rPr>
          <w:rFonts w:ascii="宋体" w:hAnsi="宋体" w:eastAsia="宋体" w:cs="宋体"/>
          <w:color w:val="auto"/>
          <w:kern w:val="0"/>
          <w:highlight w:val="none"/>
        </w:rPr>
        <w:t>3</w:t>
      </w:r>
      <w:r>
        <w:rPr>
          <w:rFonts w:hint="eastAsia" w:ascii="宋体" w:hAnsi="宋体" w:eastAsia="宋体" w:cs="宋体"/>
          <w:color w:val="auto"/>
          <w:kern w:val="0"/>
          <w:highlight w:val="none"/>
        </w:rPr>
        <w:t>）政府购买居家养老服务：</w:t>
      </w:r>
      <w:r>
        <w:rPr>
          <w:rFonts w:hint="eastAsia" w:ascii="宋体" w:hAnsi="宋体" w:eastAsia="宋体" w:cs="宋体"/>
          <w:color w:val="auto"/>
          <w:highlight w:val="none"/>
        </w:rPr>
        <w:t>服务供应商须提供“政府购买”</w:t>
      </w:r>
      <w:r>
        <w:rPr>
          <w:rFonts w:hint="eastAsia" w:ascii="宋体" w:hAnsi="宋体" w:eastAsia="宋体" w:cs="宋体"/>
          <w:color w:val="auto"/>
          <w:highlight w:val="none"/>
          <w:lang w:eastAsia="zh-CN"/>
        </w:rPr>
        <w:t>实际</w:t>
      </w:r>
      <w:r>
        <w:rPr>
          <w:rFonts w:hint="eastAsia" w:ascii="宋体" w:hAnsi="宋体" w:eastAsia="宋体" w:cs="宋体"/>
          <w:color w:val="auto"/>
          <w:highlight w:val="none"/>
        </w:rPr>
        <w:t>服务清单（季度）及服务金额向采购人提出付款申请；采购人在收到付款申请并核对无误后，结合考核评测结果标准和服务供应商提供的</w:t>
      </w:r>
      <w:r>
        <w:rPr>
          <w:rFonts w:hint="eastAsia" w:ascii="宋体" w:hAnsi="宋体" w:eastAsia="宋体" w:cs="宋体"/>
          <w:color w:val="auto"/>
          <w:highlight w:val="none"/>
          <w:lang w:eastAsia="zh-CN"/>
        </w:rPr>
        <w:t>合规发票</w:t>
      </w:r>
      <w:r>
        <w:rPr>
          <w:rFonts w:hint="eastAsia" w:ascii="宋体" w:hAnsi="宋体" w:eastAsia="宋体" w:cs="宋体"/>
          <w:color w:val="auto"/>
          <w:highlight w:val="none"/>
        </w:rPr>
        <w:t>，按季度进行支付</w:t>
      </w:r>
      <w:r>
        <w:rPr>
          <w:rFonts w:hint="eastAsia" w:ascii="宋体" w:hAnsi="宋体" w:eastAsia="宋体" w:cs="宋体"/>
          <w:color w:val="auto"/>
          <w:kern w:val="0"/>
          <w:highlight w:val="none"/>
        </w:rPr>
        <w:t>。</w:t>
      </w:r>
    </w:p>
    <w:p>
      <w:pPr>
        <w:snapToGrid w:val="0"/>
        <w:spacing w:line="420" w:lineRule="exact"/>
        <w:ind w:firstLine="494" w:firstLineChars="206"/>
        <w:rPr>
          <w:rFonts w:ascii="宋体" w:hAnsi="宋体" w:eastAsia="宋体" w:cs="宋体"/>
          <w:color w:val="auto"/>
          <w:highlight w:val="none"/>
        </w:rPr>
      </w:pPr>
      <w:r>
        <w:rPr>
          <w:rFonts w:hint="eastAsia" w:ascii="宋体" w:hAnsi="宋体" w:eastAsia="宋体" w:cs="宋体"/>
          <w:color w:val="auto"/>
          <w:kern w:val="0"/>
          <w:highlight w:val="none"/>
        </w:rPr>
        <w:t>（</w:t>
      </w:r>
      <w:r>
        <w:rPr>
          <w:rFonts w:ascii="宋体" w:hAnsi="宋体" w:eastAsia="宋体" w:cs="宋体"/>
          <w:color w:val="auto"/>
          <w:kern w:val="0"/>
          <w:highlight w:val="none"/>
        </w:rPr>
        <w:t>4</w:t>
      </w:r>
      <w:r>
        <w:rPr>
          <w:rFonts w:hint="eastAsia" w:ascii="宋体" w:hAnsi="宋体" w:eastAsia="宋体" w:cs="宋体"/>
          <w:color w:val="auto"/>
          <w:kern w:val="0"/>
          <w:highlight w:val="none"/>
        </w:rPr>
        <w:t>）</w:t>
      </w:r>
      <w:r>
        <w:rPr>
          <w:rFonts w:hint="eastAsia" w:ascii="宋体" w:hAnsi="宋体" w:eastAsia="宋体" w:cs="宋体"/>
          <w:color w:val="auto"/>
          <w:highlight w:val="none"/>
        </w:rPr>
        <w:t>残疾人之家运营管理</w:t>
      </w:r>
      <w:r>
        <w:rPr>
          <w:rFonts w:hint="eastAsia" w:ascii="宋体" w:hAnsi="宋体" w:eastAsia="宋体" w:cs="宋体"/>
          <w:color w:val="auto"/>
          <w:kern w:val="0"/>
          <w:highlight w:val="none"/>
        </w:rPr>
        <w:t>：运营管理费按当年度最低工资标准</w:t>
      </w:r>
      <w:r>
        <w:rPr>
          <w:rFonts w:ascii="宋体" w:hAnsi="宋体" w:eastAsia="宋体" w:cs="宋体"/>
          <w:color w:val="auto"/>
          <w:kern w:val="0"/>
          <w:highlight w:val="none"/>
        </w:rPr>
        <w:t>*12</w:t>
      </w:r>
      <w:r>
        <w:rPr>
          <w:rFonts w:hint="eastAsia" w:ascii="宋体" w:hAnsi="宋体" w:eastAsia="宋体" w:cs="宋体"/>
          <w:color w:val="auto"/>
          <w:kern w:val="0"/>
          <w:highlight w:val="none"/>
        </w:rPr>
        <w:t>个月结算，</w:t>
      </w:r>
      <w:r>
        <w:rPr>
          <w:rFonts w:hint="eastAsia" w:ascii="宋体" w:hAnsi="宋体" w:eastAsia="宋体" w:cs="宋体"/>
          <w:color w:val="auto"/>
          <w:highlight w:val="none"/>
        </w:rPr>
        <w:t>结合考核评测结果标准和服务供应商提供的</w:t>
      </w:r>
      <w:r>
        <w:rPr>
          <w:rFonts w:hint="eastAsia" w:ascii="宋体" w:hAnsi="宋体" w:eastAsia="宋体" w:cs="宋体"/>
          <w:color w:val="auto"/>
          <w:highlight w:val="none"/>
          <w:lang w:eastAsia="zh-CN"/>
        </w:rPr>
        <w:t>合规发票</w:t>
      </w:r>
      <w:r>
        <w:rPr>
          <w:rFonts w:hint="eastAsia" w:ascii="宋体" w:hAnsi="宋体" w:eastAsia="宋体" w:cs="宋体"/>
          <w:color w:val="auto"/>
          <w:highlight w:val="none"/>
        </w:rPr>
        <w:t>，在财政拨款到位后，</w:t>
      </w:r>
      <w:r>
        <w:rPr>
          <w:rFonts w:hint="eastAsia" w:eastAsia="宋体"/>
          <w:color w:val="auto"/>
          <w:highlight w:val="none"/>
        </w:rPr>
        <w:t>以全年（12个月）为单位</w:t>
      </w:r>
      <w:r>
        <w:rPr>
          <w:rFonts w:hint="eastAsia" w:eastAsia="宋体"/>
          <w:color w:val="auto"/>
          <w:highlight w:val="none"/>
          <w:lang w:val="en-US" w:eastAsia="zh-CN"/>
        </w:rPr>
        <w:t>进行</w:t>
      </w:r>
      <w:r>
        <w:rPr>
          <w:rFonts w:hint="eastAsia" w:ascii="宋体" w:hAnsi="宋体" w:eastAsia="宋体" w:cs="宋体"/>
          <w:color w:val="auto"/>
          <w:highlight w:val="none"/>
        </w:rPr>
        <w:t>支付。残疾人之家午餐费用以月为单位，按照采购人规定的午餐费用标准，服务供应商提供</w:t>
      </w:r>
      <w:r>
        <w:rPr>
          <w:rFonts w:hint="eastAsia" w:ascii="宋体" w:hAnsi="宋体" w:eastAsia="宋体" w:cs="宋体"/>
          <w:color w:val="auto"/>
          <w:highlight w:val="none"/>
          <w:lang w:eastAsia="zh-CN"/>
        </w:rPr>
        <w:t>合规发票</w:t>
      </w:r>
      <w:r>
        <w:rPr>
          <w:rFonts w:hint="eastAsia" w:ascii="宋体" w:hAnsi="宋体" w:eastAsia="宋体" w:cs="宋体"/>
          <w:color w:val="auto"/>
          <w:highlight w:val="none"/>
        </w:rPr>
        <w:t>和相关材料，按实际用餐费用</w:t>
      </w:r>
      <w:r>
        <w:rPr>
          <w:rFonts w:hint="eastAsia" w:ascii="宋体" w:hAnsi="宋体" w:eastAsia="宋体" w:cs="宋体"/>
          <w:color w:val="auto"/>
          <w:highlight w:val="none"/>
          <w:lang w:eastAsia="zh-CN"/>
        </w:rPr>
        <w:t>清单</w:t>
      </w:r>
      <w:r>
        <w:rPr>
          <w:rFonts w:hint="eastAsia" w:ascii="宋体" w:hAnsi="宋体" w:eastAsia="宋体" w:cs="宋体"/>
          <w:color w:val="auto"/>
          <w:highlight w:val="none"/>
        </w:rPr>
        <w:t>，向采购人提出付款申请；采购人在收到付款申请并核对无误后，结合考核评测结果标准和服务供应商提供的</w:t>
      </w:r>
      <w:r>
        <w:rPr>
          <w:rFonts w:hint="eastAsia" w:ascii="宋体" w:hAnsi="宋体" w:eastAsia="宋体" w:cs="宋体"/>
          <w:color w:val="auto"/>
          <w:highlight w:val="none"/>
          <w:lang w:eastAsia="zh-CN"/>
        </w:rPr>
        <w:t>合规发票</w:t>
      </w:r>
      <w:r>
        <w:rPr>
          <w:rFonts w:hint="eastAsia" w:ascii="宋体" w:hAnsi="宋体" w:eastAsia="宋体" w:cs="宋体"/>
          <w:color w:val="auto"/>
          <w:highlight w:val="none"/>
        </w:rPr>
        <w:t>，在财政拨款到位后，按月进行支付。</w:t>
      </w:r>
    </w:p>
    <w:p>
      <w:pPr>
        <w:snapToGrid w:val="0"/>
        <w:spacing w:line="420" w:lineRule="exact"/>
        <w:ind w:firstLine="494" w:firstLineChars="206"/>
        <w:rPr>
          <w:rFonts w:ascii="宋体" w:hAnsi="宋体" w:eastAsia="宋体" w:cs="宋体"/>
          <w:color w:val="auto"/>
          <w:highlight w:val="none"/>
        </w:rPr>
      </w:pPr>
      <w:r>
        <w:rPr>
          <w:rFonts w:ascii="宋体" w:hAnsi="宋体" w:eastAsia="宋体" w:cs="宋体"/>
          <w:color w:val="auto"/>
          <w:highlight w:val="none"/>
        </w:rPr>
        <w:t>2.</w:t>
      </w:r>
      <w:r>
        <w:rPr>
          <w:rFonts w:hint="eastAsia" w:ascii="宋体" w:hAnsi="宋体" w:eastAsia="宋体" w:cs="宋体"/>
          <w:color w:val="auto"/>
          <w:highlight w:val="none"/>
        </w:rPr>
        <w:t>考核</w:t>
      </w:r>
      <w:r>
        <w:rPr>
          <w:rFonts w:hint="eastAsia" w:ascii="宋体" w:hAnsi="宋体" w:eastAsia="宋体" w:cs="宋体"/>
          <w:color w:val="auto"/>
          <w:highlight w:val="none"/>
          <w:lang w:val="en-US" w:eastAsia="zh-CN"/>
        </w:rPr>
        <w:t>结果的运用</w:t>
      </w:r>
      <w:r>
        <w:rPr>
          <w:rFonts w:hint="eastAsia" w:ascii="宋体" w:hAnsi="宋体" w:eastAsia="宋体" w:cs="宋体"/>
          <w:color w:val="auto"/>
          <w:highlight w:val="none"/>
        </w:rPr>
        <w:t>：季度、年度考核未通过或评审不合格</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考核结果</w:t>
      </w:r>
      <w:r>
        <w:rPr>
          <w:rFonts w:hint="eastAsia" w:ascii="宋体" w:hAnsi="宋体" w:eastAsia="宋体" w:cs="宋体"/>
          <w:color w:val="auto"/>
          <w:highlight w:val="none"/>
        </w:rPr>
        <w:t>在当年度支付款项中</w:t>
      </w:r>
      <w:r>
        <w:rPr>
          <w:rFonts w:hint="eastAsia" w:ascii="宋体" w:hAnsi="宋体" w:eastAsia="宋体" w:cs="宋体"/>
          <w:color w:val="auto"/>
          <w:highlight w:val="none"/>
          <w:lang w:val="en-US" w:eastAsia="zh-CN"/>
        </w:rPr>
        <w:t>体现</w:t>
      </w:r>
      <w:r>
        <w:rPr>
          <w:rFonts w:hint="eastAsia" w:ascii="宋体" w:hAnsi="宋体" w:eastAsia="宋体" w:cs="宋体"/>
          <w:color w:val="auto"/>
          <w:highlight w:val="none"/>
        </w:rPr>
        <w:t>。</w:t>
      </w:r>
    </w:p>
    <w:p>
      <w:pPr>
        <w:snapToGrid w:val="0"/>
        <w:spacing w:line="420" w:lineRule="exact"/>
        <w:ind w:firstLine="482" w:firstLineChars="200"/>
        <w:outlineLvl w:val="1"/>
        <w:rPr>
          <w:rFonts w:ascii="宋体" w:hAnsi="宋体" w:eastAsia="宋体" w:cs="宋体"/>
          <w:b/>
          <w:bCs/>
        </w:rPr>
      </w:pPr>
      <w:r>
        <w:rPr>
          <w:rFonts w:hint="eastAsia" w:ascii="宋体" w:hAnsi="宋体" w:eastAsia="宋体" w:cs="宋体"/>
          <w:b/>
          <w:bCs/>
        </w:rPr>
        <w:t>十四、未尽事宜</w:t>
      </w:r>
    </w:p>
    <w:p>
      <w:pPr>
        <w:snapToGrid w:val="0"/>
        <w:spacing w:line="420" w:lineRule="exact"/>
        <w:ind w:firstLine="480" w:firstLineChars="200"/>
        <w:rPr>
          <w:rFonts w:ascii="宋体" w:hAnsi="宋体" w:eastAsia="宋体" w:cs="宋体"/>
        </w:rPr>
      </w:pPr>
      <w:r>
        <w:rPr>
          <w:rFonts w:hint="eastAsia" w:ascii="宋体" w:hAnsi="宋体" w:eastAsia="宋体" w:cs="宋体"/>
        </w:rPr>
        <w:t>按《中华人民共和国政府采购法》及《政府采购竞争性磋商采购方式管理暂行办法》与其他有关法律法规的规定执行。</w:t>
      </w:r>
    </w:p>
    <w:p>
      <w:pPr>
        <w:rPr>
          <w:rFonts w:ascii="宋体" w:hAnsi="宋体" w:eastAsia="宋体" w:cs="宋体"/>
          <w:b/>
          <w:bCs/>
          <w:w w:val="80"/>
          <w:sz w:val="36"/>
          <w:szCs w:val="36"/>
        </w:rPr>
      </w:pPr>
      <w:bookmarkStart w:id="20" w:name="_Toc363573855"/>
      <w:r>
        <w:rPr>
          <w:rFonts w:ascii="宋体" w:hAnsi="宋体" w:eastAsia="宋体" w:cs="宋体"/>
          <w:b/>
          <w:bCs/>
          <w:w w:val="80"/>
          <w:sz w:val="36"/>
          <w:szCs w:val="36"/>
        </w:rPr>
        <w:br w:type="page"/>
      </w:r>
    </w:p>
    <w:p>
      <w:pPr>
        <w:tabs>
          <w:tab w:val="left" w:pos="1050"/>
          <w:tab w:val="right" w:leader="dot" w:pos="9402"/>
        </w:tabs>
        <w:spacing w:beforeLines="100" w:line="600" w:lineRule="exact"/>
        <w:jc w:val="center"/>
        <w:outlineLvl w:val="0"/>
        <w:rPr>
          <w:rFonts w:ascii="宋体" w:hAnsi="宋体" w:eastAsia="宋体" w:cs="宋体"/>
          <w:b/>
          <w:bCs/>
          <w:w w:val="80"/>
          <w:sz w:val="36"/>
          <w:szCs w:val="36"/>
        </w:rPr>
      </w:pPr>
      <w:r>
        <w:rPr>
          <w:rFonts w:hint="eastAsia" w:ascii="宋体" w:hAnsi="宋体" w:eastAsia="宋体" w:cs="宋体"/>
          <w:b/>
          <w:bCs/>
          <w:w w:val="80"/>
          <w:sz w:val="36"/>
          <w:szCs w:val="36"/>
        </w:rPr>
        <w:t>第三章</w:t>
      </w:r>
      <w:r>
        <w:rPr>
          <w:rFonts w:ascii="宋体" w:hAnsi="宋体" w:eastAsia="宋体" w:cs="宋体"/>
          <w:b/>
          <w:bCs/>
          <w:w w:val="80"/>
          <w:sz w:val="36"/>
          <w:szCs w:val="36"/>
        </w:rPr>
        <w:t xml:space="preserve">  </w:t>
      </w:r>
      <w:r>
        <w:rPr>
          <w:rFonts w:hint="eastAsia" w:ascii="宋体" w:hAnsi="宋体" w:eastAsia="宋体" w:cs="宋体"/>
          <w:b/>
          <w:bCs/>
          <w:w w:val="80"/>
          <w:sz w:val="36"/>
          <w:szCs w:val="36"/>
        </w:rPr>
        <w:t>项目需求</w:t>
      </w:r>
      <w:bookmarkEnd w:id="20"/>
      <w:bookmarkStart w:id="21" w:name="_Toc13642116"/>
    </w:p>
    <w:p>
      <w:pPr>
        <w:spacing w:line="420" w:lineRule="exact"/>
        <w:ind w:firstLine="482" w:firstLineChars="200"/>
        <w:outlineLvl w:val="1"/>
        <w:rPr>
          <w:rFonts w:ascii="宋体" w:hAnsi="宋体" w:eastAsia="宋体" w:cs="宋体"/>
          <w:b/>
          <w:bCs/>
        </w:rPr>
      </w:pPr>
      <w:r>
        <w:rPr>
          <w:rFonts w:hint="eastAsia" w:ascii="宋体" w:hAnsi="宋体" w:eastAsia="宋体" w:cs="宋体"/>
          <w:b/>
          <w:bCs/>
        </w:rPr>
        <w:t>一、技术响应说明</w:t>
      </w:r>
    </w:p>
    <w:p>
      <w:pPr>
        <w:spacing w:line="420" w:lineRule="exact"/>
        <w:ind w:firstLine="480" w:firstLineChars="200"/>
        <w:rPr>
          <w:rFonts w:ascii="宋体" w:hAnsi="宋体" w:eastAsia="宋体" w:cs="宋体"/>
        </w:rPr>
      </w:pPr>
      <w:r>
        <w:rPr>
          <w:rFonts w:ascii="宋体" w:hAnsi="宋体" w:eastAsia="宋体" w:cs="宋体"/>
        </w:rPr>
        <w:t>1.</w:t>
      </w:r>
      <w:r>
        <w:rPr>
          <w:rFonts w:hint="eastAsia" w:ascii="宋体" w:hAnsi="宋体" w:eastAsia="宋体" w:cs="宋体"/>
        </w:rPr>
        <w:t>根据本项目采购需求，本次政府与社会资本方合作投资建设和承办运营项目</w:t>
      </w:r>
      <w:r>
        <w:rPr>
          <w:rFonts w:hint="eastAsia" w:ascii="宋体" w:hAnsi="宋体" w:eastAsia="宋体" w:cs="宋体"/>
          <w:b/>
          <w:bCs/>
        </w:rPr>
        <w:t>不涉及</w:t>
      </w:r>
      <w:r>
        <w:rPr>
          <w:rFonts w:hint="eastAsia" w:ascii="宋体" w:hAnsi="宋体" w:eastAsia="宋体" w:cs="宋体"/>
        </w:rPr>
        <w:t>优先采购节能产品和环境标志产品。</w:t>
      </w:r>
    </w:p>
    <w:p>
      <w:pPr>
        <w:spacing w:line="420" w:lineRule="exact"/>
        <w:ind w:firstLine="480" w:firstLineChars="200"/>
        <w:rPr>
          <w:rFonts w:ascii="宋体" w:hAnsi="宋体" w:eastAsia="宋体" w:cs="宋体"/>
        </w:rPr>
      </w:pPr>
      <w:r>
        <w:rPr>
          <w:rFonts w:ascii="宋体" w:hAnsi="宋体" w:eastAsia="宋体" w:cs="宋体"/>
        </w:rPr>
        <w:t>2.</w:t>
      </w:r>
      <w:r>
        <w:rPr>
          <w:rFonts w:hint="eastAsia" w:ascii="宋体" w:hAnsi="宋体" w:eastAsia="宋体" w:cs="宋体"/>
        </w:rPr>
        <w:t>磋商响应供应商不能简单照搬照抄项目需求说明中的技术要求，必须作实事求是的响应：</w:t>
      </w:r>
    </w:p>
    <w:p>
      <w:pPr>
        <w:spacing w:line="420" w:lineRule="exact"/>
        <w:ind w:firstLine="480" w:firstLineChars="200"/>
        <w:rPr>
          <w:rFonts w:ascii="宋体" w:hAnsi="宋体" w:eastAsia="宋体" w:cs="宋体"/>
        </w:rPr>
      </w:pPr>
      <w:r>
        <w:rPr>
          <w:rFonts w:hint="eastAsia" w:ascii="宋体" w:hAnsi="宋体" w:eastAsia="宋体" w:cs="宋体"/>
        </w:rPr>
        <w:t>（</w:t>
      </w:r>
      <w:r>
        <w:rPr>
          <w:rFonts w:ascii="宋体" w:hAnsi="宋体" w:eastAsia="宋体" w:cs="宋体"/>
        </w:rPr>
        <w:t>1</w:t>
      </w:r>
      <w:r>
        <w:rPr>
          <w:rFonts w:hint="eastAsia" w:ascii="宋体" w:hAnsi="宋体" w:eastAsia="宋体" w:cs="宋体"/>
        </w:rPr>
        <w:t>）照搬照抄项目需求说明中的技术要求，一旦成交，在与采购人签订合同和履约环节中不得提出异议，一切后果和损失由成交人承担。</w:t>
      </w:r>
    </w:p>
    <w:p>
      <w:pPr>
        <w:spacing w:line="420" w:lineRule="exact"/>
        <w:ind w:firstLine="480" w:firstLineChars="200"/>
        <w:rPr>
          <w:rFonts w:ascii="宋体" w:hAnsi="宋体" w:eastAsia="宋体" w:cs="宋体"/>
        </w:rPr>
      </w:pPr>
      <w:r>
        <w:rPr>
          <w:rFonts w:hint="eastAsia" w:ascii="宋体" w:hAnsi="宋体" w:eastAsia="宋体" w:cs="宋体"/>
        </w:rPr>
        <w:t>（</w:t>
      </w:r>
      <w:r>
        <w:rPr>
          <w:rFonts w:ascii="宋体" w:hAnsi="宋体" w:eastAsia="宋体" w:cs="宋体"/>
        </w:rPr>
        <w:t>2</w:t>
      </w:r>
      <w:r>
        <w:rPr>
          <w:rFonts w:hint="eastAsia" w:ascii="宋体" w:hAnsi="宋体" w:eastAsia="宋体" w:cs="宋体"/>
        </w:rPr>
        <w:t>）磋商响应供应商提供的服务与采购人提出的项目需求说明中的技术服务要求有不同的，则须提供逐一逐条响应的《技术条款响应正负偏离表》，并在其上明示偏离的部分。</w:t>
      </w:r>
    </w:p>
    <w:p>
      <w:pPr>
        <w:spacing w:line="420" w:lineRule="exact"/>
        <w:ind w:firstLine="482" w:firstLineChars="200"/>
        <w:outlineLvl w:val="1"/>
        <w:rPr>
          <w:rFonts w:hint="eastAsia" w:ascii="宋体" w:hAnsi="宋体" w:eastAsia="宋体" w:cs="宋体"/>
          <w:b/>
          <w:bCs/>
        </w:rPr>
      </w:pPr>
      <w:r>
        <w:rPr>
          <w:rFonts w:hint="eastAsia" w:ascii="宋体" w:hAnsi="宋体" w:eastAsia="宋体" w:cs="宋体"/>
          <w:b/>
          <w:bCs/>
        </w:rPr>
        <w:t>二、项目概况</w:t>
      </w:r>
    </w:p>
    <w:p>
      <w:pPr>
        <w:spacing w:line="420" w:lineRule="exact"/>
        <w:ind w:firstLine="480" w:firstLineChars="200"/>
        <w:rPr>
          <w:rFonts w:ascii="宋体" w:hAnsi="宋体" w:eastAsia="宋体" w:cs="宋体"/>
          <w:color w:val="FF0000"/>
        </w:rPr>
      </w:pPr>
      <w:bookmarkStart w:id="22" w:name="_Hlk71362723"/>
      <w:bookmarkStart w:id="23" w:name="_Hlk71392634"/>
      <w:r>
        <w:rPr>
          <w:rFonts w:hint="eastAsia" w:ascii="宋体" w:hAnsi="宋体" w:eastAsia="宋体" w:cs="宋体"/>
        </w:rPr>
        <w:t>为进一步组织开展好居家和社区养老服务，更好的服务广大老年人，采购人根据“《关于运用政府和社会资本合作模式支持养老服务业发展的实施意见》（财金〔2017〕86号）”、《市政府关于推进养老服务高质量发展的实施意见》（通政发〔2020〕30号）和“关于印发《崇川区关于进一步加强居家和社区养老服务工作的实施意见》的通知（崇川政办发〔2021〕49号）”，拟就街道下的综合性养老服务中心投资建设和承办运营服务及原居家养老服务中心（站）、残疾人之家运营管理及服务，决定通过与社会资本方合作的形式，向社会提供该项服务。为此，依据《中华人民共和国政府采购法》及其相关法律法规的规定，以竞争性磋商的采购方式筛选出适宜本项目运作的养老服务供应商，确保本项目有序推进。</w:t>
      </w:r>
      <w:bookmarkEnd w:id="22"/>
    </w:p>
    <w:bookmarkEnd w:id="23"/>
    <w:p>
      <w:pPr>
        <w:spacing w:line="420" w:lineRule="exact"/>
        <w:ind w:firstLine="482" w:firstLineChars="200"/>
        <w:outlineLvl w:val="1"/>
        <w:rPr>
          <w:rFonts w:ascii="宋体" w:hAnsi="宋体" w:eastAsia="宋体" w:cs="宋体"/>
          <w:color w:val="auto"/>
        </w:rPr>
      </w:pPr>
      <w:r>
        <w:rPr>
          <w:rFonts w:hint="eastAsia" w:ascii="宋体" w:hAnsi="宋体" w:eastAsia="宋体" w:cs="宋体"/>
          <w:b/>
          <w:bCs/>
          <w:color w:val="auto"/>
        </w:rPr>
        <w:t>三、项目服务合同履约期限</w:t>
      </w:r>
    </w:p>
    <w:p>
      <w:pPr>
        <w:autoSpaceDE w:val="0"/>
        <w:autoSpaceDN w:val="0"/>
        <w:adjustRightInd w:val="0"/>
        <w:spacing w:line="420" w:lineRule="exact"/>
        <w:ind w:firstLine="426"/>
        <w:rPr>
          <w:rFonts w:ascii="宋体" w:hAnsi="宋体" w:eastAsia="宋体" w:cs="宋体"/>
          <w:color w:val="auto"/>
          <w:kern w:val="0"/>
        </w:rPr>
      </w:pPr>
      <w:r>
        <w:rPr>
          <w:rFonts w:ascii="宋体" w:hAnsi="宋体" w:eastAsia="宋体" w:cs="宋体"/>
          <w:color w:val="auto"/>
          <w:kern w:val="0"/>
        </w:rPr>
        <w:t>1.</w:t>
      </w:r>
      <w:r>
        <w:rPr>
          <w:rFonts w:hint="eastAsia" w:ascii="宋体" w:hAnsi="宋体" w:eastAsia="宋体" w:cs="宋体"/>
          <w:color w:val="auto"/>
          <w:kern w:val="0"/>
        </w:rPr>
        <w:t>综合性养老服务中心建设及运营管理：服务期限为</w:t>
      </w:r>
      <w:r>
        <w:rPr>
          <w:rFonts w:ascii="宋体" w:hAnsi="宋体" w:eastAsia="宋体" w:cs="宋体"/>
          <w:color w:val="auto"/>
          <w:kern w:val="0"/>
        </w:rPr>
        <w:t>15</w:t>
      </w:r>
      <w:r>
        <w:rPr>
          <w:rFonts w:hint="eastAsia" w:ascii="宋体" w:hAnsi="宋体" w:eastAsia="宋体" w:cs="宋体"/>
          <w:color w:val="auto"/>
          <w:kern w:val="0"/>
        </w:rPr>
        <w:t>年，</w:t>
      </w:r>
      <w:r>
        <w:rPr>
          <w:rFonts w:hint="eastAsia" w:ascii="宋体" w:hAnsi="宋体" w:eastAsia="宋体" w:cs="宋体"/>
          <w:color w:val="auto"/>
          <w:kern w:val="0"/>
          <w:highlight w:val="none"/>
          <w:lang w:val="en-US" w:eastAsia="zh-CN"/>
        </w:rPr>
        <w:t>按</w:t>
      </w:r>
      <w:r>
        <w:rPr>
          <w:rFonts w:hint="eastAsia" w:ascii="宋体" w:hAnsi="宋体" w:eastAsia="宋体" w:cs="宋体"/>
          <w:color w:val="auto"/>
          <w:kern w:val="0"/>
          <w:highlight w:val="none"/>
        </w:rPr>
        <w:t>合同</w:t>
      </w:r>
      <w:r>
        <w:rPr>
          <w:rFonts w:hint="eastAsia" w:ascii="宋体" w:hAnsi="宋体" w:eastAsia="宋体" w:cs="宋体"/>
          <w:color w:val="auto"/>
          <w:kern w:val="0"/>
          <w:highlight w:val="none"/>
          <w:lang w:val="en-US" w:eastAsia="zh-CN"/>
        </w:rPr>
        <w:t>履约期限15年签订</w:t>
      </w:r>
      <w:r>
        <w:rPr>
          <w:rFonts w:hint="eastAsia" w:ascii="宋体" w:hAnsi="宋体" w:eastAsia="宋体" w:cs="宋体"/>
          <w:color w:val="auto"/>
          <w:kern w:val="0"/>
        </w:rPr>
        <w:t>。</w:t>
      </w:r>
    </w:p>
    <w:p>
      <w:pPr>
        <w:autoSpaceDE w:val="0"/>
        <w:autoSpaceDN w:val="0"/>
        <w:adjustRightInd w:val="0"/>
        <w:spacing w:line="420" w:lineRule="exact"/>
        <w:ind w:firstLine="426"/>
        <w:rPr>
          <w:rFonts w:ascii="宋体" w:hAnsi="宋体" w:eastAsia="宋体" w:cs="宋体"/>
          <w:color w:val="auto"/>
          <w:kern w:val="0"/>
        </w:rPr>
      </w:pPr>
      <w:r>
        <w:rPr>
          <w:rFonts w:ascii="宋体" w:hAnsi="宋体" w:eastAsia="宋体" w:cs="宋体"/>
          <w:color w:val="auto"/>
          <w:kern w:val="0"/>
        </w:rPr>
        <w:t>2.</w:t>
      </w:r>
      <w:r>
        <w:rPr>
          <w:rFonts w:hint="eastAsia" w:ascii="宋体" w:hAnsi="宋体" w:eastAsia="宋体" w:cs="宋体"/>
          <w:color w:val="auto"/>
          <w:kern w:val="0"/>
        </w:rPr>
        <w:t>居家养老服务中心（站）运营管理：服务期限为</w:t>
      </w:r>
      <w:r>
        <w:rPr>
          <w:rFonts w:ascii="宋体" w:hAnsi="宋体" w:eastAsia="宋体" w:cs="宋体"/>
          <w:color w:val="auto"/>
          <w:kern w:val="0"/>
        </w:rPr>
        <w:t>3</w:t>
      </w:r>
      <w:r>
        <w:rPr>
          <w:rFonts w:hint="eastAsia" w:ascii="宋体" w:hAnsi="宋体" w:eastAsia="宋体" w:cs="宋体"/>
          <w:color w:val="auto"/>
          <w:kern w:val="0"/>
        </w:rPr>
        <w:t>年，</w:t>
      </w:r>
      <w:r>
        <w:rPr>
          <w:rFonts w:hint="eastAsia" w:ascii="宋体" w:hAnsi="宋体" w:eastAsia="宋体" w:cs="宋体"/>
          <w:color w:val="auto"/>
          <w:kern w:val="0"/>
          <w:lang w:val="en-US" w:eastAsia="zh-CN"/>
        </w:rPr>
        <w:t>以当年考核结果签署次年的合同</w:t>
      </w:r>
      <w:r>
        <w:rPr>
          <w:rFonts w:hint="eastAsia" w:ascii="宋体" w:hAnsi="宋体" w:eastAsia="宋体" w:cs="宋体"/>
          <w:color w:val="auto"/>
          <w:kern w:val="0"/>
        </w:rPr>
        <w:t>。</w:t>
      </w:r>
    </w:p>
    <w:p>
      <w:pPr>
        <w:autoSpaceDE w:val="0"/>
        <w:autoSpaceDN w:val="0"/>
        <w:adjustRightInd w:val="0"/>
        <w:spacing w:line="420" w:lineRule="exact"/>
        <w:ind w:firstLine="426"/>
        <w:rPr>
          <w:rFonts w:ascii="宋体" w:hAnsi="宋体" w:eastAsia="宋体" w:cs="宋体"/>
          <w:color w:val="auto"/>
          <w:kern w:val="0"/>
        </w:rPr>
      </w:pPr>
      <w:r>
        <w:rPr>
          <w:rFonts w:ascii="宋体" w:hAnsi="宋体" w:eastAsia="宋体" w:cs="宋体"/>
          <w:color w:val="auto"/>
          <w:kern w:val="0"/>
        </w:rPr>
        <w:t>3.</w:t>
      </w:r>
      <w:r>
        <w:rPr>
          <w:rFonts w:hint="eastAsia" w:ascii="宋体" w:hAnsi="宋体" w:eastAsia="宋体" w:cs="宋体"/>
          <w:color w:val="auto"/>
          <w:kern w:val="0"/>
        </w:rPr>
        <w:t>政府购买居家养老服务：服务期限为</w:t>
      </w:r>
      <w:r>
        <w:rPr>
          <w:rFonts w:ascii="宋体" w:hAnsi="宋体" w:eastAsia="宋体" w:cs="宋体"/>
          <w:color w:val="auto"/>
          <w:kern w:val="0"/>
        </w:rPr>
        <w:t>3</w:t>
      </w:r>
      <w:r>
        <w:rPr>
          <w:rFonts w:hint="eastAsia" w:ascii="宋体" w:hAnsi="宋体" w:eastAsia="宋体" w:cs="宋体"/>
          <w:color w:val="auto"/>
          <w:kern w:val="0"/>
        </w:rPr>
        <w:t>年，</w:t>
      </w:r>
      <w:r>
        <w:rPr>
          <w:rFonts w:hint="eastAsia" w:ascii="宋体" w:hAnsi="宋体" w:eastAsia="宋体" w:cs="宋体"/>
          <w:color w:val="auto"/>
          <w:kern w:val="0"/>
          <w:lang w:val="en-US" w:eastAsia="zh-CN"/>
        </w:rPr>
        <w:t>以当年考核结果签署次年的合同</w:t>
      </w:r>
      <w:r>
        <w:rPr>
          <w:rFonts w:hint="eastAsia" w:ascii="宋体" w:hAnsi="宋体" w:eastAsia="宋体" w:cs="宋体"/>
          <w:color w:val="auto"/>
          <w:kern w:val="0"/>
        </w:rPr>
        <w:t>。</w:t>
      </w:r>
    </w:p>
    <w:p>
      <w:pPr>
        <w:autoSpaceDE w:val="0"/>
        <w:autoSpaceDN w:val="0"/>
        <w:adjustRightInd w:val="0"/>
        <w:spacing w:line="420" w:lineRule="exact"/>
        <w:ind w:firstLine="426"/>
        <w:rPr>
          <w:rFonts w:ascii="宋体" w:hAnsi="宋体" w:eastAsia="宋体" w:cs="宋体"/>
          <w:color w:val="auto"/>
          <w:kern w:val="0"/>
        </w:rPr>
      </w:pPr>
      <w:r>
        <w:rPr>
          <w:rFonts w:ascii="宋体" w:hAnsi="宋体" w:eastAsia="宋体" w:cs="宋体"/>
          <w:color w:val="auto"/>
          <w:kern w:val="0"/>
        </w:rPr>
        <w:t>4.</w:t>
      </w:r>
      <w:r>
        <w:rPr>
          <w:rFonts w:hint="eastAsia" w:ascii="宋体" w:hAnsi="宋体" w:eastAsia="宋体" w:cs="宋体"/>
          <w:color w:val="auto"/>
          <w:kern w:val="0"/>
        </w:rPr>
        <w:t>残疾人之家运营管理：服务期限为</w:t>
      </w:r>
      <w:r>
        <w:rPr>
          <w:rFonts w:ascii="宋体" w:hAnsi="宋体" w:eastAsia="宋体" w:cs="宋体"/>
          <w:color w:val="auto"/>
          <w:kern w:val="0"/>
        </w:rPr>
        <w:t>3</w:t>
      </w:r>
      <w:r>
        <w:rPr>
          <w:rFonts w:hint="eastAsia" w:ascii="宋体" w:hAnsi="宋体" w:eastAsia="宋体" w:cs="宋体"/>
          <w:color w:val="auto"/>
          <w:kern w:val="0"/>
        </w:rPr>
        <w:t>年，</w:t>
      </w:r>
      <w:r>
        <w:rPr>
          <w:rFonts w:hint="eastAsia" w:ascii="宋体" w:hAnsi="宋体" w:eastAsia="宋体" w:cs="宋体"/>
          <w:color w:val="auto"/>
          <w:kern w:val="0"/>
          <w:lang w:val="en-US" w:eastAsia="zh-CN"/>
        </w:rPr>
        <w:t>以当年考核结果签署次年的合同</w:t>
      </w:r>
      <w:r>
        <w:rPr>
          <w:rFonts w:hint="eastAsia" w:ascii="宋体" w:hAnsi="宋体" w:eastAsia="宋体" w:cs="宋体"/>
          <w:color w:val="auto"/>
          <w:kern w:val="0"/>
        </w:rPr>
        <w:t>。</w:t>
      </w:r>
    </w:p>
    <w:p>
      <w:pPr>
        <w:spacing w:line="420" w:lineRule="exact"/>
        <w:ind w:firstLine="482" w:firstLineChars="200"/>
        <w:outlineLvl w:val="1"/>
        <w:rPr>
          <w:rFonts w:ascii="宋体" w:hAnsi="宋体" w:eastAsia="宋体" w:cs="宋体"/>
          <w:b/>
          <w:bCs/>
          <w:color w:val="auto"/>
          <w:kern w:val="0"/>
        </w:rPr>
      </w:pPr>
      <w:r>
        <w:rPr>
          <w:rFonts w:hint="eastAsia" w:ascii="宋体" w:hAnsi="宋体" w:eastAsia="宋体" w:cs="宋体"/>
          <w:b/>
          <w:bCs/>
          <w:color w:val="auto"/>
        </w:rPr>
        <w:t>四、政府与社会资本方合作的相关约定说明</w:t>
      </w:r>
    </w:p>
    <w:p>
      <w:pPr>
        <w:spacing w:line="420" w:lineRule="exact"/>
        <w:ind w:firstLine="480" w:firstLineChars="200"/>
        <w:rPr>
          <w:rFonts w:ascii="宋体" w:hAnsi="宋体" w:eastAsia="宋体" w:cs="宋体"/>
          <w:color w:val="auto"/>
          <w:kern w:val="0"/>
        </w:rPr>
      </w:pPr>
      <w:r>
        <w:rPr>
          <w:rFonts w:ascii="宋体" w:hAnsi="宋体" w:eastAsia="宋体" w:cs="宋体"/>
          <w:color w:val="auto"/>
          <w:kern w:val="0"/>
        </w:rPr>
        <w:t>1.</w:t>
      </w:r>
      <w:r>
        <w:rPr>
          <w:rFonts w:hint="eastAsia" w:ascii="宋体" w:hAnsi="宋体" w:eastAsia="宋体" w:cs="宋体"/>
          <w:color w:val="auto"/>
          <w:kern w:val="0"/>
        </w:rPr>
        <w:t>针对南通市崇川区钟秀街道办事处作为本项目合作的政府职能机关，通过政府采购的形式，按投资建设方案和承办运营方案两者相结合的优选，筛选出社会资本方，就本项目进行合作。</w:t>
      </w:r>
    </w:p>
    <w:p>
      <w:pPr>
        <w:spacing w:line="420" w:lineRule="exact"/>
        <w:ind w:firstLine="480" w:firstLineChars="200"/>
        <w:rPr>
          <w:rFonts w:ascii="宋体" w:hAnsi="宋体" w:eastAsia="宋体" w:cs="宋体"/>
          <w:color w:val="auto"/>
          <w:kern w:val="0"/>
        </w:rPr>
      </w:pPr>
      <w:r>
        <w:rPr>
          <w:rFonts w:ascii="宋体" w:hAnsi="宋体" w:eastAsia="宋体" w:cs="宋体"/>
          <w:color w:val="auto"/>
          <w:kern w:val="0"/>
        </w:rPr>
        <w:t>2.</w:t>
      </w:r>
      <w:r>
        <w:rPr>
          <w:rFonts w:hint="eastAsia" w:ascii="宋体" w:hAnsi="宋体" w:eastAsia="宋体" w:cs="宋体"/>
          <w:color w:val="auto"/>
          <w:kern w:val="0"/>
        </w:rPr>
        <w:t>社会资本方对采购人的社区养老用房进行投资建设，并承担建设完成后的</w:t>
      </w:r>
      <w:bookmarkStart w:id="24" w:name="_Hlk71239178"/>
      <w:r>
        <w:rPr>
          <w:rFonts w:hint="eastAsia" w:ascii="宋体" w:hAnsi="宋体" w:eastAsia="宋体" w:cs="宋体"/>
          <w:color w:val="auto"/>
          <w:kern w:val="0"/>
        </w:rPr>
        <w:t>综合性养老服务中心建设及运营管理</w:t>
      </w:r>
      <w:bookmarkEnd w:id="24"/>
      <w:r>
        <w:rPr>
          <w:rFonts w:hint="eastAsia" w:ascii="宋体" w:hAnsi="宋体" w:eastAsia="宋体" w:cs="宋体"/>
          <w:color w:val="auto"/>
          <w:kern w:val="0"/>
        </w:rPr>
        <w:t>及原居家养老服务中心（站）、残疾人之家运营管理及服务。</w:t>
      </w:r>
    </w:p>
    <w:p>
      <w:pPr>
        <w:spacing w:line="420" w:lineRule="exact"/>
        <w:ind w:firstLine="482" w:firstLineChars="200"/>
        <w:outlineLvl w:val="1"/>
        <w:rPr>
          <w:rFonts w:ascii="宋体" w:hAnsi="宋体" w:eastAsia="宋体" w:cs="宋体"/>
          <w:b/>
          <w:bCs/>
          <w:color w:val="auto"/>
        </w:rPr>
      </w:pPr>
      <w:r>
        <w:rPr>
          <w:rFonts w:hint="eastAsia" w:ascii="宋体" w:hAnsi="宋体" w:eastAsia="宋体" w:cs="宋体"/>
          <w:b/>
          <w:bCs/>
          <w:color w:val="auto"/>
        </w:rPr>
        <w:t>五、项目需求</w:t>
      </w:r>
    </w:p>
    <w:p>
      <w:pPr>
        <w:spacing w:line="420" w:lineRule="exact"/>
        <w:ind w:firstLine="482" w:firstLineChars="200"/>
        <w:outlineLvl w:val="1"/>
        <w:rPr>
          <w:rFonts w:ascii="宋体" w:hAnsi="宋体" w:eastAsia="宋体" w:cs="宋体"/>
          <w:b/>
          <w:bCs/>
          <w:color w:val="auto"/>
          <w:kern w:val="0"/>
        </w:rPr>
      </w:pPr>
      <w:r>
        <w:rPr>
          <w:rFonts w:hint="eastAsia" w:ascii="宋体" w:hAnsi="宋体" w:eastAsia="宋体" w:cs="宋体"/>
          <w:b/>
          <w:bCs/>
          <w:color w:val="auto"/>
          <w:kern w:val="0"/>
        </w:rPr>
        <w:t>（一）综合性养老服务中心建设及运营管理</w:t>
      </w:r>
    </w:p>
    <w:p>
      <w:pPr>
        <w:spacing w:line="420" w:lineRule="exact"/>
        <w:ind w:firstLine="482" w:firstLineChars="200"/>
        <w:outlineLvl w:val="2"/>
        <w:rPr>
          <w:rFonts w:ascii="宋体" w:hAnsi="宋体" w:eastAsia="宋体" w:cs="宋体"/>
          <w:b/>
          <w:bCs/>
          <w:color w:val="auto"/>
          <w:kern w:val="0"/>
        </w:rPr>
      </w:pPr>
      <w:r>
        <w:rPr>
          <w:rFonts w:ascii="宋体" w:hAnsi="宋体" w:eastAsia="宋体" w:cs="宋体"/>
          <w:b/>
          <w:bCs/>
          <w:color w:val="auto"/>
          <w:kern w:val="0"/>
        </w:rPr>
        <w:t>1.</w:t>
      </w:r>
      <w:r>
        <w:rPr>
          <w:rFonts w:hint="eastAsia" w:ascii="宋体" w:hAnsi="宋体" w:eastAsia="宋体" w:cs="宋体"/>
          <w:b/>
          <w:bCs/>
          <w:color w:val="auto"/>
          <w:kern w:val="0"/>
        </w:rPr>
        <w:t>总则</w:t>
      </w:r>
    </w:p>
    <w:p>
      <w:pPr>
        <w:spacing w:line="420" w:lineRule="exact"/>
        <w:ind w:firstLine="480" w:firstLineChars="200"/>
        <w:outlineLvl w:val="2"/>
        <w:rPr>
          <w:rFonts w:ascii="宋体" w:hAnsi="宋体" w:eastAsia="宋体" w:cs="宋体"/>
          <w:color w:val="auto"/>
          <w:kern w:val="0"/>
        </w:rPr>
      </w:pPr>
      <w:r>
        <w:rPr>
          <w:rFonts w:hint="eastAsia" w:ascii="宋体" w:hAnsi="宋体" w:eastAsia="宋体" w:cs="宋体"/>
          <w:color w:val="auto"/>
          <w:kern w:val="0"/>
        </w:rPr>
        <w:t>综合性养老服务中心是指经民政部门备案且具备全托、日托、上门服务以及业务指导等综合功能的养老服务机构。本项目综合性养老服务中心依据江苏省民政厅关于印发《江苏省城市街道综合性养老服务中心建设及运营规范》的通知（苏民养老〔</w:t>
      </w:r>
      <w:r>
        <w:rPr>
          <w:rFonts w:ascii="宋体" w:hAnsi="宋体" w:eastAsia="宋体" w:cs="宋体"/>
          <w:color w:val="auto"/>
          <w:kern w:val="0"/>
        </w:rPr>
        <w:t>2021</w:t>
      </w:r>
      <w:r>
        <w:rPr>
          <w:rFonts w:hint="eastAsia" w:ascii="宋体" w:hAnsi="宋体" w:eastAsia="宋体" w:cs="宋体"/>
          <w:color w:val="auto"/>
          <w:kern w:val="0"/>
        </w:rPr>
        <w:t>〕</w:t>
      </w:r>
      <w:r>
        <w:rPr>
          <w:rFonts w:ascii="宋体" w:hAnsi="宋体" w:eastAsia="宋体" w:cs="宋体"/>
          <w:color w:val="auto"/>
          <w:kern w:val="0"/>
        </w:rPr>
        <w:t>22</w:t>
      </w:r>
      <w:r>
        <w:rPr>
          <w:rFonts w:hint="eastAsia" w:ascii="宋体" w:hAnsi="宋体" w:eastAsia="宋体" w:cs="宋体"/>
          <w:color w:val="auto"/>
          <w:kern w:val="0"/>
        </w:rPr>
        <w:t>号）进行相关的建设和运营。响应供应商就本项目应承担整体化建设费用（含硬装、软装设计施工、设施设备等），并承接后期运营。</w:t>
      </w:r>
    </w:p>
    <w:p>
      <w:pPr>
        <w:spacing w:line="420" w:lineRule="exact"/>
        <w:ind w:firstLine="480" w:firstLineChars="200"/>
        <w:outlineLvl w:val="2"/>
        <w:rPr>
          <w:rFonts w:ascii="宋体" w:hAnsi="宋体" w:eastAsia="宋体" w:cs="宋体"/>
          <w:color w:val="auto"/>
          <w:kern w:val="0"/>
          <w:highlight w:val="yellow"/>
        </w:rPr>
      </w:pPr>
      <w:bookmarkStart w:id="25" w:name="_Hlk73351464"/>
      <w:bookmarkStart w:id="26" w:name="_Hlk72626444"/>
      <w:r>
        <w:rPr>
          <w:rFonts w:hint="eastAsia" w:ascii="宋体" w:hAnsi="宋体" w:eastAsia="宋体" w:cs="宋体"/>
          <w:color w:val="auto"/>
          <w:kern w:val="0"/>
        </w:rPr>
        <w:t>综合性养老服务中心运营服务履约期</w:t>
      </w:r>
      <w:bookmarkEnd w:id="25"/>
      <w:r>
        <w:rPr>
          <w:rFonts w:hint="eastAsia" w:ascii="宋体" w:hAnsi="宋体" w:eastAsia="宋体" w:cs="宋体"/>
          <w:color w:val="auto"/>
          <w:kern w:val="0"/>
        </w:rPr>
        <w:t>为</w:t>
      </w:r>
      <w:r>
        <w:rPr>
          <w:rFonts w:ascii="宋体" w:hAnsi="宋体" w:eastAsia="宋体" w:cs="宋体"/>
          <w:color w:val="auto"/>
          <w:kern w:val="0"/>
        </w:rPr>
        <w:t>15</w:t>
      </w:r>
      <w:r>
        <w:rPr>
          <w:rFonts w:hint="eastAsia" w:ascii="宋体" w:hAnsi="宋体" w:eastAsia="宋体" w:cs="宋体"/>
          <w:color w:val="auto"/>
          <w:kern w:val="0"/>
        </w:rPr>
        <w:t>年，该房屋使用权，在社会资本方承办运营期内，由两部分组成，第一部分：街道办（采购人）给予免费</w:t>
      </w:r>
      <w:r>
        <w:rPr>
          <w:rFonts w:hint="eastAsia" w:ascii="宋体" w:hAnsi="宋体" w:eastAsia="宋体" w:cs="宋体"/>
          <w:color w:val="auto"/>
          <w:kern w:val="0"/>
          <w:lang w:eastAsia="zh-CN"/>
        </w:rPr>
        <w:t>（</w:t>
      </w:r>
      <w:r>
        <w:rPr>
          <w:rFonts w:hint="eastAsia" w:ascii="宋体" w:hAnsi="宋体" w:eastAsia="宋体" w:cs="宋体"/>
          <w:color w:val="auto"/>
          <w:kern w:val="0"/>
          <w:lang w:val="en-US" w:eastAsia="zh-CN"/>
        </w:rPr>
        <w:t>有条件</w:t>
      </w:r>
      <w:r>
        <w:rPr>
          <w:rFonts w:hint="eastAsia" w:ascii="宋体" w:hAnsi="宋体" w:eastAsia="宋体" w:cs="宋体"/>
          <w:color w:val="auto"/>
          <w:kern w:val="0"/>
          <w:lang w:eastAsia="zh-CN"/>
        </w:rPr>
        <w:t>）</w:t>
      </w:r>
      <w:r>
        <w:rPr>
          <w:rFonts w:hint="eastAsia" w:ascii="宋体" w:hAnsi="宋体" w:eastAsia="宋体" w:cs="宋体"/>
          <w:color w:val="auto"/>
          <w:kern w:val="0"/>
        </w:rPr>
        <w:t>提供</w:t>
      </w:r>
      <w:r>
        <w:rPr>
          <w:rFonts w:ascii="宋体" w:hAnsi="宋体" w:eastAsia="宋体" w:cs="宋体"/>
          <w:color w:val="auto"/>
          <w:kern w:val="0"/>
        </w:rPr>
        <w:t>7</w:t>
      </w:r>
      <w:r>
        <w:rPr>
          <w:rFonts w:hint="eastAsia" w:ascii="宋体" w:hAnsi="宋体" w:eastAsia="宋体" w:cs="宋体"/>
          <w:color w:val="auto"/>
          <w:kern w:val="0"/>
        </w:rPr>
        <w:t>年；第二部分为有偿租赁经营</w:t>
      </w:r>
      <w:r>
        <w:rPr>
          <w:rFonts w:ascii="宋体" w:hAnsi="宋体" w:eastAsia="宋体" w:cs="宋体"/>
          <w:color w:val="auto"/>
          <w:kern w:val="0"/>
        </w:rPr>
        <w:t>8</w:t>
      </w:r>
      <w:r>
        <w:rPr>
          <w:rFonts w:hint="eastAsia" w:ascii="宋体" w:hAnsi="宋体" w:eastAsia="宋体" w:cs="宋体"/>
          <w:color w:val="auto"/>
          <w:kern w:val="0"/>
        </w:rPr>
        <w:t>年，有偿提供的租赁经营租金每年度人民币</w:t>
      </w:r>
      <w:r>
        <w:rPr>
          <w:rFonts w:ascii="宋体" w:hAnsi="宋体" w:eastAsia="宋体" w:cs="宋体"/>
          <w:color w:val="auto"/>
          <w:kern w:val="0"/>
        </w:rPr>
        <w:t>5</w:t>
      </w:r>
      <w:r>
        <w:rPr>
          <w:rFonts w:hint="eastAsia" w:ascii="宋体" w:hAnsi="宋体" w:eastAsia="宋体" w:cs="宋体"/>
          <w:color w:val="auto"/>
          <w:kern w:val="0"/>
        </w:rPr>
        <w:t>万元。</w:t>
      </w:r>
      <w:bookmarkEnd w:id="26"/>
      <w:r>
        <w:rPr>
          <w:rFonts w:hint="eastAsia" w:ascii="宋体" w:hAnsi="宋体" w:eastAsia="宋体" w:cs="宋体"/>
          <w:color w:val="auto"/>
          <w:kern w:val="0"/>
        </w:rPr>
        <w:t>租金用于扶持项目、资产的折旧维护、吸引第三方社会组织及社团参与项目的运作。投资建设后的“综合性养老服务中心</w:t>
      </w:r>
      <w:r>
        <w:rPr>
          <w:rFonts w:ascii="宋体" w:hAnsi="宋体" w:eastAsia="宋体" w:cs="宋体"/>
          <w:color w:val="auto"/>
          <w:kern w:val="0"/>
        </w:rPr>
        <w:t xml:space="preserve"> </w:t>
      </w:r>
      <w:r>
        <w:rPr>
          <w:rFonts w:hint="eastAsia" w:ascii="宋体" w:hAnsi="宋体" w:eastAsia="宋体" w:cs="宋体"/>
          <w:color w:val="auto"/>
          <w:kern w:val="0"/>
        </w:rPr>
        <w:t>”的附着于标的物所涉场地、房屋建筑进行的装修，均归南通市崇川区钟秀街道办事处（属于供应商的可移动设施、设备除外）。</w:t>
      </w:r>
      <w:r>
        <w:rPr>
          <w:rFonts w:hint="eastAsia" w:ascii="宋体" w:hAnsi="宋体" w:eastAsia="宋体" w:cs="宋体"/>
          <w:color w:val="auto"/>
          <w:kern w:val="0"/>
          <w:highlight w:val="none"/>
        </w:rPr>
        <w:t>整体服务期满，采购人可根据对服务机构的日常及年终考核决定是否续签承办运营服务合同。</w:t>
      </w:r>
    </w:p>
    <w:p>
      <w:pPr>
        <w:spacing w:line="420" w:lineRule="exact"/>
        <w:ind w:firstLine="482" w:firstLineChars="200"/>
        <w:outlineLvl w:val="2"/>
        <w:rPr>
          <w:rFonts w:ascii="宋体" w:hAnsi="宋体" w:eastAsia="宋体" w:cs="宋体"/>
          <w:b/>
          <w:bCs/>
          <w:color w:val="auto"/>
          <w:kern w:val="0"/>
        </w:rPr>
      </w:pPr>
      <w:r>
        <w:rPr>
          <w:rFonts w:ascii="宋体" w:hAnsi="宋体" w:eastAsia="宋体" w:cs="宋体"/>
          <w:b/>
          <w:bCs/>
          <w:color w:val="auto"/>
          <w:kern w:val="0"/>
        </w:rPr>
        <w:t>2.</w:t>
      </w:r>
      <w:r>
        <w:rPr>
          <w:rFonts w:hint="eastAsia" w:ascii="宋体" w:hAnsi="宋体" w:eastAsia="宋体" w:cs="宋体"/>
          <w:b/>
          <w:bCs/>
          <w:color w:val="auto"/>
          <w:kern w:val="0"/>
        </w:rPr>
        <w:t>项目地点</w:t>
      </w:r>
    </w:p>
    <w:p>
      <w:pPr>
        <w:spacing w:line="420" w:lineRule="exact"/>
        <w:ind w:firstLine="480" w:firstLineChars="200"/>
        <w:rPr>
          <w:rFonts w:hint="eastAsia" w:ascii="宋体" w:hAnsi="宋体" w:eastAsia="宋体" w:cs="宋体"/>
          <w:color w:val="auto"/>
          <w:kern w:val="0"/>
        </w:rPr>
      </w:pPr>
      <w:r>
        <w:rPr>
          <w:rFonts w:hint="eastAsia" w:ascii="宋体" w:hAnsi="宋体" w:eastAsia="宋体" w:cs="宋体"/>
          <w:color w:val="auto"/>
          <w:kern w:val="0"/>
        </w:rPr>
        <w:t>综合性养老服务中心建设用房位于星光域</w:t>
      </w:r>
      <w:r>
        <w:rPr>
          <w:rFonts w:ascii="宋体" w:hAnsi="宋体" w:eastAsia="宋体" w:cs="宋体"/>
          <w:color w:val="auto"/>
          <w:kern w:val="0"/>
        </w:rPr>
        <w:t>A</w:t>
      </w:r>
      <w:r>
        <w:rPr>
          <w:rFonts w:hint="eastAsia" w:ascii="宋体" w:hAnsi="宋体" w:eastAsia="宋体" w:cs="宋体"/>
          <w:color w:val="auto"/>
          <w:kern w:val="0"/>
        </w:rPr>
        <w:t>幢</w:t>
      </w:r>
      <w:r>
        <w:rPr>
          <w:rFonts w:ascii="宋体" w:hAnsi="宋体" w:eastAsia="宋体" w:cs="宋体"/>
          <w:color w:val="auto"/>
          <w:kern w:val="0"/>
        </w:rPr>
        <w:t>104</w:t>
      </w:r>
      <w:r>
        <w:rPr>
          <w:rFonts w:hint="eastAsia" w:ascii="宋体" w:hAnsi="宋体" w:eastAsia="宋体" w:cs="宋体"/>
          <w:color w:val="auto"/>
          <w:kern w:val="0"/>
        </w:rPr>
        <w:t>、</w:t>
      </w:r>
      <w:r>
        <w:rPr>
          <w:rFonts w:ascii="宋体" w:hAnsi="宋体" w:eastAsia="宋体" w:cs="宋体"/>
          <w:color w:val="auto"/>
          <w:kern w:val="0"/>
        </w:rPr>
        <w:t>406</w:t>
      </w:r>
      <w:r>
        <w:rPr>
          <w:rFonts w:hint="eastAsia" w:ascii="宋体" w:hAnsi="宋体" w:eastAsia="宋体" w:cs="宋体"/>
          <w:color w:val="auto"/>
          <w:kern w:val="0"/>
        </w:rPr>
        <w:t>、</w:t>
      </w:r>
      <w:r>
        <w:rPr>
          <w:rFonts w:ascii="宋体" w:hAnsi="宋体" w:eastAsia="宋体" w:cs="宋体"/>
          <w:color w:val="auto"/>
          <w:kern w:val="0"/>
        </w:rPr>
        <w:t>504</w:t>
      </w:r>
      <w:r>
        <w:rPr>
          <w:rFonts w:hint="eastAsia" w:ascii="宋体" w:hAnsi="宋体" w:eastAsia="宋体" w:cs="宋体"/>
          <w:color w:val="auto"/>
          <w:kern w:val="0"/>
          <w:lang w:eastAsia="zh-CN"/>
        </w:rPr>
        <w:t>，</w:t>
      </w:r>
      <w:r>
        <w:rPr>
          <w:rFonts w:hint="eastAsia" w:ascii="宋体" w:hAnsi="宋体" w:eastAsia="宋体" w:cs="宋体"/>
          <w:color w:val="auto"/>
          <w:kern w:val="0"/>
        </w:rPr>
        <w:t>规划核实面积</w:t>
      </w:r>
      <w:r>
        <w:rPr>
          <w:rFonts w:hint="eastAsia" w:ascii="宋体" w:hAnsi="宋体" w:eastAsia="宋体" w:cs="宋体"/>
          <w:color w:val="auto"/>
          <w:kern w:val="0"/>
          <w:lang w:eastAsia="zh-CN"/>
        </w:rPr>
        <w:t>共计：</w:t>
      </w:r>
      <w:r>
        <w:rPr>
          <w:rFonts w:hint="eastAsia" w:ascii="宋体" w:hAnsi="宋体" w:eastAsia="宋体" w:cs="宋体"/>
          <w:color w:val="auto"/>
          <w:kern w:val="0"/>
          <w:lang w:val="en-US" w:eastAsia="zh-CN"/>
        </w:rPr>
        <w:t>1531平方米，</w:t>
      </w:r>
      <w:r>
        <w:rPr>
          <w:rFonts w:hint="eastAsia" w:ascii="宋体" w:hAnsi="宋体" w:eastAsia="宋体" w:cs="宋体"/>
          <w:color w:val="auto"/>
          <w:kern w:val="0"/>
        </w:rPr>
        <w:t>房产测绘面积</w:t>
      </w:r>
      <w:r>
        <w:rPr>
          <w:rFonts w:hint="eastAsia" w:ascii="宋体" w:hAnsi="宋体" w:eastAsia="宋体" w:cs="宋体"/>
          <w:color w:val="auto"/>
          <w:kern w:val="0"/>
          <w:lang w:eastAsia="zh-CN"/>
        </w:rPr>
        <w:t>：</w:t>
      </w:r>
      <w:r>
        <w:rPr>
          <w:rFonts w:hint="eastAsia" w:ascii="宋体" w:hAnsi="宋体" w:eastAsia="宋体" w:cs="宋体"/>
          <w:color w:val="auto"/>
          <w:kern w:val="0"/>
        </w:rPr>
        <w:t>1311.62平方米。</w:t>
      </w:r>
    </w:p>
    <w:p>
      <w:pPr>
        <w:spacing w:line="420" w:lineRule="exact"/>
        <w:ind w:firstLine="480" w:firstLineChars="200"/>
        <w:rPr>
          <w:rFonts w:hint="eastAsia" w:ascii="宋体" w:hAnsi="宋体" w:eastAsia="宋体" w:cs="宋体"/>
          <w:color w:val="auto"/>
          <w:kern w:val="0"/>
        </w:rPr>
      </w:pPr>
      <w:r>
        <w:rPr>
          <w:rFonts w:hint="eastAsia" w:ascii="宋体" w:hAnsi="宋体" w:eastAsia="宋体" w:cs="宋体"/>
          <w:color w:val="auto"/>
          <w:kern w:val="0"/>
        </w:rPr>
        <w:t>3.建设与运营技术要求</w:t>
      </w:r>
    </w:p>
    <w:p>
      <w:pPr>
        <w:spacing w:line="420" w:lineRule="exact"/>
        <w:ind w:firstLine="480" w:firstLineChars="200"/>
        <w:rPr>
          <w:rFonts w:ascii="宋体" w:hAnsi="宋体" w:eastAsia="宋体" w:cs="宋体"/>
          <w:color w:val="auto"/>
          <w:kern w:val="0"/>
        </w:rPr>
      </w:pPr>
      <w:r>
        <w:rPr>
          <w:rFonts w:ascii="宋体" w:hAnsi="宋体" w:eastAsia="宋体" w:cs="宋体"/>
          <w:color w:val="auto"/>
          <w:kern w:val="0"/>
        </w:rPr>
        <w:t>3.1</w:t>
      </w:r>
      <w:r>
        <w:rPr>
          <w:rFonts w:hint="eastAsia" w:ascii="宋体" w:hAnsi="宋体" w:eastAsia="宋体" w:cs="宋体"/>
          <w:color w:val="auto"/>
          <w:kern w:val="0"/>
        </w:rPr>
        <w:t>总体要求</w:t>
      </w:r>
    </w:p>
    <w:p>
      <w:pPr>
        <w:spacing w:line="420" w:lineRule="exact"/>
        <w:ind w:firstLine="480" w:firstLineChars="200"/>
        <w:rPr>
          <w:rFonts w:ascii="宋体" w:hAnsi="宋体" w:eastAsia="宋体" w:cs="宋体"/>
          <w:color w:val="auto"/>
        </w:rPr>
      </w:pPr>
      <w:r>
        <w:rPr>
          <w:rFonts w:hint="eastAsia" w:ascii="宋体" w:hAnsi="宋体" w:eastAsia="宋体" w:cs="宋体"/>
          <w:color w:val="auto"/>
          <w:kern w:val="0"/>
        </w:rPr>
        <w:t>（</w:t>
      </w:r>
      <w:r>
        <w:rPr>
          <w:rFonts w:ascii="宋体" w:hAnsi="宋体" w:eastAsia="宋体" w:cs="宋体"/>
          <w:color w:val="auto"/>
          <w:kern w:val="0"/>
        </w:rPr>
        <w:t>1</w:t>
      </w:r>
      <w:r>
        <w:rPr>
          <w:rFonts w:hint="eastAsia" w:ascii="宋体" w:hAnsi="宋体" w:eastAsia="宋体" w:cs="宋体"/>
          <w:color w:val="auto"/>
          <w:kern w:val="0"/>
        </w:rPr>
        <w:t>）</w:t>
      </w:r>
      <w:r>
        <w:rPr>
          <w:rFonts w:hint="eastAsia" w:ascii="宋体" w:hAnsi="宋体" w:eastAsia="宋体" w:cs="宋体"/>
          <w:color w:val="auto"/>
        </w:rPr>
        <w:t>整体风格保持简约、明快、美观和实用。兼顾“综合性养老”的主题，强调整体和谐，特别是立面色彩和内部装修色彩的和谐度，装修材料节能环保。</w:t>
      </w:r>
    </w:p>
    <w:p>
      <w:pPr>
        <w:spacing w:line="420" w:lineRule="exact"/>
        <w:ind w:firstLine="480" w:firstLineChars="200"/>
        <w:rPr>
          <w:rFonts w:ascii="宋体" w:hAnsi="宋体" w:eastAsia="宋体" w:cs="宋体"/>
          <w:color w:val="auto"/>
        </w:rPr>
      </w:pPr>
      <w:r>
        <w:rPr>
          <w:rFonts w:hint="eastAsia" w:ascii="宋体" w:hAnsi="宋体" w:eastAsia="宋体" w:cs="宋体"/>
          <w:color w:val="auto"/>
        </w:rPr>
        <w:t>（</w:t>
      </w:r>
      <w:r>
        <w:rPr>
          <w:rFonts w:ascii="宋体" w:hAnsi="宋体" w:eastAsia="宋体" w:cs="宋体"/>
          <w:color w:val="auto"/>
        </w:rPr>
        <w:t>2</w:t>
      </w:r>
      <w:r>
        <w:rPr>
          <w:rFonts w:hint="eastAsia" w:ascii="宋体" w:hAnsi="宋体" w:eastAsia="宋体" w:cs="宋体"/>
          <w:color w:val="auto"/>
        </w:rPr>
        <w:t>）各功能区域主题要鲜明，有创意点，功能与形式要相协调。</w:t>
      </w:r>
    </w:p>
    <w:p>
      <w:pPr>
        <w:spacing w:line="420" w:lineRule="exact"/>
        <w:ind w:firstLine="480" w:firstLineChars="200"/>
        <w:rPr>
          <w:rFonts w:ascii="宋体" w:hAnsi="宋体" w:eastAsia="宋体" w:cs="宋体"/>
          <w:color w:val="auto"/>
        </w:rPr>
      </w:pPr>
      <w:r>
        <w:rPr>
          <w:rFonts w:hint="eastAsia" w:ascii="宋体" w:hAnsi="宋体" w:eastAsia="宋体" w:cs="宋体"/>
          <w:color w:val="auto"/>
        </w:rPr>
        <w:t>（</w:t>
      </w:r>
      <w:r>
        <w:rPr>
          <w:rFonts w:ascii="宋体" w:hAnsi="宋体" w:eastAsia="宋体" w:cs="宋体"/>
          <w:color w:val="auto"/>
        </w:rPr>
        <w:t>3</w:t>
      </w:r>
      <w:r>
        <w:rPr>
          <w:rFonts w:hint="eastAsia" w:ascii="宋体" w:hAnsi="宋体" w:eastAsia="宋体" w:cs="宋体"/>
          <w:color w:val="auto"/>
        </w:rPr>
        <w:t>）视觉上整体性好。特别要注重从细节处体现综合性养老的人文关怀、生活舒适度等。</w:t>
      </w:r>
    </w:p>
    <w:p>
      <w:pPr>
        <w:spacing w:line="420" w:lineRule="exact"/>
        <w:ind w:firstLine="480" w:firstLineChars="200"/>
        <w:rPr>
          <w:rFonts w:ascii="宋体" w:hAnsi="宋体" w:eastAsia="宋体" w:cs="宋体"/>
          <w:color w:val="auto"/>
        </w:rPr>
      </w:pPr>
      <w:r>
        <w:rPr>
          <w:rFonts w:hint="eastAsia" w:ascii="宋体" w:hAnsi="宋体" w:eastAsia="宋体" w:cs="宋体"/>
          <w:color w:val="auto"/>
        </w:rPr>
        <w:t>（</w:t>
      </w:r>
      <w:r>
        <w:rPr>
          <w:rFonts w:ascii="宋体" w:hAnsi="宋体" w:eastAsia="宋体" w:cs="宋体"/>
          <w:color w:val="auto"/>
        </w:rPr>
        <w:t>4</w:t>
      </w:r>
      <w:r>
        <w:rPr>
          <w:rFonts w:hint="eastAsia" w:ascii="宋体" w:hAnsi="宋体" w:eastAsia="宋体" w:cs="宋体"/>
          <w:color w:val="auto"/>
        </w:rPr>
        <w:t>）突出局部房间布置，如“床位”的有效性安排（含明确“床位”张数），空间布局功能的周到和适合老年人的家居用具。</w:t>
      </w:r>
    </w:p>
    <w:p>
      <w:pPr>
        <w:spacing w:line="420" w:lineRule="exact"/>
        <w:ind w:firstLine="480" w:firstLineChars="200"/>
        <w:rPr>
          <w:rFonts w:ascii="宋体" w:hAnsi="宋体" w:eastAsia="宋体" w:cs="宋体"/>
          <w:color w:val="auto"/>
        </w:rPr>
      </w:pPr>
      <w:r>
        <w:rPr>
          <w:rFonts w:hint="eastAsia" w:ascii="宋体" w:hAnsi="宋体" w:eastAsia="宋体" w:cs="宋体"/>
          <w:color w:val="auto"/>
        </w:rPr>
        <w:t>（</w:t>
      </w:r>
      <w:r>
        <w:rPr>
          <w:rFonts w:ascii="宋体" w:hAnsi="宋体" w:eastAsia="宋体" w:cs="宋体"/>
          <w:color w:val="auto"/>
        </w:rPr>
        <w:t>5</w:t>
      </w:r>
      <w:r>
        <w:rPr>
          <w:rFonts w:hint="eastAsia" w:ascii="宋体" w:hAnsi="宋体" w:eastAsia="宋体" w:cs="宋体"/>
          <w:color w:val="auto"/>
        </w:rPr>
        <w:t>）服务供应商若不具备装修施工资格的，应分包给具给装修施工资格的单位承担建设用房的装修工作，并双方签订装饰装修合同。</w:t>
      </w:r>
    </w:p>
    <w:p>
      <w:pPr>
        <w:spacing w:line="420" w:lineRule="exact"/>
        <w:ind w:firstLine="480" w:firstLineChars="200"/>
        <w:rPr>
          <w:rFonts w:ascii="宋体" w:hAnsi="宋体" w:eastAsia="宋体" w:cs="宋体"/>
          <w:color w:val="auto"/>
          <w:kern w:val="0"/>
        </w:rPr>
      </w:pPr>
      <w:r>
        <w:rPr>
          <w:rFonts w:ascii="宋体" w:hAnsi="宋体" w:eastAsia="宋体" w:cs="宋体"/>
          <w:color w:val="auto"/>
          <w:kern w:val="0"/>
        </w:rPr>
        <w:t>3.2</w:t>
      </w:r>
      <w:r>
        <w:rPr>
          <w:rFonts w:hint="eastAsia" w:ascii="宋体" w:hAnsi="宋体" w:eastAsia="宋体" w:cs="宋体"/>
          <w:color w:val="auto"/>
          <w:kern w:val="0"/>
        </w:rPr>
        <w:t>具体技术要求</w:t>
      </w:r>
    </w:p>
    <w:p>
      <w:pPr>
        <w:spacing w:line="420" w:lineRule="exact"/>
        <w:ind w:firstLine="480" w:firstLineChars="200"/>
        <w:rPr>
          <w:rFonts w:ascii="宋体" w:hAnsi="宋体" w:eastAsia="宋体" w:cs="宋体"/>
          <w:color w:val="auto"/>
          <w:kern w:val="0"/>
        </w:rPr>
      </w:pPr>
      <w:r>
        <w:rPr>
          <w:rFonts w:hint="eastAsia" w:ascii="宋体" w:hAnsi="宋体" w:eastAsia="宋体" w:cs="宋体"/>
          <w:color w:val="auto"/>
          <w:kern w:val="0"/>
        </w:rPr>
        <w:t>（</w:t>
      </w:r>
      <w:r>
        <w:rPr>
          <w:rFonts w:ascii="宋体" w:hAnsi="宋体" w:eastAsia="宋体" w:cs="宋体"/>
          <w:color w:val="auto"/>
          <w:kern w:val="0"/>
        </w:rPr>
        <w:t>1</w:t>
      </w:r>
      <w:r>
        <w:rPr>
          <w:rFonts w:hint="eastAsia" w:ascii="宋体" w:hAnsi="宋体" w:eastAsia="宋体" w:cs="宋体"/>
          <w:color w:val="auto"/>
          <w:kern w:val="0"/>
        </w:rPr>
        <w:t>）具体建设与运营按《江苏省城市街道综合性养老服务中心建设及运营规范》的通知（苏民养老〔</w:t>
      </w:r>
      <w:r>
        <w:rPr>
          <w:rFonts w:ascii="宋体" w:hAnsi="宋体" w:eastAsia="宋体" w:cs="宋体"/>
          <w:color w:val="auto"/>
          <w:kern w:val="0"/>
        </w:rPr>
        <w:t>2021</w:t>
      </w:r>
      <w:r>
        <w:rPr>
          <w:rFonts w:hint="eastAsia" w:ascii="宋体" w:hAnsi="宋体" w:eastAsia="宋体" w:cs="宋体"/>
          <w:color w:val="auto"/>
          <w:kern w:val="0"/>
        </w:rPr>
        <w:t>〕</w:t>
      </w:r>
      <w:r>
        <w:rPr>
          <w:rFonts w:ascii="宋体" w:hAnsi="宋体" w:eastAsia="宋体" w:cs="宋体"/>
          <w:color w:val="auto"/>
          <w:kern w:val="0"/>
        </w:rPr>
        <w:t>22</w:t>
      </w:r>
      <w:r>
        <w:rPr>
          <w:rFonts w:hint="eastAsia" w:ascii="宋体" w:hAnsi="宋体" w:eastAsia="宋体" w:cs="宋体"/>
          <w:color w:val="auto"/>
          <w:kern w:val="0"/>
        </w:rPr>
        <w:t>号）要求执行，具体内容详见附件一。</w:t>
      </w:r>
    </w:p>
    <w:p>
      <w:pPr>
        <w:spacing w:line="420" w:lineRule="exact"/>
        <w:ind w:firstLine="240" w:firstLineChars="100"/>
        <w:outlineLvl w:val="1"/>
        <w:rPr>
          <w:rFonts w:ascii="宋体" w:hAnsi="宋体" w:eastAsia="宋体" w:cs="宋体"/>
          <w:color w:val="auto"/>
        </w:rPr>
      </w:pPr>
      <w:r>
        <w:rPr>
          <w:rFonts w:hint="eastAsia" w:ascii="宋体" w:hAnsi="宋体" w:eastAsia="宋体" w:cs="宋体"/>
          <w:color w:val="auto"/>
          <w:kern w:val="0"/>
        </w:rPr>
        <w:t>（</w:t>
      </w:r>
      <w:r>
        <w:rPr>
          <w:rFonts w:ascii="宋体" w:hAnsi="宋体" w:eastAsia="宋体" w:cs="宋体"/>
          <w:color w:val="auto"/>
          <w:kern w:val="0"/>
        </w:rPr>
        <w:t>2</w:t>
      </w:r>
      <w:r>
        <w:rPr>
          <w:rFonts w:hint="eastAsia" w:ascii="宋体" w:hAnsi="宋体" w:eastAsia="宋体" w:cs="宋体"/>
          <w:color w:val="auto"/>
          <w:kern w:val="0"/>
        </w:rPr>
        <w:t>）本综合性养老服务中心包含建设</w:t>
      </w:r>
      <w:r>
        <w:rPr>
          <w:rFonts w:hint="eastAsia" w:ascii="宋体" w:hAnsi="宋体" w:eastAsia="宋体" w:cs="宋体"/>
          <w:color w:val="auto"/>
        </w:rPr>
        <w:t>护理站，具体要求如下：</w:t>
      </w:r>
    </w:p>
    <w:p>
      <w:pPr>
        <w:spacing w:line="360" w:lineRule="auto"/>
        <w:ind w:firstLine="480" w:firstLineChars="200"/>
        <w:rPr>
          <w:rFonts w:ascii="宋体" w:hAnsi="宋体" w:eastAsia="宋体" w:cs="宋体"/>
          <w:color w:val="auto"/>
          <w:kern w:val="0"/>
        </w:rPr>
      </w:pPr>
      <w:r>
        <w:rPr>
          <w:rFonts w:ascii="宋体" w:hAnsi="宋体" w:eastAsia="宋体" w:cs="宋体"/>
          <w:color w:val="auto"/>
          <w:kern w:val="0"/>
        </w:rPr>
        <w:t xml:space="preserve">A. </w:t>
      </w:r>
      <w:r>
        <w:rPr>
          <w:rFonts w:hint="eastAsia" w:ascii="宋体" w:hAnsi="宋体" w:eastAsia="宋体" w:cs="宋体"/>
          <w:color w:val="auto"/>
          <w:kern w:val="0"/>
        </w:rPr>
        <w:t>人员：</w:t>
      </w:r>
    </w:p>
    <w:p>
      <w:pPr>
        <w:spacing w:line="360" w:lineRule="auto"/>
        <w:ind w:firstLine="480" w:firstLineChars="200"/>
        <w:rPr>
          <w:rFonts w:ascii="宋体" w:hAnsi="宋体" w:eastAsia="宋体" w:cs="宋体"/>
          <w:color w:val="auto"/>
          <w:kern w:val="0"/>
        </w:rPr>
      </w:pPr>
      <w:r>
        <w:rPr>
          <w:rFonts w:ascii="宋体" w:hAnsi="宋体" w:eastAsia="宋体" w:cs="宋体"/>
          <w:color w:val="auto"/>
          <w:kern w:val="0"/>
        </w:rPr>
        <w:t xml:space="preserve">A.1 </w:t>
      </w:r>
      <w:r>
        <w:rPr>
          <w:rFonts w:hint="eastAsia" w:ascii="宋体" w:hAnsi="宋体" w:eastAsia="宋体" w:cs="宋体"/>
          <w:color w:val="auto"/>
          <w:kern w:val="0"/>
        </w:rPr>
        <w:t>至少有</w:t>
      </w:r>
      <w:r>
        <w:rPr>
          <w:rFonts w:ascii="宋体" w:hAnsi="宋体" w:eastAsia="宋体" w:cs="宋体"/>
          <w:color w:val="auto"/>
          <w:kern w:val="0"/>
        </w:rPr>
        <w:t>3</w:t>
      </w:r>
      <w:r>
        <w:rPr>
          <w:rFonts w:hint="eastAsia" w:ascii="宋体" w:hAnsi="宋体" w:eastAsia="宋体" w:cs="宋体"/>
          <w:color w:val="auto"/>
          <w:kern w:val="0"/>
        </w:rPr>
        <w:t>名具有护士以上职称的护士，其中有</w:t>
      </w:r>
      <w:r>
        <w:rPr>
          <w:rFonts w:ascii="宋体" w:hAnsi="宋体" w:eastAsia="宋体" w:cs="宋体"/>
          <w:color w:val="auto"/>
          <w:kern w:val="0"/>
        </w:rPr>
        <w:t>1</w:t>
      </w:r>
      <w:r>
        <w:rPr>
          <w:rFonts w:hint="eastAsia" w:ascii="宋体" w:hAnsi="宋体" w:eastAsia="宋体" w:cs="宋体"/>
          <w:color w:val="auto"/>
          <w:kern w:val="0"/>
        </w:rPr>
        <w:t>名具有主管护师以上职称的护士；</w:t>
      </w:r>
    </w:p>
    <w:p>
      <w:pPr>
        <w:spacing w:line="360" w:lineRule="auto"/>
        <w:ind w:firstLine="480" w:firstLineChars="200"/>
        <w:rPr>
          <w:rFonts w:ascii="宋体" w:hAnsi="宋体" w:eastAsia="宋体" w:cs="宋体"/>
          <w:color w:val="auto"/>
          <w:kern w:val="0"/>
        </w:rPr>
      </w:pPr>
      <w:r>
        <w:rPr>
          <w:rFonts w:ascii="宋体" w:hAnsi="宋体" w:eastAsia="宋体" w:cs="宋体"/>
          <w:color w:val="auto"/>
          <w:kern w:val="0"/>
        </w:rPr>
        <w:t xml:space="preserve">A.2 </w:t>
      </w:r>
      <w:r>
        <w:rPr>
          <w:rFonts w:hint="eastAsia" w:ascii="宋体" w:hAnsi="宋体" w:eastAsia="宋体" w:cs="宋体"/>
          <w:color w:val="auto"/>
          <w:kern w:val="0"/>
        </w:rPr>
        <w:t>至少有</w:t>
      </w:r>
      <w:r>
        <w:rPr>
          <w:rFonts w:ascii="宋体" w:hAnsi="宋体" w:eastAsia="宋体" w:cs="宋体"/>
          <w:color w:val="auto"/>
          <w:kern w:val="0"/>
        </w:rPr>
        <w:t>1</w:t>
      </w:r>
      <w:r>
        <w:rPr>
          <w:rFonts w:hint="eastAsia" w:ascii="宋体" w:hAnsi="宋体" w:eastAsia="宋体" w:cs="宋体"/>
          <w:color w:val="auto"/>
          <w:kern w:val="0"/>
        </w:rPr>
        <w:t>名康复治疗士；</w:t>
      </w:r>
    </w:p>
    <w:p>
      <w:pPr>
        <w:spacing w:line="360" w:lineRule="auto"/>
        <w:ind w:firstLine="480" w:firstLineChars="200"/>
        <w:rPr>
          <w:rFonts w:ascii="宋体" w:hAnsi="宋体" w:eastAsia="宋体" w:cs="宋体"/>
          <w:color w:val="auto"/>
          <w:kern w:val="0"/>
        </w:rPr>
      </w:pPr>
      <w:r>
        <w:rPr>
          <w:rFonts w:ascii="宋体" w:hAnsi="宋体" w:eastAsia="宋体" w:cs="宋体"/>
          <w:color w:val="auto"/>
          <w:kern w:val="0"/>
        </w:rPr>
        <w:t xml:space="preserve">A.3 </w:t>
      </w:r>
      <w:r>
        <w:rPr>
          <w:rFonts w:hint="eastAsia" w:ascii="宋体" w:hAnsi="宋体" w:eastAsia="宋体" w:cs="宋体"/>
          <w:color w:val="auto"/>
          <w:kern w:val="0"/>
        </w:rPr>
        <w:t>至少有</w:t>
      </w:r>
      <w:r>
        <w:rPr>
          <w:rFonts w:ascii="宋体" w:hAnsi="宋体" w:eastAsia="宋体" w:cs="宋体"/>
          <w:color w:val="auto"/>
          <w:kern w:val="0"/>
        </w:rPr>
        <w:t>2</w:t>
      </w:r>
      <w:r>
        <w:rPr>
          <w:rFonts w:hint="eastAsia" w:ascii="宋体" w:hAnsi="宋体" w:eastAsia="宋体" w:cs="宋体"/>
          <w:color w:val="auto"/>
          <w:kern w:val="0"/>
        </w:rPr>
        <w:t>名护理员。</w:t>
      </w:r>
    </w:p>
    <w:p>
      <w:pPr>
        <w:spacing w:line="360" w:lineRule="auto"/>
        <w:ind w:firstLine="480" w:firstLineChars="200"/>
        <w:rPr>
          <w:rFonts w:ascii="宋体" w:hAnsi="宋体" w:eastAsia="宋体" w:cs="宋体"/>
          <w:color w:val="auto"/>
          <w:kern w:val="0"/>
        </w:rPr>
      </w:pPr>
      <w:r>
        <w:rPr>
          <w:rFonts w:ascii="宋体" w:hAnsi="宋体" w:eastAsia="宋体" w:cs="宋体"/>
          <w:color w:val="auto"/>
          <w:kern w:val="0"/>
        </w:rPr>
        <w:t xml:space="preserve">B. </w:t>
      </w:r>
      <w:r>
        <w:rPr>
          <w:rFonts w:hint="eastAsia" w:ascii="宋体" w:hAnsi="宋体" w:eastAsia="宋体" w:cs="宋体"/>
          <w:color w:val="auto"/>
          <w:kern w:val="0"/>
        </w:rPr>
        <w:t>房屋：</w:t>
      </w:r>
    </w:p>
    <w:p>
      <w:pPr>
        <w:spacing w:line="360" w:lineRule="auto"/>
        <w:ind w:firstLine="480" w:firstLineChars="200"/>
        <w:rPr>
          <w:rFonts w:ascii="宋体" w:hAnsi="宋体" w:eastAsia="宋体" w:cs="宋体"/>
          <w:color w:val="auto"/>
          <w:kern w:val="0"/>
        </w:rPr>
      </w:pPr>
      <w:r>
        <w:rPr>
          <w:rFonts w:hint="eastAsia" w:ascii="宋体" w:hAnsi="宋体" w:eastAsia="宋体" w:cs="宋体"/>
          <w:color w:val="auto"/>
          <w:kern w:val="0"/>
        </w:rPr>
        <w:t>建筑面积不少于</w:t>
      </w:r>
      <w:r>
        <w:rPr>
          <w:rFonts w:ascii="宋体" w:hAnsi="宋体" w:eastAsia="宋体" w:cs="宋体"/>
          <w:color w:val="auto"/>
          <w:kern w:val="0"/>
        </w:rPr>
        <w:t>30</w:t>
      </w:r>
      <w:r>
        <w:rPr>
          <w:rFonts w:hint="eastAsia" w:ascii="宋体" w:hAnsi="宋体" w:eastAsia="宋体" w:cs="宋体"/>
          <w:color w:val="auto"/>
          <w:kern w:val="0"/>
        </w:rPr>
        <w:t>平方米，治疗、处置、消毒供应等活动相对隔开。</w:t>
      </w:r>
    </w:p>
    <w:p>
      <w:pPr>
        <w:spacing w:line="360" w:lineRule="auto"/>
        <w:ind w:firstLine="480" w:firstLineChars="200"/>
        <w:rPr>
          <w:rFonts w:ascii="宋体" w:hAnsi="宋体" w:eastAsia="宋体" w:cs="宋体"/>
          <w:color w:val="auto"/>
          <w:kern w:val="0"/>
        </w:rPr>
      </w:pPr>
      <w:r>
        <w:rPr>
          <w:rFonts w:ascii="宋体" w:hAnsi="宋体" w:eastAsia="宋体" w:cs="宋体"/>
          <w:color w:val="auto"/>
          <w:kern w:val="0"/>
        </w:rPr>
        <w:t xml:space="preserve">C. </w:t>
      </w:r>
      <w:r>
        <w:rPr>
          <w:rFonts w:hint="eastAsia" w:ascii="宋体" w:hAnsi="宋体" w:eastAsia="宋体" w:cs="宋体"/>
          <w:color w:val="auto"/>
          <w:kern w:val="0"/>
        </w:rPr>
        <w:t>设备：</w:t>
      </w:r>
    </w:p>
    <w:p>
      <w:pPr>
        <w:spacing w:line="360" w:lineRule="auto"/>
        <w:ind w:firstLine="480" w:firstLineChars="200"/>
        <w:rPr>
          <w:rFonts w:ascii="宋体" w:hAnsi="宋体" w:eastAsia="宋体" w:cs="宋体"/>
          <w:color w:val="auto"/>
          <w:kern w:val="0"/>
        </w:rPr>
      </w:pPr>
      <w:r>
        <w:rPr>
          <w:rFonts w:ascii="宋体" w:hAnsi="宋体" w:eastAsia="宋体" w:cs="宋体"/>
          <w:color w:val="auto"/>
          <w:kern w:val="0"/>
        </w:rPr>
        <w:t xml:space="preserve">C.1 </w:t>
      </w:r>
      <w:r>
        <w:rPr>
          <w:rFonts w:hint="eastAsia" w:ascii="宋体" w:hAnsi="宋体" w:eastAsia="宋体" w:cs="宋体"/>
          <w:color w:val="auto"/>
          <w:kern w:val="0"/>
        </w:rPr>
        <w:t>有业务活动所必需的护理用具及消毒灭菌设备；</w:t>
      </w:r>
    </w:p>
    <w:p>
      <w:pPr>
        <w:spacing w:line="360" w:lineRule="auto"/>
        <w:ind w:firstLine="480" w:firstLineChars="200"/>
        <w:rPr>
          <w:rFonts w:ascii="宋体" w:hAnsi="宋体" w:eastAsia="宋体" w:cs="宋体"/>
          <w:color w:val="auto"/>
          <w:kern w:val="0"/>
        </w:rPr>
      </w:pPr>
      <w:r>
        <w:rPr>
          <w:rFonts w:ascii="宋体" w:hAnsi="宋体" w:eastAsia="宋体" w:cs="宋体"/>
          <w:color w:val="auto"/>
          <w:kern w:val="0"/>
        </w:rPr>
        <w:t xml:space="preserve">C.2 </w:t>
      </w:r>
      <w:r>
        <w:rPr>
          <w:rFonts w:hint="eastAsia" w:ascii="宋体" w:hAnsi="宋体" w:eastAsia="宋体" w:cs="宋体"/>
          <w:color w:val="auto"/>
          <w:kern w:val="0"/>
        </w:rPr>
        <w:t>有三年以上治疗护理记录及文件保存条件；</w:t>
      </w:r>
    </w:p>
    <w:p>
      <w:pPr>
        <w:spacing w:line="360" w:lineRule="auto"/>
        <w:ind w:firstLine="480" w:firstLineChars="200"/>
        <w:rPr>
          <w:rFonts w:ascii="宋体" w:hAnsi="宋体" w:eastAsia="宋体" w:cs="宋体"/>
          <w:color w:val="auto"/>
          <w:kern w:val="0"/>
        </w:rPr>
      </w:pPr>
      <w:r>
        <w:rPr>
          <w:rFonts w:ascii="宋体" w:hAnsi="宋体" w:eastAsia="宋体" w:cs="宋体"/>
          <w:color w:val="auto"/>
          <w:kern w:val="0"/>
        </w:rPr>
        <w:t>C.3</w:t>
      </w:r>
      <w:r>
        <w:rPr>
          <w:rFonts w:hint="eastAsia" w:ascii="宋体" w:hAnsi="宋体" w:eastAsia="宋体" w:cs="宋体"/>
          <w:color w:val="auto"/>
          <w:kern w:val="0"/>
        </w:rPr>
        <w:t>有必要的通讯联络设备；</w:t>
      </w:r>
    </w:p>
    <w:p>
      <w:pPr>
        <w:spacing w:line="360" w:lineRule="auto"/>
        <w:ind w:firstLine="480" w:firstLineChars="200"/>
        <w:rPr>
          <w:rFonts w:ascii="宋体" w:hAnsi="宋体" w:eastAsia="宋体" w:cs="宋体"/>
          <w:color w:val="auto"/>
          <w:kern w:val="0"/>
        </w:rPr>
      </w:pPr>
      <w:r>
        <w:rPr>
          <w:rFonts w:ascii="宋体" w:hAnsi="宋体" w:eastAsia="宋体" w:cs="宋体"/>
          <w:color w:val="auto"/>
          <w:kern w:val="0"/>
        </w:rPr>
        <w:t xml:space="preserve">C.4 </w:t>
      </w:r>
      <w:r>
        <w:rPr>
          <w:rFonts w:hint="eastAsia" w:ascii="宋体" w:hAnsi="宋体" w:eastAsia="宋体" w:cs="宋体"/>
          <w:color w:val="auto"/>
          <w:kern w:val="0"/>
        </w:rPr>
        <w:t>有与开展的服务项目相应的其他设备。</w:t>
      </w:r>
    </w:p>
    <w:p>
      <w:pPr>
        <w:spacing w:line="360" w:lineRule="auto"/>
        <w:ind w:firstLine="480" w:firstLineChars="200"/>
        <w:rPr>
          <w:rFonts w:ascii="宋体" w:hAnsi="宋体" w:eastAsia="宋体" w:cs="宋体"/>
          <w:kern w:val="0"/>
        </w:rPr>
      </w:pPr>
      <w:r>
        <w:rPr>
          <w:rFonts w:ascii="宋体" w:hAnsi="宋体" w:eastAsia="宋体" w:cs="宋体"/>
          <w:color w:val="auto"/>
          <w:kern w:val="0"/>
        </w:rPr>
        <w:t>D.</w:t>
      </w:r>
      <w:r>
        <w:rPr>
          <w:rFonts w:hint="eastAsia" w:ascii="宋体" w:hAnsi="宋体" w:eastAsia="宋体" w:cs="宋体"/>
          <w:color w:val="auto"/>
          <w:kern w:val="0"/>
        </w:rPr>
        <w:t>制订各项规章制度、</w:t>
      </w:r>
      <w:r>
        <w:rPr>
          <w:rFonts w:hint="eastAsia" w:ascii="宋体" w:hAnsi="宋体" w:eastAsia="宋体" w:cs="宋体"/>
          <w:kern w:val="0"/>
        </w:rPr>
        <w:t>人员岗位责任制，有国家制定或认可的医疗护理技术操作规程，并成册可用。</w:t>
      </w:r>
    </w:p>
    <w:p>
      <w:pPr>
        <w:spacing w:line="360" w:lineRule="auto"/>
        <w:ind w:firstLine="480" w:firstLineChars="200"/>
        <w:rPr>
          <w:rFonts w:ascii="宋体" w:hAnsi="宋体" w:eastAsia="宋体" w:cs="宋体"/>
          <w:kern w:val="0"/>
        </w:rPr>
      </w:pPr>
      <w:r>
        <w:rPr>
          <w:rFonts w:ascii="宋体" w:hAnsi="宋体" w:eastAsia="宋体" w:cs="宋体"/>
          <w:kern w:val="0"/>
        </w:rPr>
        <w:t>D.</w:t>
      </w:r>
      <w:r>
        <w:rPr>
          <w:rFonts w:hint="eastAsia" w:ascii="宋体" w:hAnsi="宋体" w:eastAsia="宋体" w:cs="宋体"/>
          <w:kern w:val="0"/>
        </w:rPr>
        <w:t>注册资金到位，数额由各省、自治区、直辖市卫生行政部门确定。</w:t>
      </w:r>
    </w:p>
    <w:p>
      <w:pPr>
        <w:pStyle w:val="21"/>
        <w:ind w:left="31680" w:firstLine="31680"/>
      </w:pPr>
      <w:r>
        <w:rPr>
          <w:rFonts w:ascii="宋体" w:hAnsi="宋体" w:cs="宋体"/>
          <w:sz w:val="24"/>
        </w:rPr>
        <w:t>E.</w:t>
      </w:r>
      <w:r>
        <w:rPr>
          <w:rFonts w:hint="eastAsia" w:ascii="宋体" w:hAnsi="宋体" w:cs="宋体"/>
          <w:sz w:val="24"/>
        </w:rPr>
        <w:t>护理站建设标准</w:t>
      </w:r>
    </w:p>
    <w:tbl>
      <w:tblPr>
        <w:tblStyle w:val="50"/>
        <w:tblW w:w="10890" w:type="dxa"/>
        <w:tblInd w:w="-539" w:type="dxa"/>
        <w:tblLayout w:type="fixed"/>
        <w:tblCellMar>
          <w:top w:w="0" w:type="dxa"/>
          <w:left w:w="108" w:type="dxa"/>
          <w:bottom w:w="0" w:type="dxa"/>
          <w:right w:w="108" w:type="dxa"/>
        </w:tblCellMar>
      </w:tblPr>
      <w:tblGrid>
        <w:gridCol w:w="1020"/>
        <w:gridCol w:w="1875"/>
        <w:gridCol w:w="2190"/>
        <w:gridCol w:w="2295"/>
        <w:gridCol w:w="1920"/>
        <w:gridCol w:w="1590"/>
      </w:tblGrid>
      <w:tr>
        <w:tblPrEx>
          <w:tblCellMar>
            <w:top w:w="0" w:type="dxa"/>
            <w:left w:w="108" w:type="dxa"/>
            <w:bottom w:w="0" w:type="dxa"/>
            <w:right w:w="108" w:type="dxa"/>
          </w:tblCellMar>
        </w:tblPrEx>
        <w:trPr>
          <w:trHeight w:val="1470" w:hRule="atLeast"/>
        </w:trPr>
        <w:tc>
          <w:tcPr>
            <w:tcW w:w="102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kern w:val="0"/>
                <w:sz w:val="21"/>
                <w:szCs w:val="21"/>
              </w:rPr>
            </w:pPr>
            <w:r>
              <w:rPr>
                <w:rFonts w:hint="eastAsia" w:ascii="宋体" w:hAnsi="宋体" w:eastAsia="宋体" w:cs="宋体"/>
                <w:kern w:val="0"/>
                <w:sz w:val="21"/>
                <w:szCs w:val="21"/>
              </w:rPr>
              <w:t>项目</w:t>
            </w:r>
          </w:p>
        </w:tc>
        <w:tc>
          <w:tcPr>
            <w:tcW w:w="1875"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20" w:firstLineChars="200"/>
              <w:jc w:val="center"/>
              <w:rPr>
                <w:rFonts w:ascii="宋体" w:hAnsi="宋体" w:eastAsia="宋体" w:cs="宋体"/>
                <w:kern w:val="0"/>
                <w:sz w:val="21"/>
                <w:szCs w:val="21"/>
              </w:rPr>
            </w:pPr>
            <w:r>
              <w:rPr>
                <w:rFonts w:hint="eastAsia" w:ascii="宋体" w:hAnsi="宋体" w:eastAsia="宋体" w:cs="宋体"/>
                <w:kern w:val="0"/>
                <w:sz w:val="21"/>
                <w:szCs w:val="21"/>
              </w:rPr>
              <w:t>机构设置</w:t>
            </w:r>
          </w:p>
        </w:tc>
        <w:tc>
          <w:tcPr>
            <w:tcW w:w="2190"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20" w:firstLineChars="200"/>
              <w:jc w:val="center"/>
              <w:rPr>
                <w:rFonts w:ascii="宋体" w:hAnsi="宋体" w:eastAsia="宋体" w:cs="宋体"/>
                <w:kern w:val="0"/>
                <w:sz w:val="21"/>
                <w:szCs w:val="21"/>
              </w:rPr>
            </w:pPr>
            <w:r>
              <w:rPr>
                <w:rFonts w:hint="eastAsia" w:ascii="宋体" w:hAnsi="宋体" w:eastAsia="宋体" w:cs="宋体"/>
                <w:kern w:val="0"/>
                <w:sz w:val="21"/>
                <w:szCs w:val="21"/>
              </w:rPr>
              <w:t>基础设施</w:t>
            </w:r>
          </w:p>
        </w:tc>
        <w:tc>
          <w:tcPr>
            <w:tcW w:w="2295"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20" w:firstLineChars="200"/>
              <w:jc w:val="center"/>
              <w:rPr>
                <w:rFonts w:ascii="宋体" w:hAnsi="宋体" w:eastAsia="宋体" w:cs="宋体"/>
                <w:kern w:val="0"/>
                <w:sz w:val="21"/>
                <w:szCs w:val="21"/>
              </w:rPr>
            </w:pPr>
            <w:r>
              <w:rPr>
                <w:rFonts w:hint="eastAsia" w:ascii="宋体" w:hAnsi="宋体" w:eastAsia="宋体" w:cs="宋体"/>
                <w:kern w:val="0"/>
                <w:sz w:val="21"/>
                <w:szCs w:val="21"/>
              </w:rPr>
              <w:t>服务功能</w:t>
            </w:r>
          </w:p>
        </w:tc>
        <w:tc>
          <w:tcPr>
            <w:tcW w:w="1920"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20" w:firstLineChars="200"/>
              <w:jc w:val="center"/>
              <w:rPr>
                <w:rFonts w:ascii="宋体" w:hAnsi="宋体" w:eastAsia="宋体" w:cs="宋体"/>
                <w:kern w:val="0"/>
                <w:sz w:val="21"/>
                <w:szCs w:val="21"/>
              </w:rPr>
            </w:pPr>
            <w:r>
              <w:rPr>
                <w:rFonts w:hint="eastAsia" w:ascii="宋体" w:hAnsi="宋体" w:eastAsia="宋体" w:cs="宋体"/>
                <w:kern w:val="0"/>
                <w:sz w:val="21"/>
                <w:szCs w:val="21"/>
              </w:rPr>
              <w:t>服务队伍</w:t>
            </w:r>
          </w:p>
        </w:tc>
        <w:tc>
          <w:tcPr>
            <w:tcW w:w="15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kern w:val="0"/>
                <w:sz w:val="21"/>
                <w:szCs w:val="21"/>
              </w:rPr>
            </w:pPr>
            <w:r>
              <w:rPr>
                <w:rFonts w:hint="eastAsia" w:ascii="宋体" w:hAnsi="宋体" w:eastAsia="宋体" w:cs="宋体"/>
                <w:kern w:val="0"/>
                <w:sz w:val="21"/>
                <w:szCs w:val="21"/>
              </w:rPr>
              <w:t>管理制度</w:t>
            </w:r>
          </w:p>
        </w:tc>
      </w:tr>
      <w:tr>
        <w:tblPrEx>
          <w:tblCellMar>
            <w:top w:w="0" w:type="dxa"/>
            <w:left w:w="108" w:type="dxa"/>
            <w:bottom w:w="0" w:type="dxa"/>
            <w:right w:w="108" w:type="dxa"/>
          </w:tblCellMar>
        </w:tblPrEx>
        <w:trPr>
          <w:trHeight w:val="5210" w:hRule="atLeast"/>
        </w:trPr>
        <w:tc>
          <w:tcPr>
            <w:tcW w:w="102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kern w:val="0"/>
                <w:sz w:val="21"/>
                <w:szCs w:val="21"/>
              </w:rPr>
            </w:pPr>
            <w:r>
              <w:rPr>
                <w:rFonts w:hint="eastAsia" w:ascii="宋体" w:hAnsi="宋体" w:eastAsia="宋体" w:cs="宋体"/>
                <w:kern w:val="0"/>
                <w:sz w:val="21"/>
                <w:szCs w:val="21"/>
              </w:rPr>
              <w:t>护理站</w:t>
            </w:r>
          </w:p>
        </w:tc>
        <w:tc>
          <w:tcPr>
            <w:tcW w:w="1875"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纳入区县区域卫生规划，设置标准应符合国家护理站基本标准。每个街道（乡镇）可设置一个护理站。选址应尽量与社区居家养老服务中心相邻近，鼓励护理站与社区居家养老服务中心实行一站式服务。在《医疗机构执业许可证》登记的执业地点（简称中心站）之外，以所在街道为服务单位，根据适宜的服务半径，可设立若干不具有法人资格的服务网点（简称分站）。分站设置须符合护理站基本标准，并经卫生计生行政部门核准同意。</w:t>
            </w:r>
          </w:p>
        </w:tc>
        <w:tc>
          <w:tcPr>
            <w:tcW w:w="2190"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建筑面积不少于</w:t>
            </w:r>
            <w:r>
              <w:rPr>
                <w:rFonts w:ascii="宋体" w:hAnsi="宋体" w:eastAsia="宋体" w:cs="宋体"/>
                <w:kern w:val="0"/>
                <w:sz w:val="21"/>
                <w:szCs w:val="21"/>
              </w:rPr>
              <w:t>30</w:t>
            </w:r>
            <w:r>
              <w:rPr>
                <w:rFonts w:hint="eastAsia" w:ascii="宋体" w:hAnsi="宋体" w:eastAsia="宋体" w:cs="宋体"/>
                <w:kern w:val="0"/>
                <w:sz w:val="21"/>
                <w:szCs w:val="21"/>
              </w:rPr>
              <w:t>平方米，治疗、处置、消毒供应等活动相对隔开。有业务活动所必需的护理用具及消毒灭菌设备。有三年以上治疗护理记录及文件保存条件。有必要的通讯联络设备。有与开展的服务项目相应的其他设备。制订各项规章制度、人员岗位责任制，有国家制定或认可的医疗护理技术操作规程，并成册可用。消防安全管理到位，配备必备的消防器材设施。有完善的信息服务平台，支持护理站应用基于移动互联网的便携式体检、紧急呼叫监控等医疗器械设备，以及具有服务派送、服务监控、服务评价等功能的移动终端。</w:t>
            </w:r>
          </w:p>
        </w:tc>
        <w:tc>
          <w:tcPr>
            <w:tcW w:w="2295"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包括基础护理技术、专科护理技术、消毒隔离技术指导、营养指导、社区康复指导、健康宣教等护理服务。基础护理主要为：口腔护理；体温、脉搏、呼吸、血压的测量和记录；皮肤（含压疮）护理；物理降温；鼻饲；个人卫生处置（床上洗发、床上擦浴、修甲等）；冷、热、湿敷；热水袋的应用；肛管排气；雾化吸入；氧气吸入；吸痰；持续导尿病人的护理及膀胱冲洗；饮食指导；简易通便法；伤口护理；药物服用及指导；肌肉、皮下注射；血、尿、便标本的采集；家庭消毒、隔离技术等。专科护理主要为：造口</w:t>
            </w:r>
            <w:r>
              <w:rPr>
                <w:rFonts w:ascii="宋体" w:hAnsi="宋体" w:eastAsia="宋体" w:cs="宋体"/>
                <w:kern w:val="0"/>
                <w:sz w:val="21"/>
                <w:szCs w:val="21"/>
              </w:rPr>
              <w:t>/</w:t>
            </w:r>
            <w:r>
              <w:rPr>
                <w:rFonts w:hint="eastAsia" w:ascii="宋体" w:hAnsi="宋体" w:eastAsia="宋体" w:cs="宋体"/>
                <w:kern w:val="0"/>
                <w:sz w:val="21"/>
                <w:szCs w:val="21"/>
              </w:rPr>
              <w:t>造瘘护理及指导；产后及新生儿、婴幼儿护理及指导；连续性腹膜透析护理及指导；气管切开护理；糖尿病护理及指导；心、肺康复护理及指导；心脏疾病护理及指导；家居适应及康复运动；临终关怀护理等。</w:t>
            </w:r>
          </w:p>
        </w:tc>
        <w:tc>
          <w:tcPr>
            <w:tcW w:w="1920"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人员由社区护士、康复治疗师（士）和其他护理人员组成，其中执业注册护士不少于</w:t>
            </w:r>
            <w:r>
              <w:rPr>
                <w:rFonts w:ascii="宋体" w:hAnsi="宋体" w:eastAsia="宋体" w:cs="宋体"/>
                <w:kern w:val="0"/>
                <w:sz w:val="21"/>
                <w:szCs w:val="21"/>
              </w:rPr>
              <w:t>3</w:t>
            </w:r>
            <w:r>
              <w:rPr>
                <w:rFonts w:hint="eastAsia" w:ascii="宋体" w:hAnsi="宋体" w:eastAsia="宋体" w:cs="宋体"/>
                <w:kern w:val="0"/>
                <w:sz w:val="21"/>
                <w:szCs w:val="21"/>
              </w:rPr>
              <w:t>人、康复治疗士不少于</w:t>
            </w:r>
            <w:r>
              <w:rPr>
                <w:rFonts w:ascii="宋体" w:hAnsi="宋体" w:eastAsia="宋体" w:cs="宋体"/>
                <w:kern w:val="0"/>
                <w:sz w:val="21"/>
                <w:szCs w:val="21"/>
              </w:rPr>
              <w:t>1</w:t>
            </w:r>
            <w:r>
              <w:rPr>
                <w:rFonts w:hint="eastAsia" w:ascii="宋体" w:hAnsi="宋体" w:eastAsia="宋体" w:cs="宋体"/>
                <w:kern w:val="0"/>
                <w:sz w:val="21"/>
                <w:szCs w:val="21"/>
              </w:rPr>
              <w:t>人、护理员不少于</w:t>
            </w:r>
            <w:r>
              <w:rPr>
                <w:rFonts w:ascii="宋体" w:hAnsi="宋体" w:eastAsia="宋体" w:cs="宋体"/>
                <w:kern w:val="0"/>
                <w:sz w:val="21"/>
                <w:szCs w:val="21"/>
              </w:rPr>
              <w:t>2</w:t>
            </w:r>
            <w:r>
              <w:rPr>
                <w:rFonts w:hint="eastAsia" w:ascii="宋体" w:hAnsi="宋体" w:eastAsia="宋体" w:cs="宋体"/>
                <w:kern w:val="0"/>
                <w:sz w:val="21"/>
                <w:szCs w:val="21"/>
              </w:rPr>
              <w:t>人。独立从事家庭访视护理工作的护士应具有从事临床护理工作</w:t>
            </w:r>
            <w:r>
              <w:rPr>
                <w:rFonts w:ascii="宋体" w:hAnsi="宋体" w:eastAsia="宋体" w:cs="宋体"/>
                <w:kern w:val="0"/>
                <w:sz w:val="21"/>
                <w:szCs w:val="21"/>
              </w:rPr>
              <w:t>5</w:t>
            </w:r>
            <w:r>
              <w:rPr>
                <w:rFonts w:hint="eastAsia" w:ascii="宋体" w:hAnsi="宋体" w:eastAsia="宋体" w:cs="宋体"/>
                <w:kern w:val="0"/>
                <w:sz w:val="21"/>
                <w:szCs w:val="21"/>
              </w:rPr>
              <w:t>年以上的工作经历，其他社区护理人员应具有一定的社区护理知识、经验和能力，上岗前经相关专业培训。护理站执业点为一个基本护理单元，设护士长一名，超过</w:t>
            </w:r>
            <w:r>
              <w:rPr>
                <w:rFonts w:ascii="宋体" w:hAnsi="宋体" w:eastAsia="宋体" w:cs="宋体"/>
                <w:kern w:val="0"/>
                <w:sz w:val="21"/>
                <w:szCs w:val="21"/>
              </w:rPr>
              <w:t>3</w:t>
            </w:r>
            <w:r>
              <w:rPr>
                <w:rFonts w:hint="eastAsia" w:ascii="宋体" w:hAnsi="宋体" w:eastAsia="宋体" w:cs="宋体"/>
                <w:kern w:val="0"/>
                <w:sz w:val="21"/>
                <w:szCs w:val="21"/>
              </w:rPr>
              <w:t>个护理站执业点设总护士长</w:t>
            </w:r>
            <w:r>
              <w:rPr>
                <w:rFonts w:ascii="宋体" w:hAnsi="宋体" w:eastAsia="宋体" w:cs="宋体"/>
                <w:kern w:val="0"/>
                <w:sz w:val="21"/>
                <w:szCs w:val="21"/>
              </w:rPr>
              <w:t>1</w:t>
            </w:r>
            <w:r>
              <w:rPr>
                <w:rFonts w:hint="eastAsia" w:ascii="宋体" w:hAnsi="宋体" w:eastAsia="宋体" w:cs="宋体"/>
                <w:kern w:val="0"/>
                <w:sz w:val="21"/>
                <w:szCs w:val="21"/>
              </w:rPr>
              <w:t>名。护士长负责执业点的护理管理，应具有主管护师以上职称。</w:t>
            </w:r>
          </w:p>
        </w:tc>
        <w:tc>
          <w:tcPr>
            <w:tcW w:w="1590"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建立内部护理质量控制制度、护理意外事件应急预案等各项规章制度。严格执行消毒隔离制度、安全风险管理制度、值班和交接班制度、医嘱制度、查对制度、差错与事故防范和登记报告制度、药品管理制度、抢救制度、传染病管理和报告制度、治疗室管理制度、居家护理管理制度等管理制度。</w:t>
            </w:r>
          </w:p>
        </w:tc>
      </w:tr>
    </w:tbl>
    <w:p>
      <w:pPr>
        <w:pStyle w:val="49"/>
        <w:ind w:left="0" w:firstLine="0" w:firstLineChars="0"/>
        <w:rPr>
          <w:rFonts w:ascii="宋体" w:cs="宋体"/>
          <w:color w:val="FF0000"/>
        </w:rPr>
      </w:pPr>
    </w:p>
    <w:p>
      <w:pPr>
        <w:spacing w:line="420" w:lineRule="exact"/>
        <w:ind w:firstLine="480" w:firstLineChars="200"/>
        <w:outlineLvl w:val="3"/>
        <w:rPr>
          <w:rFonts w:ascii="宋体" w:hAnsi="宋体" w:eastAsia="宋体" w:cs="宋体"/>
          <w:color w:val="auto"/>
        </w:rPr>
      </w:pPr>
      <w:r>
        <w:rPr>
          <w:rFonts w:ascii="宋体" w:hAnsi="宋体" w:eastAsia="宋体" w:cs="宋体"/>
          <w:color w:val="auto"/>
          <w:kern w:val="0"/>
        </w:rPr>
        <w:t>3.3</w:t>
      </w:r>
      <w:r>
        <w:rPr>
          <w:rFonts w:hint="eastAsia" w:ascii="宋体" w:hAnsi="宋体" w:eastAsia="宋体" w:cs="宋体"/>
          <w:color w:val="auto"/>
        </w:rPr>
        <w:t>建设装修施工要求</w:t>
      </w:r>
    </w:p>
    <w:p>
      <w:pPr>
        <w:spacing w:line="420" w:lineRule="exact"/>
        <w:ind w:firstLine="480" w:firstLineChars="200"/>
        <w:rPr>
          <w:rFonts w:ascii="宋体" w:hAnsi="宋体" w:eastAsia="宋体" w:cs="宋体"/>
          <w:color w:val="auto"/>
        </w:rPr>
      </w:pPr>
      <w:r>
        <w:rPr>
          <w:rFonts w:hint="eastAsia" w:ascii="宋体" w:hAnsi="宋体" w:eastAsia="宋体" w:cs="宋体"/>
          <w:color w:val="auto"/>
        </w:rPr>
        <w:t>（</w:t>
      </w:r>
      <w:r>
        <w:rPr>
          <w:rFonts w:ascii="宋体" w:hAnsi="宋体" w:eastAsia="宋体" w:cs="宋体"/>
          <w:color w:val="auto"/>
        </w:rPr>
        <w:t>1</w:t>
      </w:r>
      <w:r>
        <w:rPr>
          <w:rFonts w:hint="eastAsia" w:ascii="宋体" w:hAnsi="宋体" w:eastAsia="宋体" w:cs="宋体"/>
          <w:color w:val="auto"/>
        </w:rPr>
        <w:t>）服务供应商征得采购人的书面同意，可以自行对建设标的物所涉场地、房屋建筑进行装修，但不得破坏建筑原有主体结构及其不可分割的设备设施用途。</w:t>
      </w:r>
    </w:p>
    <w:p>
      <w:pPr>
        <w:spacing w:line="420" w:lineRule="exact"/>
        <w:ind w:firstLine="480" w:firstLineChars="200"/>
        <w:rPr>
          <w:rFonts w:ascii="宋体" w:hAnsi="宋体" w:eastAsia="宋体" w:cs="宋体"/>
          <w:color w:val="auto"/>
        </w:rPr>
      </w:pPr>
      <w:r>
        <w:rPr>
          <w:rFonts w:hint="eastAsia" w:ascii="宋体" w:hAnsi="宋体" w:eastAsia="宋体" w:cs="宋体"/>
          <w:color w:val="auto"/>
        </w:rPr>
        <w:t>（</w:t>
      </w:r>
      <w:r>
        <w:rPr>
          <w:rFonts w:ascii="宋体" w:hAnsi="宋体" w:eastAsia="宋体" w:cs="宋体"/>
          <w:color w:val="auto"/>
        </w:rPr>
        <w:t>2</w:t>
      </w:r>
      <w:r>
        <w:rPr>
          <w:rFonts w:hint="eastAsia" w:ascii="宋体" w:hAnsi="宋体" w:eastAsia="宋体" w:cs="宋体"/>
          <w:color w:val="auto"/>
        </w:rPr>
        <w:t>）服务供应商装修前应当报消防、环保、卫生防疫部门审批的，须经审批后方可施工，装修后报请验收；改变建筑外观形象应报相关部门批准。</w:t>
      </w:r>
    </w:p>
    <w:p>
      <w:pPr>
        <w:spacing w:line="420" w:lineRule="exact"/>
        <w:ind w:firstLine="482" w:firstLineChars="200"/>
        <w:rPr>
          <w:rFonts w:ascii="宋体" w:hAnsi="宋体" w:eastAsia="宋体" w:cs="宋体"/>
          <w:b/>
          <w:bCs/>
          <w:color w:val="auto"/>
        </w:rPr>
      </w:pPr>
      <w:r>
        <w:rPr>
          <w:rFonts w:hint="eastAsia" w:ascii="宋体" w:hAnsi="宋体" w:eastAsia="宋体" w:cs="宋体"/>
          <w:b/>
          <w:bCs/>
          <w:color w:val="auto"/>
        </w:rPr>
        <w:t>（</w:t>
      </w:r>
      <w:r>
        <w:rPr>
          <w:rFonts w:ascii="宋体" w:hAnsi="宋体" w:eastAsia="宋体" w:cs="宋体"/>
          <w:b/>
          <w:bCs/>
          <w:color w:val="auto"/>
        </w:rPr>
        <w:t>3</w:t>
      </w:r>
      <w:r>
        <w:rPr>
          <w:rFonts w:hint="eastAsia" w:ascii="宋体" w:hAnsi="宋体" w:eastAsia="宋体" w:cs="宋体"/>
          <w:b/>
          <w:bCs/>
          <w:color w:val="auto"/>
        </w:rPr>
        <w:t>）建设装修工期要求：确保在</w:t>
      </w:r>
      <w:r>
        <w:rPr>
          <w:rFonts w:ascii="宋体" w:hAnsi="宋体" w:eastAsia="宋体" w:cs="宋体"/>
          <w:b/>
          <w:bCs/>
          <w:color w:val="auto"/>
        </w:rPr>
        <w:t>2022</w:t>
      </w:r>
      <w:r>
        <w:rPr>
          <w:rFonts w:hint="eastAsia" w:ascii="宋体" w:hAnsi="宋体" w:eastAsia="宋体" w:cs="宋体"/>
          <w:b/>
          <w:bCs/>
          <w:color w:val="auto"/>
        </w:rPr>
        <w:t>年</w:t>
      </w:r>
      <w:r>
        <w:rPr>
          <w:rFonts w:ascii="宋体" w:hAnsi="宋体" w:eastAsia="宋体" w:cs="宋体"/>
          <w:b/>
          <w:bCs/>
          <w:color w:val="auto"/>
        </w:rPr>
        <w:t>11</w:t>
      </w:r>
      <w:r>
        <w:rPr>
          <w:rFonts w:hint="eastAsia" w:ascii="宋体" w:hAnsi="宋体" w:eastAsia="宋体" w:cs="宋体"/>
          <w:b/>
          <w:bCs/>
          <w:color w:val="auto"/>
        </w:rPr>
        <w:t>月</w:t>
      </w:r>
      <w:r>
        <w:rPr>
          <w:rFonts w:ascii="宋体" w:hAnsi="宋体" w:eastAsia="宋体" w:cs="宋体"/>
          <w:b/>
          <w:bCs/>
          <w:color w:val="auto"/>
        </w:rPr>
        <w:t>20</w:t>
      </w:r>
      <w:r>
        <w:rPr>
          <w:rFonts w:hint="eastAsia" w:ascii="宋体" w:hAnsi="宋体" w:eastAsia="宋体" w:cs="宋体"/>
          <w:b/>
          <w:bCs/>
          <w:color w:val="auto"/>
        </w:rPr>
        <w:t>日前完成所有建设装饰装修，并经验收合格，</w:t>
      </w:r>
      <w:r>
        <w:rPr>
          <w:rFonts w:ascii="宋体" w:hAnsi="宋体" w:eastAsia="宋体" w:cs="宋体"/>
          <w:b/>
          <w:bCs/>
          <w:color w:val="auto"/>
        </w:rPr>
        <w:t>2022</w:t>
      </w:r>
      <w:r>
        <w:rPr>
          <w:rFonts w:hint="eastAsia" w:ascii="宋体" w:hAnsi="宋体" w:eastAsia="宋体" w:cs="宋体"/>
          <w:b/>
          <w:bCs/>
          <w:color w:val="auto"/>
        </w:rPr>
        <w:t>年</w:t>
      </w:r>
      <w:r>
        <w:rPr>
          <w:rFonts w:ascii="宋体" w:hAnsi="宋体" w:eastAsia="宋体" w:cs="宋体"/>
          <w:b/>
          <w:bCs/>
          <w:color w:val="auto"/>
        </w:rPr>
        <w:t>12</w:t>
      </w:r>
      <w:r>
        <w:rPr>
          <w:rFonts w:hint="eastAsia" w:ascii="宋体" w:hAnsi="宋体" w:eastAsia="宋体" w:cs="宋体"/>
          <w:b/>
          <w:bCs/>
          <w:color w:val="auto"/>
        </w:rPr>
        <w:t>月</w:t>
      </w:r>
      <w:r>
        <w:rPr>
          <w:rFonts w:ascii="宋体" w:hAnsi="宋体" w:eastAsia="宋体" w:cs="宋体"/>
          <w:b/>
          <w:bCs/>
          <w:color w:val="auto"/>
        </w:rPr>
        <w:t>1</w:t>
      </w:r>
      <w:r>
        <w:rPr>
          <w:rFonts w:hint="eastAsia" w:ascii="宋体" w:hAnsi="宋体" w:eastAsia="宋体" w:cs="宋体"/>
          <w:b/>
          <w:bCs/>
          <w:color w:val="auto"/>
        </w:rPr>
        <w:t>日前完成民政局备案登记并投入运营使用。</w:t>
      </w:r>
    </w:p>
    <w:p>
      <w:pPr>
        <w:spacing w:line="420" w:lineRule="exact"/>
        <w:ind w:firstLine="482" w:firstLineChars="200"/>
        <w:rPr>
          <w:rFonts w:ascii="宋体" w:hAnsi="宋体" w:eastAsia="宋体" w:cs="宋体"/>
          <w:b/>
          <w:bCs/>
          <w:color w:val="auto"/>
        </w:rPr>
      </w:pPr>
      <w:r>
        <w:rPr>
          <w:rFonts w:hint="eastAsia" w:ascii="宋体" w:hAnsi="宋体" w:eastAsia="宋体" w:cs="宋体"/>
          <w:b/>
          <w:bCs/>
          <w:color w:val="auto"/>
        </w:rPr>
        <w:t>（</w:t>
      </w:r>
      <w:r>
        <w:rPr>
          <w:rFonts w:ascii="宋体" w:hAnsi="宋体" w:eastAsia="宋体" w:cs="宋体"/>
          <w:b/>
          <w:bCs/>
          <w:color w:val="auto"/>
        </w:rPr>
        <w:t>4</w:t>
      </w:r>
      <w:r>
        <w:rPr>
          <w:rFonts w:hint="eastAsia" w:ascii="宋体" w:hAnsi="宋体" w:eastAsia="宋体" w:cs="宋体"/>
          <w:b/>
          <w:bCs/>
          <w:color w:val="auto"/>
        </w:rPr>
        <w:t>）本项目供应商在签订建设装饰装修合同时，有“</w:t>
      </w:r>
      <w:r>
        <w:rPr>
          <w:rFonts w:hint="eastAsia" w:ascii="宋体" w:hAnsi="宋体" w:eastAsia="宋体" w:cs="宋体"/>
          <w:b/>
          <w:bCs/>
          <w:color w:val="auto"/>
          <w:kern w:val="0"/>
          <w:lang w:val="en-US" w:eastAsia="zh-CN"/>
        </w:rPr>
        <w:t>装璜安全</w:t>
      </w:r>
      <w:r>
        <w:rPr>
          <w:rFonts w:hint="eastAsia" w:ascii="宋体" w:hAnsi="宋体" w:eastAsia="宋体" w:cs="宋体"/>
          <w:b/>
          <w:bCs/>
          <w:color w:val="auto"/>
          <w:kern w:val="0"/>
        </w:rPr>
        <w:t>履约保证金</w:t>
      </w:r>
      <w:r>
        <w:rPr>
          <w:rFonts w:hint="eastAsia" w:ascii="宋体" w:hAnsi="宋体" w:eastAsia="宋体" w:cs="宋体"/>
          <w:b/>
          <w:bCs/>
          <w:color w:val="auto"/>
        </w:rPr>
        <w:t>”，保证金金额为人民币伍万圆整</w:t>
      </w:r>
      <w:r>
        <w:rPr>
          <w:rFonts w:hint="eastAsia" w:eastAsia="宋体" w:cs="宋体"/>
          <w:b/>
          <w:bCs/>
          <w:color w:val="auto"/>
        </w:rPr>
        <w:t>（</w:t>
      </w:r>
      <w:r>
        <w:rPr>
          <w:rFonts w:eastAsia="宋体" w:cs="宋体"/>
          <w:b/>
          <w:bCs/>
          <w:color w:val="auto"/>
        </w:rPr>
        <w:t xml:space="preserve">¥ 50,000.00 </w:t>
      </w:r>
      <w:r>
        <w:rPr>
          <w:rFonts w:hint="eastAsia" w:eastAsia="宋体" w:cs="宋体"/>
          <w:b/>
          <w:bCs/>
          <w:color w:val="auto"/>
        </w:rPr>
        <w:t>元）</w:t>
      </w:r>
      <w:r>
        <w:rPr>
          <w:rFonts w:hint="eastAsia" w:ascii="宋体" w:hAnsi="宋体" w:eastAsia="宋体" w:cs="宋体"/>
          <w:b/>
          <w:bCs/>
          <w:color w:val="auto"/>
        </w:rPr>
        <w:t>。</w:t>
      </w:r>
    </w:p>
    <w:p>
      <w:pPr>
        <w:spacing w:line="420" w:lineRule="exact"/>
        <w:ind w:firstLine="482" w:firstLineChars="200"/>
        <w:rPr>
          <w:rFonts w:ascii="宋体" w:hAnsi="宋体" w:eastAsia="宋体" w:cs="宋体"/>
          <w:b/>
          <w:bCs/>
          <w:color w:val="auto"/>
        </w:rPr>
      </w:pPr>
      <w:r>
        <w:rPr>
          <w:rFonts w:hint="eastAsia" w:ascii="宋体" w:hAnsi="宋体" w:eastAsia="宋体" w:cs="宋体"/>
          <w:b/>
          <w:bCs/>
          <w:color w:val="auto"/>
          <w:kern w:val="0"/>
          <w:lang w:val="en-US" w:eastAsia="zh-CN"/>
        </w:rPr>
        <w:t>装璜安全</w:t>
      </w:r>
      <w:r>
        <w:rPr>
          <w:rFonts w:hint="eastAsia" w:ascii="宋体" w:hAnsi="宋体" w:eastAsia="宋体" w:cs="宋体"/>
          <w:b/>
          <w:bCs/>
          <w:color w:val="auto"/>
          <w:kern w:val="0"/>
        </w:rPr>
        <w:t>履约保证金</w:t>
      </w:r>
      <w:r>
        <w:rPr>
          <w:rFonts w:hint="eastAsia" w:ascii="宋体" w:hAnsi="宋体" w:eastAsia="宋体" w:cs="宋体"/>
          <w:b/>
          <w:bCs/>
          <w:color w:val="auto"/>
        </w:rPr>
        <w:t>在供应商按要求保质保量的履行完成本合同约定的建设装饰装修义务，经专项验收合格后的</w:t>
      </w:r>
      <w:r>
        <w:rPr>
          <w:rFonts w:ascii="宋体" w:hAnsi="宋体" w:eastAsia="宋体" w:cs="宋体"/>
          <w:b/>
          <w:bCs/>
          <w:color w:val="auto"/>
        </w:rPr>
        <w:t>15</w:t>
      </w:r>
      <w:r>
        <w:rPr>
          <w:rFonts w:hint="eastAsia" w:ascii="宋体" w:hAnsi="宋体" w:eastAsia="宋体" w:cs="宋体"/>
          <w:b/>
          <w:bCs/>
          <w:color w:val="auto"/>
        </w:rPr>
        <w:t>日内，采购人一次性无息退还“</w:t>
      </w:r>
      <w:r>
        <w:rPr>
          <w:rFonts w:hint="eastAsia" w:ascii="宋体" w:hAnsi="宋体" w:eastAsia="宋体" w:cs="宋体"/>
          <w:b/>
          <w:bCs/>
          <w:color w:val="auto"/>
          <w:kern w:val="0"/>
          <w:lang w:val="en-US" w:eastAsia="zh-CN"/>
        </w:rPr>
        <w:t>装璜安全</w:t>
      </w:r>
      <w:r>
        <w:rPr>
          <w:rFonts w:hint="eastAsia" w:ascii="宋体" w:hAnsi="宋体" w:eastAsia="宋体" w:cs="宋体"/>
          <w:b/>
          <w:bCs/>
          <w:color w:val="auto"/>
          <w:kern w:val="0"/>
        </w:rPr>
        <w:t>履约保证金</w:t>
      </w:r>
      <w:r>
        <w:rPr>
          <w:rFonts w:hint="eastAsia" w:ascii="宋体" w:hAnsi="宋体" w:eastAsia="宋体" w:cs="宋体"/>
          <w:b/>
          <w:bCs/>
          <w:color w:val="auto"/>
        </w:rPr>
        <w:t>”。</w:t>
      </w:r>
    </w:p>
    <w:p>
      <w:pPr>
        <w:spacing w:line="420" w:lineRule="exact"/>
        <w:ind w:firstLine="482" w:firstLineChars="200"/>
        <w:rPr>
          <w:rFonts w:ascii="宋体" w:hAnsi="宋体" w:eastAsia="宋体" w:cs="宋体"/>
          <w:b/>
          <w:bCs/>
          <w:color w:val="auto"/>
        </w:rPr>
      </w:pPr>
      <w:r>
        <w:rPr>
          <w:rFonts w:hint="eastAsia" w:ascii="宋体" w:hAnsi="宋体" w:eastAsia="宋体" w:cs="宋体"/>
          <w:b/>
          <w:bCs/>
          <w:color w:val="auto"/>
        </w:rPr>
        <w:t>由于供应商的原因，在签订合同后出现不按合同履行或不适当履行的情况，采购人有权将</w:t>
      </w:r>
      <w:r>
        <w:rPr>
          <w:rFonts w:hint="eastAsia" w:ascii="宋体" w:hAnsi="宋体" w:eastAsia="宋体" w:cs="宋体"/>
          <w:b/>
          <w:bCs/>
          <w:color w:val="auto"/>
          <w:kern w:val="0"/>
          <w:lang w:val="en-US" w:eastAsia="zh-CN"/>
        </w:rPr>
        <w:t>装璜安全</w:t>
      </w:r>
      <w:r>
        <w:rPr>
          <w:rFonts w:hint="eastAsia" w:ascii="宋体" w:hAnsi="宋体" w:eastAsia="宋体" w:cs="宋体"/>
          <w:b/>
          <w:bCs/>
          <w:color w:val="auto"/>
          <w:kern w:val="0"/>
        </w:rPr>
        <w:t>履约保证金</w:t>
      </w:r>
      <w:r>
        <w:rPr>
          <w:rFonts w:hint="eastAsia" w:ascii="宋体" w:hAnsi="宋体" w:eastAsia="宋体" w:cs="宋体"/>
          <w:b/>
          <w:bCs/>
          <w:color w:val="auto"/>
        </w:rPr>
        <w:t>作为违约金，全额不予退还或部分扣减；同时甲方亦有权终止并解除合同，乙方须依法承担相应的违约责任。</w:t>
      </w:r>
    </w:p>
    <w:p>
      <w:pPr>
        <w:widowControl/>
        <w:adjustRightInd w:val="0"/>
        <w:snapToGrid w:val="0"/>
        <w:spacing w:line="440" w:lineRule="exact"/>
        <w:ind w:firstLine="480" w:firstLineChars="200"/>
        <w:jc w:val="left"/>
        <w:rPr>
          <w:rFonts w:eastAsia="宋体"/>
          <w:b/>
          <w:bCs/>
          <w:color w:val="auto"/>
          <w:kern w:val="0"/>
          <w:u w:val="thick" w:color="FF0000"/>
        </w:rPr>
      </w:pPr>
      <w:r>
        <w:rPr>
          <w:rFonts w:ascii="宋体" w:hAnsi="宋体" w:eastAsia="宋体" w:cs="宋体"/>
          <w:color w:val="auto"/>
          <w:kern w:val="0"/>
        </w:rPr>
        <w:t>3.4</w:t>
      </w:r>
      <w:r>
        <w:rPr>
          <w:rFonts w:hint="eastAsia" w:ascii="宋体" w:hAnsi="宋体" w:eastAsia="宋体" w:cs="宋体"/>
          <w:color w:val="auto"/>
          <w:kern w:val="0"/>
        </w:rPr>
        <w:t>投资建设后的“综合性养老服务中心</w:t>
      </w:r>
      <w:r>
        <w:rPr>
          <w:rFonts w:ascii="宋体" w:hAnsi="宋体" w:eastAsia="宋体" w:cs="宋体"/>
          <w:color w:val="auto"/>
          <w:kern w:val="0"/>
        </w:rPr>
        <w:t xml:space="preserve"> </w:t>
      </w:r>
      <w:r>
        <w:rPr>
          <w:rFonts w:hint="eastAsia" w:ascii="宋体" w:hAnsi="宋体" w:eastAsia="宋体" w:cs="宋体"/>
          <w:color w:val="auto"/>
          <w:kern w:val="0"/>
        </w:rPr>
        <w:t>”的运营，由服务供应商进行自营自收，收费标准不得高于市场价格。供应商的各门类服务价应当对外公示，服务履约期的</w:t>
      </w:r>
      <w:r>
        <w:rPr>
          <w:rFonts w:ascii="宋体" w:hAnsi="宋体" w:eastAsia="宋体" w:cs="宋体"/>
          <w:color w:val="auto"/>
          <w:kern w:val="0"/>
        </w:rPr>
        <w:t>2</w:t>
      </w:r>
      <w:r>
        <w:rPr>
          <w:rFonts w:hint="eastAsia" w:ascii="宋体" w:hAnsi="宋体" w:eastAsia="宋体" w:cs="宋体"/>
          <w:color w:val="auto"/>
          <w:kern w:val="0"/>
        </w:rPr>
        <w:t>年内不得调整，</w:t>
      </w:r>
      <w:r>
        <w:rPr>
          <w:rFonts w:ascii="宋体" w:hAnsi="宋体" w:eastAsia="宋体" w:cs="宋体"/>
          <w:color w:val="auto"/>
          <w:kern w:val="0"/>
        </w:rPr>
        <w:t>2</w:t>
      </w:r>
      <w:r>
        <w:rPr>
          <w:rFonts w:hint="eastAsia" w:ascii="宋体" w:hAnsi="宋体" w:eastAsia="宋体" w:cs="宋体"/>
          <w:color w:val="auto"/>
          <w:kern w:val="0"/>
        </w:rPr>
        <w:t>年后须向采购人提出价格变动申请，由采购人根据社会经济和国家政策结合物价部门的意见，酌情批准。服务商的各门类服务价变更，须经批准后方可实施。</w:t>
      </w:r>
    </w:p>
    <w:p>
      <w:pPr>
        <w:pStyle w:val="31"/>
        <w:spacing w:line="420" w:lineRule="exact"/>
        <w:ind w:firstLine="480" w:firstLineChars="200"/>
        <w:rPr>
          <w:rFonts w:ascii="宋体" w:cs="宋体"/>
          <w:color w:val="auto"/>
          <w:sz w:val="24"/>
          <w:szCs w:val="24"/>
        </w:rPr>
      </w:pPr>
      <w:r>
        <w:rPr>
          <w:rFonts w:ascii="宋体" w:hAnsi="宋体" w:cs="宋体"/>
          <w:color w:val="auto"/>
          <w:sz w:val="24"/>
          <w:szCs w:val="24"/>
        </w:rPr>
        <w:t>3.</w:t>
      </w:r>
      <w:r>
        <w:rPr>
          <w:rFonts w:hint="eastAsia" w:ascii="宋体" w:hAnsi="宋体" w:cs="宋体"/>
          <w:color w:val="auto"/>
          <w:sz w:val="24"/>
          <w:szCs w:val="24"/>
          <w:lang w:val="en-US" w:eastAsia="zh-CN"/>
        </w:rPr>
        <w:t>5</w:t>
      </w:r>
      <w:r>
        <w:rPr>
          <w:rFonts w:hint="eastAsia" w:ascii="宋体" w:hAnsi="宋体" w:cs="宋体"/>
          <w:color w:val="auto"/>
          <w:sz w:val="24"/>
          <w:szCs w:val="24"/>
        </w:rPr>
        <w:t>其他</w:t>
      </w:r>
    </w:p>
    <w:p>
      <w:pPr>
        <w:pStyle w:val="31"/>
        <w:spacing w:line="420" w:lineRule="exact"/>
        <w:ind w:firstLine="480" w:firstLineChars="200"/>
        <w:rPr>
          <w:rFonts w:ascii="宋体" w:cs="宋体"/>
          <w:color w:val="auto"/>
          <w:sz w:val="24"/>
          <w:szCs w:val="24"/>
        </w:rPr>
      </w:pPr>
      <w:r>
        <w:rPr>
          <w:rFonts w:hint="eastAsia" w:ascii="宋体" w:hAnsi="宋体" w:cs="宋体"/>
          <w:color w:val="auto"/>
          <w:kern w:val="2"/>
          <w:sz w:val="24"/>
          <w:szCs w:val="24"/>
        </w:rPr>
        <w:t>（</w:t>
      </w:r>
      <w:r>
        <w:rPr>
          <w:rFonts w:ascii="宋体" w:hAnsi="宋体" w:cs="宋体"/>
          <w:color w:val="auto"/>
          <w:kern w:val="2"/>
          <w:sz w:val="24"/>
          <w:szCs w:val="24"/>
        </w:rPr>
        <w:t>1</w:t>
      </w:r>
      <w:r>
        <w:rPr>
          <w:rFonts w:hint="eastAsia" w:ascii="宋体" w:hAnsi="宋体" w:cs="宋体"/>
          <w:color w:val="auto"/>
          <w:kern w:val="2"/>
          <w:sz w:val="24"/>
          <w:szCs w:val="24"/>
        </w:rPr>
        <w:t>）服务供应商可根据自身运营活动开展的需要，按项目投资建设初期的设备设施清单为基</w:t>
      </w:r>
      <w:r>
        <w:rPr>
          <w:rFonts w:hint="eastAsia" w:ascii="宋体" w:hAnsi="宋体" w:cs="宋体"/>
          <w:color w:val="auto"/>
          <w:sz w:val="24"/>
          <w:szCs w:val="24"/>
        </w:rPr>
        <w:t>础，适当添置设施设备且报备采购人核准，添置物品的所有权在</w:t>
      </w:r>
      <w:r>
        <w:rPr>
          <w:rFonts w:ascii="宋体" w:hAnsi="宋体" w:cs="宋体"/>
          <w:color w:val="auto"/>
          <w:sz w:val="24"/>
          <w:szCs w:val="24"/>
        </w:rPr>
        <w:t>2</w:t>
      </w:r>
      <w:r>
        <w:rPr>
          <w:rFonts w:hint="eastAsia" w:ascii="宋体" w:hAnsi="宋体" w:cs="宋体"/>
          <w:color w:val="auto"/>
          <w:sz w:val="24"/>
          <w:szCs w:val="24"/>
        </w:rPr>
        <w:t>年后，归采购人所有（注：履约期满前的</w:t>
      </w:r>
      <w:r>
        <w:rPr>
          <w:rFonts w:ascii="宋体" w:hAnsi="宋体" w:cs="宋体"/>
          <w:color w:val="auto"/>
          <w:sz w:val="24"/>
          <w:szCs w:val="24"/>
        </w:rPr>
        <w:t>2</w:t>
      </w:r>
      <w:r>
        <w:rPr>
          <w:rFonts w:hint="eastAsia" w:ascii="宋体" w:hAnsi="宋体" w:cs="宋体"/>
          <w:color w:val="auto"/>
          <w:sz w:val="24"/>
          <w:szCs w:val="24"/>
        </w:rPr>
        <w:t>年，原则上不再添置物品，即使因确有需要而添置，其产权应无异议的同意归采购人所有。）</w:t>
      </w:r>
    </w:p>
    <w:p>
      <w:pPr>
        <w:pStyle w:val="31"/>
        <w:spacing w:line="420" w:lineRule="exact"/>
        <w:ind w:firstLine="480" w:firstLineChars="200"/>
        <w:rPr>
          <w:rFonts w:asci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）服务履约期内的水、电、暖等一切经营性费用，以及标的物使用期间涉及到（可能）的物业管理、场地装修、设备维修、维护、保养、天然气入户改造等费用；该类费用均由本项目承办服务商自行承担。</w:t>
      </w:r>
    </w:p>
    <w:p>
      <w:pPr>
        <w:spacing w:line="420" w:lineRule="exact"/>
        <w:ind w:firstLine="482" w:firstLineChars="200"/>
        <w:outlineLvl w:val="3"/>
        <w:rPr>
          <w:rFonts w:ascii="宋体" w:hAnsi="宋体" w:eastAsia="宋体" w:cs="宋体"/>
          <w:color w:val="auto"/>
        </w:rPr>
      </w:pPr>
      <w:r>
        <w:rPr>
          <w:rFonts w:ascii="宋体" w:hAnsi="宋体" w:eastAsia="宋体" w:cs="宋体"/>
          <w:b/>
          <w:bCs/>
          <w:color w:val="auto"/>
        </w:rPr>
        <w:t>4</w:t>
      </w:r>
      <w:r>
        <w:rPr>
          <w:rFonts w:ascii="宋体" w:hAnsi="宋体" w:eastAsia="宋体" w:cs="宋体"/>
          <w:color w:val="auto"/>
        </w:rPr>
        <w:t>.</w:t>
      </w:r>
      <w:r>
        <w:rPr>
          <w:rFonts w:hint="eastAsia" w:ascii="宋体" w:hAnsi="宋体" w:eastAsia="宋体" w:cs="宋体"/>
          <w:color w:val="auto"/>
        </w:rPr>
        <w:t>磋商供应商须在磋商响应文件中提供以下装修设计成果内容：</w:t>
      </w:r>
    </w:p>
    <w:p>
      <w:pPr>
        <w:spacing w:line="420" w:lineRule="exact"/>
        <w:ind w:firstLine="480" w:firstLineChars="200"/>
        <w:rPr>
          <w:rFonts w:ascii="宋体" w:hAnsi="宋体" w:eastAsia="宋体" w:cs="宋体"/>
          <w:color w:val="auto"/>
        </w:rPr>
      </w:pPr>
      <w:r>
        <w:rPr>
          <w:rFonts w:hint="eastAsia" w:ascii="宋体" w:hAnsi="宋体" w:eastAsia="宋体" w:cs="宋体"/>
          <w:color w:val="auto"/>
        </w:rPr>
        <w:t>（</w:t>
      </w:r>
      <w:r>
        <w:rPr>
          <w:rFonts w:ascii="宋体" w:hAnsi="宋体" w:eastAsia="宋体" w:cs="宋体"/>
          <w:color w:val="auto"/>
        </w:rPr>
        <w:t>1</w:t>
      </w:r>
      <w:r>
        <w:rPr>
          <w:rFonts w:hint="eastAsia" w:ascii="宋体" w:hAnsi="宋体" w:eastAsia="宋体" w:cs="宋体"/>
          <w:color w:val="auto"/>
        </w:rPr>
        <w:t>）设计说明；</w:t>
      </w:r>
    </w:p>
    <w:p>
      <w:pPr>
        <w:spacing w:line="420" w:lineRule="exact"/>
        <w:ind w:firstLine="480" w:firstLineChars="200"/>
        <w:rPr>
          <w:rFonts w:ascii="宋体" w:hAnsi="宋体" w:eastAsia="宋体" w:cs="宋体"/>
          <w:color w:val="auto"/>
        </w:rPr>
      </w:pPr>
      <w:r>
        <w:rPr>
          <w:rFonts w:hint="eastAsia" w:ascii="宋体" w:hAnsi="宋体" w:eastAsia="宋体" w:cs="宋体"/>
          <w:color w:val="auto"/>
        </w:rPr>
        <w:t>（</w:t>
      </w:r>
      <w:r>
        <w:rPr>
          <w:rFonts w:ascii="宋体" w:hAnsi="宋体" w:eastAsia="宋体" w:cs="宋体"/>
          <w:color w:val="auto"/>
        </w:rPr>
        <w:t>2</w:t>
      </w:r>
      <w:r>
        <w:rPr>
          <w:rFonts w:hint="eastAsia" w:ascii="宋体" w:hAnsi="宋体" w:eastAsia="宋体" w:cs="宋体"/>
          <w:color w:val="auto"/>
        </w:rPr>
        <w:t>）材料表；</w:t>
      </w:r>
    </w:p>
    <w:p>
      <w:pPr>
        <w:spacing w:line="420" w:lineRule="exact"/>
        <w:ind w:firstLine="480" w:firstLineChars="200"/>
        <w:rPr>
          <w:rFonts w:ascii="宋体" w:hAnsi="宋体" w:eastAsia="宋体" w:cs="宋体"/>
          <w:color w:val="auto"/>
        </w:rPr>
      </w:pPr>
      <w:r>
        <w:rPr>
          <w:rFonts w:hint="eastAsia" w:ascii="宋体" w:hAnsi="宋体" w:eastAsia="宋体" w:cs="宋体"/>
          <w:color w:val="auto"/>
        </w:rPr>
        <w:t>（</w:t>
      </w:r>
      <w:r>
        <w:rPr>
          <w:rFonts w:ascii="宋体" w:hAnsi="宋体" w:eastAsia="宋体" w:cs="宋体"/>
          <w:color w:val="auto"/>
        </w:rPr>
        <w:t>3</w:t>
      </w:r>
      <w:r>
        <w:rPr>
          <w:rFonts w:hint="eastAsia" w:ascii="宋体" w:hAnsi="宋体" w:eastAsia="宋体" w:cs="宋体"/>
          <w:color w:val="auto"/>
        </w:rPr>
        <w:t>）门表图；</w:t>
      </w:r>
    </w:p>
    <w:p>
      <w:pPr>
        <w:spacing w:line="420" w:lineRule="exact"/>
        <w:ind w:firstLine="480" w:firstLineChars="200"/>
        <w:rPr>
          <w:rFonts w:ascii="宋体" w:hAnsi="宋体" w:eastAsia="宋体" w:cs="宋体"/>
          <w:color w:val="auto"/>
        </w:rPr>
      </w:pPr>
      <w:r>
        <w:rPr>
          <w:rFonts w:hint="eastAsia" w:ascii="宋体" w:hAnsi="宋体" w:eastAsia="宋体" w:cs="宋体"/>
          <w:color w:val="auto"/>
        </w:rPr>
        <w:t>（</w:t>
      </w:r>
      <w:r>
        <w:rPr>
          <w:rFonts w:ascii="宋体" w:hAnsi="宋体" w:eastAsia="宋体" w:cs="宋体"/>
          <w:color w:val="auto"/>
        </w:rPr>
        <w:t>4</w:t>
      </w:r>
      <w:r>
        <w:rPr>
          <w:rFonts w:hint="eastAsia" w:ascii="宋体" w:hAnsi="宋体" w:eastAsia="宋体" w:cs="宋体"/>
          <w:color w:val="auto"/>
        </w:rPr>
        <w:t>）平面布置图；</w:t>
      </w:r>
    </w:p>
    <w:p>
      <w:pPr>
        <w:spacing w:line="420" w:lineRule="exact"/>
        <w:ind w:firstLine="480" w:firstLineChars="200"/>
        <w:rPr>
          <w:rFonts w:ascii="宋体" w:hAnsi="宋体" w:eastAsia="宋体" w:cs="宋体"/>
          <w:color w:val="auto"/>
        </w:rPr>
      </w:pPr>
      <w:r>
        <w:rPr>
          <w:rFonts w:hint="eastAsia" w:ascii="宋体" w:hAnsi="宋体" w:eastAsia="宋体" w:cs="宋体"/>
          <w:color w:val="auto"/>
        </w:rPr>
        <w:t>（</w:t>
      </w:r>
      <w:r>
        <w:rPr>
          <w:rFonts w:ascii="宋体" w:hAnsi="宋体" w:eastAsia="宋体" w:cs="宋体"/>
          <w:color w:val="auto"/>
        </w:rPr>
        <w:t>5</w:t>
      </w:r>
      <w:r>
        <w:rPr>
          <w:rFonts w:hint="eastAsia" w:ascii="宋体" w:hAnsi="宋体" w:eastAsia="宋体" w:cs="宋体"/>
          <w:color w:val="auto"/>
        </w:rPr>
        <w:t>）天花布置图；</w:t>
      </w:r>
    </w:p>
    <w:p>
      <w:pPr>
        <w:spacing w:line="420" w:lineRule="exact"/>
        <w:ind w:firstLine="480" w:firstLineChars="200"/>
        <w:rPr>
          <w:rFonts w:ascii="宋体" w:hAnsi="宋体" w:eastAsia="宋体" w:cs="宋体"/>
          <w:color w:val="auto"/>
        </w:rPr>
      </w:pPr>
      <w:r>
        <w:rPr>
          <w:rFonts w:hint="eastAsia" w:ascii="宋体" w:hAnsi="宋体" w:eastAsia="宋体" w:cs="宋体"/>
          <w:color w:val="auto"/>
        </w:rPr>
        <w:t>（</w:t>
      </w:r>
      <w:r>
        <w:rPr>
          <w:rFonts w:ascii="宋体" w:hAnsi="宋体" w:eastAsia="宋体" w:cs="宋体"/>
          <w:color w:val="auto"/>
        </w:rPr>
        <w:t>6</w:t>
      </w:r>
      <w:r>
        <w:rPr>
          <w:rFonts w:hint="eastAsia" w:ascii="宋体" w:hAnsi="宋体" w:eastAsia="宋体" w:cs="宋体"/>
          <w:color w:val="auto"/>
        </w:rPr>
        <w:t>）重要空间的剖面、立面图、透视图等；</w:t>
      </w:r>
    </w:p>
    <w:p>
      <w:pPr>
        <w:spacing w:line="420" w:lineRule="exact"/>
        <w:ind w:firstLine="480" w:firstLineChars="200"/>
        <w:rPr>
          <w:rFonts w:ascii="宋体" w:hAnsi="宋体" w:eastAsia="宋体" w:cs="宋体"/>
          <w:color w:val="auto"/>
        </w:rPr>
      </w:pPr>
      <w:r>
        <w:rPr>
          <w:rFonts w:hint="eastAsia" w:ascii="宋体" w:hAnsi="宋体" w:eastAsia="宋体" w:cs="宋体"/>
          <w:color w:val="auto"/>
        </w:rPr>
        <w:t>（</w:t>
      </w:r>
      <w:r>
        <w:rPr>
          <w:rFonts w:ascii="宋体" w:hAnsi="宋体" w:eastAsia="宋体" w:cs="宋体"/>
          <w:color w:val="auto"/>
        </w:rPr>
        <w:t>7</w:t>
      </w:r>
      <w:r>
        <w:rPr>
          <w:rFonts w:hint="eastAsia" w:ascii="宋体" w:hAnsi="宋体" w:eastAsia="宋体" w:cs="宋体"/>
          <w:color w:val="auto"/>
        </w:rPr>
        <w:t>）详图；</w:t>
      </w:r>
    </w:p>
    <w:p>
      <w:pPr>
        <w:spacing w:line="420" w:lineRule="exact"/>
        <w:ind w:firstLine="480" w:firstLineChars="200"/>
        <w:rPr>
          <w:rFonts w:ascii="宋体" w:hAnsi="宋体" w:eastAsia="宋体" w:cs="宋体"/>
          <w:color w:val="auto"/>
        </w:rPr>
      </w:pPr>
      <w:r>
        <w:rPr>
          <w:rFonts w:hint="eastAsia" w:ascii="宋体" w:hAnsi="宋体" w:eastAsia="宋体" w:cs="宋体"/>
          <w:color w:val="auto"/>
        </w:rPr>
        <w:t>（</w:t>
      </w:r>
      <w:r>
        <w:rPr>
          <w:rFonts w:ascii="宋体" w:hAnsi="宋体" w:eastAsia="宋体" w:cs="宋体"/>
          <w:color w:val="auto"/>
        </w:rPr>
        <w:t>8</w:t>
      </w:r>
      <w:r>
        <w:rPr>
          <w:rFonts w:hint="eastAsia" w:ascii="宋体" w:hAnsi="宋体" w:eastAsia="宋体" w:cs="宋体"/>
          <w:color w:val="auto"/>
        </w:rPr>
        <w:t>）材料说明手册，含墙、顶、地的材料说明，包括规格、颜色、质地等；</w:t>
      </w:r>
    </w:p>
    <w:p>
      <w:pPr>
        <w:spacing w:line="420" w:lineRule="exact"/>
        <w:ind w:firstLine="480" w:firstLineChars="200"/>
        <w:rPr>
          <w:rFonts w:ascii="宋体" w:hAnsi="宋体" w:eastAsia="宋体" w:cs="宋体"/>
          <w:color w:val="auto"/>
        </w:rPr>
      </w:pPr>
      <w:r>
        <w:rPr>
          <w:rFonts w:hint="eastAsia" w:ascii="宋体" w:hAnsi="宋体" w:eastAsia="宋体" w:cs="宋体"/>
          <w:color w:val="auto"/>
        </w:rPr>
        <w:t>（</w:t>
      </w:r>
      <w:r>
        <w:rPr>
          <w:rFonts w:ascii="宋体" w:hAnsi="宋体" w:eastAsia="宋体" w:cs="宋体"/>
          <w:color w:val="auto"/>
        </w:rPr>
        <w:t>9</w:t>
      </w:r>
      <w:r>
        <w:rPr>
          <w:rFonts w:hint="eastAsia" w:ascii="宋体" w:hAnsi="宋体" w:eastAsia="宋体" w:cs="宋体"/>
          <w:color w:val="auto"/>
        </w:rPr>
        <w:t>）材料样板；</w:t>
      </w:r>
    </w:p>
    <w:p>
      <w:pPr>
        <w:spacing w:line="420" w:lineRule="exact"/>
        <w:ind w:firstLine="480" w:firstLineChars="200"/>
        <w:rPr>
          <w:rFonts w:ascii="宋体" w:hAnsi="宋体" w:eastAsia="宋体" w:cs="宋体"/>
          <w:color w:val="auto"/>
        </w:rPr>
      </w:pPr>
      <w:r>
        <w:rPr>
          <w:rFonts w:hint="eastAsia" w:ascii="宋体" w:hAnsi="宋体" w:eastAsia="宋体" w:cs="宋体"/>
          <w:color w:val="auto"/>
        </w:rPr>
        <w:t>（</w:t>
      </w:r>
      <w:r>
        <w:rPr>
          <w:rFonts w:ascii="宋体" w:hAnsi="宋体" w:eastAsia="宋体" w:cs="宋体"/>
          <w:color w:val="auto"/>
        </w:rPr>
        <w:t>10</w:t>
      </w:r>
      <w:r>
        <w:rPr>
          <w:rFonts w:hint="eastAsia" w:ascii="宋体" w:hAnsi="宋体" w:eastAsia="宋体" w:cs="宋体"/>
          <w:color w:val="auto"/>
        </w:rPr>
        <w:t>）暖通设备图；</w:t>
      </w:r>
    </w:p>
    <w:p>
      <w:pPr>
        <w:spacing w:line="420" w:lineRule="exact"/>
        <w:ind w:firstLine="480" w:firstLineChars="200"/>
        <w:rPr>
          <w:rFonts w:ascii="宋体" w:hAnsi="宋体" w:eastAsia="宋体" w:cs="宋体"/>
          <w:color w:val="auto"/>
        </w:rPr>
      </w:pPr>
      <w:r>
        <w:rPr>
          <w:rFonts w:hint="eastAsia" w:ascii="宋体" w:hAnsi="宋体" w:eastAsia="宋体" w:cs="宋体"/>
          <w:color w:val="auto"/>
        </w:rPr>
        <w:t>（</w:t>
      </w:r>
      <w:r>
        <w:rPr>
          <w:rFonts w:ascii="宋体" w:hAnsi="宋体" w:eastAsia="宋体" w:cs="宋体"/>
          <w:color w:val="auto"/>
        </w:rPr>
        <w:t>11</w:t>
      </w:r>
      <w:r>
        <w:rPr>
          <w:rFonts w:hint="eastAsia" w:ascii="宋体" w:hAnsi="宋体" w:eastAsia="宋体" w:cs="宋体"/>
          <w:color w:val="auto"/>
        </w:rPr>
        <w:t>）电气设备图；</w:t>
      </w:r>
    </w:p>
    <w:p>
      <w:pPr>
        <w:spacing w:line="420" w:lineRule="exact"/>
        <w:ind w:firstLine="480" w:firstLineChars="200"/>
        <w:rPr>
          <w:rFonts w:ascii="宋体" w:hAnsi="宋体" w:eastAsia="宋体" w:cs="宋体"/>
          <w:color w:val="auto"/>
        </w:rPr>
      </w:pPr>
      <w:r>
        <w:rPr>
          <w:rFonts w:hint="eastAsia" w:ascii="宋体" w:hAnsi="宋体" w:eastAsia="宋体" w:cs="宋体"/>
          <w:color w:val="auto"/>
        </w:rPr>
        <w:t>（</w:t>
      </w:r>
      <w:r>
        <w:rPr>
          <w:rFonts w:ascii="宋体" w:hAnsi="宋体" w:eastAsia="宋体" w:cs="宋体"/>
          <w:color w:val="auto"/>
        </w:rPr>
        <w:t>12</w:t>
      </w:r>
      <w:r>
        <w:rPr>
          <w:rFonts w:hint="eastAsia" w:ascii="宋体" w:hAnsi="宋体" w:eastAsia="宋体" w:cs="宋体"/>
          <w:color w:val="auto"/>
        </w:rPr>
        <w:t>）给排水设备图；</w:t>
      </w:r>
    </w:p>
    <w:p>
      <w:pPr>
        <w:spacing w:line="420" w:lineRule="exact"/>
        <w:ind w:firstLine="480" w:firstLineChars="200"/>
        <w:rPr>
          <w:rFonts w:ascii="宋体" w:hAnsi="宋体" w:eastAsia="宋体" w:cs="宋体"/>
          <w:color w:val="auto"/>
        </w:rPr>
      </w:pPr>
      <w:r>
        <w:rPr>
          <w:rFonts w:hint="eastAsia" w:ascii="宋体" w:hAnsi="宋体" w:eastAsia="宋体" w:cs="宋体"/>
          <w:color w:val="auto"/>
        </w:rPr>
        <w:t>（</w:t>
      </w:r>
      <w:r>
        <w:rPr>
          <w:rFonts w:ascii="宋体" w:hAnsi="宋体" w:eastAsia="宋体" w:cs="宋体"/>
          <w:color w:val="auto"/>
        </w:rPr>
        <w:t>13</w:t>
      </w:r>
      <w:r>
        <w:rPr>
          <w:rFonts w:hint="eastAsia" w:ascii="宋体" w:hAnsi="宋体" w:eastAsia="宋体" w:cs="宋体"/>
          <w:color w:val="auto"/>
        </w:rPr>
        <w:t>）标牌配置图；</w:t>
      </w:r>
    </w:p>
    <w:p>
      <w:pPr>
        <w:spacing w:line="420" w:lineRule="exact"/>
        <w:ind w:firstLine="480" w:firstLineChars="200"/>
        <w:rPr>
          <w:rFonts w:ascii="宋体" w:hAnsi="宋体" w:eastAsia="宋体" w:cs="宋体"/>
          <w:color w:val="auto"/>
        </w:rPr>
      </w:pPr>
      <w:r>
        <w:rPr>
          <w:rFonts w:hint="eastAsia" w:ascii="宋体" w:hAnsi="宋体" w:eastAsia="宋体" w:cs="宋体"/>
          <w:color w:val="auto"/>
        </w:rPr>
        <w:t>（</w:t>
      </w:r>
      <w:r>
        <w:rPr>
          <w:rFonts w:ascii="宋体" w:hAnsi="宋体" w:eastAsia="宋体" w:cs="宋体"/>
          <w:color w:val="auto"/>
        </w:rPr>
        <w:t>14</w:t>
      </w:r>
      <w:r>
        <w:rPr>
          <w:rFonts w:hint="eastAsia" w:ascii="宋体" w:hAnsi="宋体" w:eastAsia="宋体" w:cs="宋体"/>
          <w:color w:val="auto"/>
        </w:rPr>
        <w:t>）造价概算表；</w:t>
      </w:r>
    </w:p>
    <w:p>
      <w:pPr>
        <w:spacing w:line="420" w:lineRule="exact"/>
        <w:ind w:firstLine="480" w:firstLineChars="200"/>
        <w:rPr>
          <w:rFonts w:ascii="宋体" w:hAnsi="宋体" w:eastAsia="宋体" w:cs="宋体"/>
          <w:color w:val="auto"/>
        </w:rPr>
      </w:pPr>
      <w:r>
        <w:rPr>
          <w:rFonts w:hint="eastAsia" w:ascii="宋体" w:hAnsi="宋体" w:eastAsia="宋体" w:cs="宋体"/>
          <w:color w:val="auto"/>
        </w:rPr>
        <w:t>（</w:t>
      </w:r>
      <w:r>
        <w:rPr>
          <w:rFonts w:ascii="宋体" w:hAnsi="宋体" w:eastAsia="宋体" w:cs="宋体"/>
          <w:color w:val="auto"/>
        </w:rPr>
        <w:t>15</w:t>
      </w:r>
      <w:r>
        <w:rPr>
          <w:rFonts w:hint="eastAsia" w:ascii="宋体" w:hAnsi="宋体" w:eastAsia="宋体" w:cs="宋体"/>
          <w:color w:val="auto"/>
        </w:rPr>
        <w:t>）家具、窗帘、适老化设备等软装选型设计。</w:t>
      </w:r>
    </w:p>
    <w:p>
      <w:pPr>
        <w:spacing w:line="420" w:lineRule="exact"/>
        <w:ind w:firstLine="480" w:firstLineChars="200"/>
        <w:rPr>
          <w:rFonts w:ascii="宋体" w:hAnsi="宋体" w:eastAsia="宋体" w:cs="宋体"/>
          <w:color w:val="auto"/>
        </w:rPr>
      </w:pPr>
      <w:r>
        <w:rPr>
          <w:rFonts w:hint="eastAsia" w:ascii="宋体" w:hAnsi="宋体" w:eastAsia="宋体" w:cs="宋体"/>
          <w:color w:val="auto"/>
        </w:rPr>
        <w:t>（</w:t>
      </w:r>
      <w:r>
        <w:rPr>
          <w:rFonts w:ascii="宋体" w:hAnsi="宋体" w:eastAsia="宋体" w:cs="宋体"/>
          <w:color w:val="auto"/>
        </w:rPr>
        <w:t>16</w:t>
      </w:r>
      <w:r>
        <w:rPr>
          <w:rFonts w:hint="eastAsia" w:ascii="宋体" w:hAnsi="宋体" w:eastAsia="宋体" w:cs="宋体"/>
          <w:color w:val="auto"/>
        </w:rPr>
        <w:t>）供应商须充分考虑本项目之后的装修建设预算，并在响应文件中提供设计材料说明，含固定家具及水电等全部项目内容建设。</w:t>
      </w:r>
    </w:p>
    <w:p>
      <w:pPr>
        <w:spacing w:line="420" w:lineRule="exact"/>
        <w:ind w:firstLine="482" w:firstLineChars="200"/>
        <w:outlineLvl w:val="3"/>
        <w:rPr>
          <w:rFonts w:ascii="宋体" w:hAnsi="宋体" w:eastAsia="宋体" w:cs="宋体"/>
          <w:color w:val="auto"/>
        </w:rPr>
      </w:pPr>
      <w:r>
        <w:rPr>
          <w:rFonts w:ascii="宋体" w:hAnsi="宋体" w:eastAsia="宋体" w:cs="宋体"/>
          <w:b/>
          <w:bCs/>
          <w:color w:val="auto"/>
        </w:rPr>
        <w:t>5.</w:t>
      </w:r>
      <w:r>
        <w:rPr>
          <w:rFonts w:hint="eastAsia" w:ascii="宋体" w:hAnsi="宋体" w:eastAsia="宋体" w:cs="宋体"/>
          <w:b/>
          <w:bCs/>
          <w:color w:val="auto"/>
        </w:rPr>
        <w:t>需供应商完成的其他工作：</w:t>
      </w:r>
    </w:p>
    <w:p>
      <w:pPr>
        <w:spacing w:line="420" w:lineRule="exact"/>
        <w:ind w:firstLine="480" w:firstLineChars="200"/>
        <w:rPr>
          <w:rFonts w:ascii="宋体" w:hAnsi="宋体" w:eastAsia="宋体" w:cs="宋体"/>
          <w:color w:val="auto"/>
        </w:rPr>
      </w:pPr>
      <w:r>
        <w:rPr>
          <w:rFonts w:hint="eastAsia" w:ascii="宋体" w:hAnsi="宋体" w:eastAsia="宋体" w:cs="宋体"/>
          <w:color w:val="auto"/>
        </w:rPr>
        <w:t>（</w:t>
      </w:r>
      <w:r>
        <w:rPr>
          <w:rFonts w:ascii="宋体" w:hAnsi="宋体" w:eastAsia="宋体" w:cs="宋体"/>
          <w:color w:val="auto"/>
        </w:rPr>
        <w:t>1</w:t>
      </w:r>
      <w:r>
        <w:rPr>
          <w:rFonts w:hint="eastAsia" w:ascii="宋体" w:hAnsi="宋体" w:eastAsia="宋体" w:cs="宋体"/>
          <w:color w:val="auto"/>
        </w:rPr>
        <w:t>）完成图纸审查工作；</w:t>
      </w:r>
    </w:p>
    <w:p>
      <w:pPr>
        <w:spacing w:line="420" w:lineRule="exact"/>
        <w:ind w:firstLine="480" w:firstLineChars="200"/>
        <w:rPr>
          <w:rFonts w:ascii="宋体" w:hAnsi="宋体" w:eastAsia="宋体" w:cs="宋体"/>
          <w:color w:val="auto"/>
        </w:rPr>
      </w:pPr>
      <w:r>
        <w:rPr>
          <w:rFonts w:hint="eastAsia" w:ascii="宋体" w:hAnsi="宋体" w:eastAsia="宋体" w:cs="宋体"/>
          <w:color w:val="auto"/>
        </w:rPr>
        <w:t>（</w:t>
      </w:r>
      <w:r>
        <w:rPr>
          <w:rFonts w:ascii="宋体" w:hAnsi="宋体" w:eastAsia="宋体" w:cs="宋体"/>
          <w:color w:val="auto"/>
        </w:rPr>
        <w:t>2</w:t>
      </w:r>
      <w:r>
        <w:rPr>
          <w:rFonts w:hint="eastAsia" w:ascii="宋体" w:hAnsi="宋体" w:eastAsia="宋体" w:cs="宋体"/>
          <w:color w:val="auto"/>
        </w:rPr>
        <w:t>）本项目综合性养老服务中心的装修建设工作；</w:t>
      </w:r>
    </w:p>
    <w:p>
      <w:pPr>
        <w:spacing w:line="420" w:lineRule="exact"/>
        <w:ind w:firstLine="480" w:firstLineChars="200"/>
        <w:rPr>
          <w:rFonts w:ascii="宋体" w:hAnsi="宋体" w:eastAsia="宋体" w:cs="宋体"/>
          <w:color w:val="auto"/>
        </w:rPr>
      </w:pPr>
      <w:r>
        <w:rPr>
          <w:rFonts w:hint="eastAsia" w:ascii="宋体" w:hAnsi="宋体" w:eastAsia="宋体" w:cs="宋体"/>
          <w:color w:val="auto"/>
        </w:rPr>
        <w:t>（</w:t>
      </w:r>
      <w:r>
        <w:rPr>
          <w:rFonts w:ascii="宋体" w:hAnsi="宋体" w:eastAsia="宋体" w:cs="宋体"/>
          <w:color w:val="auto"/>
        </w:rPr>
        <w:t>3</w:t>
      </w:r>
      <w:r>
        <w:rPr>
          <w:rFonts w:hint="eastAsia" w:ascii="宋体" w:hAnsi="宋体" w:eastAsia="宋体" w:cs="宋体"/>
          <w:color w:val="auto"/>
        </w:rPr>
        <w:t>）本项目装修建设的后期现场验收工作；</w:t>
      </w:r>
    </w:p>
    <w:p>
      <w:pPr>
        <w:spacing w:line="420" w:lineRule="exact"/>
        <w:ind w:firstLine="480" w:firstLineChars="200"/>
        <w:rPr>
          <w:rFonts w:ascii="宋体" w:hAnsi="宋体" w:eastAsia="宋体" w:cs="宋体"/>
          <w:color w:val="auto"/>
        </w:rPr>
      </w:pPr>
      <w:r>
        <w:rPr>
          <w:rFonts w:hint="eastAsia" w:ascii="宋体" w:hAnsi="宋体" w:eastAsia="宋体" w:cs="宋体"/>
          <w:color w:val="auto"/>
        </w:rPr>
        <w:t>（</w:t>
      </w:r>
      <w:r>
        <w:rPr>
          <w:rFonts w:ascii="宋体" w:hAnsi="宋体" w:eastAsia="宋体" w:cs="宋体"/>
          <w:color w:val="auto"/>
        </w:rPr>
        <w:t>4</w:t>
      </w:r>
      <w:r>
        <w:rPr>
          <w:rFonts w:hint="eastAsia" w:ascii="宋体" w:hAnsi="宋体" w:eastAsia="宋体" w:cs="宋体"/>
          <w:color w:val="auto"/>
        </w:rPr>
        <w:t>）本项目装修建设材料样板的确认工作；</w:t>
      </w:r>
    </w:p>
    <w:p>
      <w:pPr>
        <w:spacing w:line="420" w:lineRule="exact"/>
        <w:ind w:firstLine="480" w:firstLineChars="200"/>
        <w:rPr>
          <w:rFonts w:ascii="宋体" w:hAnsi="宋体" w:eastAsia="宋体" w:cs="宋体"/>
          <w:color w:val="auto"/>
        </w:rPr>
      </w:pPr>
      <w:r>
        <w:rPr>
          <w:rFonts w:hint="eastAsia" w:ascii="宋体" w:hAnsi="宋体" w:eastAsia="宋体" w:cs="宋体"/>
          <w:color w:val="auto"/>
        </w:rPr>
        <w:t>（</w:t>
      </w:r>
      <w:r>
        <w:rPr>
          <w:rFonts w:ascii="宋体" w:hAnsi="宋体" w:eastAsia="宋体" w:cs="宋体"/>
          <w:color w:val="auto"/>
        </w:rPr>
        <w:t>5</w:t>
      </w:r>
      <w:r>
        <w:rPr>
          <w:rFonts w:hint="eastAsia" w:ascii="宋体" w:hAnsi="宋体" w:eastAsia="宋体" w:cs="宋体"/>
          <w:color w:val="auto"/>
        </w:rPr>
        <w:t>）本项目后期的整个装修建设工程的设计变更工作；</w:t>
      </w:r>
    </w:p>
    <w:p>
      <w:pPr>
        <w:spacing w:line="420" w:lineRule="exact"/>
        <w:ind w:firstLine="480" w:firstLineChars="200"/>
        <w:rPr>
          <w:rFonts w:ascii="宋体" w:hAnsi="宋体" w:eastAsia="宋体" w:cs="宋体"/>
          <w:color w:val="auto"/>
        </w:rPr>
      </w:pPr>
      <w:r>
        <w:rPr>
          <w:rFonts w:hint="eastAsia" w:ascii="宋体" w:hAnsi="宋体" w:eastAsia="宋体" w:cs="宋体"/>
          <w:color w:val="auto"/>
        </w:rPr>
        <w:t>（</w:t>
      </w:r>
      <w:r>
        <w:rPr>
          <w:rFonts w:ascii="宋体" w:hAnsi="宋体" w:eastAsia="宋体" w:cs="宋体"/>
          <w:color w:val="auto"/>
        </w:rPr>
        <w:t>6</w:t>
      </w:r>
      <w:r>
        <w:rPr>
          <w:rFonts w:hint="eastAsia" w:ascii="宋体" w:hAnsi="宋体" w:eastAsia="宋体" w:cs="宋体"/>
          <w:color w:val="auto"/>
        </w:rPr>
        <w:t>）本项目后期装修建设工程的竣工验收工作。</w:t>
      </w:r>
    </w:p>
    <w:p>
      <w:pPr>
        <w:spacing w:line="420" w:lineRule="exact"/>
        <w:ind w:firstLine="482" w:firstLineChars="200"/>
        <w:outlineLvl w:val="3"/>
        <w:rPr>
          <w:rFonts w:ascii="宋体" w:hAnsi="宋体" w:eastAsia="宋体" w:cs="宋体"/>
          <w:b/>
          <w:bCs/>
          <w:color w:val="auto"/>
        </w:rPr>
      </w:pPr>
      <w:r>
        <w:rPr>
          <w:rFonts w:ascii="宋体" w:hAnsi="宋体" w:eastAsia="宋体" w:cs="宋体"/>
          <w:b/>
          <w:bCs/>
          <w:color w:val="auto"/>
        </w:rPr>
        <w:t>6.</w:t>
      </w:r>
      <w:r>
        <w:rPr>
          <w:rFonts w:hint="eastAsia" w:ascii="宋体" w:hAnsi="宋体" w:eastAsia="宋体" w:cs="宋体"/>
          <w:b/>
          <w:bCs/>
          <w:color w:val="auto"/>
        </w:rPr>
        <w:t>退出机制</w:t>
      </w:r>
    </w:p>
    <w:p>
      <w:pPr>
        <w:widowControl/>
        <w:adjustRightInd w:val="0"/>
        <w:snapToGrid w:val="0"/>
        <w:spacing w:line="440" w:lineRule="exact"/>
        <w:ind w:firstLine="480" w:firstLineChars="200"/>
        <w:jc w:val="left"/>
        <w:rPr>
          <w:rFonts w:ascii="宋体" w:hAnsi="宋体" w:eastAsia="宋体" w:cs="宋体"/>
          <w:color w:val="auto"/>
        </w:rPr>
      </w:pPr>
      <w:r>
        <w:rPr>
          <w:rFonts w:hint="eastAsia" w:ascii="宋体" w:hAnsi="宋体" w:eastAsia="宋体" w:cs="宋体"/>
          <w:color w:val="auto"/>
        </w:rPr>
        <w:t>采购人将在每年度对服务供应商提供的“综合性养老服务中心”运营管理进行评分（考核评分表见下表），若服务供应商在该服务年度内，考核得分低于</w:t>
      </w:r>
      <w:r>
        <w:rPr>
          <w:rFonts w:ascii="宋体" w:hAnsi="宋体" w:eastAsia="宋体" w:cs="宋体"/>
          <w:color w:val="auto"/>
        </w:rPr>
        <w:t>70</w:t>
      </w:r>
      <w:r>
        <w:rPr>
          <w:rFonts w:hint="eastAsia" w:ascii="宋体" w:hAnsi="宋体" w:eastAsia="宋体" w:cs="宋体"/>
          <w:color w:val="auto"/>
        </w:rPr>
        <w:t>分（不含</w:t>
      </w:r>
      <w:r>
        <w:rPr>
          <w:rFonts w:ascii="宋体" w:hAnsi="宋体" w:eastAsia="宋体" w:cs="宋体"/>
          <w:color w:val="auto"/>
        </w:rPr>
        <w:t>70</w:t>
      </w:r>
      <w:r>
        <w:rPr>
          <w:rFonts w:hint="eastAsia" w:ascii="宋体" w:hAnsi="宋体" w:eastAsia="宋体" w:cs="宋体"/>
          <w:color w:val="auto"/>
        </w:rPr>
        <w:t>分），采购人有权责令服务供应商进行整改。如在规定的期限内未能整改到位，服务供应商须在采购人规定期限内无条件退出综合性养老服务中心服务项目。</w:t>
      </w:r>
    </w:p>
    <w:p>
      <w:pPr>
        <w:pStyle w:val="49"/>
        <w:ind w:firstLine="31680"/>
        <w:jc w:val="center"/>
        <w:rPr>
          <w:rFonts w:ascii="宋体" w:cs="宋体"/>
          <w:color w:val="auto"/>
        </w:rPr>
      </w:pPr>
      <w:r>
        <w:rPr>
          <w:rFonts w:hint="eastAsia" w:ascii="宋体" w:hAnsi="宋体" w:cs="宋体"/>
          <w:color w:val="auto"/>
          <w:kern w:val="2"/>
        </w:rPr>
        <w:t>钟秀街道综合性养老服务中心考核运营管理评分表</w:t>
      </w:r>
    </w:p>
    <w:tbl>
      <w:tblPr>
        <w:tblStyle w:val="50"/>
        <w:tblW w:w="9698" w:type="dxa"/>
        <w:tblInd w:w="93" w:type="dxa"/>
        <w:tblLayout w:type="fixed"/>
        <w:tblCellMar>
          <w:top w:w="0" w:type="dxa"/>
          <w:left w:w="108" w:type="dxa"/>
          <w:bottom w:w="0" w:type="dxa"/>
          <w:right w:w="108" w:type="dxa"/>
        </w:tblCellMar>
      </w:tblPr>
      <w:tblGrid>
        <w:gridCol w:w="1447"/>
        <w:gridCol w:w="6383"/>
        <w:gridCol w:w="887"/>
        <w:gridCol w:w="981"/>
      </w:tblGrid>
      <w:tr>
        <w:trPr>
          <w:trHeight w:val="500" w:hRule="atLeast"/>
        </w:trPr>
        <w:tc>
          <w:tcPr>
            <w:tcW w:w="14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auto"/>
                <w:sz w:val="21"/>
                <w:szCs w:val="21"/>
              </w:rPr>
            </w:pPr>
            <w:r>
              <w:rPr>
                <w:rFonts w:hint="eastAsia" w:ascii="宋体" w:hAnsi="宋体" w:eastAsia="宋体" w:cs="宋体"/>
                <w:b/>
                <w:bCs/>
                <w:color w:val="auto"/>
                <w:kern w:val="0"/>
                <w:sz w:val="21"/>
                <w:szCs w:val="21"/>
              </w:rPr>
              <w:t>考核内容</w:t>
            </w:r>
          </w:p>
        </w:tc>
        <w:tc>
          <w:tcPr>
            <w:tcW w:w="6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auto"/>
                <w:sz w:val="21"/>
                <w:szCs w:val="21"/>
              </w:rPr>
            </w:pPr>
            <w:r>
              <w:rPr>
                <w:rFonts w:hint="eastAsia" w:ascii="宋体" w:hAnsi="宋体" w:eastAsia="宋体" w:cs="宋体"/>
                <w:b/>
                <w:bCs/>
                <w:color w:val="auto"/>
                <w:kern w:val="0"/>
                <w:sz w:val="21"/>
                <w:szCs w:val="21"/>
              </w:rPr>
              <w:t>考核标准</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auto"/>
                <w:sz w:val="21"/>
                <w:szCs w:val="21"/>
              </w:rPr>
            </w:pPr>
            <w:r>
              <w:rPr>
                <w:rFonts w:hint="eastAsia" w:ascii="宋体" w:hAnsi="宋体" w:eastAsia="宋体" w:cs="宋体"/>
                <w:b/>
                <w:bCs/>
                <w:color w:val="auto"/>
                <w:kern w:val="0"/>
                <w:sz w:val="21"/>
                <w:szCs w:val="21"/>
              </w:rPr>
              <w:t>分值</w:t>
            </w:r>
          </w:p>
        </w:tc>
        <w:tc>
          <w:tcPr>
            <w:tcW w:w="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auto"/>
                <w:sz w:val="21"/>
                <w:szCs w:val="21"/>
              </w:rPr>
            </w:pPr>
            <w:r>
              <w:rPr>
                <w:rFonts w:hint="eastAsia" w:ascii="宋体" w:hAnsi="宋体" w:eastAsia="宋体" w:cs="宋体"/>
                <w:b/>
                <w:bCs/>
                <w:color w:val="auto"/>
                <w:kern w:val="0"/>
                <w:sz w:val="21"/>
                <w:szCs w:val="21"/>
              </w:rPr>
              <w:t>评分</w:t>
            </w:r>
          </w:p>
        </w:tc>
      </w:tr>
      <w:tr>
        <w:tblPrEx>
          <w:tblCellMar>
            <w:top w:w="0" w:type="dxa"/>
            <w:left w:w="108" w:type="dxa"/>
            <w:bottom w:w="0" w:type="dxa"/>
            <w:right w:w="108" w:type="dxa"/>
          </w:tblCellMar>
        </w:tblPrEx>
        <w:trPr>
          <w:trHeight w:val="700" w:hRule="atLeast"/>
        </w:trPr>
        <w:tc>
          <w:tcPr>
            <w:tcW w:w="14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场所开放</w:t>
            </w:r>
            <w:r>
              <w:rPr>
                <w:rFonts w:ascii="宋体" w:hAnsi="宋体" w:eastAsia="宋体" w:cs="宋体"/>
                <w:color w:val="auto"/>
                <w:kern w:val="0"/>
                <w:sz w:val="21"/>
                <w:szCs w:val="21"/>
              </w:rPr>
              <w:br w:type="textWrapping"/>
            </w:r>
            <w:r>
              <w:rPr>
                <w:rFonts w:ascii="宋体" w:hAnsi="宋体" w:eastAsia="宋体" w:cs="宋体"/>
                <w:color w:val="auto"/>
                <w:kern w:val="0"/>
                <w:sz w:val="21"/>
                <w:szCs w:val="21"/>
              </w:rPr>
              <w:t>10</w:t>
            </w:r>
            <w:r>
              <w:rPr>
                <w:rFonts w:hint="eastAsia" w:ascii="宋体" w:hAnsi="宋体" w:eastAsia="宋体" w:cs="宋体"/>
                <w:color w:val="auto"/>
                <w:kern w:val="0"/>
                <w:sz w:val="21"/>
                <w:szCs w:val="21"/>
              </w:rPr>
              <w:t>分</w:t>
            </w:r>
          </w:p>
        </w:tc>
        <w:tc>
          <w:tcPr>
            <w:tcW w:w="6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auto"/>
                <w:sz w:val="21"/>
                <w:szCs w:val="21"/>
              </w:rPr>
            </w:pPr>
            <w:r>
              <w:rPr>
                <w:rStyle w:val="138"/>
                <w:rFonts w:hint="eastAsia"/>
                <w:color w:val="auto"/>
                <w:sz w:val="21"/>
                <w:szCs w:val="21"/>
              </w:rPr>
              <w:t>服务场所，功能室齐全，设施完好，环境整洁。功能不全有一处扣</w:t>
            </w:r>
            <w:r>
              <w:rPr>
                <w:rStyle w:val="139"/>
                <w:rFonts w:ascii="宋体" w:hAnsi="宋体" w:eastAsia="宋体" w:cs="宋体"/>
                <w:color w:val="auto"/>
                <w:sz w:val="21"/>
                <w:szCs w:val="21"/>
              </w:rPr>
              <w:t>0.5</w:t>
            </w:r>
            <w:r>
              <w:rPr>
                <w:rStyle w:val="138"/>
                <w:rFonts w:hint="eastAsia"/>
                <w:color w:val="auto"/>
                <w:sz w:val="21"/>
                <w:szCs w:val="21"/>
              </w:rPr>
              <w:t>分；发现脏、乱、差情况每处扣</w:t>
            </w:r>
            <w:r>
              <w:rPr>
                <w:rStyle w:val="139"/>
                <w:rFonts w:ascii="宋体" w:hAnsi="宋体" w:eastAsia="宋体" w:cs="宋体"/>
                <w:color w:val="auto"/>
                <w:sz w:val="21"/>
                <w:szCs w:val="21"/>
              </w:rPr>
              <w:t>0.5</w:t>
            </w:r>
            <w:r>
              <w:rPr>
                <w:rStyle w:val="138"/>
                <w:rFonts w:hint="eastAsia"/>
                <w:color w:val="auto"/>
                <w:sz w:val="21"/>
                <w:szCs w:val="21"/>
              </w:rPr>
              <w:t>分。</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auto"/>
                <w:sz w:val="21"/>
                <w:szCs w:val="21"/>
              </w:rPr>
            </w:pPr>
            <w:r>
              <w:rPr>
                <w:rFonts w:ascii="宋体" w:hAnsi="宋体" w:eastAsia="宋体" w:cs="宋体"/>
                <w:b/>
                <w:bCs/>
                <w:color w:val="auto"/>
                <w:kern w:val="0"/>
                <w:sz w:val="21"/>
                <w:szCs w:val="21"/>
              </w:rPr>
              <w:t>4</w:t>
            </w:r>
          </w:p>
        </w:tc>
        <w:tc>
          <w:tcPr>
            <w:tcW w:w="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auto"/>
                <w:sz w:val="21"/>
                <w:szCs w:val="21"/>
              </w:rPr>
            </w:pPr>
          </w:p>
        </w:tc>
      </w:tr>
      <w:tr>
        <w:tblPrEx>
          <w:tblCellMar>
            <w:top w:w="0" w:type="dxa"/>
            <w:left w:w="108" w:type="dxa"/>
            <w:bottom w:w="0" w:type="dxa"/>
            <w:right w:w="108" w:type="dxa"/>
          </w:tblCellMar>
        </w:tblPrEx>
        <w:trPr>
          <w:trHeight w:val="700" w:hRule="atLeast"/>
        </w:trPr>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auto"/>
                <w:sz w:val="21"/>
                <w:szCs w:val="21"/>
              </w:rPr>
            </w:pPr>
          </w:p>
        </w:tc>
        <w:tc>
          <w:tcPr>
            <w:tcW w:w="6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auto"/>
                <w:sz w:val="21"/>
                <w:szCs w:val="21"/>
              </w:rPr>
            </w:pPr>
            <w:r>
              <w:rPr>
                <w:rStyle w:val="138"/>
                <w:rFonts w:hint="eastAsia"/>
                <w:color w:val="auto"/>
                <w:sz w:val="21"/>
                <w:szCs w:val="21"/>
              </w:rPr>
              <w:t>每天按时正常开放，活动开展有序，服务到位。发现一次未正常开放扣</w:t>
            </w:r>
            <w:r>
              <w:rPr>
                <w:rStyle w:val="139"/>
                <w:rFonts w:ascii="宋体" w:hAnsi="宋体" w:eastAsia="宋体" w:cs="宋体"/>
                <w:color w:val="auto"/>
                <w:sz w:val="21"/>
                <w:szCs w:val="21"/>
              </w:rPr>
              <w:t>1</w:t>
            </w:r>
            <w:r>
              <w:rPr>
                <w:rStyle w:val="138"/>
                <w:rFonts w:hint="eastAsia"/>
                <w:color w:val="auto"/>
                <w:sz w:val="21"/>
                <w:szCs w:val="21"/>
              </w:rPr>
              <w:t>分；秩序混乱扣</w:t>
            </w:r>
            <w:r>
              <w:rPr>
                <w:rStyle w:val="139"/>
                <w:rFonts w:ascii="宋体" w:hAnsi="宋体" w:eastAsia="宋体" w:cs="宋体"/>
                <w:color w:val="auto"/>
                <w:sz w:val="21"/>
                <w:szCs w:val="21"/>
              </w:rPr>
              <w:t>1</w:t>
            </w:r>
            <w:r>
              <w:rPr>
                <w:rStyle w:val="138"/>
                <w:rFonts w:hint="eastAsia"/>
                <w:color w:val="auto"/>
                <w:sz w:val="21"/>
                <w:szCs w:val="21"/>
              </w:rPr>
              <w:t>分；服务不到位扣</w:t>
            </w:r>
            <w:r>
              <w:rPr>
                <w:rFonts w:ascii="宋体" w:hAnsi="宋体" w:eastAsia="宋体" w:cs="宋体"/>
                <w:color w:val="auto"/>
                <w:kern w:val="0"/>
                <w:sz w:val="21"/>
                <w:szCs w:val="21"/>
              </w:rPr>
              <w:t xml:space="preserve"> </w:t>
            </w:r>
            <w:r>
              <w:rPr>
                <w:rStyle w:val="139"/>
                <w:rFonts w:ascii="宋体" w:hAnsi="宋体" w:eastAsia="宋体" w:cs="宋体"/>
                <w:color w:val="auto"/>
                <w:sz w:val="21"/>
                <w:szCs w:val="21"/>
              </w:rPr>
              <w:t>2</w:t>
            </w:r>
            <w:r>
              <w:rPr>
                <w:rStyle w:val="138"/>
                <w:rFonts w:hint="eastAsia"/>
                <w:color w:val="auto"/>
                <w:sz w:val="21"/>
                <w:szCs w:val="21"/>
              </w:rPr>
              <w:t>分。</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auto"/>
                <w:sz w:val="21"/>
                <w:szCs w:val="21"/>
              </w:rPr>
            </w:pPr>
            <w:r>
              <w:rPr>
                <w:rFonts w:ascii="宋体" w:hAnsi="宋体" w:eastAsia="宋体" w:cs="宋体"/>
                <w:b/>
                <w:bCs/>
                <w:color w:val="auto"/>
                <w:kern w:val="0"/>
                <w:sz w:val="21"/>
                <w:szCs w:val="21"/>
              </w:rPr>
              <w:t>3</w:t>
            </w:r>
          </w:p>
        </w:tc>
        <w:tc>
          <w:tcPr>
            <w:tcW w:w="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auto"/>
                <w:sz w:val="21"/>
                <w:szCs w:val="21"/>
              </w:rPr>
            </w:pPr>
          </w:p>
        </w:tc>
      </w:tr>
      <w:tr>
        <w:tblPrEx>
          <w:tblCellMar>
            <w:top w:w="0" w:type="dxa"/>
            <w:left w:w="108" w:type="dxa"/>
            <w:bottom w:w="0" w:type="dxa"/>
            <w:right w:w="108" w:type="dxa"/>
          </w:tblCellMar>
        </w:tblPrEx>
        <w:trPr>
          <w:trHeight w:val="700" w:hRule="atLeast"/>
        </w:trPr>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auto"/>
                <w:sz w:val="21"/>
                <w:szCs w:val="21"/>
              </w:rPr>
            </w:pPr>
          </w:p>
        </w:tc>
        <w:tc>
          <w:tcPr>
            <w:tcW w:w="6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auto"/>
                <w:sz w:val="21"/>
                <w:szCs w:val="21"/>
              </w:rPr>
            </w:pPr>
            <w:r>
              <w:rPr>
                <w:rStyle w:val="138"/>
                <w:rFonts w:hint="eastAsia"/>
                <w:color w:val="auto"/>
                <w:sz w:val="21"/>
                <w:szCs w:val="21"/>
              </w:rPr>
              <w:t>信息系统完备，监控设备正常运转。信息系统不健全扣</w:t>
            </w:r>
            <w:r>
              <w:rPr>
                <w:rStyle w:val="139"/>
                <w:rFonts w:ascii="宋体" w:hAnsi="宋体" w:eastAsia="宋体" w:cs="宋体"/>
                <w:color w:val="auto"/>
                <w:sz w:val="21"/>
                <w:szCs w:val="21"/>
              </w:rPr>
              <w:t>1</w:t>
            </w:r>
            <w:r>
              <w:rPr>
                <w:rStyle w:val="138"/>
                <w:rFonts w:hint="eastAsia"/>
                <w:color w:val="auto"/>
                <w:sz w:val="21"/>
                <w:szCs w:val="21"/>
              </w:rPr>
              <w:t>分；无监控设备扣</w:t>
            </w:r>
            <w:r>
              <w:rPr>
                <w:rStyle w:val="139"/>
                <w:rFonts w:ascii="宋体" w:hAnsi="宋体" w:eastAsia="宋体" w:cs="宋体"/>
                <w:color w:val="auto"/>
                <w:sz w:val="21"/>
                <w:szCs w:val="21"/>
              </w:rPr>
              <w:t>2</w:t>
            </w:r>
            <w:r>
              <w:rPr>
                <w:rStyle w:val="138"/>
                <w:rFonts w:hint="eastAsia"/>
                <w:color w:val="auto"/>
                <w:sz w:val="21"/>
                <w:szCs w:val="21"/>
              </w:rPr>
              <w:t>分。</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auto"/>
                <w:sz w:val="21"/>
                <w:szCs w:val="21"/>
              </w:rPr>
            </w:pPr>
            <w:r>
              <w:rPr>
                <w:rFonts w:ascii="宋体" w:hAnsi="宋体" w:eastAsia="宋体" w:cs="宋体"/>
                <w:b/>
                <w:bCs/>
                <w:color w:val="auto"/>
                <w:kern w:val="0"/>
                <w:sz w:val="21"/>
                <w:szCs w:val="21"/>
              </w:rPr>
              <w:t>3</w:t>
            </w:r>
          </w:p>
        </w:tc>
        <w:tc>
          <w:tcPr>
            <w:tcW w:w="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auto"/>
                <w:sz w:val="21"/>
                <w:szCs w:val="21"/>
              </w:rPr>
            </w:pPr>
          </w:p>
        </w:tc>
      </w:tr>
      <w:tr>
        <w:tblPrEx>
          <w:tblCellMar>
            <w:top w:w="0" w:type="dxa"/>
            <w:left w:w="108" w:type="dxa"/>
            <w:bottom w:w="0" w:type="dxa"/>
            <w:right w:w="108" w:type="dxa"/>
          </w:tblCellMar>
        </w:tblPrEx>
        <w:trPr>
          <w:trHeight w:val="700" w:hRule="atLeast"/>
        </w:trPr>
        <w:tc>
          <w:tcPr>
            <w:tcW w:w="14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内部管理</w:t>
            </w:r>
            <w:r>
              <w:rPr>
                <w:rFonts w:ascii="宋体" w:hAnsi="宋体" w:eastAsia="宋体" w:cs="宋体"/>
                <w:color w:val="auto"/>
                <w:kern w:val="0"/>
                <w:sz w:val="21"/>
                <w:szCs w:val="21"/>
              </w:rPr>
              <w:br w:type="textWrapping"/>
            </w:r>
            <w:r>
              <w:rPr>
                <w:rFonts w:ascii="宋体" w:hAnsi="宋体" w:eastAsia="宋体" w:cs="宋体"/>
                <w:color w:val="auto"/>
                <w:kern w:val="0"/>
                <w:sz w:val="21"/>
                <w:szCs w:val="21"/>
              </w:rPr>
              <w:t>20</w:t>
            </w:r>
            <w:r>
              <w:rPr>
                <w:rFonts w:hint="eastAsia" w:ascii="宋体" w:hAnsi="宋体" w:eastAsia="宋体" w:cs="宋体"/>
                <w:color w:val="auto"/>
                <w:kern w:val="0"/>
                <w:sz w:val="21"/>
                <w:szCs w:val="21"/>
              </w:rPr>
              <w:t>分</w:t>
            </w:r>
          </w:p>
        </w:tc>
        <w:tc>
          <w:tcPr>
            <w:tcW w:w="6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auto"/>
                <w:sz w:val="21"/>
                <w:szCs w:val="21"/>
              </w:rPr>
            </w:pPr>
            <w:r>
              <w:rPr>
                <w:rStyle w:val="138"/>
                <w:rFonts w:hint="eastAsia"/>
                <w:color w:val="auto"/>
                <w:sz w:val="21"/>
                <w:szCs w:val="21"/>
              </w:rPr>
              <w:t>①管理规章制度齐全，并对外公示。制度不全或未对外公示扣</w:t>
            </w:r>
            <w:r>
              <w:rPr>
                <w:rStyle w:val="139"/>
                <w:rFonts w:ascii="宋体" w:hAnsi="宋体" w:eastAsia="宋体" w:cs="宋体"/>
                <w:color w:val="auto"/>
                <w:sz w:val="21"/>
                <w:szCs w:val="21"/>
              </w:rPr>
              <w:t>1</w:t>
            </w:r>
            <w:r>
              <w:rPr>
                <w:rStyle w:val="138"/>
                <w:rFonts w:hint="eastAsia"/>
                <w:color w:val="auto"/>
                <w:sz w:val="21"/>
                <w:szCs w:val="21"/>
              </w:rPr>
              <w:t>分。</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auto"/>
                <w:sz w:val="21"/>
                <w:szCs w:val="21"/>
              </w:rPr>
            </w:pPr>
            <w:r>
              <w:rPr>
                <w:rFonts w:ascii="宋体" w:hAnsi="宋体" w:eastAsia="宋体" w:cs="宋体"/>
                <w:b/>
                <w:bCs/>
                <w:color w:val="auto"/>
                <w:kern w:val="0"/>
                <w:sz w:val="21"/>
                <w:szCs w:val="21"/>
              </w:rPr>
              <w:t>5</w:t>
            </w:r>
          </w:p>
        </w:tc>
        <w:tc>
          <w:tcPr>
            <w:tcW w:w="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auto"/>
                <w:sz w:val="21"/>
                <w:szCs w:val="21"/>
              </w:rPr>
            </w:pPr>
          </w:p>
        </w:tc>
      </w:tr>
      <w:tr>
        <w:tblPrEx>
          <w:tblCellMar>
            <w:top w:w="0" w:type="dxa"/>
            <w:left w:w="108" w:type="dxa"/>
            <w:bottom w:w="0" w:type="dxa"/>
            <w:right w:w="108" w:type="dxa"/>
          </w:tblCellMar>
        </w:tblPrEx>
        <w:trPr>
          <w:trHeight w:val="700" w:hRule="atLeast"/>
        </w:trPr>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auto"/>
                <w:sz w:val="21"/>
                <w:szCs w:val="21"/>
              </w:rPr>
            </w:pPr>
          </w:p>
        </w:tc>
        <w:tc>
          <w:tcPr>
            <w:tcW w:w="6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auto"/>
                <w:sz w:val="21"/>
                <w:szCs w:val="21"/>
              </w:rPr>
            </w:pPr>
            <w:r>
              <w:rPr>
                <w:rStyle w:val="138"/>
                <w:rFonts w:hint="eastAsia"/>
                <w:color w:val="auto"/>
                <w:sz w:val="21"/>
                <w:szCs w:val="21"/>
              </w:rPr>
              <w:t>②有人员培训和奖惩制度，对服务人员实行每月考评。缺少一次考评记录扣</w:t>
            </w:r>
            <w:r>
              <w:rPr>
                <w:rStyle w:val="139"/>
                <w:rFonts w:ascii="宋体" w:hAnsi="宋体" w:eastAsia="宋体" w:cs="宋体"/>
                <w:color w:val="auto"/>
                <w:sz w:val="21"/>
                <w:szCs w:val="21"/>
              </w:rPr>
              <w:t>1</w:t>
            </w:r>
            <w:r>
              <w:rPr>
                <w:rStyle w:val="138"/>
                <w:rFonts w:hint="eastAsia"/>
                <w:color w:val="auto"/>
                <w:sz w:val="21"/>
                <w:szCs w:val="21"/>
              </w:rPr>
              <w:t>分。</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auto"/>
                <w:sz w:val="21"/>
                <w:szCs w:val="21"/>
              </w:rPr>
            </w:pPr>
            <w:r>
              <w:rPr>
                <w:rFonts w:ascii="宋体" w:hAnsi="宋体" w:eastAsia="宋体" w:cs="宋体"/>
                <w:b/>
                <w:bCs/>
                <w:color w:val="auto"/>
                <w:kern w:val="0"/>
                <w:sz w:val="21"/>
                <w:szCs w:val="21"/>
              </w:rPr>
              <w:t>5</w:t>
            </w:r>
          </w:p>
        </w:tc>
        <w:tc>
          <w:tcPr>
            <w:tcW w:w="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auto"/>
                <w:sz w:val="21"/>
                <w:szCs w:val="21"/>
              </w:rPr>
            </w:pPr>
          </w:p>
        </w:tc>
      </w:tr>
      <w:tr>
        <w:tblPrEx>
          <w:tblCellMar>
            <w:top w:w="0" w:type="dxa"/>
            <w:left w:w="108" w:type="dxa"/>
            <w:bottom w:w="0" w:type="dxa"/>
            <w:right w:w="108" w:type="dxa"/>
          </w:tblCellMar>
        </w:tblPrEx>
        <w:trPr>
          <w:trHeight w:val="700" w:hRule="atLeast"/>
        </w:trPr>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auto"/>
                <w:sz w:val="21"/>
                <w:szCs w:val="21"/>
              </w:rPr>
            </w:pPr>
          </w:p>
        </w:tc>
        <w:tc>
          <w:tcPr>
            <w:tcW w:w="6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③机构资质、服务项目、收费标准、工作流程、服务承诺、投诉方式等信息齐全，并对外公示。信息不全或未对外公示扣</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分。</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auto"/>
                <w:sz w:val="21"/>
                <w:szCs w:val="21"/>
              </w:rPr>
            </w:pPr>
            <w:r>
              <w:rPr>
                <w:rFonts w:ascii="宋体" w:hAnsi="宋体" w:eastAsia="宋体" w:cs="宋体"/>
                <w:b/>
                <w:bCs/>
                <w:color w:val="auto"/>
                <w:kern w:val="0"/>
                <w:sz w:val="21"/>
                <w:szCs w:val="21"/>
              </w:rPr>
              <w:t>5</w:t>
            </w:r>
          </w:p>
        </w:tc>
        <w:tc>
          <w:tcPr>
            <w:tcW w:w="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auto"/>
                <w:sz w:val="21"/>
                <w:szCs w:val="21"/>
              </w:rPr>
            </w:pPr>
          </w:p>
        </w:tc>
      </w:tr>
      <w:tr>
        <w:tblPrEx>
          <w:tblCellMar>
            <w:top w:w="0" w:type="dxa"/>
            <w:left w:w="108" w:type="dxa"/>
            <w:bottom w:w="0" w:type="dxa"/>
            <w:right w:w="108" w:type="dxa"/>
          </w:tblCellMar>
        </w:tblPrEx>
        <w:trPr>
          <w:trHeight w:val="700" w:hRule="atLeast"/>
        </w:trPr>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auto"/>
                <w:sz w:val="21"/>
                <w:szCs w:val="21"/>
              </w:rPr>
            </w:pPr>
          </w:p>
        </w:tc>
        <w:tc>
          <w:tcPr>
            <w:tcW w:w="6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auto"/>
                <w:sz w:val="21"/>
                <w:szCs w:val="21"/>
              </w:rPr>
            </w:pPr>
            <w:r>
              <w:rPr>
                <w:rStyle w:val="138"/>
                <w:rFonts w:hint="eastAsia"/>
                <w:color w:val="auto"/>
                <w:sz w:val="21"/>
                <w:szCs w:val="21"/>
              </w:rPr>
              <w:t>③建立服务对象档案，并配照片。服务对象档案少或不完整的扣</w:t>
            </w:r>
            <w:r>
              <w:rPr>
                <w:rStyle w:val="139"/>
                <w:rFonts w:ascii="宋体" w:hAnsi="宋体" w:eastAsia="宋体" w:cs="宋体"/>
                <w:color w:val="auto"/>
                <w:sz w:val="21"/>
                <w:szCs w:val="21"/>
              </w:rPr>
              <w:t>2</w:t>
            </w:r>
            <w:r>
              <w:rPr>
                <w:rStyle w:val="138"/>
                <w:rFonts w:hint="eastAsia"/>
                <w:color w:val="auto"/>
                <w:sz w:val="21"/>
                <w:szCs w:val="21"/>
              </w:rPr>
              <w:t>分。</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auto"/>
                <w:sz w:val="21"/>
                <w:szCs w:val="21"/>
              </w:rPr>
            </w:pPr>
            <w:r>
              <w:rPr>
                <w:rFonts w:ascii="宋体" w:hAnsi="宋体" w:eastAsia="宋体" w:cs="宋体"/>
                <w:b/>
                <w:bCs/>
                <w:color w:val="auto"/>
                <w:kern w:val="0"/>
                <w:sz w:val="21"/>
                <w:szCs w:val="21"/>
              </w:rPr>
              <w:t>5</w:t>
            </w:r>
          </w:p>
        </w:tc>
        <w:tc>
          <w:tcPr>
            <w:tcW w:w="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auto"/>
                <w:sz w:val="21"/>
                <w:szCs w:val="21"/>
              </w:rPr>
            </w:pPr>
          </w:p>
        </w:tc>
      </w:tr>
      <w:tr>
        <w:tblPrEx>
          <w:tblCellMar>
            <w:top w:w="0" w:type="dxa"/>
            <w:left w:w="108" w:type="dxa"/>
            <w:bottom w:w="0" w:type="dxa"/>
            <w:right w:w="108" w:type="dxa"/>
          </w:tblCellMar>
        </w:tblPrEx>
        <w:trPr>
          <w:trHeight w:val="700" w:hRule="atLeast"/>
        </w:trPr>
        <w:tc>
          <w:tcPr>
            <w:tcW w:w="14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安全卫生</w:t>
            </w:r>
            <w:r>
              <w:rPr>
                <w:rFonts w:ascii="宋体" w:hAnsi="宋体" w:eastAsia="宋体" w:cs="宋体"/>
                <w:color w:val="auto"/>
                <w:kern w:val="0"/>
                <w:sz w:val="21"/>
                <w:szCs w:val="21"/>
              </w:rPr>
              <w:br w:type="textWrapping"/>
            </w:r>
            <w:r>
              <w:rPr>
                <w:rFonts w:ascii="宋体" w:hAnsi="宋体" w:eastAsia="宋体" w:cs="宋体"/>
                <w:color w:val="auto"/>
                <w:kern w:val="0"/>
                <w:sz w:val="21"/>
                <w:szCs w:val="21"/>
              </w:rPr>
              <w:t>20</w:t>
            </w:r>
            <w:r>
              <w:rPr>
                <w:rFonts w:hint="eastAsia" w:ascii="宋体" w:hAnsi="宋体" w:eastAsia="宋体" w:cs="宋体"/>
                <w:color w:val="auto"/>
                <w:kern w:val="0"/>
                <w:sz w:val="21"/>
                <w:szCs w:val="21"/>
              </w:rPr>
              <w:t>分</w:t>
            </w:r>
          </w:p>
        </w:tc>
        <w:tc>
          <w:tcPr>
            <w:tcW w:w="6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auto"/>
                <w:sz w:val="21"/>
                <w:szCs w:val="21"/>
              </w:rPr>
            </w:pPr>
            <w:r>
              <w:rPr>
                <w:rStyle w:val="138"/>
                <w:rFonts w:hint="eastAsia"/>
                <w:color w:val="auto"/>
                <w:sz w:val="21"/>
                <w:szCs w:val="21"/>
              </w:rPr>
              <w:t>①建立突发事件应急预案，发生突发事件按照预案处理。</w:t>
            </w:r>
            <w:r>
              <w:rPr>
                <w:rFonts w:ascii="宋体" w:hAnsi="宋体" w:eastAsia="宋体" w:cs="宋体"/>
                <w:color w:val="auto"/>
                <w:kern w:val="0"/>
                <w:sz w:val="21"/>
                <w:szCs w:val="21"/>
              </w:rPr>
              <w:t xml:space="preserve"> </w:t>
            </w:r>
            <w:r>
              <w:rPr>
                <w:rFonts w:hint="eastAsia" w:ascii="宋体" w:hAnsi="宋体" w:eastAsia="宋体" w:cs="宋体"/>
                <w:color w:val="auto"/>
                <w:kern w:val="0"/>
                <w:sz w:val="21"/>
                <w:szCs w:val="21"/>
              </w:rPr>
              <w:t>没有应急预案的不得分，处理突发情况不妥的酌情扣分。</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auto"/>
                <w:sz w:val="21"/>
                <w:szCs w:val="21"/>
              </w:rPr>
            </w:pPr>
            <w:r>
              <w:rPr>
                <w:rFonts w:ascii="宋体" w:hAnsi="宋体" w:eastAsia="宋体" w:cs="宋体"/>
                <w:b/>
                <w:bCs/>
                <w:color w:val="auto"/>
                <w:kern w:val="0"/>
                <w:sz w:val="21"/>
                <w:szCs w:val="21"/>
              </w:rPr>
              <w:t>5</w:t>
            </w:r>
          </w:p>
        </w:tc>
        <w:tc>
          <w:tcPr>
            <w:tcW w:w="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auto"/>
                <w:sz w:val="21"/>
                <w:szCs w:val="21"/>
              </w:rPr>
            </w:pPr>
          </w:p>
        </w:tc>
      </w:tr>
      <w:tr>
        <w:tblPrEx>
          <w:tblCellMar>
            <w:top w:w="0" w:type="dxa"/>
            <w:left w:w="108" w:type="dxa"/>
            <w:bottom w:w="0" w:type="dxa"/>
            <w:right w:w="108" w:type="dxa"/>
          </w:tblCellMar>
        </w:tblPrEx>
        <w:trPr>
          <w:trHeight w:val="700" w:hRule="atLeast"/>
        </w:trPr>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auto"/>
                <w:sz w:val="21"/>
                <w:szCs w:val="21"/>
              </w:rPr>
            </w:pPr>
          </w:p>
        </w:tc>
        <w:tc>
          <w:tcPr>
            <w:tcW w:w="6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②设有符合建设标准并验收通过的消防及安全设备，防止火灾及安全事故发生。不达标不得分。</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auto"/>
                <w:sz w:val="21"/>
                <w:szCs w:val="21"/>
              </w:rPr>
            </w:pPr>
            <w:r>
              <w:rPr>
                <w:rFonts w:ascii="宋体" w:hAnsi="宋体" w:eastAsia="宋体" w:cs="宋体"/>
                <w:b/>
                <w:bCs/>
                <w:color w:val="auto"/>
                <w:kern w:val="0"/>
                <w:sz w:val="21"/>
                <w:szCs w:val="21"/>
              </w:rPr>
              <w:t>10</w:t>
            </w:r>
          </w:p>
        </w:tc>
        <w:tc>
          <w:tcPr>
            <w:tcW w:w="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auto"/>
                <w:sz w:val="21"/>
                <w:szCs w:val="21"/>
              </w:rPr>
            </w:pPr>
          </w:p>
        </w:tc>
      </w:tr>
      <w:tr>
        <w:tblPrEx>
          <w:tblCellMar>
            <w:top w:w="0" w:type="dxa"/>
            <w:left w:w="108" w:type="dxa"/>
            <w:bottom w:w="0" w:type="dxa"/>
            <w:right w:w="108" w:type="dxa"/>
          </w:tblCellMar>
        </w:tblPrEx>
        <w:trPr>
          <w:trHeight w:val="700" w:hRule="atLeast"/>
        </w:trPr>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auto"/>
                <w:sz w:val="21"/>
                <w:szCs w:val="21"/>
              </w:rPr>
            </w:pPr>
          </w:p>
        </w:tc>
        <w:tc>
          <w:tcPr>
            <w:tcW w:w="6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auto"/>
                <w:sz w:val="21"/>
                <w:szCs w:val="21"/>
              </w:rPr>
            </w:pPr>
            <w:r>
              <w:rPr>
                <w:rStyle w:val="138"/>
                <w:rFonts w:hint="eastAsia"/>
                <w:color w:val="auto"/>
                <w:sz w:val="21"/>
                <w:szCs w:val="21"/>
              </w:rPr>
              <w:t>③重视食品安全卫生，严格履行消毒流程，杜绝食物中毒。出现一起扣</w:t>
            </w:r>
            <w:r>
              <w:rPr>
                <w:rStyle w:val="139"/>
                <w:rFonts w:ascii="宋体" w:hAnsi="宋体" w:eastAsia="宋体" w:cs="宋体"/>
                <w:color w:val="auto"/>
                <w:sz w:val="21"/>
                <w:szCs w:val="21"/>
              </w:rPr>
              <w:t>5</w:t>
            </w:r>
            <w:r>
              <w:rPr>
                <w:rStyle w:val="138"/>
                <w:rFonts w:hint="eastAsia"/>
                <w:color w:val="auto"/>
                <w:sz w:val="21"/>
                <w:szCs w:val="21"/>
              </w:rPr>
              <w:t>分。</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auto"/>
                <w:sz w:val="21"/>
                <w:szCs w:val="21"/>
              </w:rPr>
            </w:pPr>
            <w:r>
              <w:rPr>
                <w:rFonts w:ascii="宋体" w:hAnsi="宋体" w:eastAsia="宋体" w:cs="宋体"/>
                <w:b/>
                <w:bCs/>
                <w:color w:val="auto"/>
                <w:kern w:val="0"/>
                <w:sz w:val="21"/>
                <w:szCs w:val="21"/>
              </w:rPr>
              <w:t>5</w:t>
            </w:r>
          </w:p>
        </w:tc>
        <w:tc>
          <w:tcPr>
            <w:tcW w:w="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auto"/>
                <w:sz w:val="21"/>
                <w:szCs w:val="21"/>
              </w:rPr>
            </w:pPr>
          </w:p>
        </w:tc>
      </w:tr>
      <w:tr>
        <w:tblPrEx>
          <w:tblCellMar>
            <w:top w:w="0" w:type="dxa"/>
            <w:left w:w="108" w:type="dxa"/>
            <w:bottom w:w="0" w:type="dxa"/>
            <w:right w:w="108" w:type="dxa"/>
          </w:tblCellMar>
        </w:tblPrEx>
        <w:trPr>
          <w:trHeight w:val="700" w:hRule="atLeast"/>
        </w:trPr>
        <w:tc>
          <w:tcPr>
            <w:tcW w:w="14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工作队伍建设</w:t>
            </w:r>
            <w:r>
              <w:rPr>
                <w:rFonts w:ascii="宋体" w:hAnsi="宋体" w:eastAsia="宋体" w:cs="宋体"/>
                <w:color w:val="auto"/>
                <w:kern w:val="0"/>
                <w:sz w:val="21"/>
                <w:szCs w:val="21"/>
              </w:rPr>
              <w:br w:type="textWrapping"/>
            </w:r>
            <w:r>
              <w:rPr>
                <w:rFonts w:ascii="宋体" w:hAnsi="宋体" w:eastAsia="宋体" w:cs="宋体"/>
                <w:color w:val="auto"/>
                <w:kern w:val="0"/>
                <w:sz w:val="21"/>
                <w:szCs w:val="21"/>
              </w:rPr>
              <w:t>15</w:t>
            </w:r>
            <w:r>
              <w:rPr>
                <w:rFonts w:hint="eastAsia" w:ascii="宋体" w:hAnsi="宋体" w:eastAsia="宋体" w:cs="宋体"/>
                <w:color w:val="auto"/>
                <w:kern w:val="0"/>
                <w:sz w:val="21"/>
                <w:szCs w:val="21"/>
              </w:rPr>
              <w:t>分</w:t>
            </w:r>
          </w:p>
        </w:tc>
        <w:tc>
          <w:tcPr>
            <w:tcW w:w="6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auto"/>
                <w:sz w:val="21"/>
                <w:szCs w:val="21"/>
              </w:rPr>
            </w:pPr>
            <w:r>
              <w:rPr>
                <w:rStyle w:val="138"/>
                <w:rFonts w:hint="eastAsia"/>
                <w:color w:val="auto"/>
                <w:sz w:val="21"/>
                <w:szCs w:val="21"/>
              </w:rPr>
              <w:t>①机构必须配备</w:t>
            </w:r>
            <w:r>
              <w:rPr>
                <w:rStyle w:val="139"/>
                <w:rFonts w:ascii="宋体" w:hAnsi="宋体" w:eastAsia="宋体" w:cs="宋体"/>
                <w:color w:val="auto"/>
                <w:sz w:val="21"/>
                <w:szCs w:val="21"/>
              </w:rPr>
              <w:t>1</w:t>
            </w:r>
            <w:r>
              <w:rPr>
                <w:rStyle w:val="138"/>
                <w:rFonts w:hint="eastAsia"/>
                <w:color w:val="auto"/>
                <w:sz w:val="21"/>
                <w:szCs w:val="21"/>
              </w:rPr>
              <w:t>名负责人，具有较强组织管理能力。并配有专业的服务队伍。少一项扣</w:t>
            </w:r>
            <w:r>
              <w:rPr>
                <w:rStyle w:val="139"/>
                <w:rFonts w:ascii="宋体" w:hAnsi="宋体" w:eastAsia="宋体" w:cs="宋体"/>
                <w:color w:val="auto"/>
                <w:sz w:val="21"/>
                <w:szCs w:val="21"/>
              </w:rPr>
              <w:t>1</w:t>
            </w:r>
            <w:r>
              <w:rPr>
                <w:rStyle w:val="138"/>
                <w:rFonts w:hint="eastAsia"/>
                <w:color w:val="auto"/>
                <w:sz w:val="21"/>
                <w:szCs w:val="21"/>
              </w:rPr>
              <w:t>分。</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auto"/>
                <w:sz w:val="21"/>
                <w:szCs w:val="21"/>
              </w:rPr>
            </w:pPr>
            <w:r>
              <w:rPr>
                <w:rFonts w:ascii="宋体" w:hAnsi="宋体" w:eastAsia="宋体" w:cs="宋体"/>
                <w:b/>
                <w:bCs/>
                <w:color w:val="auto"/>
                <w:kern w:val="0"/>
                <w:sz w:val="21"/>
                <w:szCs w:val="21"/>
              </w:rPr>
              <w:t>5</w:t>
            </w:r>
          </w:p>
        </w:tc>
        <w:tc>
          <w:tcPr>
            <w:tcW w:w="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auto"/>
                <w:sz w:val="21"/>
                <w:szCs w:val="21"/>
              </w:rPr>
            </w:pPr>
          </w:p>
        </w:tc>
      </w:tr>
      <w:tr>
        <w:tblPrEx>
          <w:tblCellMar>
            <w:top w:w="0" w:type="dxa"/>
            <w:left w:w="108" w:type="dxa"/>
            <w:bottom w:w="0" w:type="dxa"/>
            <w:right w:w="108" w:type="dxa"/>
          </w:tblCellMar>
        </w:tblPrEx>
        <w:trPr>
          <w:trHeight w:val="700" w:hRule="atLeast"/>
        </w:trPr>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auto"/>
                <w:sz w:val="21"/>
                <w:szCs w:val="21"/>
              </w:rPr>
            </w:pPr>
          </w:p>
        </w:tc>
        <w:tc>
          <w:tcPr>
            <w:tcW w:w="6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auto"/>
                <w:sz w:val="21"/>
                <w:szCs w:val="21"/>
              </w:rPr>
            </w:pPr>
            <w:r>
              <w:rPr>
                <w:rStyle w:val="138"/>
                <w:rFonts w:hint="eastAsia"/>
                <w:color w:val="auto"/>
                <w:sz w:val="21"/>
                <w:szCs w:val="21"/>
              </w:rPr>
              <w:t>②工作人员必须持有健康证和相关专业证书，持证上岗率不低于</w:t>
            </w:r>
            <w:r>
              <w:rPr>
                <w:rStyle w:val="139"/>
                <w:rFonts w:ascii="宋体" w:hAnsi="宋体" w:eastAsia="宋体" w:cs="宋体"/>
                <w:color w:val="auto"/>
                <w:sz w:val="21"/>
                <w:szCs w:val="21"/>
              </w:rPr>
              <w:t>80%,</w:t>
            </w:r>
            <w:r>
              <w:rPr>
                <w:rStyle w:val="138"/>
                <w:rFonts w:hint="eastAsia"/>
                <w:color w:val="auto"/>
                <w:sz w:val="21"/>
                <w:szCs w:val="21"/>
              </w:rPr>
              <w:t>缺少一项扣</w:t>
            </w:r>
            <w:r>
              <w:rPr>
                <w:rStyle w:val="139"/>
                <w:rFonts w:ascii="宋体" w:hAnsi="宋体" w:eastAsia="宋体" w:cs="宋体"/>
                <w:color w:val="auto"/>
                <w:sz w:val="21"/>
                <w:szCs w:val="21"/>
              </w:rPr>
              <w:t>1</w:t>
            </w:r>
            <w:r>
              <w:rPr>
                <w:rStyle w:val="138"/>
                <w:rFonts w:hint="eastAsia"/>
                <w:color w:val="auto"/>
                <w:sz w:val="21"/>
                <w:szCs w:val="21"/>
              </w:rPr>
              <w:t>分。</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auto"/>
                <w:sz w:val="21"/>
                <w:szCs w:val="21"/>
              </w:rPr>
            </w:pPr>
            <w:r>
              <w:rPr>
                <w:rFonts w:ascii="宋体" w:hAnsi="宋体" w:eastAsia="宋体" w:cs="宋体"/>
                <w:b/>
                <w:bCs/>
                <w:color w:val="auto"/>
                <w:kern w:val="0"/>
                <w:sz w:val="21"/>
                <w:szCs w:val="21"/>
              </w:rPr>
              <w:t>5</w:t>
            </w:r>
          </w:p>
        </w:tc>
        <w:tc>
          <w:tcPr>
            <w:tcW w:w="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auto"/>
                <w:sz w:val="21"/>
                <w:szCs w:val="21"/>
              </w:rPr>
            </w:pPr>
          </w:p>
        </w:tc>
      </w:tr>
      <w:tr>
        <w:tblPrEx>
          <w:tblCellMar>
            <w:top w:w="0" w:type="dxa"/>
            <w:left w:w="108" w:type="dxa"/>
            <w:bottom w:w="0" w:type="dxa"/>
            <w:right w:w="108" w:type="dxa"/>
          </w:tblCellMar>
        </w:tblPrEx>
        <w:trPr>
          <w:trHeight w:val="700" w:hRule="atLeast"/>
        </w:trPr>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auto"/>
                <w:sz w:val="21"/>
                <w:szCs w:val="21"/>
              </w:rPr>
            </w:pPr>
          </w:p>
        </w:tc>
        <w:tc>
          <w:tcPr>
            <w:tcW w:w="6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auto"/>
                <w:sz w:val="21"/>
                <w:szCs w:val="21"/>
              </w:rPr>
            </w:pPr>
            <w:r>
              <w:rPr>
                <w:rStyle w:val="138"/>
                <w:rFonts w:hint="eastAsia"/>
                <w:color w:val="auto"/>
                <w:sz w:val="21"/>
                <w:szCs w:val="21"/>
              </w:rPr>
              <w:t>③有工作人员业务培训计划，定期参加培训。没有业务培训的扣</w:t>
            </w:r>
            <w:r>
              <w:rPr>
                <w:rStyle w:val="139"/>
                <w:rFonts w:ascii="宋体" w:hAnsi="宋体" w:eastAsia="宋体" w:cs="宋体"/>
                <w:color w:val="auto"/>
                <w:sz w:val="21"/>
                <w:szCs w:val="21"/>
              </w:rPr>
              <w:t>1</w:t>
            </w:r>
            <w:r>
              <w:rPr>
                <w:rStyle w:val="138"/>
                <w:rFonts w:hint="eastAsia"/>
                <w:color w:val="auto"/>
                <w:sz w:val="21"/>
                <w:szCs w:val="21"/>
              </w:rPr>
              <w:t>分。</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auto"/>
                <w:sz w:val="21"/>
                <w:szCs w:val="21"/>
              </w:rPr>
            </w:pPr>
            <w:r>
              <w:rPr>
                <w:rFonts w:ascii="宋体" w:hAnsi="宋体" w:eastAsia="宋体" w:cs="宋体"/>
                <w:b/>
                <w:bCs/>
                <w:color w:val="auto"/>
                <w:kern w:val="0"/>
                <w:sz w:val="21"/>
                <w:szCs w:val="21"/>
              </w:rPr>
              <w:t>5</w:t>
            </w:r>
          </w:p>
        </w:tc>
        <w:tc>
          <w:tcPr>
            <w:tcW w:w="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auto"/>
                <w:sz w:val="21"/>
                <w:szCs w:val="21"/>
              </w:rPr>
            </w:pPr>
          </w:p>
        </w:tc>
      </w:tr>
      <w:tr>
        <w:tblPrEx>
          <w:tblCellMar>
            <w:top w:w="0" w:type="dxa"/>
            <w:left w:w="108" w:type="dxa"/>
            <w:bottom w:w="0" w:type="dxa"/>
            <w:right w:w="108" w:type="dxa"/>
          </w:tblCellMar>
        </w:tblPrEx>
        <w:trPr>
          <w:trHeight w:val="1280" w:hRule="atLeast"/>
        </w:trPr>
        <w:tc>
          <w:tcPr>
            <w:tcW w:w="14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服务规范</w:t>
            </w:r>
            <w:r>
              <w:rPr>
                <w:rFonts w:ascii="宋体" w:hAnsi="宋体" w:eastAsia="宋体" w:cs="宋体"/>
                <w:color w:val="auto"/>
                <w:kern w:val="0"/>
                <w:sz w:val="21"/>
                <w:szCs w:val="21"/>
              </w:rPr>
              <w:br w:type="textWrapping"/>
            </w:r>
            <w:r>
              <w:rPr>
                <w:rFonts w:ascii="宋体" w:hAnsi="宋体" w:eastAsia="宋体" w:cs="宋体"/>
                <w:color w:val="auto"/>
                <w:kern w:val="0"/>
                <w:sz w:val="21"/>
                <w:szCs w:val="21"/>
              </w:rPr>
              <w:t>20</w:t>
            </w:r>
            <w:r>
              <w:rPr>
                <w:rFonts w:hint="eastAsia" w:ascii="宋体" w:hAnsi="宋体" w:eastAsia="宋体" w:cs="宋体"/>
                <w:color w:val="auto"/>
                <w:kern w:val="0"/>
                <w:sz w:val="21"/>
                <w:szCs w:val="21"/>
              </w:rPr>
              <w:t>分</w:t>
            </w:r>
          </w:p>
        </w:tc>
        <w:tc>
          <w:tcPr>
            <w:tcW w:w="6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auto"/>
                <w:sz w:val="21"/>
                <w:szCs w:val="21"/>
              </w:rPr>
            </w:pPr>
            <w:r>
              <w:rPr>
                <w:rStyle w:val="138"/>
                <w:rFonts w:hint="eastAsia"/>
                <w:color w:val="auto"/>
                <w:sz w:val="21"/>
                <w:szCs w:val="21"/>
              </w:rPr>
              <w:t>①是否提供专业照护、医疗护理、康复保健、膳食供应、精神文化、教育咨询、委托代办、居家安全、家庭支持等服务，服务规范、收费合理，并做好服务台账记录。未达到要求的一次扣</w:t>
            </w:r>
            <w:r>
              <w:rPr>
                <w:rStyle w:val="140"/>
                <w:color w:val="auto"/>
                <w:sz w:val="21"/>
                <w:szCs w:val="21"/>
              </w:rPr>
              <w:t>2</w:t>
            </w:r>
            <w:r>
              <w:rPr>
                <w:rStyle w:val="138"/>
                <w:rFonts w:hint="eastAsia"/>
                <w:color w:val="auto"/>
                <w:sz w:val="21"/>
                <w:szCs w:val="21"/>
              </w:rPr>
              <w:t>分，记录不健全的扣</w:t>
            </w:r>
            <w:r>
              <w:rPr>
                <w:rStyle w:val="140"/>
                <w:color w:val="auto"/>
                <w:sz w:val="21"/>
                <w:szCs w:val="21"/>
              </w:rPr>
              <w:t>2</w:t>
            </w:r>
            <w:r>
              <w:rPr>
                <w:rStyle w:val="138"/>
                <w:rFonts w:hint="eastAsia"/>
                <w:color w:val="auto"/>
                <w:sz w:val="21"/>
                <w:szCs w:val="21"/>
              </w:rPr>
              <w:t>分。</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auto"/>
                <w:sz w:val="21"/>
                <w:szCs w:val="21"/>
              </w:rPr>
            </w:pPr>
            <w:r>
              <w:rPr>
                <w:rFonts w:ascii="宋体" w:hAnsi="宋体" w:eastAsia="宋体" w:cs="宋体"/>
                <w:b/>
                <w:bCs/>
                <w:color w:val="auto"/>
                <w:kern w:val="0"/>
                <w:sz w:val="21"/>
                <w:szCs w:val="21"/>
              </w:rPr>
              <w:t>15</w:t>
            </w:r>
          </w:p>
        </w:tc>
        <w:tc>
          <w:tcPr>
            <w:tcW w:w="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auto"/>
                <w:sz w:val="21"/>
                <w:szCs w:val="21"/>
              </w:rPr>
            </w:pPr>
          </w:p>
        </w:tc>
      </w:tr>
      <w:tr>
        <w:tblPrEx>
          <w:tblCellMar>
            <w:top w:w="0" w:type="dxa"/>
            <w:left w:w="108" w:type="dxa"/>
            <w:bottom w:w="0" w:type="dxa"/>
            <w:right w:w="108" w:type="dxa"/>
          </w:tblCellMar>
        </w:tblPrEx>
        <w:trPr>
          <w:trHeight w:val="700" w:hRule="atLeast"/>
        </w:trPr>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auto"/>
                <w:sz w:val="21"/>
                <w:szCs w:val="21"/>
              </w:rPr>
            </w:pPr>
          </w:p>
        </w:tc>
        <w:tc>
          <w:tcPr>
            <w:tcW w:w="6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auto"/>
                <w:sz w:val="21"/>
                <w:szCs w:val="21"/>
              </w:rPr>
            </w:pPr>
            <w:r>
              <w:rPr>
                <w:rStyle w:val="138"/>
                <w:rFonts w:hint="eastAsia"/>
                <w:color w:val="auto"/>
                <w:sz w:val="21"/>
                <w:szCs w:val="21"/>
              </w:rPr>
              <w:t>②有专用服务电话，实现接听、记录、联络、救助、备案等衔接有序的高效服务。少一项扣</w:t>
            </w:r>
            <w:r>
              <w:rPr>
                <w:rStyle w:val="139"/>
                <w:rFonts w:ascii="宋体" w:hAnsi="宋体" w:eastAsia="宋体" w:cs="宋体"/>
                <w:color w:val="auto"/>
                <w:sz w:val="21"/>
                <w:szCs w:val="21"/>
              </w:rPr>
              <w:t>0.5</w:t>
            </w:r>
            <w:r>
              <w:rPr>
                <w:rStyle w:val="138"/>
                <w:rFonts w:hint="eastAsia"/>
                <w:color w:val="auto"/>
                <w:sz w:val="21"/>
                <w:szCs w:val="21"/>
              </w:rPr>
              <w:t>分。</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auto"/>
                <w:sz w:val="21"/>
                <w:szCs w:val="21"/>
              </w:rPr>
            </w:pPr>
            <w:r>
              <w:rPr>
                <w:rFonts w:ascii="宋体" w:hAnsi="宋体" w:eastAsia="宋体" w:cs="宋体"/>
                <w:b/>
                <w:bCs/>
                <w:color w:val="auto"/>
                <w:kern w:val="0"/>
                <w:sz w:val="21"/>
                <w:szCs w:val="21"/>
              </w:rPr>
              <w:t>2</w:t>
            </w:r>
          </w:p>
        </w:tc>
        <w:tc>
          <w:tcPr>
            <w:tcW w:w="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auto"/>
                <w:sz w:val="21"/>
                <w:szCs w:val="21"/>
              </w:rPr>
            </w:pPr>
          </w:p>
        </w:tc>
      </w:tr>
      <w:tr>
        <w:tblPrEx>
          <w:tblCellMar>
            <w:top w:w="0" w:type="dxa"/>
            <w:left w:w="108" w:type="dxa"/>
            <w:bottom w:w="0" w:type="dxa"/>
            <w:right w:w="108" w:type="dxa"/>
          </w:tblCellMar>
        </w:tblPrEx>
        <w:trPr>
          <w:trHeight w:val="700" w:hRule="atLeast"/>
        </w:trPr>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auto"/>
                <w:sz w:val="21"/>
                <w:szCs w:val="21"/>
              </w:rPr>
            </w:pPr>
          </w:p>
        </w:tc>
        <w:tc>
          <w:tcPr>
            <w:tcW w:w="6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auto"/>
                <w:sz w:val="21"/>
                <w:szCs w:val="21"/>
              </w:rPr>
            </w:pPr>
            <w:r>
              <w:rPr>
                <w:rStyle w:val="138"/>
                <w:rFonts w:hint="eastAsia"/>
                <w:color w:val="auto"/>
                <w:sz w:val="21"/>
                <w:szCs w:val="21"/>
              </w:rPr>
              <w:t>④经常性开展助老活动，每月不少于</w:t>
            </w:r>
            <w:r>
              <w:rPr>
                <w:rStyle w:val="139"/>
                <w:rFonts w:ascii="宋体" w:hAnsi="宋体" w:eastAsia="宋体" w:cs="宋体"/>
                <w:color w:val="auto"/>
                <w:sz w:val="21"/>
                <w:szCs w:val="21"/>
              </w:rPr>
              <w:t>1</w:t>
            </w:r>
            <w:r>
              <w:rPr>
                <w:rStyle w:val="138"/>
                <w:rFonts w:hint="eastAsia"/>
                <w:color w:val="auto"/>
                <w:sz w:val="21"/>
                <w:szCs w:val="21"/>
              </w:rPr>
              <w:t>次。未达到要求的扣</w:t>
            </w:r>
            <w:r>
              <w:rPr>
                <w:rStyle w:val="139"/>
                <w:rFonts w:ascii="宋体" w:hAnsi="宋体" w:eastAsia="宋体" w:cs="宋体"/>
                <w:color w:val="auto"/>
                <w:sz w:val="21"/>
                <w:szCs w:val="21"/>
              </w:rPr>
              <w:t>1</w:t>
            </w:r>
            <w:r>
              <w:rPr>
                <w:rStyle w:val="138"/>
                <w:rFonts w:hint="eastAsia"/>
                <w:color w:val="auto"/>
                <w:sz w:val="21"/>
                <w:szCs w:val="21"/>
              </w:rPr>
              <w:t>分。</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auto"/>
                <w:sz w:val="21"/>
                <w:szCs w:val="21"/>
              </w:rPr>
            </w:pPr>
            <w:r>
              <w:rPr>
                <w:rFonts w:ascii="宋体" w:hAnsi="宋体" w:eastAsia="宋体" w:cs="宋体"/>
                <w:b/>
                <w:bCs/>
                <w:color w:val="auto"/>
                <w:kern w:val="0"/>
                <w:sz w:val="21"/>
                <w:szCs w:val="21"/>
              </w:rPr>
              <w:t>3</w:t>
            </w:r>
          </w:p>
        </w:tc>
        <w:tc>
          <w:tcPr>
            <w:tcW w:w="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auto"/>
                <w:sz w:val="21"/>
                <w:szCs w:val="21"/>
              </w:rPr>
            </w:pPr>
          </w:p>
        </w:tc>
      </w:tr>
      <w:tr>
        <w:tblPrEx>
          <w:tblCellMar>
            <w:top w:w="0" w:type="dxa"/>
            <w:left w:w="108" w:type="dxa"/>
            <w:bottom w:w="0" w:type="dxa"/>
            <w:right w:w="108" w:type="dxa"/>
          </w:tblCellMar>
        </w:tblPrEx>
        <w:trPr>
          <w:trHeight w:val="700" w:hRule="atLeast"/>
        </w:trPr>
        <w:tc>
          <w:tcPr>
            <w:tcW w:w="14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功能阵地</w:t>
            </w:r>
            <w:r>
              <w:rPr>
                <w:rFonts w:ascii="宋体" w:hAnsi="宋体" w:eastAsia="宋体" w:cs="宋体"/>
                <w:color w:val="auto"/>
                <w:kern w:val="0"/>
                <w:sz w:val="21"/>
                <w:szCs w:val="21"/>
              </w:rPr>
              <w:br w:type="textWrapping"/>
            </w:r>
            <w:r>
              <w:rPr>
                <w:rFonts w:ascii="宋体" w:hAnsi="宋体" w:eastAsia="宋体" w:cs="宋体"/>
                <w:color w:val="auto"/>
                <w:kern w:val="0"/>
                <w:sz w:val="21"/>
                <w:szCs w:val="21"/>
              </w:rPr>
              <w:t>15</w:t>
            </w:r>
            <w:r>
              <w:rPr>
                <w:rFonts w:hint="eastAsia" w:ascii="宋体" w:hAnsi="宋体" w:eastAsia="宋体" w:cs="宋体"/>
                <w:color w:val="auto"/>
                <w:kern w:val="0"/>
                <w:sz w:val="21"/>
                <w:szCs w:val="21"/>
              </w:rPr>
              <w:t>分</w:t>
            </w:r>
          </w:p>
        </w:tc>
        <w:tc>
          <w:tcPr>
            <w:tcW w:w="6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是否按照综合性养老服务中心建设标准，配置服务功能室。功能室未挪作他用。</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auto"/>
                <w:sz w:val="21"/>
                <w:szCs w:val="21"/>
              </w:rPr>
            </w:pPr>
            <w:r>
              <w:rPr>
                <w:rFonts w:ascii="宋体" w:hAnsi="宋体" w:eastAsia="宋体" w:cs="宋体"/>
                <w:b/>
                <w:bCs/>
                <w:color w:val="auto"/>
                <w:kern w:val="0"/>
                <w:sz w:val="21"/>
                <w:szCs w:val="21"/>
              </w:rPr>
              <w:t>15</w:t>
            </w:r>
          </w:p>
        </w:tc>
        <w:tc>
          <w:tcPr>
            <w:tcW w:w="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auto"/>
                <w:sz w:val="21"/>
                <w:szCs w:val="21"/>
              </w:rPr>
            </w:pPr>
          </w:p>
        </w:tc>
      </w:tr>
      <w:tr>
        <w:tblPrEx>
          <w:tblCellMar>
            <w:top w:w="0" w:type="dxa"/>
            <w:left w:w="108" w:type="dxa"/>
            <w:bottom w:w="0" w:type="dxa"/>
            <w:right w:w="108" w:type="dxa"/>
          </w:tblCellMar>
        </w:tblPrEx>
        <w:trPr>
          <w:trHeight w:val="500" w:hRule="atLeast"/>
        </w:trPr>
        <w:tc>
          <w:tcPr>
            <w:tcW w:w="78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auto"/>
                <w:sz w:val="21"/>
                <w:szCs w:val="21"/>
              </w:rPr>
            </w:pPr>
            <w:r>
              <w:rPr>
                <w:rFonts w:hint="eastAsia" w:ascii="宋体" w:hAnsi="宋体" w:eastAsia="宋体" w:cs="宋体"/>
                <w:b/>
                <w:bCs/>
                <w:color w:val="auto"/>
                <w:kern w:val="0"/>
                <w:sz w:val="21"/>
                <w:szCs w:val="21"/>
              </w:rPr>
              <w:t>合计</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auto"/>
                <w:sz w:val="21"/>
                <w:szCs w:val="21"/>
              </w:rPr>
            </w:pPr>
            <w:r>
              <w:rPr>
                <w:rFonts w:ascii="宋体" w:hAnsi="宋体" w:eastAsia="宋体" w:cs="宋体"/>
                <w:b/>
                <w:bCs/>
                <w:color w:val="auto"/>
                <w:kern w:val="0"/>
                <w:sz w:val="21"/>
                <w:szCs w:val="21"/>
              </w:rPr>
              <w:t>100</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auto"/>
                <w:sz w:val="21"/>
                <w:szCs w:val="21"/>
              </w:rPr>
            </w:pPr>
          </w:p>
        </w:tc>
      </w:tr>
      <w:tr>
        <w:tblPrEx>
          <w:tblCellMar>
            <w:top w:w="0" w:type="dxa"/>
            <w:left w:w="108" w:type="dxa"/>
            <w:bottom w:w="0" w:type="dxa"/>
            <w:right w:w="108" w:type="dxa"/>
          </w:tblCellMar>
        </w:tblPrEx>
        <w:trPr>
          <w:trHeight w:val="500" w:hRule="atLeast"/>
        </w:trPr>
        <w:tc>
          <w:tcPr>
            <w:tcW w:w="969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20" w:lineRule="exact"/>
              <w:outlineLvl w:val="2"/>
              <w:rPr>
                <w:rFonts w:ascii="宋体" w:hAnsi="宋体" w:eastAsia="宋体" w:cs="宋体"/>
                <w:color w:val="auto"/>
                <w:sz w:val="21"/>
                <w:szCs w:val="21"/>
              </w:rPr>
            </w:pPr>
            <w:r>
              <w:rPr>
                <w:rFonts w:hint="eastAsia" w:ascii="宋体" w:hAnsi="宋体" w:eastAsia="宋体" w:cs="宋体"/>
                <w:color w:val="auto"/>
                <w:kern w:val="0"/>
                <w:sz w:val="22"/>
                <w:szCs w:val="22"/>
              </w:rPr>
              <w:t>备注：</w:t>
            </w:r>
            <w:r>
              <w:rPr>
                <w:rFonts w:ascii="宋体" w:hAnsi="宋体" w:eastAsia="宋体" w:cs="宋体"/>
                <w:color w:val="auto"/>
                <w:kern w:val="0"/>
                <w:sz w:val="22"/>
                <w:szCs w:val="22"/>
              </w:rPr>
              <w:t xml:space="preserve"> 1</w:t>
            </w:r>
            <w:r>
              <w:rPr>
                <w:rFonts w:hint="eastAsia" w:ascii="宋体" w:hAnsi="宋体" w:eastAsia="宋体" w:cs="宋体"/>
                <w:color w:val="auto"/>
                <w:kern w:val="0"/>
                <w:sz w:val="22"/>
                <w:szCs w:val="22"/>
              </w:rPr>
              <w:t>、总分</w:t>
            </w:r>
            <w:r>
              <w:rPr>
                <w:rFonts w:ascii="宋体" w:hAnsi="宋体" w:eastAsia="宋体" w:cs="宋体"/>
                <w:color w:val="auto"/>
                <w:kern w:val="0"/>
                <w:sz w:val="22"/>
                <w:szCs w:val="22"/>
              </w:rPr>
              <w:t>100</w:t>
            </w:r>
            <w:r>
              <w:rPr>
                <w:rFonts w:hint="eastAsia" w:ascii="宋体" w:hAnsi="宋体" w:eastAsia="宋体" w:cs="宋体"/>
                <w:color w:val="auto"/>
                <w:kern w:val="0"/>
                <w:sz w:val="22"/>
                <w:szCs w:val="22"/>
              </w:rPr>
              <w:t>分。总分≥</w:t>
            </w:r>
            <w:r>
              <w:rPr>
                <w:rFonts w:ascii="宋体" w:hAnsi="宋体" w:eastAsia="宋体" w:cs="宋体"/>
                <w:color w:val="auto"/>
                <w:kern w:val="0"/>
                <w:sz w:val="22"/>
                <w:szCs w:val="22"/>
              </w:rPr>
              <w:t>90</w:t>
            </w:r>
            <w:r>
              <w:rPr>
                <w:rFonts w:hint="eastAsia" w:ascii="宋体" w:hAnsi="宋体" w:eastAsia="宋体" w:cs="宋体"/>
                <w:color w:val="auto"/>
                <w:kern w:val="0"/>
                <w:sz w:val="22"/>
                <w:szCs w:val="22"/>
              </w:rPr>
              <w:t>分以上为“优”，</w:t>
            </w:r>
            <w:r>
              <w:rPr>
                <w:rFonts w:ascii="宋体" w:hAnsi="宋体" w:eastAsia="宋体" w:cs="宋体"/>
                <w:color w:val="auto"/>
                <w:kern w:val="0"/>
                <w:sz w:val="22"/>
                <w:szCs w:val="22"/>
              </w:rPr>
              <w:t>80</w:t>
            </w:r>
            <w:r>
              <w:rPr>
                <w:rFonts w:hint="eastAsia" w:ascii="宋体" w:hAnsi="宋体" w:eastAsia="宋体" w:cs="宋体"/>
                <w:color w:val="auto"/>
                <w:kern w:val="0"/>
                <w:sz w:val="22"/>
                <w:szCs w:val="22"/>
              </w:rPr>
              <w:t>分≤总分＜</w:t>
            </w:r>
            <w:r>
              <w:rPr>
                <w:rFonts w:ascii="宋体" w:hAnsi="宋体" w:eastAsia="宋体" w:cs="宋体"/>
                <w:color w:val="auto"/>
                <w:kern w:val="0"/>
                <w:sz w:val="22"/>
                <w:szCs w:val="22"/>
              </w:rPr>
              <w:t>90</w:t>
            </w:r>
            <w:r>
              <w:rPr>
                <w:rFonts w:hint="eastAsia" w:ascii="宋体" w:hAnsi="宋体" w:eastAsia="宋体" w:cs="宋体"/>
                <w:color w:val="auto"/>
                <w:kern w:val="0"/>
                <w:sz w:val="22"/>
                <w:szCs w:val="22"/>
              </w:rPr>
              <w:t>分为“良”，</w:t>
            </w:r>
            <w:r>
              <w:rPr>
                <w:rFonts w:ascii="宋体" w:hAnsi="宋体" w:eastAsia="宋体" w:cs="宋体"/>
                <w:color w:val="auto"/>
                <w:kern w:val="0"/>
                <w:sz w:val="22"/>
                <w:szCs w:val="22"/>
              </w:rPr>
              <w:t>70</w:t>
            </w:r>
            <w:r>
              <w:rPr>
                <w:rFonts w:hint="eastAsia" w:ascii="宋体" w:hAnsi="宋体" w:eastAsia="宋体" w:cs="宋体"/>
                <w:color w:val="auto"/>
                <w:kern w:val="0"/>
                <w:sz w:val="22"/>
                <w:szCs w:val="22"/>
              </w:rPr>
              <w:t>分≤总分＜</w:t>
            </w:r>
            <w:r>
              <w:rPr>
                <w:rFonts w:ascii="宋体" w:hAnsi="宋体" w:eastAsia="宋体" w:cs="宋体"/>
                <w:color w:val="auto"/>
                <w:kern w:val="0"/>
                <w:sz w:val="22"/>
                <w:szCs w:val="22"/>
              </w:rPr>
              <w:t>80</w:t>
            </w:r>
            <w:r>
              <w:rPr>
                <w:rFonts w:hint="eastAsia" w:ascii="宋体" w:hAnsi="宋体" w:eastAsia="宋体" w:cs="宋体"/>
                <w:color w:val="auto"/>
                <w:kern w:val="0"/>
                <w:sz w:val="22"/>
                <w:szCs w:val="22"/>
              </w:rPr>
              <w:t>分为“一般”。</w:t>
            </w:r>
            <w:r>
              <w:rPr>
                <w:rFonts w:ascii="宋体" w:hAnsi="宋体" w:eastAsia="宋体" w:cs="宋体"/>
                <w:color w:val="auto"/>
                <w:kern w:val="0"/>
                <w:sz w:val="22"/>
                <w:szCs w:val="22"/>
              </w:rPr>
              <w:t>70</w:t>
            </w:r>
            <w:r>
              <w:rPr>
                <w:rFonts w:hint="eastAsia" w:ascii="宋体" w:hAnsi="宋体" w:eastAsia="宋体" w:cs="宋体"/>
                <w:color w:val="auto"/>
                <w:kern w:val="0"/>
                <w:sz w:val="22"/>
                <w:szCs w:val="22"/>
              </w:rPr>
              <w:t>分（不含</w:t>
            </w:r>
            <w:r>
              <w:rPr>
                <w:rFonts w:ascii="宋体" w:hAnsi="宋体" w:eastAsia="宋体" w:cs="宋体"/>
                <w:color w:val="auto"/>
                <w:kern w:val="0"/>
                <w:sz w:val="22"/>
                <w:szCs w:val="22"/>
              </w:rPr>
              <w:t>70</w:t>
            </w:r>
            <w:r>
              <w:rPr>
                <w:rFonts w:hint="eastAsia" w:ascii="宋体" w:hAnsi="宋体" w:eastAsia="宋体" w:cs="宋体"/>
                <w:color w:val="auto"/>
                <w:kern w:val="0"/>
                <w:sz w:val="22"/>
                <w:szCs w:val="22"/>
              </w:rPr>
              <w:t>分）为不合格。</w:t>
            </w:r>
            <w:r>
              <w:rPr>
                <w:rFonts w:ascii="宋体" w:hAnsi="宋体" w:eastAsia="宋体" w:cs="宋体"/>
                <w:color w:val="auto"/>
                <w:kern w:val="0"/>
                <w:sz w:val="22"/>
                <w:szCs w:val="22"/>
              </w:rPr>
              <w:br w:type="textWrapping"/>
            </w:r>
            <w:r>
              <w:rPr>
                <w:rFonts w:ascii="宋体" w:hAnsi="宋体" w:eastAsia="宋体" w:cs="宋体"/>
                <w:color w:val="auto"/>
                <w:kern w:val="0"/>
                <w:sz w:val="22"/>
                <w:szCs w:val="22"/>
              </w:rPr>
              <w:t xml:space="preserve">      2</w:t>
            </w:r>
            <w:r>
              <w:rPr>
                <w:rFonts w:hint="eastAsia" w:ascii="宋体" w:hAnsi="宋体" w:eastAsia="宋体" w:cs="宋体"/>
                <w:color w:val="auto"/>
                <w:kern w:val="0"/>
                <w:sz w:val="22"/>
                <w:szCs w:val="22"/>
              </w:rPr>
              <w:t>、在上级相关部门监督抽查中被点名或通报批评扣</w:t>
            </w:r>
            <w:r>
              <w:rPr>
                <w:rFonts w:ascii="宋体" w:hAnsi="宋体" w:eastAsia="宋体" w:cs="宋体"/>
                <w:color w:val="auto"/>
                <w:kern w:val="0"/>
                <w:sz w:val="22"/>
                <w:szCs w:val="22"/>
              </w:rPr>
              <w:t>5</w:t>
            </w:r>
            <w:r>
              <w:rPr>
                <w:rFonts w:hint="eastAsia" w:ascii="宋体" w:hAnsi="宋体" w:eastAsia="宋体" w:cs="宋体"/>
                <w:color w:val="auto"/>
                <w:kern w:val="0"/>
                <w:sz w:val="22"/>
                <w:szCs w:val="22"/>
              </w:rPr>
              <w:t>分；因工作不到位造成恶劣影响的，群众反映特别强烈的扣</w:t>
            </w:r>
            <w:r>
              <w:rPr>
                <w:rFonts w:ascii="宋体" w:hAnsi="宋体" w:eastAsia="宋体" w:cs="宋体"/>
                <w:color w:val="auto"/>
                <w:kern w:val="0"/>
                <w:sz w:val="22"/>
                <w:szCs w:val="22"/>
              </w:rPr>
              <w:t>5</w:t>
            </w:r>
            <w:r>
              <w:rPr>
                <w:rFonts w:hint="eastAsia" w:ascii="宋体" w:hAnsi="宋体" w:eastAsia="宋体" w:cs="宋体"/>
                <w:color w:val="auto"/>
                <w:kern w:val="0"/>
                <w:sz w:val="22"/>
                <w:szCs w:val="22"/>
              </w:rPr>
              <w:t>分。</w:t>
            </w:r>
            <w:r>
              <w:rPr>
                <w:rFonts w:ascii="宋体" w:hAnsi="宋体" w:eastAsia="宋体" w:cs="宋体"/>
                <w:color w:val="auto"/>
                <w:kern w:val="0"/>
                <w:sz w:val="22"/>
                <w:szCs w:val="22"/>
              </w:rPr>
              <w:br w:type="textWrapping"/>
            </w:r>
            <w:r>
              <w:rPr>
                <w:rFonts w:ascii="宋体" w:hAnsi="宋体" w:eastAsia="宋体" w:cs="宋体"/>
                <w:color w:val="auto"/>
                <w:kern w:val="0"/>
                <w:sz w:val="22"/>
                <w:szCs w:val="22"/>
              </w:rPr>
              <w:t xml:space="preserve">      3</w:t>
            </w:r>
            <w:r>
              <w:rPr>
                <w:rFonts w:hint="eastAsia" w:ascii="宋体" w:hAnsi="宋体" w:eastAsia="宋体" w:cs="宋体"/>
                <w:color w:val="auto"/>
                <w:kern w:val="0"/>
                <w:sz w:val="22"/>
                <w:szCs w:val="22"/>
              </w:rPr>
              <w:t>、出现一起消防安全、食品安全事故，产生重大影响或造成亡人事故的，考评结果直接为不合格。</w:t>
            </w:r>
          </w:p>
        </w:tc>
      </w:tr>
    </w:tbl>
    <w:p>
      <w:pPr>
        <w:rPr>
          <w:rFonts w:ascii="宋体" w:hAnsi="宋体" w:eastAsia="宋体" w:cs="宋体"/>
          <w:b/>
          <w:bCs/>
          <w:color w:val="auto"/>
          <w:highlight w:val="yellow"/>
        </w:rPr>
      </w:pPr>
    </w:p>
    <w:p>
      <w:pPr>
        <w:rPr>
          <w:rFonts w:ascii="宋体" w:hAnsi="宋体" w:eastAsia="宋体" w:cs="宋体"/>
          <w:b/>
          <w:bCs/>
          <w:color w:val="auto"/>
        </w:rPr>
      </w:pPr>
      <w:r>
        <w:rPr>
          <w:rFonts w:ascii="宋体" w:hAnsi="宋体" w:eastAsia="宋体" w:cs="宋体"/>
          <w:b/>
          <w:bCs/>
          <w:color w:val="auto"/>
        </w:rPr>
        <w:br w:type="page"/>
      </w:r>
    </w:p>
    <w:p>
      <w:pPr>
        <w:spacing w:line="420" w:lineRule="exact"/>
        <w:ind w:firstLine="482" w:firstLineChars="200"/>
        <w:outlineLvl w:val="2"/>
        <w:rPr>
          <w:rFonts w:ascii="宋体" w:hAnsi="宋体" w:eastAsia="宋体" w:cs="宋体"/>
          <w:b/>
          <w:bCs/>
          <w:color w:val="auto"/>
          <w:highlight w:val="yellow"/>
        </w:rPr>
      </w:pPr>
      <w:r>
        <w:rPr>
          <w:rFonts w:hint="eastAsia" w:ascii="宋体" w:hAnsi="宋体" w:eastAsia="宋体" w:cs="宋体"/>
          <w:b/>
          <w:bCs/>
          <w:color w:val="auto"/>
        </w:rPr>
        <w:t>（二）</w:t>
      </w:r>
      <w:r>
        <w:rPr>
          <w:rFonts w:hint="eastAsia" w:ascii="宋体" w:hAnsi="宋体" w:eastAsia="宋体" w:cs="宋体"/>
          <w:b/>
          <w:bCs/>
          <w:color w:val="auto"/>
          <w:kern w:val="0"/>
        </w:rPr>
        <w:t>居家养老服务中心（站）运营管理</w:t>
      </w:r>
    </w:p>
    <w:p>
      <w:pPr>
        <w:spacing w:line="420" w:lineRule="exact"/>
        <w:ind w:firstLine="482" w:firstLineChars="200"/>
        <w:outlineLvl w:val="2"/>
        <w:rPr>
          <w:rFonts w:ascii="宋体" w:hAnsi="宋体" w:eastAsia="宋体" w:cs="宋体"/>
          <w:b/>
          <w:bCs/>
          <w:color w:val="auto"/>
          <w:kern w:val="0"/>
        </w:rPr>
      </w:pPr>
      <w:r>
        <w:rPr>
          <w:rFonts w:ascii="宋体" w:hAnsi="宋体" w:eastAsia="宋体" w:cs="宋体"/>
          <w:b/>
          <w:bCs/>
          <w:color w:val="auto"/>
          <w:kern w:val="0"/>
        </w:rPr>
        <w:t>1.</w:t>
      </w:r>
      <w:r>
        <w:rPr>
          <w:rFonts w:hint="eastAsia" w:ascii="宋体" w:hAnsi="宋体" w:eastAsia="宋体" w:cs="宋体"/>
          <w:b/>
          <w:bCs/>
          <w:color w:val="auto"/>
          <w:kern w:val="0"/>
        </w:rPr>
        <w:t>钟秀街道居家养老服务基本情况</w:t>
      </w:r>
    </w:p>
    <w:p>
      <w:pPr>
        <w:spacing w:line="420" w:lineRule="exact"/>
        <w:ind w:firstLine="480" w:firstLineChars="200"/>
        <w:outlineLvl w:val="2"/>
        <w:rPr>
          <w:rFonts w:ascii="宋体" w:hAnsi="宋体" w:eastAsia="宋体" w:cs="宋体"/>
          <w:color w:val="auto"/>
          <w:kern w:val="0"/>
        </w:rPr>
      </w:pPr>
      <w:r>
        <w:rPr>
          <w:rFonts w:hint="eastAsia" w:ascii="宋体" w:hAnsi="宋体" w:eastAsia="宋体" w:cs="宋体"/>
          <w:color w:val="auto"/>
          <w:kern w:val="0"/>
        </w:rPr>
        <w:t>（</w:t>
      </w:r>
      <w:r>
        <w:rPr>
          <w:rFonts w:ascii="宋体" w:hAnsi="宋体" w:eastAsia="宋体" w:cs="宋体"/>
          <w:color w:val="auto"/>
          <w:kern w:val="0"/>
        </w:rPr>
        <w:t>1</w:t>
      </w:r>
      <w:r>
        <w:rPr>
          <w:rFonts w:hint="eastAsia" w:ascii="宋体" w:hAnsi="宋体" w:eastAsia="宋体" w:cs="宋体"/>
          <w:color w:val="auto"/>
          <w:kern w:val="0"/>
        </w:rPr>
        <w:t>）钟秀街道设有一个居家养老服务中心（天勤邻里）、六个居家养老服务站（百花村社区居家养老服务站、城北村社区居家养老服务站、郭里头村社区居家养老服务站、天虹花园居家养老服务站、苏建花园居家养老服务站、校北村社区居家养老服务站）。截止</w:t>
      </w:r>
      <w:r>
        <w:rPr>
          <w:rFonts w:ascii="宋体" w:hAnsi="宋体" w:eastAsia="宋体" w:cs="宋体"/>
          <w:color w:val="auto"/>
          <w:kern w:val="0"/>
        </w:rPr>
        <w:t>2022</w:t>
      </w:r>
      <w:r>
        <w:rPr>
          <w:rFonts w:hint="eastAsia" w:ascii="宋体" w:hAnsi="宋体" w:eastAsia="宋体" w:cs="宋体"/>
          <w:color w:val="auto"/>
          <w:kern w:val="0"/>
        </w:rPr>
        <w:t>年</w:t>
      </w:r>
      <w:r>
        <w:rPr>
          <w:rFonts w:ascii="宋体" w:hAnsi="宋体" w:eastAsia="宋体" w:cs="宋体"/>
          <w:color w:val="auto"/>
          <w:kern w:val="0"/>
        </w:rPr>
        <w:t>2</w:t>
      </w:r>
      <w:r>
        <w:rPr>
          <w:rFonts w:hint="eastAsia" w:ascii="宋体" w:hAnsi="宋体" w:eastAsia="宋体" w:cs="宋体"/>
          <w:color w:val="auto"/>
          <w:kern w:val="0"/>
        </w:rPr>
        <w:t>月，钟秀街道共有</w:t>
      </w:r>
      <w:r>
        <w:rPr>
          <w:rFonts w:ascii="宋体" w:hAnsi="宋体" w:eastAsia="宋体" w:cs="宋体"/>
          <w:color w:val="auto"/>
          <w:kern w:val="0"/>
        </w:rPr>
        <w:t>60</w:t>
      </w:r>
      <w:r>
        <w:rPr>
          <w:rFonts w:hint="eastAsia" w:ascii="宋体" w:hAnsi="宋体" w:eastAsia="宋体" w:cs="宋体"/>
          <w:color w:val="auto"/>
          <w:kern w:val="0"/>
        </w:rPr>
        <w:t>周岁以上老年人</w:t>
      </w:r>
      <w:r>
        <w:rPr>
          <w:rFonts w:ascii="宋体" w:hAnsi="宋体" w:eastAsia="宋体" w:cs="宋体"/>
          <w:color w:val="auto"/>
          <w:kern w:val="0"/>
        </w:rPr>
        <w:t>8000</w:t>
      </w:r>
      <w:r>
        <w:rPr>
          <w:rFonts w:hint="eastAsia" w:ascii="宋体" w:hAnsi="宋体" w:eastAsia="宋体" w:cs="宋体"/>
          <w:color w:val="auto"/>
          <w:kern w:val="0"/>
        </w:rPr>
        <w:t>余人，</w:t>
      </w:r>
      <w:r>
        <w:rPr>
          <w:rFonts w:ascii="宋体" w:hAnsi="宋体" w:eastAsia="宋体" w:cs="宋体"/>
          <w:color w:val="auto"/>
          <w:kern w:val="0"/>
        </w:rPr>
        <w:t>80</w:t>
      </w:r>
      <w:r>
        <w:rPr>
          <w:rFonts w:hint="eastAsia" w:ascii="宋体" w:hAnsi="宋体" w:eastAsia="宋体" w:cs="宋体"/>
          <w:color w:val="auto"/>
          <w:kern w:val="0"/>
        </w:rPr>
        <w:t>周岁以上</w:t>
      </w:r>
      <w:r>
        <w:rPr>
          <w:rFonts w:ascii="宋体" w:hAnsi="宋体" w:eastAsia="宋体" w:cs="宋体"/>
          <w:color w:val="auto"/>
          <w:kern w:val="0"/>
        </w:rPr>
        <w:t>1381</w:t>
      </w:r>
      <w:r>
        <w:rPr>
          <w:rFonts w:hint="eastAsia" w:ascii="宋体" w:hAnsi="宋体" w:eastAsia="宋体" w:cs="宋体"/>
          <w:color w:val="auto"/>
          <w:kern w:val="0"/>
        </w:rPr>
        <w:t>人，百岁老人</w:t>
      </w:r>
      <w:r>
        <w:rPr>
          <w:rFonts w:ascii="宋体" w:hAnsi="宋体" w:eastAsia="宋体" w:cs="宋体"/>
          <w:color w:val="auto"/>
          <w:kern w:val="0"/>
        </w:rPr>
        <w:t>8</w:t>
      </w:r>
      <w:r>
        <w:rPr>
          <w:rFonts w:hint="eastAsia" w:ascii="宋体" w:hAnsi="宋体" w:eastAsia="宋体" w:cs="宋体"/>
          <w:color w:val="auto"/>
          <w:kern w:val="0"/>
        </w:rPr>
        <w:t>人，正在享受居家和社区养老服务的老年人有</w:t>
      </w:r>
      <w:r>
        <w:rPr>
          <w:rFonts w:ascii="宋体" w:hAnsi="宋体" w:eastAsia="宋体" w:cs="宋体"/>
          <w:color w:val="auto"/>
          <w:kern w:val="0"/>
        </w:rPr>
        <w:t>1302</w:t>
      </w:r>
      <w:r>
        <w:rPr>
          <w:rFonts w:hint="eastAsia" w:ascii="宋体" w:hAnsi="宋体" w:eastAsia="宋体" w:cs="宋体"/>
          <w:color w:val="auto"/>
          <w:kern w:val="0"/>
        </w:rPr>
        <w:t>人，此人数</w:t>
      </w:r>
      <w:r>
        <w:rPr>
          <w:rFonts w:hint="eastAsia" w:ascii="宋体" w:hAnsi="宋体" w:eastAsia="宋体" w:cs="宋体"/>
          <w:color w:val="auto"/>
          <w:kern w:val="0"/>
          <w:lang w:val="en-US" w:eastAsia="zh-CN"/>
        </w:rPr>
        <w:t>据实变化</w:t>
      </w:r>
      <w:r>
        <w:rPr>
          <w:rFonts w:hint="eastAsia" w:ascii="宋体" w:hAnsi="宋体" w:eastAsia="宋体" w:cs="宋体"/>
          <w:color w:val="auto"/>
          <w:kern w:val="0"/>
        </w:rPr>
        <w:t>。</w:t>
      </w:r>
    </w:p>
    <w:p>
      <w:pPr>
        <w:spacing w:line="420" w:lineRule="exact"/>
        <w:ind w:firstLine="480" w:firstLineChars="200"/>
        <w:outlineLvl w:val="2"/>
        <w:rPr>
          <w:rFonts w:ascii="宋体" w:hAnsi="宋体" w:eastAsia="宋体" w:cs="宋体"/>
          <w:color w:val="auto"/>
          <w:kern w:val="0"/>
        </w:rPr>
      </w:pPr>
      <w:r>
        <w:rPr>
          <w:rFonts w:hint="eastAsia" w:ascii="宋体" w:hAnsi="宋体" w:eastAsia="宋体" w:cs="宋体"/>
          <w:color w:val="auto"/>
          <w:kern w:val="0"/>
        </w:rPr>
        <w:t>（</w:t>
      </w:r>
      <w:r>
        <w:rPr>
          <w:rFonts w:ascii="宋体" w:hAnsi="宋体" w:eastAsia="宋体" w:cs="宋体"/>
          <w:color w:val="auto"/>
          <w:kern w:val="0"/>
        </w:rPr>
        <w:t>2</w:t>
      </w:r>
      <w:r>
        <w:rPr>
          <w:rFonts w:hint="eastAsia" w:ascii="宋体" w:hAnsi="宋体" w:eastAsia="宋体" w:cs="宋体"/>
          <w:color w:val="auto"/>
          <w:kern w:val="0"/>
        </w:rPr>
        <w:t>）承办运营服务供应商必须满足街道不同类型的老年人的个性化需求为出发点，提供专业化、社会化、规范化服务和家庭支持性服务。服务内容主要包括老年人日间照料、助餐、助浴、家政、助行、助急、医疗康复护理、健康管理、文化娱乐、精神关爱等项目。承办运营服务供应商必须在确保为“政府购买”服务对象提供周到、满意服务的前提下，积极向社区其他老年人提供社会化专业服务。</w:t>
      </w:r>
    </w:p>
    <w:p>
      <w:pPr>
        <w:pStyle w:val="49"/>
        <w:spacing w:line="420" w:lineRule="exact"/>
        <w:ind w:left="0" w:firstLine="31680"/>
        <w:rPr>
          <w:rFonts w:ascii="宋体" w:cs="宋体"/>
          <w:color w:val="auto"/>
        </w:rPr>
      </w:pPr>
      <w:r>
        <w:rPr>
          <w:rFonts w:ascii="宋体" w:hAnsi="宋体" w:cs="宋体"/>
          <w:b/>
          <w:bCs/>
          <w:color w:val="auto"/>
        </w:rPr>
        <w:t>2.</w:t>
      </w:r>
      <w:r>
        <w:rPr>
          <w:rFonts w:hint="eastAsia" w:ascii="宋体" w:hAnsi="宋体" w:cs="宋体"/>
          <w:b/>
          <w:bCs/>
          <w:color w:val="auto"/>
        </w:rPr>
        <w:t>运营管理要求</w:t>
      </w:r>
    </w:p>
    <w:p>
      <w:pPr>
        <w:widowControl/>
        <w:adjustRightInd w:val="0"/>
        <w:snapToGrid w:val="0"/>
        <w:spacing w:line="420" w:lineRule="exact"/>
        <w:ind w:firstLine="480" w:firstLineChars="200"/>
        <w:jc w:val="left"/>
        <w:outlineLvl w:val="4"/>
        <w:rPr>
          <w:rFonts w:ascii="宋体" w:hAnsi="宋体" w:eastAsia="宋体" w:cs="宋体"/>
          <w:color w:val="auto"/>
          <w:kern w:val="0"/>
        </w:rPr>
      </w:pPr>
      <w:r>
        <w:rPr>
          <w:rFonts w:ascii="宋体" w:hAnsi="宋体" w:eastAsia="宋体" w:cs="宋体"/>
          <w:color w:val="auto"/>
          <w:kern w:val="0"/>
        </w:rPr>
        <w:t>2.1</w:t>
      </w:r>
      <w:r>
        <w:rPr>
          <w:rFonts w:hint="eastAsia" w:ascii="宋体" w:hAnsi="宋体" w:eastAsia="宋体" w:cs="宋体"/>
          <w:color w:val="auto"/>
          <w:kern w:val="0"/>
        </w:rPr>
        <w:t>“居家养老服务中心（站）”开放、服务时间：</w:t>
      </w:r>
    </w:p>
    <w:p>
      <w:pPr>
        <w:widowControl/>
        <w:adjustRightInd w:val="0"/>
        <w:snapToGrid w:val="0"/>
        <w:spacing w:line="420" w:lineRule="exact"/>
        <w:ind w:firstLine="480" w:firstLineChars="200"/>
        <w:jc w:val="left"/>
        <w:rPr>
          <w:rFonts w:ascii="宋体" w:hAnsi="宋体" w:eastAsia="宋体" w:cs="宋体"/>
          <w:color w:val="auto"/>
          <w:kern w:val="0"/>
        </w:rPr>
      </w:pPr>
      <w:r>
        <w:rPr>
          <w:rFonts w:hint="eastAsia" w:ascii="宋体" w:hAnsi="宋体" w:eastAsia="宋体" w:cs="宋体"/>
          <w:color w:val="auto"/>
          <w:kern w:val="0"/>
        </w:rPr>
        <w:t>（</w:t>
      </w:r>
      <w:r>
        <w:rPr>
          <w:rFonts w:ascii="宋体" w:hAnsi="宋体" w:eastAsia="宋体" w:cs="宋体"/>
          <w:color w:val="auto"/>
          <w:kern w:val="0"/>
        </w:rPr>
        <w:t>1</w:t>
      </w:r>
      <w:r>
        <w:rPr>
          <w:rFonts w:hint="eastAsia" w:ascii="宋体" w:hAnsi="宋体" w:eastAsia="宋体" w:cs="宋体"/>
          <w:color w:val="auto"/>
          <w:kern w:val="0"/>
        </w:rPr>
        <w:t>）周一至周五：</w:t>
      </w:r>
      <w:r>
        <w:rPr>
          <w:rFonts w:ascii="宋体" w:hAnsi="宋体" w:eastAsia="宋体" w:cs="宋体"/>
          <w:color w:val="auto"/>
          <w:kern w:val="0"/>
        </w:rPr>
        <w:t>9:00--17:00</w:t>
      </w:r>
      <w:r>
        <w:rPr>
          <w:rFonts w:hint="eastAsia" w:ascii="宋体" w:hAnsi="宋体" w:eastAsia="宋体" w:cs="宋体"/>
          <w:color w:val="auto"/>
          <w:kern w:val="0"/>
        </w:rPr>
        <w:t>。周末及法定节假日，须安排工作人员值班，满足老人基本需求（若有就餐需求，须保证供餐不间断），值班时间：</w:t>
      </w:r>
      <w:r>
        <w:rPr>
          <w:rFonts w:ascii="宋体" w:hAnsi="宋体" w:eastAsia="宋体" w:cs="宋体"/>
          <w:color w:val="auto"/>
          <w:kern w:val="0"/>
        </w:rPr>
        <w:t>9:00--17:00</w:t>
      </w:r>
      <w:r>
        <w:rPr>
          <w:rFonts w:hint="eastAsia" w:ascii="宋体" w:hAnsi="宋体" w:eastAsia="宋体" w:cs="宋体"/>
          <w:color w:val="auto"/>
          <w:kern w:val="0"/>
        </w:rPr>
        <w:t>。</w:t>
      </w:r>
    </w:p>
    <w:p>
      <w:pPr>
        <w:widowControl/>
        <w:adjustRightInd w:val="0"/>
        <w:snapToGrid w:val="0"/>
        <w:spacing w:line="420" w:lineRule="exact"/>
        <w:ind w:firstLine="480" w:firstLineChars="200"/>
        <w:jc w:val="left"/>
        <w:rPr>
          <w:rFonts w:ascii="宋体" w:hAnsi="宋体" w:eastAsia="宋体" w:cs="宋体"/>
          <w:color w:val="auto"/>
          <w:kern w:val="0"/>
        </w:rPr>
      </w:pPr>
      <w:r>
        <w:rPr>
          <w:rFonts w:hint="eastAsia" w:ascii="宋体" w:hAnsi="宋体" w:eastAsia="宋体" w:cs="宋体"/>
          <w:color w:val="auto"/>
          <w:kern w:val="0"/>
        </w:rPr>
        <w:t>（</w:t>
      </w:r>
      <w:r>
        <w:rPr>
          <w:rFonts w:ascii="宋体" w:hAnsi="宋体" w:eastAsia="宋体" w:cs="宋体"/>
          <w:color w:val="auto"/>
          <w:kern w:val="0"/>
        </w:rPr>
        <w:t>2</w:t>
      </w:r>
      <w:r>
        <w:rPr>
          <w:rFonts w:hint="eastAsia" w:ascii="宋体" w:hAnsi="宋体" w:eastAsia="宋体" w:cs="宋体"/>
          <w:color w:val="auto"/>
          <w:kern w:val="0"/>
        </w:rPr>
        <w:t>）呼叫及信息平台。需要</w:t>
      </w:r>
      <w:r>
        <w:rPr>
          <w:rFonts w:ascii="宋体" w:hAnsi="宋体" w:eastAsia="宋体" w:cs="宋体"/>
          <w:color w:val="auto"/>
          <w:kern w:val="0"/>
        </w:rPr>
        <w:t>24</w:t>
      </w:r>
      <w:r>
        <w:rPr>
          <w:rFonts w:hint="eastAsia" w:ascii="宋体" w:hAnsi="宋体" w:eastAsia="宋体" w:cs="宋体"/>
          <w:color w:val="auto"/>
          <w:kern w:val="0"/>
        </w:rPr>
        <w:t>小时能呼通、有回应，能提供紧急应急服务。</w:t>
      </w:r>
    </w:p>
    <w:p>
      <w:pPr>
        <w:widowControl/>
        <w:adjustRightInd w:val="0"/>
        <w:snapToGrid w:val="0"/>
        <w:spacing w:line="420" w:lineRule="exact"/>
        <w:ind w:firstLine="480" w:firstLineChars="200"/>
        <w:jc w:val="left"/>
        <w:outlineLvl w:val="2"/>
        <w:rPr>
          <w:rFonts w:ascii="宋体" w:hAnsi="宋体" w:eastAsia="宋体" w:cs="宋体"/>
          <w:color w:val="auto"/>
          <w:kern w:val="0"/>
        </w:rPr>
      </w:pPr>
      <w:r>
        <w:rPr>
          <w:rFonts w:ascii="宋体" w:hAnsi="宋体" w:eastAsia="宋体" w:cs="宋体"/>
          <w:color w:val="auto"/>
          <w:kern w:val="0"/>
        </w:rPr>
        <w:t>2.2</w:t>
      </w:r>
      <w:r>
        <w:rPr>
          <w:rFonts w:hint="eastAsia" w:ascii="宋体" w:hAnsi="宋体" w:eastAsia="宋体" w:cs="宋体"/>
          <w:color w:val="auto"/>
          <w:kern w:val="0"/>
        </w:rPr>
        <w:t>团队人员配备要求</w:t>
      </w:r>
    </w:p>
    <w:p>
      <w:pPr>
        <w:widowControl/>
        <w:adjustRightInd w:val="0"/>
        <w:snapToGrid w:val="0"/>
        <w:spacing w:line="420" w:lineRule="exact"/>
        <w:ind w:firstLine="480" w:firstLineChars="200"/>
        <w:jc w:val="left"/>
        <w:rPr>
          <w:rFonts w:ascii="宋体" w:hAnsi="宋体" w:eastAsia="宋体" w:cs="宋体"/>
          <w:color w:val="auto"/>
          <w:kern w:val="0"/>
        </w:rPr>
      </w:pPr>
      <w:r>
        <w:rPr>
          <w:rFonts w:ascii="宋体" w:hAnsi="宋体" w:eastAsia="宋体" w:cs="宋体"/>
          <w:color w:val="auto"/>
          <w:kern w:val="0"/>
        </w:rPr>
        <w:t>(1)</w:t>
      </w:r>
      <w:r>
        <w:rPr>
          <w:rFonts w:hint="eastAsia" w:ascii="宋体" w:hAnsi="宋体" w:eastAsia="宋体" w:cs="宋体"/>
          <w:color w:val="auto"/>
          <w:kern w:val="0"/>
        </w:rPr>
        <w:t>项目经理：</w:t>
      </w:r>
      <w:r>
        <w:rPr>
          <w:rFonts w:ascii="宋体" w:hAnsi="宋体" w:eastAsia="宋体" w:cs="宋体"/>
          <w:color w:val="auto"/>
          <w:kern w:val="0"/>
        </w:rPr>
        <w:t>1</w:t>
      </w:r>
      <w:r>
        <w:rPr>
          <w:rFonts w:hint="eastAsia" w:ascii="宋体" w:hAnsi="宋体" w:eastAsia="宋体" w:cs="宋体"/>
          <w:color w:val="auto"/>
          <w:kern w:val="0"/>
        </w:rPr>
        <w:t>人，全职，具有大专及以上文化水平，资深养老服务管理从业人员，负责管理居家养老服务中心（站）运营管理和提供居家服务。</w:t>
      </w:r>
    </w:p>
    <w:p>
      <w:pPr>
        <w:pStyle w:val="21"/>
        <w:spacing w:line="420" w:lineRule="exact"/>
        <w:ind w:left="31680" w:firstLine="31680"/>
        <w:rPr>
          <w:rFonts w:ascii="宋体" w:cs="宋体"/>
          <w:color w:val="auto"/>
          <w:sz w:val="24"/>
          <w:szCs w:val="24"/>
        </w:rPr>
      </w:pPr>
      <w:r>
        <w:rPr>
          <w:rFonts w:ascii="宋体" w:hAnsi="宋体" w:cs="宋体"/>
          <w:color w:val="auto"/>
          <w:sz w:val="24"/>
          <w:szCs w:val="24"/>
        </w:rPr>
        <w:t>(2)</w:t>
      </w:r>
      <w:r>
        <w:rPr>
          <w:rFonts w:hint="eastAsia" w:ascii="宋体" w:hAnsi="宋体" w:cs="宋体"/>
          <w:color w:val="auto"/>
          <w:sz w:val="24"/>
          <w:szCs w:val="24"/>
        </w:rPr>
        <w:t>管理人员：全职</w:t>
      </w:r>
      <w:r>
        <w:rPr>
          <w:rFonts w:ascii="宋体" w:hAnsi="宋体" w:cs="宋体"/>
          <w:color w:val="auto"/>
          <w:sz w:val="24"/>
          <w:szCs w:val="24"/>
        </w:rPr>
        <w:t>7</w:t>
      </w:r>
      <w:r>
        <w:rPr>
          <w:rFonts w:hint="eastAsia" w:ascii="宋体" w:hAnsi="宋体" w:cs="宋体"/>
          <w:color w:val="auto"/>
          <w:sz w:val="24"/>
          <w:szCs w:val="24"/>
        </w:rPr>
        <w:t>人，兼职</w:t>
      </w:r>
      <w:r>
        <w:rPr>
          <w:rFonts w:ascii="宋体" w:hAnsi="宋体" w:cs="宋体"/>
          <w:color w:val="auto"/>
          <w:sz w:val="24"/>
          <w:szCs w:val="24"/>
        </w:rPr>
        <w:t>1</w:t>
      </w:r>
      <w:r>
        <w:rPr>
          <w:rFonts w:hint="eastAsia" w:ascii="宋体" w:hAnsi="宋体" w:cs="宋体"/>
          <w:color w:val="auto"/>
          <w:sz w:val="24"/>
          <w:szCs w:val="24"/>
        </w:rPr>
        <w:t>人。街道居家养老服务中心（天勤邻里）安排</w:t>
      </w:r>
      <w:r>
        <w:rPr>
          <w:rFonts w:ascii="宋体" w:hAnsi="宋体" w:cs="宋体"/>
          <w:color w:val="auto"/>
          <w:sz w:val="24"/>
          <w:szCs w:val="24"/>
        </w:rPr>
        <w:t>1</w:t>
      </w:r>
      <w:r>
        <w:rPr>
          <w:rFonts w:hint="eastAsia" w:ascii="宋体" w:hAnsi="宋体" w:cs="宋体"/>
          <w:color w:val="auto"/>
          <w:sz w:val="24"/>
          <w:szCs w:val="24"/>
        </w:rPr>
        <w:t>名全职人员及</w:t>
      </w:r>
      <w:r>
        <w:rPr>
          <w:rFonts w:ascii="宋体" w:hAnsi="宋体" w:cs="宋体"/>
          <w:color w:val="auto"/>
          <w:sz w:val="24"/>
          <w:szCs w:val="24"/>
        </w:rPr>
        <w:t>1</w:t>
      </w:r>
      <w:r>
        <w:rPr>
          <w:rFonts w:hint="eastAsia" w:ascii="宋体" w:hAnsi="宋体" w:cs="宋体"/>
          <w:color w:val="auto"/>
          <w:sz w:val="24"/>
          <w:szCs w:val="24"/>
        </w:rPr>
        <w:t>名兼职人员；百花村社区居家养老服务站、城北村社区居家养老服务站、郭里头村社区居家养老服务站、天虹花园居家养老服务站、苏建花园居家养老服务站、校北村社区居家养老服务站各安排</w:t>
      </w:r>
      <w:r>
        <w:rPr>
          <w:rFonts w:ascii="宋体" w:hAnsi="宋体" w:cs="宋体"/>
          <w:color w:val="auto"/>
          <w:sz w:val="24"/>
          <w:szCs w:val="24"/>
        </w:rPr>
        <w:t>1</w:t>
      </w:r>
      <w:r>
        <w:rPr>
          <w:rFonts w:hint="eastAsia" w:ascii="宋体" w:hAnsi="宋体" w:cs="宋体"/>
          <w:color w:val="auto"/>
          <w:sz w:val="24"/>
          <w:szCs w:val="24"/>
        </w:rPr>
        <w:t>名全职人员。社区居家养老服务站管理人员要负责对接崇川区居家养老呼叫平台及街道居家养老服务平台，负责站点管理和运营。</w:t>
      </w:r>
    </w:p>
    <w:p>
      <w:pPr>
        <w:pStyle w:val="21"/>
        <w:spacing w:line="420" w:lineRule="exact"/>
        <w:ind w:left="31680" w:firstLine="31680"/>
        <w:rPr>
          <w:rFonts w:ascii="宋体" w:cs="宋体"/>
          <w:color w:val="auto"/>
          <w:sz w:val="24"/>
          <w:szCs w:val="24"/>
        </w:rPr>
      </w:pPr>
      <w:r>
        <w:rPr>
          <w:rFonts w:ascii="宋体" w:hAnsi="宋体" w:cs="宋体"/>
          <w:color w:val="auto"/>
          <w:sz w:val="24"/>
          <w:szCs w:val="24"/>
        </w:rPr>
        <w:t>2.3</w:t>
      </w:r>
      <w:r>
        <w:rPr>
          <w:rFonts w:hint="eastAsia" w:ascii="宋体" w:hAnsi="宋体" w:cs="宋体"/>
          <w:color w:val="auto"/>
          <w:sz w:val="24"/>
          <w:szCs w:val="24"/>
        </w:rPr>
        <w:t>办公场所及设备扶持</w:t>
      </w:r>
    </w:p>
    <w:p>
      <w:pPr>
        <w:pStyle w:val="21"/>
        <w:spacing w:line="420" w:lineRule="exact"/>
        <w:ind w:left="31680" w:firstLine="31680"/>
        <w:rPr>
          <w:rFonts w:asci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）采购人提供工作所需的场所、办公设备、服务设备以交付清单为准。</w:t>
      </w:r>
    </w:p>
    <w:p>
      <w:pPr>
        <w:pStyle w:val="21"/>
        <w:spacing w:line="420" w:lineRule="exact"/>
        <w:ind w:left="31680" w:firstLine="31680"/>
        <w:rPr>
          <w:rFonts w:asci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服务供应商在开展运营活动期间不得擅自对房屋结构进行破坏，同时应妥善保管和使用采购方提供的设施设备，采购服务期满后，供应商必须保质、保量地退还采购人。供应商运营期间，因保管、使用不当造成采购方设施设备损坏或报废的，应负责维修或进行必要补偿。</w:t>
      </w:r>
    </w:p>
    <w:p>
      <w:pPr>
        <w:pStyle w:val="21"/>
        <w:spacing w:line="420" w:lineRule="exact"/>
        <w:ind w:left="31680" w:firstLine="31680"/>
        <w:rPr>
          <w:rFonts w:ascii="宋体" w:cs="宋体"/>
          <w:color w:val="auto"/>
          <w:sz w:val="24"/>
          <w:szCs w:val="22"/>
        </w:rPr>
      </w:pPr>
      <w:r>
        <w:rPr>
          <w:rFonts w:hint="eastAsia" w:ascii="宋体" w:hAnsi="宋体" w:cs="宋体"/>
          <w:color w:val="auto"/>
          <w:sz w:val="24"/>
          <w:szCs w:val="22"/>
        </w:rPr>
        <w:t>（</w:t>
      </w:r>
      <w:r>
        <w:rPr>
          <w:rFonts w:ascii="宋体" w:hAnsi="宋体" w:cs="宋体"/>
          <w:color w:val="auto"/>
          <w:sz w:val="24"/>
          <w:szCs w:val="22"/>
        </w:rPr>
        <w:t>3</w:t>
      </w:r>
      <w:r>
        <w:rPr>
          <w:rFonts w:hint="eastAsia" w:ascii="宋体" w:hAnsi="宋体" w:cs="宋体"/>
          <w:color w:val="auto"/>
          <w:sz w:val="24"/>
          <w:szCs w:val="22"/>
        </w:rPr>
        <w:t>）供应商可根据自身运营活动需要适当添置设施设备，费用包含在投标成本中。所添置物品的所有权归供应商所有。</w:t>
      </w:r>
    </w:p>
    <w:p>
      <w:pPr>
        <w:pStyle w:val="21"/>
        <w:spacing w:line="420" w:lineRule="exact"/>
        <w:ind w:left="31680" w:firstLine="31680"/>
        <w:rPr>
          <w:rFonts w:ascii="宋体" w:cs="宋体"/>
          <w:color w:val="auto"/>
          <w:sz w:val="24"/>
          <w:szCs w:val="24"/>
        </w:rPr>
      </w:pPr>
      <w:r>
        <w:rPr>
          <w:rFonts w:ascii="宋体" w:hAnsi="宋体" w:cs="宋体"/>
          <w:color w:val="auto"/>
          <w:sz w:val="24"/>
          <w:szCs w:val="24"/>
        </w:rPr>
        <w:t>2.4</w:t>
      </w:r>
      <w:r>
        <w:rPr>
          <w:rFonts w:hint="eastAsia" w:ascii="宋体" w:hAnsi="宋体" w:cs="宋体"/>
          <w:color w:val="auto"/>
          <w:sz w:val="24"/>
          <w:szCs w:val="24"/>
        </w:rPr>
        <w:t>其他要求</w:t>
      </w:r>
    </w:p>
    <w:p>
      <w:pPr>
        <w:pStyle w:val="21"/>
        <w:spacing w:line="420" w:lineRule="exact"/>
        <w:ind w:left="31680" w:firstLine="31680"/>
        <w:rPr>
          <w:rFonts w:asci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）服务供应商应当确保房屋的性质为养老服务，不得改变房屋用途。</w:t>
      </w:r>
    </w:p>
    <w:p>
      <w:pPr>
        <w:pStyle w:val="21"/>
        <w:spacing w:line="420" w:lineRule="exact"/>
        <w:ind w:left="31680" w:firstLine="31680"/>
        <w:rPr>
          <w:rFonts w:asci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）供应商在开展承办运营活动服务期间，不得擅自对房屋结构进行破坏。</w:t>
      </w:r>
    </w:p>
    <w:p>
      <w:pPr>
        <w:pStyle w:val="21"/>
        <w:spacing w:line="420" w:lineRule="exact"/>
        <w:ind w:left="31680" w:firstLine="31680"/>
        <w:rPr>
          <w:rFonts w:asci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）供应商应妥善保管和使用的设施设备，服务履约期满后，供应商必须保质、保量的退还采购人。供应商运营期间，因保管、使用不当造成设施设备损坏或报废的，应负责维修或进行必要的更新。</w:t>
      </w:r>
    </w:p>
    <w:p>
      <w:pPr>
        <w:pStyle w:val="21"/>
        <w:spacing w:line="420" w:lineRule="exact"/>
        <w:ind w:left="31680" w:firstLine="31680"/>
        <w:rPr>
          <w:rFonts w:ascii="宋体" w:cs="宋体"/>
          <w:b/>
          <w:bCs/>
          <w:color w:val="auto"/>
          <w:sz w:val="24"/>
          <w:szCs w:val="24"/>
        </w:rPr>
      </w:pPr>
      <w:r>
        <w:rPr>
          <w:rFonts w:ascii="宋体" w:hAnsi="宋体" w:cs="宋体"/>
          <w:b/>
          <w:bCs/>
          <w:color w:val="auto"/>
          <w:sz w:val="24"/>
          <w:szCs w:val="24"/>
        </w:rPr>
        <w:t>3.</w:t>
      </w:r>
      <w:r>
        <w:rPr>
          <w:rFonts w:hint="eastAsia" w:ascii="宋体" w:hAnsi="宋体" w:cs="宋体"/>
          <w:b/>
          <w:bCs/>
          <w:color w:val="auto"/>
          <w:sz w:val="24"/>
          <w:szCs w:val="24"/>
        </w:rPr>
        <w:t>承办运营服务期</w:t>
      </w:r>
    </w:p>
    <w:p>
      <w:pPr>
        <w:pStyle w:val="21"/>
        <w:spacing w:line="420" w:lineRule="exact"/>
        <w:ind w:left="31680" w:firstLine="31680"/>
        <w:rPr>
          <w:rFonts w:ascii="宋体" w:cs="宋体"/>
          <w:color w:val="auto"/>
          <w:sz w:val="24"/>
          <w:szCs w:val="24"/>
        </w:rPr>
      </w:pPr>
      <w:r>
        <w:rPr>
          <w:rFonts w:hint="eastAsia" w:ascii="宋体" w:hAnsi="宋体" w:cs="宋体"/>
          <w:color w:val="auto"/>
          <w:sz w:val="24"/>
          <w:szCs w:val="24"/>
        </w:rPr>
        <w:t>承办运营服务期为：叁年，</w:t>
      </w:r>
      <w:r>
        <w:rPr>
          <w:rFonts w:hint="eastAsia" w:ascii="宋体" w:hAnsi="宋体" w:cs="宋体"/>
          <w:color w:val="auto"/>
          <w:sz w:val="24"/>
          <w:szCs w:val="24"/>
          <w:highlight w:val="none"/>
        </w:rPr>
        <w:t>自合同签订之日起生效，</w:t>
      </w:r>
      <w:r>
        <w:rPr>
          <w:rFonts w:hint="eastAsia" w:ascii="宋体" w:hAnsi="宋体" w:eastAsia="宋体" w:cs="宋体"/>
          <w:color w:val="auto"/>
          <w:kern w:val="0"/>
          <w:sz w:val="24"/>
          <w:szCs w:val="24"/>
          <w:lang w:val="en-US" w:eastAsia="zh-CN"/>
        </w:rPr>
        <w:t>以当年考核结果签署次年的合同</w:t>
      </w:r>
      <w:r>
        <w:rPr>
          <w:rFonts w:hint="eastAsia" w:ascii="宋体" w:hAnsi="宋体" w:cs="宋体"/>
          <w:color w:val="auto"/>
          <w:sz w:val="24"/>
          <w:szCs w:val="24"/>
        </w:rPr>
        <w:t>。整体服务期满，采购人可根据对服务机构的日常及年终考核决定是否续签承办运营服务合同。</w:t>
      </w:r>
    </w:p>
    <w:p>
      <w:pPr>
        <w:pStyle w:val="21"/>
        <w:spacing w:line="420" w:lineRule="exact"/>
        <w:ind w:left="31680" w:firstLine="31680"/>
        <w:rPr>
          <w:rFonts w:ascii="宋体" w:cs="宋体"/>
          <w:b/>
          <w:bCs/>
          <w:color w:val="auto"/>
          <w:sz w:val="24"/>
          <w:szCs w:val="24"/>
        </w:rPr>
      </w:pPr>
      <w:r>
        <w:rPr>
          <w:rFonts w:ascii="宋体" w:hAnsi="宋体" w:cs="宋体"/>
          <w:b/>
          <w:bCs/>
          <w:color w:val="auto"/>
          <w:sz w:val="24"/>
          <w:szCs w:val="24"/>
        </w:rPr>
        <w:t>4.</w:t>
      </w:r>
      <w:r>
        <w:rPr>
          <w:rFonts w:hint="eastAsia" w:ascii="宋体" w:hAnsi="宋体" w:cs="宋体"/>
          <w:b/>
          <w:bCs/>
          <w:color w:val="auto"/>
          <w:sz w:val="24"/>
          <w:szCs w:val="24"/>
        </w:rPr>
        <w:t>运营经费</w:t>
      </w:r>
    </w:p>
    <w:p>
      <w:pPr>
        <w:pStyle w:val="21"/>
        <w:spacing w:line="420" w:lineRule="exact"/>
        <w:ind w:left="31680" w:firstLine="31680"/>
        <w:rPr>
          <w:rFonts w:ascii="宋体" w:cs="宋体"/>
          <w:color w:val="auto"/>
          <w:sz w:val="24"/>
          <w:szCs w:val="24"/>
        </w:rPr>
      </w:pPr>
      <w:r>
        <w:rPr>
          <w:rFonts w:hint="eastAsia" w:ascii="宋体" w:hAnsi="宋体" w:cs="宋体"/>
          <w:color w:val="auto"/>
          <w:sz w:val="24"/>
          <w:szCs w:val="24"/>
        </w:rPr>
        <w:t>共计</w:t>
      </w:r>
      <w:r>
        <w:rPr>
          <w:rFonts w:ascii="宋体" w:hAnsi="宋体" w:cs="宋体"/>
          <w:color w:val="auto"/>
          <w:sz w:val="24"/>
          <w:szCs w:val="24"/>
        </w:rPr>
        <w:t>27</w:t>
      </w:r>
      <w:r>
        <w:rPr>
          <w:rFonts w:hint="eastAsia" w:ascii="宋体" w:hAnsi="宋体" w:cs="宋体"/>
          <w:color w:val="auto"/>
          <w:sz w:val="24"/>
          <w:szCs w:val="24"/>
        </w:rPr>
        <w:t>万，分别为一个居家养老服务中心</w:t>
      </w:r>
      <w:r>
        <w:rPr>
          <w:rFonts w:ascii="宋体" w:hAnsi="宋体" w:cs="宋体"/>
          <w:color w:val="auto"/>
          <w:sz w:val="24"/>
          <w:szCs w:val="24"/>
        </w:rPr>
        <w:t>15</w:t>
      </w:r>
      <w:r>
        <w:rPr>
          <w:rFonts w:hint="eastAsia" w:ascii="宋体" w:hAnsi="宋体" w:cs="宋体"/>
          <w:color w:val="auto"/>
          <w:sz w:val="24"/>
          <w:szCs w:val="24"/>
        </w:rPr>
        <w:t>万，六个居家养老服务站：</w:t>
      </w:r>
      <w:r>
        <w:rPr>
          <w:rFonts w:ascii="宋体" w:hAnsi="宋体" w:cs="宋体"/>
          <w:color w:val="auto"/>
          <w:sz w:val="24"/>
          <w:szCs w:val="24"/>
        </w:rPr>
        <w:t>12</w:t>
      </w:r>
      <w:r>
        <w:rPr>
          <w:rFonts w:hint="eastAsia" w:ascii="宋体" w:hAnsi="宋体" w:cs="宋体"/>
          <w:color w:val="auto"/>
          <w:sz w:val="24"/>
          <w:szCs w:val="24"/>
        </w:rPr>
        <w:t>万（</w:t>
      </w:r>
      <w:r>
        <w:rPr>
          <w:rFonts w:ascii="宋体" w:hAnsi="宋体" w:cs="宋体"/>
          <w:color w:val="auto"/>
          <w:sz w:val="24"/>
          <w:szCs w:val="24"/>
        </w:rPr>
        <w:t>2</w:t>
      </w:r>
      <w:r>
        <w:rPr>
          <w:rFonts w:hint="eastAsia" w:ascii="宋体" w:hAnsi="宋体" w:cs="宋体"/>
          <w:color w:val="auto"/>
          <w:sz w:val="24"/>
          <w:szCs w:val="24"/>
        </w:rPr>
        <w:t>万</w:t>
      </w:r>
      <w:r>
        <w:rPr>
          <w:rFonts w:ascii="宋体" w:hAnsi="宋体" w:cs="宋体"/>
          <w:color w:val="auto"/>
          <w:sz w:val="24"/>
          <w:szCs w:val="24"/>
        </w:rPr>
        <w:t>/</w:t>
      </w:r>
      <w:r>
        <w:rPr>
          <w:rFonts w:hint="eastAsia" w:ascii="宋体" w:hAnsi="宋体" w:cs="宋体"/>
          <w:color w:val="auto"/>
          <w:sz w:val="24"/>
          <w:szCs w:val="24"/>
        </w:rPr>
        <w:t>站点）。</w:t>
      </w:r>
    </w:p>
    <w:p>
      <w:pPr>
        <w:pStyle w:val="21"/>
        <w:spacing w:line="420" w:lineRule="exact"/>
        <w:ind w:left="31680" w:firstLine="31680"/>
        <w:rPr>
          <w:rFonts w:ascii="宋体" w:cs="宋体"/>
          <w:color w:val="auto"/>
          <w:sz w:val="24"/>
          <w:szCs w:val="24"/>
          <w:highlight w:val="none"/>
        </w:rPr>
      </w:pPr>
      <w:r>
        <w:rPr>
          <w:rFonts w:hint="eastAsia" w:ascii="宋体" w:hAnsi="宋体" w:cs="宋体"/>
          <w:color w:val="auto"/>
          <w:sz w:val="24"/>
          <w:szCs w:val="24"/>
          <w:highlight w:val="none"/>
        </w:rPr>
        <w:t>具体以财政实际拨付并结合考核评测结果标准为准。</w:t>
      </w:r>
    </w:p>
    <w:p>
      <w:pPr>
        <w:pStyle w:val="21"/>
        <w:spacing w:line="420" w:lineRule="exact"/>
        <w:ind w:left="31680" w:firstLine="31680"/>
        <w:rPr>
          <w:rFonts w:ascii="宋体" w:cs="宋体"/>
          <w:b/>
          <w:bCs/>
          <w:color w:val="auto"/>
          <w:sz w:val="24"/>
          <w:szCs w:val="24"/>
        </w:rPr>
      </w:pPr>
      <w:r>
        <w:rPr>
          <w:rFonts w:ascii="宋体" w:hAnsi="宋体" w:cs="宋体"/>
          <w:b/>
          <w:bCs/>
          <w:color w:val="auto"/>
          <w:sz w:val="24"/>
          <w:szCs w:val="24"/>
        </w:rPr>
        <w:t>5.</w:t>
      </w:r>
      <w:r>
        <w:rPr>
          <w:rFonts w:hint="eastAsia" w:ascii="宋体" w:hAnsi="宋体" w:cs="宋体"/>
          <w:b/>
          <w:bCs/>
          <w:color w:val="auto"/>
          <w:sz w:val="24"/>
          <w:szCs w:val="24"/>
        </w:rPr>
        <w:t>激励与退出机制</w:t>
      </w:r>
    </w:p>
    <w:p>
      <w:pPr>
        <w:pStyle w:val="21"/>
        <w:spacing w:line="420" w:lineRule="exact"/>
        <w:ind w:left="31680" w:firstLine="31680"/>
        <w:rPr>
          <w:rFonts w:ascii="宋体" w:cs="宋体"/>
          <w:color w:val="auto"/>
          <w:sz w:val="24"/>
          <w:szCs w:val="24"/>
        </w:rPr>
      </w:pPr>
      <w:r>
        <w:rPr>
          <w:rFonts w:ascii="宋体" w:hAnsi="宋体" w:cs="宋体"/>
          <w:color w:val="auto"/>
          <w:sz w:val="24"/>
          <w:szCs w:val="24"/>
        </w:rPr>
        <w:t>5.1</w:t>
      </w:r>
      <w:r>
        <w:rPr>
          <w:rFonts w:hint="eastAsia" w:ascii="宋体" w:hAnsi="宋体" w:cs="宋体"/>
          <w:color w:val="auto"/>
          <w:sz w:val="24"/>
          <w:szCs w:val="24"/>
        </w:rPr>
        <w:t>激励机制：</w:t>
      </w:r>
    </w:p>
    <w:p>
      <w:pPr>
        <w:pStyle w:val="21"/>
        <w:spacing w:line="420" w:lineRule="exact"/>
        <w:ind w:left="31680" w:firstLine="31680"/>
        <w:rPr>
          <w:rFonts w:ascii="宋体" w:cs="宋体"/>
          <w:color w:val="auto"/>
          <w:sz w:val="24"/>
          <w:szCs w:val="24"/>
        </w:rPr>
      </w:pPr>
      <w:r>
        <w:rPr>
          <w:rFonts w:hint="eastAsia" w:ascii="宋体" w:hAnsi="宋体" w:cs="宋体"/>
          <w:color w:val="auto"/>
          <w:sz w:val="24"/>
          <w:szCs w:val="24"/>
        </w:rPr>
        <w:t>每季度百分制考核中，测评结果分为“优”“良”“一般”。</w:t>
      </w:r>
      <w:r>
        <w:rPr>
          <w:rFonts w:ascii="宋体" w:hAnsi="宋体" w:cs="宋体"/>
          <w:color w:val="auto"/>
          <w:sz w:val="24"/>
          <w:szCs w:val="24"/>
        </w:rPr>
        <w:t xml:space="preserve"> </w:t>
      </w:r>
      <w:r>
        <w:rPr>
          <w:rFonts w:hint="eastAsia" w:ascii="宋体" w:hAnsi="宋体" w:cs="宋体"/>
          <w:color w:val="auto"/>
          <w:sz w:val="24"/>
          <w:szCs w:val="24"/>
        </w:rPr>
        <w:t>运营实效和服务满意度总分≥</w:t>
      </w:r>
      <w:r>
        <w:rPr>
          <w:rFonts w:ascii="宋体" w:hAnsi="宋体" w:cs="宋体"/>
          <w:color w:val="auto"/>
          <w:sz w:val="24"/>
          <w:szCs w:val="24"/>
        </w:rPr>
        <w:t>90</w:t>
      </w:r>
      <w:r>
        <w:rPr>
          <w:rFonts w:hint="eastAsia" w:ascii="宋体" w:hAnsi="宋体" w:cs="宋体"/>
          <w:color w:val="auto"/>
          <w:sz w:val="24"/>
          <w:szCs w:val="24"/>
        </w:rPr>
        <w:t>分以上为“优”，</w:t>
      </w:r>
      <w:r>
        <w:rPr>
          <w:rFonts w:ascii="宋体" w:hAnsi="宋体" w:cs="宋体"/>
          <w:color w:val="auto"/>
          <w:sz w:val="24"/>
          <w:szCs w:val="24"/>
        </w:rPr>
        <w:t>80</w:t>
      </w:r>
      <w:r>
        <w:rPr>
          <w:rFonts w:hint="eastAsia" w:ascii="宋体" w:hAnsi="宋体" w:cs="宋体"/>
          <w:color w:val="auto"/>
          <w:sz w:val="24"/>
          <w:szCs w:val="24"/>
        </w:rPr>
        <w:t>分≤总分＜</w:t>
      </w:r>
      <w:r>
        <w:rPr>
          <w:rFonts w:ascii="宋体" w:hAnsi="宋体" w:cs="宋体"/>
          <w:color w:val="auto"/>
          <w:sz w:val="24"/>
          <w:szCs w:val="24"/>
        </w:rPr>
        <w:t>90</w:t>
      </w:r>
      <w:r>
        <w:rPr>
          <w:rFonts w:hint="eastAsia" w:ascii="宋体" w:hAnsi="宋体" w:cs="宋体"/>
          <w:color w:val="auto"/>
          <w:sz w:val="24"/>
          <w:szCs w:val="24"/>
        </w:rPr>
        <w:t>分为“良”，</w:t>
      </w:r>
      <w:r>
        <w:rPr>
          <w:rFonts w:ascii="宋体" w:hAnsi="宋体" w:cs="宋体"/>
          <w:color w:val="auto"/>
          <w:sz w:val="24"/>
          <w:szCs w:val="24"/>
        </w:rPr>
        <w:t>70</w:t>
      </w:r>
      <w:r>
        <w:rPr>
          <w:rFonts w:hint="eastAsia" w:ascii="宋体" w:hAnsi="宋体" w:cs="宋体"/>
          <w:color w:val="auto"/>
          <w:sz w:val="24"/>
          <w:szCs w:val="24"/>
        </w:rPr>
        <w:t>分≤总分＜</w:t>
      </w:r>
      <w:r>
        <w:rPr>
          <w:rFonts w:ascii="宋体" w:hAnsi="宋体" w:cs="宋体"/>
          <w:color w:val="auto"/>
          <w:sz w:val="24"/>
          <w:szCs w:val="24"/>
        </w:rPr>
        <w:t>80</w:t>
      </w:r>
      <w:r>
        <w:rPr>
          <w:rFonts w:hint="eastAsia" w:ascii="宋体" w:hAnsi="宋体" w:cs="宋体"/>
          <w:color w:val="auto"/>
          <w:sz w:val="24"/>
          <w:szCs w:val="24"/>
        </w:rPr>
        <w:t>分为“一般”。承包人整个年度（</w:t>
      </w:r>
      <w:r>
        <w:rPr>
          <w:rFonts w:ascii="宋体" w:hAnsi="宋体" w:cs="宋体"/>
          <w:color w:val="auto"/>
          <w:sz w:val="24"/>
          <w:szCs w:val="24"/>
        </w:rPr>
        <w:t>4</w:t>
      </w:r>
      <w:r>
        <w:rPr>
          <w:rFonts w:hint="eastAsia" w:ascii="宋体" w:hAnsi="宋体" w:cs="宋体"/>
          <w:color w:val="auto"/>
          <w:sz w:val="24"/>
          <w:szCs w:val="24"/>
        </w:rPr>
        <w:t>个季度得分平均值）测评结果为“优”的，运营费用按照财政实际拨付金额的</w:t>
      </w:r>
      <w:r>
        <w:rPr>
          <w:rFonts w:ascii="宋体" w:hAnsi="宋体" w:cs="宋体"/>
          <w:color w:val="auto"/>
          <w:sz w:val="24"/>
          <w:szCs w:val="24"/>
        </w:rPr>
        <w:t>100%</w:t>
      </w:r>
      <w:r>
        <w:rPr>
          <w:rFonts w:hint="eastAsia" w:ascii="宋体" w:hAnsi="宋体" w:cs="宋体"/>
          <w:color w:val="auto"/>
          <w:sz w:val="24"/>
          <w:szCs w:val="24"/>
        </w:rPr>
        <w:t>进行结算；服务测评为“良”的，运营费用按照财政实际拨付金额的</w:t>
      </w:r>
      <w:r>
        <w:rPr>
          <w:rFonts w:ascii="宋体" w:hAnsi="宋体" w:cs="宋体"/>
          <w:color w:val="auto"/>
          <w:sz w:val="24"/>
          <w:szCs w:val="24"/>
        </w:rPr>
        <w:t>95%</w:t>
      </w:r>
      <w:r>
        <w:rPr>
          <w:rFonts w:hint="eastAsia" w:ascii="宋体" w:hAnsi="宋体" w:cs="宋体"/>
          <w:color w:val="auto"/>
          <w:sz w:val="24"/>
          <w:szCs w:val="24"/>
        </w:rPr>
        <w:t>进行结算；服务测评为“一般”的，运营费用按照财政实际拨付金额的</w:t>
      </w:r>
      <w:r>
        <w:rPr>
          <w:rFonts w:ascii="宋体" w:hAnsi="宋体" w:cs="宋体"/>
          <w:color w:val="auto"/>
          <w:sz w:val="24"/>
          <w:szCs w:val="24"/>
        </w:rPr>
        <w:t>90%</w:t>
      </w:r>
      <w:r>
        <w:rPr>
          <w:rFonts w:hint="eastAsia" w:ascii="宋体" w:hAnsi="宋体" w:cs="宋体"/>
          <w:color w:val="auto"/>
          <w:sz w:val="24"/>
          <w:szCs w:val="24"/>
        </w:rPr>
        <w:t>进行结算。运营费用在财政拨款到位后，</w:t>
      </w:r>
      <w:r>
        <w:rPr>
          <w:rFonts w:hint="eastAsia" w:ascii="宋体" w:hAnsi="宋体" w:cs="宋体"/>
          <w:color w:val="auto"/>
          <w:sz w:val="24"/>
          <w:szCs w:val="24"/>
          <w:lang w:val="en-US" w:eastAsia="zh-CN"/>
        </w:rPr>
        <w:t>结合</w:t>
      </w:r>
      <w:r>
        <w:rPr>
          <w:rFonts w:hint="eastAsia" w:ascii="宋体" w:hAnsi="宋体" w:cs="宋体"/>
          <w:color w:val="auto"/>
          <w:sz w:val="24"/>
          <w:szCs w:val="24"/>
        </w:rPr>
        <w:t>考核情况以全年（12个月）为单位</w:t>
      </w:r>
      <w:r>
        <w:rPr>
          <w:rFonts w:hint="eastAsia" w:ascii="宋体" w:hAnsi="宋体" w:cs="宋体"/>
          <w:color w:val="auto"/>
          <w:sz w:val="24"/>
          <w:szCs w:val="24"/>
          <w:lang w:val="en-US" w:eastAsia="zh-CN"/>
        </w:rPr>
        <w:t>进行</w:t>
      </w:r>
      <w:r>
        <w:rPr>
          <w:rFonts w:hint="eastAsia" w:ascii="宋体" w:hAnsi="宋体" w:cs="宋体"/>
          <w:color w:val="auto"/>
          <w:sz w:val="24"/>
          <w:szCs w:val="24"/>
        </w:rPr>
        <w:t>支付。</w:t>
      </w:r>
    </w:p>
    <w:p>
      <w:pPr>
        <w:pStyle w:val="21"/>
        <w:spacing w:line="420" w:lineRule="exact"/>
        <w:ind w:left="31680" w:firstLine="31680"/>
        <w:rPr>
          <w:rFonts w:ascii="宋体" w:cs="宋体"/>
          <w:color w:val="auto"/>
          <w:sz w:val="24"/>
          <w:szCs w:val="24"/>
        </w:rPr>
      </w:pPr>
      <w:r>
        <w:rPr>
          <w:rFonts w:ascii="宋体" w:hAnsi="宋体" w:cs="宋体"/>
          <w:color w:val="auto"/>
          <w:sz w:val="24"/>
          <w:szCs w:val="24"/>
        </w:rPr>
        <w:t>5.2</w:t>
      </w:r>
      <w:r>
        <w:rPr>
          <w:rFonts w:hint="eastAsia" w:ascii="宋体" w:hAnsi="宋体" w:cs="宋体"/>
          <w:color w:val="auto"/>
          <w:sz w:val="24"/>
          <w:szCs w:val="24"/>
        </w:rPr>
        <w:t>退出机制：</w:t>
      </w:r>
    </w:p>
    <w:p>
      <w:pPr>
        <w:pStyle w:val="21"/>
        <w:spacing w:line="420" w:lineRule="exact"/>
        <w:ind w:left="31680" w:firstLine="31680"/>
        <w:rPr>
          <w:rFonts w:ascii="宋体" w:cs="宋体"/>
          <w:color w:val="auto"/>
          <w:sz w:val="24"/>
          <w:szCs w:val="24"/>
        </w:rPr>
      </w:pPr>
      <w:r>
        <w:rPr>
          <w:rFonts w:hint="eastAsia" w:ascii="宋体" w:hAnsi="宋体" w:cs="宋体"/>
          <w:color w:val="auto"/>
          <w:sz w:val="24"/>
          <w:szCs w:val="24"/>
        </w:rPr>
        <w:t>若服务供应商在每季度“居家养老服务中心（站）”运行测评百分考核中总分低于</w:t>
      </w:r>
      <w:r>
        <w:rPr>
          <w:rFonts w:ascii="宋体" w:hAnsi="宋体" w:cs="宋体"/>
          <w:color w:val="auto"/>
          <w:sz w:val="24"/>
          <w:szCs w:val="24"/>
        </w:rPr>
        <w:t>70</w:t>
      </w:r>
      <w:r>
        <w:rPr>
          <w:rFonts w:hint="eastAsia" w:ascii="宋体" w:hAnsi="宋体" w:cs="宋体"/>
          <w:color w:val="auto"/>
          <w:sz w:val="24"/>
          <w:szCs w:val="24"/>
        </w:rPr>
        <w:t>分（不含</w:t>
      </w:r>
      <w:r>
        <w:rPr>
          <w:rFonts w:ascii="宋体" w:hAnsi="宋体" w:cs="宋体"/>
          <w:color w:val="auto"/>
          <w:sz w:val="24"/>
          <w:szCs w:val="24"/>
        </w:rPr>
        <w:t>70</w:t>
      </w:r>
      <w:r>
        <w:rPr>
          <w:rFonts w:hint="eastAsia" w:ascii="宋体" w:hAnsi="宋体" w:cs="宋体"/>
          <w:color w:val="auto"/>
          <w:sz w:val="24"/>
          <w:szCs w:val="24"/>
        </w:rPr>
        <w:t>分），采购人有权责令服务供应商进行整改，同时扣除当季的运营费用。下季度还是低于</w:t>
      </w:r>
      <w:r>
        <w:rPr>
          <w:rFonts w:ascii="宋体" w:hAnsi="宋体" w:cs="宋体"/>
          <w:color w:val="auto"/>
          <w:sz w:val="24"/>
          <w:szCs w:val="24"/>
        </w:rPr>
        <w:t>70</w:t>
      </w:r>
      <w:r>
        <w:rPr>
          <w:rFonts w:hint="eastAsia" w:ascii="宋体" w:hAnsi="宋体" w:cs="宋体"/>
          <w:color w:val="auto"/>
          <w:sz w:val="24"/>
          <w:szCs w:val="24"/>
        </w:rPr>
        <w:t>分的（不含</w:t>
      </w:r>
      <w:r>
        <w:rPr>
          <w:rFonts w:ascii="宋体" w:hAnsi="宋体" w:cs="宋体"/>
          <w:color w:val="auto"/>
          <w:sz w:val="24"/>
          <w:szCs w:val="24"/>
        </w:rPr>
        <w:t>70</w:t>
      </w:r>
      <w:r>
        <w:rPr>
          <w:rFonts w:hint="eastAsia" w:ascii="宋体" w:hAnsi="宋体" w:cs="宋体"/>
          <w:color w:val="auto"/>
          <w:sz w:val="24"/>
          <w:szCs w:val="24"/>
        </w:rPr>
        <w:t>分）的，采购人有权终止居家养老服务合约，并没收履约保证金。</w:t>
      </w:r>
    </w:p>
    <w:p>
      <w:pPr>
        <w:pStyle w:val="21"/>
        <w:spacing w:line="420" w:lineRule="exact"/>
        <w:ind w:left="31680" w:firstLine="31680"/>
        <w:rPr>
          <w:rFonts w:ascii="宋体" w:cs="宋体"/>
          <w:color w:val="auto"/>
          <w:sz w:val="24"/>
          <w:szCs w:val="24"/>
        </w:rPr>
      </w:pPr>
      <w:r>
        <w:rPr>
          <w:rFonts w:hint="eastAsia" w:ascii="宋体" w:hAnsi="宋体" w:cs="宋体"/>
          <w:color w:val="auto"/>
          <w:sz w:val="24"/>
          <w:szCs w:val="24"/>
        </w:rPr>
        <w:t>采购人将在每季度对服务供应商提供的“</w:t>
      </w:r>
      <w:r>
        <w:rPr>
          <w:rFonts w:ascii="宋体" w:hAnsi="宋体" w:cs="宋体"/>
          <w:color w:val="auto"/>
          <w:sz w:val="24"/>
          <w:szCs w:val="24"/>
        </w:rPr>
        <w:t xml:space="preserve"> </w:t>
      </w:r>
      <w:r>
        <w:rPr>
          <w:rFonts w:hint="eastAsia" w:ascii="宋体" w:hAnsi="宋体" w:cs="宋体"/>
          <w:color w:val="auto"/>
          <w:sz w:val="24"/>
          <w:szCs w:val="24"/>
        </w:rPr>
        <w:t>居家养老服务中心（站）”运营管理进行评分，若服务供应商在</w:t>
      </w:r>
      <w:r>
        <w:rPr>
          <w:rFonts w:ascii="宋体" w:hAnsi="宋体" w:cs="宋体"/>
          <w:color w:val="auto"/>
          <w:sz w:val="24"/>
          <w:szCs w:val="24"/>
        </w:rPr>
        <w:t>1</w:t>
      </w:r>
      <w:r>
        <w:rPr>
          <w:rFonts w:hint="eastAsia" w:ascii="宋体" w:hAnsi="宋体" w:cs="宋体"/>
          <w:color w:val="auto"/>
          <w:sz w:val="24"/>
          <w:szCs w:val="24"/>
        </w:rPr>
        <w:t>个服务年度内，任意一项累计</w:t>
      </w:r>
      <w:r>
        <w:rPr>
          <w:rFonts w:ascii="宋体" w:hAnsi="宋体" w:cs="宋体"/>
          <w:color w:val="auto"/>
          <w:sz w:val="24"/>
          <w:szCs w:val="24"/>
        </w:rPr>
        <w:t>2</w:t>
      </w:r>
      <w:r>
        <w:rPr>
          <w:rFonts w:hint="eastAsia" w:ascii="宋体" w:hAnsi="宋体" w:cs="宋体"/>
          <w:color w:val="auto"/>
          <w:sz w:val="24"/>
          <w:szCs w:val="24"/>
        </w:rPr>
        <w:t>次季度考核为“一般”的，采购人有权责令限期整改。如在规定的期限内未能整改到位，服务供应商须在采购人规定期限内无条件退出居家养老服务运营管理服务项目。</w:t>
      </w:r>
    </w:p>
    <w:p>
      <w:pPr>
        <w:pStyle w:val="21"/>
        <w:spacing w:line="420" w:lineRule="exact"/>
        <w:ind w:left="31680" w:firstLine="31680"/>
        <w:rPr>
          <w:rFonts w:ascii="宋体" w:cs="宋体"/>
          <w:color w:val="auto"/>
          <w:sz w:val="24"/>
          <w:szCs w:val="24"/>
        </w:rPr>
      </w:pPr>
      <w:r>
        <w:rPr>
          <w:rFonts w:ascii="宋体" w:hAnsi="宋体" w:cs="宋体"/>
          <w:b/>
          <w:bCs/>
          <w:color w:val="auto"/>
          <w:sz w:val="24"/>
          <w:szCs w:val="24"/>
        </w:rPr>
        <w:t>6.</w:t>
      </w:r>
      <w:r>
        <w:rPr>
          <w:rFonts w:hint="eastAsia" w:ascii="宋体" w:hAnsi="宋体" w:cs="宋体"/>
          <w:b/>
          <w:bCs/>
          <w:color w:val="auto"/>
          <w:sz w:val="24"/>
          <w:szCs w:val="24"/>
        </w:rPr>
        <w:t>居家养老服务中心（站）运营评分表</w:t>
      </w:r>
    </w:p>
    <w:tbl>
      <w:tblPr>
        <w:tblStyle w:val="50"/>
        <w:tblW w:w="10489" w:type="dxa"/>
        <w:tblInd w:w="-654" w:type="dxa"/>
        <w:tblLayout w:type="fixed"/>
        <w:tblCellMar>
          <w:top w:w="0" w:type="dxa"/>
          <w:left w:w="108" w:type="dxa"/>
          <w:bottom w:w="0" w:type="dxa"/>
          <w:right w:w="108" w:type="dxa"/>
        </w:tblCellMar>
      </w:tblPr>
      <w:tblGrid>
        <w:gridCol w:w="736"/>
        <w:gridCol w:w="1037"/>
        <w:gridCol w:w="1459"/>
        <w:gridCol w:w="2269"/>
        <w:gridCol w:w="855"/>
        <w:gridCol w:w="675"/>
        <w:gridCol w:w="2625"/>
        <w:gridCol w:w="833"/>
      </w:tblGrid>
      <w:tr>
        <w:tblPrEx>
          <w:tblCellMar>
            <w:top w:w="0" w:type="dxa"/>
            <w:left w:w="108" w:type="dxa"/>
            <w:bottom w:w="0" w:type="dxa"/>
            <w:right w:w="108" w:type="dxa"/>
          </w:tblCellMar>
        </w:tblPrEx>
        <w:trPr>
          <w:trHeight w:val="440" w:hRule="atLeast"/>
        </w:trPr>
        <w:tc>
          <w:tcPr>
            <w:tcW w:w="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bCs/>
                <w:color w:val="auto"/>
                <w:sz w:val="21"/>
                <w:szCs w:val="21"/>
              </w:rPr>
            </w:pPr>
            <w:r>
              <w:rPr>
                <w:rFonts w:hint="eastAsia" w:ascii="宋体" w:hAnsi="宋体" w:eastAsia="宋体" w:cs="宋体"/>
                <w:b/>
                <w:bCs/>
                <w:color w:val="auto"/>
                <w:kern w:val="0"/>
                <w:sz w:val="21"/>
                <w:szCs w:val="21"/>
              </w:rPr>
              <w:t>序号</w:t>
            </w:r>
          </w:p>
        </w:tc>
        <w:tc>
          <w:tcPr>
            <w:tcW w:w="2496"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cs="宋体"/>
                <w:b/>
                <w:bCs/>
                <w:color w:val="auto"/>
                <w:sz w:val="21"/>
                <w:szCs w:val="21"/>
              </w:rPr>
            </w:pPr>
            <w:r>
              <w:rPr>
                <w:rFonts w:hint="eastAsia" w:ascii="宋体" w:hAnsi="宋体" w:eastAsia="宋体" w:cs="宋体"/>
                <w:b/>
                <w:bCs/>
                <w:color w:val="auto"/>
                <w:kern w:val="0"/>
                <w:sz w:val="21"/>
                <w:szCs w:val="21"/>
              </w:rPr>
              <w:t>项目</w:t>
            </w:r>
          </w:p>
        </w:tc>
        <w:tc>
          <w:tcPr>
            <w:tcW w:w="22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bCs/>
                <w:color w:val="auto"/>
                <w:sz w:val="21"/>
                <w:szCs w:val="21"/>
              </w:rPr>
            </w:pPr>
            <w:r>
              <w:rPr>
                <w:rFonts w:hint="eastAsia" w:ascii="宋体" w:hAnsi="宋体" w:eastAsia="宋体" w:cs="宋体"/>
                <w:b/>
                <w:bCs/>
                <w:color w:val="auto"/>
                <w:kern w:val="0"/>
                <w:sz w:val="21"/>
                <w:szCs w:val="21"/>
              </w:rPr>
              <w:t>内</w:t>
            </w:r>
            <w:r>
              <w:rPr>
                <w:rFonts w:ascii="宋体" w:hAnsi="宋体" w:eastAsia="宋体" w:cs="宋体"/>
                <w:b/>
                <w:bCs/>
                <w:color w:val="auto"/>
                <w:kern w:val="0"/>
                <w:sz w:val="21"/>
                <w:szCs w:val="21"/>
              </w:rPr>
              <w:t xml:space="preserve">  </w:t>
            </w:r>
            <w:r>
              <w:rPr>
                <w:rFonts w:hint="eastAsia" w:ascii="宋体" w:hAnsi="宋体" w:eastAsia="宋体" w:cs="宋体"/>
                <w:b/>
                <w:bCs/>
                <w:color w:val="auto"/>
                <w:kern w:val="0"/>
                <w:sz w:val="21"/>
                <w:szCs w:val="21"/>
              </w:rPr>
              <w:t>容</w:t>
            </w:r>
          </w:p>
        </w:tc>
        <w:tc>
          <w:tcPr>
            <w:tcW w:w="153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bCs/>
                <w:color w:val="auto"/>
                <w:sz w:val="21"/>
                <w:szCs w:val="21"/>
              </w:rPr>
            </w:pPr>
            <w:r>
              <w:rPr>
                <w:rFonts w:hint="eastAsia" w:ascii="宋体" w:hAnsi="宋体" w:eastAsia="宋体" w:cs="宋体"/>
                <w:b/>
                <w:bCs/>
                <w:color w:val="auto"/>
                <w:kern w:val="0"/>
                <w:sz w:val="21"/>
                <w:szCs w:val="21"/>
              </w:rPr>
              <w:t>分值</w:t>
            </w:r>
          </w:p>
        </w:tc>
        <w:tc>
          <w:tcPr>
            <w:tcW w:w="26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bCs/>
                <w:color w:val="auto"/>
                <w:sz w:val="21"/>
                <w:szCs w:val="21"/>
              </w:rPr>
            </w:pPr>
            <w:r>
              <w:rPr>
                <w:rFonts w:hint="eastAsia" w:ascii="宋体" w:hAnsi="宋体" w:eastAsia="宋体" w:cs="宋体"/>
                <w:b/>
                <w:bCs/>
                <w:color w:val="auto"/>
                <w:kern w:val="0"/>
                <w:sz w:val="21"/>
                <w:szCs w:val="21"/>
              </w:rPr>
              <w:t>评分标准</w:t>
            </w:r>
          </w:p>
        </w:tc>
        <w:tc>
          <w:tcPr>
            <w:tcW w:w="8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bCs/>
                <w:color w:val="auto"/>
                <w:sz w:val="21"/>
                <w:szCs w:val="21"/>
              </w:rPr>
            </w:pPr>
            <w:r>
              <w:rPr>
                <w:rFonts w:hint="eastAsia" w:ascii="宋体" w:hAnsi="宋体" w:eastAsia="宋体" w:cs="宋体"/>
                <w:b/>
                <w:bCs/>
                <w:color w:val="auto"/>
                <w:kern w:val="0"/>
                <w:sz w:val="21"/>
                <w:szCs w:val="21"/>
              </w:rPr>
              <w:t>评分</w:t>
            </w:r>
          </w:p>
        </w:tc>
      </w:tr>
      <w:tr>
        <w:tblPrEx>
          <w:tblCellMar>
            <w:top w:w="0" w:type="dxa"/>
            <w:left w:w="108" w:type="dxa"/>
            <w:bottom w:w="0" w:type="dxa"/>
            <w:right w:w="108" w:type="dxa"/>
          </w:tblCellMar>
        </w:tblPrEx>
        <w:trPr>
          <w:trHeight w:val="440" w:hRule="atLeast"/>
        </w:trPr>
        <w:tc>
          <w:tcPr>
            <w:tcW w:w="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1"/>
                <w:szCs w:val="21"/>
              </w:rPr>
            </w:pPr>
            <w:r>
              <w:rPr>
                <w:rFonts w:ascii="宋体" w:hAnsi="宋体" w:eastAsia="宋体" w:cs="宋体"/>
                <w:color w:val="auto"/>
                <w:kern w:val="0"/>
                <w:sz w:val="21"/>
                <w:szCs w:val="21"/>
              </w:rPr>
              <w:t>1</w:t>
            </w:r>
          </w:p>
        </w:tc>
        <w:tc>
          <w:tcPr>
            <w:tcW w:w="10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制度建设</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服务指南</w:t>
            </w:r>
          </w:p>
        </w:tc>
        <w:tc>
          <w:tcPr>
            <w:tcW w:w="22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公示</w:t>
            </w:r>
          </w:p>
        </w:tc>
        <w:tc>
          <w:tcPr>
            <w:tcW w:w="8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1"/>
                <w:szCs w:val="21"/>
              </w:rPr>
            </w:pPr>
            <w:r>
              <w:rPr>
                <w:rFonts w:ascii="宋体" w:hAnsi="宋体" w:eastAsia="宋体" w:cs="宋体"/>
                <w:color w:val="auto"/>
                <w:kern w:val="0"/>
                <w:sz w:val="21"/>
                <w:szCs w:val="21"/>
              </w:rPr>
              <w:t>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1"/>
                <w:szCs w:val="21"/>
              </w:rPr>
            </w:pPr>
            <w:r>
              <w:rPr>
                <w:rFonts w:ascii="宋体" w:hAnsi="宋体" w:eastAsia="宋体" w:cs="宋体"/>
                <w:color w:val="auto"/>
                <w:kern w:val="0"/>
                <w:sz w:val="21"/>
                <w:szCs w:val="21"/>
              </w:rPr>
              <w:t>0.5</w:t>
            </w:r>
          </w:p>
        </w:tc>
        <w:tc>
          <w:tcPr>
            <w:tcW w:w="26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具备得</w:t>
            </w:r>
            <w:r>
              <w:rPr>
                <w:rFonts w:ascii="宋体" w:hAnsi="宋体" w:eastAsia="宋体" w:cs="宋体"/>
                <w:color w:val="auto"/>
                <w:kern w:val="0"/>
                <w:sz w:val="21"/>
                <w:szCs w:val="21"/>
              </w:rPr>
              <w:t>0.5</w:t>
            </w:r>
            <w:r>
              <w:rPr>
                <w:rFonts w:hint="eastAsia" w:ascii="宋体" w:hAnsi="宋体" w:eastAsia="宋体" w:cs="宋体"/>
                <w:color w:val="auto"/>
                <w:kern w:val="0"/>
                <w:sz w:val="21"/>
                <w:szCs w:val="21"/>
              </w:rPr>
              <w:t>分</w:t>
            </w:r>
          </w:p>
        </w:tc>
        <w:tc>
          <w:tcPr>
            <w:tcW w:w="83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auto"/>
                <w:sz w:val="21"/>
                <w:szCs w:val="21"/>
              </w:rPr>
            </w:pPr>
          </w:p>
        </w:tc>
      </w:tr>
      <w:tr>
        <w:tblPrEx>
          <w:tblCellMar>
            <w:top w:w="0" w:type="dxa"/>
            <w:left w:w="108" w:type="dxa"/>
            <w:bottom w:w="0" w:type="dxa"/>
            <w:right w:w="108" w:type="dxa"/>
          </w:tblCellMar>
        </w:tblPrEx>
        <w:trPr>
          <w:trHeight w:val="440" w:hRule="atLeast"/>
        </w:trPr>
        <w:tc>
          <w:tcPr>
            <w:tcW w:w="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1"/>
                <w:szCs w:val="21"/>
              </w:rPr>
            </w:pPr>
            <w:r>
              <w:rPr>
                <w:rFonts w:ascii="宋体" w:hAnsi="宋体" w:eastAsia="宋体" w:cs="宋体"/>
                <w:color w:val="auto"/>
                <w:kern w:val="0"/>
                <w:sz w:val="21"/>
                <w:szCs w:val="21"/>
              </w:rPr>
              <w:t>2</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1"/>
                <w:szCs w:val="21"/>
              </w:rPr>
            </w:pP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收费标准</w:t>
            </w:r>
          </w:p>
        </w:tc>
        <w:tc>
          <w:tcPr>
            <w:tcW w:w="22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公示</w:t>
            </w: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1"/>
                <w:szCs w:val="21"/>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1"/>
                <w:szCs w:val="21"/>
              </w:rPr>
            </w:pPr>
            <w:r>
              <w:rPr>
                <w:rFonts w:ascii="宋体" w:hAnsi="宋体" w:eastAsia="宋体" w:cs="宋体"/>
                <w:color w:val="auto"/>
                <w:kern w:val="0"/>
                <w:sz w:val="21"/>
                <w:szCs w:val="21"/>
              </w:rPr>
              <w:t>0.5</w:t>
            </w:r>
          </w:p>
        </w:tc>
        <w:tc>
          <w:tcPr>
            <w:tcW w:w="26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具备得</w:t>
            </w:r>
            <w:r>
              <w:rPr>
                <w:rFonts w:ascii="宋体" w:hAnsi="宋体" w:eastAsia="宋体" w:cs="宋体"/>
                <w:color w:val="auto"/>
                <w:kern w:val="0"/>
                <w:sz w:val="21"/>
                <w:szCs w:val="21"/>
              </w:rPr>
              <w:t>0.5</w:t>
            </w:r>
            <w:r>
              <w:rPr>
                <w:rFonts w:hint="eastAsia" w:ascii="宋体" w:hAnsi="宋体" w:eastAsia="宋体" w:cs="宋体"/>
                <w:color w:val="auto"/>
                <w:kern w:val="0"/>
                <w:sz w:val="21"/>
                <w:szCs w:val="21"/>
              </w:rPr>
              <w:t>分</w:t>
            </w:r>
          </w:p>
        </w:tc>
        <w:tc>
          <w:tcPr>
            <w:tcW w:w="83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auto"/>
                <w:sz w:val="21"/>
                <w:szCs w:val="21"/>
              </w:rPr>
            </w:pPr>
          </w:p>
        </w:tc>
      </w:tr>
      <w:tr>
        <w:tblPrEx>
          <w:tblCellMar>
            <w:top w:w="0" w:type="dxa"/>
            <w:left w:w="108" w:type="dxa"/>
            <w:bottom w:w="0" w:type="dxa"/>
            <w:right w:w="108" w:type="dxa"/>
          </w:tblCellMar>
        </w:tblPrEx>
        <w:trPr>
          <w:trHeight w:val="440" w:hRule="atLeast"/>
        </w:trPr>
        <w:tc>
          <w:tcPr>
            <w:tcW w:w="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1"/>
                <w:szCs w:val="21"/>
              </w:rPr>
            </w:pPr>
            <w:r>
              <w:rPr>
                <w:rFonts w:ascii="宋体" w:hAnsi="宋体" w:eastAsia="宋体" w:cs="宋体"/>
                <w:color w:val="auto"/>
                <w:kern w:val="0"/>
                <w:sz w:val="21"/>
                <w:szCs w:val="21"/>
              </w:rPr>
              <w:t>3</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1"/>
                <w:szCs w:val="21"/>
              </w:rPr>
            </w:pP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卫生防疫制度</w:t>
            </w:r>
          </w:p>
        </w:tc>
        <w:tc>
          <w:tcPr>
            <w:tcW w:w="22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公示</w:t>
            </w: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1"/>
                <w:szCs w:val="21"/>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1"/>
                <w:szCs w:val="21"/>
              </w:rPr>
            </w:pPr>
            <w:r>
              <w:rPr>
                <w:rFonts w:ascii="宋体" w:hAnsi="宋体" w:eastAsia="宋体" w:cs="宋体"/>
                <w:color w:val="auto"/>
                <w:kern w:val="0"/>
                <w:sz w:val="21"/>
                <w:szCs w:val="21"/>
              </w:rPr>
              <w:t>0.5</w:t>
            </w:r>
          </w:p>
        </w:tc>
        <w:tc>
          <w:tcPr>
            <w:tcW w:w="26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具备得</w:t>
            </w:r>
            <w:r>
              <w:rPr>
                <w:rFonts w:ascii="宋体" w:hAnsi="宋体" w:eastAsia="宋体" w:cs="宋体"/>
                <w:color w:val="auto"/>
                <w:kern w:val="0"/>
                <w:sz w:val="21"/>
                <w:szCs w:val="21"/>
              </w:rPr>
              <w:t>0.5</w:t>
            </w:r>
            <w:r>
              <w:rPr>
                <w:rFonts w:hint="eastAsia" w:ascii="宋体" w:hAnsi="宋体" w:eastAsia="宋体" w:cs="宋体"/>
                <w:color w:val="auto"/>
                <w:kern w:val="0"/>
                <w:sz w:val="21"/>
                <w:szCs w:val="21"/>
              </w:rPr>
              <w:t>分</w:t>
            </w:r>
          </w:p>
        </w:tc>
        <w:tc>
          <w:tcPr>
            <w:tcW w:w="83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auto"/>
                <w:sz w:val="21"/>
                <w:szCs w:val="21"/>
              </w:rPr>
            </w:pPr>
          </w:p>
        </w:tc>
      </w:tr>
      <w:tr>
        <w:tblPrEx>
          <w:tblCellMar>
            <w:top w:w="0" w:type="dxa"/>
            <w:left w:w="108" w:type="dxa"/>
            <w:bottom w:w="0" w:type="dxa"/>
            <w:right w:w="108" w:type="dxa"/>
          </w:tblCellMar>
        </w:tblPrEx>
        <w:trPr>
          <w:trHeight w:val="440" w:hRule="atLeast"/>
        </w:trPr>
        <w:tc>
          <w:tcPr>
            <w:tcW w:w="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1"/>
                <w:szCs w:val="21"/>
              </w:rPr>
            </w:pPr>
            <w:r>
              <w:rPr>
                <w:rFonts w:ascii="宋体" w:hAnsi="宋体" w:eastAsia="宋体" w:cs="宋体"/>
                <w:color w:val="auto"/>
                <w:kern w:val="0"/>
                <w:sz w:val="21"/>
                <w:szCs w:val="21"/>
              </w:rPr>
              <w:t>4</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1"/>
                <w:szCs w:val="21"/>
              </w:rPr>
            </w:pP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应急预案</w:t>
            </w:r>
          </w:p>
        </w:tc>
        <w:tc>
          <w:tcPr>
            <w:tcW w:w="22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疾病、事故、灾害</w:t>
            </w: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1"/>
                <w:szCs w:val="21"/>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1"/>
                <w:szCs w:val="21"/>
              </w:rPr>
            </w:pPr>
            <w:r>
              <w:rPr>
                <w:rFonts w:ascii="宋体" w:hAnsi="宋体" w:eastAsia="宋体" w:cs="宋体"/>
                <w:color w:val="auto"/>
                <w:kern w:val="0"/>
                <w:sz w:val="21"/>
                <w:szCs w:val="21"/>
              </w:rPr>
              <w:t>0.5</w:t>
            </w:r>
          </w:p>
        </w:tc>
        <w:tc>
          <w:tcPr>
            <w:tcW w:w="26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预案健全得</w:t>
            </w:r>
            <w:r>
              <w:rPr>
                <w:rFonts w:ascii="宋体" w:hAnsi="宋体" w:eastAsia="宋体" w:cs="宋体"/>
                <w:color w:val="auto"/>
                <w:kern w:val="0"/>
                <w:sz w:val="21"/>
                <w:szCs w:val="21"/>
              </w:rPr>
              <w:t>0.5</w:t>
            </w:r>
            <w:r>
              <w:rPr>
                <w:rFonts w:hint="eastAsia" w:ascii="宋体" w:hAnsi="宋体" w:eastAsia="宋体" w:cs="宋体"/>
                <w:color w:val="auto"/>
                <w:kern w:val="0"/>
                <w:sz w:val="21"/>
                <w:szCs w:val="21"/>
              </w:rPr>
              <w:t>分</w:t>
            </w:r>
          </w:p>
        </w:tc>
        <w:tc>
          <w:tcPr>
            <w:tcW w:w="83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auto"/>
                <w:sz w:val="21"/>
                <w:szCs w:val="21"/>
              </w:rPr>
            </w:pPr>
          </w:p>
        </w:tc>
      </w:tr>
      <w:tr>
        <w:tblPrEx>
          <w:tblCellMar>
            <w:top w:w="0" w:type="dxa"/>
            <w:left w:w="108" w:type="dxa"/>
            <w:bottom w:w="0" w:type="dxa"/>
            <w:right w:w="108" w:type="dxa"/>
          </w:tblCellMar>
        </w:tblPrEx>
        <w:trPr>
          <w:trHeight w:val="440" w:hRule="atLeast"/>
        </w:trPr>
        <w:tc>
          <w:tcPr>
            <w:tcW w:w="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1"/>
                <w:szCs w:val="21"/>
              </w:rPr>
            </w:pPr>
            <w:r>
              <w:rPr>
                <w:rFonts w:ascii="宋体" w:hAnsi="宋体" w:eastAsia="宋体" w:cs="宋体"/>
                <w:color w:val="auto"/>
                <w:kern w:val="0"/>
                <w:sz w:val="21"/>
                <w:szCs w:val="21"/>
              </w:rPr>
              <w:t>5</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1"/>
                <w:szCs w:val="21"/>
              </w:rPr>
            </w:pP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服务对象综合评估</w:t>
            </w:r>
          </w:p>
        </w:tc>
        <w:tc>
          <w:tcPr>
            <w:tcW w:w="22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服务对象评估表</w:t>
            </w: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1"/>
                <w:szCs w:val="21"/>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1"/>
                <w:szCs w:val="21"/>
              </w:rPr>
            </w:pPr>
            <w:r>
              <w:rPr>
                <w:rFonts w:ascii="宋体" w:hAnsi="宋体" w:eastAsia="宋体" w:cs="宋体"/>
                <w:color w:val="auto"/>
                <w:kern w:val="0"/>
                <w:sz w:val="21"/>
                <w:szCs w:val="21"/>
              </w:rPr>
              <w:t>0.5</w:t>
            </w:r>
          </w:p>
        </w:tc>
        <w:tc>
          <w:tcPr>
            <w:tcW w:w="26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评估表全面得</w:t>
            </w:r>
            <w:r>
              <w:rPr>
                <w:rFonts w:ascii="宋体" w:hAnsi="宋体" w:eastAsia="宋体" w:cs="宋体"/>
                <w:color w:val="auto"/>
                <w:kern w:val="0"/>
                <w:sz w:val="21"/>
                <w:szCs w:val="21"/>
              </w:rPr>
              <w:t>0.5</w:t>
            </w:r>
            <w:r>
              <w:rPr>
                <w:rFonts w:hint="eastAsia" w:ascii="宋体" w:hAnsi="宋体" w:eastAsia="宋体" w:cs="宋体"/>
                <w:color w:val="auto"/>
                <w:kern w:val="0"/>
                <w:sz w:val="21"/>
                <w:szCs w:val="21"/>
              </w:rPr>
              <w:t>分</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auto"/>
                <w:sz w:val="21"/>
                <w:szCs w:val="21"/>
              </w:rPr>
            </w:pPr>
          </w:p>
        </w:tc>
      </w:tr>
      <w:tr>
        <w:tblPrEx>
          <w:tblCellMar>
            <w:top w:w="0" w:type="dxa"/>
            <w:left w:w="108" w:type="dxa"/>
            <w:bottom w:w="0" w:type="dxa"/>
            <w:right w:w="108" w:type="dxa"/>
          </w:tblCellMar>
        </w:tblPrEx>
        <w:trPr>
          <w:trHeight w:val="440" w:hRule="atLeast"/>
        </w:trPr>
        <w:tc>
          <w:tcPr>
            <w:tcW w:w="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1"/>
                <w:szCs w:val="21"/>
              </w:rPr>
            </w:pPr>
            <w:r>
              <w:rPr>
                <w:rFonts w:ascii="宋体" w:hAnsi="宋体" w:eastAsia="宋体" w:cs="宋体"/>
                <w:color w:val="auto"/>
                <w:kern w:val="0"/>
                <w:sz w:val="21"/>
                <w:szCs w:val="21"/>
              </w:rPr>
              <w:t>6</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1"/>
                <w:szCs w:val="21"/>
              </w:rPr>
            </w:pP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服务合同</w:t>
            </w:r>
          </w:p>
        </w:tc>
        <w:tc>
          <w:tcPr>
            <w:tcW w:w="22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服务合同为准</w:t>
            </w: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1"/>
                <w:szCs w:val="21"/>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1"/>
                <w:szCs w:val="21"/>
              </w:rPr>
            </w:pPr>
            <w:r>
              <w:rPr>
                <w:rFonts w:ascii="宋体" w:hAnsi="宋体" w:eastAsia="宋体" w:cs="宋体"/>
                <w:color w:val="auto"/>
                <w:kern w:val="0"/>
                <w:sz w:val="21"/>
                <w:szCs w:val="21"/>
              </w:rPr>
              <w:t>0.5</w:t>
            </w:r>
          </w:p>
        </w:tc>
        <w:tc>
          <w:tcPr>
            <w:tcW w:w="26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所有合同具备，得</w:t>
            </w:r>
            <w:r>
              <w:rPr>
                <w:rFonts w:ascii="宋体" w:hAnsi="宋体" w:eastAsia="宋体" w:cs="宋体"/>
                <w:color w:val="auto"/>
                <w:kern w:val="0"/>
                <w:sz w:val="21"/>
                <w:szCs w:val="21"/>
              </w:rPr>
              <w:t>0.5</w:t>
            </w:r>
            <w:r>
              <w:rPr>
                <w:rFonts w:hint="eastAsia" w:ascii="宋体" w:hAnsi="宋体" w:eastAsia="宋体" w:cs="宋体"/>
                <w:color w:val="auto"/>
                <w:kern w:val="0"/>
                <w:sz w:val="21"/>
                <w:szCs w:val="21"/>
              </w:rPr>
              <w:t>分</w:t>
            </w:r>
          </w:p>
        </w:tc>
        <w:tc>
          <w:tcPr>
            <w:tcW w:w="83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auto"/>
                <w:sz w:val="21"/>
                <w:szCs w:val="21"/>
              </w:rPr>
            </w:pPr>
          </w:p>
        </w:tc>
      </w:tr>
      <w:tr>
        <w:tblPrEx>
          <w:tblCellMar>
            <w:top w:w="0" w:type="dxa"/>
            <w:left w:w="108" w:type="dxa"/>
            <w:bottom w:w="0" w:type="dxa"/>
            <w:right w:w="108" w:type="dxa"/>
          </w:tblCellMar>
        </w:tblPrEx>
        <w:trPr>
          <w:trHeight w:val="440" w:hRule="atLeast"/>
        </w:trPr>
        <w:tc>
          <w:tcPr>
            <w:tcW w:w="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1"/>
                <w:szCs w:val="21"/>
              </w:rPr>
            </w:pPr>
            <w:r>
              <w:rPr>
                <w:rFonts w:ascii="宋体" w:hAnsi="宋体" w:eastAsia="宋体" w:cs="宋体"/>
                <w:color w:val="auto"/>
                <w:kern w:val="0"/>
                <w:sz w:val="21"/>
                <w:szCs w:val="21"/>
              </w:rPr>
              <w:t>7</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1"/>
                <w:szCs w:val="21"/>
              </w:rPr>
            </w:pP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信息档案</w:t>
            </w:r>
          </w:p>
        </w:tc>
        <w:tc>
          <w:tcPr>
            <w:tcW w:w="22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纸质和电子</w:t>
            </w: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1"/>
                <w:szCs w:val="21"/>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1"/>
                <w:szCs w:val="21"/>
              </w:rPr>
            </w:pPr>
            <w:r>
              <w:rPr>
                <w:rFonts w:ascii="宋体" w:hAnsi="宋体" w:eastAsia="宋体" w:cs="宋体"/>
                <w:color w:val="auto"/>
                <w:kern w:val="0"/>
                <w:sz w:val="21"/>
                <w:szCs w:val="21"/>
              </w:rPr>
              <w:t>0.5</w:t>
            </w:r>
          </w:p>
        </w:tc>
        <w:tc>
          <w:tcPr>
            <w:tcW w:w="26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所有员工具备，得</w:t>
            </w:r>
            <w:r>
              <w:rPr>
                <w:rFonts w:ascii="宋体" w:hAnsi="宋体" w:eastAsia="宋体" w:cs="宋体"/>
                <w:color w:val="auto"/>
                <w:kern w:val="0"/>
                <w:sz w:val="21"/>
                <w:szCs w:val="21"/>
              </w:rPr>
              <w:t>0.5</w:t>
            </w:r>
            <w:r>
              <w:rPr>
                <w:rFonts w:hint="eastAsia" w:ascii="宋体" w:hAnsi="宋体" w:eastAsia="宋体" w:cs="宋体"/>
                <w:color w:val="auto"/>
                <w:kern w:val="0"/>
                <w:sz w:val="21"/>
                <w:szCs w:val="21"/>
              </w:rPr>
              <w:t>分</w:t>
            </w:r>
          </w:p>
        </w:tc>
        <w:tc>
          <w:tcPr>
            <w:tcW w:w="83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auto"/>
                <w:sz w:val="21"/>
                <w:szCs w:val="21"/>
              </w:rPr>
            </w:pPr>
          </w:p>
        </w:tc>
      </w:tr>
      <w:tr>
        <w:tblPrEx>
          <w:tblCellMar>
            <w:top w:w="0" w:type="dxa"/>
            <w:left w:w="108" w:type="dxa"/>
            <w:bottom w:w="0" w:type="dxa"/>
            <w:right w:w="108" w:type="dxa"/>
          </w:tblCellMar>
        </w:tblPrEx>
        <w:trPr>
          <w:trHeight w:val="440" w:hRule="atLeast"/>
        </w:trPr>
        <w:tc>
          <w:tcPr>
            <w:tcW w:w="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1"/>
                <w:szCs w:val="21"/>
              </w:rPr>
            </w:pPr>
            <w:r>
              <w:rPr>
                <w:rFonts w:ascii="宋体" w:hAnsi="宋体" w:eastAsia="宋体" w:cs="宋体"/>
                <w:color w:val="auto"/>
                <w:kern w:val="0"/>
                <w:sz w:val="21"/>
                <w:szCs w:val="21"/>
              </w:rPr>
              <w:t>8</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1"/>
                <w:szCs w:val="21"/>
              </w:rPr>
            </w:pP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服务人员激励制度</w:t>
            </w:r>
          </w:p>
        </w:tc>
        <w:tc>
          <w:tcPr>
            <w:tcW w:w="22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公众、志愿者、服务人员</w:t>
            </w: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1"/>
                <w:szCs w:val="21"/>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1"/>
                <w:szCs w:val="21"/>
              </w:rPr>
            </w:pPr>
            <w:r>
              <w:rPr>
                <w:rFonts w:ascii="宋体" w:hAnsi="宋体" w:eastAsia="宋体" w:cs="宋体"/>
                <w:color w:val="auto"/>
                <w:kern w:val="0"/>
                <w:sz w:val="21"/>
                <w:szCs w:val="21"/>
              </w:rPr>
              <w:t>0.5</w:t>
            </w:r>
          </w:p>
        </w:tc>
        <w:tc>
          <w:tcPr>
            <w:tcW w:w="26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所有员工具备，得</w:t>
            </w:r>
            <w:r>
              <w:rPr>
                <w:rFonts w:ascii="宋体" w:hAnsi="宋体" w:eastAsia="宋体" w:cs="宋体"/>
                <w:color w:val="auto"/>
                <w:kern w:val="0"/>
                <w:sz w:val="21"/>
                <w:szCs w:val="21"/>
              </w:rPr>
              <w:t>0.5</w:t>
            </w:r>
            <w:r>
              <w:rPr>
                <w:rFonts w:hint="eastAsia" w:ascii="宋体" w:hAnsi="宋体" w:eastAsia="宋体" w:cs="宋体"/>
                <w:color w:val="auto"/>
                <w:kern w:val="0"/>
                <w:sz w:val="21"/>
                <w:szCs w:val="21"/>
              </w:rPr>
              <w:t>分</w:t>
            </w:r>
          </w:p>
        </w:tc>
        <w:tc>
          <w:tcPr>
            <w:tcW w:w="83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auto"/>
                <w:sz w:val="21"/>
                <w:szCs w:val="21"/>
              </w:rPr>
            </w:pPr>
          </w:p>
        </w:tc>
      </w:tr>
      <w:tr>
        <w:tblPrEx>
          <w:tblCellMar>
            <w:top w:w="0" w:type="dxa"/>
            <w:left w:w="108" w:type="dxa"/>
            <w:bottom w:w="0" w:type="dxa"/>
            <w:right w:w="108" w:type="dxa"/>
          </w:tblCellMar>
        </w:tblPrEx>
        <w:trPr>
          <w:trHeight w:val="440" w:hRule="atLeast"/>
        </w:trPr>
        <w:tc>
          <w:tcPr>
            <w:tcW w:w="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1"/>
                <w:szCs w:val="21"/>
              </w:rPr>
            </w:pPr>
            <w:r>
              <w:rPr>
                <w:rFonts w:ascii="宋体" w:hAnsi="宋体" w:eastAsia="宋体" w:cs="宋体"/>
                <w:color w:val="auto"/>
                <w:kern w:val="0"/>
                <w:sz w:val="21"/>
                <w:szCs w:val="21"/>
              </w:rPr>
              <w:t>9</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1"/>
                <w:szCs w:val="21"/>
              </w:rPr>
            </w:pP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服务项目的制度规范</w:t>
            </w:r>
          </w:p>
        </w:tc>
        <w:tc>
          <w:tcPr>
            <w:tcW w:w="22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公示（含服务响应时间）</w:t>
            </w: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1"/>
                <w:szCs w:val="21"/>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1"/>
                <w:szCs w:val="21"/>
              </w:rPr>
            </w:pPr>
            <w:r>
              <w:rPr>
                <w:rFonts w:ascii="宋体" w:hAnsi="宋体" w:eastAsia="宋体" w:cs="宋体"/>
                <w:color w:val="auto"/>
                <w:kern w:val="0"/>
                <w:sz w:val="21"/>
                <w:szCs w:val="21"/>
              </w:rPr>
              <w:t>1</w:t>
            </w:r>
          </w:p>
        </w:tc>
        <w:tc>
          <w:tcPr>
            <w:tcW w:w="26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制度健全，得</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分</w:t>
            </w:r>
          </w:p>
        </w:tc>
        <w:tc>
          <w:tcPr>
            <w:tcW w:w="83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auto"/>
                <w:sz w:val="21"/>
                <w:szCs w:val="21"/>
              </w:rPr>
            </w:pPr>
          </w:p>
        </w:tc>
      </w:tr>
      <w:tr>
        <w:tblPrEx>
          <w:tblCellMar>
            <w:top w:w="0" w:type="dxa"/>
            <w:left w:w="108" w:type="dxa"/>
            <w:bottom w:w="0" w:type="dxa"/>
            <w:right w:w="108" w:type="dxa"/>
          </w:tblCellMar>
        </w:tblPrEx>
        <w:trPr>
          <w:trHeight w:val="440" w:hRule="atLeast"/>
        </w:trPr>
        <w:tc>
          <w:tcPr>
            <w:tcW w:w="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1"/>
                <w:szCs w:val="21"/>
              </w:rPr>
            </w:pPr>
            <w:r>
              <w:rPr>
                <w:rFonts w:ascii="宋体" w:hAnsi="宋体" w:eastAsia="宋体" w:cs="宋体"/>
                <w:color w:val="auto"/>
                <w:kern w:val="0"/>
                <w:sz w:val="21"/>
                <w:szCs w:val="21"/>
              </w:rPr>
              <w:t>11</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1"/>
                <w:szCs w:val="21"/>
              </w:rPr>
            </w:pP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老人反馈记录</w:t>
            </w:r>
          </w:p>
        </w:tc>
        <w:tc>
          <w:tcPr>
            <w:tcW w:w="22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意见簿（箱），座谈会记录</w:t>
            </w: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1"/>
                <w:szCs w:val="21"/>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1"/>
                <w:szCs w:val="21"/>
              </w:rPr>
            </w:pPr>
            <w:r>
              <w:rPr>
                <w:rFonts w:ascii="宋体" w:hAnsi="宋体" w:eastAsia="宋体" w:cs="宋体"/>
                <w:color w:val="auto"/>
                <w:kern w:val="0"/>
                <w:sz w:val="21"/>
                <w:szCs w:val="21"/>
              </w:rPr>
              <w:t>1</w:t>
            </w:r>
          </w:p>
        </w:tc>
        <w:tc>
          <w:tcPr>
            <w:tcW w:w="26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有意见簿或座谈会记录，得</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分</w:t>
            </w:r>
          </w:p>
        </w:tc>
        <w:tc>
          <w:tcPr>
            <w:tcW w:w="83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auto"/>
                <w:sz w:val="21"/>
                <w:szCs w:val="21"/>
              </w:rPr>
            </w:pPr>
          </w:p>
        </w:tc>
      </w:tr>
      <w:tr>
        <w:tblPrEx>
          <w:tblCellMar>
            <w:top w:w="0" w:type="dxa"/>
            <w:left w:w="108" w:type="dxa"/>
            <w:bottom w:w="0" w:type="dxa"/>
            <w:right w:w="108" w:type="dxa"/>
          </w:tblCellMar>
        </w:tblPrEx>
        <w:trPr>
          <w:trHeight w:val="480" w:hRule="atLeast"/>
        </w:trPr>
        <w:tc>
          <w:tcPr>
            <w:tcW w:w="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1"/>
                <w:szCs w:val="21"/>
              </w:rPr>
            </w:pPr>
            <w:r>
              <w:rPr>
                <w:rFonts w:ascii="宋体" w:hAnsi="宋体" w:eastAsia="宋体" w:cs="宋体"/>
                <w:color w:val="auto"/>
                <w:kern w:val="0"/>
                <w:sz w:val="21"/>
                <w:szCs w:val="21"/>
              </w:rPr>
              <w:t>12</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1"/>
                <w:szCs w:val="21"/>
              </w:rPr>
            </w:pP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工作人员聘用</w:t>
            </w:r>
          </w:p>
        </w:tc>
        <w:tc>
          <w:tcPr>
            <w:tcW w:w="22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固定工作人员聘用合同，合作单位人员以合作协议或合同为准</w:t>
            </w: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1"/>
                <w:szCs w:val="21"/>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1"/>
                <w:szCs w:val="21"/>
              </w:rPr>
            </w:pPr>
            <w:r>
              <w:rPr>
                <w:rFonts w:ascii="宋体" w:hAnsi="宋体" w:eastAsia="宋体" w:cs="宋体"/>
                <w:color w:val="auto"/>
                <w:kern w:val="0"/>
                <w:sz w:val="21"/>
                <w:szCs w:val="21"/>
              </w:rPr>
              <w:t>1</w:t>
            </w:r>
          </w:p>
        </w:tc>
        <w:tc>
          <w:tcPr>
            <w:tcW w:w="26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全员都有得</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分，缺少得</w:t>
            </w:r>
            <w:r>
              <w:rPr>
                <w:rStyle w:val="141"/>
                <w:rFonts w:ascii="宋体" w:hAnsi="宋体" w:eastAsia="宋体" w:cs="宋体"/>
                <w:color w:val="auto"/>
                <w:sz w:val="21"/>
                <w:szCs w:val="21"/>
              </w:rPr>
              <w:t>0.5</w:t>
            </w:r>
            <w:r>
              <w:rPr>
                <w:rFonts w:hint="eastAsia" w:ascii="宋体" w:hAnsi="宋体" w:eastAsia="宋体" w:cs="宋体"/>
                <w:color w:val="auto"/>
                <w:kern w:val="0"/>
                <w:sz w:val="21"/>
                <w:szCs w:val="21"/>
              </w:rPr>
              <w:t>分，合作单位人员无合作协议合同的不得分</w:t>
            </w:r>
          </w:p>
        </w:tc>
        <w:tc>
          <w:tcPr>
            <w:tcW w:w="83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auto"/>
                <w:sz w:val="21"/>
                <w:szCs w:val="21"/>
              </w:rPr>
            </w:pPr>
          </w:p>
        </w:tc>
      </w:tr>
      <w:tr>
        <w:tblPrEx>
          <w:tblCellMar>
            <w:top w:w="0" w:type="dxa"/>
            <w:left w:w="108" w:type="dxa"/>
            <w:bottom w:w="0" w:type="dxa"/>
            <w:right w:w="108" w:type="dxa"/>
          </w:tblCellMar>
        </w:tblPrEx>
        <w:trPr>
          <w:trHeight w:val="440" w:hRule="atLeast"/>
        </w:trPr>
        <w:tc>
          <w:tcPr>
            <w:tcW w:w="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1"/>
                <w:szCs w:val="21"/>
              </w:rPr>
            </w:pPr>
            <w:r>
              <w:rPr>
                <w:rFonts w:ascii="宋体" w:hAnsi="宋体" w:eastAsia="宋体" w:cs="宋体"/>
                <w:color w:val="auto"/>
                <w:kern w:val="0"/>
                <w:sz w:val="21"/>
                <w:szCs w:val="21"/>
              </w:rPr>
              <w:t>13</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1"/>
                <w:szCs w:val="21"/>
              </w:rPr>
            </w:pP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工作人员考核制度</w:t>
            </w:r>
          </w:p>
        </w:tc>
        <w:tc>
          <w:tcPr>
            <w:tcW w:w="22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纸质文件</w:t>
            </w: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1"/>
                <w:szCs w:val="21"/>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1"/>
                <w:szCs w:val="21"/>
              </w:rPr>
            </w:pPr>
            <w:r>
              <w:rPr>
                <w:rFonts w:ascii="宋体" w:hAnsi="宋体" w:eastAsia="宋体" w:cs="宋体"/>
                <w:color w:val="auto"/>
                <w:kern w:val="0"/>
                <w:sz w:val="21"/>
                <w:szCs w:val="21"/>
              </w:rPr>
              <w:t>1</w:t>
            </w:r>
          </w:p>
        </w:tc>
        <w:tc>
          <w:tcPr>
            <w:tcW w:w="26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有得</w:t>
            </w:r>
            <w:r>
              <w:rPr>
                <w:rStyle w:val="141"/>
                <w:rFonts w:ascii="宋体" w:hAnsi="宋体" w:eastAsia="宋体" w:cs="宋体"/>
                <w:color w:val="auto"/>
                <w:sz w:val="21"/>
                <w:szCs w:val="21"/>
              </w:rPr>
              <w:t>1</w:t>
            </w:r>
            <w:r>
              <w:rPr>
                <w:rFonts w:hint="eastAsia" w:ascii="宋体" w:hAnsi="宋体" w:eastAsia="宋体" w:cs="宋体"/>
                <w:color w:val="auto"/>
                <w:kern w:val="0"/>
                <w:sz w:val="21"/>
                <w:szCs w:val="21"/>
              </w:rPr>
              <w:t>分，没有不得分</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auto"/>
                <w:sz w:val="21"/>
                <w:szCs w:val="21"/>
              </w:rPr>
            </w:pPr>
          </w:p>
        </w:tc>
      </w:tr>
      <w:tr>
        <w:tblPrEx>
          <w:tblCellMar>
            <w:top w:w="0" w:type="dxa"/>
            <w:left w:w="108" w:type="dxa"/>
            <w:bottom w:w="0" w:type="dxa"/>
            <w:right w:w="108" w:type="dxa"/>
          </w:tblCellMar>
        </w:tblPrEx>
        <w:trPr>
          <w:trHeight w:val="440" w:hRule="atLeast"/>
        </w:trPr>
        <w:tc>
          <w:tcPr>
            <w:tcW w:w="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1"/>
                <w:szCs w:val="21"/>
              </w:rPr>
            </w:pPr>
            <w:r>
              <w:rPr>
                <w:rFonts w:ascii="宋体" w:hAnsi="宋体" w:eastAsia="宋体" w:cs="宋体"/>
                <w:color w:val="auto"/>
                <w:kern w:val="0"/>
                <w:sz w:val="21"/>
                <w:szCs w:val="21"/>
              </w:rPr>
              <w:t>14</w:t>
            </w:r>
          </w:p>
        </w:tc>
        <w:tc>
          <w:tcPr>
            <w:tcW w:w="10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服务人员</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护理人员</w:t>
            </w:r>
          </w:p>
        </w:tc>
        <w:tc>
          <w:tcPr>
            <w:tcW w:w="22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人数及持证上岗情况</w:t>
            </w:r>
          </w:p>
        </w:tc>
        <w:tc>
          <w:tcPr>
            <w:tcW w:w="8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1"/>
                <w:szCs w:val="21"/>
              </w:rPr>
            </w:pPr>
            <w:r>
              <w:rPr>
                <w:rFonts w:ascii="宋体" w:hAnsi="宋体" w:eastAsia="宋体" w:cs="宋体"/>
                <w:color w:val="auto"/>
                <w:kern w:val="0"/>
                <w:sz w:val="21"/>
                <w:szCs w:val="21"/>
              </w:rPr>
              <w:t>23</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1"/>
                <w:szCs w:val="21"/>
              </w:rPr>
            </w:pPr>
            <w:r>
              <w:rPr>
                <w:rFonts w:ascii="宋体" w:hAnsi="宋体" w:eastAsia="宋体" w:cs="宋体"/>
                <w:color w:val="auto"/>
                <w:kern w:val="0"/>
                <w:sz w:val="21"/>
                <w:szCs w:val="21"/>
              </w:rPr>
              <w:t>1</w:t>
            </w:r>
          </w:p>
        </w:tc>
        <w:tc>
          <w:tcPr>
            <w:tcW w:w="26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护理人员有上岗证得</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分，无上岗证不得分。</w:t>
            </w:r>
          </w:p>
        </w:tc>
        <w:tc>
          <w:tcPr>
            <w:tcW w:w="83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auto"/>
                <w:sz w:val="21"/>
                <w:szCs w:val="21"/>
              </w:rPr>
            </w:pPr>
          </w:p>
        </w:tc>
      </w:tr>
      <w:tr>
        <w:tblPrEx>
          <w:tblCellMar>
            <w:top w:w="0" w:type="dxa"/>
            <w:left w:w="108" w:type="dxa"/>
            <w:bottom w:w="0" w:type="dxa"/>
            <w:right w:w="108" w:type="dxa"/>
          </w:tblCellMar>
        </w:tblPrEx>
        <w:trPr>
          <w:trHeight w:val="440" w:hRule="atLeast"/>
        </w:trPr>
        <w:tc>
          <w:tcPr>
            <w:tcW w:w="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1"/>
                <w:szCs w:val="21"/>
              </w:rPr>
            </w:pPr>
            <w:r>
              <w:rPr>
                <w:rFonts w:ascii="宋体" w:hAnsi="宋体" w:eastAsia="宋体" w:cs="宋体"/>
                <w:color w:val="auto"/>
                <w:kern w:val="0"/>
                <w:sz w:val="21"/>
                <w:szCs w:val="21"/>
              </w:rPr>
              <w:t>15</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1"/>
                <w:szCs w:val="21"/>
              </w:rPr>
            </w:pPr>
          </w:p>
        </w:tc>
        <w:tc>
          <w:tcPr>
            <w:tcW w:w="14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工作人员</w:t>
            </w:r>
          </w:p>
        </w:tc>
        <w:tc>
          <w:tcPr>
            <w:tcW w:w="22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项目经理</w:t>
            </w: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1"/>
                <w:szCs w:val="21"/>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1"/>
                <w:szCs w:val="21"/>
              </w:rPr>
            </w:pPr>
            <w:r>
              <w:rPr>
                <w:rFonts w:ascii="宋体" w:hAnsi="宋体" w:eastAsia="宋体" w:cs="宋体"/>
                <w:color w:val="auto"/>
                <w:kern w:val="0"/>
                <w:sz w:val="21"/>
                <w:szCs w:val="21"/>
              </w:rPr>
              <w:t>10</w:t>
            </w:r>
          </w:p>
        </w:tc>
        <w:tc>
          <w:tcPr>
            <w:tcW w:w="26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中心配备专职项目经理一名，大专以上学历，年龄符合在职年龄段标准，具备丰富养老服务管理经验。</w:t>
            </w:r>
          </w:p>
        </w:tc>
        <w:tc>
          <w:tcPr>
            <w:tcW w:w="83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auto"/>
                <w:sz w:val="21"/>
                <w:szCs w:val="21"/>
              </w:rPr>
            </w:pPr>
          </w:p>
        </w:tc>
      </w:tr>
      <w:tr>
        <w:tblPrEx>
          <w:tblCellMar>
            <w:top w:w="0" w:type="dxa"/>
            <w:left w:w="108" w:type="dxa"/>
            <w:bottom w:w="0" w:type="dxa"/>
            <w:right w:w="108" w:type="dxa"/>
          </w:tblCellMar>
        </w:tblPrEx>
        <w:trPr>
          <w:trHeight w:val="440" w:hRule="atLeast"/>
        </w:trPr>
        <w:tc>
          <w:tcPr>
            <w:tcW w:w="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1"/>
                <w:szCs w:val="21"/>
              </w:rPr>
            </w:pPr>
            <w:r>
              <w:rPr>
                <w:rFonts w:ascii="宋体" w:hAnsi="宋体" w:eastAsia="宋体" w:cs="宋体"/>
                <w:color w:val="auto"/>
                <w:kern w:val="0"/>
                <w:sz w:val="21"/>
                <w:szCs w:val="21"/>
              </w:rPr>
              <w:t>16</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1"/>
                <w:szCs w:val="21"/>
              </w:rPr>
            </w:pPr>
          </w:p>
        </w:tc>
        <w:tc>
          <w:tcPr>
            <w:tcW w:w="14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1"/>
                <w:szCs w:val="21"/>
              </w:rPr>
            </w:pPr>
          </w:p>
        </w:tc>
        <w:tc>
          <w:tcPr>
            <w:tcW w:w="22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中心（站）工作人员</w:t>
            </w: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1"/>
                <w:szCs w:val="21"/>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1"/>
                <w:szCs w:val="21"/>
              </w:rPr>
            </w:pPr>
            <w:r>
              <w:rPr>
                <w:rFonts w:ascii="宋体" w:hAnsi="宋体" w:eastAsia="宋体" w:cs="宋体"/>
                <w:color w:val="auto"/>
                <w:kern w:val="0"/>
                <w:sz w:val="21"/>
                <w:szCs w:val="21"/>
              </w:rPr>
              <w:t>10</w:t>
            </w:r>
          </w:p>
        </w:tc>
        <w:tc>
          <w:tcPr>
            <w:tcW w:w="26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中心（站）配备有相应工作经验和能力，身体健康的专职工作人员，负责日常运营管理。每缺少</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名，扣</w:t>
            </w:r>
            <w:r>
              <w:rPr>
                <w:rFonts w:ascii="宋体" w:hAnsi="宋体" w:eastAsia="宋体" w:cs="宋体"/>
                <w:color w:val="auto"/>
                <w:kern w:val="0"/>
                <w:sz w:val="21"/>
                <w:szCs w:val="21"/>
              </w:rPr>
              <w:t>5</w:t>
            </w:r>
            <w:r>
              <w:rPr>
                <w:rFonts w:hint="eastAsia" w:ascii="宋体" w:hAnsi="宋体" w:eastAsia="宋体" w:cs="宋体"/>
                <w:color w:val="auto"/>
                <w:kern w:val="0"/>
                <w:sz w:val="21"/>
                <w:szCs w:val="21"/>
              </w:rPr>
              <w:t>分，扣完为止。</w:t>
            </w:r>
          </w:p>
        </w:tc>
        <w:tc>
          <w:tcPr>
            <w:tcW w:w="83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auto"/>
                <w:sz w:val="21"/>
                <w:szCs w:val="21"/>
              </w:rPr>
            </w:pPr>
          </w:p>
        </w:tc>
      </w:tr>
      <w:tr>
        <w:tblPrEx>
          <w:tblCellMar>
            <w:top w:w="0" w:type="dxa"/>
            <w:left w:w="108" w:type="dxa"/>
            <w:bottom w:w="0" w:type="dxa"/>
            <w:right w:w="108" w:type="dxa"/>
          </w:tblCellMar>
        </w:tblPrEx>
        <w:trPr>
          <w:trHeight w:val="440" w:hRule="atLeast"/>
        </w:trPr>
        <w:tc>
          <w:tcPr>
            <w:tcW w:w="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1"/>
                <w:szCs w:val="21"/>
              </w:rPr>
            </w:pPr>
            <w:r>
              <w:rPr>
                <w:rFonts w:ascii="宋体" w:hAnsi="宋体" w:eastAsia="宋体" w:cs="宋体"/>
                <w:color w:val="auto"/>
                <w:kern w:val="0"/>
                <w:sz w:val="21"/>
                <w:szCs w:val="21"/>
              </w:rPr>
              <w:t>17</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1"/>
                <w:szCs w:val="21"/>
              </w:rPr>
            </w:pP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厨</w:t>
            </w:r>
            <w:r>
              <w:rPr>
                <w:rStyle w:val="141"/>
                <w:rFonts w:ascii="宋体" w:hAnsi="宋体" w:eastAsia="宋体" w:cs="宋体"/>
                <w:color w:val="auto"/>
                <w:sz w:val="21"/>
                <w:szCs w:val="21"/>
              </w:rPr>
              <w:t xml:space="preserve">  </w:t>
            </w:r>
            <w:r>
              <w:rPr>
                <w:rFonts w:hint="eastAsia" w:ascii="宋体" w:hAnsi="宋体" w:eastAsia="宋体" w:cs="宋体"/>
                <w:color w:val="auto"/>
                <w:kern w:val="0"/>
                <w:sz w:val="21"/>
                <w:szCs w:val="21"/>
              </w:rPr>
              <w:t>师</w:t>
            </w:r>
          </w:p>
        </w:tc>
        <w:tc>
          <w:tcPr>
            <w:tcW w:w="22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厨师</w:t>
            </w:r>
            <w:r>
              <w:rPr>
                <w:rStyle w:val="141"/>
                <w:rFonts w:ascii="宋体" w:hAnsi="宋体" w:eastAsia="宋体" w:cs="宋体"/>
                <w:color w:val="auto"/>
                <w:sz w:val="21"/>
                <w:szCs w:val="21"/>
              </w:rPr>
              <w:t>1</w:t>
            </w:r>
            <w:r>
              <w:rPr>
                <w:rFonts w:hint="eastAsia" w:ascii="宋体" w:hAnsi="宋体" w:eastAsia="宋体" w:cs="宋体"/>
                <w:color w:val="auto"/>
                <w:kern w:val="0"/>
                <w:sz w:val="21"/>
                <w:szCs w:val="21"/>
              </w:rPr>
              <w:t>人（含证）</w:t>
            </w: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1"/>
                <w:szCs w:val="21"/>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1"/>
                <w:szCs w:val="21"/>
              </w:rPr>
            </w:pPr>
            <w:r>
              <w:rPr>
                <w:rFonts w:ascii="宋体" w:hAnsi="宋体" w:eastAsia="宋体" w:cs="宋体"/>
                <w:color w:val="auto"/>
                <w:kern w:val="0"/>
                <w:sz w:val="21"/>
                <w:szCs w:val="21"/>
              </w:rPr>
              <w:t>1</w:t>
            </w:r>
          </w:p>
        </w:tc>
        <w:tc>
          <w:tcPr>
            <w:tcW w:w="26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厨师有上岗证得</w:t>
            </w:r>
            <w:r>
              <w:rPr>
                <w:rStyle w:val="141"/>
                <w:rFonts w:ascii="宋体" w:hAnsi="宋体" w:eastAsia="宋体" w:cs="宋体"/>
                <w:color w:val="auto"/>
                <w:sz w:val="21"/>
                <w:szCs w:val="21"/>
              </w:rPr>
              <w:t>1</w:t>
            </w:r>
            <w:r>
              <w:rPr>
                <w:rFonts w:hint="eastAsia" w:ascii="宋体" w:hAnsi="宋体" w:eastAsia="宋体" w:cs="宋体"/>
                <w:color w:val="auto"/>
                <w:kern w:val="0"/>
                <w:sz w:val="21"/>
                <w:szCs w:val="21"/>
              </w:rPr>
              <w:t>分。无上岗证不得分。</w:t>
            </w:r>
          </w:p>
        </w:tc>
        <w:tc>
          <w:tcPr>
            <w:tcW w:w="83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auto"/>
                <w:sz w:val="21"/>
                <w:szCs w:val="21"/>
              </w:rPr>
            </w:pPr>
          </w:p>
        </w:tc>
      </w:tr>
      <w:tr>
        <w:tblPrEx>
          <w:tblCellMar>
            <w:top w:w="0" w:type="dxa"/>
            <w:left w:w="108" w:type="dxa"/>
            <w:bottom w:w="0" w:type="dxa"/>
            <w:right w:w="108" w:type="dxa"/>
          </w:tblCellMar>
        </w:tblPrEx>
        <w:trPr>
          <w:trHeight w:val="460" w:hRule="atLeast"/>
        </w:trPr>
        <w:tc>
          <w:tcPr>
            <w:tcW w:w="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1"/>
                <w:szCs w:val="21"/>
              </w:rPr>
            </w:pPr>
            <w:r>
              <w:rPr>
                <w:rFonts w:ascii="宋体" w:hAnsi="宋体" w:eastAsia="宋体" w:cs="宋体"/>
                <w:color w:val="auto"/>
                <w:kern w:val="0"/>
                <w:sz w:val="21"/>
                <w:szCs w:val="21"/>
              </w:rPr>
              <w:t>18</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1"/>
                <w:szCs w:val="21"/>
              </w:rPr>
            </w:pP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健康证</w:t>
            </w:r>
          </w:p>
        </w:tc>
        <w:tc>
          <w:tcPr>
            <w:tcW w:w="2269"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涉及膳食和其他直接从事老年人服务（或护理员）的人员</w:t>
            </w: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1"/>
                <w:szCs w:val="21"/>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1"/>
                <w:szCs w:val="21"/>
              </w:rPr>
            </w:pPr>
            <w:r>
              <w:rPr>
                <w:rFonts w:ascii="宋体" w:hAnsi="宋体" w:eastAsia="宋体" w:cs="宋体"/>
                <w:color w:val="auto"/>
                <w:kern w:val="0"/>
                <w:sz w:val="21"/>
                <w:szCs w:val="21"/>
              </w:rPr>
              <w:t>1</w:t>
            </w:r>
          </w:p>
        </w:tc>
        <w:tc>
          <w:tcPr>
            <w:tcW w:w="26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健康证齐全有效得</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分，不齐全不得分。</w:t>
            </w:r>
          </w:p>
        </w:tc>
        <w:tc>
          <w:tcPr>
            <w:tcW w:w="83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auto"/>
                <w:sz w:val="21"/>
                <w:szCs w:val="21"/>
              </w:rPr>
            </w:pPr>
          </w:p>
        </w:tc>
      </w:tr>
      <w:tr>
        <w:tblPrEx>
          <w:tblCellMar>
            <w:top w:w="0" w:type="dxa"/>
            <w:left w:w="108" w:type="dxa"/>
            <w:bottom w:w="0" w:type="dxa"/>
            <w:right w:w="108" w:type="dxa"/>
          </w:tblCellMar>
        </w:tblPrEx>
        <w:trPr>
          <w:trHeight w:val="460" w:hRule="atLeast"/>
        </w:trPr>
        <w:tc>
          <w:tcPr>
            <w:tcW w:w="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1"/>
                <w:szCs w:val="21"/>
              </w:rPr>
            </w:pPr>
            <w:r>
              <w:rPr>
                <w:rFonts w:ascii="宋体" w:hAnsi="宋体" w:eastAsia="宋体" w:cs="宋体"/>
                <w:color w:val="auto"/>
                <w:kern w:val="0"/>
                <w:sz w:val="21"/>
                <w:szCs w:val="21"/>
              </w:rPr>
              <w:t>19</w:t>
            </w:r>
          </w:p>
        </w:tc>
        <w:tc>
          <w:tcPr>
            <w:tcW w:w="10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日常管理</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卫</w:t>
            </w:r>
            <w:r>
              <w:rPr>
                <w:rStyle w:val="141"/>
                <w:rFonts w:ascii="宋体" w:hAnsi="宋体" w:eastAsia="宋体" w:cs="宋体"/>
                <w:color w:val="auto"/>
                <w:sz w:val="21"/>
                <w:szCs w:val="21"/>
              </w:rPr>
              <w:t xml:space="preserve">  </w:t>
            </w:r>
            <w:r>
              <w:rPr>
                <w:rFonts w:hint="eastAsia" w:ascii="宋体" w:hAnsi="宋体" w:eastAsia="宋体" w:cs="宋体"/>
                <w:color w:val="auto"/>
                <w:kern w:val="0"/>
                <w:sz w:val="21"/>
                <w:szCs w:val="21"/>
              </w:rPr>
              <w:t>生</w:t>
            </w:r>
          </w:p>
        </w:tc>
        <w:tc>
          <w:tcPr>
            <w:tcW w:w="22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室内外</w:t>
            </w:r>
          </w:p>
        </w:tc>
        <w:tc>
          <w:tcPr>
            <w:tcW w:w="8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1"/>
                <w:szCs w:val="21"/>
              </w:rPr>
            </w:pPr>
            <w:r>
              <w:rPr>
                <w:rFonts w:ascii="宋体" w:hAnsi="宋体" w:eastAsia="宋体" w:cs="宋体"/>
                <w:color w:val="auto"/>
                <w:kern w:val="0"/>
                <w:sz w:val="21"/>
                <w:szCs w:val="21"/>
              </w:rPr>
              <w:t>12</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1"/>
                <w:szCs w:val="21"/>
              </w:rPr>
            </w:pPr>
            <w:r>
              <w:rPr>
                <w:rFonts w:ascii="宋体" w:hAnsi="宋体" w:eastAsia="宋体" w:cs="宋体"/>
                <w:color w:val="auto"/>
                <w:kern w:val="0"/>
                <w:sz w:val="21"/>
                <w:szCs w:val="21"/>
              </w:rPr>
              <w:t>1</w:t>
            </w:r>
          </w:p>
        </w:tc>
        <w:tc>
          <w:tcPr>
            <w:tcW w:w="262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发现</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处垃圾减</w:t>
            </w:r>
            <w:r>
              <w:rPr>
                <w:rFonts w:ascii="宋体" w:hAnsi="宋体" w:eastAsia="宋体" w:cs="宋体"/>
                <w:color w:val="auto"/>
                <w:kern w:val="0"/>
                <w:sz w:val="21"/>
                <w:szCs w:val="21"/>
              </w:rPr>
              <w:t>0.5</w:t>
            </w:r>
            <w:r>
              <w:rPr>
                <w:rFonts w:hint="eastAsia" w:ascii="宋体" w:hAnsi="宋体" w:eastAsia="宋体" w:cs="宋体"/>
                <w:color w:val="auto"/>
                <w:kern w:val="0"/>
                <w:sz w:val="21"/>
                <w:szCs w:val="21"/>
              </w:rPr>
              <w:t>分，发现</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次“四害”减</w:t>
            </w:r>
            <w:r>
              <w:rPr>
                <w:rFonts w:ascii="宋体" w:hAnsi="宋体" w:eastAsia="宋体" w:cs="宋体"/>
                <w:color w:val="auto"/>
                <w:kern w:val="0"/>
                <w:sz w:val="21"/>
                <w:szCs w:val="21"/>
              </w:rPr>
              <w:t>0.5</w:t>
            </w:r>
            <w:r>
              <w:rPr>
                <w:rFonts w:hint="eastAsia" w:ascii="宋体" w:hAnsi="宋体" w:eastAsia="宋体" w:cs="宋体"/>
                <w:color w:val="auto"/>
                <w:kern w:val="0"/>
                <w:sz w:val="21"/>
                <w:szCs w:val="21"/>
              </w:rPr>
              <w:t>分</w:t>
            </w:r>
          </w:p>
        </w:tc>
        <w:tc>
          <w:tcPr>
            <w:tcW w:w="83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auto"/>
                <w:sz w:val="21"/>
                <w:szCs w:val="21"/>
              </w:rPr>
            </w:pPr>
          </w:p>
        </w:tc>
      </w:tr>
      <w:tr>
        <w:tblPrEx>
          <w:tblCellMar>
            <w:top w:w="0" w:type="dxa"/>
            <w:left w:w="108" w:type="dxa"/>
            <w:bottom w:w="0" w:type="dxa"/>
            <w:right w:w="108" w:type="dxa"/>
          </w:tblCellMar>
        </w:tblPrEx>
        <w:trPr>
          <w:trHeight w:val="460" w:hRule="atLeast"/>
        </w:trPr>
        <w:tc>
          <w:tcPr>
            <w:tcW w:w="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1"/>
                <w:szCs w:val="21"/>
              </w:rPr>
            </w:pPr>
            <w:r>
              <w:rPr>
                <w:rFonts w:ascii="宋体" w:hAnsi="宋体" w:eastAsia="宋体" w:cs="宋体"/>
                <w:color w:val="auto"/>
                <w:kern w:val="0"/>
                <w:sz w:val="21"/>
                <w:szCs w:val="21"/>
              </w:rPr>
              <w:t>20</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1"/>
                <w:szCs w:val="21"/>
              </w:rPr>
            </w:pP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统一着装</w:t>
            </w:r>
          </w:p>
        </w:tc>
        <w:tc>
          <w:tcPr>
            <w:tcW w:w="22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所有工作人员</w:t>
            </w: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1"/>
                <w:szCs w:val="21"/>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1"/>
                <w:szCs w:val="21"/>
              </w:rPr>
            </w:pPr>
            <w:r>
              <w:rPr>
                <w:rFonts w:ascii="宋体" w:hAnsi="宋体" w:eastAsia="宋体" w:cs="宋体"/>
                <w:color w:val="auto"/>
                <w:kern w:val="0"/>
                <w:sz w:val="21"/>
                <w:szCs w:val="21"/>
              </w:rPr>
              <w:t>1</w:t>
            </w:r>
          </w:p>
        </w:tc>
        <w:tc>
          <w:tcPr>
            <w:tcW w:w="262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统一着装得</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分</w:t>
            </w:r>
          </w:p>
        </w:tc>
        <w:tc>
          <w:tcPr>
            <w:tcW w:w="83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auto"/>
                <w:sz w:val="21"/>
                <w:szCs w:val="21"/>
              </w:rPr>
            </w:pPr>
          </w:p>
        </w:tc>
      </w:tr>
      <w:tr>
        <w:tblPrEx>
          <w:tblCellMar>
            <w:top w:w="0" w:type="dxa"/>
            <w:left w:w="108" w:type="dxa"/>
            <w:bottom w:w="0" w:type="dxa"/>
            <w:right w:w="108" w:type="dxa"/>
          </w:tblCellMar>
        </w:tblPrEx>
        <w:trPr>
          <w:trHeight w:val="460" w:hRule="atLeast"/>
        </w:trPr>
        <w:tc>
          <w:tcPr>
            <w:tcW w:w="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1"/>
                <w:szCs w:val="21"/>
              </w:rPr>
            </w:pPr>
            <w:r>
              <w:rPr>
                <w:rFonts w:ascii="宋体" w:hAnsi="宋体" w:eastAsia="宋体" w:cs="宋体"/>
                <w:color w:val="auto"/>
                <w:kern w:val="0"/>
                <w:sz w:val="21"/>
                <w:szCs w:val="21"/>
              </w:rPr>
              <w:t>21</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1"/>
                <w:szCs w:val="21"/>
              </w:rPr>
            </w:pP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安全通道管理</w:t>
            </w:r>
          </w:p>
        </w:tc>
        <w:tc>
          <w:tcPr>
            <w:tcW w:w="22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安全畅通，设施完好</w:t>
            </w: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1"/>
                <w:szCs w:val="21"/>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1"/>
                <w:szCs w:val="21"/>
              </w:rPr>
            </w:pPr>
            <w:r>
              <w:rPr>
                <w:rFonts w:ascii="宋体" w:hAnsi="宋体" w:eastAsia="宋体" w:cs="宋体"/>
                <w:color w:val="auto"/>
                <w:kern w:val="0"/>
                <w:sz w:val="21"/>
                <w:szCs w:val="21"/>
              </w:rPr>
              <w:t>1</w:t>
            </w:r>
          </w:p>
        </w:tc>
        <w:tc>
          <w:tcPr>
            <w:tcW w:w="262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发现一处扣</w:t>
            </w:r>
            <w:r>
              <w:rPr>
                <w:rFonts w:ascii="宋体" w:hAnsi="宋体" w:eastAsia="宋体" w:cs="宋体"/>
                <w:color w:val="auto"/>
                <w:kern w:val="0"/>
                <w:sz w:val="21"/>
                <w:szCs w:val="21"/>
              </w:rPr>
              <w:t>0.5</w:t>
            </w:r>
            <w:r>
              <w:rPr>
                <w:rFonts w:hint="eastAsia" w:ascii="宋体" w:hAnsi="宋体" w:eastAsia="宋体" w:cs="宋体"/>
                <w:color w:val="auto"/>
                <w:kern w:val="0"/>
                <w:sz w:val="21"/>
                <w:szCs w:val="21"/>
              </w:rPr>
              <w:t>分</w:t>
            </w:r>
          </w:p>
        </w:tc>
        <w:tc>
          <w:tcPr>
            <w:tcW w:w="83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auto"/>
                <w:sz w:val="21"/>
                <w:szCs w:val="21"/>
              </w:rPr>
            </w:pPr>
          </w:p>
        </w:tc>
      </w:tr>
      <w:tr>
        <w:tblPrEx>
          <w:tblCellMar>
            <w:top w:w="0" w:type="dxa"/>
            <w:left w:w="108" w:type="dxa"/>
            <w:bottom w:w="0" w:type="dxa"/>
            <w:right w:w="108" w:type="dxa"/>
          </w:tblCellMar>
        </w:tblPrEx>
        <w:trPr>
          <w:trHeight w:val="460" w:hRule="atLeast"/>
        </w:trPr>
        <w:tc>
          <w:tcPr>
            <w:tcW w:w="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1"/>
                <w:szCs w:val="21"/>
              </w:rPr>
            </w:pPr>
            <w:r>
              <w:rPr>
                <w:rFonts w:ascii="宋体" w:hAnsi="宋体" w:eastAsia="宋体" w:cs="宋体"/>
                <w:color w:val="auto"/>
                <w:kern w:val="0"/>
                <w:sz w:val="21"/>
                <w:szCs w:val="21"/>
              </w:rPr>
              <w:t>22</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1"/>
                <w:szCs w:val="21"/>
              </w:rPr>
            </w:pP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场馆开放</w:t>
            </w:r>
          </w:p>
        </w:tc>
        <w:tc>
          <w:tcPr>
            <w:tcW w:w="22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每天按时正常开放，活动开展有序，服务到位</w:t>
            </w: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1"/>
                <w:szCs w:val="21"/>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1"/>
                <w:szCs w:val="21"/>
              </w:rPr>
            </w:pPr>
            <w:r>
              <w:rPr>
                <w:rFonts w:ascii="宋体" w:hAnsi="宋体" w:eastAsia="宋体" w:cs="宋体"/>
                <w:color w:val="auto"/>
                <w:kern w:val="0"/>
                <w:sz w:val="21"/>
                <w:szCs w:val="21"/>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发现一次未正常开放扣</w:t>
            </w:r>
            <w:r>
              <w:rPr>
                <w:rFonts w:ascii="宋体" w:hAnsi="宋体" w:eastAsia="宋体" w:cs="宋体"/>
                <w:color w:val="auto"/>
                <w:kern w:val="0"/>
                <w:sz w:val="21"/>
                <w:szCs w:val="21"/>
              </w:rPr>
              <w:t>0.5</w:t>
            </w:r>
            <w:r>
              <w:rPr>
                <w:rFonts w:hint="eastAsia" w:ascii="宋体" w:hAnsi="宋体" w:eastAsia="宋体" w:cs="宋体"/>
                <w:color w:val="auto"/>
                <w:kern w:val="0"/>
                <w:sz w:val="21"/>
                <w:szCs w:val="21"/>
              </w:rPr>
              <w:t>分；秩序混乱扣</w:t>
            </w:r>
            <w:r>
              <w:rPr>
                <w:rFonts w:ascii="宋体" w:hAnsi="宋体" w:eastAsia="宋体" w:cs="宋体"/>
                <w:color w:val="auto"/>
                <w:kern w:val="0"/>
                <w:sz w:val="21"/>
                <w:szCs w:val="21"/>
              </w:rPr>
              <w:t>0.5</w:t>
            </w:r>
            <w:r>
              <w:rPr>
                <w:rFonts w:hint="eastAsia" w:ascii="宋体" w:hAnsi="宋体" w:eastAsia="宋体" w:cs="宋体"/>
                <w:color w:val="auto"/>
                <w:kern w:val="0"/>
                <w:sz w:val="21"/>
                <w:szCs w:val="21"/>
              </w:rPr>
              <w:t>分；服务不到位扣</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分。</w:t>
            </w:r>
          </w:p>
        </w:tc>
        <w:tc>
          <w:tcPr>
            <w:tcW w:w="83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auto"/>
                <w:sz w:val="21"/>
                <w:szCs w:val="21"/>
              </w:rPr>
            </w:pPr>
          </w:p>
        </w:tc>
      </w:tr>
      <w:tr>
        <w:tblPrEx>
          <w:tblCellMar>
            <w:top w:w="0" w:type="dxa"/>
            <w:left w:w="108" w:type="dxa"/>
            <w:bottom w:w="0" w:type="dxa"/>
            <w:right w:w="108" w:type="dxa"/>
          </w:tblCellMar>
        </w:tblPrEx>
        <w:trPr>
          <w:trHeight w:val="460" w:hRule="atLeast"/>
        </w:trPr>
        <w:tc>
          <w:tcPr>
            <w:tcW w:w="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1"/>
                <w:szCs w:val="21"/>
              </w:rPr>
            </w:pPr>
            <w:r>
              <w:rPr>
                <w:rFonts w:ascii="宋体" w:hAnsi="宋体" w:eastAsia="宋体" w:cs="宋体"/>
                <w:color w:val="auto"/>
                <w:kern w:val="0"/>
                <w:sz w:val="21"/>
                <w:szCs w:val="21"/>
              </w:rPr>
              <w:t>23</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1"/>
                <w:szCs w:val="21"/>
              </w:rPr>
            </w:pP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菜谱公示</w:t>
            </w:r>
          </w:p>
        </w:tc>
        <w:tc>
          <w:tcPr>
            <w:tcW w:w="22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每周在一中心六站点按时公示菜谱</w:t>
            </w: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1"/>
                <w:szCs w:val="21"/>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1"/>
                <w:szCs w:val="21"/>
              </w:rPr>
            </w:pPr>
            <w:r>
              <w:rPr>
                <w:rFonts w:ascii="宋体" w:hAnsi="宋体" w:eastAsia="宋体" w:cs="宋体"/>
                <w:color w:val="auto"/>
                <w:kern w:val="0"/>
                <w:sz w:val="21"/>
                <w:szCs w:val="21"/>
              </w:rPr>
              <w:t>2</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发现一次未按时公示扣</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分，每少一处公示，扣</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分，扣完为止。</w:t>
            </w:r>
          </w:p>
        </w:tc>
        <w:tc>
          <w:tcPr>
            <w:tcW w:w="83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auto"/>
                <w:sz w:val="21"/>
                <w:szCs w:val="21"/>
              </w:rPr>
            </w:pPr>
          </w:p>
        </w:tc>
      </w:tr>
      <w:tr>
        <w:tblPrEx>
          <w:tblCellMar>
            <w:top w:w="0" w:type="dxa"/>
            <w:left w:w="108" w:type="dxa"/>
            <w:bottom w:w="0" w:type="dxa"/>
            <w:right w:w="108" w:type="dxa"/>
          </w:tblCellMar>
        </w:tblPrEx>
        <w:trPr>
          <w:trHeight w:val="460" w:hRule="atLeast"/>
        </w:trPr>
        <w:tc>
          <w:tcPr>
            <w:tcW w:w="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1"/>
                <w:szCs w:val="21"/>
              </w:rPr>
            </w:pPr>
            <w:r>
              <w:rPr>
                <w:rFonts w:ascii="宋体" w:hAnsi="宋体" w:eastAsia="宋体" w:cs="宋体"/>
                <w:color w:val="auto"/>
                <w:kern w:val="0"/>
                <w:sz w:val="21"/>
                <w:szCs w:val="21"/>
              </w:rPr>
              <w:t>24</w:t>
            </w:r>
          </w:p>
        </w:tc>
        <w:tc>
          <w:tcPr>
            <w:tcW w:w="10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日常管理</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一人一档服务包</w:t>
            </w:r>
          </w:p>
        </w:tc>
        <w:tc>
          <w:tcPr>
            <w:tcW w:w="22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建立服务对象档案，设置个性化服务包。</w:t>
            </w: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1"/>
                <w:szCs w:val="21"/>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1"/>
                <w:szCs w:val="21"/>
              </w:rPr>
            </w:pPr>
            <w:r>
              <w:rPr>
                <w:rFonts w:ascii="宋体" w:hAnsi="宋体" w:eastAsia="宋体" w:cs="宋体"/>
                <w:color w:val="auto"/>
                <w:kern w:val="0"/>
                <w:sz w:val="21"/>
                <w:szCs w:val="21"/>
              </w:rPr>
              <w:t>5</w:t>
            </w:r>
          </w:p>
        </w:tc>
        <w:tc>
          <w:tcPr>
            <w:tcW w:w="26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逐人上门了解服务需求，建立一人一档服务包。服务对象档案少或不完整的扣</w:t>
            </w:r>
            <w:r>
              <w:rPr>
                <w:rFonts w:ascii="宋体" w:hAnsi="宋体" w:eastAsia="宋体" w:cs="宋体"/>
                <w:color w:val="auto"/>
                <w:kern w:val="0"/>
                <w:sz w:val="21"/>
                <w:szCs w:val="21"/>
              </w:rPr>
              <w:t>0.5</w:t>
            </w:r>
            <w:r>
              <w:rPr>
                <w:rFonts w:hint="eastAsia" w:ascii="宋体" w:hAnsi="宋体" w:eastAsia="宋体" w:cs="宋体"/>
                <w:color w:val="auto"/>
                <w:kern w:val="0"/>
                <w:sz w:val="21"/>
                <w:szCs w:val="21"/>
              </w:rPr>
              <w:t>分，无档案不得分。</w:t>
            </w:r>
          </w:p>
        </w:tc>
        <w:tc>
          <w:tcPr>
            <w:tcW w:w="83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auto"/>
                <w:sz w:val="21"/>
                <w:szCs w:val="21"/>
              </w:rPr>
            </w:pPr>
          </w:p>
        </w:tc>
      </w:tr>
      <w:tr>
        <w:tblPrEx>
          <w:tblCellMar>
            <w:top w:w="0" w:type="dxa"/>
            <w:left w:w="108" w:type="dxa"/>
            <w:bottom w:w="0" w:type="dxa"/>
            <w:right w:w="108" w:type="dxa"/>
          </w:tblCellMar>
        </w:tblPrEx>
        <w:trPr>
          <w:trHeight w:val="460" w:hRule="atLeast"/>
        </w:trPr>
        <w:tc>
          <w:tcPr>
            <w:tcW w:w="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1"/>
                <w:szCs w:val="21"/>
              </w:rPr>
            </w:pPr>
            <w:r>
              <w:rPr>
                <w:rFonts w:ascii="宋体" w:hAnsi="宋体" w:eastAsia="宋体" w:cs="宋体"/>
                <w:color w:val="auto"/>
                <w:kern w:val="0"/>
                <w:sz w:val="21"/>
                <w:szCs w:val="21"/>
              </w:rPr>
              <w:t>25</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1"/>
                <w:szCs w:val="21"/>
              </w:rPr>
            </w:pP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信息、监控设备</w:t>
            </w:r>
          </w:p>
        </w:tc>
        <w:tc>
          <w:tcPr>
            <w:tcW w:w="22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信息系统完备，监控设备正常运转。</w:t>
            </w: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1"/>
                <w:szCs w:val="21"/>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1"/>
                <w:szCs w:val="21"/>
              </w:rPr>
            </w:pPr>
            <w:r>
              <w:rPr>
                <w:rFonts w:ascii="宋体" w:hAnsi="宋体" w:eastAsia="宋体" w:cs="宋体"/>
                <w:color w:val="auto"/>
                <w:kern w:val="0"/>
                <w:sz w:val="21"/>
                <w:szCs w:val="21"/>
              </w:rPr>
              <w:t>1</w:t>
            </w:r>
          </w:p>
        </w:tc>
        <w:tc>
          <w:tcPr>
            <w:tcW w:w="26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信息系统不健全扣或无监控设备不得分。</w:t>
            </w:r>
          </w:p>
        </w:tc>
        <w:tc>
          <w:tcPr>
            <w:tcW w:w="83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auto"/>
                <w:sz w:val="21"/>
                <w:szCs w:val="21"/>
              </w:rPr>
            </w:pPr>
          </w:p>
        </w:tc>
      </w:tr>
      <w:tr>
        <w:tblPrEx>
          <w:tblCellMar>
            <w:top w:w="0" w:type="dxa"/>
            <w:left w:w="108" w:type="dxa"/>
            <w:bottom w:w="0" w:type="dxa"/>
            <w:right w:w="108" w:type="dxa"/>
          </w:tblCellMar>
        </w:tblPrEx>
        <w:trPr>
          <w:trHeight w:val="2669" w:hRule="atLeast"/>
        </w:trPr>
        <w:tc>
          <w:tcPr>
            <w:tcW w:w="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kern w:val="0"/>
                <w:sz w:val="21"/>
                <w:szCs w:val="21"/>
              </w:rPr>
            </w:pPr>
            <w:r>
              <w:rPr>
                <w:rFonts w:ascii="宋体" w:hAnsi="宋体" w:eastAsia="宋体" w:cs="宋体"/>
                <w:color w:val="auto"/>
                <w:kern w:val="0"/>
                <w:sz w:val="21"/>
                <w:szCs w:val="21"/>
              </w:rPr>
              <w:t>26</w:t>
            </w:r>
          </w:p>
          <w:p>
            <w:pPr>
              <w:widowControl/>
              <w:jc w:val="center"/>
              <w:textAlignment w:val="center"/>
              <w:rPr>
                <w:rFonts w:ascii="宋体" w:hAnsi="宋体" w:eastAsia="宋体" w:cs="宋体"/>
                <w:color w:val="auto"/>
                <w:sz w:val="21"/>
                <w:szCs w:val="21"/>
              </w:rPr>
            </w:pPr>
          </w:p>
        </w:tc>
        <w:tc>
          <w:tcPr>
            <w:tcW w:w="1037" w:type="dxa"/>
            <w:vMerge w:val="restart"/>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服务项目及实施</w:t>
            </w:r>
          </w:p>
        </w:tc>
        <w:tc>
          <w:tcPr>
            <w:tcW w:w="1459"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居家养老服务</w:t>
            </w:r>
          </w:p>
        </w:tc>
        <w:tc>
          <w:tcPr>
            <w:tcW w:w="2269"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能提供送餐、助浴、居室整洁、物具清洁、洗涤、陪同户外散步和外出、购、领、缴、办证、邮、群体康复、个体康复、谈心交流、读书读报、陪同就诊，代为配药等服务</w:t>
            </w:r>
          </w:p>
        </w:tc>
        <w:tc>
          <w:tcPr>
            <w:tcW w:w="8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1"/>
                <w:szCs w:val="21"/>
              </w:rPr>
            </w:pPr>
            <w:r>
              <w:rPr>
                <w:rFonts w:ascii="宋体" w:hAnsi="宋体" w:eastAsia="宋体" w:cs="宋体"/>
                <w:color w:val="auto"/>
                <w:kern w:val="0"/>
                <w:sz w:val="21"/>
                <w:szCs w:val="21"/>
              </w:rPr>
              <w:t>17</w:t>
            </w:r>
          </w:p>
        </w:tc>
        <w:tc>
          <w:tcPr>
            <w:tcW w:w="67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eastAsia="宋体" w:cs="宋体"/>
                <w:color w:val="auto"/>
                <w:sz w:val="21"/>
                <w:szCs w:val="21"/>
              </w:rPr>
            </w:pPr>
            <w:r>
              <w:rPr>
                <w:rFonts w:ascii="宋体" w:hAnsi="宋体" w:eastAsia="宋体" w:cs="宋体"/>
                <w:color w:val="auto"/>
                <w:kern w:val="0"/>
                <w:sz w:val="21"/>
                <w:szCs w:val="21"/>
              </w:rPr>
              <w:t>5</w:t>
            </w:r>
          </w:p>
        </w:tc>
        <w:tc>
          <w:tcPr>
            <w:tcW w:w="2625" w:type="dxa"/>
            <w:tcBorders>
              <w:top w:val="single" w:color="000000" w:sz="4" w:space="0"/>
              <w:left w:val="single" w:color="000000" w:sz="4" w:space="0"/>
              <w:bottom w:val="nil"/>
              <w:right w:val="single" w:color="000000" w:sz="4" w:space="0"/>
            </w:tcBorders>
            <w:vAlign w:val="center"/>
          </w:tcPr>
          <w:p>
            <w:pPr>
              <w:widowControl/>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根据老人的选择，有完整服务记录得</w:t>
            </w:r>
            <w:r>
              <w:rPr>
                <w:rFonts w:ascii="宋体" w:hAnsi="宋体" w:eastAsia="宋体" w:cs="宋体"/>
                <w:color w:val="auto"/>
                <w:kern w:val="0"/>
                <w:sz w:val="21"/>
                <w:szCs w:val="21"/>
              </w:rPr>
              <w:t>5</w:t>
            </w:r>
            <w:r>
              <w:rPr>
                <w:rFonts w:hint="eastAsia" w:ascii="宋体" w:hAnsi="宋体" w:eastAsia="宋体" w:cs="宋体"/>
                <w:color w:val="auto"/>
                <w:kern w:val="0"/>
                <w:sz w:val="21"/>
                <w:szCs w:val="21"/>
              </w:rPr>
              <w:t>分，不完整、没有服务记录，每种扣</w:t>
            </w:r>
            <w:r>
              <w:rPr>
                <w:rFonts w:ascii="宋体" w:hAnsi="宋体" w:eastAsia="宋体" w:cs="宋体"/>
                <w:color w:val="auto"/>
                <w:kern w:val="0"/>
                <w:sz w:val="21"/>
                <w:szCs w:val="21"/>
              </w:rPr>
              <w:t>0.5</w:t>
            </w:r>
            <w:r>
              <w:rPr>
                <w:rFonts w:hint="eastAsia" w:ascii="宋体" w:hAnsi="宋体" w:eastAsia="宋体" w:cs="宋体"/>
                <w:color w:val="auto"/>
                <w:kern w:val="0"/>
                <w:sz w:val="21"/>
                <w:szCs w:val="21"/>
              </w:rPr>
              <w:t>分，扣完为止</w:t>
            </w:r>
          </w:p>
        </w:tc>
        <w:tc>
          <w:tcPr>
            <w:tcW w:w="833" w:type="dxa"/>
            <w:tcBorders>
              <w:top w:val="single" w:color="000000" w:sz="4" w:space="0"/>
              <w:left w:val="single" w:color="000000" w:sz="4" w:space="0"/>
              <w:bottom w:val="nil"/>
              <w:right w:val="single" w:color="000000" w:sz="4" w:space="0"/>
            </w:tcBorders>
            <w:vAlign w:val="center"/>
          </w:tcPr>
          <w:p>
            <w:pPr>
              <w:jc w:val="center"/>
              <w:rPr>
                <w:rFonts w:ascii="宋体" w:hAnsi="宋体" w:eastAsia="宋体" w:cs="宋体"/>
                <w:color w:val="auto"/>
                <w:sz w:val="21"/>
                <w:szCs w:val="21"/>
              </w:rPr>
            </w:pPr>
          </w:p>
        </w:tc>
      </w:tr>
      <w:tr>
        <w:tblPrEx>
          <w:tblCellMar>
            <w:top w:w="0" w:type="dxa"/>
            <w:left w:w="108" w:type="dxa"/>
            <w:bottom w:w="0" w:type="dxa"/>
            <w:right w:w="108" w:type="dxa"/>
          </w:tblCellMar>
        </w:tblPrEx>
        <w:trPr>
          <w:trHeight w:val="440" w:hRule="atLeast"/>
        </w:trPr>
        <w:tc>
          <w:tcPr>
            <w:tcW w:w="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1"/>
                <w:szCs w:val="21"/>
                <w:lang w:val="en-US" w:eastAsia="zh-CN"/>
              </w:rPr>
            </w:pPr>
            <w:r>
              <w:rPr>
                <w:rFonts w:ascii="宋体" w:hAnsi="宋体" w:eastAsia="宋体" w:cs="宋体"/>
                <w:color w:val="auto"/>
                <w:kern w:val="0"/>
                <w:sz w:val="21"/>
                <w:szCs w:val="21"/>
              </w:rPr>
              <w:t>2</w:t>
            </w:r>
            <w:r>
              <w:rPr>
                <w:rFonts w:hint="eastAsia" w:ascii="宋体" w:hAnsi="宋体" w:eastAsia="宋体" w:cs="宋体"/>
                <w:color w:val="auto"/>
                <w:kern w:val="0"/>
                <w:sz w:val="21"/>
                <w:szCs w:val="21"/>
                <w:lang w:val="en-US" w:eastAsia="zh-CN"/>
              </w:rPr>
              <w:t>7</w:t>
            </w:r>
          </w:p>
        </w:tc>
        <w:tc>
          <w:tcPr>
            <w:tcW w:w="1037" w:type="dxa"/>
            <w:vMerge w:val="continue"/>
            <w:tcBorders>
              <w:top w:val="single" w:color="000000" w:sz="4" w:space="0"/>
              <w:left w:val="single" w:color="000000" w:sz="4" w:space="0"/>
              <w:bottom w:val="nil"/>
              <w:right w:val="single" w:color="000000" w:sz="4" w:space="0"/>
            </w:tcBorders>
            <w:vAlign w:val="center"/>
          </w:tcPr>
          <w:p>
            <w:pPr>
              <w:jc w:val="center"/>
              <w:rPr>
                <w:rFonts w:ascii="宋体" w:hAnsi="宋体" w:eastAsia="宋体" w:cs="宋体"/>
                <w:color w:val="auto"/>
                <w:sz w:val="21"/>
                <w:szCs w:val="21"/>
              </w:rPr>
            </w:pP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安全守护</w:t>
            </w:r>
          </w:p>
        </w:tc>
        <w:tc>
          <w:tcPr>
            <w:tcW w:w="22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接受紧急呼叫，定期上门查看和电话查询</w:t>
            </w: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1"/>
                <w:szCs w:val="21"/>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1"/>
                <w:szCs w:val="21"/>
              </w:rPr>
            </w:pPr>
            <w:r>
              <w:rPr>
                <w:rFonts w:ascii="宋体" w:hAnsi="宋体" w:eastAsia="宋体" w:cs="宋体"/>
                <w:color w:val="auto"/>
                <w:kern w:val="0"/>
                <w:sz w:val="21"/>
                <w:szCs w:val="21"/>
              </w:rPr>
              <w:t>1</w:t>
            </w:r>
          </w:p>
        </w:tc>
        <w:tc>
          <w:tcPr>
            <w:tcW w:w="26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对辖区空巢、孤寡老人及有安全守护需求老人建档，有完整服务记录得</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分，不完整、没有服务记录不得分</w:t>
            </w:r>
          </w:p>
        </w:tc>
        <w:tc>
          <w:tcPr>
            <w:tcW w:w="83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auto"/>
                <w:sz w:val="21"/>
                <w:szCs w:val="21"/>
              </w:rPr>
            </w:pPr>
          </w:p>
        </w:tc>
      </w:tr>
      <w:tr>
        <w:tblPrEx>
          <w:tblCellMar>
            <w:top w:w="0" w:type="dxa"/>
            <w:left w:w="108" w:type="dxa"/>
            <w:bottom w:w="0" w:type="dxa"/>
            <w:right w:w="108" w:type="dxa"/>
          </w:tblCellMar>
        </w:tblPrEx>
        <w:trPr>
          <w:trHeight w:val="440" w:hRule="atLeast"/>
        </w:trPr>
        <w:tc>
          <w:tcPr>
            <w:tcW w:w="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1"/>
                <w:szCs w:val="21"/>
                <w:lang w:eastAsia="zh-CN"/>
              </w:rPr>
            </w:pPr>
            <w:r>
              <w:rPr>
                <w:rFonts w:ascii="宋体" w:hAnsi="宋体" w:eastAsia="宋体" w:cs="宋体"/>
                <w:color w:val="auto"/>
                <w:kern w:val="0"/>
                <w:sz w:val="21"/>
                <w:szCs w:val="21"/>
              </w:rPr>
              <w:t>2</w:t>
            </w:r>
            <w:r>
              <w:rPr>
                <w:rFonts w:hint="eastAsia" w:ascii="宋体" w:hAnsi="宋体" w:eastAsia="宋体" w:cs="宋体"/>
                <w:color w:val="auto"/>
                <w:kern w:val="0"/>
                <w:sz w:val="21"/>
                <w:szCs w:val="21"/>
                <w:lang w:val="en-US" w:eastAsia="zh-CN"/>
              </w:rPr>
              <w:t>8</w:t>
            </w:r>
          </w:p>
        </w:tc>
        <w:tc>
          <w:tcPr>
            <w:tcW w:w="1037" w:type="dxa"/>
            <w:vMerge w:val="continue"/>
            <w:tcBorders>
              <w:top w:val="single" w:color="000000" w:sz="4" w:space="0"/>
              <w:left w:val="single" w:color="000000" w:sz="4" w:space="0"/>
              <w:bottom w:val="nil"/>
              <w:right w:val="single" w:color="000000" w:sz="4" w:space="0"/>
            </w:tcBorders>
            <w:vAlign w:val="center"/>
          </w:tcPr>
          <w:p>
            <w:pPr>
              <w:jc w:val="center"/>
              <w:rPr>
                <w:rFonts w:ascii="宋体" w:hAnsi="宋体" w:eastAsia="宋体" w:cs="宋体"/>
                <w:color w:val="auto"/>
                <w:sz w:val="21"/>
                <w:szCs w:val="21"/>
              </w:rPr>
            </w:pP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紧急求助服务</w:t>
            </w:r>
          </w:p>
        </w:tc>
        <w:tc>
          <w:tcPr>
            <w:tcW w:w="22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响应时间（</w:t>
            </w:r>
            <w:r>
              <w:rPr>
                <w:rFonts w:ascii="宋体" w:hAnsi="宋体" w:eastAsia="宋体" w:cs="宋体"/>
                <w:color w:val="auto"/>
                <w:kern w:val="0"/>
                <w:sz w:val="21"/>
                <w:szCs w:val="21"/>
              </w:rPr>
              <w:t>15</w:t>
            </w:r>
            <w:r>
              <w:rPr>
                <w:rFonts w:hint="eastAsia" w:ascii="宋体" w:hAnsi="宋体" w:eastAsia="宋体" w:cs="宋体"/>
                <w:color w:val="auto"/>
                <w:kern w:val="0"/>
                <w:sz w:val="21"/>
                <w:szCs w:val="21"/>
              </w:rPr>
              <w:t>分钟到家）、有服务结果</w:t>
            </w: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1"/>
                <w:szCs w:val="21"/>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1"/>
                <w:szCs w:val="21"/>
              </w:rPr>
            </w:pPr>
            <w:r>
              <w:rPr>
                <w:rFonts w:ascii="宋体" w:hAnsi="宋体" w:eastAsia="宋体" w:cs="宋体"/>
                <w:color w:val="auto"/>
                <w:kern w:val="0"/>
                <w:sz w:val="21"/>
                <w:szCs w:val="21"/>
              </w:rPr>
              <w:t>1</w:t>
            </w:r>
          </w:p>
        </w:tc>
        <w:tc>
          <w:tcPr>
            <w:tcW w:w="26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响应时间</w:t>
            </w:r>
            <w:r>
              <w:rPr>
                <w:rFonts w:ascii="宋体" w:hAnsi="宋体" w:eastAsia="宋体" w:cs="宋体"/>
                <w:color w:val="auto"/>
                <w:kern w:val="0"/>
                <w:sz w:val="21"/>
                <w:szCs w:val="21"/>
              </w:rPr>
              <w:t>15</w:t>
            </w:r>
            <w:r>
              <w:rPr>
                <w:rFonts w:hint="eastAsia" w:ascii="宋体" w:hAnsi="宋体" w:eastAsia="宋体" w:cs="宋体"/>
                <w:color w:val="auto"/>
                <w:kern w:val="0"/>
                <w:sz w:val="21"/>
                <w:szCs w:val="21"/>
              </w:rPr>
              <w:t>分钟内得</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分（超过不得分）</w:t>
            </w:r>
          </w:p>
        </w:tc>
        <w:tc>
          <w:tcPr>
            <w:tcW w:w="83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auto"/>
                <w:sz w:val="21"/>
                <w:szCs w:val="21"/>
              </w:rPr>
            </w:pPr>
          </w:p>
        </w:tc>
      </w:tr>
      <w:tr>
        <w:tblPrEx>
          <w:tblCellMar>
            <w:top w:w="0" w:type="dxa"/>
            <w:left w:w="108" w:type="dxa"/>
            <w:bottom w:w="0" w:type="dxa"/>
            <w:right w:w="108" w:type="dxa"/>
          </w:tblCellMar>
        </w:tblPrEx>
        <w:trPr>
          <w:trHeight w:val="440" w:hRule="atLeast"/>
        </w:trPr>
        <w:tc>
          <w:tcPr>
            <w:tcW w:w="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rPr>
              <w:t>29</w:t>
            </w:r>
          </w:p>
        </w:tc>
        <w:tc>
          <w:tcPr>
            <w:tcW w:w="1037" w:type="dxa"/>
            <w:vMerge w:val="continue"/>
            <w:tcBorders>
              <w:top w:val="single" w:color="000000" w:sz="4" w:space="0"/>
              <w:left w:val="single" w:color="000000" w:sz="4" w:space="0"/>
              <w:bottom w:val="nil"/>
              <w:right w:val="single" w:color="000000" w:sz="4" w:space="0"/>
            </w:tcBorders>
            <w:vAlign w:val="center"/>
          </w:tcPr>
          <w:p>
            <w:pPr>
              <w:jc w:val="center"/>
              <w:rPr>
                <w:rFonts w:ascii="宋体" w:hAnsi="宋体" w:eastAsia="宋体" w:cs="宋体"/>
                <w:color w:val="auto"/>
                <w:sz w:val="21"/>
                <w:szCs w:val="21"/>
              </w:rPr>
            </w:pP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预约服务</w:t>
            </w:r>
          </w:p>
        </w:tc>
        <w:tc>
          <w:tcPr>
            <w:tcW w:w="22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接受预约服务，</w:t>
            </w:r>
            <w:r>
              <w:rPr>
                <w:rFonts w:ascii="宋体" w:hAnsi="宋体" w:eastAsia="宋体" w:cs="宋体"/>
                <w:color w:val="auto"/>
                <w:kern w:val="0"/>
                <w:sz w:val="21"/>
                <w:szCs w:val="21"/>
              </w:rPr>
              <w:t>10</w:t>
            </w:r>
            <w:r>
              <w:rPr>
                <w:rFonts w:hint="eastAsia" w:ascii="宋体" w:hAnsi="宋体" w:eastAsia="宋体" w:cs="宋体"/>
                <w:color w:val="auto"/>
                <w:kern w:val="0"/>
                <w:sz w:val="21"/>
                <w:szCs w:val="21"/>
              </w:rPr>
              <w:t>分钟内安排并回复服务结果</w:t>
            </w: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1"/>
                <w:szCs w:val="21"/>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1"/>
                <w:szCs w:val="21"/>
              </w:rPr>
            </w:pPr>
            <w:r>
              <w:rPr>
                <w:rFonts w:ascii="宋体" w:hAnsi="宋体" w:eastAsia="宋体" w:cs="宋体"/>
                <w:color w:val="auto"/>
                <w:kern w:val="0"/>
                <w:sz w:val="21"/>
                <w:szCs w:val="21"/>
              </w:rPr>
              <w:t>1</w:t>
            </w:r>
          </w:p>
        </w:tc>
        <w:tc>
          <w:tcPr>
            <w:tcW w:w="26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有完整记录得</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分</w:t>
            </w:r>
          </w:p>
        </w:tc>
        <w:tc>
          <w:tcPr>
            <w:tcW w:w="83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auto"/>
                <w:sz w:val="21"/>
                <w:szCs w:val="21"/>
              </w:rPr>
            </w:pPr>
          </w:p>
        </w:tc>
      </w:tr>
      <w:tr>
        <w:tblPrEx>
          <w:tblCellMar>
            <w:top w:w="0" w:type="dxa"/>
            <w:left w:w="108" w:type="dxa"/>
            <w:bottom w:w="0" w:type="dxa"/>
            <w:right w:w="108" w:type="dxa"/>
          </w:tblCellMar>
        </w:tblPrEx>
        <w:trPr>
          <w:trHeight w:val="440" w:hRule="atLeast"/>
        </w:trPr>
        <w:tc>
          <w:tcPr>
            <w:tcW w:w="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rPr>
              <w:t>30</w:t>
            </w:r>
          </w:p>
        </w:tc>
        <w:tc>
          <w:tcPr>
            <w:tcW w:w="1037" w:type="dxa"/>
            <w:vMerge w:val="continue"/>
            <w:tcBorders>
              <w:top w:val="single" w:color="000000" w:sz="4" w:space="0"/>
              <w:left w:val="single" w:color="000000" w:sz="4" w:space="0"/>
              <w:bottom w:val="nil"/>
              <w:right w:val="single" w:color="000000" w:sz="4" w:space="0"/>
            </w:tcBorders>
            <w:vAlign w:val="center"/>
          </w:tcPr>
          <w:p>
            <w:pPr>
              <w:jc w:val="center"/>
              <w:rPr>
                <w:rFonts w:ascii="宋体" w:hAnsi="宋体" w:eastAsia="宋体" w:cs="宋体"/>
                <w:color w:val="auto"/>
                <w:sz w:val="21"/>
                <w:szCs w:val="21"/>
              </w:rPr>
            </w:pPr>
          </w:p>
        </w:tc>
        <w:tc>
          <w:tcPr>
            <w:tcW w:w="1459"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志愿服务</w:t>
            </w:r>
          </w:p>
        </w:tc>
        <w:tc>
          <w:tcPr>
            <w:tcW w:w="2269" w:type="dxa"/>
            <w:tcBorders>
              <w:top w:val="single" w:color="000000" w:sz="4" w:space="0"/>
              <w:left w:val="single" w:color="000000" w:sz="4" w:space="0"/>
              <w:bottom w:val="nil"/>
              <w:right w:val="single" w:color="000000" w:sz="4" w:space="0"/>
            </w:tcBorders>
            <w:vAlign w:val="center"/>
          </w:tcPr>
          <w:p>
            <w:pPr>
              <w:widowControl/>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每月提供不少于</w:t>
            </w:r>
            <w:r>
              <w:rPr>
                <w:rFonts w:ascii="宋体" w:hAnsi="宋体" w:eastAsia="宋体" w:cs="宋体"/>
                <w:color w:val="auto"/>
                <w:kern w:val="0"/>
                <w:sz w:val="21"/>
                <w:szCs w:val="21"/>
              </w:rPr>
              <w:t>2</w:t>
            </w:r>
            <w:r>
              <w:rPr>
                <w:rFonts w:hint="eastAsia" w:ascii="宋体" w:hAnsi="宋体" w:eastAsia="宋体" w:cs="宋体"/>
                <w:color w:val="auto"/>
                <w:kern w:val="0"/>
                <w:sz w:val="21"/>
                <w:szCs w:val="21"/>
              </w:rPr>
              <w:t>次医生全天坐诊服务</w:t>
            </w: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1"/>
                <w:szCs w:val="21"/>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1"/>
                <w:szCs w:val="21"/>
              </w:rPr>
            </w:pPr>
            <w:r>
              <w:rPr>
                <w:rFonts w:ascii="宋体" w:hAnsi="宋体" w:eastAsia="宋体" w:cs="宋体"/>
                <w:color w:val="auto"/>
                <w:kern w:val="0"/>
                <w:sz w:val="21"/>
                <w:szCs w:val="21"/>
              </w:rPr>
              <w:t>4</w:t>
            </w:r>
          </w:p>
        </w:tc>
        <w:tc>
          <w:tcPr>
            <w:tcW w:w="26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每少一次扣</w:t>
            </w:r>
            <w:r>
              <w:rPr>
                <w:rFonts w:ascii="宋体" w:hAnsi="宋体" w:eastAsia="宋体" w:cs="宋体"/>
                <w:color w:val="auto"/>
                <w:kern w:val="0"/>
                <w:sz w:val="21"/>
                <w:szCs w:val="21"/>
              </w:rPr>
              <w:t>2</w:t>
            </w:r>
            <w:r>
              <w:rPr>
                <w:rFonts w:hint="eastAsia" w:ascii="宋体" w:hAnsi="宋体" w:eastAsia="宋体" w:cs="宋体"/>
                <w:color w:val="auto"/>
                <w:kern w:val="0"/>
                <w:sz w:val="21"/>
                <w:szCs w:val="21"/>
              </w:rPr>
              <w:t>分，坐诊服务记录不全，扣</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分。</w:t>
            </w:r>
          </w:p>
        </w:tc>
        <w:tc>
          <w:tcPr>
            <w:tcW w:w="83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auto"/>
                <w:sz w:val="21"/>
                <w:szCs w:val="21"/>
              </w:rPr>
            </w:pPr>
          </w:p>
        </w:tc>
      </w:tr>
      <w:tr>
        <w:tblPrEx>
          <w:tblCellMar>
            <w:top w:w="0" w:type="dxa"/>
            <w:left w:w="108" w:type="dxa"/>
            <w:bottom w:w="0" w:type="dxa"/>
            <w:right w:w="108" w:type="dxa"/>
          </w:tblCellMar>
        </w:tblPrEx>
        <w:trPr>
          <w:trHeight w:val="440" w:hRule="atLeast"/>
        </w:trPr>
        <w:tc>
          <w:tcPr>
            <w:tcW w:w="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rPr>
              <w:t>31</w:t>
            </w:r>
          </w:p>
        </w:tc>
        <w:tc>
          <w:tcPr>
            <w:tcW w:w="1037" w:type="dxa"/>
            <w:vMerge w:val="continue"/>
            <w:tcBorders>
              <w:top w:val="single" w:color="000000" w:sz="4" w:space="0"/>
              <w:left w:val="single" w:color="000000" w:sz="4" w:space="0"/>
              <w:bottom w:val="nil"/>
              <w:right w:val="single" w:color="000000" w:sz="4" w:space="0"/>
            </w:tcBorders>
            <w:vAlign w:val="center"/>
          </w:tcPr>
          <w:p>
            <w:pPr>
              <w:jc w:val="center"/>
              <w:rPr>
                <w:rFonts w:ascii="宋体" w:hAnsi="宋体" w:eastAsia="宋体" w:cs="宋体"/>
                <w:color w:val="auto"/>
                <w:sz w:val="21"/>
                <w:szCs w:val="21"/>
              </w:rPr>
            </w:pPr>
          </w:p>
        </w:tc>
        <w:tc>
          <w:tcPr>
            <w:tcW w:w="145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特殊人群服务</w:t>
            </w:r>
          </w:p>
        </w:tc>
        <w:tc>
          <w:tcPr>
            <w:tcW w:w="2269" w:type="dxa"/>
            <w:tcBorders>
              <w:top w:val="single" w:color="000000" w:sz="4" w:space="0"/>
              <w:left w:val="single" w:color="000000" w:sz="4" w:space="0"/>
              <w:bottom w:val="nil"/>
              <w:right w:val="single" w:color="000000" w:sz="4" w:space="0"/>
            </w:tcBorders>
            <w:vAlign w:val="center"/>
          </w:tcPr>
          <w:p>
            <w:pPr>
              <w:widowControl/>
              <w:textAlignment w:val="center"/>
              <w:rPr>
                <w:rFonts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为街道孤寡老人每月提供问候服务</w:t>
            </w: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1"/>
                <w:szCs w:val="21"/>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val="en-US" w:eastAsia="zh-CN"/>
              </w:rPr>
              <w:t>3</w:t>
            </w:r>
          </w:p>
        </w:tc>
        <w:tc>
          <w:tcPr>
            <w:tcW w:w="26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rPr>
              <w:t>每少一</w:t>
            </w:r>
            <w:r>
              <w:rPr>
                <w:rFonts w:hint="eastAsia" w:ascii="宋体" w:hAnsi="宋体" w:eastAsia="宋体" w:cs="宋体"/>
                <w:color w:val="auto"/>
                <w:kern w:val="0"/>
                <w:sz w:val="21"/>
                <w:szCs w:val="21"/>
                <w:lang w:eastAsia="zh-CN"/>
              </w:rPr>
              <w:t>人</w:t>
            </w:r>
            <w:r>
              <w:rPr>
                <w:rFonts w:hint="eastAsia" w:ascii="宋体" w:hAnsi="宋体" w:eastAsia="宋体" w:cs="宋体"/>
                <w:color w:val="auto"/>
                <w:kern w:val="0"/>
                <w:sz w:val="21"/>
                <w:szCs w:val="21"/>
              </w:rPr>
              <w:t>扣</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分，</w:t>
            </w:r>
            <w:r>
              <w:rPr>
                <w:rFonts w:hint="eastAsia" w:ascii="宋体" w:hAnsi="宋体" w:eastAsia="宋体" w:cs="宋体"/>
                <w:color w:val="auto"/>
                <w:kern w:val="0"/>
                <w:sz w:val="21"/>
                <w:szCs w:val="21"/>
                <w:lang w:eastAsia="zh-CN"/>
              </w:rPr>
              <w:t>服务</w:t>
            </w:r>
            <w:r>
              <w:rPr>
                <w:rFonts w:hint="eastAsia" w:ascii="宋体" w:hAnsi="宋体" w:eastAsia="宋体" w:cs="宋体"/>
                <w:color w:val="auto"/>
                <w:kern w:val="0"/>
                <w:sz w:val="21"/>
                <w:szCs w:val="21"/>
              </w:rPr>
              <w:t>记录不全，扣</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分</w:t>
            </w:r>
          </w:p>
        </w:tc>
        <w:tc>
          <w:tcPr>
            <w:tcW w:w="83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auto"/>
                <w:sz w:val="21"/>
                <w:szCs w:val="21"/>
              </w:rPr>
            </w:pPr>
          </w:p>
        </w:tc>
      </w:tr>
      <w:tr>
        <w:tblPrEx>
          <w:tblCellMar>
            <w:top w:w="0" w:type="dxa"/>
            <w:left w:w="108" w:type="dxa"/>
            <w:bottom w:w="0" w:type="dxa"/>
            <w:right w:w="108" w:type="dxa"/>
          </w:tblCellMar>
        </w:tblPrEx>
        <w:trPr>
          <w:trHeight w:val="440" w:hRule="atLeast"/>
        </w:trPr>
        <w:tc>
          <w:tcPr>
            <w:tcW w:w="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32</w:t>
            </w:r>
          </w:p>
        </w:tc>
        <w:tc>
          <w:tcPr>
            <w:tcW w:w="1037" w:type="dxa"/>
            <w:vMerge w:val="continue"/>
            <w:tcBorders>
              <w:top w:val="single" w:color="000000" w:sz="4" w:space="0"/>
              <w:left w:val="single" w:color="000000" w:sz="4" w:space="0"/>
              <w:bottom w:val="nil"/>
              <w:right w:val="single" w:color="000000" w:sz="4" w:space="0"/>
            </w:tcBorders>
            <w:vAlign w:val="center"/>
          </w:tcPr>
          <w:p>
            <w:pPr>
              <w:jc w:val="center"/>
              <w:rPr>
                <w:rFonts w:ascii="宋体" w:hAnsi="宋体" w:eastAsia="宋体" w:cs="宋体"/>
                <w:color w:val="auto"/>
                <w:sz w:val="21"/>
                <w:szCs w:val="21"/>
              </w:rPr>
            </w:pPr>
          </w:p>
        </w:tc>
        <w:tc>
          <w:tcPr>
            <w:tcW w:w="1459" w:type="dxa"/>
            <w:vMerge w:val="continue"/>
            <w:tcBorders>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color w:val="auto"/>
                <w:kern w:val="0"/>
                <w:sz w:val="21"/>
                <w:szCs w:val="21"/>
              </w:rPr>
            </w:pPr>
          </w:p>
        </w:tc>
        <w:tc>
          <w:tcPr>
            <w:tcW w:w="2269" w:type="dxa"/>
            <w:tcBorders>
              <w:top w:val="single" w:color="000000" w:sz="4" w:space="0"/>
              <w:left w:val="single" w:color="000000" w:sz="4" w:space="0"/>
              <w:bottom w:val="nil"/>
              <w:right w:val="single" w:color="000000" w:sz="4" w:space="0"/>
            </w:tcBorders>
            <w:vAlign w:val="center"/>
          </w:tcPr>
          <w:p>
            <w:pPr>
              <w:widowControl/>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为街道空巢、独居老人常态化提供关爱服务</w:t>
            </w: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1"/>
                <w:szCs w:val="21"/>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26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有服务项目落实，得</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分</w:t>
            </w:r>
          </w:p>
        </w:tc>
        <w:tc>
          <w:tcPr>
            <w:tcW w:w="83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auto"/>
                <w:sz w:val="21"/>
                <w:szCs w:val="21"/>
              </w:rPr>
            </w:pPr>
          </w:p>
        </w:tc>
      </w:tr>
      <w:tr>
        <w:tblPrEx>
          <w:tblCellMar>
            <w:top w:w="0" w:type="dxa"/>
            <w:left w:w="108" w:type="dxa"/>
            <w:bottom w:w="0" w:type="dxa"/>
            <w:right w:w="108" w:type="dxa"/>
          </w:tblCellMar>
        </w:tblPrEx>
        <w:trPr>
          <w:trHeight w:val="440" w:hRule="atLeast"/>
        </w:trPr>
        <w:tc>
          <w:tcPr>
            <w:tcW w:w="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rPr>
              <w:t>33</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1"/>
                <w:szCs w:val="21"/>
              </w:rPr>
            </w:pP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其他服务</w:t>
            </w:r>
          </w:p>
        </w:tc>
        <w:tc>
          <w:tcPr>
            <w:tcW w:w="22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辅具租赁、无障碍改造等</w:t>
            </w: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1"/>
                <w:szCs w:val="21"/>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1"/>
                <w:szCs w:val="21"/>
              </w:rPr>
            </w:pPr>
            <w:r>
              <w:rPr>
                <w:rFonts w:ascii="宋体" w:hAnsi="宋体" w:eastAsia="宋体" w:cs="宋体"/>
                <w:color w:val="auto"/>
                <w:kern w:val="0"/>
                <w:sz w:val="21"/>
                <w:szCs w:val="21"/>
              </w:rPr>
              <w:t>1</w:t>
            </w:r>
          </w:p>
        </w:tc>
        <w:tc>
          <w:tcPr>
            <w:tcW w:w="26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有服务项目落实，得</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分</w:t>
            </w:r>
          </w:p>
        </w:tc>
        <w:tc>
          <w:tcPr>
            <w:tcW w:w="83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auto"/>
                <w:sz w:val="21"/>
                <w:szCs w:val="21"/>
              </w:rPr>
            </w:pPr>
          </w:p>
        </w:tc>
      </w:tr>
      <w:tr>
        <w:tblPrEx>
          <w:tblCellMar>
            <w:top w:w="0" w:type="dxa"/>
            <w:left w:w="108" w:type="dxa"/>
            <w:bottom w:w="0" w:type="dxa"/>
            <w:right w:w="108" w:type="dxa"/>
          </w:tblCellMar>
        </w:tblPrEx>
        <w:trPr>
          <w:trHeight w:val="680" w:hRule="atLeast"/>
        </w:trPr>
        <w:tc>
          <w:tcPr>
            <w:tcW w:w="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34</w:t>
            </w:r>
          </w:p>
        </w:tc>
        <w:tc>
          <w:tcPr>
            <w:tcW w:w="10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活动开展</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服务活动</w:t>
            </w:r>
          </w:p>
        </w:tc>
        <w:tc>
          <w:tcPr>
            <w:tcW w:w="22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每</w:t>
            </w:r>
            <w:r>
              <w:rPr>
                <w:rFonts w:hint="eastAsia" w:ascii="宋体" w:hAnsi="宋体" w:eastAsia="宋体" w:cs="宋体"/>
                <w:color w:val="auto"/>
                <w:kern w:val="0"/>
                <w:sz w:val="21"/>
                <w:szCs w:val="21"/>
                <w:highlight w:val="none"/>
                <w:lang w:eastAsia="zh-CN"/>
              </w:rPr>
              <w:t>月</w:t>
            </w:r>
            <w:r>
              <w:rPr>
                <w:rFonts w:hint="eastAsia" w:ascii="宋体" w:hAnsi="宋体" w:eastAsia="宋体" w:cs="宋体"/>
                <w:color w:val="auto"/>
                <w:kern w:val="0"/>
                <w:sz w:val="21"/>
                <w:szCs w:val="21"/>
                <w:highlight w:val="none"/>
              </w:rPr>
              <w:t>开展不同类型的、适合老年人的活动</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月均享受服务老年人数占服务范围内老年人数的比例不小于10%</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且有完整翔实的服务记录。</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7</w:t>
            </w:r>
          </w:p>
        </w:tc>
        <w:tc>
          <w:tcPr>
            <w:tcW w:w="26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仿宋_GB2312" w:cs="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rPr>
              <w:t>满足一项，得</w:t>
            </w:r>
            <w:r>
              <w:rPr>
                <w:rFonts w:hint="eastAsia" w:ascii="宋体" w:hAnsi="宋体" w:eastAsia="宋体" w:cs="宋体"/>
                <w:color w:val="auto"/>
                <w:kern w:val="0"/>
                <w:sz w:val="21"/>
                <w:szCs w:val="21"/>
                <w:highlight w:val="none"/>
                <w:lang w:val="en-US" w:eastAsia="zh-CN"/>
              </w:rPr>
              <w:t>3.5分。</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auto"/>
                <w:sz w:val="21"/>
                <w:szCs w:val="21"/>
                <w:highlight w:val="yellow"/>
              </w:rPr>
            </w:pPr>
          </w:p>
        </w:tc>
      </w:tr>
      <w:tr>
        <w:tblPrEx>
          <w:tblCellMar>
            <w:top w:w="0" w:type="dxa"/>
            <w:left w:w="108" w:type="dxa"/>
            <w:bottom w:w="0" w:type="dxa"/>
            <w:right w:w="108" w:type="dxa"/>
          </w:tblCellMar>
        </w:tblPrEx>
        <w:trPr>
          <w:trHeight w:val="440" w:hRule="atLeast"/>
        </w:trPr>
        <w:tc>
          <w:tcPr>
            <w:tcW w:w="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rPr>
              <w:t>35</w:t>
            </w:r>
          </w:p>
        </w:tc>
        <w:tc>
          <w:tcPr>
            <w:tcW w:w="10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运行实效</w:t>
            </w:r>
          </w:p>
        </w:tc>
        <w:tc>
          <w:tcPr>
            <w:tcW w:w="14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服务台账</w:t>
            </w:r>
          </w:p>
        </w:tc>
        <w:tc>
          <w:tcPr>
            <w:tcW w:w="22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居家养老服务中心（站）台账完整详实</w:t>
            </w:r>
          </w:p>
        </w:tc>
        <w:tc>
          <w:tcPr>
            <w:tcW w:w="8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rPr>
              <w:t>18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val="en-US" w:eastAsia="zh-CN"/>
              </w:rPr>
              <w:t>5</w:t>
            </w:r>
          </w:p>
        </w:tc>
        <w:tc>
          <w:tcPr>
            <w:tcW w:w="26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满足条件得</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分</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auto"/>
                <w:sz w:val="21"/>
                <w:szCs w:val="21"/>
              </w:rPr>
            </w:pPr>
          </w:p>
        </w:tc>
      </w:tr>
      <w:tr>
        <w:tblPrEx>
          <w:tblCellMar>
            <w:top w:w="0" w:type="dxa"/>
            <w:left w:w="108" w:type="dxa"/>
            <w:bottom w:w="0" w:type="dxa"/>
            <w:right w:w="108" w:type="dxa"/>
          </w:tblCellMar>
        </w:tblPrEx>
        <w:trPr>
          <w:trHeight w:val="500" w:hRule="atLeast"/>
        </w:trPr>
        <w:tc>
          <w:tcPr>
            <w:tcW w:w="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rPr>
              <w:t>36</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1"/>
                <w:szCs w:val="21"/>
              </w:rPr>
            </w:pP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服务人数</w:t>
            </w:r>
          </w:p>
        </w:tc>
        <w:tc>
          <w:tcPr>
            <w:tcW w:w="22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服务人数占户籍老龄人口的20%以上</w:t>
            </w: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1"/>
                <w:szCs w:val="21"/>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rPr>
              <w:t>10</w:t>
            </w:r>
          </w:p>
        </w:tc>
        <w:tc>
          <w:tcPr>
            <w:tcW w:w="26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rPr>
              <w:t>满足比例得</w:t>
            </w:r>
            <w:r>
              <w:rPr>
                <w:rFonts w:hint="eastAsia" w:ascii="宋体" w:hAnsi="宋体" w:eastAsia="宋体" w:cs="宋体"/>
                <w:color w:val="auto"/>
                <w:kern w:val="0"/>
                <w:sz w:val="21"/>
                <w:szCs w:val="21"/>
                <w:lang w:val="en-US" w:eastAsia="zh-CN"/>
              </w:rPr>
              <w:t>10</w:t>
            </w:r>
            <w:r>
              <w:rPr>
                <w:rFonts w:hint="eastAsia" w:ascii="宋体" w:hAnsi="宋体" w:eastAsia="宋体" w:cs="宋体"/>
                <w:color w:val="auto"/>
                <w:kern w:val="0"/>
                <w:sz w:val="21"/>
                <w:szCs w:val="21"/>
              </w:rPr>
              <w:t>分，每减少</w:t>
            </w:r>
            <w:r>
              <w:rPr>
                <w:rFonts w:hint="eastAsia" w:ascii="宋体" w:hAnsi="宋体" w:eastAsia="宋体" w:cs="宋体"/>
                <w:color w:val="auto"/>
                <w:kern w:val="0"/>
                <w:sz w:val="21"/>
                <w:szCs w:val="21"/>
                <w:lang w:val="en-US" w:eastAsia="zh-CN"/>
              </w:rPr>
              <w:t>3</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，扣</w:t>
            </w:r>
            <w:r>
              <w:rPr>
                <w:rFonts w:hint="eastAsia" w:ascii="宋体" w:hAnsi="宋体" w:eastAsia="宋体" w:cs="宋体"/>
                <w:color w:val="auto"/>
                <w:kern w:val="0"/>
                <w:sz w:val="21"/>
                <w:szCs w:val="21"/>
                <w:lang w:val="en-US" w:eastAsia="zh-CN"/>
              </w:rPr>
              <w:t>1.5</w:t>
            </w:r>
            <w:r>
              <w:rPr>
                <w:rFonts w:hint="eastAsia" w:ascii="宋体" w:hAnsi="宋体" w:eastAsia="宋体" w:cs="宋体"/>
                <w:color w:val="auto"/>
                <w:kern w:val="0"/>
                <w:sz w:val="21"/>
                <w:szCs w:val="21"/>
              </w:rPr>
              <w:t>分</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auto"/>
                <w:sz w:val="21"/>
                <w:szCs w:val="21"/>
              </w:rPr>
            </w:pPr>
          </w:p>
        </w:tc>
      </w:tr>
      <w:tr>
        <w:tblPrEx>
          <w:tblCellMar>
            <w:top w:w="0" w:type="dxa"/>
            <w:left w:w="108" w:type="dxa"/>
            <w:bottom w:w="0" w:type="dxa"/>
            <w:right w:w="108" w:type="dxa"/>
          </w:tblCellMar>
        </w:tblPrEx>
        <w:trPr>
          <w:trHeight w:val="480" w:hRule="atLeast"/>
        </w:trPr>
        <w:tc>
          <w:tcPr>
            <w:tcW w:w="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rPr>
              <w:t>37</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1"/>
                <w:szCs w:val="21"/>
              </w:rPr>
            </w:pP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智慧养老系统运行</w:t>
            </w:r>
          </w:p>
        </w:tc>
        <w:tc>
          <w:tcPr>
            <w:tcW w:w="22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系统与区居家养老呼叫平台联通，运行良好</w:t>
            </w: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1"/>
                <w:szCs w:val="21"/>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val="en-US" w:eastAsia="zh-CN"/>
              </w:rPr>
              <w:t>3</w:t>
            </w:r>
          </w:p>
        </w:tc>
        <w:tc>
          <w:tcPr>
            <w:tcW w:w="26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运行良好，数据完整得</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分，服务数据不完整或系统发挥作用不充分得</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分，无系统或系统未发挥作用不得分</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auto"/>
                <w:sz w:val="21"/>
                <w:szCs w:val="21"/>
              </w:rPr>
            </w:pPr>
          </w:p>
        </w:tc>
      </w:tr>
      <w:tr>
        <w:tblPrEx>
          <w:tblCellMar>
            <w:top w:w="0" w:type="dxa"/>
            <w:left w:w="108" w:type="dxa"/>
            <w:bottom w:w="0" w:type="dxa"/>
            <w:right w:w="108" w:type="dxa"/>
          </w:tblCellMar>
        </w:tblPrEx>
        <w:trPr>
          <w:trHeight w:val="440" w:hRule="atLeast"/>
        </w:trPr>
        <w:tc>
          <w:tcPr>
            <w:tcW w:w="736" w:type="dxa"/>
            <w:tcBorders>
              <w:top w:val="single" w:color="000000" w:sz="4" w:space="0"/>
              <w:left w:val="single" w:color="000000" w:sz="4" w:space="0"/>
              <w:bottom w:val="nil"/>
              <w:right w:val="single" w:color="000000" w:sz="4" w:space="0"/>
            </w:tcBorders>
            <w:noWrap/>
            <w:vAlign w:val="center"/>
          </w:tcPr>
          <w:p>
            <w:pPr>
              <w:widowControl/>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rPr>
              <w:t>38</w:t>
            </w:r>
          </w:p>
        </w:tc>
        <w:tc>
          <w:tcPr>
            <w:tcW w:w="1037"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上级考评</w:t>
            </w:r>
          </w:p>
        </w:tc>
        <w:tc>
          <w:tcPr>
            <w:tcW w:w="1459"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上级评价</w:t>
            </w:r>
          </w:p>
        </w:tc>
        <w:tc>
          <w:tcPr>
            <w:tcW w:w="2269" w:type="dxa"/>
            <w:tcBorders>
              <w:top w:val="single" w:color="000000" w:sz="4" w:space="0"/>
              <w:left w:val="single" w:color="000000" w:sz="4" w:space="0"/>
              <w:bottom w:val="nil"/>
              <w:right w:val="single" w:color="000000" w:sz="4" w:space="0"/>
            </w:tcBorders>
            <w:vAlign w:val="center"/>
          </w:tcPr>
          <w:p>
            <w:pPr>
              <w:widowControl/>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在年度市、区两级考核中的排名情况</w:t>
            </w:r>
          </w:p>
        </w:tc>
        <w:tc>
          <w:tcPr>
            <w:tcW w:w="85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rPr>
              <w:t>15</w:t>
            </w:r>
          </w:p>
        </w:tc>
        <w:tc>
          <w:tcPr>
            <w:tcW w:w="67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rPr>
              <w:t>15</w:t>
            </w:r>
          </w:p>
        </w:tc>
        <w:tc>
          <w:tcPr>
            <w:tcW w:w="2625" w:type="dxa"/>
            <w:tcBorders>
              <w:top w:val="single" w:color="000000" w:sz="4" w:space="0"/>
              <w:left w:val="single" w:color="000000" w:sz="4" w:space="0"/>
              <w:bottom w:val="nil"/>
              <w:right w:val="single" w:color="000000" w:sz="4" w:space="0"/>
            </w:tcBorders>
            <w:vAlign w:val="center"/>
          </w:tcPr>
          <w:p>
            <w:pPr>
              <w:widowControl/>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排名前</w:t>
            </w:r>
            <w:r>
              <w:rPr>
                <w:rFonts w:ascii="宋体" w:hAnsi="宋体" w:eastAsia="宋体" w:cs="宋体"/>
                <w:color w:val="auto"/>
                <w:kern w:val="0"/>
                <w:sz w:val="21"/>
                <w:szCs w:val="21"/>
              </w:rPr>
              <w:t>2</w:t>
            </w:r>
            <w:r>
              <w:rPr>
                <w:rFonts w:hint="eastAsia" w:ascii="宋体" w:hAnsi="宋体" w:eastAsia="宋体" w:cs="宋体"/>
                <w:color w:val="auto"/>
                <w:kern w:val="0"/>
                <w:sz w:val="21"/>
                <w:szCs w:val="21"/>
              </w:rPr>
              <w:t>，得</w:t>
            </w:r>
            <w:r>
              <w:rPr>
                <w:rFonts w:hint="eastAsia" w:ascii="宋体" w:hAnsi="宋体" w:eastAsia="宋体" w:cs="宋体"/>
                <w:color w:val="auto"/>
                <w:kern w:val="0"/>
                <w:sz w:val="21"/>
                <w:szCs w:val="21"/>
                <w:lang w:val="en-US" w:eastAsia="zh-CN"/>
              </w:rPr>
              <w:t>15</w:t>
            </w:r>
            <w:r>
              <w:rPr>
                <w:rFonts w:hint="eastAsia" w:ascii="宋体" w:hAnsi="宋体" w:eastAsia="宋体" w:cs="宋体"/>
                <w:color w:val="auto"/>
                <w:kern w:val="0"/>
                <w:sz w:val="21"/>
                <w:szCs w:val="21"/>
              </w:rPr>
              <w:t>分；排名</w:t>
            </w:r>
            <w:r>
              <w:rPr>
                <w:rFonts w:ascii="宋体" w:hAnsi="宋体" w:eastAsia="宋体" w:cs="宋体"/>
                <w:color w:val="auto"/>
                <w:kern w:val="0"/>
                <w:sz w:val="21"/>
                <w:szCs w:val="21"/>
              </w:rPr>
              <w:t>3-4</w:t>
            </w:r>
            <w:r>
              <w:rPr>
                <w:rFonts w:hint="eastAsia" w:ascii="宋体" w:hAnsi="宋体" w:eastAsia="宋体" w:cs="宋体"/>
                <w:color w:val="auto"/>
                <w:kern w:val="0"/>
                <w:sz w:val="21"/>
                <w:szCs w:val="21"/>
              </w:rPr>
              <w:t>，得</w:t>
            </w:r>
            <w:r>
              <w:rPr>
                <w:rFonts w:hint="eastAsia" w:ascii="宋体" w:hAnsi="宋体" w:eastAsia="宋体" w:cs="宋体"/>
                <w:color w:val="auto"/>
                <w:kern w:val="0"/>
                <w:sz w:val="21"/>
                <w:szCs w:val="21"/>
                <w:lang w:val="en-US" w:eastAsia="zh-CN"/>
              </w:rPr>
              <w:t>10</w:t>
            </w:r>
            <w:r>
              <w:rPr>
                <w:rFonts w:hint="eastAsia" w:ascii="宋体" w:hAnsi="宋体" w:eastAsia="宋体" w:cs="宋体"/>
                <w:color w:val="auto"/>
                <w:kern w:val="0"/>
                <w:sz w:val="21"/>
                <w:szCs w:val="21"/>
              </w:rPr>
              <w:t>分；排名</w:t>
            </w:r>
            <w:r>
              <w:rPr>
                <w:rFonts w:ascii="宋体" w:hAnsi="宋体" w:eastAsia="宋体" w:cs="宋体"/>
                <w:color w:val="auto"/>
                <w:kern w:val="0"/>
                <w:sz w:val="21"/>
                <w:szCs w:val="21"/>
              </w:rPr>
              <w:t>5-7</w:t>
            </w:r>
            <w:r>
              <w:rPr>
                <w:rFonts w:hint="eastAsia" w:ascii="宋体" w:hAnsi="宋体" w:eastAsia="宋体" w:cs="宋体"/>
                <w:color w:val="auto"/>
                <w:kern w:val="0"/>
                <w:sz w:val="21"/>
                <w:szCs w:val="21"/>
              </w:rPr>
              <w:t>，得</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分；排名</w:t>
            </w:r>
            <w:r>
              <w:rPr>
                <w:rFonts w:ascii="宋体" w:hAnsi="宋体" w:eastAsia="宋体" w:cs="宋体"/>
                <w:color w:val="auto"/>
                <w:kern w:val="0"/>
                <w:sz w:val="21"/>
                <w:szCs w:val="21"/>
              </w:rPr>
              <w:t>8</w:t>
            </w:r>
            <w:r>
              <w:rPr>
                <w:rFonts w:hint="eastAsia" w:ascii="宋体" w:hAnsi="宋体" w:eastAsia="宋体" w:cs="宋体"/>
                <w:color w:val="auto"/>
                <w:kern w:val="0"/>
                <w:sz w:val="21"/>
                <w:szCs w:val="21"/>
              </w:rPr>
              <w:t>以后，不得分。</w:t>
            </w:r>
          </w:p>
        </w:tc>
        <w:tc>
          <w:tcPr>
            <w:tcW w:w="833" w:type="dxa"/>
            <w:tcBorders>
              <w:top w:val="single" w:color="000000" w:sz="4" w:space="0"/>
              <w:left w:val="single" w:color="000000" w:sz="4" w:space="0"/>
              <w:bottom w:val="nil"/>
              <w:right w:val="single" w:color="000000" w:sz="4" w:space="0"/>
            </w:tcBorders>
            <w:vAlign w:val="center"/>
          </w:tcPr>
          <w:p>
            <w:pPr>
              <w:jc w:val="left"/>
              <w:rPr>
                <w:rFonts w:ascii="宋体" w:hAnsi="宋体" w:eastAsia="宋体" w:cs="宋体"/>
                <w:color w:val="auto"/>
                <w:sz w:val="21"/>
                <w:szCs w:val="21"/>
              </w:rPr>
            </w:pPr>
          </w:p>
        </w:tc>
      </w:tr>
      <w:tr>
        <w:tblPrEx>
          <w:tblCellMar>
            <w:top w:w="0" w:type="dxa"/>
            <w:left w:w="108" w:type="dxa"/>
            <w:bottom w:w="0" w:type="dxa"/>
            <w:right w:w="108" w:type="dxa"/>
          </w:tblCellMar>
        </w:tblPrEx>
        <w:trPr>
          <w:trHeight w:val="440" w:hRule="atLeast"/>
        </w:trPr>
        <w:tc>
          <w:tcPr>
            <w:tcW w:w="323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合计分值　</w:t>
            </w:r>
          </w:p>
        </w:tc>
        <w:tc>
          <w:tcPr>
            <w:tcW w:w="226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auto"/>
                <w:sz w:val="21"/>
                <w:szCs w:val="21"/>
              </w:rPr>
            </w:pPr>
          </w:p>
        </w:tc>
        <w:tc>
          <w:tcPr>
            <w:tcW w:w="153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1"/>
                <w:szCs w:val="21"/>
              </w:rPr>
            </w:pPr>
            <w:r>
              <w:rPr>
                <w:rFonts w:ascii="宋体" w:hAnsi="宋体" w:eastAsia="宋体" w:cs="宋体"/>
                <w:color w:val="auto"/>
                <w:kern w:val="0"/>
                <w:sz w:val="21"/>
                <w:szCs w:val="21"/>
              </w:rPr>
              <w:t>100</w:t>
            </w:r>
          </w:p>
        </w:tc>
        <w:tc>
          <w:tcPr>
            <w:tcW w:w="262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auto"/>
                <w:sz w:val="21"/>
                <w:szCs w:val="21"/>
              </w:rPr>
            </w:pPr>
          </w:p>
        </w:tc>
        <w:tc>
          <w:tcPr>
            <w:tcW w:w="833" w:type="dxa"/>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ascii="宋体" w:hAnsi="宋体" w:eastAsia="宋体" w:cs="宋体"/>
                <w:color w:val="auto"/>
                <w:sz w:val="21"/>
                <w:szCs w:val="21"/>
              </w:rPr>
            </w:pPr>
            <w:r>
              <w:rPr>
                <w:rFonts w:ascii="宋体" w:hAnsi="宋体" w:eastAsia="宋体" w:cs="宋体"/>
                <w:color w:val="auto"/>
                <w:kern w:val="0"/>
                <w:sz w:val="21"/>
                <w:szCs w:val="21"/>
              </w:rPr>
              <w:t xml:space="preserve"> </w:t>
            </w:r>
          </w:p>
        </w:tc>
      </w:tr>
      <w:tr>
        <w:tblPrEx>
          <w:tblCellMar>
            <w:top w:w="0" w:type="dxa"/>
            <w:left w:w="108" w:type="dxa"/>
            <w:bottom w:w="0" w:type="dxa"/>
            <w:right w:w="108" w:type="dxa"/>
          </w:tblCellMar>
        </w:tblPrEx>
        <w:trPr>
          <w:trHeight w:val="440" w:hRule="atLeast"/>
        </w:trPr>
        <w:tc>
          <w:tcPr>
            <w:tcW w:w="10489" w:type="dxa"/>
            <w:gridSpan w:val="8"/>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hint="eastAsia"/>
                <w:color w:val="auto"/>
              </w:rPr>
            </w:pPr>
            <w:r>
              <w:rPr>
                <w:rFonts w:hint="eastAsia"/>
                <w:color w:val="auto"/>
              </w:rPr>
              <w:t>备注：</w:t>
            </w:r>
            <w:r>
              <w:rPr>
                <w:color w:val="auto"/>
              </w:rPr>
              <w:t>1</w:t>
            </w:r>
            <w:r>
              <w:rPr>
                <w:rFonts w:hint="eastAsia"/>
                <w:color w:val="auto"/>
              </w:rPr>
              <w:t>、总分</w:t>
            </w:r>
            <w:r>
              <w:rPr>
                <w:color w:val="auto"/>
              </w:rPr>
              <w:t>100</w:t>
            </w:r>
            <w:r>
              <w:rPr>
                <w:rFonts w:hint="eastAsia"/>
                <w:color w:val="auto"/>
              </w:rPr>
              <w:t>分。总分≥</w:t>
            </w:r>
            <w:r>
              <w:rPr>
                <w:color w:val="auto"/>
              </w:rPr>
              <w:t>90</w:t>
            </w:r>
            <w:r>
              <w:rPr>
                <w:rFonts w:hint="eastAsia"/>
                <w:color w:val="auto"/>
              </w:rPr>
              <w:t>分以上为“优”，</w:t>
            </w:r>
            <w:r>
              <w:rPr>
                <w:color w:val="auto"/>
              </w:rPr>
              <w:t>80</w:t>
            </w:r>
            <w:r>
              <w:rPr>
                <w:rFonts w:hint="eastAsia"/>
                <w:color w:val="auto"/>
              </w:rPr>
              <w:t>分≤总分＜</w:t>
            </w:r>
            <w:r>
              <w:rPr>
                <w:color w:val="auto"/>
              </w:rPr>
              <w:t>90</w:t>
            </w:r>
            <w:r>
              <w:rPr>
                <w:rFonts w:hint="eastAsia"/>
                <w:color w:val="auto"/>
              </w:rPr>
              <w:t>分为“良”，</w:t>
            </w:r>
            <w:r>
              <w:rPr>
                <w:color w:val="auto"/>
              </w:rPr>
              <w:t>70</w:t>
            </w:r>
            <w:r>
              <w:rPr>
                <w:rFonts w:hint="eastAsia"/>
                <w:color w:val="auto"/>
              </w:rPr>
              <w:t>分≤总分＜</w:t>
            </w:r>
            <w:r>
              <w:rPr>
                <w:color w:val="auto"/>
              </w:rPr>
              <w:t>80</w:t>
            </w:r>
            <w:r>
              <w:rPr>
                <w:rFonts w:hint="eastAsia"/>
                <w:color w:val="auto"/>
              </w:rPr>
              <w:t>分为“一般”，低于</w:t>
            </w:r>
            <w:r>
              <w:rPr>
                <w:color w:val="auto"/>
              </w:rPr>
              <w:t>70</w:t>
            </w:r>
            <w:r>
              <w:rPr>
                <w:rFonts w:hint="eastAsia"/>
                <w:color w:val="auto"/>
              </w:rPr>
              <w:t>分（不含</w:t>
            </w:r>
            <w:r>
              <w:rPr>
                <w:color w:val="auto"/>
              </w:rPr>
              <w:t>70</w:t>
            </w:r>
            <w:r>
              <w:rPr>
                <w:rFonts w:hint="eastAsia"/>
                <w:color w:val="auto"/>
              </w:rPr>
              <w:t>分）为不合格。</w:t>
            </w:r>
            <w:r>
              <w:rPr>
                <w:color w:val="auto"/>
              </w:rPr>
              <w:br w:type="textWrapping"/>
            </w:r>
            <w:r>
              <w:rPr>
                <w:color w:val="auto"/>
              </w:rPr>
              <w:t xml:space="preserve">      2</w:t>
            </w:r>
            <w:r>
              <w:rPr>
                <w:rFonts w:hint="eastAsia"/>
                <w:color w:val="auto"/>
              </w:rPr>
              <w:t>、在上级相关部门监督抽查中被点名或通报批评扣</w:t>
            </w:r>
            <w:r>
              <w:rPr>
                <w:color w:val="auto"/>
              </w:rPr>
              <w:t>5</w:t>
            </w:r>
            <w:r>
              <w:rPr>
                <w:rFonts w:hint="eastAsia"/>
                <w:color w:val="auto"/>
              </w:rPr>
              <w:t>分；每年度在市区考核中，排后三名，扣</w:t>
            </w:r>
            <w:r>
              <w:rPr>
                <w:color w:val="auto"/>
              </w:rPr>
              <w:t>10</w:t>
            </w:r>
            <w:r>
              <w:rPr>
                <w:rFonts w:hint="eastAsia"/>
                <w:color w:val="auto"/>
              </w:rPr>
              <w:t>分。因工作不到位造成恶劣影响的，群众反映特别强烈的扣</w:t>
            </w:r>
            <w:r>
              <w:rPr>
                <w:color w:val="auto"/>
              </w:rPr>
              <w:t>5</w:t>
            </w:r>
            <w:r>
              <w:rPr>
                <w:rFonts w:hint="eastAsia"/>
                <w:color w:val="auto"/>
              </w:rPr>
              <w:t>分；</w:t>
            </w:r>
            <w:r>
              <w:rPr>
                <w:color w:val="auto"/>
              </w:rPr>
              <w:br w:type="textWrapping"/>
            </w:r>
            <w:r>
              <w:rPr>
                <w:color w:val="auto"/>
              </w:rPr>
              <w:t xml:space="preserve">         </w:t>
            </w:r>
            <w:r>
              <w:rPr>
                <w:rFonts w:hint="eastAsia"/>
                <w:color w:val="auto"/>
              </w:rPr>
              <w:t>工作严重失职，被新闻媒体曝光的扣</w:t>
            </w:r>
            <w:r>
              <w:rPr>
                <w:color w:val="auto"/>
              </w:rPr>
              <w:t>10</w:t>
            </w:r>
            <w:r>
              <w:rPr>
                <w:rFonts w:hint="eastAsia"/>
                <w:color w:val="auto"/>
              </w:rPr>
              <w:t>分。</w:t>
            </w:r>
            <w:r>
              <w:rPr>
                <w:color w:val="auto"/>
              </w:rPr>
              <w:br w:type="textWrapping"/>
            </w:r>
            <w:r>
              <w:rPr>
                <w:color w:val="auto"/>
              </w:rPr>
              <w:t xml:space="preserve">      3</w:t>
            </w:r>
            <w:r>
              <w:rPr>
                <w:rFonts w:hint="eastAsia"/>
                <w:color w:val="auto"/>
              </w:rPr>
              <w:t>、出现一起未履行严格分拣、消毒流程的扣</w:t>
            </w:r>
            <w:r>
              <w:rPr>
                <w:color w:val="auto"/>
              </w:rPr>
              <w:t>5</w:t>
            </w:r>
            <w:r>
              <w:rPr>
                <w:rFonts w:hint="eastAsia"/>
                <w:color w:val="auto"/>
              </w:rPr>
              <w:t>分，食品留样不符合规定的扣</w:t>
            </w:r>
            <w:r>
              <w:rPr>
                <w:color w:val="auto"/>
              </w:rPr>
              <w:t>5</w:t>
            </w:r>
            <w:r>
              <w:rPr>
                <w:rFonts w:hint="eastAsia"/>
                <w:color w:val="auto"/>
              </w:rPr>
              <w:t>分，出现一起食品安全事故，考评结果直接为不合格。</w:t>
            </w:r>
          </w:p>
          <w:p>
            <w:pPr>
              <w:pStyle w:val="49"/>
              <w:ind w:left="0" w:leftChars="0" w:firstLine="720" w:firstLineChars="300"/>
              <w:rPr>
                <w:rFonts w:hint="eastAsia" w:eastAsia="宋体"/>
                <w:color w:val="auto"/>
                <w:lang w:val="en-US" w:eastAsia="zh-CN"/>
              </w:rPr>
            </w:pPr>
            <w:r>
              <w:rPr>
                <w:rFonts w:hint="eastAsia" w:ascii="Times New Roman" w:hAnsi="Times New Roman" w:eastAsia="仿宋_GB2312" w:cs="Times New Roman"/>
                <w:color w:val="auto"/>
                <w:kern w:val="2"/>
                <w:sz w:val="24"/>
                <w:szCs w:val="24"/>
                <w:lang w:val="en-US" w:eastAsia="zh-CN" w:bidi="ar-SA"/>
              </w:rPr>
              <w:t>4、</w:t>
            </w:r>
            <w:r>
              <w:rPr>
                <w:rFonts w:hint="eastAsia" w:eastAsia="仿宋_GB2312" w:cs="Times New Roman"/>
                <w:color w:val="auto"/>
                <w:kern w:val="2"/>
                <w:sz w:val="24"/>
                <w:szCs w:val="24"/>
                <w:lang w:val="en-US" w:eastAsia="zh-CN" w:bidi="ar-SA"/>
              </w:rPr>
              <w:t>各考核项目根据上级政策调整而动态调整。</w:t>
            </w:r>
          </w:p>
        </w:tc>
      </w:tr>
    </w:tbl>
    <w:p>
      <w:pPr>
        <w:pStyle w:val="21"/>
        <w:spacing w:line="420" w:lineRule="exact"/>
        <w:ind w:left="31680" w:firstLine="31680"/>
        <w:rPr>
          <w:rFonts w:ascii="宋体" w:cs="宋体"/>
          <w:color w:val="auto"/>
          <w:sz w:val="24"/>
          <w:szCs w:val="24"/>
        </w:rPr>
      </w:pPr>
    </w:p>
    <w:p>
      <w:pPr>
        <w:pStyle w:val="21"/>
        <w:spacing w:line="420" w:lineRule="exact"/>
        <w:ind w:left="31680" w:firstLine="31680"/>
        <w:rPr>
          <w:rFonts w:ascii="宋体" w:cs="宋体"/>
          <w:color w:val="auto"/>
          <w:sz w:val="24"/>
          <w:szCs w:val="24"/>
        </w:rPr>
      </w:pPr>
    </w:p>
    <w:p>
      <w:pPr>
        <w:rPr>
          <w:rFonts w:ascii="宋体" w:hAnsi="宋体" w:eastAsia="宋体" w:cs="宋体"/>
          <w:color w:val="auto"/>
          <w:kern w:val="0"/>
        </w:rPr>
      </w:pPr>
      <w:r>
        <w:rPr>
          <w:rFonts w:ascii="宋体" w:hAnsi="宋体" w:eastAsia="宋体" w:cs="宋体"/>
          <w:color w:val="auto"/>
          <w:kern w:val="0"/>
        </w:rPr>
        <w:br w:type="page"/>
      </w:r>
    </w:p>
    <w:p>
      <w:pPr>
        <w:spacing w:line="420" w:lineRule="exact"/>
        <w:ind w:firstLine="482" w:firstLineChars="200"/>
        <w:outlineLvl w:val="2"/>
        <w:rPr>
          <w:rFonts w:ascii="宋体" w:hAnsi="宋体" w:eastAsia="宋体" w:cs="宋体"/>
          <w:b/>
          <w:bCs/>
          <w:color w:val="auto"/>
          <w:kern w:val="0"/>
        </w:rPr>
      </w:pPr>
      <w:r>
        <w:rPr>
          <w:rFonts w:hint="eastAsia" w:ascii="宋体" w:hAnsi="宋体" w:eastAsia="宋体" w:cs="宋体"/>
          <w:b/>
          <w:bCs/>
          <w:color w:val="auto"/>
          <w:kern w:val="0"/>
        </w:rPr>
        <w:t>（三）政府购买居家养老服务</w:t>
      </w:r>
    </w:p>
    <w:p>
      <w:pPr>
        <w:spacing w:line="420" w:lineRule="exact"/>
        <w:ind w:firstLine="482" w:firstLineChars="200"/>
        <w:outlineLvl w:val="2"/>
        <w:rPr>
          <w:rFonts w:ascii="宋体" w:hAnsi="宋体" w:eastAsia="宋体" w:cs="宋体"/>
          <w:color w:val="auto"/>
          <w:kern w:val="0"/>
        </w:rPr>
      </w:pPr>
      <w:r>
        <w:rPr>
          <w:rFonts w:ascii="宋体" w:hAnsi="宋体" w:eastAsia="宋体" w:cs="宋体"/>
          <w:b/>
          <w:bCs/>
          <w:color w:val="auto"/>
          <w:kern w:val="0"/>
        </w:rPr>
        <w:t>1.</w:t>
      </w:r>
      <w:r>
        <w:rPr>
          <w:rFonts w:hint="eastAsia" w:ascii="宋体" w:hAnsi="宋体" w:eastAsia="宋体" w:cs="宋体"/>
          <w:b/>
          <w:bCs/>
          <w:color w:val="auto"/>
          <w:kern w:val="0"/>
        </w:rPr>
        <w:t>钟秀街道居家养老服务基本情况</w:t>
      </w:r>
    </w:p>
    <w:p>
      <w:pPr>
        <w:spacing w:line="420" w:lineRule="exact"/>
        <w:ind w:firstLine="480" w:firstLineChars="200"/>
        <w:outlineLvl w:val="2"/>
        <w:rPr>
          <w:rFonts w:ascii="宋体" w:hAnsi="宋体" w:eastAsia="宋体" w:cs="宋体"/>
          <w:color w:val="auto"/>
          <w:kern w:val="0"/>
        </w:rPr>
      </w:pPr>
      <w:r>
        <w:rPr>
          <w:rFonts w:hint="eastAsia" w:ascii="宋体" w:hAnsi="宋体" w:eastAsia="宋体" w:cs="宋体"/>
          <w:color w:val="auto"/>
          <w:kern w:val="0"/>
        </w:rPr>
        <w:t>（</w:t>
      </w:r>
      <w:r>
        <w:rPr>
          <w:rFonts w:ascii="宋体" w:hAnsi="宋体" w:eastAsia="宋体" w:cs="宋体"/>
          <w:color w:val="auto"/>
          <w:kern w:val="0"/>
        </w:rPr>
        <w:t>1</w:t>
      </w:r>
      <w:r>
        <w:rPr>
          <w:rFonts w:hint="eastAsia" w:ascii="宋体" w:hAnsi="宋体" w:eastAsia="宋体" w:cs="宋体"/>
          <w:color w:val="auto"/>
          <w:kern w:val="0"/>
        </w:rPr>
        <w:t>）钟秀街道设有一个居家养老服务中心（天勤邻里）、六个居家养老服务站（百花村社区居家养老服务站、城北村社区居家养老服务站、郭里头村社区居家养老服务站、天虹花园居家养老服务站、苏建花园居家养老服务站、校北村社区居家养老服务站）。截止</w:t>
      </w:r>
      <w:r>
        <w:rPr>
          <w:rFonts w:ascii="宋体" w:hAnsi="宋体" w:eastAsia="宋体" w:cs="宋体"/>
          <w:color w:val="auto"/>
          <w:kern w:val="0"/>
        </w:rPr>
        <w:t>2022</w:t>
      </w:r>
      <w:r>
        <w:rPr>
          <w:rFonts w:hint="eastAsia" w:ascii="宋体" w:hAnsi="宋体" w:eastAsia="宋体" w:cs="宋体"/>
          <w:color w:val="auto"/>
          <w:kern w:val="0"/>
        </w:rPr>
        <w:t>年</w:t>
      </w:r>
      <w:r>
        <w:rPr>
          <w:rFonts w:ascii="宋体" w:hAnsi="宋体" w:eastAsia="宋体" w:cs="宋体"/>
          <w:color w:val="auto"/>
          <w:kern w:val="0"/>
        </w:rPr>
        <w:t>2</w:t>
      </w:r>
      <w:r>
        <w:rPr>
          <w:rFonts w:hint="eastAsia" w:ascii="宋体" w:hAnsi="宋体" w:eastAsia="宋体" w:cs="宋体"/>
          <w:color w:val="auto"/>
          <w:kern w:val="0"/>
        </w:rPr>
        <w:t>月，钟秀街道共有</w:t>
      </w:r>
      <w:r>
        <w:rPr>
          <w:rFonts w:ascii="宋体" w:hAnsi="宋体" w:eastAsia="宋体" w:cs="宋体"/>
          <w:color w:val="auto"/>
          <w:kern w:val="0"/>
        </w:rPr>
        <w:t>60</w:t>
      </w:r>
      <w:r>
        <w:rPr>
          <w:rFonts w:hint="eastAsia" w:ascii="宋体" w:hAnsi="宋体" w:eastAsia="宋体" w:cs="宋体"/>
          <w:color w:val="auto"/>
          <w:kern w:val="0"/>
        </w:rPr>
        <w:t>周岁以上老年人</w:t>
      </w:r>
      <w:r>
        <w:rPr>
          <w:rFonts w:ascii="宋体" w:hAnsi="宋体" w:eastAsia="宋体" w:cs="宋体"/>
          <w:color w:val="auto"/>
          <w:kern w:val="0"/>
        </w:rPr>
        <w:t>8000</w:t>
      </w:r>
      <w:r>
        <w:rPr>
          <w:rFonts w:hint="eastAsia" w:ascii="宋体" w:hAnsi="宋体" w:eastAsia="宋体" w:cs="宋体"/>
          <w:color w:val="auto"/>
          <w:kern w:val="0"/>
        </w:rPr>
        <w:t>余人，</w:t>
      </w:r>
      <w:r>
        <w:rPr>
          <w:rFonts w:ascii="宋体" w:hAnsi="宋体" w:eastAsia="宋体" w:cs="宋体"/>
          <w:color w:val="auto"/>
          <w:kern w:val="0"/>
        </w:rPr>
        <w:t>80</w:t>
      </w:r>
      <w:r>
        <w:rPr>
          <w:rFonts w:hint="eastAsia" w:ascii="宋体" w:hAnsi="宋体" w:eastAsia="宋体" w:cs="宋体"/>
          <w:color w:val="auto"/>
          <w:kern w:val="0"/>
        </w:rPr>
        <w:t>周岁以上</w:t>
      </w:r>
      <w:r>
        <w:rPr>
          <w:rFonts w:ascii="宋体" w:hAnsi="宋体" w:eastAsia="宋体" w:cs="宋体"/>
          <w:color w:val="auto"/>
          <w:kern w:val="0"/>
        </w:rPr>
        <w:t>1381</w:t>
      </w:r>
      <w:r>
        <w:rPr>
          <w:rFonts w:hint="eastAsia" w:ascii="宋体" w:hAnsi="宋体" w:eastAsia="宋体" w:cs="宋体"/>
          <w:color w:val="auto"/>
          <w:kern w:val="0"/>
        </w:rPr>
        <w:t>人，百岁老人</w:t>
      </w:r>
      <w:r>
        <w:rPr>
          <w:rFonts w:ascii="宋体" w:hAnsi="宋体" w:eastAsia="宋体" w:cs="宋体"/>
          <w:color w:val="auto"/>
          <w:kern w:val="0"/>
        </w:rPr>
        <w:t>8</w:t>
      </w:r>
      <w:r>
        <w:rPr>
          <w:rFonts w:hint="eastAsia" w:ascii="宋体" w:hAnsi="宋体" w:eastAsia="宋体" w:cs="宋体"/>
          <w:color w:val="auto"/>
          <w:kern w:val="0"/>
        </w:rPr>
        <w:t>人，正在享受居家和社区养老服务的老年人有</w:t>
      </w:r>
      <w:r>
        <w:rPr>
          <w:rFonts w:ascii="宋体" w:hAnsi="宋体" w:eastAsia="宋体" w:cs="宋体"/>
          <w:color w:val="auto"/>
          <w:kern w:val="0"/>
        </w:rPr>
        <w:t>1302</w:t>
      </w:r>
      <w:r>
        <w:rPr>
          <w:rFonts w:hint="eastAsia" w:ascii="宋体" w:hAnsi="宋体" w:eastAsia="宋体" w:cs="宋体"/>
          <w:color w:val="auto"/>
          <w:kern w:val="0"/>
        </w:rPr>
        <w:t>人，此人数</w:t>
      </w:r>
      <w:r>
        <w:rPr>
          <w:rFonts w:hint="eastAsia" w:ascii="宋体" w:hAnsi="宋体" w:eastAsia="宋体" w:cs="宋体"/>
          <w:color w:val="auto"/>
          <w:kern w:val="0"/>
          <w:lang w:eastAsia="zh-CN"/>
        </w:rPr>
        <w:t>据实变化</w:t>
      </w:r>
      <w:r>
        <w:rPr>
          <w:rFonts w:hint="eastAsia" w:ascii="宋体" w:hAnsi="宋体" w:eastAsia="宋体" w:cs="宋体"/>
          <w:color w:val="auto"/>
          <w:kern w:val="0"/>
        </w:rPr>
        <w:t>。</w:t>
      </w:r>
    </w:p>
    <w:p>
      <w:pPr>
        <w:spacing w:line="420" w:lineRule="exact"/>
        <w:ind w:firstLine="480" w:firstLineChars="200"/>
        <w:outlineLvl w:val="2"/>
        <w:rPr>
          <w:rFonts w:ascii="宋体" w:hAnsi="宋体" w:eastAsia="宋体" w:cs="宋体"/>
          <w:color w:val="auto"/>
          <w:kern w:val="0"/>
        </w:rPr>
      </w:pPr>
      <w:r>
        <w:rPr>
          <w:rFonts w:hint="eastAsia" w:ascii="宋体" w:hAnsi="宋体" w:eastAsia="宋体" w:cs="宋体"/>
          <w:color w:val="auto"/>
          <w:kern w:val="0"/>
        </w:rPr>
        <w:t>（</w:t>
      </w:r>
      <w:r>
        <w:rPr>
          <w:rFonts w:ascii="宋体" w:hAnsi="宋体" w:eastAsia="宋体" w:cs="宋体"/>
          <w:color w:val="auto"/>
          <w:kern w:val="0"/>
        </w:rPr>
        <w:t>2</w:t>
      </w:r>
      <w:r>
        <w:rPr>
          <w:rFonts w:hint="eastAsia" w:ascii="宋体" w:hAnsi="宋体" w:eastAsia="宋体" w:cs="宋体"/>
          <w:color w:val="auto"/>
          <w:kern w:val="0"/>
        </w:rPr>
        <w:t>）承办运营服务供应商必须满足街道不同类型的老年人的个性化需求为出发点，提供专业化、社会化、规范化服务和家庭支持性服务。服务内容主要包括老年人日间照料、助餐、助浴、家政、助行、助急、医疗康复护理、健康管理、文化娱乐、精神关爱等项目。承办运营服务供应商必须在确保为“政府购买”服务对象提供周到、满意服务的前提下，积极向社区其他老年人提供社会化专业服务。</w:t>
      </w:r>
    </w:p>
    <w:p>
      <w:pPr>
        <w:spacing w:line="420" w:lineRule="exact"/>
        <w:ind w:firstLine="482" w:firstLineChars="200"/>
        <w:outlineLvl w:val="2"/>
        <w:rPr>
          <w:rFonts w:ascii="宋体" w:hAnsi="宋体" w:eastAsia="宋体" w:cs="宋体"/>
          <w:b/>
          <w:bCs/>
          <w:color w:val="auto"/>
          <w:kern w:val="0"/>
        </w:rPr>
      </w:pPr>
      <w:r>
        <w:rPr>
          <w:rFonts w:ascii="宋体" w:hAnsi="宋体" w:eastAsia="宋体" w:cs="宋体"/>
          <w:b/>
          <w:bCs/>
          <w:color w:val="auto"/>
          <w:kern w:val="0"/>
        </w:rPr>
        <w:t>2.</w:t>
      </w:r>
      <w:r>
        <w:rPr>
          <w:rFonts w:hint="eastAsia" w:ascii="宋体" w:hAnsi="宋体" w:eastAsia="宋体" w:cs="宋体"/>
          <w:b/>
          <w:bCs/>
          <w:color w:val="auto"/>
          <w:kern w:val="0"/>
        </w:rPr>
        <w:t>工作时间</w:t>
      </w:r>
    </w:p>
    <w:p>
      <w:pPr>
        <w:widowControl/>
        <w:adjustRightInd w:val="0"/>
        <w:snapToGrid w:val="0"/>
        <w:spacing w:line="420" w:lineRule="exact"/>
        <w:ind w:firstLine="480" w:firstLineChars="200"/>
        <w:jc w:val="left"/>
        <w:rPr>
          <w:rFonts w:ascii="宋体" w:hAnsi="宋体" w:eastAsia="宋体" w:cs="宋体"/>
          <w:color w:val="auto"/>
          <w:kern w:val="0"/>
        </w:rPr>
      </w:pPr>
      <w:r>
        <w:rPr>
          <w:rFonts w:hint="eastAsia" w:ascii="宋体" w:hAnsi="宋体" w:eastAsia="宋体" w:cs="宋体"/>
          <w:color w:val="auto"/>
          <w:kern w:val="0"/>
        </w:rPr>
        <w:t>（</w:t>
      </w:r>
      <w:r>
        <w:rPr>
          <w:rFonts w:ascii="宋体" w:hAnsi="宋体" w:eastAsia="宋体" w:cs="宋体"/>
          <w:color w:val="auto"/>
          <w:kern w:val="0"/>
        </w:rPr>
        <w:t>1</w:t>
      </w:r>
      <w:r>
        <w:rPr>
          <w:rFonts w:hint="eastAsia" w:ascii="宋体" w:hAnsi="宋体" w:eastAsia="宋体" w:cs="宋体"/>
          <w:color w:val="auto"/>
          <w:kern w:val="0"/>
        </w:rPr>
        <w:t>）周一至周五：</w:t>
      </w:r>
      <w:r>
        <w:rPr>
          <w:rFonts w:ascii="宋体" w:hAnsi="宋体" w:eastAsia="宋体" w:cs="宋体"/>
          <w:color w:val="auto"/>
          <w:kern w:val="0"/>
        </w:rPr>
        <w:t>9:00--17:00</w:t>
      </w:r>
      <w:r>
        <w:rPr>
          <w:rFonts w:hint="eastAsia" w:ascii="宋体" w:hAnsi="宋体" w:eastAsia="宋体" w:cs="宋体"/>
          <w:color w:val="auto"/>
          <w:kern w:val="0"/>
        </w:rPr>
        <w:t>。周末及法定节假日，须安排工作人员值班，满足老人基本需求（若有就餐需求，须保证供餐不间断），值班时间：</w:t>
      </w:r>
      <w:r>
        <w:rPr>
          <w:rFonts w:ascii="宋体" w:hAnsi="宋体" w:eastAsia="宋体" w:cs="宋体"/>
          <w:color w:val="auto"/>
          <w:kern w:val="0"/>
        </w:rPr>
        <w:t>9:00--17:00</w:t>
      </w:r>
      <w:r>
        <w:rPr>
          <w:rFonts w:hint="eastAsia" w:ascii="宋体" w:hAnsi="宋体" w:eastAsia="宋体" w:cs="宋体"/>
          <w:color w:val="auto"/>
          <w:kern w:val="0"/>
        </w:rPr>
        <w:t>。</w:t>
      </w:r>
    </w:p>
    <w:p>
      <w:pPr>
        <w:widowControl/>
        <w:adjustRightInd w:val="0"/>
        <w:snapToGrid w:val="0"/>
        <w:spacing w:line="420" w:lineRule="exact"/>
        <w:ind w:firstLine="480" w:firstLineChars="200"/>
        <w:jc w:val="left"/>
        <w:rPr>
          <w:rFonts w:ascii="宋体" w:hAnsi="宋体" w:eastAsia="宋体" w:cs="宋体"/>
          <w:color w:val="auto"/>
          <w:kern w:val="0"/>
        </w:rPr>
      </w:pPr>
      <w:r>
        <w:rPr>
          <w:rFonts w:hint="eastAsia" w:ascii="宋体" w:hAnsi="宋体" w:eastAsia="宋体" w:cs="宋体"/>
          <w:color w:val="auto"/>
          <w:kern w:val="0"/>
        </w:rPr>
        <w:t>（</w:t>
      </w:r>
      <w:r>
        <w:rPr>
          <w:rFonts w:ascii="宋体" w:hAnsi="宋体" w:eastAsia="宋体" w:cs="宋体"/>
          <w:color w:val="auto"/>
          <w:kern w:val="0"/>
        </w:rPr>
        <w:t>2</w:t>
      </w:r>
      <w:r>
        <w:rPr>
          <w:rFonts w:hint="eastAsia" w:ascii="宋体" w:hAnsi="宋体" w:eastAsia="宋体" w:cs="宋体"/>
          <w:color w:val="auto"/>
          <w:kern w:val="0"/>
        </w:rPr>
        <w:t>）呼叫及信息平台。需要</w:t>
      </w:r>
      <w:r>
        <w:rPr>
          <w:rFonts w:ascii="宋体" w:hAnsi="宋体" w:eastAsia="宋体" w:cs="宋体"/>
          <w:color w:val="auto"/>
          <w:kern w:val="0"/>
        </w:rPr>
        <w:t>24</w:t>
      </w:r>
      <w:r>
        <w:rPr>
          <w:rFonts w:hint="eastAsia" w:ascii="宋体" w:hAnsi="宋体" w:eastAsia="宋体" w:cs="宋体"/>
          <w:color w:val="auto"/>
          <w:kern w:val="0"/>
        </w:rPr>
        <w:t>小时能呼通、有回应，能提供紧急应急服务。</w:t>
      </w:r>
    </w:p>
    <w:p>
      <w:pPr>
        <w:pStyle w:val="49"/>
        <w:spacing w:line="420" w:lineRule="exact"/>
        <w:ind w:left="0" w:firstLine="31680"/>
        <w:rPr>
          <w:rFonts w:ascii="宋体" w:cs="宋体"/>
          <w:b/>
          <w:bCs/>
          <w:color w:val="auto"/>
        </w:rPr>
      </w:pPr>
      <w:r>
        <w:rPr>
          <w:rFonts w:ascii="宋体" w:hAnsi="宋体" w:cs="宋体"/>
          <w:b/>
          <w:bCs/>
          <w:color w:val="auto"/>
        </w:rPr>
        <w:t>3.</w:t>
      </w:r>
      <w:r>
        <w:rPr>
          <w:rFonts w:hint="eastAsia" w:ascii="宋体" w:hAnsi="宋体" w:cs="宋体"/>
          <w:b/>
          <w:bCs/>
          <w:color w:val="auto"/>
        </w:rPr>
        <w:t>服务需求内容及要求</w:t>
      </w:r>
    </w:p>
    <w:p>
      <w:pPr>
        <w:spacing w:line="420" w:lineRule="exact"/>
        <w:ind w:firstLine="480" w:firstLineChars="200"/>
        <w:outlineLvl w:val="2"/>
        <w:rPr>
          <w:rFonts w:ascii="宋体" w:hAnsi="宋体" w:eastAsia="宋体" w:cs="宋体"/>
          <w:color w:val="auto"/>
          <w:kern w:val="0"/>
        </w:rPr>
      </w:pPr>
      <w:r>
        <w:rPr>
          <w:rFonts w:hint="eastAsia" w:ascii="宋体" w:hAnsi="宋体" w:eastAsia="宋体" w:cs="宋体"/>
          <w:color w:val="auto"/>
          <w:kern w:val="0"/>
        </w:rPr>
        <w:t>建立居家养老服务清单制度，根据老年人需求，制定居家养老服务清单，并因地制宜、因人制宜研发新的居家养老服务项目，提供定制化、个性化服务，实现养老服务供给与老年人需求的精准对接。贯彻落实上级民政部门或行业已有标准，加快建立覆盖全面、重点突出、结构合理的居家和社区养老服务标准体系。</w:t>
      </w:r>
    </w:p>
    <w:p>
      <w:pPr>
        <w:widowControl/>
        <w:adjustRightInd w:val="0"/>
        <w:snapToGrid w:val="0"/>
        <w:spacing w:line="440" w:lineRule="exact"/>
        <w:ind w:firstLine="482" w:firstLineChars="200"/>
        <w:jc w:val="left"/>
        <w:outlineLvl w:val="3"/>
        <w:rPr>
          <w:rFonts w:ascii="宋体" w:hAnsi="宋体" w:eastAsia="宋体" w:cs="宋体"/>
          <w:color w:val="auto"/>
          <w:kern w:val="0"/>
        </w:rPr>
      </w:pPr>
      <w:r>
        <w:rPr>
          <w:rFonts w:ascii="宋体" w:hAnsi="宋体" w:eastAsia="宋体" w:cs="宋体"/>
          <w:b/>
          <w:bCs/>
          <w:color w:val="auto"/>
          <w:kern w:val="0"/>
        </w:rPr>
        <w:t>3.1</w:t>
      </w:r>
      <w:r>
        <w:rPr>
          <w:rFonts w:hint="eastAsia" w:ascii="宋体" w:hAnsi="宋体" w:eastAsia="宋体" w:cs="宋体"/>
          <w:b/>
          <w:bCs/>
          <w:color w:val="auto"/>
          <w:kern w:val="0"/>
        </w:rPr>
        <w:t>“居家养老服务中心（站）”的服务</w:t>
      </w:r>
    </w:p>
    <w:p>
      <w:pPr>
        <w:widowControl/>
        <w:adjustRightInd w:val="0"/>
        <w:snapToGrid w:val="0"/>
        <w:spacing w:line="440" w:lineRule="exact"/>
        <w:ind w:firstLine="480" w:firstLineChars="200"/>
        <w:jc w:val="left"/>
        <w:outlineLvl w:val="4"/>
        <w:rPr>
          <w:rFonts w:ascii="宋体" w:hAnsi="宋体" w:eastAsia="宋体" w:cs="宋体"/>
          <w:color w:val="auto"/>
          <w:kern w:val="0"/>
        </w:rPr>
      </w:pPr>
      <w:r>
        <w:rPr>
          <w:rFonts w:ascii="宋体" w:hAnsi="宋体" w:eastAsia="宋体" w:cs="宋体"/>
          <w:color w:val="auto"/>
          <w:kern w:val="0"/>
        </w:rPr>
        <w:t>3.1.1.</w:t>
      </w:r>
      <w:r>
        <w:rPr>
          <w:rFonts w:hint="eastAsia" w:ascii="宋体" w:hAnsi="宋体" w:eastAsia="宋体" w:cs="宋体"/>
          <w:color w:val="auto"/>
          <w:kern w:val="0"/>
        </w:rPr>
        <w:t>助餐</w:t>
      </w:r>
    </w:p>
    <w:p>
      <w:pPr>
        <w:widowControl/>
        <w:adjustRightInd w:val="0"/>
        <w:snapToGrid w:val="0"/>
        <w:spacing w:line="440" w:lineRule="exact"/>
        <w:ind w:firstLine="480" w:firstLineChars="200"/>
        <w:jc w:val="left"/>
        <w:rPr>
          <w:rFonts w:ascii="宋体" w:hAnsi="宋体" w:eastAsia="宋体" w:cs="宋体"/>
          <w:color w:val="auto"/>
          <w:kern w:val="0"/>
        </w:rPr>
      </w:pPr>
      <w:r>
        <w:rPr>
          <w:rFonts w:hint="eastAsia" w:ascii="宋体" w:hAnsi="宋体" w:eastAsia="宋体" w:cs="宋体"/>
          <w:color w:val="auto"/>
          <w:kern w:val="0"/>
        </w:rPr>
        <w:t>按照相关标准配置中央厨房，分定点助餐、上门送餐两类开展助餐服务，分不同价位标准的套餐。使用卫生环保型餐具；定时消毒餐具；每周菜谱公示；送餐时间按约定的时间送达。</w:t>
      </w:r>
    </w:p>
    <w:p>
      <w:pPr>
        <w:widowControl/>
        <w:adjustRightInd w:val="0"/>
        <w:snapToGrid w:val="0"/>
        <w:spacing w:line="440" w:lineRule="exact"/>
        <w:ind w:firstLine="480" w:firstLineChars="200"/>
        <w:jc w:val="left"/>
        <w:outlineLvl w:val="4"/>
        <w:rPr>
          <w:rFonts w:ascii="宋体" w:hAnsi="宋体" w:eastAsia="宋体" w:cs="宋体"/>
          <w:color w:val="auto"/>
          <w:kern w:val="0"/>
        </w:rPr>
      </w:pPr>
      <w:r>
        <w:rPr>
          <w:rFonts w:ascii="宋体" w:hAnsi="宋体" w:eastAsia="宋体" w:cs="宋体"/>
          <w:color w:val="auto"/>
          <w:kern w:val="0"/>
        </w:rPr>
        <w:t>3.1.2</w:t>
      </w:r>
      <w:r>
        <w:rPr>
          <w:rFonts w:hint="eastAsia" w:ascii="宋体" w:hAnsi="宋体" w:eastAsia="宋体" w:cs="宋体"/>
          <w:color w:val="auto"/>
          <w:kern w:val="0"/>
        </w:rPr>
        <w:t>助急</w:t>
      </w:r>
    </w:p>
    <w:p>
      <w:pPr>
        <w:widowControl/>
        <w:adjustRightInd w:val="0"/>
        <w:snapToGrid w:val="0"/>
        <w:spacing w:line="440" w:lineRule="exact"/>
        <w:ind w:firstLine="480" w:firstLineChars="200"/>
        <w:jc w:val="left"/>
        <w:rPr>
          <w:rFonts w:ascii="宋体" w:hAnsi="宋体" w:eastAsia="宋体" w:cs="宋体"/>
          <w:color w:val="auto"/>
          <w:kern w:val="0"/>
        </w:rPr>
      </w:pPr>
      <w:r>
        <w:rPr>
          <w:rFonts w:hint="eastAsia" w:ascii="宋体" w:hAnsi="宋体" w:eastAsia="宋体" w:cs="宋体"/>
          <w:color w:val="auto"/>
          <w:kern w:val="0"/>
        </w:rPr>
        <w:t>（</w:t>
      </w:r>
      <w:r>
        <w:rPr>
          <w:rFonts w:ascii="宋体" w:hAnsi="宋体" w:eastAsia="宋体" w:cs="宋体"/>
          <w:color w:val="auto"/>
          <w:kern w:val="0"/>
        </w:rPr>
        <w:t>1</w:t>
      </w:r>
      <w:r>
        <w:rPr>
          <w:rFonts w:hint="eastAsia" w:ascii="宋体" w:hAnsi="宋体" w:eastAsia="宋体" w:cs="宋体"/>
          <w:color w:val="auto"/>
          <w:kern w:val="0"/>
        </w:rPr>
        <w:t>）为失能、半失能老年人提供日间托管照料服务。</w:t>
      </w:r>
    </w:p>
    <w:p>
      <w:pPr>
        <w:widowControl/>
        <w:adjustRightInd w:val="0"/>
        <w:snapToGrid w:val="0"/>
        <w:spacing w:line="440" w:lineRule="exact"/>
        <w:ind w:firstLine="480" w:firstLineChars="200"/>
        <w:jc w:val="left"/>
        <w:rPr>
          <w:rFonts w:ascii="宋体" w:hAnsi="宋体" w:eastAsia="宋体" w:cs="宋体"/>
          <w:color w:val="auto"/>
          <w:kern w:val="0"/>
        </w:rPr>
      </w:pPr>
      <w:r>
        <w:rPr>
          <w:rFonts w:hint="eastAsia" w:ascii="宋体" w:hAnsi="宋体" w:eastAsia="宋体" w:cs="宋体"/>
          <w:color w:val="auto"/>
          <w:kern w:val="0"/>
        </w:rPr>
        <w:t>（</w:t>
      </w:r>
      <w:r>
        <w:rPr>
          <w:rFonts w:ascii="宋体" w:hAnsi="宋体" w:eastAsia="宋体" w:cs="宋体"/>
          <w:color w:val="auto"/>
          <w:kern w:val="0"/>
        </w:rPr>
        <w:t>2</w:t>
      </w:r>
      <w:r>
        <w:rPr>
          <w:rFonts w:hint="eastAsia" w:ascii="宋体" w:hAnsi="宋体" w:eastAsia="宋体" w:cs="宋体"/>
          <w:color w:val="auto"/>
          <w:kern w:val="0"/>
        </w:rPr>
        <w:t>）设立</w:t>
      </w:r>
      <w:r>
        <w:rPr>
          <w:rFonts w:ascii="宋体" w:hAnsi="宋体" w:eastAsia="宋体" w:cs="宋体"/>
          <w:color w:val="auto"/>
          <w:kern w:val="0"/>
        </w:rPr>
        <w:t>24</w:t>
      </w:r>
      <w:r>
        <w:rPr>
          <w:rFonts w:hint="eastAsia" w:ascii="宋体" w:hAnsi="宋体" w:eastAsia="宋体" w:cs="宋体"/>
          <w:color w:val="auto"/>
          <w:kern w:val="0"/>
        </w:rPr>
        <w:t>小时有人值班的应急呼救电话。</w:t>
      </w:r>
    </w:p>
    <w:p>
      <w:pPr>
        <w:widowControl/>
        <w:adjustRightInd w:val="0"/>
        <w:snapToGrid w:val="0"/>
        <w:spacing w:line="440" w:lineRule="exact"/>
        <w:ind w:firstLine="480" w:firstLineChars="200"/>
        <w:jc w:val="left"/>
        <w:outlineLvl w:val="4"/>
        <w:rPr>
          <w:rFonts w:ascii="宋体" w:hAnsi="宋体" w:eastAsia="宋体" w:cs="宋体"/>
          <w:color w:val="auto"/>
          <w:kern w:val="0"/>
        </w:rPr>
      </w:pPr>
      <w:r>
        <w:rPr>
          <w:rFonts w:ascii="宋体" w:hAnsi="宋体" w:eastAsia="宋体" w:cs="宋体"/>
          <w:color w:val="auto"/>
          <w:kern w:val="0"/>
        </w:rPr>
        <w:t>3.1.3</w:t>
      </w:r>
      <w:r>
        <w:rPr>
          <w:rFonts w:hint="eastAsia" w:ascii="宋体" w:hAnsi="宋体" w:eastAsia="宋体" w:cs="宋体"/>
          <w:color w:val="auto"/>
          <w:kern w:val="0"/>
        </w:rPr>
        <w:t>助医</w:t>
      </w:r>
    </w:p>
    <w:p>
      <w:pPr>
        <w:widowControl/>
        <w:adjustRightInd w:val="0"/>
        <w:snapToGrid w:val="0"/>
        <w:spacing w:line="440" w:lineRule="exact"/>
        <w:ind w:firstLine="480" w:firstLineChars="200"/>
        <w:jc w:val="left"/>
        <w:rPr>
          <w:rFonts w:ascii="宋体" w:hAnsi="宋体" w:eastAsia="宋体" w:cs="宋体"/>
          <w:color w:val="auto"/>
          <w:kern w:val="0"/>
        </w:rPr>
      </w:pPr>
      <w:r>
        <w:rPr>
          <w:rFonts w:hint="eastAsia" w:ascii="宋体" w:hAnsi="宋体" w:eastAsia="宋体" w:cs="宋体"/>
          <w:color w:val="auto"/>
          <w:kern w:val="0"/>
        </w:rPr>
        <w:t>定期开展老年人健康教育和健康咨询服务工作，每月一次健康生活方式指导工作；按卫生行业的相关规定，组织开展居家养老康复护理工作，建立完善居家养老服务对象健康管理档案，根据实际服务及时更新档案内容。</w:t>
      </w:r>
    </w:p>
    <w:p>
      <w:pPr>
        <w:widowControl/>
        <w:adjustRightInd w:val="0"/>
        <w:snapToGrid w:val="0"/>
        <w:spacing w:line="440" w:lineRule="exact"/>
        <w:ind w:firstLine="480" w:firstLineChars="200"/>
        <w:jc w:val="left"/>
        <w:rPr>
          <w:rFonts w:ascii="宋体" w:hAnsi="宋体" w:eastAsia="宋体" w:cs="宋体"/>
          <w:color w:val="auto"/>
          <w:kern w:val="0"/>
        </w:rPr>
      </w:pPr>
      <w:r>
        <w:rPr>
          <w:rFonts w:hint="eastAsia" w:ascii="宋体" w:hAnsi="宋体" w:eastAsia="宋体" w:cs="宋体"/>
          <w:color w:val="auto"/>
          <w:kern w:val="0"/>
        </w:rPr>
        <w:t>（</w:t>
      </w:r>
      <w:r>
        <w:rPr>
          <w:rFonts w:ascii="宋体" w:hAnsi="宋体" w:eastAsia="宋体" w:cs="宋体"/>
          <w:color w:val="auto"/>
          <w:kern w:val="0"/>
        </w:rPr>
        <w:t>1</w:t>
      </w:r>
      <w:r>
        <w:rPr>
          <w:rFonts w:hint="eastAsia" w:ascii="宋体" w:hAnsi="宋体" w:eastAsia="宋体" w:cs="宋体"/>
          <w:color w:val="auto"/>
          <w:kern w:val="0"/>
        </w:rPr>
        <w:t>）健康咨询。就老年人健康、养生问题，提供专业指导意见。</w:t>
      </w:r>
    </w:p>
    <w:p>
      <w:pPr>
        <w:widowControl/>
        <w:adjustRightInd w:val="0"/>
        <w:snapToGrid w:val="0"/>
        <w:spacing w:line="440" w:lineRule="exact"/>
        <w:ind w:firstLine="480" w:firstLineChars="200"/>
        <w:jc w:val="left"/>
        <w:rPr>
          <w:rFonts w:ascii="宋体" w:hAnsi="宋体" w:eastAsia="宋体" w:cs="宋体"/>
          <w:color w:val="auto"/>
          <w:kern w:val="0"/>
        </w:rPr>
      </w:pPr>
      <w:r>
        <w:rPr>
          <w:rFonts w:hint="eastAsia" w:ascii="宋体" w:hAnsi="宋体" w:eastAsia="宋体" w:cs="宋体"/>
          <w:color w:val="auto"/>
          <w:kern w:val="0"/>
        </w:rPr>
        <w:t>（</w:t>
      </w:r>
      <w:r>
        <w:rPr>
          <w:rFonts w:ascii="宋体" w:hAnsi="宋体" w:eastAsia="宋体" w:cs="宋体"/>
          <w:color w:val="auto"/>
          <w:kern w:val="0"/>
        </w:rPr>
        <w:t>2</w:t>
      </w:r>
      <w:r>
        <w:rPr>
          <w:rFonts w:hint="eastAsia" w:ascii="宋体" w:hAnsi="宋体" w:eastAsia="宋体" w:cs="宋体"/>
          <w:color w:val="auto"/>
          <w:kern w:val="0"/>
        </w:rPr>
        <w:t>）健康管理。为老年人制定健康管理方案，进行专业干预，如控油、戒烟、慢病监控等。</w:t>
      </w:r>
    </w:p>
    <w:p>
      <w:pPr>
        <w:widowControl/>
        <w:adjustRightInd w:val="0"/>
        <w:snapToGrid w:val="0"/>
        <w:spacing w:line="440" w:lineRule="exact"/>
        <w:ind w:firstLine="480" w:firstLineChars="200"/>
        <w:jc w:val="left"/>
        <w:rPr>
          <w:rFonts w:ascii="宋体" w:hAnsi="宋体" w:eastAsia="宋体" w:cs="宋体"/>
          <w:color w:val="auto"/>
          <w:kern w:val="0"/>
        </w:rPr>
      </w:pPr>
      <w:r>
        <w:rPr>
          <w:rFonts w:hint="eastAsia" w:ascii="宋体" w:hAnsi="宋体" w:eastAsia="宋体" w:cs="宋体"/>
          <w:color w:val="auto"/>
          <w:kern w:val="0"/>
        </w:rPr>
        <w:t>（</w:t>
      </w:r>
      <w:r>
        <w:rPr>
          <w:rFonts w:ascii="宋体" w:hAnsi="宋体" w:eastAsia="宋体" w:cs="宋体"/>
          <w:color w:val="auto"/>
          <w:kern w:val="0"/>
        </w:rPr>
        <w:t>3</w:t>
      </w:r>
      <w:r>
        <w:rPr>
          <w:rFonts w:hint="eastAsia" w:ascii="宋体" w:hAnsi="宋体" w:eastAsia="宋体" w:cs="宋体"/>
          <w:color w:val="auto"/>
          <w:kern w:val="0"/>
        </w:rPr>
        <w:t>）康复训练。提供定点康复训练服务，租售器材费用不高于市场价。</w:t>
      </w:r>
    </w:p>
    <w:p>
      <w:pPr>
        <w:widowControl/>
        <w:adjustRightInd w:val="0"/>
        <w:snapToGrid w:val="0"/>
        <w:spacing w:line="440" w:lineRule="exact"/>
        <w:ind w:firstLine="480" w:firstLineChars="200"/>
        <w:jc w:val="left"/>
        <w:outlineLvl w:val="4"/>
        <w:rPr>
          <w:rFonts w:ascii="宋体" w:hAnsi="宋体" w:eastAsia="宋体" w:cs="宋体"/>
          <w:color w:val="auto"/>
          <w:kern w:val="0"/>
        </w:rPr>
      </w:pPr>
      <w:r>
        <w:rPr>
          <w:rFonts w:ascii="宋体" w:hAnsi="宋体" w:eastAsia="宋体" w:cs="宋体"/>
          <w:color w:val="auto"/>
          <w:kern w:val="0"/>
        </w:rPr>
        <w:t>3.1.4.</w:t>
      </w:r>
      <w:r>
        <w:rPr>
          <w:rFonts w:hint="eastAsia" w:ascii="宋体" w:hAnsi="宋体" w:eastAsia="宋体" w:cs="宋体"/>
          <w:color w:val="auto"/>
          <w:kern w:val="0"/>
        </w:rPr>
        <w:t>助洁</w:t>
      </w:r>
    </w:p>
    <w:p>
      <w:pPr>
        <w:widowControl/>
        <w:adjustRightInd w:val="0"/>
        <w:snapToGrid w:val="0"/>
        <w:spacing w:line="440" w:lineRule="exact"/>
        <w:ind w:firstLine="480" w:firstLineChars="200"/>
        <w:jc w:val="left"/>
        <w:rPr>
          <w:rFonts w:ascii="宋体" w:hAnsi="宋体" w:eastAsia="宋体" w:cs="宋体"/>
          <w:color w:val="auto"/>
          <w:kern w:val="0"/>
        </w:rPr>
      </w:pPr>
      <w:r>
        <w:rPr>
          <w:rFonts w:hint="eastAsia" w:ascii="宋体" w:hAnsi="宋体" w:eastAsia="宋体" w:cs="宋体"/>
          <w:color w:val="auto"/>
          <w:kern w:val="0"/>
        </w:rPr>
        <w:t>（</w:t>
      </w:r>
      <w:r>
        <w:rPr>
          <w:rFonts w:ascii="宋体" w:hAnsi="宋体" w:eastAsia="宋体" w:cs="宋体"/>
          <w:color w:val="auto"/>
          <w:kern w:val="0"/>
        </w:rPr>
        <w:t>1</w:t>
      </w:r>
      <w:r>
        <w:rPr>
          <w:rFonts w:hint="eastAsia" w:ascii="宋体" w:hAnsi="宋体" w:eastAsia="宋体" w:cs="宋体"/>
          <w:color w:val="auto"/>
          <w:kern w:val="0"/>
        </w:rPr>
        <w:t>）洗脚修脚。提供定点修脚、除鸡眼、甲沟炎、灰指甲、修脚垫等服务。</w:t>
      </w:r>
    </w:p>
    <w:p>
      <w:pPr>
        <w:widowControl/>
        <w:adjustRightInd w:val="0"/>
        <w:snapToGrid w:val="0"/>
        <w:spacing w:line="440" w:lineRule="exact"/>
        <w:ind w:firstLine="480" w:firstLineChars="200"/>
        <w:jc w:val="left"/>
        <w:rPr>
          <w:rFonts w:ascii="宋体" w:hAnsi="宋体" w:eastAsia="宋体" w:cs="宋体"/>
          <w:color w:val="auto"/>
          <w:kern w:val="0"/>
        </w:rPr>
      </w:pPr>
      <w:r>
        <w:rPr>
          <w:rFonts w:hint="eastAsia" w:ascii="宋体" w:hAnsi="宋体" w:eastAsia="宋体" w:cs="宋体"/>
          <w:color w:val="auto"/>
          <w:kern w:val="0"/>
        </w:rPr>
        <w:t>（</w:t>
      </w:r>
      <w:r>
        <w:rPr>
          <w:rFonts w:ascii="宋体" w:hAnsi="宋体" w:eastAsia="宋体" w:cs="宋体"/>
          <w:color w:val="auto"/>
          <w:kern w:val="0"/>
        </w:rPr>
        <w:t>2</w:t>
      </w:r>
      <w:r>
        <w:rPr>
          <w:rFonts w:hint="eastAsia" w:ascii="宋体" w:hAnsi="宋体" w:eastAsia="宋体" w:cs="宋体"/>
          <w:color w:val="auto"/>
          <w:kern w:val="0"/>
        </w:rPr>
        <w:t>）服装加工、清洗。提供定点代收衣物，送去洗熨、裁剪、修补服务。</w:t>
      </w:r>
    </w:p>
    <w:p>
      <w:pPr>
        <w:widowControl/>
        <w:adjustRightInd w:val="0"/>
        <w:snapToGrid w:val="0"/>
        <w:spacing w:line="440" w:lineRule="exact"/>
        <w:ind w:firstLine="480" w:firstLineChars="200"/>
        <w:jc w:val="left"/>
        <w:outlineLvl w:val="4"/>
        <w:rPr>
          <w:rFonts w:ascii="宋体" w:hAnsi="宋体" w:eastAsia="宋体" w:cs="宋体"/>
          <w:color w:val="auto"/>
          <w:kern w:val="0"/>
        </w:rPr>
      </w:pPr>
      <w:r>
        <w:rPr>
          <w:rFonts w:ascii="宋体" w:hAnsi="宋体" w:eastAsia="宋体" w:cs="宋体"/>
          <w:color w:val="auto"/>
          <w:kern w:val="0"/>
        </w:rPr>
        <w:t>3.1.5</w:t>
      </w:r>
      <w:r>
        <w:rPr>
          <w:rFonts w:hint="eastAsia" w:ascii="宋体" w:hAnsi="宋体" w:eastAsia="宋体" w:cs="宋体"/>
          <w:color w:val="auto"/>
          <w:kern w:val="0"/>
        </w:rPr>
        <w:t>助安</w:t>
      </w:r>
    </w:p>
    <w:p>
      <w:pPr>
        <w:widowControl/>
        <w:adjustRightInd w:val="0"/>
        <w:snapToGrid w:val="0"/>
        <w:spacing w:line="440" w:lineRule="exact"/>
        <w:ind w:firstLine="480" w:firstLineChars="200"/>
        <w:jc w:val="left"/>
        <w:rPr>
          <w:rFonts w:ascii="宋体" w:hAnsi="宋体" w:eastAsia="宋体" w:cs="宋体"/>
          <w:color w:val="auto"/>
          <w:kern w:val="0"/>
        </w:rPr>
      </w:pPr>
      <w:r>
        <w:rPr>
          <w:rFonts w:hint="eastAsia" w:ascii="宋体" w:hAnsi="宋体" w:eastAsia="宋体" w:cs="宋体"/>
          <w:color w:val="auto"/>
          <w:kern w:val="0"/>
        </w:rPr>
        <w:t>定点提供心理慰藉、法律援助、安全教育培训等服务</w:t>
      </w:r>
    </w:p>
    <w:p>
      <w:pPr>
        <w:widowControl/>
        <w:adjustRightInd w:val="0"/>
        <w:snapToGrid w:val="0"/>
        <w:spacing w:line="440" w:lineRule="exact"/>
        <w:ind w:firstLine="480" w:firstLineChars="200"/>
        <w:jc w:val="left"/>
        <w:outlineLvl w:val="4"/>
        <w:rPr>
          <w:rFonts w:ascii="宋体" w:hAnsi="宋体" w:eastAsia="宋体" w:cs="宋体"/>
          <w:color w:val="auto"/>
          <w:kern w:val="0"/>
        </w:rPr>
      </w:pPr>
      <w:r>
        <w:rPr>
          <w:rFonts w:ascii="宋体" w:hAnsi="宋体" w:eastAsia="宋体" w:cs="宋体"/>
          <w:color w:val="auto"/>
          <w:kern w:val="0"/>
        </w:rPr>
        <w:t>3.1.6</w:t>
      </w:r>
      <w:r>
        <w:rPr>
          <w:rFonts w:hint="eastAsia" w:ascii="宋体" w:hAnsi="宋体" w:eastAsia="宋体" w:cs="宋体"/>
          <w:color w:val="auto"/>
          <w:kern w:val="0"/>
        </w:rPr>
        <w:t>助乐</w:t>
      </w:r>
    </w:p>
    <w:p>
      <w:pPr>
        <w:widowControl/>
        <w:adjustRightInd w:val="0"/>
        <w:snapToGrid w:val="0"/>
        <w:spacing w:line="440" w:lineRule="exact"/>
        <w:ind w:firstLine="480" w:firstLineChars="200"/>
        <w:jc w:val="left"/>
        <w:rPr>
          <w:rFonts w:ascii="宋体" w:hAnsi="宋体" w:eastAsia="宋体" w:cs="宋体"/>
          <w:color w:val="auto"/>
          <w:kern w:val="0"/>
        </w:rPr>
      </w:pPr>
      <w:r>
        <w:rPr>
          <w:rFonts w:hint="eastAsia" w:ascii="宋体" w:hAnsi="宋体" w:eastAsia="宋体" w:cs="宋体"/>
          <w:color w:val="auto"/>
          <w:kern w:val="0"/>
        </w:rPr>
        <w:t>依托站点，定期开展老年文体活动、书法绘画、手工制作、读书交流、棋牌切磋等活动，丰富老年文化生活，展示老年风采，营造文明和谐的养老、乐老氛围。</w:t>
      </w:r>
    </w:p>
    <w:p>
      <w:pPr>
        <w:widowControl/>
        <w:adjustRightInd w:val="0"/>
        <w:snapToGrid w:val="0"/>
        <w:spacing w:line="440" w:lineRule="exact"/>
        <w:ind w:firstLine="480" w:firstLineChars="200"/>
        <w:jc w:val="left"/>
        <w:rPr>
          <w:rFonts w:ascii="宋体" w:hAnsi="宋体" w:eastAsia="宋体" w:cs="宋体"/>
          <w:color w:val="auto"/>
          <w:kern w:val="0"/>
        </w:rPr>
      </w:pPr>
      <w:r>
        <w:rPr>
          <w:rFonts w:hint="eastAsia" w:ascii="宋体" w:hAnsi="宋体" w:eastAsia="宋体" w:cs="宋体"/>
          <w:color w:val="auto"/>
          <w:kern w:val="0"/>
        </w:rPr>
        <w:t>（</w:t>
      </w:r>
      <w:r>
        <w:rPr>
          <w:rFonts w:ascii="宋体" w:hAnsi="宋体" w:eastAsia="宋体" w:cs="宋体"/>
          <w:color w:val="auto"/>
          <w:kern w:val="0"/>
        </w:rPr>
        <w:t>1</w:t>
      </w:r>
      <w:r>
        <w:rPr>
          <w:rFonts w:hint="eastAsia" w:ascii="宋体" w:hAnsi="宋体" w:eastAsia="宋体" w:cs="宋体"/>
          <w:color w:val="auto"/>
          <w:kern w:val="0"/>
        </w:rPr>
        <w:t>）日常活动。</w:t>
      </w:r>
    </w:p>
    <w:p>
      <w:pPr>
        <w:widowControl/>
        <w:adjustRightInd w:val="0"/>
        <w:snapToGrid w:val="0"/>
        <w:spacing w:line="440" w:lineRule="exact"/>
        <w:ind w:firstLine="480" w:firstLineChars="200"/>
        <w:jc w:val="left"/>
        <w:rPr>
          <w:rFonts w:ascii="宋体" w:hAnsi="宋体" w:eastAsia="宋体" w:cs="宋体"/>
          <w:color w:val="auto"/>
          <w:kern w:val="0"/>
        </w:rPr>
      </w:pPr>
      <w:r>
        <w:rPr>
          <w:rFonts w:hint="eastAsia" w:ascii="宋体" w:hAnsi="宋体" w:eastAsia="宋体" w:cs="宋体"/>
          <w:color w:val="auto"/>
          <w:kern w:val="0"/>
        </w:rPr>
        <w:t>包括：棋牌、健身、阅览、亲子互动、开放文体活动场所等，每周每天有安排，有计划。</w:t>
      </w:r>
    </w:p>
    <w:p>
      <w:pPr>
        <w:widowControl/>
        <w:adjustRightInd w:val="0"/>
        <w:snapToGrid w:val="0"/>
        <w:spacing w:line="440" w:lineRule="exact"/>
        <w:ind w:firstLine="480" w:firstLineChars="200"/>
        <w:jc w:val="left"/>
        <w:rPr>
          <w:rFonts w:ascii="宋体" w:hAnsi="宋体" w:eastAsia="宋体" w:cs="宋体"/>
          <w:color w:val="auto"/>
          <w:kern w:val="0"/>
        </w:rPr>
      </w:pPr>
      <w:r>
        <w:rPr>
          <w:rFonts w:hint="eastAsia" w:ascii="宋体" w:hAnsi="宋体" w:eastAsia="宋体" w:cs="宋体"/>
          <w:color w:val="auto"/>
          <w:kern w:val="0"/>
        </w:rPr>
        <w:t>（</w:t>
      </w:r>
      <w:r>
        <w:rPr>
          <w:rFonts w:ascii="宋体" w:hAnsi="宋体" w:eastAsia="宋体" w:cs="宋体"/>
          <w:color w:val="auto"/>
          <w:kern w:val="0"/>
        </w:rPr>
        <w:t>2</w:t>
      </w:r>
      <w:r>
        <w:rPr>
          <w:rFonts w:hint="eastAsia" w:ascii="宋体" w:hAnsi="宋体" w:eastAsia="宋体" w:cs="宋体"/>
          <w:color w:val="auto"/>
          <w:kern w:val="0"/>
        </w:rPr>
        <w:t>）专题活动。</w:t>
      </w:r>
    </w:p>
    <w:p>
      <w:pPr>
        <w:widowControl/>
        <w:adjustRightInd w:val="0"/>
        <w:snapToGrid w:val="0"/>
        <w:spacing w:line="440" w:lineRule="exact"/>
        <w:ind w:firstLine="480" w:firstLineChars="200"/>
        <w:jc w:val="left"/>
        <w:rPr>
          <w:rFonts w:ascii="宋体" w:hAnsi="宋体" w:eastAsia="宋体" w:cs="宋体"/>
          <w:color w:val="auto"/>
          <w:kern w:val="0"/>
        </w:rPr>
      </w:pPr>
      <w:r>
        <w:rPr>
          <w:rFonts w:hint="eastAsia" w:ascii="宋体" w:hAnsi="宋体" w:eastAsia="宋体" w:cs="宋体"/>
          <w:color w:val="auto"/>
          <w:kern w:val="0"/>
        </w:rPr>
        <w:t>结合重阳节、春节、中秋节、端午节等传统节日开展每月不少于一次，全年不少于</w:t>
      </w:r>
      <w:r>
        <w:rPr>
          <w:rFonts w:ascii="宋体" w:hAnsi="宋体" w:eastAsia="宋体" w:cs="宋体"/>
          <w:color w:val="auto"/>
          <w:kern w:val="0"/>
        </w:rPr>
        <w:t>12</w:t>
      </w:r>
      <w:r>
        <w:rPr>
          <w:rFonts w:hint="eastAsia" w:ascii="宋体" w:hAnsi="宋体" w:eastAsia="宋体" w:cs="宋体"/>
          <w:color w:val="auto"/>
          <w:kern w:val="0"/>
        </w:rPr>
        <w:t>次的专题活动，居家养老服务</w:t>
      </w:r>
      <w:r>
        <w:rPr>
          <w:rFonts w:hint="eastAsia" w:ascii="宋体" w:hAnsi="宋体" w:eastAsia="宋体" w:cs="宋体"/>
          <w:color w:val="auto"/>
          <w:kern w:val="0"/>
          <w:lang w:eastAsia="zh-CN"/>
        </w:rPr>
        <w:t>中心（站）</w:t>
      </w:r>
      <w:r>
        <w:rPr>
          <w:rFonts w:hint="eastAsia" w:ascii="宋体" w:hAnsi="宋体" w:eastAsia="宋体" w:cs="宋体"/>
          <w:color w:val="auto"/>
          <w:kern w:val="0"/>
        </w:rPr>
        <w:t>内月均享受服务老年人数占服务范围内老年人数的比例不小于10%</w:t>
      </w:r>
      <w:r>
        <w:rPr>
          <w:rFonts w:hint="eastAsia" w:ascii="宋体" w:hAnsi="宋体" w:eastAsia="宋体" w:cs="宋体"/>
          <w:color w:val="auto"/>
          <w:kern w:val="0"/>
          <w:lang w:val="en-US" w:eastAsia="zh-CN"/>
        </w:rPr>
        <w:t xml:space="preserve"> </w:t>
      </w:r>
      <w:r>
        <w:rPr>
          <w:rFonts w:hint="eastAsia" w:ascii="宋体" w:hAnsi="宋体" w:eastAsia="宋体" w:cs="宋体"/>
          <w:color w:val="auto"/>
          <w:kern w:val="0"/>
          <w:lang w:eastAsia="zh-CN"/>
        </w:rPr>
        <w:t>；</w:t>
      </w:r>
      <w:r>
        <w:rPr>
          <w:rFonts w:hint="eastAsia" w:ascii="宋体" w:hAnsi="宋体" w:eastAsia="宋体" w:cs="宋体"/>
          <w:color w:val="auto"/>
          <w:kern w:val="0"/>
        </w:rPr>
        <w:t>让老年人在参与中获得快乐、健康。</w:t>
      </w:r>
    </w:p>
    <w:p>
      <w:pPr>
        <w:widowControl/>
        <w:adjustRightInd w:val="0"/>
        <w:snapToGrid w:val="0"/>
        <w:spacing w:line="440" w:lineRule="exact"/>
        <w:ind w:firstLine="480" w:firstLineChars="200"/>
        <w:jc w:val="left"/>
        <w:rPr>
          <w:rFonts w:ascii="宋体" w:hAnsi="宋体" w:eastAsia="宋体" w:cs="宋体"/>
          <w:color w:val="auto"/>
          <w:kern w:val="0"/>
        </w:rPr>
      </w:pPr>
      <w:r>
        <w:rPr>
          <w:rFonts w:hint="eastAsia" w:ascii="宋体" w:hAnsi="宋体" w:eastAsia="宋体" w:cs="宋体"/>
          <w:color w:val="auto"/>
          <w:kern w:val="0"/>
        </w:rPr>
        <w:t>（</w:t>
      </w:r>
      <w:r>
        <w:rPr>
          <w:rFonts w:ascii="宋体" w:hAnsi="宋体" w:eastAsia="宋体" w:cs="宋体"/>
          <w:color w:val="auto"/>
          <w:kern w:val="0"/>
        </w:rPr>
        <w:t>3</w:t>
      </w:r>
      <w:r>
        <w:rPr>
          <w:rFonts w:hint="eastAsia" w:ascii="宋体" w:hAnsi="宋体" w:eastAsia="宋体" w:cs="宋体"/>
          <w:color w:val="auto"/>
          <w:kern w:val="0"/>
        </w:rPr>
        <w:t>）教育培训</w:t>
      </w:r>
    </w:p>
    <w:p>
      <w:pPr>
        <w:widowControl/>
        <w:adjustRightInd w:val="0"/>
        <w:snapToGrid w:val="0"/>
        <w:spacing w:line="440" w:lineRule="exact"/>
        <w:ind w:firstLine="480" w:firstLineChars="200"/>
        <w:jc w:val="left"/>
        <w:rPr>
          <w:rFonts w:ascii="宋体" w:hAnsi="宋体" w:eastAsia="宋体" w:cs="宋体"/>
          <w:color w:val="auto"/>
          <w:kern w:val="0"/>
        </w:rPr>
      </w:pPr>
      <w:r>
        <w:rPr>
          <w:rFonts w:hint="eastAsia" w:ascii="宋体" w:hAnsi="宋体" w:eastAsia="宋体" w:cs="宋体"/>
          <w:color w:val="auto"/>
          <w:kern w:val="0"/>
        </w:rPr>
        <w:t>老年大学。包括科普、智能手机实用、养生、情趣培养、普法类等课程。</w:t>
      </w:r>
    </w:p>
    <w:p>
      <w:pPr>
        <w:widowControl/>
        <w:adjustRightInd w:val="0"/>
        <w:snapToGrid w:val="0"/>
        <w:spacing w:line="440" w:lineRule="exact"/>
        <w:ind w:firstLine="480" w:firstLineChars="200"/>
        <w:jc w:val="left"/>
        <w:outlineLvl w:val="4"/>
        <w:rPr>
          <w:rFonts w:ascii="宋体" w:hAnsi="宋体" w:eastAsia="宋体" w:cs="宋体"/>
          <w:color w:val="auto"/>
          <w:kern w:val="0"/>
        </w:rPr>
      </w:pPr>
      <w:r>
        <w:rPr>
          <w:rFonts w:ascii="宋体" w:hAnsi="宋体" w:eastAsia="宋体" w:cs="宋体"/>
          <w:color w:val="auto"/>
          <w:kern w:val="0"/>
        </w:rPr>
        <w:t>3.1.7</w:t>
      </w:r>
      <w:r>
        <w:rPr>
          <w:rFonts w:hint="eastAsia" w:ascii="宋体" w:hAnsi="宋体" w:eastAsia="宋体" w:cs="宋体"/>
          <w:color w:val="auto"/>
          <w:kern w:val="0"/>
        </w:rPr>
        <w:t>便民服务</w:t>
      </w:r>
    </w:p>
    <w:p>
      <w:pPr>
        <w:widowControl/>
        <w:adjustRightInd w:val="0"/>
        <w:snapToGrid w:val="0"/>
        <w:spacing w:line="440" w:lineRule="exact"/>
        <w:ind w:firstLine="480" w:firstLineChars="200"/>
        <w:jc w:val="left"/>
        <w:rPr>
          <w:rFonts w:ascii="宋体" w:hAnsi="宋体" w:eastAsia="宋体" w:cs="宋体"/>
          <w:color w:val="auto"/>
          <w:kern w:val="0"/>
        </w:rPr>
      </w:pPr>
      <w:r>
        <w:rPr>
          <w:rFonts w:hint="eastAsia" w:ascii="宋体" w:hAnsi="宋体" w:eastAsia="宋体" w:cs="宋体"/>
          <w:color w:val="auto"/>
          <w:kern w:val="0"/>
        </w:rPr>
        <w:t>为社区老年人提供生活用品代购、餐饮外卖、家政预约、代收代缴、挂号取药、上门巡诊等服务。</w:t>
      </w:r>
    </w:p>
    <w:p>
      <w:pPr>
        <w:widowControl/>
        <w:adjustRightInd w:val="0"/>
        <w:snapToGrid w:val="0"/>
        <w:spacing w:line="440" w:lineRule="exact"/>
        <w:ind w:firstLine="482" w:firstLineChars="200"/>
        <w:jc w:val="left"/>
        <w:outlineLvl w:val="3"/>
        <w:rPr>
          <w:rFonts w:ascii="宋体" w:hAnsi="宋体" w:eastAsia="宋体" w:cs="宋体"/>
          <w:b/>
          <w:bCs/>
          <w:color w:val="auto"/>
          <w:kern w:val="0"/>
        </w:rPr>
      </w:pPr>
      <w:r>
        <w:rPr>
          <w:rFonts w:ascii="宋体" w:hAnsi="宋体" w:eastAsia="宋体" w:cs="宋体"/>
          <w:b/>
          <w:bCs/>
          <w:color w:val="auto"/>
          <w:kern w:val="0"/>
        </w:rPr>
        <w:t>3.2</w:t>
      </w:r>
      <w:r>
        <w:rPr>
          <w:rFonts w:hint="eastAsia" w:ascii="宋体" w:hAnsi="宋体" w:eastAsia="宋体" w:cs="宋体"/>
          <w:b/>
          <w:bCs/>
          <w:color w:val="auto"/>
          <w:kern w:val="0"/>
        </w:rPr>
        <w:t>居家养老上门类服务</w:t>
      </w:r>
    </w:p>
    <w:p>
      <w:pPr>
        <w:widowControl/>
        <w:adjustRightInd w:val="0"/>
        <w:snapToGrid w:val="0"/>
        <w:spacing w:line="440" w:lineRule="exact"/>
        <w:ind w:firstLine="480" w:firstLineChars="200"/>
        <w:jc w:val="left"/>
        <w:outlineLvl w:val="4"/>
        <w:rPr>
          <w:rFonts w:ascii="宋体" w:hAnsi="宋体" w:eastAsia="宋体" w:cs="宋体"/>
          <w:color w:val="auto"/>
          <w:kern w:val="0"/>
        </w:rPr>
      </w:pPr>
      <w:r>
        <w:rPr>
          <w:rFonts w:ascii="宋体" w:hAnsi="宋体" w:eastAsia="宋体" w:cs="宋体"/>
          <w:color w:val="auto"/>
          <w:kern w:val="0"/>
        </w:rPr>
        <w:t>3.2.1</w:t>
      </w:r>
      <w:r>
        <w:rPr>
          <w:rFonts w:hint="eastAsia" w:ascii="宋体" w:hAnsi="宋体" w:eastAsia="宋体" w:cs="宋体"/>
          <w:color w:val="auto"/>
          <w:kern w:val="0"/>
        </w:rPr>
        <w:t>助餐</w:t>
      </w:r>
    </w:p>
    <w:p>
      <w:pPr>
        <w:widowControl/>
        <w:adjustRightInd w:val="0"/>
        <w:snapToGrid w:val="0"/>
        <w:spacing w:line="440" w:lineRule="exact"/>
        <w:ind w:firstLine="480" w:firstLineChars="200"/>
        <w:jc w:val="left"/>
        <w:rPr>
          <w:rFonts w:ascii="宋体" w:hAnsi="宋体" w:eastAsia="宋体" w:cs="宋体"/>
          <w:color w:val="auto"/>
          <w:kern w:val="0"/>
        </w:rPr>
      </w:pPr>
      <w:r>
        <w:rPr>
          <w:rFonts w:hint="eastAsia" w:ascii="宋体" w:hAnsi="宋体" w:eastAsia="宋体" w:cs="宋体"/>
          <w:color w:val="auto"/>
          <w:kern w:val="0"/>
        </w:rPr>
        <w:t>上门送餐。</w:t>
      </w:r>
    </w:p>
    <w:p>
      <w:pPr>
        <w:widowControl/>
        <w:adjustRightInd w:val="0"/>
        <w:snapToGrid w:val="0"/>
        <w:spacing w:line="440" w:lineRule="exact"/>
        <w:ind w:firstLine="480" w:firstLineChars="200"/>
        <w:jc w:val="left"/>
        <w:outlineLvl w:val="4"/>
        <w:rPr>
          <w:rFonts w:ascii="宋体" w:hAnsi="宋体" w:eastAsia="宋体" w:cs="宋体"/>
          <w:color w:val="auto"/>
          <w:kern w:val="0"/>
        </w:rPr>
      </w:pPr>
      <w:r>
        <w:rPr>
          <w:rFonts w:ascii="宋体" w:hAnsi="宋体" w:eastAsia="宋体" w:cs="宋体"/>
          <w:color w:val="auto"/>
          <w:kern w:val="0"/>
        </w:rPr>
        <w:t>3.2.2</w:t>
      </w:r>
      <w:r>
        <w:rPr>
          <w:rFonts w:hint="eastAsia" w:ascii="宋体" w:hAnsi="宋体" w:eastAsia="宋体" w:cs="宋体"/>
          <w:color w:val="auto"/>
          <w:kern w:val="0"/>
        </w:rPr>
        <w:t>助急</w:t>
      </w:r>
    </w:p>
    <w:p>
      <w:pPr>
        <w:widowControl/>
        <w:adjustRightInd w:val="0"/>
        <w:snapToGrid w:val="0"/>
        <w:spacing w:line="440" w:lineRule="exact"/>
        <w:ind w:firstLine="480" w:firstLineChars="200"/>
        <w:jc w:val="left"/>
        <w:rPr>
          <w:rFonts w:ascii="宋体" w:hAnsi="宋体" w:eastAsia="宋体" w:cs="宋体"/>
          <w:color w:val="auto"/>
          <w:kern w:val="0"/>
        </w:rPr>
      </w:pPr>
      <w:r>
        <w:rPr>
          <w:rFonts w:hint="eastAsia" w:ascii="宋体" w:hAnsi="宋体" w:eastAsia="宋体" w:cs="宋体"/>
          <w:color w:val="auto"/>
          <w:kern w:val="0"/>
        </w:rPr>
        <w:t>（</w:t>
      </w:r>
      <w:r>
        <w:rPr>
          <w:rFonts w:ascii="宋体" w:hAnsi="宋体" w:eastAsia="宋体" w:cs="宋体"/>
          <w:color w:val="auto"/>
          <w:kern w:val="0"/>
        </w:rPr>
        <w:t>1</w:t>
      </w:r>
      <w:r>
        <w:rPr>
          <w:rFonts w:hint="eastAsia" w:ascii="宋体" w:hAnsi="宋体" w:eastAsia="宋体" w:cs="宋体"/>
          <w:color w:val="auto"/>
          <w:kern w:val="0"/>
        </w:rPr>
        <w:t>）通过呼叫平台，及时上门响应各类紧急救援需求。</w:t>
      </w:r>
    </w:p>
    <w:p>
      <w:pPr>
        <w:widowControl/>
        <w:adjustRightInd w:val="0"/>
        <w:snapToGrid w:val="0"/>
        <w:spacing w:line="440" w:lineRule="exact"/>
        <w:ind w:firstLine="480" w:firstLineChars="200"/>
        <w:jc w:val="left"/>
        <w:rPr>
          <w:rFonts w:ascii="宋体" w:hAnsi="宋体" w:eastAsia="宋体" w:cs="宋体"/>
          <w:color w:val="auto"/>
          <w:kern w:val="0"/>
        </w:rPr>
      </w:pPr>
      <w:r>
        <w:rPr>
          <w:rFonts w:hint="eastAsia" w:ascii="宋体" w:hAnsi="宋体" w:eastAsia="宋体" w:cs="宋体"/>
          <w:color w:val="auto"/>
          <w:kern w:val="0"/>
        </w:rPr>
        <w:t>（</w:t>
      </w:r>
      <w:r>
        <w:rPr>
          <w:rFonts w:ascii="宋体" w:hAnsi="宋体" w:eastAsia="宋体" w:cs="宋体"/>
          <w:color w:val="auto"/>
          <w:kern w:val="0"/>
        </w:rPr>
        <w:t>2</w:t>
      </w:r>
      <w:r>
        <w:rPr>
          <w:rFonts w:hint="eastAsia" w:ascii="宋体" w:hAnsi="宋体" w:eastAsia="宋体" w:cs="宋体"/>
          <w:color w:val="auto"/>
          <w:kern w:val="0"/>
        </w:rPr>
        <w:t>）家电维修。提供家电维修、开换锁等上门服务。</w:t>
      </w:r>
    </w:p>
    <w:p>
      <w:pPr>
        <w:widowControl/>
        <w:adjustRightInd w:val="0"/>
        <w:snapToGrid w:val="0"/>
        <w:spacing w:line="440" w:lineRule="exact"/>
        <w:ind w:firstLine="480" w:firstLineChars="200"/>
        <w:jc w:val="left"/>
        <w:outlineLvl w:val="4"/>
        <w:rPr>
          <w:rFonts w:ascii="宋体" w:hAnsi="宋体" w:eastAsia="宋体" w:cs="宋体"/>
          <w:color w:val="auto"/>
          <w:kern w:val="0"/>
        </w:rPr>
      </w:pPr>
      <w:r>
        <w:rPr>
          <w:rFonts w:ascii="宋体" w:hAnsi="宋体" w:eastAsia="宋体" w:cs="宋体"/>
          <w:color w:val="auto"/>
          <w:kern w:val="0"/>
        </w:rPr>
        <w:t>3.2.3</w:t>
      </w:r>
      <w:r>
        <w:rPr>
          <w:rFonts w:hint="eastAsia" w:ascii="宋体" w:hAnsi="宋体" w:eastAsia="宋体" w:cs="宋体"/>
          <w:color w:val="auto"/>
          <w:kern w:val="0"/>
        </w:rPr>
        <w:t>助医</w:t>
      </w:r>
    </w:p>
    <w:p>
      <w:pPr>
        <w:widowControl/>
        <w:adjustRightInd w:val="0"/>
        <w:snapToGrid w:val="0"/>
        <w:spacing w:line="440" w:lineRule="exact"/>
        <w:ind w:firstLine="480" w:firstLineChars="200"/>
        <w:jc w:val="left"/>
        <w:rPr>
          <w:rFonts w:ascii="宋体" w:hAnsi="宋体" w:eastAsia="宋体" w:cs="宋体"/>
          <w:color w:val="auto"/>
          <w:kern w:val="0"/>
        </w:rPr>
      </w:pPr>
      <w:r>
        <w:rPr>
          <w:rFonts w:hint="eastAsia" w:ascii="宋体" w:hAnsi="宋体" w:eastAsia="宋体" w:cs="宋体"/>
          <w:color w:val="auto"/>
          <w:kern w:val="0"/>
        </w:rPr>
        <w:t>（</w:t>
      </w:r>
      <w:r>
        <w:rPr>
          <w:rFonts w:ascii="宋体" w:hAnsi="宋体" w:eastAsia="宋体" w:cs="宋体"/>
          <w:color w:val="auto"/>
          <w:kern w:val="0"/>
        </w:rPr>
        <w:t>1</w:t>
      </w:r>
      <w:r>
        <w:rPr>
          <w:rFonts w:hint="eastAsia" w:ascii="宋体" w:hAnsi="宋体" w:eastAsia="宋体" w:cs="宋体"/>
          <w:color w:val="auto"/>
          <w:kern w:val="0"/>
        </w:rPr>
        <w:t>）护理：上门提供失禁护理、床上移动、擦浴、更衣等护理服务。</w:t>
      </w:r>
    </w:p>
    <w:p>
      <w:pPr>
        <w:widowControl/>
        <w:adjustRightInd w:val="0"/>
        <w:snapToGrid w:val="0"/>
        <w:spacing w:line="440" w:lineRule="exact"/>
        <w:ind w:firstLine="480" w:firstLineChars="200"/>
        <w:jc w:val="left"/>
        <w:rPr>
          <w:rFonts w:ascii="宋体" w:hAnsi="宋体" w:eastAsia="宋体" w:cs="宋体"/>
          <w:color w:val="auto"/>
          <w:kern w:val="0"/>
        </w:rPr>
      </w:pPr>
      <w:r>
        <w:rPr>
          <w:rFonts w:hint="eastAsia" w:ascii="宋体" w:hAnsi="宋体" w:eastAsia="宋体" w:cs="宋体"/>
          <w:color w:val="auto"/>
          <w:kern w:val="0"/>
        </w:rPr>
        <w:t>（</w:t>
      </w:r>
      <w:r>
        <w:rPr>
          <w:rFonts w:ascii="宋体" w:hAnsi="宋体" w:eastAsia="宋体" w:cs="宋体"/>
          <w:color w:val="auto"/>
          <w:kern w:val="0"/>
        </w:rPr>
        <w:t>2</w:t>
      </w:r>
      <w:r>
        <w:rPr>
          <w:rFonts w:hint="eastAsia" w:ascii="宋体" w:hAnsi="宋体" w:eastAsia="宋体" w:cs="宋体"/>
          <w:color w:val="auto"/>
          <w:kern w:val="0"/>
        </w:rPr>
        <w:t>）理疗：上门提供足疗、推拿、拔罐、刮痧等服务。</w:t>
      </w:r>
    </w:p>
    <w:p>
      <w:pPr>
        <w:pStyle w:val="49"/>
        <w:ind w:left="0" w:firstLine="31680"/>
        <w:rPr>
          <w:rFonts w:ascii="宋体" w:cs="宋体"/>
          <w:color w:val="auto"/>
        </w:rPr>
      </w:pPr>
      <w:r>
        <w:rPr>
          <w:rFonts w:hint="eastAsia" w:ascii="宋体" w:hAnsi="宋体" w:cs="宋体"/>
          <w:color w:val="auto"/>
        </w:rPr>
        <w:t>（</w:t>
      </w:r>
      <w:r>
        <w:rPr>
          <w:rFonts w:ascii="宋体" w:hAnsi="宋体" w:cs="宋体"/>
          <w:color w:val="auto"/>
        </w:rPr>
        <w:t>3</w:t>
      </w:r>
      <w:r>
        <w:rPr>
          <w:rFonts w:hint="eastAsia" w:ascii="宋体" w:hAnsi="宋体" w:cs="宋体"/>
          <w:color w:val="auto"/>
        </w:rPr>
        <w:t>）生命健康监测：上门提供血压、血糖、心电图监测服务。</w:t>
      </w:r>
    </w:p>
    <w:p>
      <w:pPr>
        <w:pStyle w:val="49"/>
        <w:ind w:left="0" w:firstLine="31680"/>
        <w:rPr>
          <w:rFonts w:ascii="宋体" w:cs="宋体"/>
          <w:color w:val="auto"/>
        </w:rPr>
      </w:pPr>
      <w:r>
        <w:rPr>
          <w:rFonts w:ascii="宋体" w:hAnsi="宋体" w:cs="宋体"/>
          <w:color w:val="auto"/>
        </w:rPr>
        <w:t>3.2.4</w:t>
      </w:r>
      <w:r>
        <w:rPr>
          <w:rFonts w:hint="eastAsia" w:ascii="宋体" w:hAnsi="宋体" w:cs="宋体"/>
          <w:color w:val="auto"/>
        </w:rPr>
        <w:t>助行</w:t>
      </w:r>
    </w:p>
    <w:p>
      <w:pPr>
        <w:widowControl/>
        <w:adjustRightInd w:val="0"/>
        <w:snapToGrid w:val="0"/>
        <w:spacing w:line="440" w:lineRule="exact"/>
        <w:ind w:firstLine="480" w:firstLineChars="200"/>
        <w:jc w:val="left"/>
        <w:rPr>
          <w:rFonts w:ascii="宋体" w:hAnsi="宋体" w:eastAsia="宋体" w:cs="宋体"/>
          <w:color w:val="auto"/>
          <w:kern w:val="0"/>
        </w:rPr>
      </w:pPr>
      <w:r>
        <w:rPr>
          <w:rFonts w:hint="eastAsia" w:ascii="宋体" w:hAnsi="宋体" w:eastAsia="宋体" w:cs="宋体"/>
          <w:color w:val="auto"/>
          <w:kern w:val="0"/>
        </w:rPr>
        <w:t>提供陪同出行、陪同就医、陪同出游等服务。</w:t>
      </w:r>
    </w:p>
    <w:p>
      <w:pPr>
        <w:widowControl/>
        <w:adjustRightInd w:val="0"/>
        <w:snapToGrid w:val="0"/>
        <w:spacing w:line="440" w:lineRule="exact"/>
        <w:ind w:firstLine="480" w:firstLineChars="200"/>
        <w:jc w:val="left"/>
        <w:outlineLvl w:val="4"/>
        <w:rPr>
          <w:rFonts w:ascii="宋体" w:hAnsi="宋体" w:eastAsia="宋体" w:cs="宋体"/>
          <w:color w:val="auto"/>
          <w:kern w:val="0"/>
        </w:rPr>
      </w:pPr>
      <w:r>
        <w:rPr>
          <w:rFonts w:ascii="宋体" w:hAnsi="宋体" w:eastAsia="宋体" w:cs="宋体"/>
          <w:color w:val="auto"/>
          <w:kern w:val="0"/>
        </w:rPr>
        <w:t>3.2.5</w:t>
      </w:r>
      <w:r>
        <w:rPr>
          <w:rFonts w:hint="eastAsia" w:ascii="宋体" w:hAnsi="宋体" w:eastAsia="宋体" w:cs="宋体"/>
          <w:color w:val="auto"/>
          <w:kern w:val="0"/>
        </w:rPr>
        <w:t>助洁</w:t>
      </w:r>
    </w:p>
    <w:p>
      <w:pPr>
        <w:widowControl/>
        <w:adjustRightInd w:val="0"/>
        <w:snapToGrid w:val="0"/>
        <w:spacing w:line="440" w:lineRule="exact"/>
        <w:ind w:firstLine="480" w:firstLineChars="200"/>
        <w:jc w:val="left"/>
        <w:rPr>
          <w:rFonts w:ascii="宋体" w:hAnsi="宋体" w:eastAsia="宋体" w:cs="宋体"/>
          <w:color w:val="auto"/>
          <w:kern w:val="0"/>
        </w:rPr>
      </w:pPr>
      <w:r>
        <w:rPr>
          <w:rFonts w:hint="eastAsia" w:ascii="宋体" w:hAnsi="宋体" w:eastAsia="宋体" w:cs="宋体"/>
          <w:color w:val="auto"/>
          <w:kern w:val="0"/>
        </w:rPr>
        <w:t>上门提供居室清洁、环境清理、服装加工清洗、挪移家具等家政服务。</w:t>
      </w:r>
    </w:p>
    <w:p>
      <w:pPr>
        <w:widowControl/>
        <w:adjustRightInd w:val="0"/>
        <w:snapToGrid w:val="0"/>
        <w:spacing w:line="440" w:lineRule="exact"/>
        <w:ind w:firstLine="480" w:firstLineChars="200"/>
        <w:jc w:val="left"/>
        <w:outlineLvl w:val="4"/>
        <w:rPr>
          <w:rFonts w:ascii="宋体" w:hAnsi="宋体" w:eastAsia="宋体" w:cs="宋体"/>
          <w:color w:val="auto"/>
          <w:kern w:val="0"/>
        </w:rPr>
      </w:pPr>
      <w:r>
        <w:rPr>
          <w:rFonts w:ascii="宋体" w:hAnsi="宋体" w:eastAsia="宋体" w:cs="宋体"/>
          <w:color w:val="auto"/>
          <w:kern w:val="0"/>
        </w:rPr>
        <w:t>3.2.6</w:t>
      </w:r>
      <w:r>
        <w:rPr>
          <w:rFonts w:hint="eastAsia" w:ascii="宋体" w:hAnsi="宋体" w:eastAsia="宋体" w:cs="宋体"/>
          <w:color w:val="auto"/>
          <w:kern w:val="0"/>
        </w:rPr>
        <w:t>助安</w:t>
      </w:r>
    </w:p>
    <w:p>
      <w:pPr>
        <w:widowControl/>
        <w:adjustRightInd w:val="0"/>
        <w:snapToGrid w:val="0"/>
        <w:spacing w:line="440" w:lineRule="exact"/>
        <w:ind w:firstLine="480" w:firstLineChars="200"/>
        <w:jc w:val="left"/>
        <w:rPr>
          <w:rFonts w:ascii="宋体" w:hAnsi="宋体" w:eastAsia="宋体" w:cs="宋体"/>
          <w:color w:val="auto"/>
          <w:kern w:val="0"/>
        </w:rPr>
      </w:pPr>
      <w:r>
        <w:rPr>
          <w:rFonts w:hint="eastAsia" w:ascii="宋体" w:hAnsi="宋体" w:eastAsia="宋体" w:cs="宋体"/>
          <w:color w:val="auto"/>
          <w:kern w:val="0"/>
        </w:rPr>
        <w:t>（</w:t>
      </w:r>
      <w:r>
        <w:rPr>
          <w:rFonts w:ascii="宋体" w:hAnsi="宋体" w:eastAsia="宋体" w:cs="宋体"/>
          <w:color w:val="auto"/>
          <w:kern w:val="0"/>
        </w:rPr>
        <w:t>1</w:t>
      </w:r>
      <w:r>
        <w:rPr>
          <w:rFonts w:hint="eastAsia" w:ascii="宋体" w:hAnsi="宋体" w:eastAsia="宋体" w:cs="宋体"/>
          <w:color w:val="auto"/>
          <w:kern w:val="0"/>
        </w:rPr>
        <w:t>）安心敲门。对孤寡老年人定期敲门问候，知状况、解难题。（具体名单由街道提供）。</w:t>
      </w:r>
    </w:p>
    <w:p>
      <w:pPr>
        <w:widowControl/>
        <w:adjustRightInd w:val="0"/>
        <w:snapToGrid w:val="0"/>
        <w:spacing w:line="440" w:lineRule="exact"/>
        <w:ind w:firstLine="480" w:firstLineChars="200"/>
        <w:jc w:val="left"/>
        <w:rPr>
          <w:rFonts w:ascii="宋体" w:hAnsi="宋体" w:eastAsia="宋体" w:cs="宋体"/>
          <w:color w:val="auto"/>
          <w:kern w:val="0"/>
        </w:rPr>
      </w:pPr>
      <w:r>
        <w:rPr>
          <w:rFonts w:hint="eastAsia" w:ascii="宋体" w:hAnsi="宋体" w:eastAsia="宋体" w:cs="宋体"/>
          <w:color w:val="auto"/>
          <w:kern w:val="0"/>
        </w:rPr>
        <w:t>（</w:t>
      </w:r>
      <w:r>
        <w:rPr>
          <w:rFonts w:ascii="宋体" w:hAnsi="宋体" w:eastAsia="宋体" w:cs="宋体"/>
          <w:color w:val="auto"/>
          <w:kern w:val="0"/>
        </w:rPr>
        <w:t>2</w:t>
      </w:r>
      <w:r>
        <w:rPr>
          <w:rFonts w:hint="eastAsia" w:ascii="宋体" w:hAnsi="宋体" w:eastAsia="宋体" w:cs="宋体"/>
          <w:color w:val="auto"/>
          <w:kern w:val="0"/>
        </w:rPr>
        <w:t>）上门提供适老化改造服务，包括安装扶手、更换移门滑门、消除段位差等，便于老年人活动和保障安全。</w:t>
      </w:r>
    </w:p>
    <w:p>
      <w:pPr>
        <w:widowControl/>
        <w:adjustRightInd w:val="0"/>
        <w:snapToGrid w:val="0"/>
        <w:spacing w:line="440" w:lineRule="exact"/>
        <w:ind w:firstLine="480" w:firstLineChars="200"/>
        <w:jc w:val="left"/>
        <w:rPr>
          <w:rFonts w:ascii="宋体" w:hAnsi="宋体" w:eastAsia="宋体" w:cs="宋体"/>
          <w:color w:val="auto"/>
          <w:kern w:val="0"/>
        </w:rPr>
      </w:pPr>
      <w:r>
        <w:rPr>
          <w:rFonts w:hint="eastAsia" w:ascii="宋体" w:hAnsi="宋体" w:eastAsia="宋体" w:cs="宋体"/>
          <w:color w:val="auto"/>
          <w:kern w:val="0"/>
        </w:rPr>
        <w:t>（</w:t>
      </w:r>
      <w:r>
        <w:rPr>
          <w:rFonts w:ascii="宋体" w:hAnsi="宋体" w:eastAsia="宋体" w:cs="宋体"/>
          <w:color w:val="auto"/>
          <w:kern w:val="0"/>
        </w:rPr>
        <w:t>3</w:t>
      </w:r>
      <w:r>
        <w:rPr>
          <w:rFonts w:hint="eastAsia" w:ascii="宋体" w:hAnsi="宋体" w:eastAsia="宋体" w:cs="宋体"/>
          <w:color w:val="auto"/>
          <w:kern w:val="0"/>
        </w:rPr>
        <w:t>）租售安全防护器材、帮助上下楼梯、陪同服务等。</w:t>
      </w:r>
    </w:p>
    <w:p>
      <w:pPr>
        <w:widowControl/>
        <w:adjustRightInd w:val="0"/>
        <w:snapToGrid w:val="0"/>
        <w:spacing w:line="440" w:lineRule="exact"/>
        <w:ind w:firstLine="480" w:firstLineChars="200"/>
        <w:jc w:val="left"/>
        <w:outlineLvl w:val="4"/>
        <w:rPr>
          <w:rFonts w:ascii="宋体" w:hAnsi="宋体" w:eastAsia="宋体" w:cs="宋体"/>
          <w:color w:val="auto"/>
          <w:kern w:val="0"/>
        </w:rPr>
      </w:pPr>
      <w:r>
        <w:rPr>
          <w:rFonts w:ascii="宋体" w:hAnsi="宋体" w:eastAsia="宋体" w:cs="宋体"/>
          <w:color w:val="auto"/>
          <w:kern w:val="0"/>
        </w:rPr>
        <w:t>3.2.7</w:t>
      </w:r>
      <w:r>
        <w:rPr>
          <w:rFonts w:hint="eastAsia" w:ascii="宋体" w:hAnsi="宋体" w:eastAsia="宋体" w:cs="宋体"/>
          <w:color w:val="auto"/>
          <w:kern w:val="0"/>
        </w:rPr>
        <w:t>助浴</w:t>
      </w:r>
    </w:p>
    <w:p>
      <w:pPr>
        <w:widowControl/>
        <w:adjustRightInd w:val="0"/>
        <w:snapToGrid w:val="0"/>
        <w:spacing w:line="440" w:lineRule="exact"/>
        <w:ind w:firstLine="480" w:firstLineChars="200"/>
        <w:jc w:val="left"/>
        <w:rPr>
          <w:rFonts w:ascii="宋体" w:hAnsi="宋体" w:eastAsia="宋体" w:cs="宋体"/>
          <w:color w:val="auto"/>
          <w:kern w:val="0"/>
        </w:rPr>
      </w:pPr>
      <w:r>
        <w:rPr>
          <w:rFonts w:hint="eastAsia" w:ascii="宋体" w:hAnsi="宋体" w:eastAsia="宋体" w:cs="宋体"/>
          <w:color w:val="auto"/>
          <w:kern w:val="0"/>
        </w:rPr>
        <w:t>提供上门助浴服务。</w:t>
      </w:r>
    </w:p>
    <w:p>
      <w:pPr>
        <w:widowControl/>
        <w:adjustRightInd w:val="0"/>
        <w:snapToGrid w:val="0"/>
        <w:spacing w:line="440" w:lineRule="exact"/>
        <w:ind w:firstLine="480" w:firstLineChars="200"/>
        <w:jc w:val="left"/>
        <w:outlineLvl w:val="4"/>
        <w:rPr>
          <w:rFonts w:ascii="宋体" w:hAnsi="宋体" w:eastAsia="宋体" w:cs="宋体"/>
          <w:color w:val="auto"/>
          <w:kern w:val="0"/>
        </w:rPr>
      </w:pPr>
      <w:r>
        <w:rPr>
          <w:rFonts w:ascii="宋体" w:hAnsi="宋体" w:eastAsia="宋体" w:cs="宋体"/>
          <w:color w:val="auto"/>
          <w:kern w:val="0"/>
        </w:rPr>
        <w:t>3.2.8</w:t>
      </w:r>
      <w:r>
        <w:rPr>
          <w:rFonts w:hint="eastAsia" w:ascii="宋体" w:hAnsi="宋体" w:eastAsia="宋体" w:cs="宋体"/>
          <w:color w:val="auto"/>
          <w:kern w:val="0"/>
        </w:rPr>
        <w:t>助乐</w:t>
      </w:r>
    </w:p>
    <w:p>
      <w:pPr>
        <w:widowControl/>
        <w:adjustRightInd w:val="0"/>
        <w:snapToGrid w:val="0"/>
        <w:spacing w:line="440" w:lineRule="exact"/>
        <w:ind w:firstLine="480" w:firstLineChars="200"/>
        <w:jc w:val="left"/>
        <w:rPr>
          <w:rFonts w:ascii="宋体" w:hAnsi="宋体" w:eastAsia="宋体" w:cs="宋体"/>
          <w:color w:val="auto"/>
          <w:kern w:val="0"/>
        </w:rPr>
      </w:pPr>
      <w:r>
        <w:rPr>
          <w:rFonts w:hint="eastAsia" w:ascii="宋体" w:hAnsi="宋体" w:eastAsia="宋体" w:cs="宋体"/>
          <w:color w:val="auto"/>
          <w:kern w:val="0"/>
        </w:rPr>
        <w:t>提供精神慰藉、陪聊、陪读等服务。</w:t>
      </w:r>
    </w:p>
    <w:p>
      <w:pPr>
        <w:widowControl/>
        <w:adjustRightInd w:val="0"/>
        <w:snapToGrid w:val="0"/>
        <w:spacing w:line="440" w:lineRule="exact"/>
        <w:ind w:firstLine="480" w:firstLineChars="200"/>
        <w:jc w:val="left"/>
        <w:outlineLvl w:val="4"/>
        <w:rPr>
          <w:rFonts w:ascii="宋体" w:hAnsi="宋体" w:eastAsia="宋体" w:cs="宋体"/>
          <w:color w:val="auto"/>
          <w:kern w:val="0"/>
        </w:rPr>
      </w:pPr>
      <w:r>
        <w:rPr>
          <w:rFonts w:ascii="宋体" w:hAnsi="宋体" w:eastAsia="宋体" w:cs="宋体"/>
          <w:color w:val="auto"/>
          <w:kern w:val="0"/>
        </w:rPr>
        <w:t>3.2.9</w:t>
      </w:r>
      <w:r>
        <w:rPr>
          <w:rFonts w:hint="eastAsia" w:ascii="宋体" w:hAnsi="宋体" w:eastAsia="宋体" w:cs="宋体"/>
          <w:color w:val="auto"/>
          <w:kern w:val="0"/>
        </w:rPr>
        <w:t>家庭支持</w:t>
      </w:r>
    </w:p>
    <w:p>
      <w:pPr>
        <w:widowControl/>
        <w:adjustRightInd w:val="0"/>
        <w:snapToGrid w:val="0"/>
        <w:spacing w:line="440" w:lineRule="exact"/>
        <w:ind w:firstLine="480" w:firstLineChars="200"/>
        <w:jc w:val="left"/>
        <w:rPr>
          <w:rFonts w:ascii="宋体" w:hAnsi="宋体" w:eastAsia="宋体" w:cs="宋体"/>
          <w:color w:val="auto"/>
          <w:kern w:val="0"/>
        </w:rPr>
      </w:pPr>
      <w:r>
        <w:rPr>
          <w:rFonts w:hint="eastAsia" w:ascii="宋体" w:hAnsi="宋体" w:eastAsia="宋体" w:cs="宋体"/>
          <w:color w:val="auto"/>
          <w:kern w:val="0"/>
        </w:rPr>
        <w:t>（</w:t>
      </w:r>
      <w:r>
        <w:rPr>
          <w:rFonts w:ascii="宋体" w:hAnsi="宋体" w:eastAsia="宋体" w:cs="宋体"/>
          <w:color w:val="auto"/>
          <w:kern w:val="0"/>
        </w:rPr>
        <w:t>1</w:t>
      </w:r>
      <w:r>
        <w:rPr>
          <w:rFonts w:hint="eastAsia" w:ascii="宋体" w:hAnsi="宋体" w:eastAsia="宋体" w:cs="宋体"/>
          <w:color w:val="auto"/>
          <w:kern w:val="0"/>
        </w:rPr>
        <w:t>）家政培训。上门为家庭成员提供家政知识培训。</w:t>
      </w:r>
    </w:p>
    <w:p>
      <w:pPr>
        <w:pStyle w:val="21"/>
        <w:spacing w:line="420" w:lineRule="exact"/>
        <w:ind w:left="31680" w:firstLine="31680"/>
        <w:rPr>
          <w:rFonts w:asci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）护理培训。上门为家庭成员提供家庭成员老年护理知识培训。</w:t>
      </w:r>
    </w:p>
    <w:p>
      <w:pPr>
        <w:widowControl/>
        <w:adjustRightInd w:val="0"/>
        <w:snapToGrid w:val="0"/>
        <w:spacing w:line="440" w:lineRule="exact"/>
        <w:ind w:firstLine="482" w:firstLineChars="200"/>
        <w:jc w:val="left"/>
        <w:rPr>
          <w:rFonts w:ascii="宋体" w:hAnsi="宋体" w:eastAsia="宋体" w:cs="宋体"/>
          <w:b/>
          <w:bCs/>
          <w:color w:val="auto"/>
          <w:kern w:val="0"/>
        </w:rPr>
      </w:pPr>
      <w:r>
        <w:rPr>
          <w:rFonts w:hint="eastAsia" w:ascii="宋体" w:hAnsi="宋体" w:eastAsia="宋体" w:cs="宋体"/>
          <w:b/>
          <w:bCs/>
          <w:color w:val="auto"/>
          <w:kern w:val="0"/>
        </w:rPr>
        <w:t>以上功能配置是采购人要求的最基本的功能配置要求，供应商不得减少。鼓励供应商根据自己的服务特色，在服务方案内自行增加具有创新的服务功能，但新增服务功能必须书面征得采购人同意后方可对外开放、实施。</w:t>
      </w:r>
    </w:p>
    <w:p>
      <w:pPr>
        <w:widowControl/>
        <w:adjustRightInd w:val="0"/>
        <w:snapToGrid w:val="0"/>
        <w:spacing w:line="440" w:lineRule="exact"/>
        <w:ind w:firstLine="482" w:firstLineChars="200"/>
        <w:jc w:val="left"/>
        <w:rPr>
          <w:rFonts w:ascii="宋体" w:hAnsi="宋体" w:eastAsia="宋体" w:cs="宋体"/>
          <w:b/>
          <w:bCs/>
          <w:color w:val="auto"/>
          <w:kern w:val="0"/>
        </w:rPr>
      </w:pPr>
      <w:r>
        <w:rPr>
          <w:rFonts w:ascii="宋体" w:hAnsi="宋体" w:eastAsia="宋体" w:cs="宋体"/>
          <w:b/>
          <w:bCs/>
          <w:color w:val="auto"/>
          <w:kern w:val="0"/>
        </w:rPr>
        <w:t>4.</w:t>
      </w:r>
      <w:r>
        <w:rPr>
          <w:rFonts w:hint="eastAsia" w:ascii="宋体" w:hAnsi="宋体" w:eastAsia="宋体" w:cs="宋体"/>
          <w:b/>
          <w:bCs/>
          <w:color w:val="auto"/>
          <w:kern w:val="0"/>
        </w:rPr>
        <w:t>服务项目清单及收费标准</w:t>
      </w:r>
    </w:p>
    <w:p>
      <w:pPr>
        <w:widowControl/>
        <w:adjustRightInd w:val="0"/>
        <w:snapToGrid w:val="0"/>
        <w:spacing w:line="440" w:lineRule="exact"/>
        <w:ind w:firstLine="480" w:firstLineChars="200"/>
        <w:jc w:val="left"/>
        <w:rPr>
          <w:rFonts w:ascii="宋体" w:hAnsi="宋体" w:eastAsia="宋体" w:cs="宋体"/>
          <w:color w:val="auto"/>
          <w:kern w:val="0"/>
        </w:rPr>
      </w:pPr>
      <w:r>
        <w:rPr>
          <w:rFonts w:hint="eastAsia" w:ascii="宋体" w:hAnsi="宋体" w:eastAsia="宋体" w:cs="宋体"/>
          <w:color w:val="auto"/>
          <w:kern w:val="0"/>
        </w:rPr>
        <w:t>收费标准为供应商提供各项服务的最高收费标准，中标后，供应商可根据自身实力及具体情况制定服务价格并报采购人审核，审核通过后对外公示服务价格，服务期内不得调整）。供应商可根据自己服务特色、服务方案自行增加服务功能，但新增服务功能及收费标准必须书面征得采购人同意后方可执行。（若当地物价部门有其他审核意见的，以物价部门给出的意见为准。）</w:t>
      </w:r>
    </w:p>
    <w:p>
      <w:pPr>
        <w:spacing w:line="420" w:lineRule="exact"/>
        <w:jc w:val="center"/>
        <w:outlineLvl w:val="3"/>
        <w:rPr>
          <w:rFonts w:ascii="宋体" w:hAnsi="宋体" w:eastAsia="宋体" w:cs="宋体"/>
          <w:b/>
          <w:bCs/>
          <w:color w:val="auto"/>
        </w:rPr>
      </w:pPr>
      <w:r>
        <w:rPr>
          <w:rFonts w:hint="eastAsia" w:ascii="宋体" w:hAnsi="宋体" w:eastAsia="宋体" w:cs="宋体"/>
          <w:b/>
          <w:bCs/>
          <w:color w:val="auto"/>
          <w:kern w:val="0"/>
        </w:rPr>
        <w:t>钟秀街道居家和社区养老基本服务项目清单一览表</w:t>
      </w:r>
    </w:p>
    <w:tbl>
      <w:tblPr>
        <w:tblStyle w:val="50"/>
        <w:tblW w:w="9639" w:type="dxa"/>
        <w:tblInd w:w="108" w:type="dxa"/>
        <w:tblLayout w:type="fixed"/>
        <w:tblCellMar>
          <w:top w:w="0" w:type="dxa"/>
          <w:left w:w="108" w:type="dxa"/>
          <w:bottom w:w="0" w:type="dxa"/>
          <w:right w:w="108" w:type="dxa"/>
        </w:tblCellMar>
      </w:tblPr>
      <w:tblGrid>
        <w:gridCol w:w="709"/>
        <w:gridCol w:w="1276"/>
        <w:gridCol w:w="1984"/>
        <w:gridCol w:w="5670"/>
      </w:tblGrid>
      <w:tr>
        <w:tblPrEx>
          <w:tblCellMar>
            <w:top w:w="0" w:type="dxa"/>
            <w:left w:w="108" w:type="dxa"/>
            <w:bottom w:w="0" w:type="dxa"/>
            <w:right w:w="108" w:type="dxa"/>
          </w:tblCellMar>
        </w:tblPrEx>
        <w:trPr>
          <w:trHeight w:val="510" w:hRule="atLeast"/>
          <w:tblHeader/>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spacing w:line="420" w:lineRule="exact"/>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序号</w:t>
            </w:r>
          </w:p>
        </w:tc>
        <w:tc>
          <w:tcPr>
            <w:tcW w:w="1276" w:type="dxa"/>
            <w:tcBorders>
              <w:top w:val="single" w:color="auto" w:sz="4" w:space="0"/>
              <w:left w:val="nil"/>
              <w:bottom w:val="single" w:color="auto" w:sz="4" w:space="0"/>
              <w:right w:val="single" w:color="auto" w:sz="4" w:space="0"/>
            </w:tcBorders>
            <w:noWrap/>
            <w:vAlign w:val="center"/>
          </w:tcPr>
          <w:p>
            <w:pPr>
              <w:widowControl/>
              <w:spacing w:line="420" w:lineRule="exact"/>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服务类别</w:t>
            </w:r>
          </w:p>
        </w:tc>
        <w:tc>
          <w:tcPr>
            <w:tcW w:w="1984" w:type="dxa"/>
            <w:tcBorders>
              <w:top w:val="single" w:color="auto" w:sz="4" w:space="0"/>
              <w:left w:val="nil"/>
              <w:bottom w:val="single" w:color="auto" w:sz="4" w:space="0"/>
              <w:right w:val="single" w:color="auto" w:sz="4" w:space="0"/>
            </w:tcBorders>
            <w:noWrap/>
            <w:vAlign w:val="center"/>
          </w:tcPr>
          <w:p>
            <w:pPr>
              <w:widowControl/>
              <w:spacing w:line="420" w:lineRule="exact"/>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服务项目</w:t>
            </w:r>
          </w:p>
        </w:tc>
        <w:tc>
          <w:tcPr>
            <w:tcW w:w="5670"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收费标准</w:t>
            </w:r>
          </w:p>
        </w:tc>
      </w:tr>
      <w:tr>
        <w:tblPrEx>
          <w:tblCellMar>
            <w:top w:w="0" w:type="dxa"/>
            <w:left w:w="108" w:type="dxa"/>
            <w:bottom w:w="0" w:type="dxa"/>
            <w:right w:w="108" w:type="dxa"/>
          </w:tblCellMar>
        </w:tblPrEx>
        <w:trPr>
          <w:trHeight w:val="420" w:hRule="atLeast"/>
        </w:trPr>
        <w:tc>
          <w:tcPr>
            <w:tcW w:w="709" w:type="dxa"/>
            <w:vMerge w:val="restart"/>
            <w:tcBorders>
              <w:top w:val="nil"/>
              <w:left w:val="single" w:color="auto" w:sz="4" w:space="0"/>
              <w:bottom w:val="single" w:color="auto" w:sz="4" w:space="0"/>
              <w:right w:val="single" w:color="auto" w:sz="4" w:space="0"/>
            </w:tcBorders>
            <w:noWrap/>
            <w:vAlign w:val="center"/>
          </w:tcPr>
          <w:p>
            <w:pPr>
              <w:widowControl/>
              <w:spacing w:line="42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w:t>
            </w:r>
          </w:p>
        </w:tc>
        <w:tc>
          <w:tcPr>
            <w:tcW w:w="1276" w:type="dxa"/>
            <w:vMerge w:val="restart"/>
            <w:tcBorders>
              <w:top w:val="nil"/>
              <w:left w:val="single" w:color="auto" w:sz="4" w:space="0"/>
              <w:bottom w:val="single" w:color="auto" w:sz="4" w:space="0"/>
              <w:right w:val="single" w:color="auto" w:sz="4" w:space="0"/>
            </w:tcBorders>
            <w:noWrap/>
            <w:vAlign w:val="center"/>
          </w:tcPr>
          <w:p>
            <w:pPr>
              <w:widowControl/>
              <w:spacing w:line="42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助餐配餐</w:t>
            </w:r>
          </w:p>
        </w:tc>
        <w:tc>
          <w:tcPr>
            <w:tcW w:w="1984" w:type="dxa"/>
            <w:tcBorders>
              <w:top w:val="nil"/>
              <w:left w:val="nil"/>
              <w:bottom w:val="single" w:color="auto" w:sz="4" w:space="0"/>
              <w:right w:val="single" w:color="auto" w:sz="4" w:space="0"/>
            </w:tcBorders>
            <w:noWrap/>
            <w:vAlign w:val="center"/>
          </w:tcPr>
          <w:p>
            <w:pPr>
              <w:widowControl/>
              <w:spacing w:line="42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定点用餐</w:t>
            </w:r>
          </w:p>
        </w:tc>
        <w:tc>
          <w:tcPr>
            <w:tcW w:w="5670"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午餐标准：</w:t>
            </w:r>
            <w:r>
              <w:rPr>
                <w:rFonts w:ascii="宋体" w:hAnsi="宋体" w:eastAsia="宋体" w:cs="宋体"/>
                <w:color w:val="auto"/>
                <w:kern w:val="0"/>
                <w:sz w:val="21"/>
                <w:szCs w:val="21"/>
              </w:rPr>
              <w:t>10</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/20</w:t>
            </w:r>
            <w:r>
              <w:rPr>
                <w:rFonts w:hint="eastAsia" w:ascii="宋体" w:hAnsi="宋体" w:eastAsia="宋体" w:cs="宋体"/>
                <w:color w:val="auto"/>
                <w:kern w:val="0"/>
                <w:sz w:val="21"/>
                <w:szCs w:val="21"/>
              </w:rPr>
              <w:t>元。</w:t>
            </w:r>
          </w:p>
        </w:tc>
      </w:tr>
      <w:tr>
        <w:tblPrEx>
          <w:tblCellMar>
            <w:top w:w="0" w:type="dxa"/>
            <w:left w:w="108" w:type="dxa"/>
            <w:bottom w:w="0" w:type="dxa"/>
            <w:right w:w="108" w:type="dxa"/>
          </w:tblCellMar>
        </w:tblPrEx>
        <w:trPr>
          <w:trHeight w:val="42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984" w:type="dxa"/>
            <w:tcBorders>
              <w:top w:val="nil"/>
              <w:left w:val="nil"/>
              <w:bottom w:val="single" w:color="auto" w:sz="4" w:space="0"/>
              <w:right w:val="single" w:color="auto" w:sz="4" w:space="0"/>
            </w:tcBorders>
            <w:noWrap/>
            <w:vAlign w:val="center"/>
          </w:tcPr>
          <w:p>
            <w:pPr>
              <w:widowControl/>
              <w:spacing w:line="42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送餐配餐</w:t>
            </w:r>
          </w:p>
        </w:tc>
        <w:tc>
          <w:tcPr>
            <w:tcW w:w="5670"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午餐标准：</w:t>
            </w:r>
            <w:r>
              <w:rPr>
                <w:rFonts w:ascii="宋体" w:hAnsi="宋体" w:eastAsia="宋体" w:cs="宋体"/>
                <w:color w:val="auto"/>
                <w:kern w:val="0"/>
                <w:sz w:val="21"/>
                <w:szCs w:val="21"/>
              </w:rPr>
              <w:t>12</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10</w:t>
            </w:r>
            <w:r>
              <w:rPr>
                <w:rFonts w:hint="eastAsia" w:ascii="宋体" w:hAnsi="宋体" w:eastAsia="宋体" w:cs="宋体"/>
                <w:color w:val="auto"/>
                <w:kern w:val="0"/>
                <w:sz w:val="21"/>
                <w:szCs w:val="21"/>
              </w:rPr>
              <w:t>元餐</w:t>
            </w:r>
            <w:r>
              <w:rPr>
                <w:rFonts w:ascii="宋体" w:hAnsi="宋体" w:eastAsia="宋体" w:cs="宋体"/>
                <w:color w:val="auto"/>
                <w:kern w:val="0"/>
                <w:sz w:val="21"/>
                <w:szCs w:val="21"/>
              </w:rPr>
              <w:t>+2</w:t>
            </w:r>
            <w:r>
              <w:rPr>
                <w:rFonts w:hint="eastAsia" w:ascii="宋体" w:hAnsi="宋体" w:eastAsia="宋体" w:cs="宋体"/>
                <w:color w:val="auto"/>
                <w:kern w:val="0"/>
                <w:sz w:val="21"/>
                <w:szCs w:val="21"/>
              </w:rPr>
              <w:t>元配送费）</w:t>
            </w:r>
          </w:p>
          <w:p>
            <w:pPr>
              <w:widowControl/>
              <w:spacing w:line="420" w:lineRule="exact"/>
              <w:ind w:firstLine="1050" w:firstLineChars="500"/>
              <w:jc w:val="left"/>
              <w:rPr>
                <w:rFonts w:ascii="宋体" w:hAnsi="宋体" w:eastAsia="宋体" w:cs="宋体"/>
                <w:color w:val="auto"/>
                <w:kern w:val="0"/>
                <w:sz w:val="21"/>
                <w:szCs w:val="21"/>
              </w:rPr>
            </w:pPr>
            <w:r>
              <w:rPr>
                <w:rFonts w:ascii="宋体" w:hAnsi="宋体" w:eastAsia="宋体" w:cs="宋体"/>
                <w:color w:val="auto"/>
                <w:kern w:val="0"/>
                <w:sz w:val="21"/>
                <w:szCs w:val="21"/>
              </w:rPr>
              <w:t>22</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20</w:t>
            </w:r>
            <w:r>
              <w:rPr>
                <w:rFonts w:hint="eastAsia" w:ascii="宋体" w:hAnsi="宋体" w:eastAsia="宋体" w:cs="宋体"/>
                <w:color w:val="auto"/>
                <w:kern w:val="0"/>
                <w:sz w:val="21"/>
                <w:szCs w:val="21"/>
              </w:rPr>
              <w:t>元餐</w:t>
            </w:r>
            <w:r>
              <w:rPr>
                <w:rFonts w:ascii="宋体" w:hAnsi="宋体" w:eastAsia="宋体" w:cs="宋体"/>
                <w:color w:val="auto"/>
                <w:kern w:val="0"/>
                <w:sz w:val="21"/>
                <w:szCs w:val="21"/>
              </w:rPr>
              <w:t>+2</w:t>
            </w:r>
            <w:r>
              <w:rPr>
                <w:rFonts w:hint="eastAsia" w:ascii="宋体" w:hAnsi="宋体" w:eastAsia="宋体" w:cs="宋体"/>
                <w:color w:val="auto"/>
                <w:kern w:val="0"/>
                <w:sz w:val="21"/>
                <w:szCs w:val="21"/>
              </w:rPr>
              <w:t>元配送费）</w:t>
            </w:r>
          </w:p>
        </w:tc>
      </w:tr>
      <w:tr>
        <w:tblPrEx>
          <w:tblCellMar>
            <w:top w:w="0" w:type="dxa"/>
            <w:left w:w="108" w:type="dxa"/>
            <w:bottom w:w="0" w:type="dxa"/>
            <w:right w:w="108" w:type="dxa"/>
          </w:tblCellMar>
        </w:tblPrEx>
        <w:trPr>
          <w:trHeight w:val="462" w:hRule="atLeast"/>
        </w:trPr>
        <w:tc>
          <w:tcPr>
            <w:tcW w:w="709" w:type="dxa"/>
            <w:vMerge w:val="restart"/>
            <w:tcBorders>
              <w:top w:val="nil"/>
              <w:left w:val="single" w:color="auto" w:sz="4" w:space="0"/>
              <w:bottom w:val="single" w:color="auto" w:sz="4" w:space="0"/>
              <w:right w:val="single" w:color="auto" w:sz="4" w:space="0"/>
            </w:tcBorders>
            <w:noWrap/>
            <w:vAlign w:val="center"/>
          </w:tcPr>
          <w:p>
            <w:pPr>
              <w:widowControl/>
              <w:spacing w:line="42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w:t>
            </w:r>
            <w:r>
              <w:rPr>
                <w:rFonts w:ascii="宋体" w:hAnsi="宋体" w:eastAsia="宋体" w:cs="宋体"/>
                <w:color w:val="auto"/>
                <w:kern w:val="0"/>
                <w:sz w:val="21"/>
                <w:szCs w:val="21"/>
              </w:rPr>
              <w:t>2</w:t>
            </w:r>
            <w:r>
              <w:rPr>
                <w:rFonts w:hint="eastAsia" w:ascii="宋体" w:hAnsi="宋体" w:eastAsia="宋体" w:cs="宋体"/>
                <w:color w:val="auto"/>
                <w:kern w:val="0"/>
                <w:sz w:val="21"/>
                <w:szCs w:val="21"/>
              </w:rPr>
              <w:t>）</w:t>
            </w:r>
          </w:p>
        </w:tc>
        <w:tc>
          <w:tcPr>
            <w:tcW w:w="1276" w:type="dxa"/>
            <w:vMerge w:val="restart"/>
            <w:tcBorders>
              <w:top w:val="nil"/>
              <w:left w:val="single" w:color="auto" w:sz="4" w:space="0"/>
              <w:bottom w:val="single" w:color="auto" w:sz="4" w:space="0"/>
              <w:right w:val="single" w:color="auto" w:sz="4" w:space="0"/>
            </w:tcBorders>
            <w:noWrap/>
            <w:vAlign w:val="center"/>
          </w:tcPr>
          <w:p>
            <w:pPr>
              <w:widowControl/>
              <w:spacing w:line="42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居家保洁</w:t>
            </w:r>
          </w:p>
        </w:tc>
        <w:tc>
          <w:tcPr>
            <w:tcW w:w="1984" w:type="dxa"/>
            <w:tcBorders>
              <w:top w:val="nil"/>
              <w:left w:val="nil"/>
              <w:bottom w:val="single" w:color="auto" w:sz="4" w:space="0"/>
              <w:right w:val="single" w:color="auto" w:sz="4" w:space="0"/>
            </w:tcBorders>
            <w:noWrap/>
            <w:vAlign w:val="center"/>
          </w:tcPr>
          <w:p>
            <w:pPr>
              <w:widowControl/>
              <w:spacing w:line="42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清洗油烟机</w:t>
            </w:r>
          </w:p>
        </w:tc>
        <w:tc>
          <w:tcPr>
            <w:tcW w:w="5670"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免拆洗</w:t>
            </w:r>
            <w:r>
              <w:rPr>
                <w:rFonts w:ascii="宋体" w:hAnsi="宋体" w:eastAsia="宋体" w:cs="宋体"/>
                <w:color w:val="auto"/>
                <w:kern w:val="0"/>
                <w:sz w:val="21"/>
                <w:szCs w:val="21"/>
              </w:rPr>
              <w:t>80</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次，拆洗</w:t>
            </w:r>
            <w:r>
              <w:rPr>
                <w:rFonts w:ascii="宋体" w:hAnsi="宋体" w:eastAsia="宋体" w:cs="宋体"/>
                <w:color w:val="auto"/>
                <w:kern w:val="0"/>
                <w:sz w:val="21"/>
                <w:szCs w:val="21"/>
              </w:rPr>
              <w:t>100</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次</w:t>
            </w:r>
          </w:p>
        </w:tc>
      </w:tr>
      <w:tr>
        <w:tblPrEx>
          <w:tblCellMar>
            <w:top w:w="0" w:type="dxa"/>
            <w:left w:w="108" w:type="dxa"/>
            <w:bottom w:w="0" w:type="dxa"/>
            <w:right w:w="108" w:type="dxa"/>
          </w:tblCellMar>
        </w:tblPrEx>
        <w:trPr>
          <w:trHeight w:val="554"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984" w:type="dxa"/>
            <w:tcBorders>
              <w:top w:val="nil"/>
              <w:left w:val="nil"/>
              <w:bottom w:val="single" w:color="auto" w:sz="4" w:space="0"/>
              <w:right w:val="single" w:color="auto" w:sz="4" w:space="0"/>
            </w:tcBorders>
            <w:noWrap/>
            <w:vAlign w:val="center"/>
          </w:tcPr>
          <w:p>
            <w:pPr>
              <w:widowControl/>
              <w:spacing w:line="42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清洗空调</w:t>
            </w:r>
          </w:p>
        </w:tc>
        <w:tc>
          <w:tcPr>
            <w:tcW w:w="5670"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r>
              <w:rPr>
                <w:rFonts w:ascii="宋体" w:hAnsi="宋体" w:eastAsia="宋体" w:cs="宋体"/>
                <w:color w:val="auto"/>
                <w:kern w:val="0"/>
                <w:sz w:val="21"/>
                <w:szCs w:val="21"/>
              </w:rPr>
              <w:t>100</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台</w:t>
            </w:r>
          </w:p>
        </w:tc>
      </w:tr>
      <w:tr>
        <w:tblPrEx>
          <w:tblCellMar>
            <w:top w:w="0" w:type="dxa"/>
            <w:left w:w="108" w:type="dxa"/>
            <w:bottom w:w="0" w:type="dxa"/>
            <w:right w:w="108" w:type="dxa"/>
          </w:tblCellMar>
        </w:tblPrEx>
        <w:trPr>
          <w:trHeight w:val="562"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984" w:type="dxa"/>
            <w:tcBorders>
              <w:top w:val="nil"/>
              <w:left w:val="nil"/>
              <w:bottom w:val="single" w:color="auto" w:sz="4" w:space="0"/>
              <w:right w:val="single" w:color="auto" w:sz="4" w:space="0"/>
            </w:tcBorders>
            <w:noWrap/>
            <w:vAlign w:val="center"/>
          </w:tcPr>
          <w:p>
            <w:pPr>
              <w:widowControl/>
              <w:spacing w:line="42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清洗饮水机</w:t>
            </w:r>
          </w:p>
        </w:tc>
        <w:tc>
          <w:tcPr>
            <w:tcW w:w="5670"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r>
              <w:rPr>
                <w:rFonts w:ascii="宋体" w:hAnsi="宋体" w:eastAsia="宋体" w:cs="宋体"/>
                <w:color w:val="auto"/>
                <w:kern w:val="0"/>
                <w:sz w:val="21"/>
                <w:szCs w:val="21"/>
              </w:rPr>
              <w:t>30</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台</w:t>
            </w:r>
          </w:p>
        </w:tc>
      </w:tr>
      <w:tr>
        <w:tblPrEx>
          <w:tblCellMar>
            <w:top w:w="0" w:type="dxa"/>
            <w:left w:w="108" w:type="dxa"/>
            <w:bottom w:w="0" w:type="dxa"/>
            <w:right w:w="108" w:type="dxa"/>
          </w:tblCellMar>
        </w:tblPrEx>
        <w:trPr>
          <w:trHeight w:val="57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984" w:type="dxa"/>
            <w:vMerge w:val="restart"/>
            <w:tcBorders>
              <w:top w:val="nil"/>
              <w:left w:val="single" w:color="auto" w:sz="4" w:space="0"/>
              <w:bottom w:val="single" w:color="auto" w:sz="4" w:space="0"/>
              <w:right w:val="single" w:color="auto" w:sz="4" w:space="0"/>
            </w:tcBorders>
            <w:noWrap/>
            <w:vAlign w:val="center"/>
          </w:tcPr>
          <w:p>
            <w:pPr>
              <w:widowControl/>
              <w:spacing w:line="42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房屋清洁</w:t>
            </w:r>
          </w:p>
        </w:tc>
        <w:tc>
          <w:tcPr>
            <w:tcW w:w="5670"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居室清洁、环境卫生整理</w:t>
            </w:r>
            <w:r>
              <w:rPr>
                <w:rFonts w:ascii="宋体" w:hAnsi="宋体" w:eastAsia="宋体" w:cs="宋体"/>
                <w:color w:val="auto"/>
                <w:kern w:val="0"/>
                <w:sz w:val="21"/>
                <w:szCs w:val="21"/>
              </w:rPr>
              <w:t>40</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小时</w:t>
            </w:r>
          </w:p>
        </w:tc>
      </w:tr>
      <w:tr>
        <w:tblPrEx>
          <w:tblCellMar>
            <w:top w:w="0" w:type="dxa"/>
            <w:left w:w="108" w:type="dxa"/>
            <w:bottom w:w="0" w:type="dxa"/>
            <w:right w:w="108" w:type="dxa"/>
          </w:tblCellMar>
        </w:tblPrEx>
        <w:trPr>
          <w:trHeight w:val="60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984"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5670"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擦玻璃</w:t>
            </w:r>
            <w:r>
              <w:rPr>
                <w:rFonts w:ascii="宋体" w:hAnsi="宋体" w:eastAsia="宋体" w:cs="宋体"/>
                <w:color w:val="auto"/>
                <w:kern w:val="0"/>
                <w:sz w:val="21"/>
                <w:szCs w:val="21"/>
              </w:rPr>
              <w:t>40</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小时（为确保工人安全，二层楼以上，外部玻璃不擦）</w:t>
            </w:r>
          </w:p>
        </w:tc>
      </w:tr>
      <w:tr>
        <w:tblPrEx>
          <w:tblCellMar>
            <w:top w:w="0" w:type="dxa"/>
            <w:left w:w="108" w:type="dxa"/>
            <w:bottom w:w="0" w:type="dxa"/>
            <w:right w:w="108" w:type="dxa"/>
          </w:tblCellMar>
        </w:tblPrEx>
        <w:trPr>
          <w:trHeight w:val="42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984"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5670"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地板打蜡</w:t>
            </w:r>
            <w:r>
              <w:rPr>
                <w:rFonts w:ascii="宋体" w:hAnsi="宋体" w:eastAsia="宋体" w:cs="宋体"/>
                <w:color w:val="auto"/>
                <w:kern w:val="0"/>
                <w:sz w:val="21"/>
                <w:szCs w:val="21"/>
              </w:rPr>
              <w:t>5</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平方米起（根据用蜡不同，确定收费标准）</w:t>
            </w:r>
          </w:p>
        </w:tc>
      </w:tr>
      <w:tr>
        <w:tblPrEx>
          <w:tblCellMar>
            <w:top w:w="0" w:type="dxa"/>
            <w:left w:w="108" w:type="dxa"/>
            <w:bottom w:w="0" w:type="dxa"/>
            <w:right w:w="108" w:type="dxa"/>
          </w:tblCellMar>
        </w:tblPrEx>
        <w:trPr>
          <w:trHeight w:val="42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984"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5670"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清洗地毯，普通纤维地毯</w:t>
            </w:r>
            <w:r>
              <w:rPr>
                <w:rFonts w:ascii="宋体" w:hAnsi="宋体" w:eastAsia="宋体" w:cs="宋体"/>
                <w:color w:val="auto"/>
                <w:kern w:val="0"/>
                <w:sz w:val="21"/>
                <w:szCs w:val="21"/>
              </w:rPr>
              <w:t>50</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件、纯毛地毯</w:t>
            </w:r>
            <w:r>
              <w:rPr>
                <w:rFonts w:ascii="宋体" w:hAnsi="宋体" w:eastAsia="宋体" w:cs="宋体"/>
                <w:color w:val="auto"/>
                <w:kern w:val="0"/>
                <w:sz w:val="21"/>
                <w:szCs w:val="21"/>
              </w:rPr>
              <w:t>150</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件起</w:t>
            </w:r>
          </w:p>
        </w:tc>
      </w:tr>
      <w:tr>
        <w:tblPrEx>
          <w:tblCellMar>
            <w:top w:w="0" w:type="dxa"/>
            <w:left w:w="108" w:type="dxa"/>
            <w:bottom w:w="0" w:type="dxa"/>
            <w:right w:w="108" w:type="dxa"/>
          </w:tblCellMar>
        </w:tblPrEx>
        <w:trPr>
          <w:trHeight w:val="63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984" w:type="dxa"/>
            <w:vMerge w:val="restart"/>
            <w:tcBorders>
              <w:top w:val="nil"/>
              <w:left w:val="single" w:color="auto" w:sz="4" w:space="0"/>
              <w:bottom w:val="single" w:color="auto" w:sz="4" w:space="0"/>
              <w:right w:val="single" w:color="auto" w:sz="4" w:space="0"/>
            </w:tcBorders>
            <w:noWrap/>
            <w:vAlign w:val="center"/>
          </w:tcPr>
          <w:p>
            <w:pPr>
              <w:widowControl/>
              <w:spacing w:line="42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洗衣物</w:t>
            </w:r>
          </w:p>
        </w:tc>
        <w:tc>
          <w:tcPr>
            <w:tcW w:w="5670"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定点服务，夏装</w:t>
            </w:r>
            <w:r>
              <w:rPr>
                <w:rFonts w:ascii="宋体" w:hAnsi="宋体" w:eastAsia="宋体" w:cs="宋体"/>
                <w:color w:val="auto"/>
                <w:kern w:val="0"/>
                <w:sz w:val="21"/>
                <w:szCs w:val="21"/>
              </w:rPr>
              <w:t>8</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件，冬装</w:t>
            </w:r>
            <w:r>
              <w:rPr>
                <w:rFonts w:ascii="宋体" w:hAnsi="宋体" w:eastAsia="宋体" w:cs="宋体"/>
                <w:color w:val="auto"/>
                <w:kern w:val="0"/>
                <w:sz w:val="21"/>
                <w:szCs w:val="21"/>
              </w:rPr>
              <w:t>20</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件起（一般按洗衣店公布的价格收取费用）</w:t>
            </w:r>
          </w:p>
        </w:tc>
      </w:tr>
      <w:tr>
        <w:tblPrEx>
          <w:tblCellMar>
            <w:top w:w="0" w:type="dxa"/>
            <w:left w:w="108" w:type="dxa"/>
            <w:bottom w:w="0" w:type="dxa"/>
            <w:right w:w="108" w:type="dxa"/>
          </w:tblCellMar>
        </w:tblPrEx>
        <w:trPr>
          <w:trHeight w:val="439"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984"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5670"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上门洗衣，夏装</w:t>
            </w:r>
            <w:r>
              <w:rPr>
                <w:rFonts w:ascii="宋体" w:hAnsi="宋体" w:eastAsia="宋体" w:cs="宋体"/>
                <w:color w:val="auto"/>
                <w:kern w:val="0"/>
                <w:sz w:val="21"/>
                <w:szCs w:val="21"/>
              </w:rPr>
              <w:t>10</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件，冬装</w:t>
            </w:r>
            <w:r>
              <w:rPr>
                <w:rFonts w:ascii="宋体" w:hAnsi="宋体" w:eastAsia="宋体" w:cs="宋体"/>
                <w:color w:val="auto"/>
                <w:kern w:val="0"/>
                <w:sz w:val="21"/>
                <w:szCs w:val="21"/>
              </w:rPr>
              <w:t>22</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件起</w:t>
            </w:r>
          </w:p>
        </w:tc>
      </w:tr>
      <w:tr>
        <w:tblPrEx>
          <w:tblCellMar>
            <w:top w:w="0" w:type="dxa"/>
            <w:left w:w="108" w:type="dxa"/>
            <w:bottom w:w="0" w:type="dxa"/>
            <w:right w:w="108" w:type="dxa"/>
          </w:tblCellMar>
        </w:tblPrEx>
        <w:trPr>
          <w:trHeight w:val="439"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984"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5670"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皮衣保养</w:t>
            </w:r>
            <w:r>
              <w:rPr>
                <w:rFonts w:ascii="宋体" w:hAnsi="宋体" w:eastAsia="宋体" w:cs="宋体"/>
                <w:color w:val="auto"/>
                <w:kern w:val="0"/>
                <w:sz w:val="21"/>
                <w:szCs w:val="21"/>
              </w:rPr>
              <w:t>150</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件起（一般按洗衣店公布的价格收取费用）</w:t>
            </w:r>
          </w:p>
        </w:tc>
      </w:tr>
      <w:tr>
        <w:tblPrEx>
          <w:tblCellMar>
            <w:top w:w="0" w:type="dxa"/>
            <w:left w:w="108" w:type="dxa"/>
            <w:bottom w:w="0" w:type="dxa"/>
            <w:right w:w="108" w:type="dxa"/>
          </w:tblCellMar>
        </w:tblPrEx>
        <w:trPr>
          <w:trHeight w:val="435"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984" w:type="dxa"/>
            <w:tcBorders>
              <w:top w:val="nil"/>
              <w:left w:val="nil"/>
              <w:bottom w:val="single" w:color="auto" w:sz="4" w:space="0"/>
              <w:right w:val="single" w:color="auto" w:sz="4" w:space="0"/>
            </w:tcBorders>
            <w:noWrap/>
            <w:vAlign w:val="center"/>
          </w:tcPr>
          <w:p>
            <w:pPr>
              <w:widowControl/>
              <w:spacing w:line="42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拆洗被褥、窗帘</w:t>
            </w:r>
          </w:p>
        </w:tc>
        <w:tc>
          <w:tcPr>
            <w:tcW w:w="5670"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r>
              <w:rPr>
                <w:rFonts w:ascii="宋体" w:hAnsi="宋体" w:eastAsia="宋体" w:cs="宋体"/>
                <w:color w:val="auto"/>
                <w:kern w:val="0"/>
                <w:sz w:val="21"/>
                <w:szCs w:val="21"/>
              </w:rPr>
              <w:t>60</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床，</w:t>
            </w:r>
            <w:r>
              <w:rPr>
                <w:rFonts w:ascii="宋体" w:hAnsi="宋体" w:eastAsia="宋体" w:cs="宋体"/>
                <w:color w:val="auto"/>
                <w:kern w:val="0"/>
                <w:sz w:val="21"/>
                <w:szCs w:val="21"/>
              </w:rPr>
              <w:t>50</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窗（包括拆洗、晾晒、整理）</w:t>
            </w:r>
          </w:p>
        </w:tc>
      </w:tr>
      <w:tr>
        <w:tblPrEx>
          <w:tblCellMar>
            <w:top w:w="0" w:type="dxa"/>
            <w:left w:w="108" w:type="dxa"/>
            <w:bottom w:w="0" w:type="dxa"/>
            <w:right w:w="108" w:type="dxa"/>
          </w:tblCellMar>
        </w:tblPrEx>
        <w:trPr>
          <w:trHeight w:val="360" w:hRule="atLeast"/>
        </w:trPr>
        <w:tc>
          <w:tcPr>
            <w:tcW w:w="709" w:type="dxa"/>
            <w:vMerge w:val="restart"/>
            <w:tcBorders>
              <w:top w:val="nil"/>
              <w:left w:val="single" w:color="auto" w:sz="4" w:space="0"/>
              <w:bottom w:val="single" w:color="auto" w:sz="4" w:space="0"/>
              <w:right w:val="single" w:color="auto" w:sz="4" w:space="0"/>
            </w:tcBorders>
            <w:noWrap/>
            <w:vAlign w:val="center"/>
          </w:tcPr>
          <w:p>
            <w:pPr>
              <w:widowControl/>
              <w:spacing w:line="42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w:t>
            </w:r>
            <w:r>
              <w:rPr>
                <w:rFonts w:ascii="宋体" w:hAnsi="宋体" w:eastAsia="宋体" w:cs="宋体"/>
                <w:color w:val="auto"/>
                <w:kern w:val="0"/>
                <w:sz w:val="21"/>
                <w:szCs w:val="21"/>
              </w:rPr>
              <w:t>3</w:t>
            </w:r>
            <w:r>
              <w:rPr>
                <w:rFonts w:hint="eastAsia" w:ascii="宋体" w:hAnsi="宋体" w:eastAsia="宋体" w:cs="宋体"/>
                <w:color w:val="auto"/>
                <w:kern w:val="0"/>
                <w:sz w:val="21"/>
                <w:szCs w:val="21"/>
              </w:rPr>
              <w:t>）</w:t>
            </w:r>
          </w:p>
        </w:tc>
        <w:tc>
          <w:tcPr>
            <w:tcW w:w="1276" w:type="dxa"/>
            <w:vMerge w:val="restart"/>
            <w:tcBorders>
              <w:top w:val="nil"/>
              <w:left w:val="single" w:color="auto" w:sz="4" w:space="0"/>
              <w:bottom w:val="single" w:color="auto" w:sz="4" w:space="0"/>
              <w:right w:val="single" w:color="auto" w:sz="4" w:space="0"/>
            </w:tcBorders>
            <w:noWrap/>
            <w:vAlign w:val="center"/>
          </w:tcPr>
          <w:p>
            <w:pPr>
              <w:widowControl/>
              <w:spacing w:line="42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生活照料</w:t>
            </w:r>
          </w:p>
        </w:tc>
        <w:tc>
          <w:tcPr>
            <w:tcW w:w="1984" w:type="dxa"/>
            <w:vMerge w:val="restart"/>
            <w:tcBorders>
              <w:top w:val="nil"/>
              <w:left w:val="single" w:color="auto" w:sz="4" w:space="0"/>
              <w:bottom w:val="single" w:color="auto" w:sz="4" w:space="0"/>
              <w:right w:val="single" w:color="auto" w:sz="4" w:space="0"/>
            </w:tcBorders>
            <w:noWrap/>
            <w:vAlign w:val="center"/>
          </w:tcPr>
          <w:p>
            <w:pPr>
              <w:widowControl/>
              <w:spacing w:line="42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助浴</w:t>
            </w:r>
          </w:p>
        </w:tc>
        <w:tc>
          <w:tcPr>
            <w:tcW w:w="5670"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定点助浴</w:t>
            </w:r>
            <w:r>
              <w:rPr>
                <w:rFonts w:ascii="宋体" w:hAnsi="宋体" w:eastAsia="宋体" w:cs="宋体"/>
                <w:color w:val="auto"/>
                <w:kern w:val="0"/>
                <w:sz w:val="21"/>
                <w:szCs w:val="21"/>
              </w:rPr>
              <w:t>20</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次（使用淋浴设备，配套坐浴椅，全身清洗）</w:t>
            </w:r>
          </w:p>
        </w:tc>
      </w:tr>
      <w:tr>
        <w:tblPrEx>
          <w:tblCellMar>
            <w:top w:w="0" w:type="dxa"/>
            <w:left w:w="108" w:type="dxa"/>
            <w:bottom w:w="0" w:type="dxa"/>
            <w:right w:w="108" w:type="dxa"/>
          </w:tblCellMar>
        </w:tblPrEx>
        <w:trPr>
          <w:trHeight w:val="36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984"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5670"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上门助浴</w:t>
            </w:r>
            <w:r>
              <w:rPr>
                <w:rFonts w:ascii="宋体" w:hAnsi="宋体" w:eastAsia="宋体" w:cs="宋体"/>
                <w:color w:val="auto"/>
                <w:kern w:val="0"/>
                <w:sz w:val="21"/>
                <w:szCs w:val="21"/>
              </w:rPr>
              <w:t>40</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次（使用淋浴设备，配套坐浴椅，全身清洗）</w:t>
            </w:r>
          </w:p>
        </w:tc>
      </w:tr>
      <w:tr>
        <w:tblPrEx>
          <w:tblCellMar>
            <w:top w:w="0" w:type="dxa"/>
            <w:left w:w="108" w:type="dxa"/>
            <w:bottom w:w="0" w:type="dxa"/>
            <w:right w:w="108" w:type="dxa"/>
          </w:tblCellMar>
        </w:tblPrEx>
        <w:trPr>
          <w:trHeight w:val="36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984"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5670"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失能助浴</w:t>
            </w:r>
            <w:r>
              <w:rPr>
                <w:rFonts w:ascii="宋体" w:hAnsi="宋体" w:eastAsia="宋体" w:cs="宋体"/>
                <w:color w:val="auto"/>
                <w:kern w:val="0"/>
                <w:sz w:val="21"/>
                <w:szCs w:val="21"/>
              </w:rPr>
              <w:t>60</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次（使用充气洗浴床和洗澡机，全身清洗）</w:t>
            </w:r>
          </w:p>
        </w:tc>
      </w:tr>
      <w:tr>
        <w:tblPrEx>
          <w:tblCellMar>
            <w:top w:w="0" w:type="dxa"/>
            <w:left w:w="108" w:type="dxa"/>
            <w:bottom w:w="0" w:type="dxa"/>
            <w:right w:w="108" w:type="dxa"/>
          </w:tblCellMar>
        </w:tblPrEx>
        <w:trPr>
          <w:trHeight w:val="36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984"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5670"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搓澡</w:t>
            </w:r>
            <w:r>
              <w:rPr>
                <w:rFonts w:ascii="宋体" w:hAnsi="宋体" w:eastAsia="宋体" w:cs="宋体"/>
                <w:color w:val="auto"/>
                <w:kern w:val="0"/>
                <w:sz w:val="21"/>
                <w:szCs w:val="21"/>
              </w:rPr>
              <w:t>10</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次</w:t>
            </w:r>
          </w:p>
        </w:tc>
      </w:tr>
      <w:tr>
        <w:tblPrEx>
          <w:tblCellMar>
            <w:top w:w="0" w:type="dxa"/>
            <w:left w:w="108" w:type="dxa"/>
            <w:bottom w:w="0" w:type="dxa"/>
            <w:right w:w="108" w:type="dxa"/>
          </w:tblCellMar>
        </w:tblPrEx>
        <w:trPr>
          <w:trHeight w:val="36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984" w:type="dxa"/>
            <w:tcBorders>
              <w:top w:val="nil"/>
              <w:left w:val="single" w:color="auto" w:sz="4" w:space="0"/>
              <w:bottom w:val="single" w:color="auto" w:sz="4" w:space="0"/>
              <w:right w:val="single" w:color="auto" w:sz="4" w:space="0"/>
            </w:tcBorders>
            <w:noWrap/>
            <w:vAlign w:val="center"/>
          </w:tcPr>
          <w:p>
            <w:pPr>
              <w:widowControl/>
              <w:spacing w:line="420" w:lineRule="exact"/>
              <w:ind w:firstLine="210" w:firstLineChars="100"/>
              <w:rPr>
                <w:rFonts w:ascii="宋体" w:hAnsi="宋体" w:eastAsia="宋体" w:cs="宋体"/>
                <w:color w:val="auto"/>
                <w:kern w:val="0"/>
                <w:sz w:val="21"/>
                <w:szCs w:val="21"/>
              </w:rPr>
            </w:pPr>
            <w:r>
              <w:rPr>
                <w:rFonts w:hint="eastAsia" w:ascii="宋体" w:hAnsi="宋体" w:eastAsia="宋体" w:cs="宋体"/>
                <w:color w:val="auto"/>
                <w:kern w:val="0"/>
                <w:sz w:val="21"/>
                <w:szCs w:val="21"/>
              </w:rPr>
              <w:t>生命健康监测</w:t>
            </w:r>
          </w:p>
        </w:tc>
        <w:tc>
          <w:tcPr>
            <w:tcW w:w="5670"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上门检测血压、血糖、心电图</w:t>
            </w:r>
            <w:r>
              <w:rPr>
                <w:rFonts w:ascii="宋体" w:hAnsi="宋体" w:eastAsia="宋体" w:cs="宋体"/>
                <w:color w:val="auto"/>
                <w:kern w:val="0"/>
                <w:sz w:val="21"/>
                <w:szCs w:val="21"/>
              </w:rPr>
              <w:t>40</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次</w:t>
            </w:r>
          </w:p>
        </w:tc>
      </w:tr>
      <w:tr>
        <w:tblPrEx>
          <w:tblCellMar>
            <w:top w:w="0" w:type="dxa"/>
            <w:left w:w="108" w:type="dxa"/>
            <w:bottom w:w="0" w:type="dxa"/>
            <w:right w:w="108" w:type="dxa"/>
          </w:tblCellMar>
        </w:tblPrEx>
        <w:trPr>
          <w:trHeight w:val="36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984" w:type="dxa"/>
            <w:vMerge w:val="restart"/>
            <w:tcBorders>
              <w:top w:val="nil"/>
              <w:left w:val="single" w:color="auto" w:sz="4" w:space="0"/>
              <w:bottom w:val="single" w:color="auto" w:sz="4" w:space="0"/>
              <w:right w:val="single" w:color="auto" w:sz="4" w:space="0"/>
            </w:tcBorders>
            <w:noWrap/>
            <w:vAlign w:val="center"/>
          </w:tcPr>
          <w:p>
            <w:pPr>
              <w:widowControl/>
              <w:spacing w:line="42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理发</w:t>
            </w:r>
          </w:p>
        </w:tc>
        <w:tc>
          <w:tcPr>
            <w:tcW w:w="5670"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定点服务</w:t>
            </w:r>
            <w:r>
              <w:rPr>
                <w:rFonts w:ascii="宋体" w:hAnsi="宋体" w:eastAsia="宋体" w:cs="宋体"/>
                <w:color w:val="auto"/>
                <w:kern w:val="0"/>
                <w:sz w:val="21"/>
                <w:szCs w:val="21"/>
              </w:rPr>
              <w:t>10</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次</w:t>
            </w:r>
          </w:p>
        </w:tc>
      </w:tr>
      <w:tr>
        <w:tblPrEx>
          <w:tblCellMar>
            <w:top w:w="0" w:type="dxa"/>
            <w:left w:w="108" w:type="dxa"/>
            <w:bottom w:w="0" w:type="dxa"/>
            <w:right w:w="108" w:type="dxa"/>
          </w:tblCellMar>
        </w:tblPrEx>
        <w:trPr>
          <w:trHeight w:val="36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984"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5670"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上门理发</w:t>
            </w:r>
            <w:r>
              <w:rPr>
                <w:rFonts w:ascii="宋体" w:hAnsi="宋体" w:eastAsia="宋体" w:cs="宋体"/>
                <w:color w:val="auto"/>
                <w:kern w:val="0"/>
                <w:sz w:val="21"/>
                <w:szCs w:val="21"/>
              </w:rPr>
              <w:t>30</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次</w:t>
            </w:r>
          </w:p>
        </w:tc>
      </w:tr>
      <w:tr>
        <w:tblPrEx>
          <w:tblCellMar>
            <w:top w:w="0" w:type="dxa"/>
            <w:left w:w="108" w:type="dxa"/>
            <w:bottom w:w="0" w:type="dxa"/>
            <w:right w:w="108" w:type="dxa"/>
          </w:tblCellMar>
        </w:tblPrEx>
        <w:trPr>
          <w:trHeight w:val="36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984"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5670"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染发</w:t>
            </w:r>
            <w:r>
              <w:rPr>
                <w:rFonts w:ascii="宋体" w:hAnsi="宋体" w:eastAsia="宋体" w:cs="宋体"/>
                <w:color w:val="auto"/>
                <w:kern w:val="0"/>
                <w:sz w:val="21"/>
                <w:szCs w:val="21"/>
              </w:rPr>
              <w:t>30</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次起（染发根据使用材料和工艺不同，）</w:t>
            </w:r>
          </w:p>
        </w:tc>
      </w:tr>
      <w:tr>
        <w:tblPrEx>
          <w:tblCellMar>
            <w:top w:w="0" w:type="dxa"/>
            <w:left w:w="108" w:type="dxa"/>
            <w:bottom w:w="0" w:type="dxa"/>
            <w:right w:w="108" w:type="dxa"/>
          </w:tblCellMar>
        </w:tblPrEx>
        <w:trPr>
          <w:trHeight w:val="545"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984" w:type="dxa"/>
            <w:vMerge w:val="restart"/>
            <w:tcBorders>
              <w:top w:val="nil"/>
              <w:left w:val="single" w:color="auto" w:sz="4" w:space="0"/>
              <w:bottom w:val="single" w:color="auto" w:sz="4" w:space="0"/>
              <w:right w:val="single" w:color="auto" w:sz="4" w:space="0"/>
            </w:tcBorders>
            <w:noWrap/>
            <w:vAlign w:val="center"/>
          </w:tcPr>
          <w:p>
            <w:pPr>
              <w:widowControl/>
              <w:spacing w:line="42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修脚</w:t>
            </w:r>
          </w:p>
        </w:tc>
        <w:tc>
          <w:tcPr>
            <w:tcW w:w="5670"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定点服务</w:t>
            </w:r>
            <w:r>
              <w:rPr>
                <w:rFonts w:ascii="宋体" w:hAnsi="宋体" w:eastAsia="宋体" w:cs="宋体"/>
                <w:color w:val="auto"/>
                <w:kern w:val="0"/>
                <w:sz w:val="21"/>
                <w:szCs w:val="21"/>
              </w:rPr>
              <w:t>30</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次（普通修脚，刮死皮、剪指甲等）</w:t>
            </w:r>
          </w:p>
        </w:tc>
      </w:tr>
      <w:tr>
        <w:tblPrEx>
          <w:tblCellMar>
            <w:top w:w="0" w:type="dxa"/>
            <w:left w:w="108" w:type="dxa"/>
            <w:bottom w:w="0" w:type="dxa"/>
            <w:right w:w="108" w:type="dxa"/>
          </w:tblCellMar>
        </w:tblPrEx>
        <w:trPr>
          <w:trHeight w:val="536"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984"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5670"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上门修脚</w:t>
            </w:r>
            <w:r>
              <w:rPr>
                <w:rFonts w:ascii="宋体" w:hAnsi="宋体" w:eastAsia="宋体" w:cs="宋体"/>
                <w:color w:val="auto"/>
                <w:kern w:val="0"/>
                <w:sz w:val="21"/>
                <w:szCs w:val="21"/>
              </w:rPr>
              <w:t>50</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次（普通修脚，刮死皮、剪指甲等）</w:t>
            </w:r>
          </w:p>
        </w:tc>
      </w:tr>
      <w:tr>
        <w:tblPrEx>
          <w:tblCellMar>
            <w:top w:w="0" w:type="dxa"/>
            <w:left w:w="108" w:type="dxa"/>
            <w:bottom w:w="0" w:type="dxa"/>
            <w:right w:w="108" w:type="dxa"/>
          </w:tblCellMar>
        </w:tblPrEx>
        <w:trPr>
          <w:trHeight w:val="529"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984"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5670"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鸡眼</w:t>
            </w:r>
            <w:r>
              <w:rPr>
                <w:rFonts w:ascii="宋体" w:hAnsi="宋体" w:eastAsia="宋体" w:cs="宋体"/>
                <w:color w:val="auto"/>
                <w:kern w:val="0"/>
                <w:sz w:val="21"/>
                <w:szCs w:val="21"/>
              </w:rPr>
              <w:t>10</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次（不含用药）</w:t>
            </w:r>
          </w:p>
        </w:tc>
      </w:tr>
      <w:tr>
        <w:tblPrEx>
          <w:tblCellMar>
            <w:top w:w="0" w:type="dxa"/>
            <w:left w:w="108" w:type="dxa"/>
            <w:bottom w:w="0" w:type="dxa"/>
            <w:right w:w="108" w:type="dxa"/>
          </w:tblCellMar>
        </w:tblPrEx>
        <w:trPr>
          <w:trHeight w:val="535"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984"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5670"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治甲沟炎</w:t>
            </w:r>
            <w:r>
              <w:rPr>
                <w:rFonts w:ascii="宋体" w:hAnsi="宋体" w:eastAsia="宋体" w:cs="宋体"/>
                <w:color w:val="auto"/>
                <w:kern w:val="0"/>
                <w:sz w:val="21"/>
                <w:szCs w:val="21"/>
              </w:rPr>
              <w:t>10</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次（不含用药）</w:t>
            </w:r>
          </w:p>
        </w:tc>
      </w:tr>
      <w:tr>
        <w:tblPrEx>
          <w:tblCellMar>
            <w:top w:w="0" w:type="dxa"/>
            <w:left w:w="108" w:type="dxa"/>
            <w:bottom w:w="0" w:type="dxa"/>
            <w:right w:w="108" w:type="dxa"/>
          </w:tblCellMar>
        </w:tblPrEx>
        <w:trPr>
          <w:trHeight w:val="36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984"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5670"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修垫核</w:t>
            </w:r>
            <w:r>
              <w:rPr>
                <w:rFonts w:ascii="宋体" w:hAnsi="宋体" w:eastAsia="宋体" w:cs="宋体"/>
                <w:color w:val="auto"/>
                <w:kern w:val="0"/>
                <w:sz w:val="21"/>
                <w:szCs w:val="21"/>
              </w:rPr>
              <w:t>10</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次（不含用药）</w:t>
            </w:r>
          </w:p>
        </w:tc>
      </w:tr>
      <w:tr>
        <w:tblPrEx>
          <w:tblCellMar>
            <w:top w:w="0" w:type="dxa"/>
            <w:left w:w="108" w:type="dxa"/>
            <w:bottom w:w="0" w:type="dxa"/>
            <w:right w:w="108" w:type="dxa"/>
          </w:tblCellMar>
        </w:tblPrEx>
        <w:trPr>
          <w:trHeight w:val="36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984"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5670"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修灰指甲</w:t>
            </w:r>
            <w:r>
              <w:rPr>
                <w:rFonts w:ascii="宋体" w:hAnsi="宋体" w:eastAsia="宋体" w:cs="宋体"/>
                <w:color w:val="auto"/>
                <w:kern w:val="0"/>
                <w:sz w:val="21"/>
                <w:szCs w:val="21"/>
              </w:rPr>
              <w:t>10</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次（不含用药）</w:t>
            </w:r>
          </w:p>
        </w:tc>
      </w:tr>
      <w:tr>
        <w:tblPrEx>
          <w:tblCellMar>
            <w:top w:w="0" w:type="dxa"/>
            <w:left w:w="108" w:type="dxa"/>
            <w:bottom w:w="0" w:type="dxa"/>
            <w:right w:w="108" w:type="dxa"/>
          </w:tblCellMar>
        </w:tblPrEx>
        <w:trPr>
          <w:trHeight w:val="475"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984"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5670"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修脚垫</w:t>
            </w:r>
            <w:r>
              <w:rPr>
                <w:rFonts w:ascii="宋体" w:hAnsi="宋体" w:eastAsia="宋体" w:cs="宋体"/>
                <w:color w:val="auto"/>
                <w:kern w:val="0"/>
                <w:sz w:val="21"/>
                <w:szCs w:val="21"/>
              </w:rPr>
              <w:t>10</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次（不含用药）</w:t>
            </w:r>
          </w:p>
        </w:tc>
      </w:tr>
      <w:tr>
        <w:tblPrEx>
          <w:tblCellMar>
            <w:top w:w="0" w:type="dxa"/>
            <w:left w:w="108" w:type="dxa"/>
            <w:bottom w:w="0" w:type="dxa"/>
            <w:right w:w="108" w:type="dxa"/>
          </w:tblCellMar>
        </w:tblPrEx>
        <w:trPr>
          <w:trHeight w:val="420" w:hRule="atLeast"/>
        </w:trPr>
        <w:tc>
          <w:tcPr>
            <w:tcW w:w="709" w:type="dxa"/>
            <w:vMerge w:val="restart"/>
            <w:tcBorders>
              <w:top w:val="nil"/>
              <w:left w:val="single" w:color="auto" w:sz="4" w:space="0"/>
              <w:bottom w:val="single" w:color="000000" w:sz="4" w:space="0"/>
              <w:right w:val="single" w:color="auto" w:sz="4" w:space="0"/>
            </w:tcBorders>
            <w:noWrap/>
            <w:vAlign w:val="center"/>
          </w:tcPr>
          <w:p>
            <w:pPr>
              <w:widowControl/>
              <w:spacing w:line="42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w:t>
            </w:r>
            <w:r>
              <w:rPr>
                <w:rFonts w:ascii="宋体" w:hAnsi="宋体" w:eastAsia="宋体" w:cs="宋体"/>
                <w:color w:val="auto"/>
                <w:kern w:val="0"/>
                <w:sz w:val="21"/>
                <w:szCs w:val="21"/>
              </w:rPr>
              <w:t>4</w:t>
            </w:r>
            <w:r>
              <w:rPr>
                <w:rFonts w:hint="eastAsia" w:ascii="宋体" w:hAnsi="宋体" w:eastAsia="宋体" w:cs="宋体"/>
                <w:color w:val="auto"/>
                <w:kern w:val="0"/>
                <w:sz w:val="21"/>
                <w:szCs w:val="21"/>
              </w:rPr>
              <w:t>）</w:t>
            </w:r>
          </w:p>
        </w:tc>
        <w:tc>
          <w:tcPr>
            <w:tcW w:w="1276" w:type="dxa"/>
            <w:vMerge w:val="restart"/>
            <w:tcBorders>
              <w:top w:val="nil"/>
              <w:left w:val="single" w:color="auto" w:sz="4" w:space="0"/>
              <w:bottom w:val="single" w:color="000000" w:sz="4" w:space="0"/>
              <w:right w:val="single" w:color="auto" w:sz="4" w:space="0"/>
            </w:tcBorders>
            <w:noWrap/>
            <w:vAlign w:val="center"/>
          </w:tcPr>
          <w:p>
            <w:pPr>
              <w:widowControl/>
              <w:spacing w:line="42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应急维修</w:t>
            </w:r>
          </w:p>
        </w:tc>
        <w:tc>
          <w:tcPr>
            <w:tcW w:w="1984" w:type="dxa"/>
            <w:vMerge w:val="restart"/>
            <w:tcBorders>
              <w:top w:val="nil"/>
              <w:left w:val="single" w:color="auto" w:sz="4" w:space="0"/>
              <w:bottom w:val="single" w:color="auto" w:sz="4" w:space="0"/>
              <w:right w:val="single" w:color="auto" w:sz="4" w:space="0"/>
            </w:tcBorders>
            <w:noWrap/>
            <w:vAlign w:val="center"/>
          </w:tcPr>
          <w:p>
            <w:pPr>
              <w:widowControl/>
              <w:spacing w:line="42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家电修理</w:t>
            </w:r>
          </w:p>
        </w:tc>
        <w:tc>
          <w:tcPr>
            <w:tcW w:w="5670"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修理保养电视机</w:t>
            </w:r>
            <w:r>
              <w:rPr>
                <w:rFonts w:ascii="宋体" w:hAnsi="宋体" w:eastAsia="宋体" w:cs="宋体"/>
                <w:color w:val="auto"/>
                <w:kern w:val="0"/>
                <w:sz w:val="21"/>
                <w:szCs w:val="21"/>
              </w:rPr>
              <w:t>50</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次（不含换配件）</w:t>
            </w:r>
          </w:p>
        </w:tc>
      </w:tr>
      <w:tr>
        <w:tblPrEx>
          <w:tblCellMar>
            <w:top w:w="0" w:type="dxa"/>
            <w:left w:w="108" w:type="dxa"/>
            <w:bottom w:w="0" w:type="dxa"/>
            <w:right w:w="108" w:type="dxa"/>
          </w:tblCellMar>
        </w:tblPrEx>
        <w:trPr>
          <w:trHeight w:val="630"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984"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5670"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空调移机</w:t>
            </w:r>
            <w:r>
              <w:rPr>
                <w:rFonts w:ascii="宋体" w:hAnsi="宋体" w:eastAsia="宋体" w:cs="宋体"/>
                <w:color w:val="auto"/>
                <w:kern w:val="0"/>
                <w:sz w:val="21"/>
                <w:szCs w:val="21"/>
              </w:rPr>
              <w:t>200</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次（指两公里内的移机服务，超出两公里，增加</w:t>
            </w:r>
            <w:r>
              <w:rPr>
                <w:rFonts w:ascii="宋体" w:hAnsi="宋体" w:eastAsia="宋体" w:cs="宋体"/>
                <w:color w:val="auto"/>
                <w:kern w:val="0"/>
                <w:sz w:val="21"/>
                <w:szCs w:val="21"/>
              </w:rPr>
              <w:t>20</w:t>
            </w:r>
            <w:r>
              <w:rPr>
                <w:rFonts w:hint="eastAsia" w:ascii="宋体" w:hAnsi="宋体" w:eastAsia="宋体" w:cs="宋体"/>
                <w:color w:val="auto"/>
                <w:kern w:val="0"/>
                <w:sz w:val="21"/>
                <w:szCs w:val="21"/>
              </w:rPr>
              <w:t>元路程费）</w:t>
            </w:r>
          </w:p>
        </w:tc>
      </w:tr>
      <w:tr>
        <w:tblPrEx>
          <w:tblCellMar>
            <w:top w:w="0" w:type="dxa"/>
            <w:left w:w="108" w:type="dxa"/>
            <w:bottom w:w="0" w:type="dxa"/>
            <w:right w:w="108" w:type="dxa"/>
          </w:tblCellMar>
        </w:tblPrEx>
        <w:trPr>
          <w:trHeight w:val="420"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984"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5670"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空调加氟</w:t>
            </w:r>
            <w:r>
              <w:rPr>
                <w:rFonts w:ascii="宋体" w:hAnsi="宋体" w:eastAsia="宋体" w:cs="宋体"/>
                <w:color w:val="auto"/>
                <w:kern w:val="0"/>
                <w:sz w:val="21"/>
                <w:szCs w:val="21"/>
              </w:rPr>
              <w:t>60</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次，空调加氟服务可按加氟量计算，</w:t>
            </w:r>
            <w:r>
              <w:rPr>
                <w:rFonts w:ascii="宋体" w:hAnsi="宋体" w:eastAsia="宋体" w:cs="宋体"/>
                <w:color w:val="auto"/>
                <w:kern w:val="0"/>
                <w:sz w:val="21"/>
                <w:szCs w:val="21"/>
              </w:rPr>
              <w:t>40</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公斤。</w:t>
            </w:r>
          </w:p>
        </w:tc>
      </w:tr>
      <w:tr>
        <w:tblPrEx>
          <w:tblCellMar>
            <w:top w:w="0" w:type="dxa"/>
            <w:left w:w="108" w:type="dxa"/>
            <w:bottom w:w="0" w:type="dxa"/>
            <w:right w:w="108" w:type="dxa"/>
          </w:tblCellMar>
        </w:tblPrEx>
        <w:trPr>
          <w:trHeight w:val="420"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984"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5670"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电冰箱维修</w:t>
            </w:r>
            <w:r>
              <w:rPr>
                <w:rFonts w:ascii="宋体" w:hAnsi="宋体" w:eastAsia="宋体" w:cs="宋体"/>
                <w:color w:val="auto"/>
                <w:kern w:val="0"/>
                <w:sz w:val="21"/>
                <w:szCs w:val="21"/>
              </w:rPr>
              <w:t>50</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次（不含换配件）</w:t>
            </w:r>
          </w:p>
        </w:tc>
      </w:tr>
      <w:tr>
        <w:tblPrEx>
          <w:tblCellMar>
            <w:top w:w="0" w:type="dxa"/>
            <w:left w:w="108" w:type="dxa"/>
            <w:bottom w:w="0" w:type="dxa"/>
            <w:right w:w="108" w:type="dxa"/>
          </w:tblCellMar>
        </w:tblPrEx>
        <w:trPr>
          <w:trHeight w:val="420"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984"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5670"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微波炉维修</w:t>
            </w:r>
            <w:r>
              <w:rPr>
                <w:rFonts w:ascii="宋体" w:hAnsi="宋体" w:eastAsia="宋体" w:cs="宋体"/>
                <w:color w:val="auto"/>
                <w:kern w:val="0"/>
                <w:sz w:val="21"/>
                <w:szCs w:val="21"/>
              </w:rPr>
              <w:t>30</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次（不含换配件）</w:t>
            </w:r>
          </w:p>
        </w:tc>
      </w:tr>
      <w:tr>
        <w:tblPrEx>
          <w:tblCellMar>
            <w:top w:w="0" w:type="dxa"/>
            <w:left w:w="108" w:type="dxa"/>
            <w:bottom w:w="0" w:type="dxa"/>
            <w:right w:w="108" w:type="dxa"/>
          </w:tblCellMar>
        </w:tblPrEx>
        <w:trPr>
          <w:trHeight w:val="420"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984"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5670"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音像播放器维修</w:t>
            </w:r>
            <w:r>
              <w:rPr>
                <w:rFonts w:ascii="宋体" w:hAnsi="宋体" w:eastAsia="宋体" w:cs="宋体"/>
                <w:color w:val="auto"/>
                <w:kern w:val="0"/>
                <w:sz w:val="21"/>
                <w:szCs w:val="21"/>
              </w:rPr>
              <w:t>30</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次（不含换配件）</w:t>
            </w:r>
          </w:p>
        </w:tc>
      </w:tr>
      <w:tr>
        <w:tblPrEx>
          <w:tblCellMar>
            <w:top w:w="0" w:type="dxa"/>
            <w:left w:w="108" w:type="dxa"/>
            <w:bottom w:w="0" w:type="dxa"/>
            <w:right w:w="108" w:type="dxa"/>
          </w:tblCellMar>
        </w:tblPrEx>
        <w:trPr>
          <w:trHeight w:val="660"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984" w:type="dxa"/>
            <w:tcBorders>
              <w:top w:val="nil"/>
              <w:left w:val="nil"/>
              <w:bottom w:val="single" w:color="auto" w:sz="4" w:space="0"/>
              <w:right w:val="single" w:color="auto" w:sz="4" w:space="0"/>
            </w:tcBorders>
            <w:noWrap/>
            <w:vAlign w:val="center"/>
          </w:tcPr>
          <w:p>
            <w:pPr>
              <w:widowControl/>
              <w:spacing w:line="42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管道疏通</w:t>
            </w:r>
          </w:p>
        </w:tc>
        <w:tc>
          <w:tcPr>
            <w:tcW w:w="5670"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疏通厨房、卫生间管道</w:t>
            </w:r>
            <w:r>
              <w:rPr>
                <w:rFonts w:ascii="宋体" w:hAnsi="宋体" w:eastAsia="宋体" w:cs="宋体"/>
                <w:color w:val="auto"/>
                <w:kern w:val="0"/>
                <w:sz w:val="21"/>
                <w:szCs w:val="21"/>
              </w:rPr>
              <w:t>80</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次起（根据堵塞的具体原因，增加疏通费用）</w:t>
            </w:r>
          </w:p>
        </w:tc>
      </w:tr>
      <w:tr>
        <w:tblPrEx>
          <w:tblCellMar>
            <w:top w:w="0" w:type="dxa"/>
            <w:left w:w="108" w:type="dxa"/>
            <w:bottom w:w="0" w:type="dxa"/>
            <w:right w:w="108" w:type="dxa"/>
          </w:tblCellMar>
        </w:tblPrEx>
        <w:trPr>
          <w:trHeight w:val="390"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984" w:type="dxa"/>
            <w:vMerge w:val="restart"/>
            <w:tcBorders>
              <w:top w:val="nil"/>
              <w:left w:val="single" w:color="auto" w:sz="4" w:space="0"/>
              <w:bottom w:val="single" w:color="auto" w:sz="4" w:space="0"/>
              <w:right w:val="single" w:color="auto" w:sz="4" w:space="0"/>
            </w:tcBorders>
            <w:noWrap/>
            <w:vAlign w:val="center"/>
          </w:tcPr>
          <w:p>
            <w:pPr>
              <w:widowControl/>
              <w:spacing w:line="42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修锁</w:t>
            </w:r>
          </w:p>
        </w:tc>
        <w:tc>
          <w:tcPr>
            <w:tcW w:w="5670"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换锁劳务费</w:t>
            </w:r>
            <w:r>
              <w:rPr>
                <w:rFonts w:ascii="宋体" w:hAnsi="宋体" w:eastAsia="宋体" w:cs="宋体"/>
                <w:color w:val="auto"/>
                <w:kern w:val="0"/>
                <w:sz w:val="21"/>
                <w:szCs w:val="21"/>
              </w:rPr>
              <w:t>50</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个（不含换配件），夜间加收</w:t>
            </w:r>
            <w:r>
              <w:rPr>
                <w:rFonts w:ascii="宋体" w:hAnsi="宋体" w:eastAsia="宋体" w:cs="宋体"/>
                <w:color w:val="auto"/>
                <w:kern w:val="0"/>
                <w:sz w:val="21"/>
                <w:szCs w:val="21"/>
              </w:rPr>
              <w:t>30</w:t>
            </w:r>
            <w:r>
              <w:rPr>
                <w:rFonts w:hint="eastAsia" w:ascii="宋体" w:hAnsi="宋体" w:eastAsia="宋体" w:cs="宋体"/>
                <w:color w:val="auto"/>
                <w:kern w:val="0"/>
                <w:sz w:val="21"/>
                <w:szCs w:val="21"/>
              </w:rPr>
              <w:t>元路费</w:t>
            </w:r>
          </w:p>
        </w:tc>
      </w:tr>
      <w:tr>
        <w:tblPrEx>
          <w:tblCellMar>
            <w:top w:w="0" w:type="dxa"/>
            <w:left w:w="108" w:type="dxa"/>
            <w:bottom w:w="0" w:type="dxa"/>
            <w:right w:w="108" w:type="dxa"/>
          </w:tblCellMar>
        </w:tblPrEx>
        <w:trPr>
          <w:trHeight w:val="390"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984"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5670"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配钥匙</w:t>
            </w:r>
            <w:r>
              <w:rPr>
                <w:rFonts w:ascii="宋体" w:hAnsi="宋体" w:eastAsia="宋体" w:cs="宋体"/>
                <w:color w:val="auto"/>
                <w:kern w:val="0"/>
                <w:sz w:val="21"/>
                <w:szCs w:val="21"/>
              </w:rPr>
              <w:t>10</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个，特型钥匙按市场价格收费</w:t>
            </w:r>
          </w:p>
        </w:tc>
      </w:tr>
      <w:tr>
        <w:tblPrEx>
          <w:tblCellMar>
            <w:top w:w="0" w:type="dxa"/>
            <w:left w:w="108" w:type="dxa"/>
            <w:bottom w:w="0" w:type="dxa"/>
            <w:right w:w="108" w:type="dxa"/>
          </w:tblCellMar>
        </w:tblPrEx>
        <w:trPr>
          <w:trHeight w:val="390"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984" w:type="dxa"/>
            <w:vMerge w:val="restart"/>
            <w:tcBorders>
              <w:top w:val="nil"/>
              <w:left w:val="single" w:color="auto" w:sz="4" w:space="0"/>
              <w:bottom w:val="single" w:color="000000" w:sz="4" w:space="0"/>
              <w:right w:val="single" w:color="auto" w:sz="4" w:space="0"/>
            </w:tcBorders>
            <w:noWrap/>
            <w:vAlign w:val="center"/>
          </w:tcPr>
          <w:p>
            <w:pPr>
              <w:widowControl/>
              <w:spacing w:line="42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水电维修</w:t>
            </w:r>
          </w:p>
        </w:tc>
        <w:tc>
          <w:tcPr>
            <w:tcW w:w="5670"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更换灯泡</w:t>
            </w:r>
            <w:r>
              <w:rPr>
                <w:rFonts w:ascii="宋体" w:hAnsi="宋体" w:eastAsia="宋体" w:cs="宋体"/>
                <w:color w:val="auto"/>
                <w:kern w:val="0"/>
                <w:sz w:val="21"/>
                <w:szCs w:val="21"/>
              </w:rPr>
              <w:t>5</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个</w:t>
            </w:r>
          </w:p>
        </w:tc>
      </w:tr>
      <w:tr>
        <w:tblPrEx>
          <w:tblCellMar>
            <w:top w:w="0" w:type="dxa"/>
            <w:left w:w="108" w:type="dxa"/>
            <w:bottom w:w="0" w:type="dxa"/>
            <w:right w:w="108" w:type="dxa"/>
          </w:tblCellMar>
        </w:tblPrEx>
        <w:trPr>
          <w:trHeight w:val="390"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984" w:type="dxa"/>
            <w:vMerge w:val="continue"/>
            <w:tcBorders>
              <w:top w:val="nil"/>
              <w:left w:val="single" w:color="auto" w:sz="4" w:space="0"/>
              <w:bottom w:val="single" w:color="000000"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5670"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煤气检测</w:t>
            </w:r>
            <w:r>
              <w:rPr>
                <w:rFonts w:ascii="宋体" w:hAnsi="宋体" w:eastAsia="宋体" w:cs="宋体"/>
                <w:color w:val="auto"/>
                <w:kern w:val="0"/>
                <w:sz w:val="21"/>
                <w:szCs w:val="21"/>
              </w:rPr>
              <w:t>20</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次，更换室内煤气管道</w:t>
            </w:r>
            <w:r>
              <w:rPr>
                <w:rFonts w:ascii="宋体" w:hAnsi="宋体" w:eastAsia="宋体" w:cs="宋体"/>
                <w:color w:val="auto"/>
                <w:kern w:val="0"/>
                <w:sz w:val="21"/>
                <w:szCs w:val="21"/>
              </w:rPr>
              <w:t>20</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米</w:t>
            </w:r>
          </w:p>
        </w:tc>
      </w:tr>
      <w:tr>
        <w:tblPrEx>
          <w:tblCellMar>
            <w:top w:w="0" w:type="dxa"/>
            <w:left w:w="108" w:type="dxa"/>
            <w:bottom w:w="0" w:type="dxa"/>
            <w:right w:w="108" w:type="dxa"/>
          </w:tblCellMar>
        </w:tblPrEx>
        <w:trPr>
          <w:trHeight w:val="390"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984" w:type="dxa"/>
            <w:vMerge w:val="continue"/>
            <w:tcBorders>
              <w:top w:val="nil"/>
              <w:left w:val="single" w:color="auto" w:sz="4" w:space="0"/>
              <w:bottom w:val="single" w:color="000000"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5670"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检修更换水、汽管道</w:t>
            </w:r>
            <w:r>
              <w:rPr>
                <w:rFonts w:ascii="宋体" w:hAnsi="宋体" w:eastAsia="宋体" w:cs="宋体"/>
                <w:color w:val="auto"/>
                <w:kern w:val="0"/>
                <w:sz w:val="21"/>
                <w:szCs w:val="21"/>
              </w:rPr>
              <w:t>20</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米</w:t>
            </w:r>
          </w:p>
        </w:tc>
      </w:tr>
      <w:tr>
        <w:tblPrEx>
          <w:tblCellMar>
            <w:top w:w="0" w:type="dxa"/>
            <w:left w:w="108" w:type="dxa"/>
            <w:bottom w:w="0" w:type="dxa"/>
            <w:right w:w="108" w:type="dxa"/>
          </w:tblCellMar>
        </w:tblPrEx>
        <w:trPr>
          <w:trHeight w:val="390"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984" w:type="dxa"/>
            <w:vMerge w:val="continue"/>
            <w:tcBorders>
              <w:top w:val="nil"/>
              <w:left w:val="single" w:color="auto" w:sz="4" w:space="0"/>
              <w:bottom w:val="single" w:color="000000"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5670"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更换电线</w:t>
            </w:r>
            <w:r>
              <w:rPr>
                <w:rFonts w:ascii="宋体" w:hAnsi="宋体" w:eastAsia="宋体" w:cs="宋体"/>
                <w:color w:val="auto"/>
                <w:kern w:val="0"/>
                <w:sz w:val="21"/>
                <w:szCs w:val="21"/>
              </w:rPr>
              <w:t>20</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米</w:t>
            </w:r>
          </w:p>
        </w:tc>
      </w:tr>
      <w:tr>
        <w:tblPrEx>
          <w:tblCellMar>
            <w:top w:w="0" w:type="dxa"/>
            <w:left w:w="108" w:type="dxa"/>
            <w:bottom w:w="0" w:type="dxa"/>
            <w:right w:w="108" w:type="dxa"/>
          </w:tblCellMar>
        </w:tblPrEx>
        <w:trPr>
          <w:trHeight w:val="630"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984" w:type="dxa"/>
            <w:vMerge w:val="continue"/>
            <w:tcBorders>
              <w:top w:val="nil"/>
              <w:left w:val="single" w:color="auto" w:sz="4" w:space="0"/>
              <w:bottom w:val="single" w:color="000000"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5670"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卫生间防水，</w:t>
            </w:r>
            <w:r>
              <w:rPr>
                <w:rFonts w:ascii="宋体" w:hAnsi="宋体" w:eastAsia="宋体" w:cs="宋体"/>
                <w:color w:val="auto"/>
                <w:kern w:val="0"/>
                <w:sz w:val="21"/>
                <w:szCs w:val="21"/>
              </w:rPr>
              <w:t>100</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平方米（不更换坐便器），屋顶防水</w:t>
            </w:r>
            <w:r>
              <w:rPr>
                <w:rFonts w:ascii="宋体" w:hAnsi="宋体" w:eastAsia="宋体" w:cs="宋体"/>
                <w:color w:val="auto"/>
                <w:kern w:val="0"/>
                <w:sz w:val="21"/>
                <w:szCs w:val="21"/>
              </w:rPr>
              <w:t>50</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平方米</w:t>
            </w:r>
          </w:p>
        </w:tc>
      </w:tr>
      <w:tr>
        <w:tblPrEx>
          <w:tblCellMar>
            <w:top w:w="0" w:type="dxa"/>
            <w:left w:w="108" w:type="dxa"/>
            <w:bottom w:w="0" w:type="dxa"/>
            <w:right w:w="108" w:type="dxa"/>
          </w:tblCellMar>
        </w:tblPrEx>
        <w:trPr>
          <w:trHeight w:val="420" w:hRule="atLeast"/>
        </w:trPr>
        <w:tc>
          <w:tcPr>
            <w:tcW w:w="709" w:type="dxa"/>
            <w:vMerge w:val="restart"/>
            <w:tcBorders>
              <w:top w:val="nil"/>
              <w:left w:val="single" w:color="auto" w:sz="4" w:space="0"/>
              <w:bottom w:val="single" w:color="000000" w:sz="4" w:space="0"/>
              <w:right w:val="single" w:color="auto" w:sz="4" w:space="0"/>
            </w:tcBorders>
            <w:noWrap/>
            <w:vAlign w:val="center"/>
          </w:tcPr>
          <w:p>
            <w:pPr>
              <w:widowControl/>
              <w:spacing w:line="42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w:t>
            </w:r>
            <w:r>
              <w:rPr>
                <w:rFonts w:ascii="宋体" w:hAnsi="宋体" w:eastAsia="宋体" w:cs="宋体"/>
                <w:color w:val="auto"/>
                <w:kern w:val="0"/>
                <w:sz w:val="21"/>
                <w:szCs w:val="21"/>
              </w:rPr>
              <w:t>5</w:t>
            </w:r>
            <w:r>
              <w:rPr>
                <w:rFonts w:hint="eastAsia" w:ascii="宋体" w:hAnsi="宋体" w:eastAsia="宋体" w:cs="宋体"/>
                <w:color w:val="auto"/>
                <w:kern w:val="0"/>
                <w:sz w:val="21"/>
                <w:szCs w:val="21"/>
              </w:rPr>
              <w:t>）</w:t>
            </w:r>
          </w:p>
        </w:tc>
        <w:tc>
          <w:tcPr>
            <w:tcW w:w="1276" w:type="dxa"/>
            <w:vMerge w:val="restart"/>
            <w:tcBorders>
              <w:top w:val="nil"/>
              <w:left w:val="single" w:color="auto" w:sz="4" w:space="0"/>
              <w:bottom w:val="single" w:color="auto" w:sz="4" w:space="0"/>
              <w:right w:val="single" w:color="auto" w:sz="4" w:space="0"/>
            </w:tcBorders>
            <w:noWrap/>
            <w:vAlign w:val="center"/>
          </w:tcPr>
          <w:p>
            <w:pPr>
              <w:widowControl/>
              <w:spacing w:line="42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陪同代办</w:t>
            </w:r>
          </w:p>
        </w:tc>
        <w:tc>
          <w:tcPr>
            <w:tcW w:w="1984" w:type="dxa"/>
            <w:vMerge w:val="restart"/>
            <w:tcBorders>
              <w:top w:val="nil"/>
              <w:left w:val="single" w:color="auto" w:sz="4" w:space="0"/>
              <w:bottom w:val="single" w:color="auto" w:sz="4" w:space="0"/>
              <w:right w:val="single" w:color="auto" w:sz="4" w:space="0"/>
            </w:tcBorders>
            <w:noWrap/>
            <w:vAlign w:val="center"/>
          </w:tcPr>
          <w:p>
            <w:pPr>
              <w:widowControl/>
              <w:spacing w:line="42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服装加工</w:t>
            </w:r>
          </w:p>
        </w:tc>
        <w:tc>
          <w:tcPr>
            <w:tcW w:w="5670"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修裤边、换拉锁</w:t>
            </w:r>
            <w:r>
              <w:rPr>
                <w:rFonts w:ascii="宋体" w:hAnsi="宋体" w:eastAsia="宋体" w:cs="宋体"/>
                <w:color w:val="auto"/>
                <w:kern w:val="0"/>
                <w:sz w:val="21"/>
                <w:szCs w:val="21"/>
              </w:rPr>
              <w:t>5</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件</w:t>
            </w:r>
          </w:p>
        </w:tc>
      </w:tr>
      <w:tr>
        <w:tblPrEx>
          <w:tblCellMar>
            <w:top w:w="0" w:type="dxa"/>
            <w:left w:w="108" w:type="dxa"/>
            <w:bottom w:w="0" w:type="dxa"/>
            <w:right w:w="108" w:type="dxa"/>
          </w:tblCellMar>
        </w:tblPrEx>
        <w:trPr>
          <w:trHeight w:val="420"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984"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5670"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裁剪</w:t>
            </w:r>
            <w:r>
              <w:rPr>
                <w:rFonts w:ascii="宋体" w:hAnsi="宋体" w:eastAsia="宋体" w:cs="宋体"/>
                <w:color w:val="auto"/>
                <w:kern w:val="0"/>
                <w:sz w:val="21"/>
                <w:szCs w:val="21"/>
              </w:rPr>
              <w:t>10</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次起</w:t>
            </w:r>
          </w:p>
        </w:tc>
      </w:tr>
      <w:tr>
        <w:tblPrEx>
          <w:tblCellMar>
            <w:top w:w="0" w:type="dxa"/>
            <w:left w:w="108" w:type="dxa"/>
            <w:bottom w:w="0" w:type="dxa"/>
            <w:right w:w="108" w:type="dxa"/>
          </w:tblCellMar>
        </w:tblPrEx>
        <w:trPr>
          <w:trHeight w:val="420"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984"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5670"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缝补及修改服装</w:t>
            </w:r>
            <w:r>
              <w:rPr>
                <w:rFonts w:ascii="宋体" w:hAnsi="宋体" w:eastAsia="宋体" w:cs="宋体"/>
                <w:color w:val="auto"/>
                <w:kern w:val="0"/>
                <w:sz w:val="21"/>
                <w:szCs w:val="21"/>
              </w:rPr>
              <w:t>10</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件起</w:t>
            </w:r>
          </w:p>
        </w:tc>
      </w:tr>
      <w:tr>
        <w:tblPrEx>
          <w:tblCellMar>
            <w:top w:w="0" w:type="dxa"/>
            <w:left w:w="108" w:type="dxa"/>
            <w:bottom w:w="0" w:type="dxa"/>
            <w:right w:w="108" w:type="dxa"/>
          </w:tblCellMar>
        </w:tblPrEx>
        <w:trPr>
          <w:trHeight w:val="420"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984"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5670"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熨衣</w:t>
            </w:r>
            <w:r>
              <w:rPr>
                <w:rFonts w:ascii="宋体" w:hAnsi="宋体" w:eastAsia="宋体" w:cs="宋体"/>
                <w:color w:val="auto"/>
                <w:kern w:val="0"/>
                <w:sz w:val="21"/>
                <w:szCs w:val="21"/>
              </w:rPr>
              <w:t>5</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件</w:t>
            </w:r>
          </w:p>
        </w:tc>
      </w:tr>
      <w:tr>
        <w:tblPrEx>
          <w:tblCellMar>
            <w:top w:w="0" w:type="dxa"/>
            <w:left w:w="108" w:type="dxa"/>
            <w:bottom w:w="0" w:type="dxa"/>
            <w:right w:w="108" w:type="dxa"/>
          </w:tblCellMar>
        </w:tblPrEx>
        <w:trPr>
          <w:trHeight w:val="420"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984"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5670"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织补毛衣</w:t>
            </w:r>
            <w:r>
              <w:rPr>
                <w:rFonts w:ascii="宋体" w:hAnsi="宋体" w:eastAsia="宋体" w:cs="宋体"/>
                <w:color w:val="auto"/>
                <w:kern w:val="0"/>
                <w:sz w:val="21"/>
                <w:szCs w:val="21"/>
              </w:rPr>
              <w:t>60</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件起</w:t>
            </w:r>
          </w:p>
        </w:tc>
      </w:tr>
      <w:tr>
        <w:tblPrEx>
          <w:tblCellMar>
            <w:top w:w="0" w:type="dxa"/>
            <w:left w:w="108" w:type="dxa"/>
            <w:bottom w:w="0" w:type="dxa"/>
            <w:right w:w="108" w:type="dxa"/>
          </w:tblCellMar>
        </w:tblPrEx>
        <w:trPr>
          <w:trHeight w:val="420"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984" w:type="dxa"/>
            <w:tcBorders>
              <w:top w:val="nil"/>
              <w:left w:val="nil"/>
              <w:bottom w:val="single" w:color="auto" w:sz="4" w:space="0"/>
              <w:right w:val="single" w:color="auto" w:sz="4" w:space="0"/>
            </w:tcBorders>
            <w:noWrap/>
            <w:vAlign w:val="center"/>
          </w:tcPr>
          <w:p>
            <w:pPr>
              <w:widowControl/>
              <w:spacing w:line="42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代换液化气罐</w:t>
            </w:r>
          </w:p>
        </w:tc>
        <w:tc>
          <w:tcPr>
            <w:tcW w:w="5670"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r>
              <w:rPr>
                <w:rFonts w:ascii="宋体" w:hAnsi="宋体" w:eastAsia="宋体" w:cs="宋体"/>
                <w:color w:val="auto"/>
                <w:kern w:val="0"/>
                <w:sz w:val="21"/>
                <w:szCs w:val="21"/>
              </w:rPr>
              <w:t>15</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罐</w:t>
            </w:r>
          </w:p>
        </w:tc>
      </w:tr>
      <w:tr>
        <w:tblPrEx>
          <w:tblCellMar>
            <w:top w:w="0" w:type="dxa"/>
            <w:left w:w="108" w:type="dxa"/>
            <w:bottom w:w="0" w:type="dxa"/>
            <w:right w:w="108" w:type="dxa"/>
          </w:tblCellMar>
        </w:tblPrEx>
        <w:trPr>
          <w:trHeight w:val="420"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984" w:type="dxa"/>
            <w:tcBorders>
              <w:top w:val="nil"/>
              <w:left w:val="nil"/>
              <w:bottom w:val="single" w:color="auto" w:sz="4" w:space="0"/>
              <w:right w:val="single" w:color="auto" w:sz="4" w:space="0"/>
            </w:tcBorders>
            <w:noWrap/>
            <w:vAlign w:val="center"/>
          </w:tcPr>
          <w:p>
            <w:pPr>
              <w:widowControl/>
              <w:spacing w:line="42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陪同或代购物</w:t>
            </w:r>
          </w:p>
        </w:tc>
        <w:tc>
          <w:tcPr>
            <w:tcW w:w="5670"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r>
              <w:rPr>
                <w:rFonts w:ascii="宋体" w:hAnsi="宋体" w:eastAsia="宋体" w:cs="宋体"/>
                <w:color w:val="auto"/>
                <w:kern w:val="0"/>
                <w:sz w:val="21"/>
                <w:szCs w:val="21"/>
              </w:rPr>
              <w:t>20</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次</w:t>
            </w:r>
          </w:p>
        </w:tc>
      </w:tr>
      <w:tr>
        <w:tblPrEx>
          <w:tblCellMar>
            <w:top w:w="0" w:type="dxa"/>
            <w:left w:w="108" w:type="dxa"/>
            <w:bottom w:w="0" w:type="dxa"/>
            <w:right w:w="108" w:type="dxa"/>
          </w:tblCellMar>
        </w:tblPrEx>
        <w:trPr>
          <w:trHeight w:val="420"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984" w:type="dxa"/>
            <w:tcBorders>
              <w:top w:val="nil"/>
              <w:left w:val="nil"/>
              <w:bottom w:val="single" w:color="auto" w:sz="4" w:space="0"/>
              <w:right w:val="single" w:color="auto" w:sz="4" w:space="0"/>
            </w:tcBorders>
            <w:noWrap/>
            <w:vAlign w:val="center"/>
          </w:tcPr>
          <w:p>
            <w:pPr>
              <w:widowControl/>
              <w:spacing w:line="42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陪同或代取药</w:t>
            </w:r>
          </w:p>
        </w:tc>
        <w:tc>
          <w:tcPr>
            <w:tcW w:w="5670"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r>
              <w:rPr>
                <w:rFonts w:ascii="宋体" w:hAnsi="宋体" w:eastAsia="宋体" w:cs="宋体"/>
                <w:color w:val="auto"/>
                <w:kern w:val="0"/>
                <w:sz w:val="21"/>
                <w:szCs w:val="21"/>
              </w:rPr>
              <w:t>20</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次</w:t>
            </w:r>
          </w:p>
        </w:tc>
      </w:tr>
      <w:tr>
        <w:tblPrEx>
          <w:tblCellMar>
            <w:top w:w="0" w:type="dxa"/>
            <w:left w:w="108" w:type="dxa"/>
            <w:bottom w:w="0" w:type="dxa"/>
            <w:right w:w="108" w:type="dxa"/>
          </w:tblCellMar>
        </w:tblPrEx>
        <w:trPr>
          <w:trHeight w:val="420"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984" w:type="dxa"/>
            <w:tcBorders>
              <w:top w:val="nil"/>
              <w:left w:val="nil"/>
              <w:bottom w:val="single" w:color="auto" w:sz="4" w:space="0"/>
              <w:right w:val="single" w:color="auto" w:sz="4" w:space="0"/>
            </w:tcBorders>
            <w:noWrap/>
            <w:vAlign w:val="center"/>
          </w:tcPr>
          <w:p>
            <w:pPr>
              <w:widowControl/>
              <w:spacing w:line="42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陪同旅游</w:t>
            </w:r>
          </w:p>
        </w:tc>
        <w:tc>
          <w:tcPr>
            <w:tcW w:w="5670"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近郊陪游</w:t>
            </w:r>
            <w:r>
              <w:rPr>
                <w:rFonts w:ascii="宋体" w:hAnsi="宋体" w:eastAsia="宋体" w:cs="宋体"/>
                <w:color w:val="auto"/>
                <w:kern w:val="0"/>
                <w:sz w:val="21"/>
                <w:szCs w:val="21"/>
              </w:rPr>
              <w:t>20</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小时，埠外陪游</w:t>
            </w:r>
            <w:r>
              <w:rPr>
                <w:rFonts w:ascii="宋体" w:hAnsi="宋体" w:eastAsia="宋体" w:cs="宋体"/>
                <w:color w:val="auto"/>
                <w:kern w:val="0"/>
                <w:sz w:val="21"/>
                <w:szCs w:val="21"/>
              </w:rPr>
              <w:t>50</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小时</w:t>
            </w:r>
          </w:p>
        </w:tc>
      </w:tr>
      <w:tr>
        <w:tblPrEx>
          <w:tblCellMar>
            <w:top w:w="0" w:type="dxa"/>
            <w:left w:w="108" w:type="dxa"/>
            <w:bottom w:w="0" w:type="dxa"/>
            <w:right w:w="108" w:type="dxa"/>
          </w:tblCellMar>
        </w:tblPrEx>
        <w:trPr>
          <w:trHeight w:val="420"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984" w:type="dxa"/>
            <w:tcBorders>
              <w:top w:val="nil"/>
              <w:left w:val="nil"/>
              <w:bottom w:val="single" w:color="auto" w:sz="4" w:space="0"/>
              <w:right w:val="single" w:color="auto" w:sz="4" w:space="0"/>
            </w:tcBorders>
            <w:noWrap/>
            <w:vAlign w:val="center"/>
          </w:tcPr>
          <w:p>
            <w:pPr>
              <w:widowControl/>
              <w:spacing w:line="42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陪同出行</w:t>
            </w:r>
          </w:p>
        </w:tc>
        <w:tc>
          <w:tcPr>
            <w:tcW w:w="5670"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r>
              <w:rPr>
                <w:rFonts w:ascii="宋体" w:hAnsi="宋体" w:eastAsia="宋体" w:cs="宋体"/>
                <w:color w:val="auto"/>
                <w:kern w:val="0"/>
                <w:sz w:val="21"/>
                <w:szCs w:val="21"/>
              </w:rPr>
              <w:t>20</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小时</w:t>
            </w:r>
          </w:p>
        </w:tc>
      </w:tr>
      <w:tr>
        <w:tblPrEx>
          <w:tblCellMar>
            <w:top w:w="0" w:type="dxa"/>
            <w:left w:w="108" w:type="dxa"/>
            <w:bottom w:w="0" w:type="dxa"/>
            <w:right w:w="108" w:type="dxa"/>
          </w:tblCellMar>
        </w:tblPrEx>
        <w:trPr>
          <w:trHeight w:val="420"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984" w:type="dxa"/>
            <w:tcBorders>
              <w:top w:val="nil"/>
              <w:left w:val="nil"/>
              <w:bottom w:val="single" w:color="auto" w:sz="4" w:space="0"/>
              <w:right w:val="single" w:color="auto" w:sz="4" w:space="0"/>
            </w:tcBorders>
            <w:noWrap/>
            <w:vAlign w:val="center"/>
          </w:tcPr>
          <w:p>
            <w:pPr>
              <w:widowControl/>
              <w:spacing w:line="42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陪同购物</w:t>
            </w:r>
          </w:p>
        </w:tc>
        <w:tc>
          <w:tcPr>
            <w:tcW w:w="5670"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r>
              <w:rPr>
                <w:rFonts w:ascii="宋体" w:hAnsi="宋体" w:eastAsia="宋体" w:cs="宋体"/>
                <w:color w:val="auto"/>
                <w:kern w:val="0"/>
                <w:sz w:val="21"/>
                <w:szCs w:val="21"/>
              </w:rPr>
              <w:t>20</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小时</w:t>
            </w:r>
          </w:p>
        </w:tc>
      </w:tr>
      <w:tr>
        <w:tblPrEx>
          <w:tblCellMar>
            <w:top w:w="0" w:type="dxa"/>
            <w:left w:w="108" w:type="dxa"/>
            <w:bottom w:w="0" w:type="dxa"/>
            <w:right w:w="108" w:type="dxa"/>
          </w:tblCellMar>
        </w:tblPrEx>
        <w:trPr>
          <w:trHeight w:val="540" w:hRule="atLeast"/>
        </w:trPr>
        <w:tc>
          <w:tcPr>
            <w:tcW w:w="709" w:type="dxa"/>
            <w:vMerge w:val="restart"/>
            <w:tcBorders>
              <w:top w:val="nil"/>
              <w:left w:val="single" w:color="auto" w:sz="4" w:space="0"/>
              <w:bottom w:val="single" w:color="auto" w:sz="4" w:space="0"/>
              <w:right w:val="single" w:color="auto" w:sz="4" w:space="0"/>
            </w:tcBorders>
            <w:noWrap/>
            <w:vAlign w:val="center"/>
          </w:tcPr>
          <w:p>
            <w:pPr>
              <w:widowControl/>
              <w:spacing w:line="42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w:t>
            </w:r>
            <w:r>
              <w:rPr>
                <w:rFonts w:ascii="宋体" w:hAnsi="宋体" w:eastAsia="宋体" w:cs="宋体"/>
                <w:color w:val="auto"/>
                <w:kern w:val="0"/>
                <w:sz w:val="21"/>
                <w:szCs w:val="21"/>
              </w:rPr>
              <w:t>6</w:t>
            </w:r>
            <w:r>
              <w:rPr>
                <w:rFonts w:hint="eastAsia" w:ascii="宋体" w:hAnsi="宋体" w:eastAsia="宋体" w:cs="宋体"/>
                <w:color w:val="auto"/>
                <w:kern w:val="0"/>
                <w:sz w:val="21"/>
                <w:szCs w:val="21"/>
              </w:rPr>
              <w:t>）</w:t>
            </w:r>
          </w:p>
        </w:tc>
        <w:tc>
          <w:tcPr>
            <w:tcW w:w="1276" w:type="dxa"/>
            <w:vMerge w:val="restart"/>
            <w:tcBorders>
              <w:top w:val="nil"/>
              <w:left w:val="single" w:color="auto" w:sz="4" w:space="0"/>
              <w:bottom w:val="single" w:color="auto" w:sz="4" w:space="0"/>
              <w:right w:val="single" w:color="auto" w:sz="4" w:space="0"/>
            </w:tcBorders>
            <w:noWrap/>
            <w:vAlign w:val="center"/>
          </w:tcPr>
          <w:p>
            <w:pPr>
              <w:widowControl/>
              <w:spacing w:line="42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文化教育</w:t>
            </w:r>
          </w:p>
        </w:tc>
        <w:tc>
          <w:tcPr>
            <w:tcW w:w="1984" w:type="dxa"/>
            <w:vMerge w:val="restart"/>
            <w:tcBorders>
              <w:top w:val="nil"/>
              <w:left w:val="single" w:color="auto" w:sz="4" w:space="0"/>
              <w:bottom w:val="single" w:color="auto" w:sz="4" w:space="0"/>
              <w:right w:val="single" w:color="auto" w:sz="4" w:space="0"/>
            </w:tcBorders>
            <w:noWrap/>
            <w:vAlign w:val="center"/>
          </w:tcPr>
          <w:p>
            <w:pPr>
              <w:widowControl/>
              <w:spacing w:line="42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培训</w:t>
            </w:r>
          </w:p>
        </w:tc>
        <w:tc>
          <w:tcPr>
            <w:tcW w:w="5670"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计算机基础知识仅收材料费，实行会员制管理，免收培训费用</w:t>
            </w:r>
          </w:p>
        </w:tc>
      </w:tr>
      <w:tr>
        <w:tblPrEx>
          <w:tblCellMar>
            <w:top w:w="0" w:type="dxa"/>
            <w:left w:w="108" w:type="dxa"/>
            <w:bottom w:w="0" w:type="dxa"/>
            <w:right w:w="108" w:type="dxa"/>
          </w:tblCellMar>
        </w:tblPrEx>
        <w:trPr>
          <w:trHeight w:val="66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984"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5670"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法律常识、书法班、绘画班、棋琴班、科普和健康讲座等各项专业教育，仅收材料费，实行会员制管理</w:t>
            </w:r>
          </w:p>
        </w:tc>
      </w:tr>
      <w:tr>
        <w:tblPrEx>
          <w:tblCellMar>
            <w:top w:w="0" w:type="dxa"/>
            <w:left w:w="108" w:type="dxa"/>
            <w:bottom w:w="0" w:type="dxa"/>
            <w:right w:w="108" w:type="dxa"/>
          </w:tblCellMar>
        </w:tblPrEx>
        <w:trPr>
          <w:trHeight w:val="402"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984"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5670"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其他服务、法律服务、法律咨询，按件收费</w:t>
            </w:r>
          </w:p>
        </w:tc>
      </w:tr>
      <w:tr>
        <w:tblPrEx>
          <w:tblCellMar>
            <w:top w:w="0" w:type="dxa"/>
            <w:left w:w="108" w:type="dxa"/>
            <w:bottom w:w="0" w:type="dxa"/>
            <w:right w:w="108" w:type="dxa"/>
          </w:tblCellMar>
        </w:tblPrEx>
        <w:trPr>
          <w:trHeight w:val="379"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984"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5670"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社保信息咨询服务、社保信息咨询，免费</w:t>
            </w:r>
          </w:p>
        </w:tc>
      </w:tr>
      <w:tr>
        <w:tblPrEx>
          <w:tblCellMar>
            <w:top w:w="0" w:type="dxa"/>
            <w:left w:w="108" w:type="dxa"/>
            <w:bottom w:w="0" w:type="dxa"/>
            <w:right w:w="108" w:type="dxa"/>
          </w:tblCellMar>
        </w:tblPrEx>
        <w:trPr>
          <w:trHeight w:val="402"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984" w:type="dxa"/>
            <w:vMerge w:val="restart"/>
            <w:tcBorders>
              <w:top w:val="nil"/>
              <w:left w:val="single" w:color="auto" w:sz="4" w:space="0"/>
              <w:bottom w:val="single" w:color="auto" w:sz="4" w:space="0"/>
              <w:right w:val="single" w:color="auto" w:sz="4" w:space="0"/>
            </w:tcBorders>
            <w:noWrap/>
            <w:vAlign w:val="center"/>
          </w:tcPr>
          <w:p>
            <w:pPr>
              <w:widowControl/>
              <w:spacing w:line="42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摄影</w:t>
            </w:r>
          </w:p>
        </w:tc>
        <w:tc>
          <w:tcPr>
            <w:tcW w:w="5670"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定点服务，按店内服务单价为老年人提供</w:t>
            </w:r>
            <w:r>
              <w:rPr>
                <w:rFonts w:ascii="宋体" w:hAnsi="宋体" w:eastAsia="宋体" w:cs="宋体"/>
                <w:color w:val="auto"/>
                <w:kern w:val="0"/>
                <w:sz w:val="21"/>
                <w:szCs w:val="21"/>
              </w:rPr>
              <w:t>9</w:t>
            </w:r>
            <w:r>
              <w:rPr>
                <w:rFonts w:hint="eastAsia" w:ascii="宋体" w:hAnsi="宋体" w:eastAsia="宋体" w:cs="宋体"/>
                <w:color w:val="auto"/>
                <w:kern w:val="0"/>
                <w:sz w:val="21"/>
                <w:szCs w:val="21"/>
              </w:rPr>
              <w:t>折优惠</w:t>
            </w:r>
          </w:p>
        </w:tc>
      </w:tr>
      <w:tr>
        <w:tblPrEx>
          <w:tblCellMar>
            <w:top w:w="0" w:type="dxa"/>
            <w:left w:w="108" w:type="dxa"/>
            <w:bottom w:w="0" w:type="dxa"/>
            <w:right w:w="108" w:type="dxa"/>
          </w:tblCellMar>
        </w:tblPrEx>
        <w:trPr>
          <w:trHeight w:val="379"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984"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5670"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入户摄影，按店内公布的服务单价收费，免收上门服务费用</w:t>
            </w:r>
          </w:p>
        </w:tc>
      </w:tr>
      <w:tr>
        <w:tblPrEx>
          <w:tblCellMar>
            <w:top w:w="0" w:type="dxa"/>
            <w:left w:w="108" w:type="dxa"/>
            <w:bottom w:w="0" w:type="dxa"/>
            <w:right w:w="108" w:type="dxa"/>
          </w:tblCellMar>
        </w:tblPrEx>
        <w:trPr>
          <w:trHeight w:val="439"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984"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5670"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普通照相服务，普通证件照</w:t>
            </w:r>
            <w:r>
              <w:rPr>
                <w:rFonts w:ascii="宋体" w:hAnsi="宋体" w:eastAsia="宋体" w:cs="宋体"/>
                <w:color w:val="auto"/>
                <w:kern w:val="0"/>
                <w:sz w:val="21"/>
                <w:szCs w:val="21"/>
              </w:rPr>
              <w:t>10</w:t>
            </w:r>
            <w:r>
              <w:rPr>
                <w:rFonts w:hint="eastAsia" w:ascii="宋体" w:hAnsi="宋体" w:eastAsia="宋体" w:cs="宋体"/>
                <w:color w:val="auto"/>
                <w:kern w:val="0"/>
                <w:sz w:val="21"/>
                <w:szCs w:val="21"/>
              </w:rPr>
              <w:t>元一版</w:t>
            </w:r>
          </w:p>
        </w:tc>
      </w:tr>
      <w:tr>
        <w:tblPrEx>
          <w:tblCellMar>
            <w:top w:w="0" w:type="dxa"/>
            <w:left w:w="108" w:type="dxa"/>
            <w:bottom w:w="0" w:type="dxa"/>
            <w:right w:w="108" w:type="dxa"/>
          </w:tblCellMar>
        </w:tblPrEx>
        <w:trPr>
          <w:trHeight w:val="510" w:hRule="atLeast"/>
        </w:trPr>
        <w:tc>
          <w:tcPr>
            <w:tcW w:w="709" w:type="dxa"/>
            <w:vMerge w:val="restart"/>
            <w:tcBorders>
              <w:top w:val="single" w:color="auto" w:sz="4" w:space="0"/>
              <w:left w:val="single" w:color="auto" w:sz="4" w:space="0"/>
              <w:bottom w:val="single" w:color="000000" w:sz="4" w:space="0"/>
              <w:right w:val="single" w:color="auto" w:sz="4" w:space="0"/>
            </w:tcBorders>
            <w:noWrap/>
            <w:vAlign w:val="center"/>
          </w:tcPr>
          <w:p>
            <w:pPr>
              <w:widowControl/>
              <w:spacing w:line="42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w:t>
            </w:r>
            <w:r>
              <w:rPr>
                <w:rFonts w:ascii="宋体" w:hAnsi="宋体" w:eastAsia="宋体" w:cs="宋体"/>
                <w:color w:val="auto"/>
                <w:kern w:val="0"/>
                <w:sz w:val="21"/>
                <w:szCs w:val="21"/>
              </w:rPr>
              <w:t>7</w:t>
            </w:r>
            <w:r>
              <w:rPr>
                <w:rFonts w:hint="eastAsia" w:ascii="宋体" w:hAnsi="宋体" w:eastAsia="宋体" w:cs="宋体"/>
                <w:color w:val="auto"/>
                <w:kern w:val="0"/>
                <w:sz w:val="21"/>
                <w:szCs w:val="21"/>
              </w:rPr>
              <w:t>）</w:t>
            </w:r>
          </w:p>
        </w:tc>
        <w:tc>
          <w:tcPr>
            <w:tcW w:w="1276"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42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精神慰藉</w:t>
            </w:r>
          </w:p>
        </w:tc>
        <w:tc>
          <w:tcPr>
            <w:tcW w:w="1984" w:type="dxa"/>
            <w:vMerge w:val="restart"/>
            <w:tcBorders>
              <w:top w:val="nil"/>
              <w:left w:val="single" w:color="auto" w:sz="4" w:space="0"/>
              <w:bottom w:val="single" w:color="auto" w:sz="4" w:space="0"/>
              <w:right w:val="single" w:color="auto" w:sz="4" w:space="0"/>
            </w:tcBorders>
            <w:noWrap/>
            <w:vAlign w:val="center"/>
          </w:tcPr>
          <w:p>
            <w:pPr>
              <w:widowControl/>
              <w:spacing w:line="42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心理咨询</w:t>
            </w:r>
          </w:p>
        </w:tc>
        <w:tc>
          <w:tcPr>
            <w:tcW w:w="5670"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定点咨询</w:t>
            </w:r>
            <w:r>
              <w:rPr>
                <w:rFonts w:ascii="宋体" w:hAnsi="宋体" w:eastAsia="宋体" w:cs="宋体"/>
                <w:color w:val="auto"/>
                <w:kern w:val="0"/>
                <w:sz w:val="21"/>
                <w:szCs w:val="21"/>
              </w:rPr>
              <w:t>30</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小时</w:t>
            </w:r>
          </w:p>
        </w:tc>
      </w:tr>
      <w:tr>
        <w:tblPrEx>
          <w:tblCellMar>
            <w:top w:w="0" w:type="dxa"/>
            <w:left w:w="108" w:type="dxa"/>
            <w:bottom w:w="0" w:type="dxa"/>
            <w:right w:w="108" w:type="dxa"/>
          </w:tblCellMar>
        </w:tblPrEx>
        <w:trPr>
          <w:trHeight w:val="51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984"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5670"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入户咨询</w:t>
            </w:r>
            <w:r>
              <w:rPr>
                <w:rFonts w:ascii="宋体" w:hAnsi="宋体" w:eastAsia="宋体" w:cs="宋体"/>
                <w:color w:val="auto"/>
                <w:kern w:val="0"/>
                <w:sz w:val="21"/>
                <w:szCs w:val="21"/>
              </w:rPr>
              <w:t>35</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小时</w:t>
            </w:r>
          </w:p>
        </w:tc>
      </w:tr>
      <w:tr>
        <w:tblPrEx>
          <w:tblCellMar>
            <w:top w:w="0" w:type="dxa"/>
            <w:left w:w="108" w:type="dxa"/>
            <w:bottom w:w="0" w:type="dxa"/>
            <w:right w:w="108" w:type="dxa"/>
          </w:tblCellMar>
        </w:tblPrEx>
        <w:trPr>
          <w:trHeight w:val="51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984"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5670"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电话咨询免费</w:t>
            </w:r>
          </w:p>
        </w:tc>
      </w:tr>
      <w:tr>
        <w:tblPrEx>
          <w:tblCellMar>
            <w:top w:w="0" w:type="dxa"/>
            <w:left w:w="108" w:type="dxa"/>
            <w:bottom w:w="0" w:type="dxa"/>
            <w:right w:w="108" w:type="dxa"/>
          </w:tblCellMar>
        </w:tblPrEx>
        <w:trPr>
          <w:trHeight w:val="69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984"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5670"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陪聊</w:t>
            </w:r>
            <w:r>
              <w:rPr>
                <w:rFonts w:ascii="宋体" w:hAnsi="宋体" w:eastAsia="宋体" w:cs="宋体"/>
                <w:color w:val="auto"/>
                <w:kern w:val="0"/>
                <w:sz w:val="21"/>
                <w:szCs w:val="21"/>
              </w:rPr>
              <w:t>20</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小时，对服务对象进行身体状况评估，有精神病患的，由其家属签署同意陪聊服务后，方能开展服务</w:t>
            </w:r>
          </w:p>
        </w:tc>
      </w:tr>
      <w:tr>
        <w:tblPrEx>
          <w:tblCellMar>
            <w:top w:w="0" w:type="dxa"/>
            <w:left w:w="108" w:type="dxa"/>
            <w:bottom w:w="0" w:type="dxa"/>
            <w:right w:w="108" w:type="dxa"/>
          </w:tblCellMar>
        </w:tblPrEx>
        <w:trPr>
          <w:trHeight w:val="465"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984"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5670"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读报</w:t>
            </w:r>
            <w:r>
              <w:rPr>
                <w:rFonts w:ascii="宋体" w:hAnsi="宋体" w:eastAsia="宋体" w:cs="宋体"/>
                <w:color w:val="auto"/>
                <w:kern w:val="0"/>
                <w:sz w:val="21"/>
                <w:szCs w:val="21"/>
              </w:rPr>
              <w:t>20</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小时</w:t>
            </w:r>
          </w:p>
        </w:tc>
      </w:tr>
      <w:tr>
        <w:tblPrEx>
          <w:tblCellMar>
            <w:top w:w="0" w:type="dxa"/>
            <w:left w:w="108" w:type="dxa"/>
            <w:bottom w:w="0" w:type="dxa"/>
            <w:right w:w="108" w:type="dxa"/>
          </w:tblCellMar>
        </w:tblPrEx>
        <w:trPr>
          <w:trHeight w:val="465"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984"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5670"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单身老年人联谊活动免费</w:t>
            </w:r>
          </w:p>
        </w:tc>
      </w:tr>
      <w:tr>
        <w:tblPrEx>
          <w:tblCellMar>
            <w:top w:w="0" w:type="dxa"/>
            <w:left w:w="108" w:type="dxa"/>
            <w:bottom w:w="0" w:type="dxa"/>
            <w:right w:w="108" w:type="dxa"/>
          </w:tblCellMar>
        </w:tblPrEx>
        <w:trPr>
          <w:trHeight w:val="585"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984" w:type="dxa"/>
            <w:tcBorders>
              <w:top w:val="nil"/>
              <w:left w:val="nil"/>
              <w:bottom w:val="single" w:color="auto" w:sz="4" w:space="0"/>
              <w:right w:val="single" w:color="auto" w:sz="4" w:space="0"/>
            </w:tcBorders>
            <w:noWrap/>
            <w:vAlign w:val="center"/>
          </w:tcPr>
          <w:p>
            <w:pPr>
              <w:widowControl/>
              <w:spacing w:line="42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临终关爱</w:t>
            </w:r>
          </w:p>
        </w:tc>
        <w:tc>
          <w:tcPr>
            <w:tcW w:w="5670"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满一个月护理</w:t>
            </w:r>
            <w:r>
              <w:rPr>
                <w:rFonts w:ascii="宋体" w:hAnsi="宋体" w:eastAsia="宋体" w:cs="宋体"/>
                <w:color w:val="auto"/>
                <w:kern w:val="0"/>
                <w:sz w:val="21"/>
                <w:szCs w:val="21"/>
              </w:rPr>
              <w:t>4000</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月，不足月的</w:t>
            </w:r>
            <w:r>
              <w:rPr>
                <w:rFonts w:ascii="宋体" w:hAnsi="宋体" w:eastAsia="宋体" w:cs="宋体"/>
                <w:color w:val="auto"/>
                <w:kern w:val="0"/>
                <w:sz w:val="21"/>
                <w:szCs w:val="21"/>
              </w:rPr>
              <w:t>150</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天，其他信息咨询免费</w:t>
            </w:r>
          </w:p>
        </w:tc>
      </w:tr>
      <w:tr>
        <w:tblPrEx>
          <w:tblCellMar>
            <w:top w:w="0" w:type="dxa"/>
            <w:left w:w="108" w:type="dxa"/>
            <w:bottom w:w="0" w:type="dxa"/>
            <w:right w:w="108" w:type="dxa"/>
          </w:tblCellMar>
        </w:tblPrEx>
        <w:trPr>
          <w:trHeight w:val="495" w:hRule="atLeast"/>
        </w:trPr>
        <w:tc>
          <w:tcPr>
            <w:tcW w:w="709" w:type="dxa"/>
            <w:vMerge w:val="restart"/>
            <w:tcBorders>
              <w:top w:val="nil"/>
              <w:left w:val="single" w:color="auto" w:sz="4" w:space="0"/>
              <w:bottom w:val="single" w:color="auto" w:sz="4" w:space="0"/>
              <w:right w:val="single" w:color="auto" w:sz="4" w:space="0"/>
            </w:tcBorders>
            <w:noWrap/>
            <w:vAlign w:val="center"/>
          </w:tcPr>
          <w:p>
            <w:pPr>
              <w:widowControl/>
              <w:spacing w:line="42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w:t>
            </w:r>
            <w:r>
              <w:rPr>
                <w:rFonts w:ascii="宋体" w:hAnsi="宋体" w:eastAsia="宋体" w:cs="宋体"/>
                <w:color w:val="auto"/>
                <w:kern w:val="0"/>
                <w:sz w:val="21"/>
                <w:szCs w:val="21"/>
              </w:rPr>
              <w:t>8</w:t>
            </w:r>
            <w:r>
              <w:rPr>
                <w:rFonts w:hint="eastAsia" w:ascii="宋体" w:hAnsi="宋体" w:eastAsia="宋体" w:cs="宋体"/>
                <w:color w:val="auto"/>
                <w:kern w:val="0"/>
                <w:sz w:val="21"/>
                <w:szCs w:val="21"/>
              </w:rPr>
              <w:t>）</w:t>
            </w:r>
          </w:p>
        </w:tc>
        <w:tc>
          <w:tcPr>
            <w:tcW w:w="1276" w:type="dxa"/>
            <w:vMerge w:val="restart"/>
            <w:tcBorders>
              <w:top w:val="nil"/>
              <w:left w:val="single" w:color="auto" w:sz="4" w:space="0"/>
              <w:bottom w:val="single" w:color="auto" w:sz="4" w:space="0"/>
              <w:right w:val="single" w:color="auto" w:sz="4" w:space="0"/>
            </w:tcBorders>
            <w:noWrap/>
            <w:vAlign w:val="center"/>
          </w:tcPr>
          <w:p>
            <w:pPr>
              <w:widowControl/>
              <w:spacing w:line="42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康复护理</w:t>
            </w:r>
          </w:p>
        </w:tc>
        <w:tc>
          <w:tcPr>
            <w:tcW w:w="1984" w:type="dxa"/>
            <w:tcBorders>
              <w:top w:val="nil"/>
              <w:left w:val="nil"/>
              <w:bottom w:val="single" w:color="auto" w:sz="4" w:space="0"/>
              <w:right w:val="single" w:color="auto" w:sz="4" w:space="0"/>
            </w:tcBorders>
            <w:noWrap/>
            <w:vAlign w:val="center"/>
          </w:tcPr>
          <w:p>
            <w:pPr>
              <w:widowControl/>
              <w:spacing w:line="42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日托</w:t>
            </w:r>
          </w:p>
        </w:tc>
        <w:tc>
          <w:tcPr>
            <w:tcW w:w="5670"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完全自理的</w:t>
            </w:r>
            <w:r>
              <w:rPr>
                <w:rFonts w:ascii="宋体" w:hAnsi="宋体" w:eastAsia="宋体" w:cs="宋体"/>
                <w:color w:val="auto"/>
                <w:kern w:val="0"/>
                <w:sz w:val="21"/>
                <w:szCs w:val="21"/>
              </w:rPr>
              <w:t>30</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天，不能完全自理的</w:t>
            </w:r>
            <w:r>
              <w:rPr>
                <w:rFonts w:ascii="宋体" w:hAnsi="宋体" w:eastAsia="宋体" w:cs="宋体"/>
                <w:color w:val="auto"/>
                <w:kern w:val="0"/>
                <w:sz w:val="21"/>
                <w:szCs w:val="21"/>
              </w:rPr>
              <w:t>80</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天（含午餐）</w:t>
            </w:r>
          </w:p>
        </w:tc>
      </w:tr>
      <w:tr>
        <w:tblPrEx>
          <w:tblCellMar>
            <w:top w:w="0" w:type="dxa"/>
            <w:left w:w="108" w:type="dxa"/>
            <w:bottom w:w="0" w:type="dxa"/>
            <w:right w:w="108" w:type="dxa"/>
          </w:tblCellMar>
        </w:tblPrEx>
        <w:trPr>
          <w:trHeight w:val="495"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984" w:type="dxa"/>
            <w:vMerge w:val="restart"/>
            <w:tcBorders>
              <w:top w:val="nil"/>
              <w:left w:val="single" w:color="auto" w:sz="4" w:space="0"/>
              <w:bottom w:val="single" w:color="auto" w:sz="4" w:space="0"/>
              <w:right w:val="single" w:color="auto" w:sz="4" w:space="0"/>
            </w:tcBorders>
            <w:noWrap/>
            <w:vAlign w:val="center"/>
          </w:tcPr>
          <w:p>
            <w:pPr>
              <w:widowControl/>
              <w:spacing w:line="42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全托</w:t>
            </w:r>
          </w:p>
        </w:tc>
        <w:tc>
          <w:tcPr>
            <w:tcW w:w="5670"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护理自理老年人</w:t>
            </w:r>
            <w:r>
              <w:rPr>
                <w:rFonts w:ascii="宋体" w:hAnsi="宋体" w:eastAsia="宋体" w:cs="宋体"/>
                <w:color w:val="auto"/>
                <w:kern w:val="0"/>
                <w:sz w:val="21"/>
                <w:szCs w:val="21"/>
              </w:rPr>
              <w:t>2000-3000</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月（含常规护理、清洁护理）</w:t>
            </w:r>
          </w:p>
        </w:tc>
      </w:tr>
      <w:tr>
        <w:tblPrEx>
          <w:tblCellMar>
            <w:top w:w="0" w:type="dxa"/>
            <w:left w:w="108" w:type="dxa"/>
            <w:bottom w:w="0" w:type="dxa"/>
            <w:right w:w="108" w:type="dxa"/>
          </w:tblCellMar>
        </w:tblPrEx>
        <w:trPr>
          <w:trHeight w:val="675"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984"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5670"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护理不能完全自理老年人</w:t>
            </w:r>
            <w:r>
              <w:rPr>
                <w:rFonts w:ascii="宋体" w:hAnsi="宋体" w:eastAsia="宋体" w:cs="宋体"/>
                <w:color w:val="auto"/>
                <w:kern w:val="0"/>
                <w:sz w:val="21"/>
                <w:szCs w:val="21"/>
              </w:rPr>
              <w:t>3000-4000</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月（含常规护理、康复护理、清洁护理、助餐（药））</w:t>
            </w:r>
          </w:p>
        </w:tc>
      </w:tr>
      <w:tr>
        <w:tblPrEx>
          <w:tblCellMar>
            <w:top w:w="0" w:type="dxa"/>
            <w:left w:w="108" w:type="dxa"/>
            <w:bottom w:w="0" w:type="dxa"/>
            <w:right w:w="108" w:type="dxa"/>
          </w:tblCellMar>
        </w:tblPrEx>
        <w:trPr>
          <w:trHeight w:val="495"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984" w:type="dxa"/>
            <w:vMerge w:val="restart"/>
            <w:tcBorders>
              <w:top w:val="nil"/>
              <w:left w:val="single" w:color="auto" w:sz="4" w:space="0"/>
              <w:bottom w:val="single" w:color="auto" w:sz="4" w:space="0"/>
              <w:right w:val="single" w:color="auto" w:sz="4" w:space="0"/>
            </w:tcBorders>
            <w:noWrap/>
            <w:vAlign w:val="center"/>
          </w:tcPr>
          <w:p>
            <w:pPr>
              <w:widowControl/>
              <w:spacing w:line="42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5670"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足疗项目：为</w:t>
            </w:r>
            <w:r>
              <w:rPr>
                <w:rFonts w:ascii="宋体" w:hAnsi="宋体" w:eastAsia="宋体" w:cs="宋体"/>
                <w:color w:val="auto"/>
                <w:kern w:val="0"/>
                <w:sz w:val="21"/>
                <w:szCs w:val="21"/>
              </w:rPr>
              <w:t>30</w:t>
            </w:r>
            <w:r>
              <w:rPr>
                <w:rFonts w:hint="eastAsia" w:ascii="宋体" w:hAnsi="宋体" w:eastAsia="宋体" w:cs="宋体"/>
                <w:color w:val="auto"/>
                <w:kern w:val="0"/>
                <w:sz w:val="21"/>
                <w:szCs w:val="21"/>
              </w:rPr>
              <w:t>分钟为一个医疗单位，上门服务为</w:t>
            </w:r>
            <w:r>
              <w:rPr>
                <w:rFonts w:ascii="宋体" w:hAnsi="宋体" w:eastAsia="宋体" w:cs="宋体"/>
                <w:color w:val="auto"/>
                <w:kern w:val="0"/>
                <w:sz w:val="21"/>
                <w:szCs w:val="21"/>
              </w:rPr>
              <w:t>20</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次</w:t>
            </w:r>
          </w:p>
        </w:tc>
      </w:tr>
      <w:tr>
        <w:tblPrEx>
          <w:tblCellMar>
            <w:top w:w="0" w:type="dxa"/>
            <w:left w:w="108" w:type="dxa"/>
            <w:bottom w:w="0" w:type="dxa"/>
            <w:right w:w="108" w:type="dxa"/>
          </w:tblCellMar>
        </w:tblPrEx>
        <w:trPr>
          <w:trHeight w:val="585"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984"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5670"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推拿治疗法</w:t>
            </w:r>
            <w:r>
              <w:rPr>
                <w:rFonts w:ascii="宋体" w:hAnsi="宋体" w:eastAsia="宋体" w:cs="宋体"/>
                <w:color w:val="auto"/>
                <w:kern w:val="0"/>
                <w:sz w:val="21"/>
                <w:szCs w:val="21"/>
              </w:rPr>
              <w:t>60</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小时，超过</w:t>
            </w:r>
            <w:r>
              <w:rPr>
                <w:rFonts w:ascii="宋体" w:hAnsi="宋体" w:eastAsia="宋体" w:cs="宋体"/>
                <w:color w:val="auto"/>
                <w:kern w:val="0"/>
                <w:sz w:val="21"/>
                <w:szCs w:val="21"/>
              </w:rPr>
              <w:t>60</w:t>
            </w:r>
            <w:r>
              <w:rPr>
                <w:rFonts w:hint="eastAsia" w:ascii="宋体" w:hAnsi="宋体" w:eastAsia="宋体" w:cs="宋体"/>
                <w:color w:val="auto"/>
                <w:kern w:val="0"/>
                <w:sz w:val="21"/>
                <w:szCs w:val="21"/>
              </w:rPr>
              <w:t>分钟加收</w:t>
            </w:r>
            <w:r>
              <w:rPr>
                <w:rFonts w:ascii="宋体" w:hAnsi="宋体" w:eastAsia="宋体" w:cs="宋体"/>
                <w:color w:val="auto"/>
                <w:kern w:val="0"/>
                <w:sz w:val="21"/>
                <w:szCs w:val="21"/>
              </w:rPr>
              <w:t>50%</w:t>
            </w:r>
            <w:r>
              <w:rPr>
                <w:rFonts w:hint="eastAsia" w:ascii="宋体" w:hAnsi="宋体" w:eastAsia="宋体" w:cs="宋体"/>
                <w:color w:val="auto"/>
                <w:kern w:val="0"/>
                <w:sz w:val="21"/>
                <w:szCs w:val="21"/>
              </w:rPr>
              <w:t>；对瘫痪病人加收</w:t>
            </w:r>
            <w:r>
              <w:rPr>
                <w:rFonts w:ascii="宋体" w:hAnsi="宋体" w:eastAsia="宋体" w:cs="宋体"/>
                <w:color w:val="auto"/>
                <w:kern w:val="0"/>
                <w:sz w:val="21"/>
                <w:szCs w:val="21"/>
              </w:rPr>
              <w:t>50%</w:t>
            </w:r>
          </w:p>
        </w:tc>
      </w:tr>
      <w:tr>
        <w:tblPrEx>
          <w:tblCellMar>
            <w:top w:w="0" w:type="dxa"/>
            <w:left w:w="108" w:type="dxa"/>
            <w:bottom w:w="0" w:type="dxa"/>
            <w:right w:w="108" w:type="dxa"/>
          </w:tblCellMar>
        </w:tblPrEx>
        <w:trPr>
          <w:trHeight w:val="495"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984"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5670"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拔罐治疗</w:t>
            </w:r>
            <w:r>
              <w:rPr>
                <w:rFonts w:ascii="宋体" w:hAnsi="宋体" w:eastAsia="宋体" w:cs="宋体"/>
                <w:color w:val="auto"/>
                <w:kern w:val="0"/>
                <w:sz w:val="21"/>
                <w:szCs w:val="21"/>
              </w:rPr>
              <w:t>20</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次，游走罐加收</w:t>
            </w:r>
            <w:r>
              <w:rPr>
                <w:rFonts w:ascii="宋体" w:hAnsi="宋体" w:eastAsia="宋体" w:cs="宋体"/>
                <w:color w:val="auto"/>
                <w:kern w:val="0"/>
                <w:sz w:val="21"/>
                <w:szCs w:val="21"/>
              </w:rPr>
              <w:t>10</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次服务费用</w:t>
            </w:r>
          </w:p>
        </w:tc>
      </w:tr>
      <w:tr>
        <w:tblPrEx>
          <w:tblCellMar>
            <w:top w:w="0" w:type="dxa"/>
            <w:left w:w="108" w:type="dxa"/>
            <w:bottom w:w="0" w:type="dxa"/>
            <w:right w:w="108" w:type="dxa"/>
          </w:tblCellMar>
        </w:tblPrEx>
        <w:trPr>
          <w:trHeight w:val="495"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984"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5670"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刮痧治疗</w:t>
            </w:r>
            <w:r>
              <w:rPr>
                <w:rFonts w:ascii="宋体" w:hAnsi="宋体" w:eastAsia="宋体" w:cs="宋体"/>
                <w:color w:val="auto"/>
                <w:kern w:val="0"/>
                <w:sz w:val="21"/>
                <w:szCs w:val="21"/>
              </w:rPr>
              <w:t>20</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每个部位</w:t>
            </w:r>
          </w:p>
        </w:tc>
      </w:tr>
      <w:tr>
        <w:tblPrEx>
          <w:tblCellMar>
            <w:top w:w="0" w:type="dxa"/>
            <w:left w:w="108" w:type="dxa"/>
            <w:bottom w:w="0" w:type="dxa"/>
            <w:right w:w="108" w:type="dxa"/>
          </w:tblCellMar>
        </w:tblPrEx>
        <w:trPr>
          <w:trHeight w:val="495"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984"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5670"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病人护理</w:t>
            </w:r>
            <w:r>
              <w:rPr>
                <w:rFonts w:ascii="宋体" w:hAnsi="宋体" w:eastAsia="宋体" w:cs="宋体"/>
                <w:color w:val="auto"/>
                <w:kern w:val="0"/>
                <w:sz w:val="21"/>
                <w:szCs w:val="21"/>
              </w:rPr>
              <w:t>80-150</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天·次，根据病人病情身体状况商定收费标准</w:t>
            </w:r>
          </w:p>
        </w:tc>
      </w:tr>
      <w:tr>
        <w:tblPrEx>
          <w:tblCellMar>
            <w:top w:w="0" w:type="dxa"/>
            <w:left w:w="108" w:type="dxa"/>
            <w:bottom w:w="0" w:type="dxa"/>
            <w:right w:w="108" w:type="dxa"/>
          </w:tblCellMar>
        </w:tblPrEx>
        <w:trPr>
          <w:trHeight w:val="495"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984"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5670"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残疾人护理</w:t>
            </w:r>
            <w:r>
              <w:rPr>
                <w:rFonts w:ascii="宋体" w:hAnsi="宋体" w:eastAsia="宋体" w:cs="宋体"/>
                <w:color w:val="auto"/>
                <w:kern w:val="0"/>
                <w:sz w:val="21"/>
                <w:szCs w:val="21"/>
              </w:rPr>
              <w:t>80-150</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天·次，根据残疾人身体状况商定收费标准</w:t>
            </w:r>
          </w:p>
        </w:tc>
      </w:tr>
      <w:tr>
        <w:tblPrEx>
          <w:tblCellMar>
            <w:top w:w="0" w:type="dxa"/>
            <w:left w:w="108" w:type="dxa"/>
            <w:bottom w:w="0" w:type="dxa"/>
            <w:right w:w="108" w:type="dxa"/>
          </w:tblCellMar>
        </w:tblPrEx>
        <w:trPr>
          <w:trHeight w:val="2346"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p>
        </w:tc>
        <w:tc>
          <w:tcPr>
            <w:tcW w:w="1984" w:type="dxa"/>
            <w:tcBorders>
              <w:top w:val="nil"/>
              <w:left w:val="nil"/>
              <w:bottom w:val="single" w:color="auto" w:sz="4" w:space="0"/>
              <w:right w:val="single" w:color="auto" w:sz="4" w:space="0"/>
            </w:tcBorders>
            <w:noWrap/>
            <w:vAlign w:val="center"/>
          </w:tcPr>
          <w:p>
            <w:pPr>
              <w:widowControl/>
              <w:spacing w:line="42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专业护理服务</w:t>
            </w:r>
          </w:p>
        </w:tc>
        <w:tc>
          <w:tcPr>
            <w:tcW w:w="5670"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专业护理、病后术后的康复参考、合理用药和居家安全参考、精神慰藉、急性疾病的专业护理等。</w:t>
            </w:r>
          </w:p>
          <w:p>
            <w:pPr>
              <w:widowControl/>
              <w:spacing w:line="42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护理服务每小时为单位计算，</w:t>
            </w:r>
            <w:r>
              <w:rPr>
                <w:rFonts w:ascii="宋体" w:hAnsi="宋体" w:eastAsia="宋体" w:cs="宋体"/>
                <w:color w:val="auto"/>
                <w:kern w:val="0"/>
                <w:sz w:val="21"/>
                <w:szCs w:val="21"/>
              </w:rPr>
              <w:t>60</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/60</w:t>
            </w:r>
            <w:r>
              <w:rPr>
                <w:rFonts w:hint="eastAsia" w:ascii="宋体" w:hAnsi="宋体" w:eastAsia="宋体" w:cs="宋体"/>
                <w:color w:val="auto"/>
                <w:kern w:val="0"/>
                <w:sz w:val="21"/>
                <w:szCs w:val="21"/>
              </w:rPr>
              <w:t>分钟、</w:t>
            </w:r>
            <w:r>
              <w:rPr>
                <w:rFonts w:ascii="宋体" w:hAnsi="宋体" w:eastAsia="宋体" w:cs="宋体"/>
                <w:color w:val="auto"/>
                <w:kern w:val="0"/>
                <w:sz w:val="21"/>
                <w:szCs w:val="21"/>
              </w:rPr>
              <w:t>90</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/90</w:t>
            </w:r>
            <w:r>
              <w:rPr>
                <w:rFonts w:hint="eastAsia" w:ascii="宋体" w:hAnsi="宋体" w:eastAsia="宋体" w:cs="宋体"/>
                <w:color w:val="auto"/>
                <w:kern w:val="0"/>
                <w:sz w:val="21"/>
                <w:szCs w:val="21"/>
              </w:rPr>
              <w:t>分钟、</w:t>
            </w:r>
            <w:r>
              <w:rPr>
                <w:rFonts w:ascii="宋体" w:hAnsi="宋体" w:eastAsia="宋体" w:cs="宋体"/>
                <w:color w:val="auto"/>
                <w:kern w:val="0"/>
                <w:sz w:val="21"/>
                <w:szCs w:val="21"/>
              </w:rPr>
              <w:t>120</w:t>
            </w:r>
            <w:r>
              <w:rPr>
                <w:rFonts w:hint="eastAsia" w:ascii="宋体" w:hAnsi="宋体" w:eastAsia="宋体" w:cs="宋体"/>
                <w:color w:val="auto"/>
                <w:kern w:val="0"/>
                <w:sz w:val="21"/>
                <w:szCs w:val="21"/>
              </w:rPr>
              <w:t>元</w:t>
            </w:r>
            <w:r>
              <w:rPr>
                <w:rFonts w:ascii="宋体" w:hAnsi="宋体" w:eastAsia="宋体" w:cs="宋体"/>
                <w:color w:val="auto"/>
                <w:kern w:val="0"/>
                <w:sz w:val="21"/>
                <w:szCs w:val="21"/>
              </w:rPr>
              <w:t>/120</w:t>
            </w:r>
            <w:r>
              <w:rPr>
                <w:rFonts w:hint="eastAsia" w:ascii="宋体" w:hAnsi="宋体" w:eastAsia="宋体" w:cs="宋体"/>
                <w:color w:val="auto"/>
                <w:kern w:val="0"/>
                <w:sz w:val="21"/>
                <w:szCs w:val="21"/>
              </w:rPr>
              <w:t>分钟，可上门提供服务，分</w:t>
            </w:r>
            <w:r>
              <w:rPr>
                <w:rFonts w:ascii="宋体" w:hAnsi="宋体" w:eastAsia="宋体" w:cs="宋体"/>
                <w:color w:val="auto"/>
                <w:kern w:val="0"/>
                <w:sz w:val="21"/>
                <w:szCs w:val="21"/>
              </w:rPr>
              <w:t>1-6</w:t>
            </w:r>
            <w:r>
              <w:rPr>
                <w:rFonts w:hint="eastAsia" w:ascii="宋体" w:hAnsi="宋体" w:eastAsia="宋体" w:cs="宋体"/>
                <w:color w:val="auto"/>
                <w:kern w:val="0"/>
                <w:sz w:val="21"/>
                <w:szCs w:val="21"/>
              </w:rPr>
              <w:t>级护理，以此类推。</w:t>
            </w:r>
          </w:p>
        </w:tc>
      </w:tr>
      <w:tr>
        <w:tblPrEx>
          <w:tblCellMar>
            <w:top w:w="0" w:type="dxa"/>
            <w:left w:w="108" w:type="dxa"/>
            <w:bottom w:w="0" w:type="dxa"/>
            <w:right w:w="108" w:type="dxa"/>
          </w:tblCellMar>
        </w:tblPrEx>
        <w:trPr>
          <w:trHeight w:val="976" w:hRule="atLeast"/>
        </w:trPr>
        <w:tc>
          <w:tcPr>
            <w:tcW w:w="709" w:type="dxa"/>
            <w:tcBorders>
              <w:top w:val="nil"/>
              <w:left w:val="single" w:color="auto" w:sz="4" w:space="0"/>
              <w:bottom w:val="single" w:color="auto" w:sz="4" w:space="0"/>
              <w:right w:val="single" w:color="auto" w:sz="4" w:space="0"/>
            </w:tcBorders>
            <w:noWrap/>
            <w:vAlign w:val="center"/>
          </w:tcPr>
          <w:p>
            <w:pPr>
              <w:widowControl/>
              <w:spacing w:line="42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w:t>
            </w:r>
            <w:r>
              <w:rPr>
                <w:rFonts w:ascii="宋体" w:hAnsi="宋体" w:eastAsia="宋体" w:cs="宋体"/>
                <w:color w:val="auto"/>
                <w:kern w:val="0"/>
                <w:sz w:val="21"/>
                <w:szCs w:val="21"/>
              </w:rPr>
              <w:t>9</w:t>
            </w:r>
            <w:r>
              <w:rPr>
                <w:rFonts w:hint="eastAsia" w:ascii="宋体" w:hAnsi="宋体" w:eastAsia="宋体" w:cs="宋体"/>
                <w:color w:val="auto"/>
                <w:kern w:val="0"/>
                <w:sz w:val="21"/>
                <w:szCs w:val="21"/>
              </w:rPr>
              <w:t>）</w:t>
            </w:r>
          </w:p>
        </w:tc>
        <w:tc>
          <w:tcPr>
            <w:tcW w:w="1276" w:type="dxa"/>
            <w:tcBorders>
              <w:top w:val="nil"/>
              <w:left w:val="nil"/>
              <w:bottom w:val="single" w:color="auto" w:sz="4" w:space="0"/>
              <w:right w:val="single" w:color="auto" w:sz="4" w:space="0"/>
            </w:tcBorders>
            <w:noWrap/>
            <w:vAlign w:val="center"/>
          </w:tcPr>
          <w:p>
            <w:pPr>
              <w:widowControl/>
              <w:spacing w:line="42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紧急援助</w:t>
            </w:r>
          </w:p>
        </w:tc>
        <w:tc>
          <w:tcPr>
            <w:tcW w:w="1984" w:type="dxa"/>
            <w:tcBorders>
              <w:top w:val="nil"/>
              <w:left w:val="nil"/>
              <w:bottom w:val="single" w:color="auto" w:sz="4" w:space="0"/>
              <w:right w:val="single" w:color="auto" w:sz="4" w:space="0"/>
            </w:tcBorders>
            <w:noWrap/>
            <w:vAlign w:val="center"/>
          </w:tcPr>
          <w:p>
            <w:pPr>
              <w:widowControl/>
              <w:spacing w:line="420" w:lineRule="exact"/>
              <w:jc w:val="center"/>
              <w:rPr>
                <w:rFonts w:ascii="宋体" w:hAnsi="宋体" w:eastAsia="宋体" w:cs="宋体"/>
                <w:color w:val="auto"/>
                <w:kern w:val="0"/>
                <w:sz w:val="21"/>
                <w:szCs w:val="21"/>
              </w:rPr>
            </w:pPr>
            <w:r>
              <w:rPr>
                <w:rFonts w:ascii="宋体" w:hAnsi="宋体" w:eastAsia="宋体" w:cs="宋体"/>
                <w:color w:val="auto"/>
                <w:kern w:val="0"/>
                <w:sz w:val="21"/>
                <w:szCs w:val="21"/>
              </w:rPr>
              <w:t>24</w:t>
            </w:r>
            <w:r>
              <w:rPr>
                <w:rFonts w:hint="eastAsia" w:ascii="宋体" w:hAnsi="宋体" w:eastAsia="宋体" w:cs="宋体"/>
                <w:color w:val="auto"/>
                <w:kern w:val="0"/>
                <w:sz w:val="21"/>
                <w:szCs w:val="21"/>
              </w:rPr>
              <w:t>小时紧急救助</w:t>
            </w:r>
          </w:p>
        </w:tc>
        <w:tc>
          <w:tcPr>
            <w:tcW w:w="5670"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电话转接救援机构，通知紧急联系人；居家和社区养老服务人员上门协助救援机构开展救助工作</w:t>
            </w:r>
          </w:p>
        </w:tc>
      </w:tr>
    </w:tbl>
    <w:p>
      <w:pPr>
        <w:pStyle w:val="21"/>
        <w:spacing w:line="420" w:lineRule="exact"/>
        <w:ind w:left="31680" w:firstLine="31680"/>
        <w:rPr>
          <w:rFonts w:ascii="宋体" w:cs="宋体"/>
          <w:color w:val="auto"/>
          <w:sz w:val="24"/>
          <w:szCs w:val="24"/>
          <w:highlight w:val="yellow"/>
        </w:rPr>
      </w:pPr>
    </w:p>
    <w:p>
      <w:pPr>
        <w:pStyle w:val="21"/>
        <w:spacing w:line="420" w:lineRule="exact"/>
        <w:ind w:left="31680" w:firstLine="31680"/>
        <w:rPr>
          <w:rFonts w:ascii="宋体" w:cs="宋体"/>
          <w:b/>
          <w:bCs/>
          <w:color w:val="auto"/>
          <w:sz w:val="24"/>
          <w:szCs w:val="24"/>
        </w:rPr>
      </w:pPr>
      <w:r>
        <w:rPr>
          <w:rFonts w:ascii="宋体" w:hAnsi="宋体" w:cs="宋体"/>
          <w:b/>
          <w:bCs/>
          <w:color w:val="auto"/>
          <w:sz w:val="24"/>
          <w:szCs w:val="24"/>
        </w:rPr>
        <w:t>5.</w:t>
      </w:r>
      <w:r>
        <w:rPr>
          <w:rFonts w:hint="eastAsia" w:ascii="宋体" w:hAnsi="宋体" w:cs="宋体"/>
          <w:b/>
          <w:bCs/>
          <w:color w:val="auto"/>
          <w:sz w:val="24"/>
          <w:szCs w:val="24"/>
        </w:rPr>
        <w:t>政府购买居家养老服务期</w:t>
      </w:r>
    </w:p>
    <w:p>
      <w:pPr>
        <w:pStyle w:val="21"/>
        <w:spacing w:line="420" w:lineRule="exact"/>
        <w:ind w:left="31680" w:firstLine="31680"/>
        <w:rPr>
          <w:rFonts w:ascii="宋体" w:cs="宋体"/>
          <w:color w:val="auto"/>
          <w:sz w:val="24"/>
          <w:szCs w:val="24"/>
        </w:rPr>
      </w:pPr>
      <w:r>
        <w:rPr>
          <w:rFonts w:hint="eastAsia" w:ascii="宋体" w:hAnsi="宋体" w:cs="宋体"/>
          <w:color w:val="auto"/>
          <w:sz w:val="24"/>
          <w:szCs w:val="24"/>
        </w:rPr>
        <w:t>政府购买居家养老服务期为：叁年，自合同签订之日起生效，</w:t>
      </w:r>
      <w:r>
        <w:rPr>
          <w:rFonts w:hint="eastAsia" w:ascii="宋体" w:hAnsi="宋体" w:eastAsia="宋体" w:cs="宋体"/>
          <w:color w:val="auto"/>
          <w:kern w:val="0"/>
          <w:sz w:val="24"/>
          <w:szCs w:val="24"/>
          <w:lang w:val="en-US" w:eastAsia="zh-CN"/>
        </w:rPr>
        <w:t>以当年考核结果签署次年的合同</w:t>
      </w:r>
      <w:r>
        <w:rPr>
          <w:rFonts w:hint="eastAsia" w:ascii="宋体" w:hAnsi="宋体" w:cs="宋体"/>
          <w:color w:val="auto"/>
          <w:sz w:val="24"/>
          <w:szCs w:val="24"/>
        </w:rPr>
        <w:t>。整体服务期满，采购人可根据对服务机构的日常及年终考核决定是否续签政府购买服务合同。</w:t>
      </w:r>
    </w:p>
    <w:p>
      <w:pPr>
        <w:pStyle w:val="21"/>
        <w:spacing w:line="420" w:lineRule="exact"/>
        <w:ind w:left="31680" w:firstLine="31680"/>
        <w:rPr>
          <w:rFonts w:ascii="宋体" w:cs="宋体"/>
          <w:b/>
          <w:bCs/>
          <w:color w:val="auto"/>
          <w:sz w:val="24"/>
          <w:szCs w:val="24"/>
          <w:highlight w:val="none"/>
        </w:rPr>
      </w:pPr>
      <w:r>
        <w:rPr>
          <w:rFonts w:ascii="宋体" w:hAnsi="宋体" w:cs="宋体"/>
          <w:b/>
          <w:bCs/>
          <w:color w:val="auto"/>
          <w:sz w:val="24"/>
          <w:szCs w:val="24"/>
          <w:highlight w:val="none"/>
        </w:rPr>
        <w:t>6.</w:t>
      </w:r>
      <w:r>
        <w:rPr>
          <w:rFonts w:hint="eastAsia" w:ascii="宋体" w:hAnsi="宋体" w:cs="宋体"/>
          <w:b/>
          <w:bCs/>
          <w:color w:val="auto"/>
          <w:sz w:val="24"/>
          <w:szCs w:val="24"/>
          <w:highlight w:val="none"/>
        </w:rPr>
        <w:t>政府购买服务金额结算</w:t>
      </w:r>
    </w:p>
    <w:p>
      <w:pPr>
        <w:pStyle w:val="21"/>
        <w:spacing w:line="420" w:lineRule="exact"/>
        <w:ind w:left="31680" w:firstLine="31680"/>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详见第二章第十三条“结算方式”</w:t>
      </w:r>
      <w:r>
        <w:rPr>
          <w:rFonts w:hint="eastAsia" w:ascii="宋体" w:hAnsi="宋体" w:eastAsia="宋体" w:cs="宋体"/>
          <w:color w:val="auto"/>
          <w:kern w:val="2"/>
          <w:sz w:val="24"/>
          <w:szCs w:val="24"/>
          <w:lang w:val="en-US" w:eastAsia="zh-CN" w:bidi="ar-SA"/>
        </w:rPr>
        <w:t>。</w:t>
      </w:r>
    </w:p>
    <w:p>
      <w:pPr>
        <w:pStyle w:val="21"/>
        <w:spacing w:line="420" w:lineRule="exact"/>
        <w:ind w:left="31680" w:firstLine="31680"/>
        <w:rPr>
          <w:rFonts w:ascii="宋体" w:cs="宋体"/>
          <w:b/>
          <w:bCs/>
          <w:color w:val="auto"/>
          <w:sz w:val="24"/>
          <w:szCs w:val="24"/>
        </w:rPr>
      </w:pPr>
      <w:r>
        <w:rPr>
          <w:rFonts w:ascii="宋体" w:hAnsi="宋体" w:cs="宋体"/>
          <w:b/>
          <w:bCs/>
          <w:color w:val="auto"/>
          <w:sz w:val="24"/>
          <w:szCs w:val="24"/>
        </w:rPr>
        <w:t>7.</w:t>
      </w:r>
      <w:r>
        <w:rPr>
          <w:rFonts w:hint="eastAsia" w:ascii="宋体" w:hAnsi="宋体" w:cs="宋体"/>
          <w:b/>
          <w:bCs/>
          <w:color w:val="auto"/>
          <w:sz w:val="24"/>
          <w:szCs w:val="24"/>
        </w:rPr>
        <w:t>激励与退出机制</w:t>
      </w:r>
    </w:p>
    <w:p>
      <w:pPr>
        <w:widowControl/>
        <w:adjustRightInd w:val="0"/>
        <w:snapToGrid w:val="0"/>
        <w:spacing w:line="440" w:lineRule="exact"/>
        <w:ind w:firstLine="480" w:firstLineChars="200"/>
        <w:jc w:val="left"/>
        <w:rPr>
          <w:rFonts w:ascii="宋体" w:hAnsi="宋体" w:eastAsia="宋体" w:cs="宋体"/>
          <w:color w:val="auto"/>
        </w:rPr>
      </w:pPr>
      <w:r>
        <w:rPr>
          <w:rFonts w:hint="eastAsia" w:ascii="宋体" w:hAnsi="宋体" w:eastAsia="宋体" w:cs="宋体"/>
          <w:color w:val="auto"/>
        </w:rPr>
        <w:t>供应商必须按照采购人要求建立完整详细的工作台账，居家上门服务对服务对象、服务过程有记录，服务效果有回访，线上服务系统有痕迹。对于政府购买居家养老服务对象，要逐人上门了解服务需求，制定一人一档的服务包；</w:t>
      </w:r>
      <w:r>
        <w:rPr>
          <w:rFonts w:hint="eastAsia" w:ascii="宋体" w:hAnsi="宋体" w:eastAsia="宋体" w:cs="宋体"/>
          <w:color w:val="auto"/>
          <w:lang w:eastAsia="zh-CN"/>
        </w:rPr>
        <w:t>为</w:t>
      </w:r>
      <w:r>
        <w:rPr>
          <w:rFonts w:hint="eastAsia" w:ascii="宋体" w:hAnsi="宋体" w:eastAsia="宋体" w:cs="宋体"/>
          <w:color w:val="auto"/>
        </w:rPr>
        <w:t>街道孤寡老人每月提供问候服务</w:t>
      </w:r>
      <w:r>
        <w:rPr>
          <w:rFonts w:hint="eastAsia" w:ascii="宋体" w:hAnsi="宋体" w:eastAsia="宋体" w:cs="宋体"/>
          <w:color w:val="auto"/>
          <w:lang w:eastAsia="zh-CN"/>
        </w:rPr>
        <w:t>、</w:t>
      </w:r>
      <w:r>
        <w:rPr>
          <w:rFonts w:hint="eastAsia" w:ascii="宋体" w:hAnsi="宋体" w:eastAsia="宋体" w:cs="宋体"/>
          <w:color w:val="auto"/>
        </w:rPr>
        <w:t>街道空巢、独居老人常态化提供关爱服务</w:t>
      </w:r>
      <w:r>
        <w:rPr>
          <w:rFonts w:hint="eastAsia" w:ascii="宋体" w:hAnsi="宋体" w:eastAsia="宋体" w:cs="宋体"/>
          <w:color w:val="auto"/>
          <w:lang w:eastAsia="zh-CN"/>
        </w:rPr>
        <w:t>。</w:t>
      </w:r>
      <w:r>
        <w:rPr>
          <w:rFonts w:hint="eastAsia" w:ascii="宋体" w:hAnsi="宋体" w:eastAsia="宋体" w:cs="宋体"/>
          <w:color w:val="auto"/>
        </w:rPr>
        <w:t>每季度服务户籍老人数应达到街道考核标准，积极配合各级部门工作检查。</w:t>
      </w:r>
    </w:p>
    <w:p>
      <w:pPr>
        <w:pStyle w:val="21"/>
        <w:spacing w:line="420" w:lineRule="exact"/>
        <w:ind w:left="31680" w:firstLine="31680"/>
        <w:rPr>
          <w:rFonts w:ascii="宋体" w:cs="宋体"/>
          <w:color w:val="auto"/>
          <w:sz w:val="24"/>
          <w:szCs w:val="24"/>
        </w:rPr>
      </w:pPr>
      <w:r>
        <w:rPr>
          <w:rFonts w:ascii="宋体" w:hAnsi="宋体" w:cs="宋体"/>
          <w:color w:val="auto"/>
          <w:sz w:val="24"/>
          <w:szCs w:val="24"/>
        </w:rPr>
        <w:t>7.1</w:t>
      </w:r>
      <w:r>
        <w:rPr>
          <w:rFonts w:hint="eastAsia" w:ascii="宋体" w:hAnsi="宋体" w:cs="宋体"/>
          <w:color w:val="auto"/>
          <w:sz w:val="24"/>
          <w:szCs w:val="24"/>
        </w:rPr>
        <w:t>激励机制：</w:t>
      </w:r>
    </w:p>
    <w:p>
      <w:pPr>
        <w:pStyle w:val="21"/>
        <w:spacing w:line="420" w:lineRule="exact"/>
        <w:ind w:left="31680" w:firstLine="31680"/>
        <w:rPr>
          <w:rFonts w:ascii="宋体" w:cs="宋体"/>
          <w:color w:val="auto"/>
          <w:kern w:val="2"/>
          <w:sz w:val="24"/>
          <w:szCs w:val="24"/>
        </w:rPr>
      </w:pPr>
      <w:r>
        <w:rPr>
          <w:rFonts w:hint="eastAsia" w:ascii="宋体" w:hAnsi="宋体" w:cs="宋体"/>
          <w:color w:val="auto"/>
          <w:kern w:val="2"/>
          <w:sz w:val="24"/>
          <w:szCs w:val="24"/>
        </w:rPr>
        <w:t>每季度百分制考核中，测评结果分为“优”“良”“一般”。</w:t>
      </w:r>
      <w:r>
        <w:rPr>
          <w:rFonts w:ascii="宋体" w:hAnsi="宋体" w:cs="宋体"/>
          <w:color w:val="auto"/>
          <w:kern w:val="2"/>
          <w:sz w:val="24"/>
          <w:szCs w:val="24"/>
        </w:rPr>
        <w:t xml:space="preserve"> </w:t>
      </w:r>
      <w:r>
        <w:rPr>
          <w:rFonts w:hint="eastAsia" w:ascii="宋体" w:hAnsi="宋体" w:cs="宋体"/>
          <w:color w:val="auto"/>
          <w:kern w:val="2"/>
          <w:sz w:val="24"/>
          <w:szCs w:val="24"/>
        </w:rPr>
        <w:t>运营实效和服务满意度总分≥</w:t>
      </w:r>
      <w:r>
        <w:rPr>
          <w:rFonts w:ascii="宋体" w:hAnsi="宋体" w:cs="宋体"/>
          <w:color w:val="auto"/>
          <w:kern w:val="2"/>
          <w:sz w:val="24"/>
          <w:szCs w:val="24"/>
        </w:rPr>
        <w:t>90</w:t>
      </w:r>
      <w:r>
        <w:rPr>
          <w:rFonts w:hint="eastAsia" w:ascii="宋体" w:hAnsi="宋体" w:cs="宋体"/>
          <w:color w:val="auto"/>
          <w:kern w:val="2"/>
          <w:sz w:val="24"/>
          <w:szCs w:val="24"/>
        </w:rPr>
        <w:t>分以上为“优”，</w:t>
      </w:r>
      <w:r>
        <w:rPr>
          <w:rFonts w:ascii="宋体" w:hAnsi="宋体" w:cs="宋体"/>
          <w:color w:val="auto"/>
          <w:kern w:val="2"/>
          <w:sz w:val="24"/>
          <w:szCs w:val="24"/>
        </w:rPr>
        <w:t>80</w:t>
      </w:r>
      <w:r>
        <w:rPr>
          <w:rFonts w:hint="eastAsia" w:ascii="宋体" w:hAnsi="宋体" w:cs="宋体"/>
          <w:color w:val="auto"/>
          <w:kern w:val="2"/>
          <w:sz w:val="24"/>
          <w:szCs w:val="24"/>
        </w:rPr>
        <w:t>分≤总分＜</w:t>
      </w:r>
      <w:r>
        <w:rPr>
          <w:rFonts w:ascii="宋体" w:hAnsi="宋体" w:cs="宋体"/>
          <w:color w:val="auto"/>
          <w:kern w:val="2"/>
          <w:sz w:val="24"/>
          <w:szCs w:val="24"/>
        </w:rPr>
        <w:t>90</w:t>
      </w:r>
      <w:r>
        <w:rPr>
          <w:rFonts w:hint="eastAsia" w:ascii="宋体" w:hAnsi="宋体" w:cs="宋体"/>
          <w:color w:val="auto"/>
          <w:kern w:val="2"/>
          <w:sz w:val="24"/>
          <w:szCs w:val="24"/>
        </w:rPr>
        <w:t>分为“良”，</w:t>
      </w:r>
      <w:r>
        <w:rPr>
          <w:rFonts w:ascii="宋体" w:hAnsi="宋体" w:cs="宋体"/>
          <w:color w:val="auto"/>
          <w:kern w:val="2"/>
          <w:sz w:val="24"/>
          <w:szCs w:val="24"/>
        </w:rPr>
        <w:t>70</w:t>
      </w:r>
      <w:r>
        <w:rPr>
          <w:rFonts w:hint="eastAsia" w:ascii="宋体" w:hAnsi="宋体" w:cs="宋体"/>
          <w:color w:val="auto"/>
          <w:kern w:val="2"/>
          <w:sz w:val="24"/>
          <w:szCs w:val="24"/>
        </w:rPr>
        <w:t>分≤总分＜</w:t>
      </w:r>
      <w:r>
        <w:rPr>
          <w:rFonts w:ascii="宋体" w:hAnsi="宋体" w:cs="宋体"/>
          <w:color w:val="auto"/>
          <w:kern w:val="2"/>
          <w:sz w:val="24"/>
          <w:szCs w:val="24"/>
        </w:rPr>
        <w:t>80</w:t>
      </w:r>
      <w:r>
        <w:rPr>
          <w:rFonts w:hint="eastAsia" w:ascii="宋体" w:hAnsi="宋体" w:cs="宋体"/>
          <w:color w:val="auto"/>
          <w:kern w:val="2"/>
          <w:sz w:val="24"/>
          <w:szCs w:val="24"/>
        </w:rPr>
        <w:t>分为“一般”。承包人当季度测评结果为“优”的，服务费用按实际服务金额的</w:t>
      </w:r>
      <w:r>
        <w:rPr>
          <w:rFonts w:ascii="宋体" w:hAnsi="宋体" w:cs="宋体"/>
          <w:color w:val="auto"/>
          <w:kern w:val="2"/>
          <w:sz w:val="24"/>
          <w:szCs w:val="24"/>
        </w:rPr>
        <w:t>100%</w:t>
      </w:r>
      <w:r>
        <w:rPr>
          <w:rFonts w:hint="eastAsia" w:ascii="宋体" w:hAnsi="宋体" w:cs="宋体"/>
          <w:color w:val="auto"/>
          <w:kern w:val="2"/>
          <w:sz w:val="24"/>
          <w:szCs w:val="24"/>
        </w:rPr>
        <w:t>进行结算；服务测评为“良”的，服务费用按实际服务金额的</w:t>
      </w:r>
      <w:r>
        <w:rPr>
          <w:rFonts w:ascii="宋体" w:hAnsi="宋体" w:cs="宋体"/>
          <w:color w:val="auto"/>
          <w:kern w:val="2"/>
          <w:sz w:val="24"/>
          <w:szCs w:val="24"/>
        </w:rPr>
        <w:t>95%</w:t>
      </w:r>
      <w:r>
        <w:rPr>
          <w:rFonts w:hint="eastAsia" w:ascii="宋体" w:hAnsi="宋体" w:cs="宋体"/>
          <w:color w:val="auto"/>
          <w:kern w:val="2"/>
          <w:sz w:val="24"/>
          <w:szCs w:val="24"/>
        </w:rPr>
        <w:t>进行结算；服务测评为“一般”的，服务费用按实际服务金额的</w:t>
      </w:r>
      <w:r>
        <w:rPr>
          <w:rFonts w:ascii="宋体" w:hAnsi="宋体" w:cs="宋体"/>
          <w:color w:val="auto"/>
          <w:kern w:val="2"/>
          <w:sz w:val="24"/>
          <w:szCs w:val="24"/>
        </w:rPr>
        <w:t>90%</w:t>
      </w:r>
      <w:r>
        <w:rPr>
          <w:rFonts w:hint="eastAsia" w:ascii="宋体" w:hAnsi="宋体" w:cs="宋体"/>
          <w:color w:val="auto"/>
          <w:kern w:val="2"/>
          <w:sz w:val="24"/>
          <w:szCs w:val="24"/>
        </w:rPr>
        <w:t>进行结算。</w:t>
      </w:r>
    </w:p>
    <w:p>
      <w:pPr>
        <w:pStyle w:val="21"/>
        <w:spacing w:line="420" w:lineRule="exact"/>
        <w:ind w:left="31680" w:firstLine="31680"/>
        <w:rPr>
          <w:rFonts w:ascii="宋体" w:cs="宋体"/>
          <w:color w:val="auto"/>
          <w:sz w:val="24"/>
          <w:szCs w:val="24"/>
        </w:rPr>
      </w:pPr>
      <w:r>
        <w:rPr>
          <w:rFonts w:ascii="宋体" w:hAnsi="宋体" w:cs="宋体"/>
          <w:color w:val="auto"/>
          <w:sz w:val="24"/>
          <w:szCs w:val="24"/>
        </w:rPr>
        <w:t>7.2</w:t>
      </w:r>
      <w:r>
        <w:rPr>
          <w:rFonts w:hint="eastAsia" w:ascii="宋体" w:hAnsi="宋体" w:cs="宋体"/>
          <w:color w:val="auto"/>
          <w:sz w:val="24"/>
          <w:szCs w:val="24"/>
        </w:rPr>
        <w:t>退出机制：</w:t>
      </w:r>
    </w:p>
    <w:p>
      <w:pPr>
        <w:pStyle w:val="21"/>
        <w:spacing w:line="420" w:lineRule="exact"/>
        <w:ind w:left="31680" w:firstLine="31680"/>
        <w:rPr>
          <w:rFonts w:ascii="宋体" w:cs="宋体"/>
          <w:color w:val="auto"/>
          <w:kern w:val="2"/>
          <w:sz w:val="24"/>
          <w:szCs w:val="24"/>
        </w:rPr>
      </w:pPr>
      <w:r>
        <w:rPr>
          <w:rFonts w:hint="eastAsia" w:ascii="宋体" w:hAnsi="宋体" w:cs="宋体"/>
          <w:color w:val="auto"/>
          <w:kern w:val="2"/>
          <w:sz w:val="24"/>
          <w:szCs w:val="24"/>
        </w:rPr>
        <w:t>采购人将在每季度对服务供应商提供的“政府购买居家养老服务”运营管理进行评分，若服务供应商在</w:t>
      </w:r>
      <w:r>
        <w:rPr>
          <w:rFonts w:ascii="宋体" w:hAnsi="宋体" w:cs="宋体"/>
          <w:color w:val="auto"/>
          <w:kern w:val="2"/>
          <w:sz w:val="24"/>
          <w:szCs w:val="24"/>
        </w:rPr>
        <w:t>1</w:t>
      </w:r>
      <w:r>
        <w:rPr>
          <w:rFonts w:hint="eastAsia" w:ascii="宋体" w:hAnsi="宋体" w:cs="宋体"/>
          <w:color w:val="auto"/>
          <w:kern w:val="2"/>
          <w:sz w:val="24"/>
          <w:szCs w:val="24"/>
        </w:rPr>
        <w:t>个服务年度内，任意一项累计</w:t>
      </w:r>
      <w:r>
        <w:rPr>
          <w:rFonts w:ascii="宋体" w:hAnsi="宋体" w:cs="宋体"/>
          <w:color w:val="auto"/>
          <w:kern w:val="2"/>
          <w:sz w:val="24"/>
          <w:szCs w:val="24"/>
        </w:rPr>
        <w:t>2</w:t>
      </w:r>
      <w:r>
        <w:rPr>
          <w:rFonts w:hint="eastAsia" w:ascii="宋体" w:hAnsi="宋体" w:cs="宋体"/>
          <w:color w:val="auto"/>
          <w:kern w:val="2"/>
          <w:sz w:val="24"/>
          <w:szCs w:val="24"/>
        </w:rPr>
        <w:t>次季度考核为“一般”的，采购人有权责令限期整改。如在规定的期限内未能整改到位，服务供应商须在采购人规定期限内无条件退出居家养老服务运营管理服务项目。</w:t>
      </w:r>
    </w:p>
    <w:p>
      <w:pPr>
        <w:pStyle w:val="21"/>
        <w:spacing w:line="420" w:lineRule="exact"/>
        <w:ind w:left="0" w:leftChars="0" w:firstLine="31680"/>
        <w:rPr>
          <w:rFonts w:ascii="宋体" w:cs="宋体"/>
          <w:color w:val="auto"/>
          <w:sz w:val="24"/>
          <w:szCs w:val="24"/>
          <w:highlight w:val="yellow"/>
        </w:rPr>
      </w:pPr>
      <w:r>
        <w:rPr>
          <w:rFonts w:ascii="宋体" w:hAnsi="宋体" w:cs="宋体"/>
          <w:color w:val="auto"/>
          <w:sz w:val="24"/>
          <w:szCs w:val="24"/>
        </w:rPr>
        <w:t>8.</w:t>
      </w:r>
      <w:r>
        <w:rPr>
          <w:rFonts w:hint="eastAsia" w:ascii="宋体" w:hAnsi="宋体" w:cs="宋体"/>
          <w:b/>
          <w:bCs/>
          <w:color w:val="auto"/>
          <w:sz w:val="24"/>
          <w:szCs w:val="24"/>
        </w:rPr>
        <w:t>政府购买居家养老服务质量评分表</w:t>
      </w:r>
    </w:p>
    <w:tbl>
      <w:tblPr>
        <w:tblStyle w:val="50"/>
        <w:tblW w:w="9312" w:type="dxa"/>
        <w:tblInd w:w="93" w:type="dxa"/>
        <w:tblLayout w:type="autofit"/>
        <w:tblCellMar>
          <w:top w:w="0" w:type="dxa"/>
          <w:left w:w="108" w:type="dxa"/>
          <w:bottom w:w="0" w:type="dxa"/>
          <w:right w:w="108" w:type="dxa"/>
        </w:tblCellMar>
      </w:tblPr>
      <w:tblGrid>
        <w:gridCol w:w="658"/>
        <w:gridCol w:w="1139"/>
        <w:gridCol w:w="1362"/>
        <w:gridCol w:w="2064"/>
        <w:gridCol w:w="754"/>
        <w:gridCol w:w="2707"/>
        <w:gridCol w:w="628"/>
      </w:tblGrid>
      <w:tr>
        <w:tblPrEx>
          <w:tblCellMar>
            <w:top w:w="0" w:type="dxa"/>
            <w:left w:w="108" w:type="dxa"/>
            <w:bottom w:w="0" w:type="dxa"/>
            <w:right w:w="108" w:type="dxa"/>
          </w:tblCellMar>
        </w:tblPrEx>
        <w:trPr>
          <w:trHeight w:val="625" w:hRule="atLeast"/>
        </w:trPr>
        <w:tc>
          <w:tcPr>
            <w:tcW w:w="9312" w:type="dxa"/>
            <w:gridSpan w:val="7"/>
            <w:tcBorders>
              <w:top w:val="nil"/>
              <w:left w:val="nil"/>
              <w:bottom w:val="nil"/>
              <w:right w:val="nil"/>
            </w:tcBorders>
            <w:vAlign w:val="center"/>
          </w:tcPr>
          <w:p>
            <w:pPr>
              <w:widowControl/>
              <w:jc w:val="center"/>
              <w:textAlignment w:val="center"/>
              <w:rPr>
                <w:rFonts w:ascii="宋体" w:hAnsi="宋体" w:eastAsia="宋体" w:cs="宋体"/>
                <w:b/>
                <w:bCs/>
                <w:color w:val="auto"/>
                <w:sz w:val="40"/>
                <w:szCs w:val="40"/>
              </w:rPr>
            </w:pPr>
            <w:r>
              <w:rPr>
                <w:rFonts w:hint="eastAsia" w:ascii="宋体" w:hAnsi="宋体" w:eastAsia="宋体" w:cs="宋体"/>
                <w:color w:val="auto"/>
              </w:rPr>
              <w:t>钟秀街道第</w:t>
            </w:r>
            <w:r>
              <w:rPr>
                <w:rFonts w:ascii="宋体" w:hAnsi="宋体" w:eastAsia="宋体" w:cs="宋体"/>
                <w:color w:val="auto"/>
              </w:rPr>
              <w:t>xx</w:t>
            </w:r>
            <w:r>
              <w:rPr>
                <w:rFonts w:hint="eastAsia" w:ascii="宋体" w:hAnsi="宋体" w:eastAsia="宋体" w:cs="宋体"/>
                <w:color w:val="auto"/>
              </w:rPr>
              <w:t>季度政府购买居家养老服务质量评分表</w:t>
            </w:r>
          </w:p>
        </w:tc>
      </w:tr>
      <w:tr>
        <w:tblPrEx>
          <w:tblCellMar>
            <w:top w:w="0" w:type="dxa"/>
            <w:left w:w="108" w:type="dxa"/>
            <w:bottom w:w="0" w:type="dxa"/>
            <w:right w:w="108" w:type="dxa"/>
          </w:tblCellMar>
        </w:tblPrEx>
        <w:trPr>
          <w:trHeight w:val="91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bCs/>
                <w:color w:val="auto"/>
                <w:sz w:val="22"/>
                <w:szCs w:val="22"/>
              </w:rPr>
            </w:pPr>
            <w:r>
              <w:rPr>
                <w:rFonts w:hint="eastAsia" w:ascii="宋体" w:hAnsi="宋体" w:eastAsia="宋体" w:cs="宋体"/>
                <w:b/>
                <w:bCs/>
                <w:color w:val="auto"/>
                <w:kern w:val="0"/>
                <w:sz w:val="22"/>
                <w:szCs w:val="22"/>
              </w:rPr>
              <w:t>序号</w:t>
            </w:r>
          </w:p>
        </w:tc>
        <w:tc>
          <w:tcPr>
            <w:tcW w:w="25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bCs/>
                <w:color w:val="auto"/>
                <w:sz w:val="22"/>
                <w:szCs w:val="22"/>
              </w:rPr>
            </w:pPr>
            <w:r>
              <w:rPr>
                <w:rFonts w:hint="eastAsia" w:ascii="宋体" w:hAnsi="宋体" w:eastAsia="宋体" w:cs="宋体"/>
                <w:b/>
                <w:bCs/>
                <w:color w:val="auto"/>
                <w:kern w:val="0"/>
                <w:sz w:val="22"/>
                <w:szCs w:val="22"/>
              </w:rPr>
              <w:t>项目</w:t>
            </w:r>
          </w:p>
        </w:tc>
        <w:tc>
          <w:tcPr>
            <w:tcW w:w="20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bCs/>
                <w:color w:val="auto"/>
                <w:sz w:val="22"/>
                <w:szCs w:val="22"/>
              </w:rPr>
            </w:pPr>
            <w:r>
              <w:rPr>
                <w:rFonts w:hint="eastAsia" w:ascii="宋体" w:hAnsi="宋体" w:eastAsia="宋体" w:cs="宋体"/>
                <w:b/>
                <w:bCs/>
                <w:color w:val="auto"/>
                <w:kern w:val="0"/>
                <w:sz w:val="22"/>
                <w:szCs w:val="22"/>
              </w:rPr>
              <w:t>内</w:t>
            </w:r>
            <w:r>
              <w:rPr>
                <w:rFonts w:ascii="宋体" w:hAnsi="宋体" w:eastAsia="宋体" w:cs="宋体"/>
                <w:b/>
                <w:bCs/>
                <w:color w:val="auto"/>
                <w:kern w:val="0"/>
                <w:sz w:val="22"/>
                <w:szCs w:val="22"/>
              </w:rPr>
              <w:t xml:space="preserve">  </w:t>
            </w:r>
            <w:r>
              <w:rPr>
                <w:rFonts w:hint="eastAsia" w:ascii="宋体" w:hAnsi="宋体" w:eastAsia="宋体" w:cs="宋体"/>
                <w:b/>
                <w:bCs/>
                <w:color w:val="auto"/>
                <w:kern w:val="0"/>
                <w:sz w:val="22"/>
                <w:szCs w:val="22"/>
              </w:rPr>
              <w:t>容</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bCs/>
                <w:color w:val="auto"/>
                <w:sz w:val="22"/>
                <w:szCs w:val="22"/>
              </w:rPr>
            </w:pPr>
            <w:r>
              <w:rPr>
                <w:rFonts w:hint="eastAsia" w:ascii="宋体" w:hAnsi="宋体" w:eastAsia="宋体" w:cs="宋体"/>
                <w:b/>
                <w:bCs/>
                <w:color w:val="auto"/>
                <w:kern w:val="0"/>
                <w:sz w:val="22"/>
                <w:szCs w:val="22"/>
              </w:rPr>
              <w:t>分值</w:t>
            </w:r>
          </w:p>
        </w:tc>
        <w:tc>
          <w:tcPr>
            <w:tcW w:w="2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bCs/>
                <w:color w:val="auto"/>
                <w:sz w:val="22"/>
                <w:szCs w:val="22"/>
              </w:rPr>
            </w:pPr>
            <w:r>
              <w:rPr>
                <w:rFonts w:hint="eastAsia" w:ascii="宋体" w:hAnsi="宋体" w:eastAsia="宋体" w:cs="宋体"/>
                <w:b/>
                <w:bCs/>
                <w:color w:val="auto"/>
                <w:kern w:val="0"/>
                <w:sz w:val="22"/>
                <w:szCs w:val="22"/>
              </w:rPr>
              <w:t>评分标准</w:t>
            </w:r>
          </w:p>
        </w:tc>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bCs/>
                <w:color w:val="auto"/>
                <w:sz w:val="22"/>
                <w:szCs w:val="22"/>
              </w:rPr>
            </w:pPr>
            <w:r>
              <w:rPr>
                <w:rFonts w:hint="eastAsia" w:ascii="宋体" w:hAnsi="宋体" w:eastAsia="宋体" w:cs="宋体"/>
                <w:b/>
                <w:bCs/>
                <w:color w:val="auto"/>
                <w:kern w:val="0"/>
                <w:sz w:val="22"/>
                <w:szCs w:val="22"/>
              </w:rPr>
              <w:t>评分</w:t>
            </w:r>
          </w:p>
        </w:tc>
      </w:tr>
      <w:tr>
        <w:tblPrEx>
          <w:tblCellMar>
            <w:top w:w="0" w:type="dxa"/>
            <w:left w:w="108" w:type="dxa"/>
            <w:bottom w:w="0" w:type="dxa"/>
            <w:right w:w="108" w:type="dxa"/>
          </w:tblCellMar>
        </w:tblPrEx>
        <w:trPr>
          <w:trHeight w:val="131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0"/>
                <w:szCs w:val="20"/>
              </w:rPr>
            </w:pPr>
            <w:r>
              <w:rPr>
                <w:rFonts w:ascii="宋体" w:hAnsi="宋体" w:eastAsia="宋体" w:cs="宋体"/>
                <w:color w:val="auto"/>
                <w:kern w:val="0"/>
                <w:sz w:val="20"/>
                <w:szCs w:val="20"/>
              </w:rPr>
              <w:t>1</w:t>
            </w:r>
          </w:p>
        </w:tc>
        <w:tc>
          <w:tcPr>
            <w:tcW w:w="1139" w:type="dxa"/>
            <w:vMerge w:val="restart"/>
            <w:tcBorders>
              <w:top w:val="single" w:color="000000" w:sz="4" w:space="0"/>
              <w:left w:val="single" w:color="000000" w:sz="4" w:space="0"/>
              <w:right w:val="nil"/>
            </w:tcBorders>
            <w:vAlign w:val="center"/>
          </w:tcPr>
          <w:p>
            <w:pPr>
              <w:widowControl/>
              <w:jc w:val="center"/>
              <w:textAlignment w:val="center"/>
              <w:rPr>
                <w:rFonts w:ascii="宋体" w:hAnsi="宋体" w:eastAsia="宋体" w:cs="宋体"/>
                <w:b/>
                <w:bCs/>
                <w:color w:val="auto"/>
                <w:sz w:val="20"/>
                <w:szCs w:val="20"/>
              </w:rPr>
            </w:pPr>
            <w:r>
              <w:rPr>
                <w:rFonts w:hint="eastAsia" w:ascii="宋体" w:hAnsi="宋体" w:eastAsia="宋体" w:cs="宋体"/>
                <w:b/>
                <w:bCs/>
                <w:color w:val="auto"/>
                <w:kern w:val="0"/>
                <w:sz w:val="20"/>
                <w:szCs w:val="20"/>
                <w:lang w:eastAsia="zh-CN"/>
              </w:rPr>
              <w:t>政府</w:t>
            </w:r>
            <w:r>
              <w:rPr>
                <w:rFonts w:hint="eastAsia" w:ascii="宋体" w:hAnsi="宋体" w:eastAsia="宋体" w:cs="宋体"/>
                <w:b/>
                <w:bCs/>
                <w:color w:val="auto"/>
                <w:kern w:val="0"/>
                <w:sz w:val="20"/>
                <w:szCs w:val="20"/>
              </w:rPr>
              <w:t>购买居家养老服务</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bCs/>
                <w:color w:val="auto"/>
                <w:sz w:val="20"/>
                <w:szCs w:val="20"/>
              </w:rPr>
            </w:pPr>
            <w:r>
              <w:rPr>
                <w:rFonts w:hint="eastAsia" w:ascii="宋体" w:hAnsi="宋体" w:eastAsia="宋体" w:cs="宋体"/>
                <w:b/>
                <w:bCs/>
                <w:color w:val="auto"/>
                <w:kern w:val="0"/>
                <w:sz w:val="20"/>
                <w:szCs w:val="20"/>
              </w:rPr>
              <w:t>服务对象满意度</w:t>
            </w:r>
          </w:p>
        </w:tc>
        <w:tc>
          <w:tcPr>
            <w:tcW w:w="20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按智慧养老服务平台每月</w:t>
            </w:r>
            <w:r>
              <w:rPr>
                <w:rFonts w:ascii="宋体" w:hAnsi="宋体" w:eastAsia="宋体" w:cs="宋体"/>
                <w:color w:val="auto"/>
                <w:kern w:val="0"/>
                <w:sz w:val="20"/>
                <w:szCs w:val="20"/>
              </w:rPr>
              <w:t>100%</w:t>
            </w:r>
            <w:r>
              <w:rPr>
                <w:rFonts w:hint="eastAsia" w:ascii="宋体" w:hAnsi="宋体" w:eastAsia="宋体" w:cs="宋体"/>
                <w:color w:val="auto"/>
                <w:kern w:val="0"/>
                <w:sz w:val="20"/>
                <w:szCs w:val="20"/>
              </w:rPr>
              <w:t>回访</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0"/>
                <w:szCs w:val="20"/>
              </w:rPr>
            </w:pPr>
            <w:r>
              <w:rPr>
                <w:rFonts w:ascii="宋体" w:hAnsi="宋体" w:eastAsia="宋体" w:cs="宋体"/>
                <w:color w:val="auto"/>
                <w:kern w:val="0"/>
                <w:sz w:val="20"/>
                <w:szCs w:val="20"/>
              </w:rPr>
              <w:t>20</w:t>
            </w:r>
          </w:p>
        </w:tc>
        <w:tc>
          <w:tcPr>
            <w:tcW w:w="27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综合回访情况，满意率≥95%，得20分，90%≤满意率＜95，得15分，85%≤满意率＜90，得10分，80%≤满意率＜85，得5分，满意率＜80%，不得分。</w:t>
            </w:r>
          </w:p>
        </w:tc>
        <w:tc>
          <w:tcPr>
            <w:tcW w:w="6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auto"/>
                <w:sz w:val="18"/>
                <w:szCs w:val="18"/>
              </w:rPr>
            </w:pPr>
          </w:p>
        </w:tc>
      </w:tr>
      <w:tr>
        <w:tblPrEx>
          <w:tblCellMar>
            <w:top w:w="0" w:type="dxa"/>
            <w:left w:w="108" w:type="dxa"/>
            <w:bottom w:w="0" w:type="dxa"/>
            <w:right w:w="108" w:type="dxa"/>
          </w:tblCellMar>
        </w:tblPrEx>
        <w:trPr>
          <w:trHeight w:val="91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0"/>
                <w:szCs w:val="20"/>
              </w:rPr>
            </w:pPr>
            <w:r>
              <w:rPr>
                <w:rFonts w:ascii="宋体" w:hAnsi="宋体" w:eastAsia="宋体" w:cs="宋体"/>
                <w:color w:val="auto"/>
                <w:kern w:val="0"/>
                <w:sz w:val="20"/>
                <w:szCs w:val="20"/>
              </w:rPr>
              <w:t>2</w:t>
            </w:r>
          </w:p>
        </w:tc>
        <w:tc>
          <w:tcPr>
            <w:tcW w:w="1139" w:type="dxa"/>
            <w:vMerge w:val="continue"/>
            <w:tcBorders>
              <w:left w:val="single" w:color="000000" w:sz="4" w:space="0"/>
              <w:right w:val="nil"/>
            </w:tcBorders>
            <w:vAlign w:val="center"/>
          </w:tcPr>
          <w:p>
            <w:pPr>
              <w:jc w:val="center"/>
              <w:rPr>
                <w:rFonts w:ascii="宋体" w:hAnsi="宋体" w:eastAsia="宋体" w:cs="宋体"/>
                <w:b/>
                <w:bCs/>
                <w:color w:val="auto"/>
                <w:sz w:val="20"/>
                <w:szCs w:val="20"/>
              </w:rPr>
            </w:pP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bCs/>
                <w:color w:val="auto"/>
                <w:sz w:val="20"/>
                <w:szCs w:val="20"/>
              </w:rPr>
            </w:pPr>
            <w:r>
              <w:rPr>
                <w:rFonts w:hint="eastAsia" w:ascii="宋体" w:hAnsi="宋体" w:eastAsia="宋体" w:cs="宋体"/>
                <w:b/>
                <w:bCs/>
                <w:color w:val="auto"/>
                <w:kern w:val="0"/>
                <w:sz w:val="20"/>
                <w:szCs w:val="20"/>
              </w:rPr>
              <w:t>服务对象投诉</w:t>
            </w:r>
          </w:p>
        </w:tc>
        <w:tc>
          <w:tcPr>
            <w:tcW w:w="20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按接收的信访投诉（</w:t>
            </w:r>
            <w:r>
              <w:rPr>
                <w:rFonts w:ascii="宋体" w:hAnsi="宋体" w:eastAsia="宋体" w:cs="宋体"/>
                <w:color w:val="auto"/>
                <w:kern w:val="0"/>
                <w:sz w:val="20"/>
                <w:szCs w:val="20"/>
              </w:rPr>
              <w:t>12345</w:t>
            </w:r>
            <w:r>
              <w:rPr>
                <w:rFonts w:hint="eastAsia" w:ascii="宋体" w:hAnsi="宋体" w:eastAsia="宋体" w:cs="宋体"/>
                <w:color w:val="auto"/>
                <w:kern w:val="0"/>
                <w:sz w:val="20"/>
                <w:szCs w:val="20"/>
              </w:rPr>
              <w:t>、啄木鸟等）件进行打分</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0"/>
                <w:szCs w:val="20"/>
              </w:rPr>
            </w:pPr>
            <w:r>
              <w:rPr>
                <w:rFonts w:ascii="宋体" w:hAnsi="宋体" w:eastAsia="宋体" w:cs="宋体"/>
                <w:color w:val="auto"/>
                <w:kern w:val="0"/>
                <w:sz w:val="20"/>
                <w:szCs w:val="20"/>
              </w:rPr>
              <w:t>20</w:t>
            </w:r>
          </w:p>
        </w:tc>
        <w:tc>
          <w:tcPr>
            <w:tcW w:w="27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居家养老服务有一次投诉扣</w:t>
            </w:r>
            <w:r>
              <w:rPr>
                <w:rFonts w:ascii="宋体" w:hAnsi="宋体" w:eastAsia="宋体" w:cs="宋体"/>
                <w:color w:val="auto"/>
                <w:kern w:val="0"/>
                <w:sz w:val="20"/>
                <w:szCs w:val="20"/>
              </w:rPr>
              <w:t>5</w:t>
            </w:r>
            <w:r>
              <w:rPr>
                <w:rFonts w:hint="eastAsia" w:ascii="宋体" w:hAnsi="宋体" w:eastAsia="宋体" w:cs="宋体"/>
                <w:color w:val="auto"/>
                <w:kern w:val="0"/>
                <w:sz w:val="20"/>
                <w:szCs w:val="20"/>
              </w:rPr>
              <w:t>分，有效投诉扣</w:t>
            </w:r>
            <w:r>
              <w:rPr>
                <w:rFonts w:ascii="宋体" w:hAnsi="宋体" w:eastAsia="宋体" w:cs="宋体"/>
                <w:color w:val="auto"/>
                <w:kern w:val="0"/>
                <w:sz w:val="20"/>
                <w:szCs w:val="20"/>
              </w:rPr>
              <w:t>10</w:t>
            </w:r>
            <w:r>
              <w:rPr>
                <w:rFonts w:hint="eastAsia" w:ascii="宋体" w:hAnsi="宋体" w:eastAsia="宋体" w:cs="宋体"/>
                <w:color w:val="auto"/>
                <w:kern w:val="0"/>
                <w:sz w:val="20"/>
                <w:szCs w:val="20"/>
              </w:rPr>
              <w:t>分，扣完为止。</w:t>
            </w:r>
          </w:p>
        </w:tc>
        <w:tc>
          <w:tcPr>
            <w:tcW w:w="6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auto"/>
                <w:sz w:val="18"/>
                <w:szCs w:val="18"/>
              </w:rPr>
            </w:pPr>
          </w:p>
        </w:tc>
      </w:tr>
      <w:tr>
        <w:tblPrEx>
          <w:tblCellMar>
            <w:top w:w="0" w:type="dxa"/>
            <w:left w:w="108" w:type="dxa"/>
            <w:bottom w:w="0" w:type="dxa"/>
            <w:right w:w="108" w:type="dxa"/>
          </w:tblCellMar>
        </w:tblPrEx>
        <w:trPr>
          <w:trHeight w:val="91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0"/>
                <w:szCs w:val="20"/>
              </w:rPr>
            </w:pPr>
            <w:r>
              <w:rPr>
                <w:rFonts w:ascii="宋体" w:hAnsi="宋体" w:eastAsia="宋体" w:cs="宋体"/>
                <w:color w:val="auto"/>
                <w:kern w:val="0"/>
                <w:sz w:val="20"/>
                <w:szCs w:val="20"/>
              </w:rPr>
              <w:t>3</w:t>
            </w:r>
          </w:p>
        </w:tc>
        <w:tc>
          <w:tcPr>
            <w:tcW w:w="1139" w:type="dxa"/>
            <w:vMerge w:val="continue"/>
            <w:tcBorders>
              <w:left w:val="single" w:color="000000" w:sz="4" w:space="0"/>
              <w:right w:val="nil"/>
            </w:tcBorders>
            <w:vAlign w:val="center"/>
          </w:tcPr>
          <w:p>
            <w:pPr>
              <w:jc w:val="center"/>
              <w:rPr>
                <w:rFonts w:ascii="宋体" w:hAnsi="宋体" w:eastAsia="宋体" w:cs="宋体"/>
                <w:b/>
                <w:bCs/>
                <w:color w:val="auto"/>
                <w:sz w:val="20"/>
                <w:szCs w:val="20"/>
              </w:rPr>
            </w:pP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bCs/>
                <w:color w:val="auto"/>
                <w:sz w:val="20"/>
                <w:szCs w:val="20"/>
              </w:rPr>
            </w:pPr>
            <w:r>
              <w:rPr>
                <w:rFonts w:hint="eastAsia" w:ascii="宋体" w:hAnsi="宋体" w:eastAsia="宋体" w:cs="宋体"/>
                <w:b/>
                <w:bCs/>
                <w:color w:val="auto"/>
                <w:kern w:val="0"/>
                <w:sz w:val="20"/>
                <w:szCs w:val="20"/>
              </w:rPr>
              <w:t>上级评价</w:t>
            </w:r>
          </w:p>
        </w:tc>
        <w:tc>
          <w:tcPr>
            <w:tcW w:w="20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区对我街居家养老服务质量考核排名情况</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0"/>
                <w:szCs w:val="20"/>
              </w:rPr>
            </w:pPr>
            <w:r>
              <w:rPr>
                <w:rFonts w:ascii="宋体" w:hAnsi="宋体" w:eastAsia="宋体" w:cs="宋体"/>
                <w:color w:val="auto"/>
                <w:kern w:val="0"/>
                <w:sz w:val="20"/>
                <w:szCs w:val="20"/>
              </w:rPr>
              <w:t>15</w:t>
            </w:r>
          </w:p>
        </w:tc>
        <w:tc>
          <w:tcPr>
            <w:tcW w:w="27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排前</w:t>
            </w:r>
            <w:r>
              <w:rPr>
                <w:rFonts w:ascii="宋体" w:hAnsi="宋体" w:eastAsia="宋体" w:cs="宋体"/>
                <w:color w:val="auto"/>
                <w:kern w:val="0"/>
                <w:sz w:val="20"/>
                <w:szCs w:val="20"/>
              </w:rPr>
              <w:t>3</w:t>
            </w:r>
            <w:r>
              <w:rPr>
                <w:rFonts w:hint="eastAsia" w:ascii="宋体" w:hAnsi="宋体" w:eastAsia="宋体" w:cs="宋体"/>
                <w:color w:val="auto"/>
                <w:kern w:val="0"/>
                <w:sz w:val="20"/>
                <w:szCs w:val="20"/>
              </w:rPr>
              <w:t>名，得满分；排后三名，不得分，排其他名次酌情打分。</w:t>
            </w:r>
          </w:p>
        </w:tc>
        <w:tc>
          <w:tcPr>
            <w:tcW w:w="6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auto"/>
                <w:sz w:val="18"/>
                <w:szCs w:val="18"/>
              </w:rPr>
            </w:pPr>
          </w:p>
        </w:tc>
      </w:tr>
      <w:tr>
        <w:tblPrEx>
          <w:tblCellMar>
            <w:top w:w="0" w:type="dxa"/>
            <w:left w:w="108" w:type="dxa"/>
            <w:bottom w:w="0" w:type="dxa"/>
            <w:right w:w="108" w:type="dxa"/>
          </w:tblCellMar>
        </w:tblPrEx>
        <w:trPr>
          <w:trHeight w:val="157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0"/>
                <w:szCs w:val="20"/>
              </w:rPr>
            </w:pPr>
            <w:r>
              <w:rPr>
                <w:rFonts w:ascii="宋体" w:hAnsi="宋体" w:eastAsia="宋体" w:cs="宋体"/>
                <w:color w:val="auto"/>
                <w:kern w:val="0"/>
                <w:sz w:val="20"/>
                <w:szCs w:val="20"/>
              </w:rPr>
              <w:t>4</w:t>
            </w:r>
          </w:p>
        </w:tc>
        <w:tc>
          <w:tcPr>
            <w:tcW w:w="1139" w:type="dxa"/>
            <w:vMerge w:val="continue"/>
            <w:tcBorders>
              <w:left w:val="single" w:color="000000" w:sz="4" w:space="0"/>
              <w:right w:val="nil"/>
            </w:tcBorders>
            <w:vAlign w:val="center"/>
          </w:tcPr>
          <w:p>
            <w:pPr>
              <w:jc w:val="center"/>
              <w:rPr>
                <w:rFonts w:ascii="宋体" w:hAnsi="宋体" w:eastAsia="宋体" w:cs="宋体"/>
                <w:b/>
                <w:bCs/>
                <w:color w:val="auto"/>
                <w:sz w:val="20"/>
                <w:szCs w:val="20"/>
              </w:rPr>
            </w:pP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bCs/>
                <w:color w:val="auto"/>
                <w:sz w:val="20"/>
                <w:szCs w:val="20"/>
              </w:rPr>
            </w:pPr>
            <w:r>
              <w:rPr>
                <w:rFonts w:hint="eastAsia" w:ascii="宋体" w:hAnsi="宋体" w:eastAsia="宋体" w:cs="宋体"/>
                <w:b/>
                <w:bCs/>
                <w:color w:val="auto"/>
                <w:kern w:val="0"/>
                <w:sz w:val="20"/>
                <w:szCs w:val="20"/>
              </w:rPr>
              <w:t>系统使用</w:t>
            </w:r>
          </w:p>
        </w:tc>
        <w:tc>
          <w:tcPr>
            <w:tcW w:w="20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运营商服务系统信息填报、服务结算准确高效</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15</w:t>
            </w:r>
          </w:p>
        </w:tc>
        <w:tc>
          <w:tcPr>
            <w:tcW w:w="27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 w:val="20"/>
                <w:szCs w:val="20"/>
                <w:lang w:eastAsia="zh-CN"/>
              </w:rPr>
            </w:pPr>
            <w:r>
              <w:rPr>
                <w:rFonts w:hint="eastAsia" w:ascii="宋体" w:hAnsi="宋体" w:eastAsia="宋体" w:cs="宋体"/>
                <w:color w:val="auto"/>
                <w:kern w:val="0"/>
                <w:sz w:val="20"/>
                <w:szCs w:val="20"/>
              </w:rPr>
              <w:t>每发现一处身份信息填写错误、服务内容及单价超出合同范围、服务工单虚假、系统结算与实际不符，每季度服务结算、工单提供不及时等情况，扣</w:t>
            </w:r>
            <w:r>
              <w:rPr>
                <w:rFonts w:ascii="宋体" w:hAnsi="宋体" w:eastAsia="宋体" w:cs="宋体"/>
                <w:color w:val="auto"/>
                <w:kern w:val="0"/>
                <w:sz w:val="20"/>
                <w:szCs w:val="20"/>
              </w:rPr>
              <w:t>2</w:t>
            </w:r>
            <w:r>
              <w:rPr>
                <w:rFonts w:hint="eastAsia" w:ascii="宋体" w:hAnsi="宋体" w:eastAsia="宋体" w:cs="宋体"/>
                <w:color w:val="auto"/>
                <w:kern w:val="0"/>
                <w:sz w:val="20"/>
                <w:szCs w:val="20"/>
              </w:rPr>
              <w:t>分，扣完为止</w:t>
            </w:r>
            <w:r>
              <w:rPr>
                <w:rFonts w:hint="eastAsia" w:ascii="宋体" w:hAnsi="宋体" w:eastAsia="宋体" w:cs="宋体"/>
                <w:color w:val="auto"/>
                <w:kern w:val="0"/>
                <w:sz w:val="20"/>
                <w:szCs w:val="20"/>
                <w:lang w:eastAsia="zh-CN"/>
              </w:rPr>
              <w:t>。</w:t>
            </w:r>
          </w:p>
        </w:tc>
        <w:tc>
          <w:tcPr>
            <w:tcW w:w="62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auto"/>
                <w:sz w:val="18"/>
                <w:szCs w:val="18"/>
              </w:rPr>
            </w:pPr>
          </w:p>
        </w:tc>
      </w:tr>
      <w:tr>
        <w:tblPrEx>
          <w:tblCellMar>
            <w:top w:w="0" w:type="dxa"/>
            <w:left w:w="108" w:type="dxa"/>
            <w:bottom w:w="0" w:type="dxa"/>
            <w:right w:w="108" w:type="dxa"/>
          </w:tblCellMar>
        </w:tblPrEx>
        <w:trPr>
          <w:trHeight w:val="162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0"/>
                <w:szCs w:val="20"/>
              </w:rPr>
            </w:pPr>
            <w:r>
              <w:rPr>
                <w:rFonts w:ascii="宋体" w:hAnsi="宋体" w:eastAsia="宋体" w:cs="宋体"/>
                <w:color w:val="auto"/>
                <w:kern w:val="0"/>
                <w:sz w:val="20"/>
                <w:szCs w:val="20"/>
              </w:rPr>
              <w:t>5</w:t>
            </w:r>
          </w:p>
        </w:tc>
        <w:tc>
          <w:tcPr>
            <w:tcW w:w="1139" w:type="dxa"/>
            <w:vMerge w:val="continue"/>
            <w:tcBorders>
              <w:left w:val="single" w:color="000000" w:sz="4" w:space="0"/>
              <w:right w:val="nil"/>
            </w:tcBorders>
            <w:vAlign w:val="center"/>
          </w:tcPr>
          <w:p>
            <w:pPr>
              <w:jc w:val="center"/>
              <w:rPr>
                <w:rFonts w:ascii="宋体" w:hAnsi="宋体" w:eastAsia="宋体" w:cs="宋体"/>
                <w:b/>
                <w:bCs/>
                <w:color w:val="auto"/>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bCs/>
                <w:color w:val="auto"/>
                <w:sz w:val="20"/>
                <w:szCs w:val="20"/>
              </w:rPr>
            </w:pPr>
            <w:r>
              <w:rPr>
                <w:rFonts w:hint="eastAsia" w:ascii="宋体" w:hAnsi="宋体" w:eastAsia="宋体" w:cs="宋体"/>
                <w:b/>
                <w:bCs/>
                <w:color w:val="auto"/>
                <w:kern w:val="0"/>
                <w:sz w:val="20"/>
                <w:szCs w:val="20"/>
              </w:rPr>
              <w:t>服务工单</w:t>
            </w:r>
          </w:p>
        </w:tc>
        <w:tc>
          <w:tcPr>
            <w:tcW w:w="20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电子工单完整详实，纸质台账规范真实，电子纸单工单一致</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0"/>
                <w:szCs w:val="20"/>
              </w:rPr>
            </w:pPr>
            <w:r>
              <w:rPr>
                <w:rFonts w:ascii="宋体" w:hAnsi="宋体" w:eastAsia="宋体" w:cs="宋体"/>
                <w:color w:val="auto"/>
                <w:kern w:val="0"/>
                <w:sz w:val="20"/>
                <w:szCs w:val="20"/>
              </w:rPr>
              <w:t>20</w:t>
            </w:r>
          </w:p>
        </w:tc>
        <w:tc>
          <w:tcPr>
            <w:tcW w:w="27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每发现一处服务时间异常、签到地址异常、一人同时服务多人等情况，发现一处扣</w:t>
            </w:r>
            <w:r>
              <w:rPr>
                <w:rFonts w:ascii="宋体" w:hAnsi="宋体" w:eastAsia="宋体" w:cs="宋体"/>
                <w:color w:val="auto"/>
                <w:kern w:val="0"/>
                <w:sz w:val="20"/>
                <w:szCs w:val="20"/>
              </w:rPr>
              <w:t>2</w:t>
            </w:r>
            <w:r>
              <w:rPr>
                <w:rFonts w:hint="eastAsia" w:ascii="宋体" w:hAnsi="宋体" w:eastAsia="宋体" w:cs="宋体"/>
                <w:color w:val="auto"/>
                <w:kern w:val="0"/>
                <w:sz w:val="20"/>
                <w:szCs w:val="20"/>
              </w:rPr>
              <w:t>分；每发现一处纸质工单填写不规范、内容不全面、与系统不一致等情况扣</w:t>
            </w:r>
            <w:r>
              <w:rPr>
                <w:rFonts w:ascii="宋体" w:hAnsi="宋体" w:eastAsia="宋体" w:cs="宋体"/>
                <w:color w:val="auto"/>
                <w:kern w:val="0"/>
                <w:sz w:val="20"/>
                <w:szCs w:val="20"/>
              </w:rPr>
              <w:t>2</w:t>
            </w:r>
            <w:r>
              <w:rPr>
                <w:rFonts w:hint="eastAsia" w:ascii="宋体" w:hAnsi="宋体" w:eastAsia="宋体" w:cs="宋体"/>
                <w:color w:val="auto"/>
                <w:kern w:val="0"/>
                <w:sz w:val="20"/>
                <w:szCs w:val="20"/>
              </w:rPr>
              <w:t>分，扣完为止。</w:t>
            </w:r>
          </w:p>
        </w:tc>
        <w:tc>
          <w:tcPr>
            <w:tcW w:w="62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auto"/>
                <w:sz w:val="18"/>
                <w:szCs w:val="18"/>
              </w:rPr>
            </w:pPr>
          </w:p>
        </w:tc>
      </w:tr>
      <w:tr>
        <w:tblPrEx>
          <w:tblCellMar>
            <w:top w:w="0" w:type="dxa"/>
            <w:left w:w="108" w:type="dxa"/>
            <w:bottom w:w="0" w:type="dxa"/>
            <w:right w:w="108" w:type="dxa"/>
          </w:tblCellMar>
        </w:tblPrEx>
        <w:trPr>
          <w:trHeight w:val="162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6</w:t>
            </w:r>
          </w:p>
        </w:tc>
        <w:tc>
          <w:tcPr>
            <w:tcW w:w="1139" w:type="dxa"/>
            <w:vMerge w:val="continue"/>
            <w:tcBorders>
              <w:left w:val="single" w:color="000000" w:sz="4" w:space="0"/>
              <w:bottom w:val="single" w:color="000000" w:sz="4" w:space="0"/>
              <w:right w:val="nil"/>
            </w:tcBorders>
            <w:vAlign w:val="center"/>
          </w:tcPr>
          <w:p>
            <w:pPr>
              <w:jc w:val="center"/>
              <w:rPr>
                <w:rFonts w:ascii="宋体" w:hAnsi="宋体" w:eastAsia="宋体" w:cs="宋体"/>
                <w:b/>
                <w:bCs/>
                <w:color w:val="auto"/>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color w:val="auto"/>
                <w:kern w:val="0"/>
                <w:sz w:val="20"/>
                <w:szCs w:val="20"/>
                <w:lang w:eastAsia="zh-CN"/>
              </w:rPr>
            </w:pPr>
            <w:r>
              <w:rPr>
                <w:rFonts w:hint="eastAsia" w:ascii="宋体" w:hAnsi="宋体" w:eastAsia="宋体" w:cs="宋体"/>
                <w:b/>
                <w:bCs/>
                <w:color w:val="auto"/>
                <w:kern w:val="0"/>
                <w:sz w:val="20"/>
                <w:szCs w:val="20"/>
                <w:lang w:eastAsia="zh-CN"/>
              </w:rPr>
              <w:t>服务对象</w:t>
            </w:r>
          </w:p>
          <w:p>
            <w:pPr>
              <w:widowControl/>
              <w:jc w:val="center"/>
              <w:textAlignment w:val="center"/>
              <w:rPr>
                <w:rFonts w:hint="eastAsia" w:ascii="宋体" w:hAnsi="宋体" w:eastAsia="宋体" w:cs="宋体"/>
                <w:b/>
                <w:bCs/>
                <w:color w:val="auto"/>
                <w:kern w:val="0"/>
                <w:sz w:val="20"/>
                <w:szCs w:val="20"/>
                <w:lang w:eastAsia="zh-CN"/>
              </w:rPr>
            </w:pPr>
            <w:r>
              <w:rPr>
                <w:rFonts w:hint="eastAsia" w:ascii="宋体" w:hAnsi="宋体" w:eastAsia="宋体" w:cs="宋体"/>
                <w:b/>
                <w:bCs/>
                <w:color w:val="auto"/>
                <w:kern w:val="0"/>
                <w:sz w:val="20"/>
                <w:szCs w:val="20"/>
                <w:lang w:eastAsia="zh-CN"/>
              </w:rPr>
              <w:t>状态核查</w:t>
            </w:r>
          </w:p>
        </w:tc>
        <w:tc>
          <w:tcPr>
            <w:tcW w:w="20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运营商每月上门核实当月服务对象政策享受状态</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10</w:t>
            </w:r>
          </w:p>
        </w:tc>
        <w:tc>
          <w:tcPr>
            <w:tcW w:w="27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每发现一个因服务商未上门</w:t>
            </w:r>
            <w:r>
              <w:rPr>
                <w:rFonts w:hint="eastAsia" w:ascii="宋体" w:hAnsi="宋体" w:eastAsia="宋体" w:cs="宋体"/>
                <w:color w:val="auto"/>
                <w:kern w:val="0"/>
                <w:sz w:val="20"/>
                <w:szCs w:val="20"/>
                <w:lang w:eastAsia="zh-CN"/>
              </w:rPr>
              <w:t>核实</w:t>
            </w:r>
            <w:r>
              <w:rPr>
                <w:rFonts w:hint="eastAsia" w:ascii="宋体" w:hAnsi="宋体" w:eastAsia="宋体" w:cs="宋体"/>
                <w:color w:val="auto"/>
                <w:kern w:val="0"/>
                <w:sz w:val="20"/>
                <w:szCs w:val="20"/>
              </w:rPr>
              <w:t>服务对象政策享受状态</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而导致多服务、错服务的情况，扣5分，</w:t>
            </w:r>
            <w:r>
              <w:rPr>
                <w:rFonts w:hint="eastAsia" w:ascii="宋体" w:hAnsi="宋体" w:eastAsia="宋体" w:cs="宋体"/>
                <w:color w:val="auto"/>
                <w:kern w:val="0"/>
                <w:sz w:val="20"/>
                <w:szCs w:val="20"/>
                <w:lang w:val="en-US" w:eastAsia="zh-CN"/>
              </w:rPr>
              <w:t>扣完为止。</w:t>
            </w:r>
            <w:r>
              <w:rPr>
                <w:rFonts w:hint="eastAsia" w:ascii="宋体" w:hAnsi="宋体" w:eastAsia="宋体" w:cs="宋体"/>
                <w:color w:val="auto"/>
                <w:kern w:val="0"/>
                <w:sz w:val="20"/>
                <w:szCs w:val="20"/>
              </w:rPr>
              <w:t>同时该服务对象</w:t>
            </w:r>
            <w:r>
              <w:rPr>
                <w:rFonts w:hint="eastAsia" w:ascii="宋体" w:hAnsi="宋体" w:eastAsia="宋体" w:cs="宋体"/>
                <w:color w:val="auto"/>
                <w:kern w:val="0"/>
                <w:sz w:val="20"/>
                <w:szCs w:val="20"/>
                <w:lang w:eastAsia="zh-CN"/>
              </w:rPr>
              <w:t>因</w:t>
            </w:r>
            <w:r>
              <w:rPr>
                <w:rFonts w:hint="eastAsia" w:ascii="宋体" w:hAnsi="宋体" w:eastAsia="宋体" w:cs="宋体"/>
                <w:color w:val="auto"/>
                <w:kern w:val="0"/>
                <w:sz w:val="20"/>
                <w:szCs w:val="20"/>
              </w:rPr>
              <w:t>多服务、错服务费用</w:t>
            </w:r>
            <w:r>
              <w:rPr>
                <w:rFonts w:hint="eastAsia" w:ascii="宋体" w:hAnsi="宋体" w:eastAsia="宋体" w:cs="宋体"/>
                <w:color w:val="auto"/>
                <w:kern w:val="0"/>
                <w:sz w:val="20"/>
                <w:szCs w:val="20"/>
                <w:lang w:eastAsia="zh-CN"/>
              </w:rPr>
              <w:t>产生的费用</w:t>
            </w:r>
            <w:r>
              <w:rPr>
                <w:rFonts w:hint="eastAsia" w:ascii="宋体" w:hAnsi="宋体" w:eastAsia="宋体" w:cs="宋体"/>
                <w:color w:val="auto"/>
                <w:kern w:val="0"/>
                <w:sz w:val="20"/>
                <w:szCs w:val="20"/>
              </w:rPr>
              <w:t>，不予结算</w:t>
            </w:r>
            <w:r>
              <w:rPr>
                <w:rFonts w:hint="eastAsia" w:ascii="宋体" w:hAnsi="宋体" w:eastAsia="宋体" w:cs="宋体"/>
                <w:color w:val="auto"/>
                <w:kern w:val="0"/>
                <w:sz w:val="20"/>
                <w:szCs w:val="20"/>
                <w:lang w:eastAsia="zh-CN"/>
              </w:rPr>
              <w:t>。</w:t>
            </w:r>
          </w:p>
        </w:tc>
        <w:tc>
          <w:tcPr>
            <w:tcW w:w="62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auto"/>
                <w:sz w:val="18"/>
                <w:szCs w:val="18"/>
              </w:rPr>
            </w:pPr>
          </w:p>
        </w:tc>
      </w:tr>
      <w:tr>
        <w:tblPrEx>
          <w:tblCellMar>
            <w:top w:w="0" w:type="dxa"/>
            <w:left w:w="108" w:type="dxa"/>
            <w:bottom w:w="0" w:type="dxa"/>
            <w:right w:w="108" w:type="dxa"/>
          </w:tblCellMar>
        </w:tblPrEx>
        <w:trPr>
          <w:trHeight w:val="547" w:hRule="atLeast"/>
        </w:trPr>
        <w:tc>
          <w:tcPr>
            <w:tcW w:w="5223"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bCs/>
                <w:color w:val="auto"/>
                <w:sz w:val="20"/>
                <w:szCs w:val="20"/>
              </w:rPr>
            </w:pPr>
            <w:r>
              <w:rPr>
                <w:rFonts w:hint="eastAsia" w:ascii="宋体" w:hAnsi="宋体" w:eastAsia="宋体" w:cs="宋体"/>
                <w:b/>
                <w:bCs/>
                <w:color w:val="auto"/>
                <w:kern w:val="0"/>
                <w:sz w:val="20"/>
                <w:szCs w:val="20"/>
              </w:rPr>
              <w:t>合计分值　</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0"/>
                <w:szCs w:val="20"/>
              </w:rPr>
            </w:pPr>
            <w:r>
              <w:rPr>
                <w:rFonts w:ascii="宋体" w:hAnsi="宋体" w:eastAsia="宋体" w:cs="宋体"/>
                <w:color w:val="auto"/>
                <w:kern w:val="0"/>
                <w:sz w:val="20"/>
                <w:szCs w:val="20"/>
              </w:rPr>
              <w:t>100</w:t>
            </w:r>
          </w:p>
        </w:tc>
        <w:tc>
          <w:tcPr>
            <w:tcW w:w="270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auto"/>
                <w:sz w:val="20"/>
                <w:szCs w:val="20"/>
              </w:rPr>
            </w:pPr>
          </w:p>
        </w:tc>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 w:val="18"/>
                <w:szCs w:val="18"/>
              </w:rPr>
            </w:pPr>
            <w:r>
              <w:rPr>
                <w:rFonts w:ascii="宋体" w:hAnsi="宋体" w:eastAsia="宋体" w:cs="宋体"/>
                <w:color w:val="auto"/>
                <w:kern w:val="0"/>
                <w:sz w:val="18"/>
                <w:szCs w:val="18"/>
              </w:rPr>
              <w:t xml:space="preserve"> </w:t>
            </w:r>
          </w:p>
        </w:tc>
      </w:tr>
      <w:tr>
        <w:tblPrEx>
          <w:tblCellMar>
            <w:top w:w="0" w:type="dxa"/>
            <w:left w:w="108" w:type="dxa"/>
            <w:bottom w:w="0" w:type="dxa"/>
            <w:right w:w="108" w:type="dxa"/>
          </w:tblCellMar>
        </w:tblPrEx>
        <w:trPr>
          <w:trHeight w:val="1850" w:hRule="atLeast"/>
        </w:trPr>
        <w:tc>
          <w:tcPr>
            <w:tcW w:w="9312"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备注：</w:t>
            </w:r>
            <w:r>
              <w:rPr>
                <w:rFonts w:ascii="宋体" w:hAnsi="宋体" w:eastAsia="宋体" w:cs="宋体"/>
                <w:color w:val="auto"/>
                <w:kern w:val="0"/>
                <w:sz w:val="20"/>
                <w:szCs w:val="20"/>
              </w:rPr>
              <w:t>1</w:t>
            </w:r>
            <w:r>
              <w:rPr>
                <w:rFonts w:hint="eastAsia" w:ascii="宋体" w:hAnsi="宋体" w:eastAsia="宋体" w:cs="宋体"/>
                <w:color w:val="auto"/>
                <w:kern w:val="0"/>
                <w:sz w:val="20"/>
                <w:szCs w:val="20"/>
              </w:rPr>
              <w:t>、总分</w:t>
            </w:r>
            <w:r>
              <w:rPr>
                <w:rFonts w:ascii="宋体" w:hAnsi="宋体" w:eastAsia="宋体" w:cs="宋体"/>
                <w:color w:val="auto"/>
                <w:kern w:val="0"/>
                <w:sz w:val="20"/>
                <w:szCs w:val="20"/>
              </w:rPr>
              <w:t>100</w:t>
            </w:r>
            <w:r>
              <w:rPr>
                <w:rFonts w:hint="eastAsia" w:ascii="宋体" w:hAnsi="宋体" w:eastAsia="宋体" w:cs="宋体"/>
                <w:color w:val="auto"/>
                <w:kern w:val="0"/>
                <w:sz w:val="20"/>
                <w:szCs w:val="20"/>
              </w:rPr>
              <w:t>分。总分≥</w:t>
            </w:r>
            <w:r>
              <w:rPr>
                <w:rFonts w:ascii="宋体" w:hAnsi="宋体" w:eastAsia="宋体" w:cs="宋体"/>
                <w:color w:val="auto"/>
                <w:kern w:val="0"/>
                <w:sz w:val="20"/>
                <w:szCs w:val="20"/>
              </w:rPr>
              <w:t>90</w:t>
            </w:r>
            <w:r>
              <w:rPr>
                <w:rFonts w:hint="eastAsia" w:ascii="宋体" w:hAnsi="宋体" w:eastAsia="宋体" w:cs="宋体"/>
                <w:color w:val="auto"/>
                <w:kern w:val="0"/>
                <w:sz w:val="20"/>
                <w:szCs w:val="20"/>
              </w:rPr>
              <w:t>分以上为“优”，</w:t>
            </w:r>
            <w:r>
              <w:rPr>
                <w:rFonts w:ascii="宋体" w:hAnsi="宋体" w:eastAsia="宋体" w:cs="宋体"/>
                <w:color w:val="auto"/>
                <w:kern w:val="0"/>
                <w:sz w:val="20"/>
                <w:szCs w:val="20"/>
              </w:rPr>
              <w:t>80</w:t>
            </w:r>
            <w:r>
              <w:rPr>
                <w:rFonts w:hint="eastAsia" w:ascii="宋体" w:hAnsi="宋体" w:eastAsia="宋体" w:cs="宋体"/>
                <w:color w:val="auto"/>
                <w:kern w:val="0"/>
                <w:sz w:val="20"/>
                <w:szCs w:val="20"/>
              </w:rPr>
              <w:t>分≤总分＜</w:t>
            </w:r>
            <w:r>
              <w:rPr>
                <w:rFonts w:ascii="宋体" w:hAnsi="宋体" w:eastAsia="宋体" w:cs="宋体"/>
                <w:color w:val="auto"/>
                <w:kern w:val="0"/>
                <w:sz w:val="20"/>
                <w:szCs w:val="20"/>
              </w:rPr>
              <w:t>90</w:t>
            </w:r>
            <w:r>
              <w:rPr>
                <w:rFonts w:hint="eastAsia" w:ascii="宋体" w:hAnsi="宋体" w:eastAsia="宋体" w:cs="宋体"/>
                <w:color w:val="auto"/>
                <w:kern w:val="0"/>
                <w:sz w:val="20"/>
                <w:szCs w:val="20"/>
              </w:rPr>
              <w:t>分为“良”，</w:t>
            </w:r>
            <w:r>
              <w:rPr>
                <w:rFonts w:ascii="宋体" w:hAnsi="宋体" w:eastAsia="宋体" w:cs="宋体"/>
                <w:color w:val="auto"/>
                <w:kern w:val="0"/>
                <w:sz w:val="20"/>
                <w:szCs w:val="20"/>
              </w:rPr>
              <w:t>70</w:t>
            </w:r>
            <w:r>
              <w:rPr>
                <w:rFonts w:hint="eastAsia" w:ascii="宋体" w:hAnsi="宋体" w:eastAsia="宋体" w:cs="宋体"/>
                <w:color w:val="auto"/>
                <w:kern w:val="0"/>
                <w:sz w:val="20"/>
                <w:szCs w:val="20"/>
              </w:rPr>
              <w:t>分≤总分＜</w:t>
            </w:r>
            <w:r>
              <w:rPr>
                <w:rFonts w:ascii="宋体" w:hAnsi="宋体" w:eastAsia="宋体" w:cs="宋体"/>
                <w:color w:val="auto"/>
                <w:kern w:val="0"/>
                <w:sz w:val="20"/>
                <w:szCs w:val="20"/>
              </w:rPr>
              <w:t>80</w:t>
            </w:r>
            <w:r>
              <w:rPr>
                <w:rFonts w:hint="eastAsia" w:ascii="宋体" w:hAnsi="宋体" w:eastAsia="宋体" w:cs="宋体"/>
                <w:color w:val="auto"/>
                <w:kern w:val="0"/>
                <w:sz w:val="20"/>
                <w:szCs w:val="20"/>
              </w:rPr>
              <w:t>分为“一般”，低于</w:t>
            </w:r>
            <w:r>
              <w:rPr>
                <w:rFonts w:ascii="宋体" w:hAnsi="宋体" w:eastAsia="宋体" w:cs="宋体"/>
                <w:color w:val="auto"/>
                <w:kern w:val="0"/>
                <w:sz w:val="20"/>
                <w:szCs w:val="20"/>
              </w:rPr>
              <w:t>70</w:t>
            </w:r>
            <w:r>
              <w:rPr>
                <w:rFonts w:hint="eastAsia" w:ascii="宋体" w:hAnsi="宋体" w:eastAsia="宋体" w:cs="宋体"/>
                <w:color w:val="auto"/>
                <w:kern w:val="0"/>
                <w:sz w:val="20"/>
                <w:szCs w:val="20"/>
              </w:rPr>
              <w:t>分（不含</w:t>
            </w:r>
            <w:r>
              <w:rPr>
                <w:rFonts w:ascii="宋体" w:hAnsi="宋体" w:eastAsia="宋体" w:cs="宋体"/>
                <w:color w:val="auto"/>
                <w:kern w:val="0"/>
                <w:sz w:val="20"/>
                <w:szCs w:val="20"/>
              </w:rPr>
              <w:t>70</w:t>
            </w:r>
            <w:r>
              <w:rPr>
                <w:rFonts w:hint="eastAsia" w:ascii="宋体" w:hAnsi="宋体" w:eastAsia="宋体" w:cs="宋体"/>
                <w:color w:val="auto"/>
                <w:kern w:val="0"/>
                <w:sz w:val="20"/>
                <w:szCs w:val="20"/>
              </w:rPr>
              <w:t>分）为不合格。</w:t>
            </w:r>
            <w:r>
              <w:rPr>
                <w:rFonts w:ascii="宋体" w:hAnsi="宋体" w:eastAsia="宋体" w:cs="宋体"/>
                <w:color w:val="auto"/>
                <w:kern w:val="0"/>
                <w:sz w:val="20"/>
                <w:szCs w:val="20"/>
              </w:rPr>
              <w:br w:type="textWrapping"/>
            </w:r>
            <w:r>
              <w:rPr>
                <w:rFonts w:ascii="宋体" w:hAnsi="宋体" w:eastAsia="宋体" w:cs="宋体"/>
                <w:color w:val="auto"/>
                <w:kern w:val="0"/>
                <w:sz w:val="20"/>
                <w:szCs w:val="20"/>
              </w:rPr>
              <w:t xml:space="preserve">      2</w:t>
            </w:r>
            <w:r>
              <w:rPr>
                <w:rFonts w:hint="eastAsia" w:ascii="宋体" w:hAnsi="宋体" w:eastAsia="宋体" w:cs="宋体"/>
                <w:color w:val="auto"/>
                <w:kern w:val="0"/>
                <w:sz w:val="20"/>
                <w:szCs w:val="20"/>
              </w:rPr>
              <w:t>、在上级相关部门监督抽查中被点名或通报批评扣</w:t>
            </w:r>
            <w:r>
              <w:rPr>
                <w:rFonts w:ascii="宋体" w:hAnsi="宋体" w:eastAsia="宋体" w:cs="宋体"/>
                <w:color w:val="auto"/>
                <w:kern w:val="0"/>
                <w:sz w:val="20"/>
                <w:szCs w:val="20"/>
              </w:rPr>
              <w:t>5</w:t>
            </w:r>
            <w:r>
              <w:rPr>
                <w:rFonts w:hint="eastAsia" w:ascii="宋体" w:hAnsi="宋体" w:eastAsia="宋体" w:cs="宋体"/>
                <w:color w:val="auto"/>
                <w:kern w:val="0"/>
                <w:sz w:val="20"/>
                <w:szCs w:val="20"/>
              </w:rPr>
              <w:t>分；因工作不到位造成恶劣影响的，群众反映特别强烈的扣</w:t>
            </w:r>
            <w:r>
              <w:rPr>
                <w:rFonts w:ascii="宋体" w:hAnsi="宋体" w:eastAsia="宋体" w:cs="宋体"/>
                <w:color w:val="auto"/>
                <w:kern w:val="0"/>
                <w:sz w:val="20"/>
                <w:szCs w:val="20"/>
              </w:rPr>
              <w:t>5</w:t>
            </w:r>
            <w:r>
              <w:rPr>
                <w:rFonts w:hint="eastAsia" w:ascii="宋体" w:hAnsi="宋体" w:eastAsia="宋体" w:cs="宋体"/>
                <w:color w:val="auto"/>
                <w:kern w:val="0"/>
                <w:sz w:val="20"/>
                <w:szCs w:val="20"/>
              </w:rPr>
              <w:t>分；工作严重失职，被新闻媒体曝光的扣</w:t>
            </w:r>
            <w:r>
              <w:rPr>
                <w:rFonts w:ascii="宋体" w:hAnsi="宋体" w:eastAsia="宋体" w:cs="宋体"/>
                <w:color w:val="auto"/>
                <w:kern w:val="0"/>
                <w:sz w:val="20"/>
                <w:szCs w:val="20"/>
              </w:rPr>
              <w:t>10</w:t>
            </w:r>
            <w:r>
              <w:rPr>
                <w:rFonts w:hint="eastAsia" w:ascii="宋体" w:hAnsi="宋体" w:eastAsia="宋体" w:cs="宋体"/>
                <w:color w:val="auto"/>
                <w:kern w:val="0"/>
                <w:sz w:val="20"/>
                <w:szCs w:val="20"/>
              </w:rPr>
              <w:t>分。</w:t>
            </w:r>
            <w:r>
              <w:rPr>
                <w:rFonts w:ascii="宋体" w:hAnsi="宋体" w:eastAsia="宋体" w:cs="宋体"/>
                <w:color w:val="auto"/>
                <w:kern w:val="0"/>
                <w:sz w:val="20"/>
                <w:szCs w:val="20"/>
              </w:rPr>
              <w:br w:type="textWrapping"/>
            </w:r>
            <w:r>
              <w:rPr>
                <w:rFonts w:ascii="宋体" w:hAnsi="宋体" w:eastAsia="宋体" w:cs="宋体"/>
                <w:color w:val="auto"/>
                <w:kern w:val="0"/>
                <w:sz w:val="20"/>
                <w:szCs w:val="20"/>
              </w:rPr>
              <w:t xml:space="preserve">      3</w:t>
            </w:r>
            <w:r>
              <w:rPr>
                <w:rFonts w:hint="eastAsia" w:ascii="宋体" w:hAnsi="宋体" w:eastAsia="宋体" w:cs="宋体"/>
                <w:color w:val="auto"/>
                <w:kern w:val="0"/>
                <w:sz w:val="20"/>
                <w:szCs w:val="20"/>
              </w:rPr>
              <w:t>、出现一起未履行严格分拣、消毒流程的扣</w:t>
            </w:r>
            <w:r>
              <w:rPr>
                <w:rFonts w:ascii="宋体" w:hAnsi="宋体" w:eastAsia="宋体" w:cs="宋体"/>
                <w:color w:val="auto"/>
                <w:kern w:val="0"/>
                <w:sz w:val="20"/>
                <w:szCs w:val="20"/>
              </w:rPr>
              <w:t>5</w:t>
            </w:r>
            <w:r>
              <w:rPr>
                <w:rFonts w:hint="eastAsia" w:ascii="宋体" w:hAnsi="宋体" w:eastAsia="宋体" w:cs="宋体"/>
                <w:color w:val="auto"/>
                <w:kern w:val="0"/>
                <w:sz w:val="20"/>
                <w:szCs w:val="20"/>
              </w:rPr>
              <w:t>分，食品留样不符合规定的扣</w:t>
            </w:r>
            <w:r>
              <w:rPr>
                <w:rFonts w:ascii="宋体" w:hAnsi="宋体" w:eastAsia="宋体" w:cs="宋体"/>
                <w:color w:val="auto"/>
                <w:kern w:val="0"/>
                <w:sz w:val="20"/>
                <w:szCs w:val="20"/>
              </w:rPr>
              <w:t>5</w:t>
            </w:r>
            <w:r>
              <w:rPr>
                <w:rFonts w:hint="eastAsia" w:ascii="宋体" w:hAnsi="宋体" w:eastAsia="宋体" w:cs="宋体"/>
                <w:color w:val="auto"/>
                <w:kern w:val="0"/>
                <w:sz w:val="20"/>
                <w:szCs w:val="20"/>
              </w:rPr>
              <w:t>分，出现一起食品安全事故，考评结果直接为不合格。</w:t>
            </w:r>
          </w:p>
        </w:tc>
      </w:tr>
    </w:tbl>
    <w:p>
      <w:pPr>
        <w:pStyle w:val="21"/>
        <w:spacing w:line="420" w:lineRule="exact"/>
        <w:ind w:left="0" w:leftChars="0" w:firstLine="0" w:firstLineChars="0"/>
        <w:rPr>
          <w:rFonts w:ascii="宋体" w:cs="宋体"/>
          <w:color w:val="auto"/>
          <w:sz w:val="24"/>
          <w:szCs w:val="24"/>
          <w:highlight w:val="yellow"/>
        </w:rPr>
      </w:pPr>
    </w:p>
    <w:p>
      <w:pPr>
        <w:spacing w:line="420" w:lineRule="exact"/>
        <w:ind w:firstLine="482" w:firstLineChars="200"/>
        <w:outlineLvl w:val="1"/>
        <w:rPr>
          <w:rFonts w:ascii="宋体" w:hAnsi="宋体" w:eastAsia="宋体" w:cs="宋体"/>
          <w:b/>
          <w:color w:val="auto"/>
          <w:highlight w:val="yellow"/>
        </w:rPr>
      </w:pPr>
    </w:p>
    <w:p>
      <w:pPr>
        <w:rPr>
          <w:rFonts w:ascii="宋体" w:hAnsi="宋体" w:eastAsia="宋体" w:cs="宋体"/>
          <w:b/>
          <w:color w:val="auto"/>
        </w:rPr>
      </w:pPr>
      <w:r>
        <w:rPr>
          <w:rFonts w:ascii="宋体" w:hAnsi="宋体" w:eastAsia="宋体" w:cs="宋体"/>
          <w:b/>
          <w:color w:val="auto"/>
          <w:highlight w:val="yellow"/>
        </w:rPr>
        <w:br w:type="page"/>
      </w:r>
      <w:r>
        <w:rPr>
          <w:rFonts w:hint="eastAsia" w:ascii="宋体" w:hAnsi="宋体" w:eastAsia="宋体" w:cs="宋体"/>
          <w:b/>
          <w:color w:val="auto"/>
        </w:rPr>
        <w:t>（四）</w:t>
      </w:r>
      <w:r>
        <w:rPr>
          <w:rFonts w:hint="eastAsia" w:ascii="宋体" w:hAnsi="宋体" w:eastAsia="宋体" w:cs="宋体"/>
          <w:b/>
          <w:color w:val="auto"/>
          <w:kern w:val="0"/>
        </w:rPr>
        <w:t>残疾人之家运营管理</w:t>
      </w:r>
    </w:p>
    <w:p>
      <w:pPr>
        <w:widowControl/>
        <w:adjustRightInd w:val="0"/>
        <w:snapToGrid w:val="0"/>
        <w:spacing w:line="420" w:lineRule="exact"/>
        <w:ind w:firstLine="482" w:firstLineChars="200"/>
        <w:jc w:val="left"/>
        <w:rPr>
          <w:rFonts w:ascii="宋体" w:hAnsi="宋体" w:eastAsia="宋体" w:cs="宋体"/>
          <w:b/>
          <w:bCs/>
          <w:color w:val="auto"/>
        </w:rPr>
      </w:pPr>
      <w:r>
        <w:rPr>
          <w:rFonts w:ascii="宋体" w:hAnsi="宋体" w:eastAsia="宋体" w:cs="宋体"/>
          <w:b/>
          <w:bCs/>
          <w:color w:val="auto"/>
        </w:rPr>
        <w:t>1.</w:t>
      </w:r>
      <w:r>
        <w:rPr>
          <w:rFonts w:hint="eastAsia" w:ascii="宋体" w:hAnsi="宋体" w:eastAsia="宋体" w:cs="宋体"/>
          <w:b/>
          <w:bCs/>
          <w:color w:val="auto"/>
        </w:rPr>
        <w:t>残疾人之家基本情况</w:t>
      </w:r>
    </w:p>
    <w:p>
      <w:pPr>
        <w:widowControl/>
        <w:adjustRightInd w:val="0"/>
        <w:snapToGrid w:val="0"/>
        <w:spacing w:line="420" w:lineRule="exact"/>
        <w:ind w:firstLine="480" w:firstLineChars="200"/>
        <w:jc w:val="left"/>
        <w:rPr>
          <w:rFonts w:ascii="宋体" w:hAnsi="宋体" w:eastAsia="宋体" w:cs="宋体"/>
          <w:color w:val="auto"/>
        </w:rPr>
      </w:pPr>
      <w:r>
        <w:rPr>
          <w:rFonts w:hint="eastAsia" w:ascii="宋体" w:hAnsi="宋体" w:eastAsia="宋体" w:cs="宋体"/>
          <w:color w:val="auto"/>
        </w:rPr>
        <w:t>钟秀街道现有残疾人之家</w:t>
      </w:r>
      <w:r>
        <w:rPr>
          <w:rFonts w:ascii="宋体" w:hAnsi="宋体" w:eastAsia="宋体" w:cs="宋体"/>
          <w:color w:val="auto"/>
        </w:rPr>
        <w:t>1</w:t>
      </w:r>
      <w:r>
        <w:rPr>
          <w:rFonts w:hint="eastAsia" w:ascii="宋体" w:hAnsi="宋体" w:eastAsia="宋体" w:cs="宋体"/>
          <w:color w:val="auto"/>
        </w:rPr>
        <w:t>个，截止</w:t>
      </w:r>
      <w:r>
        <w:rPr>
          <w:rFonts w:ascii="宋体" w:hAnsi="宋体" w:eastAsia="宋体" w:cs="宋体"/>
          <w:color w:val="auto"/>
        </w:rPr>
        <w:t>2022</w:t>
      </w:r>
      <w:r>
        <w:rPr>
          <w:rFonts w:hint="eastAsia" w:ascii="宋体" w:hAnsi="宋体" w:eastAsia="宋体" w:cs="宋体"/>
          <w:color w:val="auto"/>
        </w:rPr>
        <w:t>年</w:t>
      </w:r>
      <w:r>
        <w:rPr>
          <w:rFonts w:ascii="宋体" w:hAnsi="宋体" w:eastAsia="宋体" w:cs="宋体"/>
          <w:color w:val="auto"/>
        </w:rPr>
        <w:t>2</w:t>
      </w:r>
      <w:r>
        <w:rPr>
          <w:rFonts w:hint="eastAsia" w:ascii="宋体" w:hAnsi="宋体" w:eastAsia="宋体" w:cs="宋体"/>
          <w:color w:val="auto"/>
        </w:rPr>
        <w:t>月，残疾人之家现有残疾人</w:t>
      </w:r>
      <w:r>
        <w:rPr>
          <w:rFonts w:ascii="宋体" w:hAnsi="宋体" w:eastAsia="宋体" w:cs="宋体"/>
          <w:color w:val="auto"/>
        </w:rPr>
        <w:t>5</w:t>
      </w:r>
      <w:r>
        <w:rPr>
          <w:rFonts w:hint="eastAsia" w:ascii="宋体" w:hAnsi="宋体" w:eastAsia="宋体" w:cs="宋体"/>
          <w:color w:val="auto"/>
        </w:rPr>
        <w:t>人（此人数每月有增减），管理人员</w:t>
      </w:r>
      <w:r>
        <w:rPr>
          <w:rFonts w:ascii="宋体" w:hAnsi="宋体" w:eastAsia="宋体" w:cs="宋体"/>
          <w:color w:val="auto"/>
        </w:rPr>
        <w:t>1</w:t>
      </w:r>
      <w:r>
        <w:rPr>
          <w:rFonts w:hint="eastAsia" w:ascii="宋体" w:hAnsi="宋体" w:eastAsia="宋体" w:cs="宋体"/>
          <w:color w:val="auto"/>
        </w:rPr>
        <w:t>名</w:t>
      </w:r>
      <w:r>
        <w:rPr>
          <w:rFonts w:hint="eastAsia" w:ascii="宋体" w:hAnsi="宋体" w:eastAsia="宋体" w:cs="宋体"/>
          <w:color w:val="auto"/>
          <w:highlight w:val="none"/>
        </w:rPr>
        <w:t>。残疾人之家对接纳的服务对象要预先进行评定，符合要求的与其本人或监护人签订服务协议</w:t>
      </w:r>
      <w:r>
        <w:rPr>
          <w:rFonts w:hint="eastAsia" w:ascii="宋体" w:hAnsi="宋体" w:eastAsia="宋体" w:cs="宋体"/>
          <w:color w:val="auto"/>
          <w:highlight w:val="none"/>
          <w:lang w:eastAsia="zh-CN"/>
        </w:rPr>
        <w:t>。残疾人之家主要</w:t>
      </w:r>
      <w:r>
        <w:rPr>
          <w:rFonts w:hint="eastAsia" w:ascii="宋体" w:hAnsi="宋体" w:eastAsia="宋体" w:cs="宋体"/>
          <w:color w:val="auto"/>
          <w:highlight w:val="none"/>
        </w:rPr>
        <w:t>提供日间照料、辅助性就业、康复服务、文体活动、学习培训、志愿者服务等内容，做好相应台账记录，工作日为入托残疾人提供午餐（按照采购人规定的午餐费用标准）。</w:t>
      </w:r>
    </w:p>
    <w:p>
      <w:pPr>
        <w:pStyle w:val="49"/>
        <w:spacing w:line="420" w:lineRule="exact"/>
        <w:ind w:left="0" w:firstLine="31680"/>
        <w:rPr>
          <w:rFonts w:ascii="宋体" w:cs="宋体"/>
          <w:b/>
          <w:bCs/>
          <w:color w:val="auto"/>
          <w:kern w:val="2"/>
        </w:rPr>
      </w:pPr>
      <w:r>
        <w:rPr>
          <w:rFonts w:ascii="宋体" w:hAnsi="宋体" w:cs="宋体"/>
          <w:b/>
          <w:bCs/>
          <w:color w:val="auto"/>
          <w:kern w:val="2"/>
        </w:rPr>
        <w:t>2.</w:t>
      </w:r>
      <w:r>
        <w:rPr>
          <w:rFonts w:hint="eastAsia" w:ascii="宋体" w:hAnsi="宋体" w:cs="宋体"/>
          <w:b/>
          <w:bCs/>
          <w:color w:val="auto"/>
          <w:kern w:val="2"/>
        </w:rPr>
        <w:t>运营要求</w:t>
      </w:r>
    </w:p>
    <w:p>
      <w:pPr>
        <w:widowControl/>
        <w:adjustRightInd w:val="0"/>
        <w:snapToGrid w:val="0"/>
        <w:spacing w:line="420" w:lineRule="exact"/>
        <w:ind w:firstLine="480" w:firstLineChars="200"/>
        <w:jc w:val="left"/>
        <w:rPr>
          <w:rFonts w:ascii="宋体" w:hAnsi="宋体" w:eastAsia="宋体" w:cs="宋体"/>
          <w:color w:val="auto"/>
        </w:rPr>
      </w:pPr>
      <w:r>
        <w:rPr>
          <w:rFonts w:ascii="宋体" w:hAnsi="宋体" w:eastAsia="宋体" w:cs="宋体"/>
          <w:color w:val="auto"/>
        </w:rPr>
        <w:t>2.1</w:t>
      </w:r>
      <w:r>
        <w:rPr>
          <w:rFonts w:hint="eastAsia" w:ascii="宋体" w:hAnsi="宋体" w:eastAsia="宋体" w:cs="宋体"/>
          <w:color w:val="auto"/>
        </w:rPr>
        <w:t>团队人员配备要求</w:t>
      </w:r>
    </w:p>
    <w:p>
      <w:pPr>
        <w:widowControl/>
        <w:adjustRightInd w:val="0"/>
        <w:snapToGrid w:val="0"/>
        <w:spacing w:line="420" w:lineRule="exact"/>
        <w:ind w:firstLine="48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残疾人之家专职管理人员</w:t>
      </w:r>
      <w:r>
        <w:rPr>
          <w:rFonts w:ascii="宋体" w:hAnsi="宋体" w:eastAsia="宋体" w:cs="宋体"/>
          <w:color w:val="auto"/>
          <w:kern w:val="0"/>
          <w:highlight w:val="none"/>
        </w:rPr>
        <w:t>1</w:t>
      </w:r>
      <w:r>
        <w:rPr>
          <w:rFonts w:hint="eastAsia" w:ascii="宋体" w:hAnsi="宋体" w:eastAsia="宋体" w:cs="宋体"/>
          <w:color w:val="auto"/>
          <w:kern w:val="0"/>
          <w:highlight w:val="none"/>
        </w:rPr>
        <w:t>人，应具有相应的工作经验和能力，身体健康，持有健康证，负责残疾人日间照料、辅助性就业、康复训练、教育培训、安全保障、台账记录等日常工作开展。</w:t>
      </w:r>
    </w:p>
    <w:p>
      <w:pPr>
        <w:widowControl/>
        <w:adjustRightInd w:val="0"/>
        <w:snapToGrid w:val="0"/>
        <w:spacing w:line="420" w:lineRule="exact"/>
        <w:ind w:firstLine="480" w:firstLineChars="200"/>
        <w:jc w:val="left"/>
        <w:outlineLvl w:val="4"/>
        <w:rPr>
          <w:rFonts w:ascii="宋体" w:hAnsi="宋体" w:eastAsia="宋体" w:cs="宋体"/>
          <w:color w:val="auto"/>
          <w:highlight w:val="none"/>
        </w:rPr>
      </w:pPr>
      <w:r>
        <w:rPr>
          <w:rFonts w:ascii="宋体" w:hAnsi="宋体" w:eastAsia="宋体" w:cs="宋体"/>
          <w:color w:val="auto"/>
          <w:kern w:val="0"/>
          <w:highlight w:val="none"/>
        </w:rPr>
        <w:t>2.2</w:t>
      </w:r>
      <w:r>
        <w:rPr>
          <w:rFonts w:hint="eastAsia" w:ascii="宋体" w:hAnsi="宋体" w:eastAsia="宋体" w:cs="宋体"/>
          <w:color w:val="auto"/>
          <w:kern w:val="0"/>
          <w:highlight w:val="none"/>
        </w:rPr>
        <w:t>开放、服务时间</w:t>
      </w:r>
    </w:p>
    <w:p>
      <w:pPr>
        <w:widowControl/>
        <w:adjustRightInd w:val="0"/>
        <w:snapToGrid w:val="0"/>
        <w:spacing w:line="420" w:lineRule="exact"/>
        <w:ind w:firstLine="48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工作日：</w:t>
      </w:r>
      <w:r>
        <w:rPr>
          <w:rFonts w:ascii="宋体" w:hAnsi="宋体" w:eastAsia="宋体" w:cs="宋体"/>
          <w:color w:val="auto"/>
          <w:kern w:val="0"/>
          <w:highlight w:val="none"/>
        </w:rPr>
        <w:t>9:00--17:00</w:t>
      </w:r>
      <w:r>
        <w:rPr>
          <w:rFonts w:hint="eastAsia" w:ascii="宋体" w:hAnsi="宋体" w:eastAsia="宋体" w:cs="宋体"/>
          <w:color w:val="auto"/>
          <w:kern w:val="0"/>
          <w:highlight w:val="none"/>
        </w:rPr>
        <w:t>。管理人员需提前半小时到，做好各项准备工作。</w:t>
      </w:r>
    </w:p>
    <w:p>
      <w:pPr>
        <w:pStyle w:val="21"/>
        <w:spacing w:line="420" w:lineRule="exact"/>
        <w:ind w:left="480" w:leftChars="200" w:firstLine="0" w:firstLineChars="0"/>
        <w:rPr>
          <w:rFonts w:ascii="宋体" w:cs="宋体"/>
          <w:b/>
          <w:bCs/>
          <w:color w:val="auto"/>
          <w:sz w:val="24"/>
          <w:szCs w:val="24"/>
        </w:rPr>
      </w:pPr>
      <w:r>
        <w:rPr>
          <w:rFonts w:ascii="宋体" w:hAnsi="宋体" w:cs="宋体"/>
          <w:b/>
          <w:bCs/>
          <w:color w:val="auto"/>
          <w:sz w:val="24"/>
          <w:szCs w:val="24"/>
        </w:rPr>
        <w:t>3.</w:t>
      </w:r>
      <w:r>
        <w:rPr>
          <w:rFonts w:hint="eastAsia" w:ascii="宋体" w:hAnsi="宋体" w:cs="宋体"/>
          <w:b/>
          <w:bCs/>
          <w:color w:val="auto"/>
          <w:sz w:val="24"/>
          <w:szCs w:val="24"/>
        </w:rPr>
        <w:t>服务要求</w:t>
      </w:r>
    </w:p>
    <w:p>
      <w:pPr>
        <w:widowControl/>
        <w:adjustRightInd w:val="0"/>
        <w:snapToGrid w:val="0"/>
        <w:spacing w:line="420" w:lineRule="exact"/>
        <w:ind w:firstLine="480" w:firstLineChars="200"/>
        <w:jc w:val="left"/>
        <w:outlineLvl w:val="4"/>
        <w:rPr>
          <w:rFonts w:ascii="宋体" w:hAnsi="宋体" w:eastAsia="宋体" w:cs="宋体"/>
          <w:color w:val="auto"/>
          <w:kern w:val="0"/>
          <w:highlight w:val="green"/>
        </w:rPr>
      </w:pPr>
      <w:bookmarkStart w:id="27" w:name="_Hlk72627791"/>
      <w:r>
        <w:rPr>
          <w:rFonts w:ascii="宋体" w:hAnsi="宋体" w:eastAsia="宋体" w:cs="宋体"/>
          <w:color w:val="auto"/>
          <w:kern w:val="0"/>
        </w:rPr>
        <w:t>3.1</w:t>
      </w:r>
      <w:r>
        <w:rPr>
          <w:rFonts w:hint="eastAsia" w:ascii="宋体" w:hAnsi="宋体" w:eastAsia="宋体" w:cs="宋体"/>
          <w:b/>
          <w:bCs/>
          <w:color w:val="auto"/>
          <w:kern w:val="0"/>
          <w:sz w:val="24"/>
          <w:szCs w:val="24"/>
          <w:lang w:val="en-US" w:eastAsia="zh-CN" w:bidi="ar-SA"/>
        </w:rPr>
        <w:t>日间照料</w:t>
      </w:r>
    </w:p>
    <w:p>
      <w:pPr>
        <w:widowControl/>
        <w:adjustRightInd w:val="0"/>
        <w:snapToGrid w:val="0"/>
        <w:spacing w:line="420" w:lineRule="exact"/>
        <w:ind w:firstLine="480" w:firstLineChars="200"/>
        <w:jc w:val="left"/>
        <w:rPr>
          <w:rFonts w:hint="eastAsia" w:ascii="宋体" w:hAnsi="宋体" w:eastAsia="宋体" w:cs="宋体"/>
          <w:color w:val="auto"/>
          <w:kern w:val="0"/>
        </w:rPr>
      </w:pPr>
      <w:r>
        <w:rPr>
          <w:rFonts w:hint="eastAsia" w:ascii="宋体" w:hAnsi="宋体" w:eastAsia="宋体" w:cs="宋体"/>
          <w:color w:val="auto"/>
          <w:kern w:val="0"/>
        </w:rPr>
        <w:t>街道“残疾人之家”日间照料残疾人，与残疾人监护人签订入托协议书，并为入托残疾人课程式排班，在规定时间段开展各类课程和活动。</w:t>
      </w:r>
    </w:p>
    <w:p>
      <w:pPr>
        <w:widowControl/>
        <w:adjustRightInd w:val="0"/>
        <w:snapToGrid w:val="0"/>
        <w:spacing w:line="420" w:lineRule="exact"/>
        <w:ind w:firstLine="480" w:firstLineChars="200"/>
        <w:jc w:val="left"/>
        <w:outlineLvl w:val="4"/>
        <w:rPr>
          <w:rFonts w:ascii="宋体" w:hAnsi="宋体" w:eastAsia="宋体" w:cs="宋体"/>
          <w:color w:val="auto"/>
          <w:kern w:val="0"/>
        </w:rPr>
      </w:pPr>
      <w:r>
        <w:rPr>
          <w:rFonts w:ascii="宋体" w:hAnsi="宋体" w:eastAsia="宋体" w:cs="宋体"/>
          <w:color w:val="auto"/>
          <w:kern w:val="0"/>
        </w:rPr>
        <w:t>3.2</w:t>
      </w:r>
      <w:r>
        <w:rPr>
          <w:rFonts w:hint="eastAsia" w:ascii="宋体" w:hAnsi="宋体" w:eastAsia="宋体" w:cs="宋体"/>
          <w:b/>
          <w:bCs/>
          <w:color w:val="auto"/>
          <w:kern w:val="0"/>
          <w:sz w:val="24"/>
          <w:szCs w:val="24"/>
          <w:lang w:val="en-US" w:eastAsia="zh-CN" w:bidi="ar-SA"/>
        </w:rPr>
        <w:t>辅助性就业</w:t>
      </w:r>
    </w:p>
    <w:p>
      <w:pPr>
        <w:widowControl/>
        <w:adjustRightInd w:val="0"/>
        <w:snapToGrid w:val="0"/>
        <w:spacing w:line="420" w:lineRule="exact"/>
        <w:ind w:firstLine="48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街道“残疾人之家”从事辅助性劳动应选择安全性能高、职业危害低、操作简单等适合残疾人的劳动项目。对参加辅助性劳动的残疾人，应发放与劳动成果相对应的报酬。开展辅助性就业，不得在劳动数量、时间上有强制性要求。</w:t>
      </w:r>
    </w:p>
    <w:p>
      <w:pPr>
        <w:widowControl/>
        <w:adjustRightInd w:val="0"/>
        <w:snapToGrid w:val="0"/>
        <w:spacing w:line="420" w:lineRule="exact"/>
        <w:ind w:firstLine="480" w:firstLineChars="200"/>
        <w:jc w:val="left"/>
        <w:outlineLvl w:val="4"/>
        <w:rPr>
          <w:rFonts w:ascii="宋体" w:hAnsi="宋体" w:eastAsia="宋体" w:cs="宋体"/>
          <w:color w:val="auto"/>
          <w:kern w:val="0"/>
        </w:rPr>
      </w:pPr>
      <w:r>
        <w:rPr>
          <w:rFonts w:ascii="宋体" w:hAnsi="宋体" w:eastAsia="宋体" w:cs="宋体"/>
          <w:color w:val="auto"/>
          <w:kern w:val="0"/>
        </w:rPr>
        <w:t>3.3</w:t>
      </w:r>
      <w:r>
        <w:rPr>
          <w:rFonts w:hint="eastAsia" w:ascii="宋体" w:hAnsi="宋体" w:eastAsia="宋体" w:cs="宋体"/>
          <w:color w:val="auto"/>
          <w:kern w:val="0"/>
        </w:rPr>
        <w:t>康复服务</w:t>
      </w:r>
    </w:p>
    <w:p>
      <w:pPr>
        <w:widowControl/>
        <w:adjustRightInd w:val="0"/>
        <w:snapToGrid w:val="0"/>
        <w:spacing w:line="420" w:lineRule="exact"/>
        <w:ind w:firstLine="480" w:firstLineChars="200"/>
        <w:jc w:val="left"/>
        <w:rPr>
          <w:rFonts w:ascii="宋体" w:hAnsi="宋体" w:eastAsia="宋体" w:cs="宋体"/>
          <w:color w:val="auto"/>
          <w:kern w:val="0"/>
        </w:rPr>
      </w:pPr>
      <w:r>
        <w:rPr>
          <w:rFonts w:hint="eastAsia" w:ascii="宋体" w:hAnsi="宋体" w:eastAsia="宋体" w:cs="宋体"/>
          <w:color w:val="auto"/>
          <w:kern w:val="0"/>
        </w:rPr>
        <w:t>“残疾人之家”应利用各类康复资源，配备必要的康复器材和辅助器具，为入托的残疾人聘请专业医师为他们开展康复训练与服务。</w:t>
      </w:r>
    </w:p>
    <w:p>
      <w:pPr>
        <w:widowControl/>
        <w:adjustRightInd w:val="0"/>
        <w:snapToGrid w:val="0"/>
        <w:spacing w:line="420" w:lineRule="exact"/>
        <w:ind w:firstLine="480" w:firstLineChars="200"/>
        <w:jc w:val="left"/>
        <w:outlineLvl w:val="4"/>
        <w:rPr>
          <w:rFonts w:ascii="宋体" w:hAnsi="宋体" w:eastAsia="宋体" w:cs="宋体"/>
          <w:color w:val="auto"/>
          <w:kern w:val="0"/>
        </w:rPr>
      </w:pPr>
      <w:r>
        <w:rPr>
          <w:rFonts w:ascii="宋体" w:hAnsi="宋体" w:eastAsia="宋体" w:cs="宋体"/>
          <w:color w:val="auto"/>
          <w:kern w:val="0"/>
        </w:rPr>
        <w:t>3.4</w:t>
      </w:r>
      <w:r>
        <w:rPr>
          <w:rFonts w:hint="eastAsia" w:ascii="宋体" w:hAnsi="宋体" w:eastAsia="宋体" w:cs="宋体"/>
          <w:color w:val="auto"/>
          <w:kern w:val="0"/>
        </w:rPr>
        <w:t>文体活动</w:t>
      </w:r>
    </w:p>
    <w:p>
      <w:pPr>
        <w:widowControl/>
        <w:adjustRightInd w:val="0"/>
        <w:snapToGrid w:val="0"/>
        <w:spacing w:line="420" w:lineRule="exact"/>
        <w:ind w:firstLine="480" w:firstLineChars="200"/>
        <w:jc w:val="left"/>
        <w:rPr>
          <w:rFonts w:hint="eastAsia" w:ascii="宋体" w:hAnsi="宋体" w:eastAsia="宋体" w:cs="宋体"/>
          <w:color w:val="auto"/>
          <w:kern w:val="0"/>
        </w:rPr>
      </w:pPr>
      <w:r>
        <w:rPr>
          <w:rFonts w:hint="eastAsia" w:ascii="宋体" w:hAnsi="宋体" w:eastAsia="宋体" w:cs="宋体"/>
          <w:color w:val="auto"/>
          <w:kern w:val="0"/>
        </w:rPr>
        <w:t>“残疾人之家”利用相应的活动器材、用品等，满足残疾人精神文化生活及体育健身需求。可结合残联的各大活动以及残疾人各大主题日开展适合残疾人的文化、体育、艺术活动。</w:t>
      </w:r>
    </w:p>
    <w:p>
      <w:pPr>
        <w:widowControl/>
        <w:adjustRightInd w:val="0"/>
        <w:snapToGrid w:val="0"/>
        <w:spacing w:line="420" w:lineRule="exact"/>
        <w:ind w:firstLine="480" w:firstLineChars="200"/>
        <w:jc w:val="left"/>
        <w:outlineLvl w:val="4"/>
        <w:rPr>
          <w:rFonts w:ascii="宋体" w:hAnsi="宋体" w:eastAsia="宋体" w:cs="宋体"/>
          <w:color w:val="auto"/>
          <w:kern w:val="0"/>
        </w:rPr>
      </w:pPr>
      <w:r>
        <w:rPr>
          <w:rFonts w:ascii="宋体" w:hAnsi="宋体" w:eastAsia="宋体" w:cs="宋体"/>
          <w:color w:val="auto"/>
          <w:kern w:val="0"/>
        </w:rPr>
        <w:t>3.5</w:t>
      </w:r>
      <w:r>
        <w:rPr>
          <w:rFonts w:hint="eastAsia" w:ascii="宋体" w:hAnsi="宋体" w:eastAsia="宋体" w:cs="宋体"/>
          <w:color w:val="auto"/>
          <w:kern w:val="0"/>
        </w:rPr>
        <w:t>学习培训</w:t>
      </w:r>
    </w:p>
    <w:p>
      <w:pPr>
        <w:widowControl/>
        <w:adjustRightInd w:val="0"/>
        <w:snapToGrid w:val="0"/>
        <w:spacing w:line="420" w:lineRule="exact"/>
        <w:ind w:firstLine="48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“残疾人之家”应开展残疾人学习教育活动，让残疾人了解国家法律法规、政策。根据残疾人特点，针对就业年龄段有就业能力残疾人开展就业技能培训。针对无就业能力的残疾人开展生活指导等方面的培训。</w:t>
      </w:r>
    </w:p>
    <w:p>
      <w:pPr>
        <w:widowControl/>
        <w:adjustRightInd w:val="0"/>
        <w:snapToGrid w:val="0"/>
        <w:spacing w:line="420" w:lineRule="exact"/>
        <w:ind w:firstLine="480" w:firstLineChars="200"/>
        <w:jc w:val="left"/>
        <w:outlineLvl w:val="4"/>
        <w:rPr>
          <w:rFonts w:ascii="宋体" w:hAnsi="宋体" w:eastAsia="宋体" w:cs="宋体"/>
          <w:color w:val="auto"/>
          <w:kern w:val="0"/>
        </w:rPr>
      </w:pPr>
      <w:r>
        <w:rPr>
          <w:rFonts w:ascii="宋体" w:hAnsi="宋体" w:eastAsia="宋体" w:cs="宋体"/>
          <w:color w:val="auto"/>
          <w:kern w:val="0"/>
        </w:rPr>
        <w:t>3.6</w:t>
      </w:r>
      <w:r>
        <w:rPr>
          <w:rFonts w:hint="eastAsia" w:ascii="宋体" w:hAnsi="宋体" w:eastAsia="宋体" w:cs="宋体"/>
          <w:color w:val="auto"/>
          <w:kern w:val="0"/>
        </w:rPr>
        <w:t>志愿者服务</w:t>
      </w:r>
    </w:p>
    <w:p>
      <w:pPr>
        <w:widowControl/>
        <w:adjustRightInd w:val="0"/>
        <w:snapToGrid w:val="0"/>
        <w:spacing w:line="420" w:lineRule="exact"/>
        <w:ind w:firstLine="48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“残疾人之家”应与共青团、红十字会以及各类社会组织加强合作，经常开展志愿助残服务。</w:t>
      </w:r>
    </w:p>
    <w:p>
      <w:pPr>
        <w:widowControl/>
        <w:adjustRightInd w:val="0"/>
        <w:snapToGrid w:val="0"/>
        <w:spacing w:line="420" w:lineRule="exact"/>
        <w:ind w:firstLine="480" w:firstLineChars="200"/>
        <w:jc w:val="left"/>
        <w:outlineLvl w:val="4"/>
        <w:rPr>
          <w:rFonts w:ascii="宋体" w:hAnsi="宋体" w:eastAsia="宋体" w:cs="宋体"/>
          <w:color w:val="auto"/>
          <w:kern w:val="0"/>
        </w:rPr>
      </w:pPr>
      <w:r>
        <w:rPr>
          <w:rFonts w:ascii="宋体" w:hAnsi="宋体" w:eastAsia="宋体" w:cs="宋体"/>
          <w:color w:val="auto"/>
          <w:kern w:val="0"/>
        </w:rPr>
        <w:t>3.7</w:t>
      </w:r>
      <w:r>
        <w:rPr>
          <w:rFonts w:hint="eastAsia" w:ascii="宋体" w:hAnsi="宋体" w:eastAsia="宋体" w:cs="宋体"/>
          <w:color w:val="auto"/>
          <w:kern w:val="0"/>
        </w:rPr>
        <w:t>其他</w:t>
      </w:r>
    </w:p>
    <w:p>
      <w:pPr>
        <w:widowControl/>
        <w:adjustRightInd w:val="0"/>
        <w:snapToGrid w:val="0"/>
        <w:spacing w:line="420" w:lineRule="exact"/>
        <w:ind w:firstLine="480" w:firstLineChars="200"/>
        <w:jc w:val="left"/>
        <w:rPr>
          <w:rFonts w:ascii="宋体" w:hAnsi="宋体" w:eastAsia="宋体" w:cs="宋体"/>
          <w:color w:val="auto"/>
          <w:kern w:val="0"/>
        </w:rPr>
      </w:pPr>
      <w:r>
        <w:rPr>
          <w:rFonts w:hint="eastAsia" w:ascii="宋体" w:hAnsi="宋体" w:eastAsia="宋体" w:cs="宋体"/>
          <w:color w:val="auto"/>
          <w:kern w:val="0"/>
        </w:rPr>
        <w:t>可根据实际情况，开展其他公益性、综合性等服务项目，满足当地残疾人的需求。</w:t>
      </w:r>
    </w:p>
    <w:bookmarkEnd w:id="27"/>
    <w:p>
      <w:pPr>
        <w:pStyle w:val="21"/>
        <w:spacing w:line="420" w:lineRule="exact"/>
        <w:ind w:left="31680" w:firstLine="31680"/>
        <w:rPr>
          <w:rFonts w:ascii="宋体" w:cs="宋体"/>
          <w:color w:val="auto"/>
          <w:sz w:val="24"/>
          <w:szCs w:val="24"/>
        </w:rPr>
      </w:pPr>
      <w:r>
        <w:rPr>
          <w:rFonts w:ascii="宋体" w:hAnsi="宋体" w:cs="宋体"/>
          <w:color w:val="auto"/>
          <w:sz w:val="24"/>
          <w:szCs w:val="24"/>
        </w:rPr>
        <w:t>4.</w:t>
      </w:r>
      <w:r>
        <w:rPr>
          <w:rFonts w:hint="eastAsia" w:ascii="宋体" w:hAnsi="宋体" w:cs="宋体"/>
          <w:color w:val="auto"/>
          <w:sz w:val="24"/>
          <w:szCs w:val="24"/>
        </w:rPr>
        <w:t>办公场所及设备扶持</w:t>
      </w:r>
    </w:p>
    <w:p>
      <w:pPr>
        <w:pStyle w:val="21"/>
        <w:spacing w:line="420" w:lineRule="exact"/>
        <w:ind w:left="31680" w:firstLine="31680"/>
        <w:rPr>
          <w:rFonts w:asci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）采购人提供工作所需的场所、办公设备、服务设备以交付清单为准。</w:t>
      </w:r>
    </w:p>
    <w:p>
      <w:pPr>
        <w:pStyle w:val="21"/>
        <w:spacing w:line="420" w:lineRule="exact"/>
        <w:ind w:left="31680" w:firstLine="31680"/>
        <w:rPr>
          <w:rFonts w:asci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服务供应商在开展运营活动期间不得擅自对房屋结构进行破坏，同时应妥善保管和使用采购方提供的设施设备，采购服务期满后，供应商必须保质、保量地退还采购人。供应商运营期间，因保管、使用不当造成采购方设施设备损坏或报废的，应负责维修或进行必要补偿。</w:t>
      </w:r>
    </w:p>
    <w:p>
      <w:pPr>
        <w:pStyle w:val="21"/>
        <w:spacing w:line="420" w:lineRule="exact"/>
        <w:ind w:left="31680" w:firstLine="31680"/>
        <w:rPr>
          <w:rFonts w:ascii="宋体" w:cs="宋体"/>
          <w:color w:val="auto"/>
          <w:sz w:val="24"/>
          <w:szCs w:val="22"/>
          <w:highlight w:val="none"/>
        </w:rPr>
      </w:pPr>
      <w:r>
        <w:rPr>
          <w:rFonts w:hint="eastAsia" w:ascii="宋体" w:hAnsi="宋体" w:cs="宋体"/>
          <w:color w:val="auto"/>
          <w:sz w:val="24"/>
          <w:szCs w:val="22"/>
          <w:highlight w:val="none"/>
        </w:rPr>
        <w:t>（</w:t>
      </w:r>
      <w:r>
        <w:rPr>
          <w:rFonts w:ascii="宋体" w:hAnsi="宋体" w:cs="宋体"/>
          <w:color w:val="auto"/>
          <w:sz w:val="24"/>
          <w:szCs w:val="22"/>
          <w:highlight w:val="none"/>
        </w:rPr>
        <w:t>3</w:t>
      </w:r>
      <w:r>
        <w:rPr>
          <w:rFonts w:hint="eastAsia" w:ascii="宋体" w:hAnsi="宋体" w:cs="宋体"/>
          <w:color w:val="auto"/>
          <w:sz w:val="24"/>
          <w:szCs w:val="22"/>
          <w:highlight w:val="none"/>
        </w:rPr>
        <w:t>）供应商可根据自身运营活动需要适当添置设施设备，费用包含在投标成本中。所添置物品的所有权归供应商所有。</w:t>
      </w:r>
    </w:p>
    <w:p>
      <w:pPr>
        <w:pStyle w:val="21"/>
        <w:spacing w:line="420" w:lineRule="exact"/>
        <w:ind w:left="31680" w:firstLine="31680"/>
        <w:rPr>
          <w:rFonts w:ascii="宋体" w:cs="宋体"/>
          <w:b/>
          <w:bCs/>
          <w:color w:val="auto"/>
          <w:sz w:val="24"/>
          <w:szCs w:val="24"/>
          <w:highlight w:val="none"/>
        </w:rPr>
      </w:pPr>
      <w:r>
        <w:rPr>
          <w:rFonts w:ascii="宋体" w:hAnsi="宋体" w:cs="宋体"/>
          <w:b/>
          <w:bCs/>
          <w:color w:val="auto"/>
          <w:sz w:val="24"/>
          <w:szCs w:val="24"/>
          <w:highlight w:val="none"/>
        </w:rPr>
        <w:t>5.</w:t>
      </w:r>
      <w:r>
        <w:rPr>
          <w:rFonts w:hint="eastAsia" w:ascii="宋体" w:hAnsi="宋体" w:cs="宋体"/>
          <w:b/>
          <w:color w:val="auto"/>
          <w:sz w:val="24"/>
          <w:szCs w:val="24"/>
          <w:highlight w:val="none"/>
        </w:rPr>
        <w:t>残疾人之家运营管理期</w:t>
      </w:r>
    </w:p>
    <w:p>
      <w:pPr>
        <w:pStyle w:val="21"/>
        <w:spacing w:line="420" w:lineRule="exact"/>
        <w:ind w:left="31680" w:firstLine="31680"/>
        <w:rPr>
          <w:rFonts w:ascii="宋体" w:cs="宋体"/>
          <w:color w:val="auto"/>
          <w:sz w:val="24"/>
          <w:szCs w:val="24"/>
          <w:highlight w:val="none"/>
        </w:rPr>
      </w:pPr>
      <w:r>
        <w:rPr>
          <w:rFonts w:hint="eastAsia" w:ascii="宋体" w:hAnsi="宋体" w:cs="宋体"/>
          <w:color w:val="auto"/>
          <w:sz w:val="24"/>
          <w:szCs w:val="24"/>
          <w:highlight w:val="none"/>
        </w:rPr>
        <w:t>残疾人之家运营管理期为：叁年，自合同签订之日起生效，</w:t>
      </w:r>
      <w:r>
        <w:rPr>
          <w:rFonts w:hint="eastAsia" w:ascii="宋体" w:hAnsi="宋体" w:eastAsia="宋体" w:cs="宋体"/>
          <w:color w:val="auto"/>
          <w:kern w:val="0"/>
          <w:sz w:val="24"/>
          <w:szCs w:val="24"/>
          <w:highlight w:val="none"/>
          <w:lang w:val="en-US" w:eastAsia="zh-CN"/>
        </w:rPr>
        <w:t>以当年考核结果签署次年的合同</w:t>
      </w:r>
      <w:r>
        <w:rPr>
          <w:rFonts w:hint="eastAsia" w:ascii="宋体" w:hAnsi="宋体" w:cs="宋体"/>
          <w:color w:val="auto"/>
          <w:sz w:val="24"/>
          <w:szCs w:val="24"/>
          <w:highlight w:val="none"/>
        </w:rPr>
        <w:t>。整体服务期满，采购人可根据对服务机构的日常及年终考核决定是否续签合同。</w:t>
      </w:r>
    </w:p>
    <w:p>
      <w:pPr>
        <w:pStyle w:val="21"/>
        <w:spacing w:line="420" w:lineRule="exact"/>
        <w:ind w:left="31680" w:firstLine="31680"/>
        <w:rPr>
          <w:rFonts w:ascii="宋体" w:cs="宋体"/>
          <w:b/>
          <w:bCs/>
          <w:color w:val="auto"/>
          <w:sz w:val="24"/>
          <w:szCs w:val="24"/>
          <w:highlight w:val="none"/>
        </w:rPr>
      </w:pPr>
      <w:r>
        <w:rPr>
          <w:rFonts w:ascii="宋体" w:hAnsi="宋体" w:cs="宋体"/>
          <w:b/>
          <w:bCs/>
          <w:color w:val="auto"/>
          <w:sz w:val="24"/>
          <w:szCs w:val="24"/>
          <w:highlight w:val="none"/>
        </w:rPr>
        <w:t>6.</w:t>
      </w:r>
      <w:r>
        <w:rPr>
          <w:rFonts w:hint="eastAsia" w:ascii="宋体" w:hAnsi="宋体" w:cs="宋体"/>
          <w:b/>
          <w:color w:val="auto"/>
          <w:sz w:val="24"/>
          <w:szCs w:val="24"/>
          <w:highlight w:val="none"/>
        </w:rPr>
        <w:t>运营管理经费及服务费</w:t>
      </w:r>
    </w:p>
    <w:p>
      <w:pPr>
        <w:pStyle w:val="21"/>
        <w:spacing w:line="420" w:lineRule="exact"/>
        <w:ind w:left="31680" w:firstLine="31680"/>
        <w:rPr>
          <w:rFonts w:ascii="宋体" w:cs="宋体"/>
          <w:color w:val="auto"/>
          <w:sz w:val="24"/>
          <w:szCs w:val="24"/>
          <w:highlight w:val="none"/>
        </w:rPr>
      </w:pPr>
      <w:r>
        <w:rPr>
          <w:rFonts w:hint="eastAsia" w:ascii="宋体" w:hAnsi="宋体" w:cs="宋体"/>
          <w:color w:val="auto"/>
          <w:kern w:val="2"/>
          <w:sz w:val="24"/>
          <w:szCs w:val="24"/>
          <w:highlight w:val="none"/>
          <w:lang w:val="en-US" w:eastAsia="zh-CN" w:bidi="ar-SA"/>
        </w:rPr>
        <w:t>详见第二章第十三条“结算方式”</w:t>
      </w:r>
      <w:r>
        <w:rPr>
          <w:rFonts w:hint="eastAsia" w:ascii="宋体" w:hAnsi="宋体" w:cs="宋体"/>
          <w:color w:val="auto"/>
          <w:sz w:val="24"/>
          <w:szCs w:val="24"/>
          <w:highlight w:val="none"/>
        </w:rPr>
        <w:t>。</w:t>
      </w:r>
    </w:p>
    <w:p>
      <w:pPr>
        <w:pStyle w:val="21"/>
        <w:spacing w:line="420" w:lineRule="exact"/>
        <w:ind w:left="31680" w:firstLine="31680"/>
        <w:rPr>
          <w:rFonts w:ascii="宋体" w:cs="宋体"/>
          <w:b/>
          <w:bCs/>
          <w:color w:val="auto"/>
          <w:sz w:val="24"/>
          <w:szCs w:val="24"/>
        </w:rPr>
      </w:pPr>
      <w:r>
        <w:rPr>
          <w:rFonts w:ascii="宋体" w:hAnsi="宋体" w:cs="宋体"/>
          <w:b/>
          <w:bCs/>
          <w:color w:val="auto"/>
          <w:sz w:val="24"/>
          <w:szCs w:val="24"/>
        </w:rPr>
        <w:t>7.</w:t>
      </w:r>
      <w:r>
        <w:rPr>
          <w:rFonts w:hint="eastAsia" w:ascii="宋体" w:hAnsi="宋体" w:cs="宋体"/>
          <w:b/>
          <w:bCs/>
          <w:color w:val="auto"/>
          <w:sz w:val="24"/>
          <w:szCs w:val="24"/>
        </w:rPr>
        <w:t>考核与退出机制</w:t>
      </w:r>
    </w:p>
    <w:p>
      <w:pPr>
        <w:widowControl/>
        <w:adjustRightInd w:val="0"/>
        <w:snapToGrid w:val="0"/>
        <w:spacing w:line="440" w:lineRule="exact"/>
        <w:ind w:firstLine="480" w:firstLineChars="200"/>
        <w:jc w:val="left"/>
        <w:rPr>
          <w:rFonts w:ascii="宋体" w:hAnsi="宋体" w:eastAsia="宋体" w:cs="宋体"/>
          <w:color w:val="auto"/>
        </w:rPr>
      </w:pPr>
      <w:r>
        <w:rPr>
          <w:rFonts w:hint="eastAsia" w:ascii="宋体" w:hAnsi="宋体" w:eastAsia="宋体" w:cs="宋体"/>
          <w:color w:val="auto"/>
        </w:rPr>
        <w:t>供应商必须按照采购人要求建立完整详细的工作台账。</w:t>
      </w:r>
    </w:p>
    <w:p>
      <w:pPr>
        <w:widowControl/>
        <w:adjustRightInd w:val="0"/>
        <w:snapToGrid w:val="0"/>
        <w:spacing w:line="440" w:lineRule="exact"/>
        <w:ind w:firstLine="480" w:firstLineChars="200"/>
        <w:jc w:val="left"/>
        <w:outlineLvl w:val="4"/>
        <w:rPr>
          <w:rFonts w:ascii="宋体" w:hAnsi="宋体" w:eastAsia="宋体" w:cs="宋体"/>
          <w:color w:val="auto"/>
          <w:kern w:val="0"/>
        </w:rPr>
      </w:pPr>
      <w:r>
        <w:rPr>
          <w:rFonts w:hint="eastAsia" w:ascii="宋体" w:hAnsi="宋体" w:eastAsia="宋体" w:cs="宋体"/>
          <w:color w:val="auto"/>
          <w:kern w:val="0"/>
        </w:rPr>
        <w:t>退出机制：</w:t>
      </w:r>
    </w:p>
    <w:p>
      <w:pPr>
        <w:widowControl/>
        <w:adjustRightInd w:val="0"/>
        <w:snapToGrid w:val="0"/>
        <w:spacing w:line="440" w:lineRule="exact"/>
        <w:ind w:firstLine="480" w:firstLineChars="200"/>
        <w:jc w:val="left"/>
        <w:outlineLvl w:val="4"/>
        <w:rPr>
          <w:rFonts w:ascii="宋体" w:hAnsi="宋体" w:eastAsia="宋体" w:cs="宋体"/>
          <w:color w:val="auto"/>
          <w:kern w:val="0"/>
        </w:rPr>
      </w:pPr>
      <w:r>
        <w:rPr>
          <w:rFonts w:hint="eastAsia" w:ascii="宋体" w:hAnsi="宋体" w:eastAsia="宋体" w:cs="宋体"/>
          <w:color w:val="auto"/>
          <w:kern w:val="0"/>
        </w:rPr>
        <w:t>（</w:t>
      </w:r>
      <w:r>
        <w:rPr>
          <w:rFonts w:ascii="宋体" w:hAnsi="宋体" w:eastAsia="宋体" w:cs="宋体"/>
          <w:color w:val="auto"/>
          <w:kern w:val="0"/>
        </w:rPr>
        <w:t>1</w:t>
      </w:r>
      <w:r>
        <w:rPr>
          <w:rFonts w:hint="eastAsia" w:ascii="宋体" w:hAnsi="宋体" w:eastAsia="宋体" w:cs="宋体"/>
          <w:color w:val="auto"/>
          <w:kern w:val="0"/>
        </w:rPr>
        <w:t>）若服务供应商在</w:t>
      </w:r>
      <w:r>
        <w:rPr>
          <w:rFonts w:hint="eastAsia" w:ascii="宋体" w:hAnsi="宋体" w:eastAsia="宋体" w:cs="宋体"/>
          <w:color w:val="auto"/>
          <w:kern w:val="0"/>
          <w:lang w:eastAsia="zh-CN"/>
        </w:rPr>
        <w:t>每</w:t>
      </w:r>
      <w:r>
        <w:rPr>
          <w:rFonts w:hint="eastAsia" w:ascii="宋体" w:hAnsi="宋体" w:eastAsia="宋体" w:cs="宋体"/>
          <w:color w:val="auto"/>
          <w:kern w:val="0"/>
        </w:rPr>
        <w:t>季度“残疾人之家”运行测评百分考核中总分低于</w:t>
      </w:r>
      <w:r>
        <w:rPr>
          <w:rFonts w:ascii="宋体" w:hAnsi="宋体" w:eastAsia="宋体" w:cs="宋体"/>
          <w:color w:val="auto"/>
          <w:kern w:val="0"/>
        </w:rPr>
        <w:t>70</w:t>
      </w:r>
      <w:r>
        <w:rPr>
          <w:rFonts w:hint="eastAsia" w:ascii="宋体" w:hAnsi="宋体" w:eastAsia="宋体" w:cs="宋体"/>
          <w:color w:val="auto"/>
          <w:kern w:val="0"/>
        </w:rPr>
        <w:t>分（不含</w:t>
      </w:r>
      <w:r>
        <w:rPr>
          <w:rFonts w:ascii="宋体" w:hAnsi="宋体" w:eastAsia="宋体" w:cs="宋体"/>
          <w:color w:val="auto"/>
          <w:kern w:val="0"/>
        </w:rPr>
        <w:t>70</w:t>
      </w:r>
      <w:r>
        <w:rPr>
          <w:rFonts w:hint="eastAsia" w:ascii="宋体" w:hAnsi="宋体" w:eastAsia="宋体" w:cs="宋体"/>
          <w:color w:val="auto"/>
          <w:kern w:val="0"/>
        </w:rPr>
        <w:t>分），采购人有权责令服务供应商进行整改，同时扣除当季的</w:t>
      </w:r>
      <w:r>
        <w:rPr>
          <w:rFonts w:hint="eastAsia" w:ascii="宋体" w:hAnsi="宋体" w:eastAsia="宋体" w:cs="宋体"/>
          <w:color w:val="auto"/>
          <w:kern w:val="0"/>
          <w:sz w:val="24"/>
          <w:szCs w:val="24"/>
          <w:lang w:val="en-US" w:eastAsia="zh-CN" w:bidi="ar-SA"/>
        </w:rPr>
        <w:t>运营管理费用</w:t>
      </w:r>
      <w:r>
        <w:rPr>
          <w:rFonts w:hint="eastAsia" w:ascii="宋体" w:hAnsi="宋体" w:eastAsia="宋体" w:cs="宋体"/>
          <w:color w:val="auto"/>
          <w:kern w:val="0"/>
        </w:rPr>
        <w:t>。下季度还是低于</w:t>
      </w:r>
      <w:r>
        <w:rPr>
          <w:rFonts w:ascii="宋体" w:hAnsi="宋体" w:eastAsia="宋体" w:cs="宋体"/>
          <w:color w:val="auto"/>
          <w:kern w:val="0"/>
        </w:rPr>
        <w:t>70</w:t>
      </w:r>
      <w:r>
        <w:rPr>
          <w:rFonts w:hint="eastAsia" w:ascii="宋体" w:hAnsi="宋体" w:eastAsia="宋体" w:cs="宋体"/>
          <w:color w:val="auto"/>
          <w:kern w:val="0"/>
        </w:rPr>
        <w:t>分的（不含</w:t>
      </w:r>
      <w:r>
        <w:rPr>
          <w:rFonts w:ascii="宋体" w:hAnsi="宋体" w:eastAsia="宋体" w:cs="宋体"/>
          <w:color w:val="auto"/>
          <w:kern w:val="0"/>
        </w:rPr>
        <w:t>70</w:t>
      </w:r>
      <w:r>
        <w:rPr>
          <w:rFonts w:hint="eastAsia" w:ascii="宋体" w:hAnsi="宋体" w:eastAsia="宋体" w:cs="宋体"/>
          <w:color w:val="auto"/>
          <w:kern w:val="0"/>
        </w:rPr>
        <w:t>分），采购人有权终止残疾人之家合约，并没收履约保证金。</w:t>
      </w:r>
    </w:p>
    <w:p>
      <w:pPr>
        <w:widowControl/>
        <w:adjustRightInd w:val="0"/>
        <w:snapToGrid w:val="0"/>
        <w:spacing w:line="440" w:lineRule="exact"/>
        <w:ind w:firstLine="480" w:firstLineChars="200"/>
        <w:jc w:val="left"/>
        <w:outlineLvl w:val="4"/>
        <w:rPr>
          <w:rFonts w:eastAsia="宋体" w:cs="宋体"/>
          <w:color w:val="auto"/>
          <w:highlight w:val="yellow"/>
        </w:rPr>
      </w:pPr>
      <w:r>
        <w:rPr>
          <w:rFonts w:hint="eastAsia" w:ascii="宋体" w:hAnsi="宋体" w:eastAsia="宋体" w:cs="宋体"/>
          <w:color w:val="auto"/>
          <w:kern w:val="0"/>
        </w:rPr>
        <w:t>（</w:t>
      </w:r>
      <w:r>
        <w:rPr>
          <w:rFonts w:ascii="宋体" w:hAnsi="宋体" w:eastAsia="宋体" w:cs="宋体"/>
          <w:color w:val="auto"/>
          <w:kern w:val="0"/>
        </w:rPr>
        <w:t>2</w:t>
      </w:r>
      <w:r>
        <w:rPr>
          <w:rFonts w:hint="eastAsia" w:ascii="宋体" w:hAnsi="宋体" w:eastAsia="宋体" w:cs="宋体"/>
          <w:color w:val="auto"/>
          <w:kern w:val="0"/>
        </w:rPr>
        <w:t>）采购人将在每季度对服务供应商提供的“残疾人之家”运营管理进行评分，若服务供应商在</w:t>
      </w:r>
      <w:r>
        <w:rPr>
          <w:rFonts w:ascii="宋体" w:hAnsi="宋体" w:eastAsia="宋体" w:cs="宋体"/>
          <w:color w:val="auto"/>
          <w:kern w:val="0"/>
        </w:rPr>
        <w:t>1</w:t>
      </w:r>
      <w:r>
        <w:rPr>
          <w:rFonts w:hint="eastAsia" w:ascii="宋体" w:hAnsi="宋体" w:eastAsia="宋体" w:cs="宋体"/>
          <w:color w:val="auto"/>
          <w:kern w:val="0"/>
        </w:rPr>
        <w:t>个服务年度内，任意一项累计</w:t>
      </w:r>
      <w:r>
        <w:rPr>
          <w:rFonts w:ascii="宋体" w:hAnsi="宋体" w:eastAsia="宋体" w:cs="宋体"/>
          <w:color w:val="auto"/>
          <w:kern w:val="0"/>
        </w:rPr>
        <w:t>2</w:t>
      </w:r>
      <w:r>
        <w:rPr>
          <w:rFonts w:hint="eastAsia" w:ascii="宋体" w:hAnsi="宋体" w:eastAsia="宋体" w:cs="宋体"/>
          <w:color w:val="auto"/>
          <w:kern w:val="0"/>
        </w:rPr>
        <w:t>次季度考核为“一般”的，采购人有权责令限期整改。如在规定的期限内未能整改到位，服务供应商须在采购人规定期限内无条件退出残疾人之家运营管理服务项目。</w:t>
      </w:r>
    </w:p>
    <w:p>
      <w:pPr>
        <w:pStyle w:val="21"/>
        <w:ind w:left="31680" w:firstLine="31680"/>
        <w:rPr>
          <w:rFonts w:ascii="宋体" w:cs="宋体"/>
          <w:b/>
          <w:bCs/>
          <w:color w:val="auto"/>
          <w:sz w:val="24"/>
          <w:szCs w:val="24"/>
        </w:rPr>
      </w:pPr>
      <w:r>
        <w:rPr>
          <w:rFonts w:ascii="宋体" w:hAnsi="宋体" w:cs="宋体"/>
          <w:b/>
          <w:bCs/>
          <w:color w:val="auto"/>
          <w:sz w:val="24"/>
          <w:szCs w:val="24"/>
        </w:rPr>
        <w:t>8.</w:t>
      </w:r>
      <w:r>
        <w:rPr>
          <w:rFonts w:hint="eastAsia" w:ascii="宋体" w:hAnsi="宋体" w:cs="宋体"/>
          <w:b/>
          <w:bCs/>
          <w:color w:val="auto"/>
          <w:sz w:val="24"/>
          <w:szCs w:val="24"/>
        </w:rPr>
        <w:t>残疾人之家服务运营评分表</w:t>
      </w:r>
    </w:p>
    <w:tbl>
      <w:tblPr>
        <w:tblStyle w:val="50"/>
        <w:tblW w:w="10138" w:type="dxa"/>
        <w:tblInd w:w="93" w:type="dxa"/>
        <w:tblLayout w:type="fixed"/>
        <w:tblCellMar>
          <w:top w:w="0" w:type="dxa"/>
          <w:left w:w="108" w:type="dxa"/>
          <w:bottom w:w="0" w:type="dxa"/>
          <w:right w:w="108" w:type="dxa"/>
        </w:tblCellMar>
      </w:tblPr>
      <w:tblGrid>
        <w:gridCol w:w="1153"/>
        <w:gridCol w:w="4365"/>
        <w:gridCol w:w="1095"/>
        <w:gridCol w:w="2774"/>
        <w:gridCol w:w="751"/>
      </w:tblGrid>
      <w:tr>
        <w:tblPrEx>
          <w:tblCellMar>
            <w:top w:w="0" w:type="dxa"/>
            <w:left w:w="108" w:type="dxa"/>
            <w:bottom w:w="0" w:type="dxa"/>
            <w:right w:w="108" w:type="dxa"/>
          </w:tblCellMar>
        </w:tblPrEx>
        <w:trPr>
          <w:trHeight w:val="500" w:hRule="atLeast"/>
        </w:trPr>
        <w:tc>
          <w:tcPr>
            <w:tcW w:w="10138" w:type="dxa"/>
            <w:gridSpan w:val="5"/>
            <w:tcBorders>
              <w:top w:val="nil"/>
              <w:left w:val="nil"/>
              <w:bottom w:val="single" w:color="000000" w:sz="4" w:space="0"/>
              <w:right w:val="nil"/>
            </w:tcBorders>
            <w:noWrap/>
            <w:vAlign w:val="center"/>
          </w:tcPr>
          <w:p>
            <w:pPr>
              <w:widowControl/>
              <w:jc w:val="center"/>
              <w:textAlignment w:val="center"/>
              <w:rPr>
                <w:rFonts w:ascii="宋体" w:hAnsi="宋体" w:eastAsia="宋体" w:cs="宋体"/>
                <w:color w:val="auto"/>
                <w:sz w:val="32"/>
                <w:szCs w:val="32"/>
              </w:rPr>
            </w:pPr>
            <w:r>
              <w:rPr>
                <w:rFonts w:hint="eastAsia" w:ascii="宋体" w:hAnsi="宋体" w:eastAsia="宋体" w:cs="宋体"/>
                <w:color w:val="auto"/>
                <w:kern w:val="0"/>
              </w:rPr>
              <w:t>钟秀街道第</w:t>
            </w:r>
            <w:r>
              <w:rPr>
                <w:rFonts w:ascii="宋体" w:hAnsi="宋体" w:eastAsia="宋体" w:cs="宋体"/>
                <w:color w:val="auto"/>
                <w:kern w:val="0"/>
              </w:rPr>
              <w:t>xx</w:t>
            </w:r>
            <w:r>
              <w:rPr>
                <w:rFonts w:hint="eastAsia" w:ascii="宋体" w:hAnsi="宋体" w:eastAsia="宋体" w:cs="宋体"/>
                <w:color w:val="auto"/>
                <w:kern w:val="0"/>
              </w:rPr>
              <w:t>季度第三方残疾人之家服务运营评分表</w:t>
            </w:r>
          </w:p>
        </w:tc>
      </w:tr>
      <w:tr>
        <w:tblPrEx>
          <w:tblCellMar>
            <w:top w:w="0" w:type="dxa"/>
            <w:left w:w="108" w:type="dxa"/>
            <w:bottom w:w="0" w:type="dxa"/>
            <w:right w:w="108" w:type="dxa"/>
          </w:tblCellMar>
        </w:tblPrEx>
        <w:trPr>
          <w:trHeight w:val="500" w:hRule="atLeast"/>
        </w:trPr>
        <w:tc>
          <w:tcPr>
            <w:tcW w:w="11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楷体" w:hAnsi="楷体" w:eastAsia="楷体" w:cs="楷体"/>
                <w:b/>
                <w:bCs/>
                <w:color w:val="auto"/>
                <w:sz w:val="20"/>
                <w:szCs w:val="20"/>
              </w:rPr>
            </w:pPr>
            <w:r>
              <w:rPr>
                <w:rFonts w:hint="eastAsia" w:ascii="楷体" w:hAnsi="楷体" w:eastAsia="楷体" w:cs="楷体"/>
                <w:b/>
                <w:bCs/>
                <w:color w:val="auto"/>
                <w:kern w:val="0"/>
                <w:sz w:val="20"/>
                <w:szCs w:val="20"/>
              </w:rPr>
              <w:t>项目</w:t>
            </w:r>
          </w:p>
        </w:tc>
        <w:tc>
          <w:tcPr>
            <w:tcW w:w="43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楷体" w:hAnsi="楷体" w:eastAsia="楷体" w:cs="楷体"/>
                <w:b/>
                <w:bCs/>
                <w:color w:val="auto"/>
                <w:sz w:val="20"/>
                <w:szCs w:val="20"/>
              </w:rPr>
            </w:pPr>
            <w:r>
              <w:rPr>
                <w:rFonts w:hint="eastAsia" w:ascii="楷体" w:hAnsi="楷体" w:eastAsia="楷体" w:cs="楷体"/>
                <w:b/>
                <w:bCs/>
                <w:color w:val="auto"/>
                <w:kern w:val="0"/>
                <w:sz w:val="20"/>
                <w:szCs w:val="20"/>
              </w:rPr>
              <w:t>内容</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楷体" w:hAnsi="楷体" w:eastAsia="楷体" w:cs="楷体"/>
                <w:b/>
                <w:bCs/>
                <w:color w:val="auto"/>
                <w:sz w:val="20"/>
                <w:szCs w:val="20"/>
              </w:rPr>
            </w:pPr>
            <w:r>
              <w:rPr>
                <w:rFonts w:hint="eastAsia" w:ascii="楷体" w:hAnsi="楷体" w:eastAsia="楷体" w:cs="楷体"/>
                <w:b/>
                <w:bCs/>
                <w:color w:val="auto"/>
                <w:kern w:val="0"/>
                <w:sz w:val="20"/>
                <w:szCs w:val="20"/>
              </w:rPr>
              <w:t>分值</w:t>
            </w:r>
          </w:p>
        </w:tc>
        <w:tc>
          <w:tcPr>
            <w:tcW w:w="277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楷体" w:hAnsi="楷体" w:eastAsia="楷体" w:cs="楷体"/>
                <w:b/>
                <w:bCs/>
                <w:color w:val="auto"/>
                <w:sz w:val="20"/>
                <w:szCs w:val="20"/>
              </w:rPr>
            </w:pPr>
            <w:r>
              <w:rPr>
                <w:rFonts w:hint="eastAsia" w:ascii="楷体" w:hAnsi="楷体" w:eastAsia="楷体" w:cs="楷体"/>
                <w:b/>
                <w:bCs/>
                <w:color w:val="auto"/>
                <w:kern w:val="0"/>
                <w:sz w:val="20"/>
                <w:szCs w:val="20"/>
              </w:rPr>
              <w:t>评分标准</w:t>
            </w:r>
          </w:p>
        </w:tc>
        <w:tc>
          <w:tcPr>
            <w:tcW w:w="7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楷体" w:hAnsi="楷体" w:eastAsia="楷体" w:cs="楷体"/>
                <w:b/>
                <w:bCs/>
                <w:color w:val="auto"/>
                <w:sz w:val="20"/>
                <w:szCs w:val="20"/>
              </w:rPr>
            </w:pPr>
            <w:r>
              <w:rPr>
                <w:rFonts w:hint="eastAsia" w:ascii="楷体" w:hAnsi="楷体" w:eastAsia="楷体" w:cs="楷体"/>
                <w:b/>
                <w:bCs/>
                <w:color w:val="auto"/>
                <w:kern w:val="0"/>
                <w:sz w:val="20"/>
                <w:szCs w:val="20"/>
              </w:rPr>
              <w:t>评分</w:t>
            </w:r>
          </w:p>
        </w:tc>
      </w:tr>
      <w:tr>
        <w:tblPrEx>
          <w:tblCellMar>
            <w:top w:w="0" w:type="dxa"/>
            <w:left w:w="108" w:type="dxa"/>
            <w:bottom w:w="0" w:type="dxa"/>
            <w:right w:w="108" w:type="dxa"/>
          </w:tblCellMar>
        </w:tblPrEx>
        <w:trPr>
          <w:trHeight w:val="700" w:hRule="atLeast"/>
        </w:trPr>
        <w:tc>
          <w:tcPr>
            <w:tcW w:w="11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运行实效（</w:t>
            </w:r>
            <w:r>
              <w:rPr>
                <w:rFonts w:ascii="宋体" w:hAnsi="宋体" w:eastAsia="宋体" w:cs="宋体"/>
                <w:color w:val="auto"/>
                <w:kern w:val="0"/>
                <w:sz w:val="18"/>
                <w:szCs w:val="18"/>
              </w:rPr>
              <w:t>60</w:t>
            </w:r>
            <w:r>
              <w:rPr>
                <w:rFonts w:hint="eastAsia" w:ascii="宋体" w:hAnsi="宋体" w:eastAsia="宋体" w:cs="宋体"/>
                <w:color w:val="auto"/>
                <w:kern w:val="0"/>
                <w:sz w:val="18"/>
                <w:szCs w:val="18"/>
              </w:rPr>
              <w:t>分）</w:t>
            </w:r>
          </w:p>
        </w:tc>
        <w:tc>
          <w:tcPr>
            <w:tcW w:w="43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有与“残疾人之家”功能匹配的管理和服务人员，并应具有相应的工作经验和能力，身体健康，持有健康证。</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18"/>
                <w:szCs w:val="18"/>
              </w:rPr>
            </w:pPr>
            <w:r>
              <w:rPr>
                <w:rFonts w:ascii="宋体" w:hAnsi="宋体" w:eastAsia="宋体" w:cs="宋体"/>
                <w:color w:val="auto"/>
                <w:kern w:val="0"/>
                <w:sz w:val="18"/>
                <w:szCs w:val="18"/>
              </w:rPr>
              <w:t>6</w:t>
            </w:r>
          </w:p>
        </w:tc>
        <w:tc>
          <w:tcPr>
            <w:tcW w:w="27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有符合要求管理服务人员得</w:t>
            </w:r>
            <w:r>
              <w:rPr>
                <w:rFonts w:ascii="宋体" w:hAnsi="宋体" w:eastAsia="宋体" w:cs="宋体"/>
                <w:color w:val="auto"/>
                <w:kern w:val="0"/>
                <w:sz w:val="18"/>
                <w:szCs w:val="18"/>
              </w:rPr>
              <w:t>6</w:t>
            </w:r>
            <w:r>
              <w:rPr>
                <w:rFonts w:hint="eastAsia" w:ascii="宋体" w:hAnsi="宋体" w:eastAsia="宋体" w:cs="宋体"/>
                <w:color w:val="auto"/>
                <w:kern w:val="0"/>
                <w:sz w:val="18"/>
                <w:szCs w:val="18"/>
              </w:rPr>
              <w:t>分，无符合要求管理服务人员不得分。</w:t>
            </w:r>
          </w:p>
        </w:tc>
        <w:tc>
          <w:tcPr>
            <w:tcW w:w="75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18"/>
                <w:szCs w:val="18"/>
              </w:rPr>
            </w:pPr>
          </w:p>
        </w:tc>
      </w:tr>
      <w:tr>
        <w:tblPrEx>
          <w:tblCellMar>
            <w:top w:w="0" w:type="dxa"/>
            <w:left w:w="108" w:type="dxa"/>
            <w:bottom w:w="0" w:type="dxa"/>
            <w:right w:w="108" w:type="dxa"/>
          </w:tblCellMar>
        </w:tblPrEx>
        <w:trPr>
          <w:trHeight w:val="700" w:hRule="atLeast"/>
        </w:trPr>
        <w:tc>
          <w:tcPr>
            <w:tcW w:w="11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18"/>
                <w:szCs w:val="18"/>
              </w:rPr>
            </w:pPr>
          </w:p>
        </w:tc>
        <w:tc>
          <w:tcPr>
            <w:tcW w:w="43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做好对残疾人之家的残疾人员的业务指导和管理工作，并排好每月工作计划，做好相应活动台账记录。</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18"/>
                <w:szCs w:val="18"/>
              </w:rPr>
            </w:pPr>
            <w:r>
              <w:rPr>
                <w:rFonts w:ascii="宋体" w:hAnsi="宋体" w:eastAsia="宋体" w:cs="宋体"/>
                <w:color w:val="auto"/>
                <w:kern w:val="0"/>
                <w:sz w:val="18"/>
                <w:szCs w:val="18"/>
              </w:rPr>
              <w:t>6</w:t>
            </w:r>
          </w:p>
        </w:tc>
        <w:tc>
          <w:tcPr>
            <w:tcW w:w="27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发现一处台账缺少扣</w:t>
            </w:r>
            <w:r>
              <w:rPr>
                <w:rFonts w:ascii="宋体" w:hAnsi="宋体" w:eastAsia="宋体" w:cs="宋体"/>
                <w:color w:val="auto"/>
                <w:kern w:val="0"/>
                <w:sz w:val="18"/>
                <w:szCs w:val="18"/>
              </w:rPr>
              <w:t>1</w:t>
            </w:r>
            <w:r>
              <w:rPr>
                <w:rFonts w:hint="eastAsia" w:ascii="宋体" w:hAnsi="宋体" w:eastAsia="宋体" w:cs="宋体"/>
                <w:color w:val="auto"/>
                <w:kern w:val="0"/>
                <w:sz w:val="18"/>
                <w:szCs w:val="18"/>
              </w:rPr>
              <w:t>分，扣完为止。</w:t>
            </w:r>
          </w:p>
        </w:tc>
        <w:tc>
          <w:tcPr>
            <w:tcW w:w="75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18"/>
                <w:szCs w:val="18"/>
              </w:rPr>
            </w:pPr>
          </w:p>
        </w:tc>
      </w:tr>
      <w:tr>
        <w:tblPrEx>
          <w:tblCellMar>
            <w:top w:w="0" w:type="dxa"/>
            <w:left w:w="108" w:type="dxa"/>
            <w:bottom w:w="0" w:type="dxa"/>
            <w:right w:w="108" w:type="dxa"/>
          </w:tblCellMar>
        </w:tblPrEx>
        <w:trPr>
          <w:trHeight w:val="700" w:hRule="atLeast"/>
        </w:trPr>
        <w:tc>
          <w:tcPr>
            <w:tcW w:w="11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18"/>
                <w:szCs w:val="18"/>
              </w:rPr>
            </w:pPr>
          </w:p>
        </w:tc>
        <w:tc>
          <w:tcPr>
            <w:tcW w:w="43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对接纳的服务对象要预先进行评定，符合要求的要与其本人或监护人签订服务协议，所有服务对象要建立个人服务档案，做好残疾人之家的残疾人员的日常活动记录。</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18"/>
                <w:szCs w:val="18"/>
              </w:rPr>
            </w:pPr>
            <w:r>
              <w:rPr>
                <w:rFonts w:ascii="宋体" w:hAnsi="宋体" w:eastAsia="宋体" w:cs="宋体"/>
                <w:color w:val="auto"/>
                <w:kern w:val="0"/>
                <w:sz w:val="18"/>
                <w:szCs w:val="18"/>
              </w:rPr>
              <w:t>6</w:t>
            </w:r>
          </w:p>
        </w:tc>
        <w:tc>
          <w:tcPr>
            <w:tcW w:w="27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服务对象档案少或不完整的扣</w:t>
            </w:r>
            <w:r>
              <w:rPr>
                <w:rFonts w:ascii="宋体" w:hAnsi="宋体" w:eastAsia="宋体" w:cs="宋体"/>
                <w:color w:val="auto"/>
                <w:kern w:val="0"/>
                <w:sz w:val="18"/>
                <w:szCs w:val="18"/>
              </w:rPr>
              <w:t>2</w:t>
            </w:r>
            <w:r>
              <w:rPr>
                <w:rFonts w:hint="eastAsia" w:ascii="宋体" w:hAnsi="宋体" w:eastAsia="宋体" w:cs="宋体"/>
                <w:color w:val="auto"/>
                <w:kern w:val="0"/>
                <w:sz w:val="18"/>
                <w:szCs w:val="18"/>
              </w:rPr>
              <w:t>分，无档案不得分。</w:t>
            </w:r>
          </w:p>
        </w:tc>
        <w:tc>
          <w:tcPr>
            <w:tcW w:w="75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18"/>
                <w:szCs w:val="18"/>
              </w:rPr>
            </w:pPr>
          </w:p>
        </w:tc>
      </w:tr>
      <w:tr>
        <w:tblPrEx>
          <w:tblCellMar>
            <w:top w:w="0" w:type="dxa"/>
            <w:left w:w="108" w:type="dxa"/>
            <w:bottom w:w="0" w:type="dxa"/>
            <w:right w:w="108" w:type="dxa"/>
          </w:tblCellMar>
        </w:tblPrEx>
        <w:trPr>
          <w:trHeight w:val="700" w:hRule="atLeast"/>
        </w:trPr>
        <w:tc>
          <w:tcPr>
            <w:tcW w:w="11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18"/>
                <w:szCs w:val="18"/>
              </w:rPr>
            </w:pPr>
          </w:p>
        </w:tc>
        <w:tc>
          <w:tcPr>
            <w:tcW w:w="43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做好残疾人之家每天的运行工作，开展好工作日的日间照料和辅助性就业工作。</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18"/>
                <w:szCs w:val="18"/>
              </w:rPr>
            </w:pPr>
            <w:r>
              <w:rPr>
                <w:rFonts w:ascii="宋体" w:hAnsi="宋体" w:eastAsia="宋体" w:cs="宋体"/>
                <w:color w:val="auto"/>
                <w:kern w:val="0"/>
                <w:sz w:val="18"/>
                <w:szCs w:val="18"/>
              </w:rPr>
              <w:t>6</w:t>
            </w:r>
          </w:p>
        </w:tc>
        <w:tc>
          <w:tcPr>
            <w:tcW w:w="27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发现一次未运行扣</w:t>
            </w:r>
            <w:r>
              <w:rPr>
                <w:rFonts w:ascii="宋体" w:hAnsi="宋体" w:eastAsia="宋体" w:cs="宋体"/>
                <w:color w:val="auto"/>
                <w:kern w:val="0"/>
                <w:sz w:val="18"/>
                <w:szCs w:val="18"/>
              </w:rPr>
              <w:t>1</w:t>
            </w:r>
            <w:r>
              <w:rPr>
                <w:rFonts w:hint="eastAsia" w:ascii="宋体" w:hAnsi="宋体" w:eastAsia="宋体" w:cs="宋体"/>
                <w:color w:val="auto"/>
                <w:kern w:val="0"/>
                <w:sz w:val="18"/>
                <w:szCs w:val="18"/>
              </w:rPr>
              <w:t>分；秩序混乱扣</w:t>
            </w:r>
            <w:r>
              <w:rPr>
                <w:rFonts w:ascii="宋体" w:hAnsi="宋体" w:eastAsia="宋体" w:cs="宋体"/>
                <w:color w:val="auto"/>
                <w:kern w:val="0"/>
                <w:sz w:val="18"/>
                <w:szCs w:val="18"/>
              </w:rPr>
              <w:t>1</w:t>
            </w:r>
            <w:r>
              <w:rPr>
                <w:rFonts w:hint="eastAsia" w:ascii="宋体" w:hAnsi="宋体" w:eastAsia="宋体" w:cs="宋体"/>
                <w:color w:val="auto"/>
                <w:kern w:val="0"/>
                <w:sz w:val="18"/>
                <w:szCs w:val="18"/>
              </w:rPr>
              <w:t>分；服务不到位扣</w:t>
            </w:r>
            <w:r>
              <w:rPr>
                <w:rFonts w:ascii="宋体" w:hAnsi="宋体" w:eastAsia="宋体" w:cs="宋体"/>
                <w:color w:val="auto"/>
                <w:kern w:val="0"/>
                <w:sz w:val="18"/>
                <w:szCs w:val="18"/>
              </w:rPr>
              <w:t>1</w:t>
            </w:r>
            <w:r>
              <w:rPr>
                <w:rFonts w:hint="eastAsia" w:ascii="宋体" w:hAnsi="宋体" w:eastAsia="宋体" w:cs="宋体"/>
                <w:color w:val="auto"/>
                <w:kern w:val="0"/>
                <w:sz w:val="18"/>
                <w:szCs w:val="18"/>
              </w:rPr>
              <w:t>分。</w:t>
            </w:r>
          </w:p>
        </w:tc>
        <w:tc>
          <w:tcPr>
            <w:tcW w:w="75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18"/>
                <w:szCs w:val="18"/>
              </w:rPr>
            </w:pPr>
          </w:p>
        </w:tc>
      </w:tr>
      <w:tr>
        <w:tblPrEx>
          <w:tblCellMar>
            <w:top w:w="0" w:type="dxa"/>
            <w:left w:w="108" w:type="dxa"/>
            <w:bottom w:w="0" w:type="dxa"/>
            <w:right w:w="108" w:type="dxa"/>
          </w:tblCellMar>
        </w:tblPrEx>
        <w:trPr>
          <w:trHeight w:val="700" w:hRule="atLeast"/>
        </w:trPr>
        <w:tc>
          <w:tcPr>
            <w:tcW w:w="11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18"/>
                <w:szCs w:val="18"/>
              </w:rPr>
            </w:pPr>
          </w:p>
        </w:tc>
        <w:tc>
          <w:tcPr>
            <w:tcW w:w="43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了解和掌握残疾人的托养服务、思想等情况，对残疾人进行必要的心理疏导，并确保残疾人在残疾人之家内的安全，对服务过程中发现的问题，及时向甲方反映，以便解决。</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18"/>
                <w:szCs w:val="18"/>
              </w:rPr>
            </w:pPr>
            <w:r>
              <w:rPr>
                <w:rFonts w:ascii="宋体" w:hAnsi="宋体" w:eastAsia="宋体" w:cs="宋体"/>
                <w:color w:val="auto"/>
                <w:kern w:val="0"/>
                <w:sz w:val="18"/>
                <w:szCs w:val="18"/>
              </w:rPr>
              <w:t>6</w:t>
            </w:r>
          </w:p>
        </w:tc>
        <w:tc>
          <w:tcPr>
            <w:tcW w:w="27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出现安全问题不得分。</w:t>
            </w:r>
          </w:p>
        </w:tc>
        <w:tc>
          <w:tcPr>
            <w:tcW w:w="75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18"/>
                <w:szCs w:val="18"/>
              </w:rPr>
            </w:pPr>
          </w:p>
        </w:tc>
      </w:tr>
      <w:tr>
        <w:tblPrEx>
          <w:tblCellMar>
            <w:top w:w="0" w:type="dxa"/>
            <w:left w:w="108" w:type="dxa"/>
            <w:bottom w:w="0" w:type="dxa"/>
            <w:right w:w="108" w:type="dxa"/>
          </w:tblCellMar>
        </w:tblPrEx>
        <w:trPr>
          <w:trHeight w:val="700" w:hRule="atLeast"/>
        </w:trPr>
        <w:tc>
          <w:tcPr>
            <w:tcW w:w="11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18"/>
                <w:szCs w:val="18"/>
              </w:rPr>
            </w:pPr>
          </w:p>
        </w:tc>
        <w:tc>
          <w:tcPr>
            <w:tcW w:w="43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组织残疾人开展适合其身心特点的手工劳动、文体活动、学习培训及康复训练活动，丰富残疾人的精神文化生活。每月至少开展一次文体活动、学习培训或康复训练活动。</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18"/>
                <w:szCs w:val="18"/>
              </w:rPr>
            </w:pPr>
            <w:r>
              <w:rPr>
                <w:rFonts w:ascii="宋体" w:hAnsi="宋体" w:eastAsia="宋体" w:cs="宋体"/>
                <w:color w:val="auto"/>
                <w:kern w:val="0"/>
                <w:sz w:val="18"/>
                <w:szCs w:val="18"/>
              </w:rPr>
              <w:t>6</w:t>
            </w:r>
          </w:p>
        </w:tc>
        <w:tc>
          <w:tcPr>
            <w:tcW w:w="27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满</w:t>
            </w:r>
            <w:r>
              <w:rPr>
                <w:rFonts w:ascii="宋体" w:hAnsi="宋体" w:eastAsia="宋体" w:cs="宋体"/>
                <w:color w:val="auto"/>
                <w:kern w:val="0"/>
                <w:sz w:val="18"/>
                <w:szCs w:val="18"/>
              </w:rPr>
              <w:t>12</w:t>
            </w:r>
            <w:r>
              <w:rPr>
                <w:rFonts w:hint="eastAsia" w:ascii="宋体" w:hAnsi="宋体" w:eastAsia="宋体" w:cs="宋体"/>
                <w:color w:val="auto"/>
                <w:kern w:val="0"/>
                <w:sz w:val="18"/>
                <w:szCs w:val="18"/>
              </w:rPr>
              <w:t>次得</w:t>
            </w:r>
            <w:r>
              <w:rPr>
                <w:rFonts w:ascii="宋体" w:hAnsi="宋体" w:eastAsia="宋体" w:cs="宋体"/>
                <w:color w:val="auto"/>
                <w:kern w:val="0"/>
                <w:sz w:val="18"/>
                <w:szCs w:val="18"/>
              </w:rPr>
              <w:t>6</w:t>
            </w:r>
            <w:r>
              <w:rPr>
                <w:rFonts w:hint="eastAsia" w:ascii="宋体" w:hAnsi="宋体" w:eastAsia="宋体" w:cs="宋体"/>
                <w:color w:val="auto"/>
                <w:kern w:val="0"/>
                <w:sz w:val="18"/>
                <w:szCs w:val="18"/>
              </w:rPr>
              <w:t>分，不足</w:t>
            </w:r>
            <w:r>
              <w:rPr>
                <w:rFonts w:ascii="宋体" w:hAnsi="宋体" w:eastAsia="宋体" w:cs="宋体"/>
                <w:color w:val="auto"/>
                <w:kern w:val="0"/>
                <w:sz w:val="18"/>
                <w:szCs w:val="18"/>
              </w:rPr>
              <w:t>12</w:t>
            </w:r>
            <w:r>
              <w:rPr>
                <w:rFonts w:hint="eastAsia" w:ascii="宋体" w:hAnsi="宋体" w:eastAsia="宋体" w:cs="宋体"/>
                <w:color w:val="auto"/>
                <w:kern w:val="0"/>
                <w:sz w:val="18"/>
                <w:szCs w:val="18"/>
              </w:rPr>
              <w:t>次每少</w:t>
            </w:r>
            <w:r>
              <w:rPr>
                <w:rFonts w:ascii="宋体" w:hAnsi="宋体" w:eastAsia="宋体" w:cs="宋体"/>
                <w:color w:val="auto"/>
                <w:kern w:val="0"/>
                <w:sz w:val="18"/>
                <w:szCs w:val="18"/>
              </w:rPr>
              <w:t>1</w:t>
            </w:r>
            <w:r>
              <w:rPr>
                <w:rFonts w:hint="eastAsia" w:ascii="宋体" w:hAnsi="宋体" w:eastAsia="宋体" w:cs="宋体"/>
                <w:color w:val="auto"/>
                <w:kern w:val="0"/>
                <w:sz w:val="18"/>
                <w:szCs w:val="18"/>
              </w:rPr>
              <w:t>次减</w:t>
            </w:r>
            <w:r>
              <w:rPr>
                <w:rFonts w:ascii="宋体" w:hAnsi="宋体" w:eastAsia="宋体" w:cs="宋体"/>
                <w:color w:val="auto"/>
                <w:kern w:val="0"/>
                <w:sz w:val="18"/>
                <w:szCs w:val="18"/>
              </w:rPr>
              <w:t>1</w:t>
            </w:r>
            <w:r>
              <w:rPr>
                <w:rFonts w:hint="eastAsia" w:ascii="宋体" w:hAnsi="宋体" w:eastAsia="宋体" w:cs="宋体"/>
                <w:color w:val="auto"/>
                <w:kern w:val="0"/>
                <w:sz w:val="18"/>
                <w:szCs w:val="18"/>
              </w:rPr>
              <w:t>分，扣完为止。</w:t>
            </w:r>
          </w:p>
        </w:tc>
        <w:tc>
          <w:tcPr>
            <w:tcW w:w="75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18"/>
                <w:szCs w:val="18"/>
              </w:rPr>
            </w:pPr>
          </w:p>
        </w:tc>
      </w:tr>
      <w:tr>
        <w:tblPrEx>
          <w:tblCellMar>
            <w:top w:w="0" w:type="dxa"/>
            <w:left w:w="108" w:type="dxa"/>
            <w:bottom w:w="0" w:type="dxa"/>
            <w:right w:w="108" w:type="dxa"/>
          </w:tblCellMar>
        </w:tblPrEx>
        <w:trPr>
          <w:trHeight w:val="700" w:hRule="atLeast"/>
        </w:trPr>
        <w:tc>
          <w:tcPr>
            <w:tcW w:w="11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18"/>
                <w:szCs w:val="18"/>
              </w:rPr>
            </w:pPr>
          </w:p>
        </w:tc>
        <w:tc>
          <w:tcPr>
            <w:tcW w:w="43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协助做好与合作单位的业务对接工作，负责对残疾人</w:t>
            </w:r>
            <w:r>
              <w:rPr>
                <w:rFonts w:hint="eastAsia" w:ascii="宋体" w:hAnsi="宋体" w:eastAsia="宋体" w:cs="宋体"/>
                <w:color w:val="auto"/>
                <w:kern w:val="0"/>
                <w:sz w:val="18"/>
                <w:szCs w:val="18"/>
                <w:highlight w:val="none"/>
              </w:rPr>
              <w:t>辅助性就业项目</w:t>
            </w:r>
            <w:r>
              <w:rPr>
                <w:rFonts w:hint="eastAsia" w:ascii="宋体" w:hAnsi="宋体" w:eastAsia="宋体" w:cs="宋体"/>
                <w:color w:val="auto"/>
                <w:kern w:val="0"/>
                <w:sz w:val="18"/>
                <w:szCs w:val="18"/>
              </w:rPr>
              <w:t>的计件清点工作。</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18"/>
                <w:szCs w:val="18"/>
              </w:rPr>
            </w:pPr>
            <w:r>
              <w:rPr>
                <w:rFonts w:ascii="宋体" w:hAnsi="宋体" w:eastAsia="宋体" w:cs="宋体"/>
                <w:color w:val="auto"/>
                <w:kern w:val="0"/>
                <w:sz w:val="18"/>
                <w:szCs w:val="18"/>
              </w:rPr>
              <w:t>6</w:t>
            </w:r>
          </w:p>
        </w:tc>
        <w:tc>
          <w:tcPr>
            <w:tcW w:w="27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精准完成、有完善记录得</w:t>
            </w:r>
            <w:r>
              <w:rPr>
                <w:rFonts w:ascii="宋体" w:hAnsi="宋体" w:eastAsia="宋体" w:cs="宋体"/>
                <w:color w:val="auto"/>
                <w:kern w:val="0"/>
                <w:sz w:val="18"/>
                <w:szCs w:val="18"/>
              </w:rPr>
              <w:t>6</w:t>
            </w:r>
            <w:r>
              <w:rPr>
                <w:rFonts w:hint="eastAsia" w:ascii="宋体" w:hAnsi="宋体" w:eastAsia="宋体" w:cs="宋体"/>
                <w:color w:val="auto"/>
                <w:kern w:val="0"/>
                <w:sz w:val="18"/>
                <w:szCs w:val="18"/>
              </w:rPr>
              <w:t>分，出现错误、记录不完整不得分。</w:t>
            </w:r>
          </w:p>
        </w:tc>
        <w:tc>
          <w:tcPr>
            <w:tcW w:w="75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18"/>
                <w:szCs w:val="18"/>
              </w:rPr>
            </w:pPr>
          </w:p>
        </w:tc>
      </w:tr>
      <w:tr>
        <w:tblPrEx>
          <w:tblCellMar>
            <w:top w:w="0" w:type="dxa"/>
            <w:left w:w="108" w:type="dxa"/>
            <w:bottom w:w="0" w:type="dxa"/>
            <w:right w:w="108" w:type="dxa"/>
          </w:tblCellMar>
        </w:tblPrEx>
        <w:trPr>
          <w:trHeight w:val="700" w:hRule="atLeast"/>
        </w:trPr>
        <w:tc>
          <w:tcPr>
            <w:tcW w:w="11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18"/>
                <w:szCs w:val="18"/>
              </w:rPr>
            </w:pPr>
          </w:p>
        </w:tc>
        <w:tc>
          <w:tcPr>
            <w:tcW w:w="43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正确使用残疾人之家的设施、设备，做好设施、设备的日常清洁、维护工作，确保其完好性和正常功能。</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18"/>
                <w:szCs w:val="18"/>
              </w:rPr>
            </w:pPr>
            <w:r>
              <w:rPr>
                <w:rFonts w:ascii="宋体" w:hAnsi="宋体" w:eastAsia="宋体" w:cs="宋体"/>
                <w:color w:val="auto"/>
                <w:kern w:val="0"/>
                <w:sz w:val="18"/>
                <w:szCs w:val="18"/>
              </w:rPr>
              <w:t>6</w:t>
            </w:r>
          </w:p>
        </w:tc>
        <w:tc>
          <w:tcPr>
            <w:tcW w:w="27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发现一处安全隐患扣</w:t>
            </w:r>
            <w:r>
              <w:rPr>
                <w:rFonts w:ascii="宋体" w:hAnsi="宋体" w:eastAsia="宋体" w:cs="宋体"/>
                <w:color w:val="auto"/>
                <w:kern w:val="0"/>
                <w:sz w:val="18"/>
                <w:szCs w:val="18"/>
              </w:rPr>
              <w:t>2</w:t>
            </w:r>
            <w:r>
              <w:rPr>
                <w:rFonts w:hint="eastAsia" w:ascii="宋体" w:hAnsi="宋体" w:eastAsia="宋体" w:cs="宋体"/>
                <w:color w:val="auto"/>
                <w:kern w:val="0"/>
                <w:sz w:val="18"/>
                <w:szCs w:val="18"/>
              </w:rPr>
              <w:t>分。</w:t>
            </w:r>
          </w:p>
        </w:tc>
        <w:tc>
          <w:tcPr>
            <w:tcW w:w="75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18"/>
                <w:szCs w:val="18"/>
              </w:rPr>
            </w:pPr>
          </w:p>
        </w:tc>
      </w:tr>
      <w:tr>
        <w:tblPrEx>
          <w:tblCellMar>
            <w:top w:w="0" w:type="dxa"/>
            <w:left w:w="108" w:type="dxa"/>
            <w:bottom w:w="0" w:type="dxa"/>
            <w:right w:w="108" w:type="dxa"/>
          </w:tblCellMar>
        </w:tblPrEx>
        <w:trPr>
          <w:trHeight w:val="700" w:hRule="atLeast"/>
        </w:trPr>
        <w:tc>
          <w:tcPr>
            <w:tcW w:w="11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18"/>
                <w:szCs w:val="18"/>
              </w:rPr>
            </w:pPr>
          </w:p>
        </w:tc>
        <w:tc>
          <w:tcPr>
            <w:tcW w:w="43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遇突发事件，要保护好残疾人及自身安全，冷静应对处理并及时向街道和社区主要负责人报告。</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18"/>
                <w:szCs w:val="18"/>
              </w:rPr>
            </w:pPr>
            <w:r>
              <w:rPr>
                <w:rFonts w:ascii="宋体" w:hAnsi="宋体" w:eastAsia="宋体" w:cs="宋体"/>
                <w:color w:val="auto"/>
                <w:kern w:val="0"/>
                <w:sz w:val="18"/>
                <w:szCs w:val="18"/>
              </w:rPr>
              <w:t>6</w:t>
            </w:r>
          </w:p>
        </w:tc>
        <w:tc>
          <w:tcPr>
            <w:tcW w:w="27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处置不当不得分。</w:t>
            </w:r>
          </w:p>
        </w:tc>
        <w:tc>
          <w:tcPr>
            <w:tcW w:w="75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18"/>
                <w:szCs w:val="18"/>
              </w:rPr>
            </w:pPr>
          </w:p>
        </w:tc>
      </w:tr>
      <w:tr>
        <w:tblPrEx>
          <w:tblCellMar>
            <w:top w:w="0" w:type="dxa"/>
            <w:left w:w="108" w:type="dxa"/>
            <w:bottom w:w="0" w:type="dxa"/>
            <w:right w:w="108" w:type="dxa"/>
          </w:tblCellMar>
        </w:tblPrEx>
        <w:trPr>
          <w:trHeight w:val="700" w:hRule="atLeast"/>
        </w:trPr>
        <w:tc>
          <w:tcPr>
            <w:tcW w:w="11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18"/>
                <w:szCs w:val="18"/>
              </w:rPr>
            </w:pPr>
          </w:p>
        </w:tc>
        <w:tc>
          <w:tcPr>
            <w:tcW w:w="43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按照</w:t>
            </w:r>
            <w:r>
              <w:rPr>
                <w:rFonts w:hint="eastAsia" w:ascii="宋体" w:hAnsi="宋体" w:eastAsia="宋体" w:cs="宋体"/>
                <w:color w:val="auto"/>
                <w:kern w:val="0"/>
                <w:sz w:val="18"/>
                <w:szCs w:val="18"/>
                <w:highlight w:val="none"/>
              </w:rPr>
              <w:t>规定的</w:t>
            </w:r>
            <w:r>
              <w:rPr>
                <w:rFonts w:hint="eastAsia" w:ascii="宋体" w:hAnsi="宋体" w:eastAsia="宋体" w:cs="宋体"/>
                <w:color w:val="auto"/>
                <w:kern w:val="0"/>
                <w:sz w:val="18"/>
                <w:szCs w:val="18"/>
              </w:rPr>
              <w:t>午餐费用标准，保证残疾人之家残疾人在残疾人之家的午餐供餐，供餐卫生、安全。残疾人之家午餐费用以月为单位，提供票据和相关材料，按实际用餐费用结算。</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18"/>
                <w:szCs w:val="18"/>
              </w:rPr>
            </w:pPr>
            <w:r>
              <w:rPr>
                <w:rFonts w:ascii="宋体" w:hAnsi="宋体" w:eastAsia="宋体" w:cs="宋体"/>
                <w:color w:val="auto"/>
                <w:kern w:val="0"/>
                <w:sz w:val="18"/>
                <w:szCs w:val="18"/>
              </w:rPr>
              <w:t>6</w:t>
            </w:r>
          </w:p>
        </w:tc>
        <w:tc>
          <w:tcPr>
            <w:tcW w:w="27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有完整服务记录得</w:t>
            </w:r>
            <w:r>
              <w:rPr>
                <w:rFonts w:ascii="宋体" w:hAnsi="宋体" w:eastAsia="宋体" w:cs="宋体"/>
                <w:color w:val="auto"/>
                <w:kern w:val="0"/>
                <w:sz w:val="18"/>
                <w:szCs w:val="18"/>
              </w:rPr>
              <w:t>6</w:t>
            </w:r>
            <w:r>
              <w:rPr>
                <w:rFonts w:hint="eastAsia" w:ascii="宋体" w:hAnsi="宋体" w:eastAsia="宋体" w:cs="宋体"/>
                <w:color w:val="auto"/>
                <w:kern w:val="0"/>
                <w:sz w:val="18"/>
                <w:szCs w:val="18"/>
              </w:rPr>
              <w:t>分，不完整、没有服务记录不得分，出现一起食品安全问题，不得分。</w:t>
            </w:r>
          </w:p>
        </w:tc>
        <w:tc>
          <w:tcPr>
            <w:tcW w:w="75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18"/>
                <w:szCs w:val="18"/>
              </w:rPr>
            </w:pPr>
          </w:p>
        </w:tc>
      </w:tr>
      <w:tr>
        <w:tblPrEx>
          <w:tblCellMar>
            <w:top w:w="0" w:type="dxa"/>
            <w:left w:w="108" w:type="dxa"/>
            <w:bottom w:w="0" w:type="dxa"/>
            <w:right w:w="108" w:type="dxa"/>
          </w:tblCellMar>
        </w:tblPrEx>
        <w:trPr>
          <w:trHeight w:val="680" w:hRule="atLeast"/>
        </w:trPr>
        <w:tc>
          <w:tcPr>
            <w:tcW w:w="11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满意度测评（</w:t>
            </w:r>
            <w:r>
              <w:rPr>
                <w:rFonts w:ascii="宋体" w:hAnsi="宋体" w:eastAsia="宋体" w:cs="宋体"/>
                <w:color w:val="auto"/>
                <w:kern w:val="0"/>
                <w:sz w:val="18"/>
                <w:szCs w:val="18"/>
              </w:rPr>
              <w:t>40</w:t>
            </w:r>
            <w:r>
              <w:rPr>
                <w:rFonts w:hint="eastAsia" w:ascii="宋体" w:hAnsi="宋体" w:eastAsia="宋体" w:cs="宋体"/>
                <w:color w:val="auto"/>
                <w:kern w:val="0"/>
                <w:sz w:val="18"/>
                <w:szCs w:val="18"/>
              </w:rPr>
              <w:t>分）</w:t>
            </w:r>
          </w:p>
        </w:tc>
        <w:tc>
          <w:tcPr>
            <w:tcW w:w="43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服务对象满意度。设置选项为满意、一般、不满意。</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18"/>
                <w:szCs w:val="18"/>
              </w:rPr>
            </w:pPr>
            <w:r>
              <w:rPr>
                <w:rFonts w:ascii="宋体" w:hAnsi="宋体" w:eastAsia="宋体" w:cs="宋体"/>
                <w:color w:val="auto"/>
                <w:kern w:val="0"/>
                <w:sz w:val="18"/>
                <w:szCs w:val="18"/>
              </w:rPr>
              <w:t>40</w:t>
            </w:r>
          </w:p>
        </w:tc>
        <w:tc>
          <w:tcPr>
            <w:tcW w:w="27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满意率</w:t>
            </w:r>
            <w:r>
              <w:rPr>
                <w:rFonts w:ascii="宋体" w:hAnsi="宋体" w:eastAsia="宋体" w:cs="宋体"/>
                <w:color w:val="auto"/>
                <w:kern w:val="0"/>
                <w:sz w:val="18"/>
                <w:szCs w:val="18"/>
              </w:rPr>
              <w:t>95%</w:t>
            </w:r>
            <w:r>
              <w:rPr>
                <w:rFonts w:hint="eastAsia" w:ascii="宋体" w:hAnsi="宋体" w:eastAsia="宋体" w:cs="宋体"/>
                <w:color w:val="auto"/>
                <w:kern w:val="0"/>
                <w:sz w:val="18"/>
                <w:szCs w:val="18"/>
              </w:rPr>
              <w:t>以上，得</w:t>
            </w:r>
            <w:r>
              <w:rPr>
                <w:rFonts w:ascii="宋体" w:hAnsi="宋体" w:eastAsia="宋体" w:cs="宋体"/>
                <w:color w:val="auto"/>
                <w:kern w:val="0"/>
                <w:sz w:val="18"/>
                <w:szCs w:val="18"/>
              </w:rPr>
              <w:t>40</w:t>
            </w:r>
            <w:r>
              <w:rPr>
                <w:rFonts w:hint="eastAsia" w:ascii="宋体" w:hAnsi="宋体" w:eastAsia="宋体" w:cs="宋体"/>
                <w:color w:val="auto"/>
                <w:kern w:val="0"/>
                <w:sz w:val="18"/>
                <w:szCs w:val="18"/>
              </w:rPr>
              <w:t>分，满意率</w:t>
            </w:r>
            <w:r>
              <w:rPr>
                <w:rFonts w:ascii="宋体" w:hAnsi="宋体" w:eastAsia="宋体" w:cs="宋体"/>
                <w:color w:val="auto"/>
                <w:kern w:val="0"/>
                <w:sz w:val="18"/>
                <w:szCs w:val="18"/>
              </w:rPr>
              <w:t>90%</w:t>
            </w:r>
            <w:r>
              <w:rPr>
                <w:rFonts w:hint="eastAsia" w:ascii="宋体" w:hAnsi="宋体" w:eastAsia="宋体" w:cs="宋体"/>
                <w:color w:val="auto"/>
                <w:kern w:val="0"/>
                <w:sz w:val="18"/>
                <w:szCs w:val="18"/>
              </w:rPr>
              <w:t>以上，得</w:t>
            </w:r>
            <w:r>
              <w:rPr>
                <w:rFonts w:ascii="宋体" w:hAnsi="宋体" w:eastAsia="宋体" w:cs="宋体"/>
                <w:color w:val="auto"/>
                <w:kern w:val="0"/>
                <w:sz w:val="18"/>
                <w:szCs w:val="18"/>
              </w:rPr>
              <w:t>35</w:t>
            </w:r>
            <w:r>
              <w:rPr>
                <w:rFonts w:hint="eastAsia" w:ascii="宋体" w:hAnsi="宋体" w:eastAsia="宋体" w:cs="宋体"/>
                <w:color w:val="auto"/>
                <w:kern w:val="0"/>
                <w:sz w:val="18"/>
                <w:szCs w:val="18"/>
              </w:rPr>
              <w:t>分，满意率</w:t>
            </w:r>
            <w:r>
              <w:rPr>
                <w:rFonts w:ascii="宋体" w:hAnsi="宋体" w:eastAsia="宋体" w:cs="宋体"/>
                <w:color w:val="auto"/>
                <w:kern w:val="0"/>
                <w:sz w:val="18"/>
                <w:szCs w:val="18"/>
              </w:rPr>
              <w:t>85%</w:t>
            </w:r>
            <w:r>
              <w:rPr>
                <w:rFonts w:hint="eastAsia" w:ascii="宋体" w:hAnsi="宋体" w:eastAsia="宋体" w:cs="宋体"/>
                <w:color w:val="auto"/>
                <w:kern w:val="0"/>
                <w:sz w:val="18"/>
                <w:szCs w:val="18"/>
              </w:rPr>
              <w:t>以上</w:t>
            </w:r>
            <w:r>
              <w:rPr>
                <w:rFonts w:ascii="宋体" w:hAnsi="宋体" w:eastAsia="宋体" w:cs="宋体"/>
                <w:color w:val="auto"/>
                <w:kern w:val="0"/>
                <w:sz w:val="18"/>
                <w:szCs w:val="18"/>
              </w:rPr>
              <w:t>30</w:t>
            </w:r>
            <w:r>
              <w:rPr>
                <w:rFonts w:hint="eastAsia" w:ascii="宋体" w:hAnsi="宋体" w:eastAsia="宋体" w:cs="宋体"/>
                <w:color w:val="auto"/>
                <w:kern w:val="0"/>
                <w:sz w:val="18"/>
                <w:szCs w:val="18"/>
              </w:rPr>
              <w:t>分，满意率</w:t>
            </w:r>
            <w:r>
              <w:rPr>
                <w:rFonts w:ascii="宋体" w:hAnsi="宋体" w:eastAsia="宋体" w:cs="宋体"/>
                <w:color w:val="auto"/>
                <w:kern w:val="0"/>
                <w:sz w:val="18"/>
                <w:szCs w:val="18"/>
              </w:rPr>
              <w:t>80%</w:t>
            </w:r>
            <w:r>
              <w:rPr>
                <w:rFonts w:hint="eastAsia" w:ascii="宋体" w:hAnsi="宋体" w:eastAsia="宋体" w:cs="宋体"/>
                <w:color w:val="auto"/>
                <w:kern w:val="0"/>
                <w:sz w:val="18"/>
                <w:szCs w:val="18"/>
              </w:rPr>
              <w:t>以上，得</w:t>
            </w:r>
            <w:r>
              <w:rPr>
                <w:rFonts w:ascii="宋体" w:hAnsi="宋体" w:eastAsia="宋体" w:cs="宋体"/>
                <w:color w:val="auto"/>
                <w:kern w:val="0"/>
                <w:sz w:val="18"/>
                <w:szCs w:val="18"/>
              </w:rPr>
              <w:t>20</w:t>
            </w:r>
            <w:r>
              <w:rPr>
                <w:rFonts w:hint="eastAsia" w:ascii="宋体" w:hAnsi="宋体" w:eastAsia="宋体" w:cs="宋体"/>
                <w:color w:val="auto"/>
                <w:kern w:val="0"/>
                <w:sz w:val="18"/>
                <w:szCs w:val="18"/>
              </w:rPr>
              <w:t>分，满意率</w:t>
            </w:r>
            <w:r>
              <w:rPr>
                <w:rFonts w:ascii="宋体" w:hAnsi="宋体" w:eastAsia="宋体" w:cs="宋体"/>
                <w:color w:val="auto"/>
                <w:kern w:val="0"/>
                <w:sz w:val="18"/>
                <w:szCs w:val="18"/>
              </w:rPr>
              <w:t>80%</w:t>
            </w:r>
            <w:r>
              <w:rPr>
                <w:rFonts w:hint="eastAsia" w:ascii="宋体" w:hAnsi="宋体" w:eastAsia="宋体" w:cs="宋体"/>
                <w:color w:val="auto"/>
                <w:kern w:val="0"/>
                <w:sz w:val="18"/>
                <w:szCs w:val="18"/>
              </w:rPr>
              <w:t>以下，不得分。</w:t>
            </w:r>
          </w:p>
        </w:tc>
        <w:tc>
          <w:tcPr>
            <w:tcW w:w="75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18"/>
                <w:szCs w:val="18"/>
              </w:rPr>
            </w:pPr>
          </w:p>
        </w:tc>
      </w:tr>
      <w:tr>
        <w:tblPrEx>
          <w:tblCellMar>
            <w:top w:w="0" w:type="dxa"/>
            <w:left w:w="108" w:type="dxa"/>
            <w:bottom w:w="0" w:type="dxa"/>
            <w:right w:w="108" w:type="dxa"/>
          </w:tblCellMar>
        </w:tblPrEx>
        <w:trPr>
          <w:trHeight w:val="680" w:hRule="atLeast"/>
        </w:trPr>
        <w:tc>
          <w:tcPr>
            <w:tcW w:w="11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 w:val="18"/>
                <w:szCs w:val="18"/>
              </w:rPr>
            </w:pPr>
          </w:p>
        </w:tc>
        <w:tc>
          <w:tcPr>
            <w:tcW w:w="43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20"/>
                <w:szCs w:val="20"/>
              </w:rPr>
              <w:t>合计分值</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kern w:val="0"/>
                <w:sz w:val="18"/>
                <w:szCs w:val="18"/>
              </w:rPr>
            </w:pPr>
            <w:r>
              <w:rPr>
                <w:rFonts w:ascii="宋体" w:hAnsi="宋体" w:eastAsia="宋体" w:cs="宋体"/>
                <w:color w:val="auto"/>
                <w:sz w:val="18"/>
                <w:szCs w:val="18"/>
              </w:rPr>
              <w:t>100</w:t>
            </w:r>
          </w:p>
        </w:tc>
        <w:tc>
          <w:tcPr>
            <w:tcW w:w="27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kern w:val="0"/>
                <w:sz w:val="18"/>
                <w:szCs w:val="18"/>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18"/>
                <w:szCs w:val="18"/>
              </w:rPr>
            </w:pPr>
          </w:p>
        </w:tc>
      </w:tr>
      <w:tr>
        <w:tblPrEx>
          <w:tblCellMar>
            <w:top w:w="0" w:type="dxa"/>
            <w:left w:w="108" w:type="dxa"/>
            <w:bottom w:w="0" w:type="dxa"/>
            <w:right w:w="108" w:type="dxa"/>
          </w:tblCellMar>
        </w:tblPrEx>
        <w:trPr>
          <w:trHeight w:val="680" w:hRule="atLeast"/>
        </w:trPr>
        <w:tc>
          <w:tcPr>
            <w:tcW w:w="10138"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备注：</w:t>
            </w:r>
            <w:r>
              <w:rPr>
                <w:rFonts w:ascii="宋体" w:hAnsi="宋体" w:eastAsia="宋体" w:cs="宋体"/>
                <w:color w:val="auto"/>
                <w:kern w:val="0"/>
                <w:sz w:val="18"/>
                <w:szCs w:val="18"/>
              </w:rPr>
              <w:t>1</w:t>
            </w:r>
            <w:r>
              <w:rPr>
                <w:rFonts w:hint="eastAsia" w:ascii="宋体" w:hAnsi="宋体" w:eastAsia="宋体" w:cs="宋体"/>
                <w:color w:val="auto"/>
                <w:kern w:val="0"/>
                <w:sz w:val="18"/>
                <w:szCs w:val="18"/>
              </w:rPr>
              <w:t>、总分</w:t>
            </w:r>
            <w:r>
              <w:rPr>
                <w:rFonts w:ascii="宋体" w:hAnsi="宋体" w:eastAsia="宋体" w:cs="宋体"/>
                <w:color w:val="auto"/>
                <w:kern w:val="0"/>
                <w:sz w:val="18"/>
                <w:szCs w:val="18"/>
              </w:rPr>
              <w:t>100</w:t>
            </w:r>
            <w:r>
              <w:rPr>
                <w:rFonts w:hint="eastAsia" w:ascii="宋体" w:hAnsi="宋体" w:eastAsia="宋体" w:cs="宋体"/>
                <w:color w:val="auto"/>
                <w:kern w:val="0"/>
                <w:sz w:val="18"/>
                <w:szCs w:val="18"/>
              </w:rPr>
              <w:t>分。总分≥</w:t>
            </w:r>
            <w:r>
              <w:rPr>
                <w:rFonts w:ascii="宋体" w:hAnsi="宋体" w:eastAsia="宋体" w:cs="宋体"/>
                <w:color w:val="auto"/>
                <w:kern w:val="0"/>
                <w:sz w:val="18"/>
                <w:szCs w:val="18"/>
              </w:rPr>
              <w:t>90</w:t>
            </w:r>
            <w:r>
              <w:rPr>
                <w:rFonts w:hint="eastAsia" w:ascii="宋体" w:hAnsi="宋体" w:eastAsia="宋体" w:cs="宋体"/>
                <w:color w:val="auto"/>
                <w:kern w:val="0"/>
                <w:sz w:val="18"/>
                <w:szCs w:val="18"/>
              </w:rPr>
              <w:t>分以上为“优”，</w:t>
            </w:r>
            <w:r>
              <w:rPr>
                <w:rFonts w:ascii="宋体" w:hAnsi="宋体" w:eastAsia="宋体" w:cs="宋体"/>
                <w:color w:val="auto"/>
                <w:kern w:val="0"/>
                <w:sz w:val="18"/>
                <w:szCs w:val="18"/>
              </w:rPr>
              <w:t>80</w:t>
            </w:r>
            <w:r>
              <w:rPr>
                <w:rFonts w:hint="eastAsia" w:ascii="宋体" w:hAnsi="宋体" w:eastAsia="宋体" w:cs="宋体"/>
                <w:color w:val="auto"/>
                <w:kern w:val="0"/>
                <w:sz w:val="18"/>
                <w:szCs w:val="18"/>
              </w:rPr>
              <w:t>分≤总分＜</w:t>
            </w:r>
            <w:r>
              <w:rPr>
                <w:rFonts w:ascii="宋体" w:hAnsi="宋体" w:eastAsia="宋体" w:cs="宋体"/>
                <w:color w:val="auto"/>
                <w:kern w:val="0"/>
                <w:sz w:val="18"/>
                <w:szCs w:val="18"/>
              </w:rPr>
              <w:t>90</w:t>
            </w:r>
            <w:r>
              <w:rPr>
                <w:rFonts w:hint="eastAsia" w:ascii="宋体" w:hAnsi="宋体" w:eastAsia="宋体" w:cs="宋体"/>
                <w:color w:val="auto"/>
                <w:kern w:val="0"/>
                <w:sz w:val="18"/>
                <w:szCs w:val="18"/>
              </w:rPr>
              <w:t>分为“良”，</w:t>
            </w:r>
            <w:r>
              <w:rPr>
                <w:rFonts w:ascii="宋体" w:hAnsi="宋体" w:eastAsia="宋体" w:cs="宋体"/>
                <w:color w:val="auto"/>
                <w:kern w:val="0"/>
                <w:sz w:val="18"/>
                <w:szCs w:val="18"/>
              </w:rPr>
              <w:t>70</w:t>
            </w:r>
            <w:r>
              <w:rPr>
                <w:rFonts w:hint="eastAsia" w:ascii="宋体" w:hAnsi="宋体" w:eastAsia="宋体" w:cs="宋体"/>
                <w:color w:val="auto"/>
                <w:kern w:val="0"/>
                <w:sz w:val="18"/>
                <w:szCs w:val="18"/>
              </w:rPr>
              <w:t>分≤总分＜</w:t>
            </w:r>
            <w:r>
              <w:rPr>
                <w:rFonts w:ascii="宋体" w:hAnsi="宋体" w:eastAsia="宋体" w:cs="宋体"/>
                <w:color w:val="auto"/>
                <w:kern w:val="0"/>
                <w:sz w:val="18"/>
                <w:szCs w:val="18"/>
              </w:rPr>
              <w:t>80</w:t>
            </w:r>
            <w:r>
              <w:rPr>
                <w:rFonts w:hint="eastAsia" w:ascii="宋体" w:hAnsi="宋体" w:eastAsia="宋体" w:cs="宋体"/>
                <w:color w:val="auto"/>
                <w:kern w:val="0"/>
                <w:sz w:val="18"/>
                <w:szCs w:val="18"/>
              </w:rPr>
              <w:t>分为“一般”。最小计分单位</w:t>
            </w:r>
            <w:r>
              <w:rPr>
                <w:rFonts w:ascii="宋体" w:hAnsi="宋体" w:eastAsia="宋体" w:cs="宋体"/>
                <w:color w:val="auto"/>
                <w:kern w:val="0"/>
                <w:sz w:val="18"/>
                <w:szCs w:val="18"/>
              </w:rPr>
              <w:t>1</w:t>
            </w:r>
            <w:r>
              <w:rPr>
                <w:rFonts w:hint="eastAsia" w:ascii="宋体" w:hAnsi="宋体" w:eastAsia="宋体" w:cs="宋体"/>
                <w:color w:val="auto"/>
                <w:kern w:val="0"/>
                <w:sz w:val="18"/>
                <w:szCs w:val="18"/>
              </w:rPr>
              <w:t>分，单项扣分不超过该项总分。</w:t>
            </w:r>
          </w:p>
          <w:p>
            <w:pPr>
              <w:jc w:val="left"/>
              <w:rPr>
                <w:rFonts w:ascii="宋体" w:hAnsi="宋体" w:eastAsia="宋体" w:cs="宋体"/>
                <w:color w:val="auto"/>
                <w:sz w:val="18"/>
                <w:szCs w:val="18"/>
              </w:rPr>
            </w:pPr>
            <w:r>
              <w:rPr>
                <w:rFonts w:ascii="宋体" w:hAnsi="宋体" w:eastAsia="宋体" w:cs="宋体"/>
                <w:color w:val="auto"/>
                <w:kern w:val="0"/>
                <w:sz w:val="18"/>
                <w:szCs w:val="18"/>
              </w:rPr>
              <w:t xml:space="preserve"> 2</w:t>
            </w:r>
            <w:r>
              <w:rPr>
                <w:rFonts w:hint="eastAsia" w:ascii="宋体" w:hAnsi="宋体" w:eastAsia="宋体" w:cs="宋体"/>
                <w:color w:val="auto"/>
                <w:kern w:val="0"/>
                <w:sz w:val="18"/>
                <w:szCs w:val="18"/>
              </w:rPr>
              <w:t>、在上级相关部门监督抽查中被点名或通报批评扣</w:t>
            </w:r>
            <w:r>
              <w:rPr>
                <w:rFonts w:ascii="宋体" w:hAnsi="宋体" w:eastAsia="宋体" w:cs="宋体"/>
                <w:color w:val="auto"/>
                <w:kern w:val="0"/>
                <w:sz w:val="18"/>
                <w:szCs w:val="18"/>
              </w:rPr>
              <w:t>5</w:t>
            </w:r>
            <w:r>
              <w:rPr>
                <w:rFonts w:hint="eastAsia" w:ascii="宋体" w:hAnsi="宋体" w:eastAsia="宋体" w:cs="宋体"/>
                <w:color w:val="auto"/>
                <w:kern w:val="0"/>
                <w:sz w:val="18"/>
                <w:szCs w:val="18"/>
              </w:rPr>
              <w:t>分；因工作不到位造成恶劣影响的，</w:t>
            </w:r>
            <w:r>
              <w:rPr>
                <w:rFonts w:hint="eastAsia" w:ascii="宋体" w:hAnsi="宋体" w:eastAsia="宋体" w:cs="宋体"/>
                <w:color w:val="auto"/>
                <w:kern w:val="0"/>
                <w:sz w:val="18"/>
                <w:szCs w:val="18"/>
                <w:highlight w:val="none"/>
              </w:rPr>
              <w:t>有效投诉以及有正当理由信访较多，</w:t>
            </w:r>
            <w:r>
              <w:rPr>
                <w:rFonts w:hint="eastAsia" w:ascii="宋体" w:hAnsi="宋体" w:eastAsia="宋体" w:cs="宋体"/>
                <w:color w:val="auto"/>
                <w:kern w:val="0"/>
                <w:sz w:val="18"/>
                <w:szCs w:val="18"/>
              </w:rPr>
              <w:t>群众反映特别强烈的扣</w:t>
            </w:r>
            <w:r>
              <w:rPr>
                <w:rFonts w:ascii="宋体" w:hAnsi="宋体" w:eastAsia="宋体" w:cs="宋体"/>
                <w:color w:val="auto"/>
                <w:kern w:val="0"/>
                <w:sz w:val="18"/>
                <w:szCs w:val="18"/>
              </w:rPr>
              <w:t>5</w:t>
            </w:r>
            <w:r>
              <w:rPr>
                <w:rFonts w:hint="eastAsia" w:ascii="宋体" w:hAnsi="宋体" w:eastAsia="宋体" w:cs="宋体"/>
                <w:color w:val="auto"/>
                <w:kern w:val="0"/>
                <w:sz w:val="18"/>
                <w:szCs w:val="18"/>
              </w:rPr>
              <w:t>分；工作严重失职，被新闻媒体曝光的扣</w:t>
            </w:r>
            <w:r>
              <w:rPr>
                <w:rFonts w:ascii="宋体" w:hAnsi="宋体" w:eastAsia="宋体" w:cs="宋体"/>
                <w:color w:val="auto"/>
                <w:kern w:val="0"/>
                <w:sz w:val="18"/>
                <w:szCs w:val="18"/>
              </w:rPr>
              <w:t>5</w:t>
            </w:r>
            <w:r>
              <w:rPr>
                <w:rFonts w:hint="eastAsia" w:ascii="宋体" w:hAnsi="宋体" w:eastAsia="宋体" w:cs="宋体"/>
                <w:color w:val="auto"/>
                <w:kern w:val="0"/>
                <w:sz w:val="18"/>
                <w:szCs w:val="18"/>
              </w:rPr>
              <w:t>分。</w:t>
            </w:r>
          </w:p>
        </w:tc>
      </w:tr>
    </w:tbl>
    <w:p>
      <w:pPr>
        <w:pStyle w:val="21"/>
        <w:rPr>
          <w:rFonts w:cs="宋体"/>
          <w:b/>
          <w:bCs/>
          <w:color w:val="auto"/>
          <w:kern w:val="2"/>
        </w:rPr>
      </w:pPr>
    </w:p>
    <w:p>
      <w:pPr>
        <w:pStyle w:val="21"/>
        <w:rPr>
          <w:rFonts w:cs="宋体"/>
          <w:b/>
          <w:bCs/>
          <w:color w:val="auto"/>
          <w:kern w:val="2"/>
        </w:rPr>
      </w:pPr>
    </w:p>
    <w:p>
      <w:pPr>
        <w:rPr>
          <w:rFonts w:hint="eastAsia" w:cs="宋体"/>
          <w:b/>
          <w:bCs/>
          <w:color w:val="auto"/>
          <w:kern w:val="2"/>
        </w:rPr>
      </w:pPr>
      <w:r>
        <w:rPr>
          <w:rFonts w:hint="eastAsia" w:cs="宋体"/>
          <w:b/>
          <w:bCs/>
          <w:color w:val="auto"/>
          <w:kern w:val="2"/>
        </w:rPr>
        <w:br w:type="page"/>
      </w:r>
    </w:p>
    <w:p>
      <w:pPr>
        <w:pStyle w:val="49"/>
        <w:spacing w:line="420" w:lineRule="exact"/>
        <w:ind w:left="0" w:firstLine="31680"/>
        <w:rPr>
          <w:rFonts w:ascii="宋体" w:cs="宋体"/>
          <w:color w:val="auto"/>
          <w:kern w:val="2"/>
        </w:rPr>
      </w:pPr>
      <w:r>
        <w:rPr>
          <w:rFonts w:hint="eastAsia" w:cs="宋体"/>
          <w:b/>
          <w:bCs/>
          <w:color w:val="auto"/>
          <w:kern w:val="2"/>
        </w:rPr>
        <w:t>六、</w:t>
      </w:r>
      <w:r>
        <w:rPr>
          <w:rFonts w:hint="eastAsia" w:ascii="宋体" w:hAnsi="宋体" w:cs="宋体"/>
          <w:b/>
          <w:bCs/>
          <w:color w:val="auto"/>
          <w:kern w:val="2"/>
        </w:rPr>
        <w:t>合同履约要求</w:t>
      </w:r>
    </w:p>
    <w:p>
      <w:pPr>
        <w:widowControl/>
        <w:adjustRightInd w:val="0"/>
        <w:snapToGrid w:val="0"/>
        <w:spacing w:line="420" w:lineRule="exact"/>
        <w:ind w:firstLine="480" w:firstLineChars="200"/>
        <w:jc w:val="left"/>
        <w:rPr>
          <w:rFonts w:ascii="宋体" w:hAnsi="宋体" w:eastAsia="宋体" w:cs="宋体"/>
          <w:color w:val="auto"/>
        </w:rPr>
      </w:pPr>
      <w:r>
        <w:rPr>
          <w:rFonts w:ascii="宋体" w:hAnsi="宋体" w:eastAsia="宋体" w:cs="宋体"/>
          <w:color w:val="auto"/>
        </w:rPr>
        <w:t>1.</w:t>
      </w:r>
      <w:r>
        <w:rPr>
          <w:rFonts w:hint="eastAsia" w:eastAsia="宋体"/>
          <w:color w:val="auto"/>
          <w:kern w:val="0"/>
        </w:rPr>
        <w:t>服务供应商须按合同履约，因触发“退出机制”条款或其他违反法律法规政策和相关规定，履约期限内出现重大问题（含引发社会民生的群体事件）、满意率低于某值等，采购人将严格按“退出机制”条款执行，责令服务供应商退出，同时采购人有权根据项目的履行情况酌情扣除部分或全部履约保证金；运营费用根据季度考核结果及实际服务时间按比例结算，同时涉及项目投资建设资金回报一同作为服务供应商违约或不适当履约的后果而自行承担。</w:t>
      </w:r>
    </w:p>
    <w:p>
      <w:pPr>
        <w:widowControl/>
        <w:adjustRightInd w:val="0"/>
        <w:snapToGrid w:val="0"/>
        <w:spacing w:line="420" w:lineRule="exact"/>
        <w:ind w:firstLine="480" w:firstLineChars="200"/>
        <w:jc w:val="left"/>
        <w:rPr>
          <w:rFonts w:ascii="宋体" w:hAnsi="宋体" w:eastAsia="宋体" w:cs="宋体"/>
          <w:color w:val="auto"/>
        </w:rPr>
      </w:pPr>
      <w:r>
        <w:rPr>
          <w:rFonts w:ascii="宋体" w:hAnsi="宋体" w:eastAsia="宋体" w:cs="宋体"/>
          <w:color w:val="auto"/>
        </w:rPr>
        <w:t>2.</w:t>
      </w:r>
      <w:r>
        <w:rPr>
          <w:rFonts w:hint="eastAsia" w:ascii="宋体" w:hAnsi="宋体" w:eastAsia="宋体" w:cs="宋体"/>
          <w:color w:val="auto"/>
        </w:rPr>
        <w:t>供应商在合同履行过程中出现水电费欠缴、房屋及硬件设施损坏、因服务质量有问题、服务不当等自身原因造成服务对象损失等情况时，若供应商拒不履行缴费或赔偿义务的，采购人有权直接从运营费用中扣除，不足部分从履约保证金中直接扣除，若运营费用及履约保证金两者金额仍然不足以缴费或赔偿费用的，不足部分由供应商自行承担。</w:t>
      </w:r>
    </w:p>
    <w:p>
      <w:pPr>
        <w:widowControl/>
        <w:adjustRightInd w:val="0"/>
        <w:snapToGrid w:val="0"/>
        <w:spacing w:line="420" w:lineRule="exact"/>
        <w:ind w:firstLine="480" w:firstLineChars="200"/>
        <w:jc w:val="left"/>
        <w:rPr>
          <w:rFonts w:ascii="宋体" w:hAnsi="宋体" w:eastAsia="宋体" w:cs="宋体"/>
          <w:color w:val="auto"/>
        </w:rPr>
      </w:pPr>
      <w:r>
        <w:rPr>
          <w:rFonts w:ascii="宋体" w:hAnsi="宋体" w:eastAsia="宋体" w:cs="宋体"/>
          <w:color w:val="auto"/>
        </w:rPr>
        <w:t>3.</w:t>
      </w:r>
      <w:r>
        <w:rPr>
          <w:rFonts w:hint="eastAsia" w:ascii="宋体" w:hAnsi="宋体" w:eastAsia="宋体" w:cs="宋体"/>
          <w:color w:val="auto"/>
        </w:rPr>
        <w:t>合同履行过程中，若服务供应商未能完全响应采购人及竞争性磋商文件要求，以及未按照响应文件及合同条款提供服务的，不服从采购人管理等情况的，采购人有权责令其在规定期限内无条件退出。</w:t>
      </w:r>
    </w:p>
    <w:p>
      <w:pPr>
        <w:widowControl/>
        <w:adjustRightInd w:val="0"/>
        <w:snapToGrid w:val="0"/>
        <w:spacing w:line="420" w:lineRule="exact"/>
        <w:ind w:firstLine="480" w:firstLineChars="200"/>
        <w:jc w:val="left"/>
        <w:rPr>
          <w:rFonts w:ascii="宋体" w:hAnsi="宋体" w:eastAsia="宋体" w:cs="宋体"/>
          <w:color w:val="auto"/>
        </w:rPr>
      </w:pPr>
      <w:r>
        <w:rPr>
          <w:rFonts w:ascii="宋体" w:hAnsi="宋体" w:eastAsia="宋体" w:cs="宋体"/>
          <w:color w:val="auto"/>
        </w:rPr>
        <w:t>4.</w:t>
      </w:r>
      <w:r>
        <w:rPr>
          <w:rFonts w:hint="eastAsia" w:ascii="宋体" w:hAnsi="宋体" w:eastAsia="宋体" w:cs="宋体"/>
          <w:color w:val="auto"/>
        </w:rPr>
        <w:t>若服务供应商在合同履行过程中存在安全管理重大疏忽、服务及价格弄虚作假、对服务对象造成重大人身伤害及财产损失等情况时，采购人有权责令其在规定期限内无条件退出，并承担相应的经济与法律责任。</w:t>
      </w:r>
    </w:p>
    <w:p>
      <w:pPr>
        <w:widowControl/>
        <w:adjustRightInd w:val="0"/>
        <w:snapToGrid w:val="0"/>
        <w:spacing w:line="420" w:lineRule="exact"/>
        <w:ind w:firstLine="480" w:firstLineChars="200"/>
        <w:jc w:val="left"/>
        <w:rPr>
          <w:rFonts w:ascii="宋体" w:hAnsi="宋体" w:eastAsia="宋体" w:cs="宋体"/>
          <w:color w:val="auto"/>
        </w:rPr>
      </w:pPr>
      <w:r>
        <w:rPr>
          <w:rFonts w:ascii="宋体" w:hAnsi="宋体" w:eastAsia="宋体" w:cs="宋体"/>
          <w:color w:val="auto"/>
        </w:rPr>
        <w:t>5.</w:t>
      </w:r>
      <w:r>
        <w:rPr>
          <w:rFonts w:hint="eastAsia" w:ascii="宋体" w:hAnsi="宋体" w:eastAsia="宋体" w:cs="宋体"/>
          <w:color w:val="auto"/>
        </w:rPr>
        <w:t>合同履约期间，如出现重大综合管理缺陷，采购人有权自缺陷出现之日起直至缺陷更正，进行处惩。</w:t>
      </w:r>
    </w:p>
    <w:p>
      <w:pPr>
        <w:widowControl/>
        <w:adjustRightInd w:val="0"/>
        <w:snapToGrid w:val="0"/>
        <w:spacing w:line="420" w:lineRule="exact"/>
        <w:ind w:firstLine="480" w:firstLineChars="200"/>
        <w:jc w:val="left"/>
        <w:rPr>
          <w:rFonts w:ascii="宋体" w:hAnsi="宋体" w:eastAsia="宋体" w:cs="宋体"/>
          <w:color w:val="auto"/>
        </w:rPr>
      </w:pPr>
      <w:r>
        <w:rPr>
          <w:rFonts w:ascii="宋体" w:hAnsi="宋体" w:eastAsia="宋体" w:cs="宋体"/>
          <w:color w:val="auto"/>
        </w:rPr>
        <w:t>6.</w:t>
      </w:r>
      <w:r>
        <w:rPr>
          <w:rFonts w:hint="eastAsia" w:ascii="宋体" w:hAnsi="宋体" w:eastAsia="宋体" w:cs="宋体"/>
          <w:color w:val="auto"/>
        </w:rPr>
        <w:t>本项目服务合同到期后，应配合采购人规划本项目下一合同期的采购工作及交接工作，承诺与该项目下一合同期成交人做好技术交底及相应的衔接工作。</w:t>
      </w:r>
    </w:p>
    <w:p>
      <w:pPr>
        <w:widowControl/>
        <w:adjustRightInd w:val="0"/>
        <w:snapToGrid w:val="0"/>
        <w:spacing w:line="420" w:lineRule="exact"/>
        <w:ind w:firstLine="480" w:firstLineChars="200"/>
        <w:jc w:val="left"/>
        <w:rPr>
          <w:rFonts w:ascii="宋体" w:hAnsi="宋体" w:eastAsia="宋体" w:cs="宋体"/>
          <w:color w:val="auto"/>
        </w:rPr>
      </w:pPr>
      <w:r>
        <w:rPr>
          <w:rFonts w:ascii="宋体" w:hAnsi="宋体" w:eastAsia="宋体" w:cs="宋体"/>
          <w:color w:val="auto"/>
        </w:rPr>
        <w:t>7.</w:t>
      </w:r>
      <w:r>
        <w:rPr>
          <w:rFonts w:hint="eastAsia" w:ascii="宋体" w:hAnsi="宋体" w:eastAsia="宋体" w:cs="宋体"/>
          <w:color w:val="auto"/>
        </w:rPr>
        <w:t>供应商在履约期间，违反下列规定将被解除合同：</w:t>
      </w:r>
    </w:p>
    <w:p>
      <w:pPr>
        <w:widowControl/>
        <w:adjustRightInd w:val="0"/>
        <w:snapToGrid w:val="0"/>
        <w:spacing w:line="420" w:lineRule="exact"/>
        <w:ind w:firstLine="480" w:firstLineChars="200"/>
        <w:jc w:val="left"/>
        <w:rPr>
          <w:rFonts w:ascii="宋体" w:hAnsi="宋体" w:eastAsia="宋体" w:cs="宋体"/>
          <w:color w:val="auto"/>
        </w:rPr>
      </w:pPr>
      <w:r>
        <w:rPr>
          <w:rFonts w:hint="eastAsia" w:ascii="宋体" w:hAnsi="宋体" w:eastAsia="宋体" w:cs="宋体"/>
          <w:color w:val="auto"/>
        </w:rPr>
        <w:t>（</w:t>
      </w:r>
      <w:r>
        <w:rPr>
          <w:rFonts w:ascii="宋体" w:hAnsi="宋体" w:eastAsia="宋体" w:cs="宋体"/>
          <w:color w:val="auto"/>
        </w:rPr>
        <w:t>1</w:t>
      </w:r>
      <w:r>
        <w:rPr>
          <w:rFonts w:hint="eastAsia" w:ascii="宋体" w:hAnsi="宋体" w:eastAsia="宋体" w:cs="宋体"/>
          <w:color w:val="auto"/>
        </w:rPr>
        <w:t>）严禁将服务转包他人；</w:t>
      </w:r>
    </w:p>
    <w:p>
      <w:pPr>
        <w:widowControl/>
        <w:adjustRightInd w:val="0"/>
        <w:snapToGrid w:val="0"/>
        <w:spacing w:line="420" w:lineRule="exact"/>
        <w:ind w:firstLine="480" w:firstLineChars="200"/>
        <w:jc w:val="left"/>
        <w:rPr>
          <w:rFonts w:ascii="宋体" w:hAnsi="宋体" w:eastAsia="宋体" w:cs="宋体"/>
          <w:color w:val="auto"/>
        </w:rPr>
      </w:pPr>
      <w:r>
        <w:rPr>
          <w:rFonts w:hint="eastAsia" w:ascii="宋体" w:hAnsi="宋体" w:eastAsia="宋体" w:cs="宋体"/>
          <w:color w:val="auto"/>
        </w:rPr>
        <w:t>（</w:t>
      </w:r>
      <w:r>
        <w:rPr>
          <w:rFonts w:ascii="宋体" w:hAnsi="宋体" w:eastAsia="宋体" w:cs="宋体"/>
          <w:color w:val="auto"/>
        </w:rPr>
        <w:t>2</w:t>
      </w:r>
      <w:r>
        <w:rPr>
          <w:rFonts w:hint="eastAsia" w:ascii="宋体" w:hAnsi="宋体" w:eastAsia="宋体" w:cs="宋体"/>
          <w:color w:val="auto"/>
        </w:rPr>
        <w:t>）相关考核办法的有关规定。</w:t>
      </w:r>
    </w:p>
    <w:p>
      <w:pPr>
        <w:widowControl/>
        <w:adjustRightInd w:val="0"/>
        <w:snapToGrid w:val="0"/>
        <w:spacing w:line="420" w:lineRule="exact"/>
        <w:ind w:firstLine="480" w:firstLineChars="200"/>
        <w:jc w:val="left"/>
        <w:rPr>
          <w:rFonts w:ascii="宋体" w:hAnsi="宋体" w:eastAsia="宋体" w:cs="宋体"/>
          <w:color w:val="auto"/>
        </w:rPr>
      </w:pPr>
      <w:r>
        <w:rPr>
          <w:rFonts w:ascii="宋体" w:hAnsi="宋体" w:eastAsia="宋体" w:cs="宋体"/>
          <w:color w:val="auto"/>
        </w:rPr>
        <w:t>8.</w:t>
      </w:r>
      <w:r>
        <w:rPr>
          <w:rFonts w:hint="eastAsia" w:ascii="宋体" w:hAnsi="宋体" w:eastAsia="宋体" w:cs="宋体"/>
          <w:color w:val="auto"/>
        </w:rPr>
        <w:t>合同履行期间由于供应商的责任，违反管理考核规章等情形或造成社会不良影响的，采购人有权根据情节轻重采取以下一项或多项措施：</w:t>
      </w:r>
    </w:p>
    <w:p>
      <w:pPr>
        <w:widowControl/>
        <w:adjustRightInd w:val="0"/>
        <w:snapToGrid w:val="0"/>
        <w:spacing w:line="420" w:lineRule="exact"/>
        <w:ind w:firstLine="480" w:firstLineChars="200"/>
        <w:jc w:val="left"/>
        <w:rPr>
          <w:rFonts w:ascii="宋体" w:hAnsi="宋体" w:eastAsia="宋体" w:cs="宋体"/>
          <w:color w:val="auto"/>
        </w:rPr>
      </w:pPr>
      <w:r>
        <w:rPr>
          <w:rFonts w:hint="eastAsia" w:ascii="宋体" w:hAnsi="宋体" w:eastAsia="宋体" w:cs="宋体"/>
          <w:color w:val="auto"/>
        </w:rPr>
        <w:t>（</w:t>
      </w:r>
      <w:r>
        <w:rPr>
          <w:rFonts w:ascii="宋体" w:hAnsi="宋体" w:eastAsia="宋体" w:cs="宋体"/>
          <w:color w:val="auto"/>
        </w:rPr>
        <w:t>1</w:t>
      </w:r>
      <w:r>
        <w:rPr>
          <w:rFonts w:hint="eastAsia" w:ascii="宋体" w:hAnsi="宋体" w:eastAsia="宋体" w:cs="宋体"/>
          <w:color w:val="auto"/>
        </w:rPr>
        <w:t>）解除与服务供应商的合同；</w:t>
      </w:r>
    </w:p>
    <w:p>
      <w:pPr>
        <w:widowControl/>
        <w:adjustRightInd w:val="0"/>
        <w:snapToGrid w:val="0"/>
        <w:spacing w:line="420" w:lineRule="exact"/>
        <w:ind w:firstLine="480" w:firstLineChars="200"/>
        <w:jc w:val="left"/>
        <w:rPr>
          <w:rFonts w:ascii="宋体" w:hAnsi="宋体" w:eastAsia="宋体" w:cs="宋体"/>
          <w:color w:val="auto"/>
        </w:rPr>
      </w:pPr>
      <w:r>
        <w:rPr>
          <w:rFonts w:hint="eastAsia" w:ascii="宋体" w:hAnsi="宋体" w:eastAsia="宋体" w:cs="宋体"/>
          <w:color w:val="auto"/>
        </w:rPr>
        <w:t>（</w:t>
      </w:r>
      <w:r>
        <w:rPr>
          <w:rFonts w:ascii="宋体" w:hAnsi="宋体" w:eastAsia="宋体" w:cs="宋体"/>
          <w:color w:val="auto"/>
        </w:rPr>
        <w:t>2</w:t>
      </w:r>
      <w:r>
        <w:rPr>
          <w:rFonts w:hint="eastAsia" w:ascii="宋体" w:hAnsi="宋体" w:eastAsia="宋体" w:cs="宋体"/>
          <w:color w:val="auto"/>
        </w:rPr>
        <w:t>）不接受被采购人责令退出本项目服务的供应商在以后本项目采购活动中的响应；</w:t>
      </w:r>
    </w:p>
    <w:p>
      <w:pPr>
        <w:widowControl/>
        <w:adjustRightInd w:val="0"/>
        <w:snapToGrid w:val="0"/>
        <w:spacing w:line="420" w:lineRule="exact"/>
        <w:ind w:firstLine="480" w:firstLineChars="200"/>
        <w:jc w:val="left"/>
        <w:rPr>
          <w:rFonts w:ascii="宋体" w:hAnsi="宋体" w:eastAsia="宋体" w:cs="宋体"/>
          <w:b/>
          <w:bCs/>
          <w:color w:val="auto"/>
        </w:rPr>
      </w:pPr>
      <w:r>
        <w:rPr>
          <w:rFonts w:hint="eastAsia" w:ascii="宋体" w:hAnsi="宋体" w:eastAsia="宋体" w:cs="宋体"/>
          <w:color w:val="auto"/>
        </w:rPr>
        <w:t>（</w:t>
      </w:r>
      <w:r>
        <w:rPr>
          <w:rFonts w:ascii="宋体" w:hAnsi="宋体" w:eastAsia="宋体" w:cs="宋体"/>
          <w:color w:val="auto"/>
        </w:rPr>
        <w:t>3</w:t>
      </w:r>
      <w:r>
        <w:rPr>
          <w:rFonts w:hint="eastAsia" w:ascii="宋体" w:hAnsi="宋体" w:eastAsia="宋体" w:cs="宋体"/>
          <w:color w:val="auto"/>
        </w:rPr>
        <w:t>）涉及违约金、赔偿金或其他应付费用的，采购人有权从应支付服务供应商的服务结算款、已缴付的履约保证金等可扣款项中扣除（若上述款项不足或没有可扣除款项，服务供应商应另行向采购人支付）。</w:t>
      </w:r>
    </w:p>
    <w:p>
      <w:pPr>
        <w:spacing w:line="420" w:lineRule="exact"/>
        <w:ind w:firstLine="482" w:firstLineChars="200"/>
        <w:outlineLvl w:val="2"/>
        <w:rPr>
          <w:rFonts w:eastAsia="宋体" w:cs="宋体"/>
          <w:b/>
          <w:bCs/>
          <w:color w:val="auto"/>
        </w:rPr>
      </w:pPr>
      <w:r>
        <w:rPr>
          <w:rFonts w:hint="eastAsia" w:ascii="宋体" w:hAnsi="宋体" w:eastAsia="宋体" w:cs="宋体"/>
          <w:b/>
          <w:bCs/>
          <w:color w:val="auto"/>
        </w:rPr>
        <w:t>七、</w:t>
      </w:r>
      <w:r>
        <w:rPr>
          <w:rFonts w:hint="eastAsia" w:eastAsia="宋体" w:cs="宋体"/>
          <w:b/>
          <w:bCs/>
          <w:color w:val="auto"/>
        </w:rPr>
        <w:t>其他</w:t>
      </w:r>
    </w:p>
    <w:p>
      <w:pPr>
        <w:widowControl/>
        <w:adjustRightInd w:val="0"/>
        <w:snapToGrid w:val="0"/>
        <w:spacing w:line="420" w:lineRule="exact"/>
        <w:ind w:firstLine="480" w:firstLineChars="200"/>
        <w:jc w:val="left"/>
        <w:rPr>
          <w:rFonts w:ascii="宋体" w:hAnsi="宋体" w:eastAsia="宋体" w:cs="宋体"/>
          <w:color w:val="auto"/>
        </w:rPr>
      </w:pPr>
      <w:bookmarkStart w:id="28" w:name="_Hlk72599031"/>
      <w:r>
        <w:rPr>
          <w:rFonts w:ascii="宋体" w:hAnsi="宋体" w:eastAsia="宋体" w:cs="宋体"/>
          <w:color w:val="auto"/>
        </w:rPr>
        <w:t>1.</w:t>
      </w:r>
      <w:r>
        <w:rPr>
          <w:rFonts w:hint="eastAsia" w:ascii="宋体" w:hAnsi="宋体" w:eastAsia="宋体" w:cs="宋体"/>
          <w:color w:val="auto"/>
        </w:rPr>
        <w:t>竞标响应时，须提供（</w:t>
      </w:r>
      <w:r>
        <w:rPr>
          <w:rFonts w:ascii="宋体" w:hAnsi="宋体" w:eastAsia="宋体" w:cs="宋体"/>
          <w:color w:val="auto"/>
        </w:rPr>
        <w:t>1</w:t>
      </w:r>
      <w:r>
        <w:rPr>
          <w:rFonts w:hint="eastAsia" w:ascii="宋体" w:hAnsi="宋体" w:eastAsia="宋体" w:cs="宋体"/>
          <w:color w:val="auto"/>
        </w:rPr>
        <w:t>）投资建设经营“综合性养老服务中心”</w:t>
      </w:r>
      <w:r>
        <w:rPr>
          <w:rFonts w:hint="eastAsia" w:eastAsia="宋体"/>
          <w:bCs/>
          <w:color w:val="auto"/>
        </w:rPr>
        <w:t>运营管理</w:t>
      </w:r>
      <w:r>
        <w:rPr>
          <w:rFonts w:hint="eastAsia" w:ascii="宋体" w:hAnsi="宋体" w:eastAsia="宋体" w:cs="宋体"/>
          <w:color w:val="auto"/>
        </w:rPr>
        <w:t>理念的详细说明；（</w:t>
      </w:r>
      <w:r>
        <w:rPr>
          <w:rFonts w:ascii="宋体" w:hAnsi="宋体" w:eastAsia="宋体" w:cs="宋体"/>
          <w:color w:val="auto"/>
        </w:rPr>
        <w:t>2</w:t>
      </w:r>
      <w:r>
        <w:rPr>
          <w:rFonts w:hint="eastAsia" w:ascii="宋体" w:hAnsi="宋体" w:eastAsia="宋体" w:cs="宋体"/>
          <w:color w:val="auto"/>
        </w:rPr>
        <w:t>）投资建设的“综合性养老服务中心”资金来源的详细说明，并提供《建设资金到位和专款专用的承诺函》（格式自拟）；</w:t>
      </w:r>
    </w:p>
    <w:p>
      <w:pPr>
        <w:widowControl/>
        <w:adjustRightInd w:val="0"/>
        <w:snapToGrid w:val="0"/>
        <w:spacing w:line="420" w:lineRule="exact"/>
        <w:ind w:firstLine="480" w:firstLineChars="200"/>
        <w:jc w:val="left"/>
        <w:rPr>
          <w:rFonts w:ascii="宋体" w:hAnsi="宋体" w:eastAsia="宋体" w:cs="宋体"/>
          <w:color w:val="auto"/>
        </w:rPr>
      </w:pPr>
      <w:r>
        <w:rPr>
          <w:rFonts w:ascii="宋体" w:hAnsi="宋体" w:eastAsia="宋体" w:cs="宋体"/>
          <w:color w:val="auto"/>
        </w:rPr>
        <w:t>2.</w:t>
      </w:r>
      <w:r>
        <w:rPr>
          <w:rFonts w:hint="eastAsia" w:ascii="宋体" w:hAnsi="宋体" w:eastAsia="宋体" w:cs="宋体"/>
          <w:color w:val="auto"/>
        </w:rPr>
        <w:t>竞标前必须勘察项目现场，并取得现场资料数据，同时与采购人确认本项目具体地点位置；</w:t>
      </w:r>
    </w:p>
    <w:p>
      <w:pPr>
        <w:widowControl/>
        <w:adjustRightInd w:val="0"/>
        <w:snapToGrid w:val="0"/>
        <w:spacing w:line="420" w:lineRule="exact"/>
        <w:ind w:firstLine="480" w:firstLineChars="200"/>
        <w:jc w:val="left"/>
        <w:rPr>
          <w:rFonts w:ascii="宋体" w:hAnsi="宋体" w:eastAsia="宋体" w:cs="宋体"/>
          <w:color w:val="auto"/>
        </w:rPr>
      </w:pPr>
      <w:r>
        <w:rPr>
          <w:rFonts w:ascii="宋体" w:hAnsi="宋体" w:eastAsia="宋体" w:cs="宋体"/>
          <w:color w:val="auto"/>
        </w:rPr>
        <w:t>3.</w:t>
      </w:r>
      <w:r>
        <w:rPr>
          <w:rFonts w:hint="eastAsia" w:ascii="宋体" w:hAnsi="宋体" w:eastAsia="宋体" w:cs="宋体"/>
          <w:color w:val="auto"/>
        </w:rPr>
        <w:t>就“综合性养老服务中心”资金投入结合经营理念，针对本项目在提供规定要求的运营含服务具体内容下，如何做到营收平衡和开展具体有特色的创新服务，并为此提供明确和条理清晰、内容翔实的说明；</w:t>
      </w:r>
    </w:p>
    <w:p>
      <w:pPr>
        <w:widowControl/>
        <w:adjustRightInd w:val="0"/>
        <w:snapToGrid w:val="0"/>
        <w:spacing w:line="420" w:lineRule="exact"/>
        <w:ind w:firstLine="480" w:firstLineChars="200"/>
        <w:jc w:val="left"/>
        <w:rPr>
          <w:rFonts w:ascii="宋体" w:hAnsi="宋体" w:eastAsia="宋体" w:cs="宋体"/>
          <w:color w:val="auto"/>
        </w:rPr>
      </w:pPr>
      <w:r>
        <w:rPr>
          <w:rFonts w:ascii="宋体" w:hAnsi="宋体" w:eastAsia="宋体" w:cs="宋体"/>
          <w:color w:val="auto"/>
        </w:rPr>
        <w:t>4.</w:t>
      </w:r>
      <w:r>
        <w:rPr>
          <w:rFonts w:hint="eastAsia" w:ascii="宋体" w:hAnsi="宋体" w:eastAsia="宋体" w:cs="宋体"/>
          <w:color w:val="auto"/>
        </w:rPr>
        <w:t>提供“综合性养老服务中心”《建设装饰装修工期保证承诺函》（格式自拟，加盖公章，提供合同工期总日历天数，但须确保在</w:t>
      </w:r>
      <w:r>
        <w:rPr>
          <w:rFonts w:ascii="宋体" w:hAnsi="宋体" w:eastAsia="宋体" w:cs="宋体"/>
          <w:b/>
          <w:bCs/>
          <w:color w:val="auto"/>
        </w:rPr>
        <w:t>2022</w:t>
      </w:r>
      <w:r>
        <w:rPr>
          <w:rFonts w:hint="eastAsia" w:ascii="宋体" w:hAnsi="宋体" w:eastAsia="宋体" w:cs="宋体"/>
          <w:b/>
          <w:bCs/>
          <w:color w:val="auto"/>
        </w:rPr>
        <w:t>年</w:t>
      </w:r>
      <w:r>
        <w:rPr>
          <w:rFonts w:ascii="宋体" w:hAnsi="宋体" w:eastAsia="宋体" w:cs="宋体"/>
          <w:b/>
          <w:bCs/>
          <w:color w:val="auto"/>
        </w:rPr>
        <w:t>11</w:t>
      </w:r>
      <w:r>
        <w:rPr>
          <w:rFonts w:hint="eastAsia" w:ascii="宋体" w:hAnsi="宋体" w:eastAsia="宋体" w:cs="宋体"/>
          <w:b/>
          <w:bCs/>
          <w:color w:val="auto"/>
        </w:rPr>
        <w:t>月</w:t>
      </w:r>
      <w:r>
        <w:rPr>
          <w:rFonts w:ascii="宋体" w:hAnsi="宋体" w:eastAsia="宋体" w:cs="宋体"/>
          <w:b/>
          <w:bCs/>
          <w:color w:val="auto"/>
        </w:rPr>
        <w:t>20</w:t>
      </w:r>
      <w:r>
        <w:rPr>
          <w:rFonts w:hint="eastAsia" w:ascii="宋体" w:hAnsi="宋体" w:eastAsia="宋体" w:cs="宋体"/>
          <w:b/>
          <w:bCs/>
          <w:color w:val="auto"/>
        </w:rPr>
        <w:t>日前完成</w:t>
      </w:r>
      <w:r>
        <w:rPr>
          <w:rFonts w:hint="eastAsia" w:ascii="宋体" w:hAnsi="宋体" w:eastAsia="宋体" w:cs="宋体"/>
          <w:color w:val="auto"/>
        </w:rPr>
        <w:t>完成竣工验收。）；</w:t>
      </w:r>
    </w:p>
    <w:bookmarkEnd w:id="28"/>
    <w:p>
      <w:pPr>
        <w:widowControl/>
        <w:adjustRightInd w:val="0"/>
        <w:snapToGrid w:val="0"/>
        <w:spacing w:line="420" w:lineRule="exact"/>
        <w:ind w:firstLine="480" w:firstLineChars="200"/>
        <w:jc w:val="left"/>
        <w:rPr>
          <w:rFonts w:ascii="宋体" w:hAnsi="宋体" w:eastAsia="宋体" w:cs="宋体"/>
          <w:color w:val="auto"/>
        </w:rPr>
      </w:pPr>
      <w:r>
        <w:rPr>
          <w:rFonts w:hint="eastAsia" w:ascii="宋体" w:hAnsi="宋体" w:eastAsia="宋体" w:cs="宋体"/>
          <w:color w:val="auto"/>
        </w:rPr>
        <w:t>（注：上述投资建设的技术响应文件内容，不得有缺陷或漏项。否则有可能被视为未实质性响应竞争性磋商文件要求而作无效响应处理。）</w:t>
      </w:r>
    </w:p>
    <w:p>
      <w:pPr>
        <w:pStyle w:val="49"/>
        <w:spacing w:line="420" w:lineRule="exact"/>
        <w:ind w:left="0" w:firstLine="31680"/>
        <w:rPr>
          <w:rFonts w:ascii="宋体" w:cs="宋体"/>
          <w:color w:val="auto"/>
          <w:kern w:val="2"/>
        </w:rPr>
      </w:pPr>
      <w:r>
        <w:rPr>
          <w:rFonts w:ascii="宋体" w:hAnsi="宋体" w:cs="宋体"/>
          <w:color w:val="auto"/>
          <w:kern w:val="2"/>
        </w:rPr>
        <w:t>5.</w:t>
      </w:r>
      <w:r>
        <w:rPr>
          <w:rFonts w:hint="eastAsia" w:ascii="宋体" w:hAnsi="宋体" w:cs="宋体"/>
          <w:color w:val="auto"/>
          <w:kern w:val="2"/>
        </w:rPr>
        <w:t>针对“退出机制”条款，技术响应文件中提供相应的《退出机制条款执行承诺函》，</w:t>
      </w:r>
    </w:p>
    <w:p>
      <w:pPr>
        <w:pStyle w:val="49"/>
        <w:spacing w:line="420" w:lineRule="exact"/>
        <w:ind w:left="0" w:firstLine="0" w:firstLineChars="0"/>
        <w:rPr>
          <w:rFonts w:ascii="宋体" w:cs="宋体"/>
          <w:color w:val="auto"/>
          <w:kern w:val="2"/>
        </w:rPr>
      </w:pPr>
      <w:r>
        <w:rPr>
          <w:rFonts w:hint="eastAsia" w:ascii="宋体" w:hAnsi="宋体" w:cs="宋体"/>
          <w:color w:val="auto"/>
          <w:kern w:val="2"/>
        </w:rPr>
        <w:t>格式自拟，加盖公章。</w:t>
      </w:r>
    </w:p>
    <w:p>
      <w:pPr>
        <w:spacing w:line="420" w:lineRule="exact"/>
        <w:ind w:firstLine="480" w:firstLineChars="200"/>
        <w:outlineLvl w:val="2"/>
        <w:rPr>
          <w:rFonts w:ascii="宋体" w:hAnsi="宋体" w:eastAsia="宋体" w:cs="宋体"/>
          <w:color w:val="auto"/>
        </w:rPr>
      </w:pPr>
      <w:r>
        <w:rPr>
          <w:rFonts w:ascii="宋体" w:hAnsi="宋体" w:cs="宋体"/>
          <w:color w:val="auto"/>
        </w:rPr>
        <w:t>6.</w:t>
      </w:r>
      <w:r>
        <w:rPr>
          <w:rFonts w:hint="eastAsia" w:ascii="宋体" w:hAnsi="宋体" w:eastAsia="宋体" w:cs="宋体"/>
          <w:color w:val="auto"/>
        </w:rPr>
        <w:t>针对本采购项目，技术响应文件中须提供项目《服务到期配合承诺函》（格式自拟，加盖公章）：</w:t>
      </w:r>
    </w:p>
    <w:p>
      <w:pPr>
        <w:snapToGrid w:val="0"/>
        <w:spacing w:line="420" w:lineRule="exact"/>
        <w:ind w:firstLine="480" w:firstLineChars="200"/>
        <w:rPr>
          <w:rFonts w:ascii="宋体" w:hAnsi="宋体" w:eastAsia="宋体" w:cs="宋体"/>
          <w:color w:val="auto"/>
        </w:rPr>
      </w:pPr>
      <w:r>
        <w:rPr>
          <w:rFonts w:hint="eastAsia" w:ascii="宋体" w:hAnsi="宋体" w:eastAsia="宋体" w:cs="宋体"/>
          <w:color w:val="auto"/>
        </w:rPr>
        <w:t>提供在本项目服务合同到期后，为采购人提供关于本项目的后续服务配合的承诺，其内容必须包括但不限于：配合采购人规划本项目下一合同期的招标工作及交接工作，承诺与该项目下一合同期成交人做好技术交底及相应的衔接工作。</w:t>
      </w:r>
    </w:p>
    <w:p>
      <w:pPr>
        <w:pStyle w:val="49"/>
        <w:spacing w:line="420" w:lineRule="exact"/>
        <w:ind w:left="240" w:firstLine="241" w:firstLineChars="100"/>
        <w:rPr>
          <w:rFonts w:ascii="宋体" w:cs="宋体"/>
          <w:b/>
          <w:bCs/>
          <w:color w:val="auto"/>
          <w:kern w:val="2"/>
        </w:rPr>
      </w:pPr>
      <w:r>
        <w:rPr>
          <w:rFonts w:hint="eastAsia" w:ascii="宋体" w:hAnsi="宋体" w:cs="宋体"/>
          <w:b/>
          <w:bCs/>
          <w:color w:val="auto"/>
          <w:kern w:val="2"/>
        </w:rPr>
        <w:t>八、现场述标</w:t>
      </w:r>
    </w:p>
    <w:p>
      <w:pPr>
        <w:snapToGrid w:val="0"/>
        <w:spacing w:line="420" w:lineRule="exact"/>
        <w:ind w:firstLine="480" w:firstLineChars="200"/>
        <w:rPr>
          <w:rFonts w:eastAsia="宋体"/>
          <w:bCs/>
          <w:color w:val="auto"/>
        </w:rPr>
      </w:pPr>
      <w:bookmarkStart w:id="29" w:name="_Hlk71403188"/>
      <w:r>
        <w:rPr>
          <w:rFonts w:eastAsia="宋体"/>
          <w:bCs/>
          <w:color w:val="auto"/>
        </w:rPr>
        <w:t>1.</w:t>
      </w:r>
      <w:r>
        <w:rPr>
          <w:rFonts w:hint="eastAsia" w:eastAsia="宋体"/>
          <w:bCs/>
          <w:color w:val="auto"/>
        </w:rPr>
        <w:t>“述标”活动</w:t>
      </w:r>
    </w:p>
    <w:p>
      <w:pPr>
        <w:snapToGrid w:val="0"/>
        <w:spacing w:line="420" w:lineRule="exact"/>
        <w:ind w:firstLine="480" w:firstLineChars="200"/>
        <w:rPr>
          <w:rFonts w:eastAsia="宋体"/>
          <w:bCs/>
          <w:color w:val="auto"/>
        </w:rPr>
      </w:pPr>
      <w:r>
        <w:rPr>
          <w:rFonts w:hint="eastAsia" w:eastAsia="宋体"/>
          <w:bCs/>
          <w:color w:val="auto"/>
        </w:rPr>
        <w:t>针对本采购项目，技术标响应评审评分阶段有现场述标，供应商须自带电脑设备，采用</w:t>
      </w:r>
      <w:r>
        <w:rPr>
          <w:rFonts w:eastAsia="宋体"/>
          <w:bCs/>
          <w:color w:val="auto"/>
        </w:rPr>
        <w:t>PPT</w:t>
      </w:r>
      <w:r>
        <w:rPr>
          <w:rFonts w:hint="eastAsia" w:eastAsia="宋体"/>
          <w:bCs/>
          <w:color w:val="auto"/>
        </w:rPr>
        <w:t>的形式进行述标。</w:t>
      </w:r>
    </w:p>
    <w:p>
      <w:pPr>
        <w:snapToGrid w:val="0"/>
        <w:spacing w:line="420" w:lineRule="exact"/>
        <w:ind w:firstLine="480" w:firstLineChars="200"/>
        <w:rPr>
          <w:rFonts w:eastAsia="宋体"/>
          <w:bCs/>
          <w:color w:val="auto"/>
        </w:rPr>
      </w:pPr>
      <w:r>
        <w:rPr>
          <w:rFonts w:eastAsia="宋体"/>
          <w:bCs/>
          <w:color w:val="auto"/>
        </w:rPr>
        <w:t>2.</w:t>
      </w:r>
      <w:r>
        <w:rPr>
          <w:rFonts w:hint="eastAsia" w:eastAsia="宋体"/>
          <w:bCs/>
          <w:color w:val="auto"/>
        </w:rPr>
        <w:t>“述标”内容</w:t>
      </w:r>
    </w:p>
    <w:p>
      <w:pPr>
        <w:snapToGrid w:val="0"/>
        <w:spacing w:line="420" w:lineRule="exact"/>
        <w:ind w:firstLine="480" w:firstLineChars="200"/>
        <w:rPr>
          <w:rFonts w:eastAsia="宋体"/>
          <w:bCs/>
          <w:color w:val="auto"/>
        </w:rPr>
      </w:pPr>
      <w:r>
        <w:rPr>
          <w:rFonts w:hint="eastAsia" w:eastAsia="宋体"/>
          <w:bCs/>
          <w:color w:val="auto"/>
        </w:rPr>
        <w:t>按“综合性养老服务中心建设及运营管理”、“居家养老服务中心（站）运营管理”、“政府购买居家养老服务”、“残疾人之家运营管理”四项内容，在理解本项目承办运营服务的总体目标基础上，就“投资建设、运营服务、管理思路（含应急处置、投诉处理）、市场化服务拓展”四个方面，进行现场讲解述标。</w:t>
      </w:r>
    </w:p>
    <w:p>
      <w:pPr>
        <w:snapToGrid w:val="0"/>
        <w:spacing w:line="420" w:lineRule="exact"/>
        <w:ind w:firstLine="480" w:firstLineChars="200"/>
        <w:rPr>
          <w:rFonts w:eastAsia="宋体"/>
          <w:bCs/>
          <w:color w:val="auto"/>
        </w:rPr>
      </w:pPr>
      <w:r>
        <w:rPr>
          <w:rFonts w:eastAsia="宋体"/>
          <w:bCs/>
          <w:color w:val="auto"/>
        </w:rPr>
        <w:t>3.</w:t>
      </w:r>
      <w:r>
        <w:rPr>
          <w:rFonts w:hint="eastAsia" w:eastAsia="宋体"/>
          <w:bCs/>
          <w:color w:val="auto"/>
        </w:rPr>
        <w:t>“述标”时间</w:t>
      </w:r>
    </w:p>
    <w:p>
      <w:pPr>
        <w:snapToGrid w:val="0"/>
        <w:spacing w:line="420" w:lineRule="exact"/>
        <w:ind w:firstLine="480" w:firstLineChars="200"/>
        <w:rPr>
          <w:rFonts w:eastAsia="宋体"/>
          <w:bCs/>
          <w:color w:val="auto"/>
          <w:u w:val="thick" w:color="FF0000"/>
        </w:rPr>
      </w:pPr>
      <w:r>
        <w:rPr>
          <w:rFonts w:hint="eastAsia" w:eastAsia="宋体"/>
          <w:bCs/>
          <w:color w:val="auto"/>
        </w:rPr>
        <w:t>“述标”时长控制在</w:t>
      </w:r>
      <w:r>
        <w:rPr>
          <w:rFonts w:eastAsia="宋体"/>
          <w:bCs/>
          <w:color w:val="auto"/>
        </w:rPr>
        <w:t>10-15</w:t>
      </w:r>
      <w:r>
        <w:rPr>
          <w:rFonts w:hint="eastAsia" w:eastAsia="宋体"/>
          <w:bCs/>
          <w:color w:val="auto"/>
        </w:rPr>
        <w:t>分钟内，同时对竞争性磋商小组现场提出的问题进行解答。</w:t>
      </w:r>
    </w:p>
    <w:p>
      <w:pPr>
        <w:snapToGrid w:val="0"/>
        <w:spacing w:line="420" w:lineRule="exact"/>
        <w:ind w:firstLine="480" w:firstLineChars="200"/>
        <w:rPr>
          <w:rFonts w:eastAsia="宋体"/>
          <w:bCs/>
          <w:color w:val="auto"/>
          <w:u w:val="thick" w:color="FF0000"/>
        </w:rPr>
      </w:pPr>
      <w:bookmarkStart w:id="30" w:name="_Hlk71388322"/>
      <w:r>
        <w:rPr>
          <w:rFonts w:eastAsia="宋体"/>
          <w:bCs/>
          <w:color w:val="auto"/>
        </w:rPr>
        <w:t>4.</w:t>
      </w:r>
      <w:r>
        <w:rPr>
          <w:rFonts w:hint="eastAsia" w:eastAsia="宋体"/>
          <w:bCs/>
          <w:color w:val="auto"/>
        </w:rPr>
        <w:t>“述标”文件的形式</w:t>
      </w:r>
      <w:bookmarkEnd w:id="30"/>
    </w:p>
    <w:p>
      <w:pPr>
        <w:snapToGrid w:val="0"/>
        <w:spacing w:line="420" w:lineRule="exact"/>
        <w:ind w:firstLine="480" w:firstLineChars="200"/>
        <w:rPr>
          <w:rFonts w:eastAsia="宋体"/>
          <w:bCs/>
          <w:color w:val="auto"/>
        </w:rPr>
      </w:pPr>
      <w:r>
        <w:rPr>
          <w:rFonts w:hint="eastAsia" w:eastAsia="宋体"/>
          <w:bCs/>
          <w:color w:val="auto"/>
        </w:rPr>
        <w:t>（</w:t>
      </w:r>
      <w:r>
        <w:rPr>
          <w:rFonts w:eastAsia="宋体"/>
          <w:bCs/>
          <w:color w:val="auto"/>
        </w:rPr>
        <w:t>1</w:t>
      </w:r>
      <w:r>
        <w:rPr>
          <w:rFonts w:hint="eastAsia" w:eastAsia="宋体"/>
          <w:bCs/>
          <w:color w:val="auto"/>
        </w:rPr>
        <w:t>）“述标”文件按</w:t>
      </w:r>
      <w:r>
        <w:rPr>
          <w:rFonts w:eastAsia="宋体"/>
          <w:bCs/>
          <w:color w:val="auto"/>
        </w:rPr>
        <w:t>PPT</w:t>
      </w:r>
      <w:r>
        <w:rPr>
          <w:rFonts w:hint="eastAsia" w:eastAsia="宋体"/>
          <w:bCs/>
          <w:color w:val="auto"/>
        </w:rPr>
        <w:t>格式，</w:t>
      </w:r>
      <w:r>
        <w:rPr>
          <w:rFonts w:hint="eastAsia" w:eastAsia="宋体"/>
          <w:b/>
          <w:color w:val="auto"/>
        </w:rPr>
        <w:t>编制电子文件，并以“</w:t>
      </w:r>
      <w:r>
        <w:rPr>
          <w:rFonts w:eastAsia="宋体"/>
          <w:b/>
          <w:color w:val="auto"/>
        </w:rPr>
        <w:t>U</w:t>
      </w:r>
      <w:r>
        <w:rPr>
          <w:rFonts w:hint="eastAsia" w:eastAsia="宋体"/>
          <w:b/>
          <w:color w:val="auto"/>
        </w:rPr>
        <w:t>盘”装载，密封在“技术响应文件”内</w:t>
      </w:r>
      <w:r>
        <w:rPr>
          <w:rFonts w:hint="eastAsia" w:eastAsia="宋体"/>
          <w:bCs/>
          <w:color w:val="auto"/>
        </w:rPr>
        <w:t>。</w:t>
      </w:r>
    </w:p>
    <w:p>
      <w:pPr>
        <w:snapToGrid w:val="0"/>
        <w:spacing w:line="420" w:lineRule="exact"/>
        <w:ind w:firstLine="480" w:firstLineChars="200"/>
        <w:rPr>
          <w:rFonts w:eastAsia="宋体"/>
          <w:bCs/>
          <w:color w:val="auto"/>
        </w:rPr>
      </w:pPr>
      <w:r>
        <w:rPr>
          <w:rFonts w:hint="eastAsia" w:eastAsia="宋体"/>
          <w:bCs/>
          <w:color w:val="auto"/>
        </w:rPr>
        <w:t>（</w:t>
      </w:r>
      <w:r>
        <w:rPr>
          <w:rFonts w:eastAsia="宋体"/>
          <w:bCs/>
          <w:color w:val="auto"/>
        </w:rPr>
        <w:t>2</w:t>
      </w:r>
      <w:r>
        <w:rPr>
          <w:rFonts w:hint="eastAsia" w:eastAsia="宋体"/>
          <w:bCs/>
          <w:color w:val="auto"/>
        </w:rPr>
        <w:t>）供应商应做好“述标”电子文件的防护措施，以免电子文件无法读取，否则后果由供应商自行承担。</w:t>
      </w:r>
      <w:bookmarkEnd w:id="29"/>
    </w:p>
    <w:p>
      <w:pPr>
        <w:pStyle w:val="21"/>
        <w:ind w:left="240" w:leftChars="0" w:firstLine="0" w:firstLineChars="0"/>
        <w:rPr>
          <w:color w:val="auto"/>
        </w:rPr>
      </w:pPr>
    </w:p>
    <w:p>
      <w:pPr>
        <w:pStyle w:val="49"/>
        <w:ind w:left="0" w:firstLine="31680"/>
        <w:rPr>
          <w:color w:val="auto"/>
        </w:rPr>
      </w:pPr>
    </w:p>
    <w:p>
      <w:pPr>
        <w:spacing w:line="420" w:lineRule="exact"/>
        <w:ind w:firstLine="482" w:firstLineChars="200"/>
        <w:outlineLvl w:val="1"/>
        <w:rPr>
          <w:rFonts w:eastAsia="宋体"/>
          <w:b/>
          <w:color w:val="auto"/>
          <w:highlight w:val="yellow"/>
        </w:rPr>
      </w:pPr>
    </w:p>
    <w:bookmarkEnd w:id="21"/>
    <w:p>
      <w:pPr>
        <w:tabs>
          <w:tab w:val="left" w:pos="1050"/>
          <w:tab w:val="right" w:leader="dot" w:pos="9402"/>
        </w:tabs>
        <w:spacing w:beforeLines="100" w:line="600" w:lineRule="exact"/>
        <w:jc w:val="center"/>
        <w:outlineLvl w:val="0"/>
        <w:rPr>
          <w:rFonts w:eastAsia="宋体"/>
          <w:b/>
          <w:bCs/>
          <w:color w:val="auto"/>
          <w:w w:val="80"/>
          <w:sz w:val="36"/>
          <w:szCs w:val="36"/>
        </w:rPr>
      </w:pPr>
      <w:r>
        <w:rPr>
          <w:rFonts w:hint="eastAsia" w:eastAsia="宋体" w:cs="宋体"/>
          <w:b/>
          <w:bCs/>
          <w:color w:val="auto"/>
          <w:w w:val="80"/>
          <w:sz w:val="36"/>
          <w:szCs w:val="36"/>
        </w:rPr>
        <w:t>第四章</w:t>
      </w:r>
      <w:bookmarkStart w:id="31" w:name="_Toc182848996"/>
      <w:r>
        <w:rPr>
          <w:rFonts w:eastAsia="宋体" w:cs="宋体"/>
          <w:b/>
          <w:bCs/>
          <w:color w:val="auto"/>
          <w:w w:val="80"/>
          <w:sz w:val="36"/>
          <w:szCs w:val="36"/>
        </w:rPr>
        <w:t xml:space="preserve">  </w:t>
      </w:r>
      <w:r>
        <w:rPr>
          <w:rFonts w:hint="eastAsia" w:eastAsia="宋体" w:cs="宋体"/>
          <w:b/>
          <w:bCs/>
          <w:color w:val="auto"/>
          <w:w w:val="80"/>
          <w:sz w:val="36"/>
          <w:szCs w:val="36"/>
        </w:rPr>
        <w:t>评审程序和方法</w:t>
      </w:r>
    </w:p>
    <w:p>
      <w:pPr>
        <w:snapToGrid w:val="0"/>
        <w:spacing w:line="420" w:lineRule="exact"/>
        <w:ind w:firstLine="482" w:firstLineChars="200"/>
        <w:outlineLvl w:val="1"/>
        <w:rPr>
          <w:rFonts w:eastAsia="宋体"/>
          <w:b/>
          <w:bCs/>
          <w:color w:val="auto"/>
        </w:rPr>
      </w:pPr>
      <w:r>
        <w:rPr>
          <w:rFonts w:hint="eastAsia" w:eastAsia="宋体" w:cs="宋体"/>
          <w:b/>
          <w:bCs/>
          <w:color w:val="auto"/>
        </w:rPr>
        <w:t>一、采购人委托采购代理机构组织磋商</w:t>
      </w:r>
    </w:p>
    <w:p>
      <w:pPr>
        <w:adjustRightInd w:val="0"/>
        <w:snapToGrid w:val="0"/>
        <w:spacing w:line="420" w:lineRule="exact"/>
        <w:ind w:firstLine="484" w:firstLineChars="202"/>
        <w:rPr>
          <w:rFonts w:eastAsia="宋体"/>
          <w:color w:val="auto"/>
          <w:highlight w:val="none"/>
        </w:rPr>
      </w:pPr>
      <w:r>
        <w:rPr>
          <w:rFonts w:eastAsia="宋体"/>
          <w:color w:val="auto"/>
        </w:rPr>
        <w:t>1.</w:t>
      </w:r>
      <w:r>
        <w:rPr>
          <w:rFonts w:hint="eastAsia" w:eastAsia="宋体"/>
          <w:b/>
          <w:bCs/>
          <w:color w:val="auto"/>
        </w:rPr>
        <w:t>本次竞争性磋商依据《中华人民共和国政府采购法》、《政府采购竞争性磋商采购方式管理暂行办法》及有关法规成立磋商小组。</w:t>
      </w:r>
      <w:r>
        <w:rPr>
          <w:rFonts w:hint="eastAsia" w:eastAsia="宋体"/>
          <w:b/>
          <w:bCs/>
          <w:color w:val="auto"/>
          <w:highlight w:val="none"/>
        </w:rPr>
        <w:t>磋商小组由采购人</w:t>
      </w:r>
      <w:r>
        <w:rPr>
          <w:rFonts w:hint="eastAsia" w:eastAsia="宋体"/>
          <w:b/>
          <w:bCs/>
          <w:color w:val="auto"/>
          <w:highlight w:val="none"/>
          <w:lang w:val="en-US" w:eastAsia="zh-CN"/>
        </w:rPr>
        <w:t>自行组织，具体以采购人</w:t>
      </w:r>
      <w:r>
        <w:rPr>
          <w:rFonts w:hint="eastAsia" w:eastAsia="宋体"/>
          <w:b/>
          <w:bCs/>
          <w:color w:val="auto"/>
          <w:highlight w:val="none"/>
        </w:rPr>
        <w:t>代表和评审专家共</w:t>
      </w:r>
      <w:r>
        <w:rPr>
          <w:rFonts w:eastAsia="宋体"/>
          <w:b/>
          <w:bCs/>
          <w:color w:val="auto"/>
          <w:highlight w:val="none"/>
        </w:rPr>
        <w:t>3</w:t>
      </w:r>
      <w:r>
        <w:rPr>
          <w:rFonts w:hint="eastAsia" w:eastAsia="宋体"/>
          <w:b/>
          <w:bCs/>
          <w:color w:val="auto"/>
          <w:highlight w:val="none"/>
        </w:rPr>
        <w:t>人或</w:t>
      </w:r>
      <w:r>
        <w:rPr>
          <w:rFonts w:eastAsia="宋体"/>
          <w:b/>
          <w:bCs/>
          <w:color w:val="auto"/>
          <w:highlight w:val="none"/>
        </w:rPr>
        <w:t>3</w:t>
      </w:r>
      <w:r>
        <w:rPr>
          <w:rFonts w:hint="eastAsia" w:eastAsia="宋体"/>
          <w:b/>
          <w:bCs/>
          <w:color w:val="auto"/>
          <w:highlight w:val="none"/>
        </w:rPr>
        <w:t>人以上单数组成。</w:t>
      </w:r>
    </w:p>
    <w:p>
      <w:pPr>
        <w:adjustRightInd w:val="0"/>
        <w:snapToGrid w:val="0"/>
        <w:spacing w:line="420" w:lineRule="exact"/>
        <w:ind w:firstLine="484" w:firstLineChars="202"/>
        <w:rPr>
          <w:rFonts w:eastAsia="宋体"/>
          <w:b/>
          <w:bCs/>
          <w:color w:val="auto"/>
        </w:rPr>
      </w:pPr>
      <w:r>
        <w:rPr>
          <w:rFonts w:eastAsia="宋体"/>
          <w:color w:val="auto"/>
        </w:rPr>
        <w:t>2.</w:t>
      </w:r>
      <w:r>
        <w:rPr>
          <w:rFonts w:hint="eastAsia" w:eastAsia="宋体"/>
          <w:b/>
          <w:bCs/>
          <w:color w:val="auto"/>
        </w:rPr>
        <w:t>本项目是按照“竞争性磋商”采购方式进行的政府与社会资本合作的落实政府民生养老政策的投资建设和承办运营服务采购项目。为此，按照财库〔</w:t>
      </w:r>
      <w:r>
        <w:rPr>
          <w:rFonts w:eastAsia="宋体"/>
          <w:b/>
          <w:bCs/>
          <w:color w:val="auto"/>
        </w:rPr>
        <w:t>2015</w:t>
      </w:r>
      <w:r>
        <w:rPr>
          <w:rFonts w:hint="eastAsia" w:eastAsia="宋体"/>
          <w:b/>
          <w:bCs/>
          <w:color w:val="auto"/>
        </w:rPr>
        <w:t>〕</w:t>
      </w:r>
      <w:r>
        <w:rPr>
          <w:rFonts w:eastAsia="宋体"/>
          <w:b/>
          <w:bCs/>
          <w:color w:val="auto"/>
        </w:rPr>
        <w:t>124</w:t>
      </w:r>
      <w:r>
        <w:rPr>
          <w:rFonts w:hint="eastAsia" w:eastAsia="宋体"/>
          <w:b/>
          <w:bCs/>
          <w:color w:val="auto"/>
        </w:rPr>
        <w:t>号《财政部关于政府采购竞争性磋商采购方式管理暂行办法有关问题的补充通知》要求，采用竞争性磋商采购方式采购的政府购买服务项目（含政府和社会资本合作项目），在采购过程中符合要求的供应商（社会资本）只有</w:t>
      </w:r>
      <w:r>
        <w:rPr>
          <w:rFonts w:eastAsia="宋体"/>
          <w:b/>
          <w:bCs/>
          <w:color w:val="auto"/>
        </w:rPr>
        <w:t>2</w:t>
      </w:r>
      <w:r>
        <w:rPr>
          <w:rFonts w:hint="eastAsia" w:eastAsia="宋体"/>
          <w:b/>
          <w:bCs/>
          <w:color w:val="auto"/>
        </w:rPr>
        <w:t>家的，竞争性磋商采购活动可以继续进行。采购过程中符合要求的供应商（社会资本）只有</w:t>
      </w:r>
      <w:r>
        <w:rPr>
          <w:rFonts w:eastAsia="宋体"/>
          <w:b/>
          <w:bCs/>
          <w:color w:val="auto"/>
        </w:rPr>
        <w:t>1</w:t>
      </w:r>
      <w:r>
        <w:rPr>
          <w:rFonts w:hint="eastAsia" w:eastAsia="宋体"/>
          <w:b/>
          <w:bCs/>
          <w:color w:val="auto"/>
        </w:rPr>
        <w:t>家的，采购人（项目实施机构）或者采购代理机构应当终止竞争性磋商采购活动，发布项目终止公告并说明原因，重新开展采购活动。</w:t>
      </w:r>
    </w:p>
    <w:p>
      <w:pPr>
        <w:adjustRightInd w:val="0"/>
        <w:snapToGrid w:val="0"/>
        <w:spacing w:line="420" w:lineRule="exact"/>
        <w:ind w:firstLine="484" w:firstLineChars="202"/>
        <w:rPr>
          <w:rFonts w:eastAsia="宋体"/>
          <w:color w:val="auto"/>
        </w:rPr>
      </w:pPr>
      <w:r>
        <w:rPr>
          <w:rFonts w:eastAsia="宋体" w:cs="宋体"/>
          <w:color w:val="auto"/>
        </w:rPr>
        <w:t>3.</w:t>
      </w:r>
      <w:r>
        <w:rPr>
          <w:rFonts w:hint="eastAsia" w:eastAsia="宋体" w:cs="宋体"/>
          <w:color w:val="auto"/>
        </w:rPr>
        <w:t>磋商响应供应商的法定代表人或被委托受权人须持身份证准时参加磋商评审会。</w:t>
      </w:r>
    </w:p>
    <w:p>
      <w:pPr>
        <w:snapToGrid w:val="0"/>
        <w:spacing w:line="420" w:lineRule="exact"/>
        <w:ind w:firstLine="482" w:firstLineChars="200"/>
        <w:outlineLvl w:val="1"/>
        <w:rPr>
          <w:rFonts w:eastAsia="宋体"/>
          <w:color w:val="auto"/>
        </w:rPr>
      </w:pPr>
      <w:r>
        <w:rPr>
          <w:rFonts w:hint="eastAsia" w:eastAsia="宋体" w:cs="宋体"/>
          <w:b/>
          <w:bCs/>
          <w:color w:val="auto"/>
        </w:rPr>
        <w:t>二、开启</w:t>
      </w:r>
    </w:p>
    <w:p>
      <w:pPr>
        <w:adjustRightInd w:val="0"/>
        <w:snapToGrid w:val="0"/>
        <w:spacing w:line="420" w:lineRule="exact"/>
        <w:ind w:firstLine="484" w:firstLineChars="202"/>
        <w:rPr>
          <w:rFonts w:eastAsia="宋体"/>
          <w:color w:val="auto"/>
        </w:rPr>
      </w:pPr>
      <w:bookmarkStart w:id="32" w:name="_Hlk45420790"/>
      <w:r>
        <w:rPr>
          <w:rFonts w:eastAsia="宋体"/>
          <w:color w:val="auto"/>
        </w:rPr>
        <w:t>1.</w:t>
      </w:r>
      <w:r>
        <w:rPr>
          <w:rFonts w:hint="eastAsia" w:eastAsia="宋体" w:cs="宋体"/>
          <w:color w:val="auto"/>
        </w:rPr>
        <w:t>磋商响应供应商不足</w:t>
      </w:r>
      <w:r>
        <w:rPr>
          <w:rFonts w:eastAsia="宋体"/>
          <w:color w:val="auto"/>
        </w:rPr>
        <w:t>3</w:t>
      </w:r>
      <w:r>
        <w:rPr>
          <w:rFonts w:hint="eastAsia" w:eastAsia="宋体"/>
          <w:color w:val="auto"/>
        </w:rPr>
        <w:t>家</w:t>
      </w:r>
      <w:r>
        <w:rPr>
          <w:rFonts w:hint="eastAsia" w:eastAsia="宋体" w:cs="宋体"/>
          <w:color w:val="auto"/>
        </w:rPr>
        <w:t>的，不得开启。</w:t>
      </w:r>
      <w:bookmarkEnd w:id="32"/>
    </w:p>
    <w:p>
      <w:pPr>
        <w:adjustRightInd w:val="0"/>
        <w:snapToGrid w:val="0"/>
        <w:spacing w:line="420" w:lineRule="exact"/>
        <w:ind w:firstLine="484" w:firstLineChars="202"/>
        <w:rPr>
          <w:rFonts w:eastAsia="宋体"/>
          <w:color w:val="auto"/>
        </w:rPr>
      </w:pPr>
      <w:r>
        <w:rPr>
          <w:rFonts w:eastAsia="宋体"/>
          <w:color w:val="auto"/>
        </w:rPr>
        <w:t>2.</w:t>
      </w:r>
      <w:r>
        <w:rPr>
          <w:rFonts w:hint="eastAsia" w:eastAsia="宋体" w:cs="宋体"/>
          <w:color w:val="auto"/>
        </w:rPr>
        <w:t>开启时间：同响应截止时间。开启地点：同响应文件递交地点，如有变动另行通知；</w:t>
      </w:r>
    </w:p>
    <w:p>
      <w:pPr>
        <w:spacing w:line="420" w:lineRule="exact"/>
        <w:ind w:firstLine="480" w:firstLineChars="200"/>
        <w:rPr>
          <w:rFonts w:eastAsia="宋体"/>
          <w:color w:val="auto"/>
        </w:rPr>
      </w:pPr>
      <w:r>
        <w:rPr>
          <w:rFonts w:eastAsia="宋体"/>
          <w:color w:val="auto"/>
        </w:rPr>
        <w:t>3.</w:t>
      </w:r>
      <w:r>
        <w:rPr>
          <w:rFonts w:hint="eastAsia" w:eastAsia="宋体" w:cs="宋体"/>
          <w:color w:val="auto"/>
        </w:rPr>
        <w:t>采购代理机构主持开启并记录，及时处理磋商响应供应商代表提出的询问或回避申请。</w:t>
      </w:r>
    </w:p>
    <w:p>
      <w:pPr>
        <w:adjustRightInd w:val="0"/>
        <w:snapToGrid w:val="0"/>
        <w:spacing w:line="420" w:lineRule="exact"/>
        <w:ind w:firstLine="484" w:firstLineChars="202"/>
        <w:rPr>
          <w:rFonts w:eastAsia="宋体"/>
          <w:color w:val="auto"/>
        </w:rPr>
      </w:pPr>
      <w:r>
        <w:rPr>
          <w:rFonts w:eastAsia="宋体"/>
          <w:color w:val="auto"/>
        </w:rPr>
        <w:t>4.</w:t>
      </w:r>
      <w:r>
        <w:rPr>
          <w:rFonts w:hint="eastAsia" w:eastAsia="宋体" w:cs="宋体"/>
          <w:color w:val="auto"/>
        </w:rPr>
        <w:t>开启后磋商响应供应商不得撤回磋商响应文件，否则将被视作失信行为而被列入“政府采购严重违法失信行为记录名单”。</w:t>
      </w:r>
    </w:p>
    <w:p>
      <w:pPr>
        <w:adjustRightInd w:val="0"/>
        <w:snapToGrid w:val="0"/>
        <w:spacing w:line="420" w:lineRule="exact"/>
        <w:ind w:firstLine="484" w:firstLineChars="202"/>
        <w:rPr>
          <w:rFonts w:eastAsia="宋体"/>
          <w:color w:val="auto"/>
        </w:rPr>
      </w:pPr>
      <w:r>
        <w:rPr>
          <w:rFonts w:eastAsia="宋体"/>
          <w:color w:val="auto"/>
        </w:rPr>
        <w:t>5.</w:t>
      </w:r>
      <w:r>
        <w:rPr>
          <w:rFonts w:hint="eastAsia" w:eastAsia="宋体" w:cs="宋体"/>
          <w:color w:val="auto"/>
        </w:rPr>
        <w:t>开启后，采购人委托磋商小组根据磋商文件载明的资格审查要求，对供应商的资格进行审查（含信用信息审查），合格的磋商响应供应商进入评审，参与项目的技术、价格响应磋商评审综合环节。</w:t>
      </w:r>
    </w:p>
    <w:p>
      <w:pPr>
        <w:adjustRightInd w:val="0"/>
        <w:snapToGrid w:val="0"/>
        <w:spacing w:line="420" w:lineRule="exact"/>
        <w:ind w:firstLine="484" w:firstLineChars="202"/>
        <w:rPr>
          <w:rFonts w:eastAsia="宋体"/>
        </w:rPr>
      </w:pPr>
      <w:r>
        <w:rPr>
          <w:rFonts w:eastAsia="宋体"/>
        </w:rPr>
        <w:t>6.</w:t>
      </w:r>
      <w:r>
        <w:rPr>
          <w:rFonts w:hint="eastAsia" w:eastAsia="宋体" w:cs="宋体"/>
        </w:rPr>
        <w:t>资格审查时间：</w:t>
      </w:r>
      <w:r>
        <w:rPr>
          <w:rFonts w:hint="eastAsia" w:eastAsia="宋体" w:cs="宋体"/>
          <w:b/>
          <w:bCs/>
          <w:u w:val="thick" w:color="FF0000"/>
        </w:rPr>
        <w:t>本项目开启后当即开始</w:t>
      </w:r>
      <w:r>
        <w:rPr>
          <w:rFonts w:hint="eastAsia" w:eastAsia="宋体" w:cs="宋体"/>
        </w:rPr>
        <w:t>。</w:t>
      </w:r>
    </w:p>
    <w:p>
      <w:pPr>
        <w:spacing w:line="420" w:lineRule="exact"/>
        <w:ind w:firstLine="480" w:firstLineChars="200"/>
        <w:rPr>
          <w:rFonts w:eastAsia="宋体"/>
        </w:rPr>
      </w:pPr>
      <w:r>
        <w:rPr>
          <w:rFonts w:eastAsia="宋体"/>
        </w:rPr>
        <w:t>7.</w:t>
      </w:r>
      <w:r>
        <w:rPr>
          <w:rFonts w:hint="eastAsia" w:eastAsia="宋体" w:cs="宋体"/>
        </w:rPr>
        <w:t>资格审查中包含对磋商响应供应商的信用记录进行审查，具体如下</w:t>
      </w:r>
    </w:p>
    <w:p>
      <w:pPr>
        <w:spacing w:line="420" w:lineRule="exact"/>
        <w:ind w:firstLine="480" w:firstLineChars="200"/>
        <w:rPr>
          <w:rFonts w:eastAsia="宋体"/>
        </w:rPr>
      </w:pPr>
      <w:r>
        <w:rPr>
          <w:rFonts w:hint="eastAsia" w:eastAsia="宋体" w:cs="宋体"/>
        </w:rPr>
        <w:t>（</w:t>
      </w:r>
      <w:r>
        <w:rPr>
          <w:rFonts w:eastAsia="宋体"/>
        </w:rPr>
        <w:t>1</w:t>
      </w:r>
      <w:r>
        <w:rPr>
          <w:rFonts w:hint="eastAsia" w:eastAsia="宋体" w:cs="宋体"/>
        </w:rPr>
        <w:t>）磋商响应供应商存在不良信用记录的，其磋商响应将被认定为无效。</w:t>
      </w:r>
    </w:p>
    <w:p>
      <w:pPr>
        <w:spacing w:line="420" w:lineRule="exact"/>
        <w:ind w:firstLine="480" w:firstLineChars="200"/>
        <w:rPr>
          <w:rFonts w:eastAsia="宋体"/>
        </w:rPr>
      </w:pPr>
      <w:r>
        <w:rPr>
          <w:rFonts w:hint="eastAsia" w:eastAsia="宋体" w:cs="宋体"/>
        </w:rPr>
        <w:t>（</w:t>
      </w:r>
      <w:r>
        <w:rPr>
          <w:rFonts w:eastAsia="宋体" w:cs="宋体"/>
        </w:rPr>
        <w:t>2</w:t>
      </w:r>
      <w:r>
        <w:rPr>
          <w:rFonts w:hint="eastAsia" w:eastAsia="宋体" w:cs="宋体"/>
        </w:rPr>
        <w:t>）不良信用记录指：磋商响应供应商在在</w:t>
      </w:r>
      <w:r>
        <w:rPr>
          <w:rFonts w:eastAsia="宋体" w:cs="宋体"/>
        </w:rPr>
        <w:t>“</w:t>
      </w:r>
      <w:r>
        <w:rPr>
          <w:rFonts w:hint="eastAsia" w:eastAsia="宋体" w:cs="宋体"/>
        </w:rPr>
        <w:t>信用中国</w:t>
      </w:r>
      <w:r>
        <w:rPr>
          <w:rFonts w:eastAsia="宋体" w:cs="宋体"/>
        </w:rPr>
        <w:t>”</w:t>
      </w:r>
      <w:r>
        <w:rPr>
          <w:rFonts w:hint="eastAsia" w:eastAsia="宋体" w:cs="宋体"/>
        </w:rPr>
        <w:t>网站（</w:t>
      </w:r>
      <w:r>
        <w:rPr>
          <w:rFonts w:eastAsia="宋体" w:cs="宋体"/>
        </w:rPr>
        <w:t>www.creditchina.gov.cn</w:t>
      </w:r>
      <w:r>
        <w:rPr>
          <w:rFonts w:hint="eastAsia" w:eastAsia="宋体" w:cs="宋体"/>
        </w:rPr>
        <w:t>）被列入失信被执行人、重大税收违法案件当事人名单，以及存在《中华人民共和国政府采购法实施条例》第十九条规定的行政处罚记录。</w:t>
      </w:r>
    </w:p>
    <w:p>
      <w:pPr>
        <w:spacing w:line="420" w:lineRule="exact"/>
        <w:ind w:firstLine="480" w:firstLineChars="200"/>
        <w:rPr>
          <w:rFonts w:eastAsia="宋体"/>
        </w:rPr>
      </w:pPr>
      <w:r>
        <w:rPr>
          <w:rFonts w:hint="eastAsia" w:eastAsia="宋体" w:cs="宋体"/>
        </w:rPr>
        <w:t>（</w:t>
      </w:r>
      <w:r>
        <w:rPr>
          <w:rFonts w:eastAsia="宋体"/>
        </w:rPr>
        <w:t>3</w:t>
      </w:r>
      <w:r>
        <w:rPr>
          <w:rFonts w:hint="eastAsia" w:eastAsia="宋体" w:cs="宋体"/>
        </w:rPr>
        <w:t>）采购人或采购代理机构将在磋商响应截止后</w:t>
      </w:r>
      <w:r>
        <w:rPr>
          <w:rFonts w:eastAsia="宋体"/>
        </w:rPr>
        <w:t>1</w:t>
      </w:r>
      <w:r>
        <w:rPr>
          <w:rFonts w:hint="eastAsia" w:eastAsia="宋体" w:cs="宋体"/>
        </w:rPr>
        <w:t>小时的时期内查询磋商响应供应商的信用记录。</w:t>
      </w:r>
    </w:p>
    <w:p>
      <w:pPr>
        <w:spacing w:line="420" w:lineRule="exact"/>
        <w:ind w:firstLine="480" w:firstLineChars="200"/>
        <w:rPr>
          <w:rFonts w:eastAsia="宋体"/>
        </w:rPr>
      </w:pPr>
      <w:r>
        <w:rPr>
          <w:rFonts w:hint="eastAsia" w:eastAsia="宋体" w:cs="宋体"/>
        </w:rPr>
        <w:t>（</w:t>
      </w:r>
      <w:r>
        <w:rPr>
          <w:rFonts w:eastAsia="宋体"/>
        </w:rPr>
        <w:t>4</w:t>
      </w:r>
      <w:r>
        <w:rPr>
          <w:rFonts w:hint="eastAsia" w:eastAsia="宋体" w:cs="宋体"/>
        </w:rPr>
        <w:t>）查询及记录方式：采购人或采购代理机构经办人将查询涉及的如网页、相关记录文件等打印、签字并存档备查。磋商响应供应商不良信用记录以采购人或采购代理机构查证查询核实的结果为准。</w:t>
      </w:r>
    </w:p>
    <w:p>
      <w:pPr>
        <w:spacing w:line="420" w:lineRule="exact"/>
        <w:ind w:firstLine="480" w:firstLineChars="200"/>
        <w:rPr>
          <w:rFonts w:eastAsia="宋体" w:cs="宋体"/>
        </w:rPr>
      </w:pPr>
      <w:r>
        <w:rPr>
          <w:rFonts w:hint="eastAsia" w:eastAsia="宋体" w:cs="宋体"/>
        </w:rPr>
        <w:t>（</w:t>
      </w:r>
      <w:r>
        <w:rPr>
          <w:rFonts w:eastAsia="宋体" w:cs="宋体"/>
        </w:rPr>
        <w:t>5</w:t>
      </w:r>
      <w:r>
        <w:rPr>
          <w:rFonts w:hint="eastAsia" w:eastAsia="宋体" w:cs="宋体"/>
        </w:rPr>
        <w:t>）在本磋商采购文件规定的磋商响应截止时间之后，涉有的查询网站信息或记录文件发生的任何变更均不再作为评审依据。磋商响应供应商自行提供的与网站信息不一致的或其他证明材料亦不作为资格核对的依据。</w:t>
      </w:r>
    </w:p>
    <w:p>
      <w:pPr>
        <w:spacing w:line="420" w:lineRule="exact"/>
        <w:ind w:firstLine="480" w:firstLineChars="200"/>
        <w:rPr>
          <w:rFonts w:eastAsia="宋体" w:cs="宋体"/>
        </w:rPr>
      </w:pPr>
      <w:r>
        <w:rPr>
          <w:rFonts w:eastAsia="宋体" w:cs="宋体"/>
        </w:rPr>
        <w:t>8.</w:t>
      </w:r>
      <w:r>
        <w:rPr>
          <w:rFonts w:hint="eastAsia" w:eastAsia="宋体" w:cs="宋体"/>
        </w:rPr>
        <w:t>资格审查标准一览表</w:t>
      </w:r>
    </w:p>
    <w:tbl>
      <w:tblPr>
        <w:tblStyle w:val="50"/>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7229"/>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blHeader/>
        </w:trPr>
        <w:tc>
          <w:tcPr>
            <w:tcW w:w="716" w:type="dxa"/>
            <w:vAlign w:val="center"/>
          </w:tcPr>
          <w:p>
            <w:pPr>
              <w:spacing w:line="420" w:lineRule="exact"/>
              <w:jc w:val="center"/>
              <w:rPr>
                <w:rFonts w:eastAsia="宋体"/>
                <w:b/>
                <w:bCs/>
              </w:rPr>
            </w:pPr>
            <w:r>
              <w:rPr>
                <w:rFonts w:hint="eastAsia" w:eastAsia="宋体"/>
                <w:b/>
                <w:bCs/>
                <w:kern w:val="0"/>
              </w:rPr>
              <w:t>序号</w:t>
            </w:r>
          </w:p>
        </w:tc>
        <w:tc>
          <w:tcPr>
            <w:tcW w:w="7229" w:type="dxa"/>
            <w:vAlign w:val="center"/>
          </w:tcPr>
          <w:p>
            <w:pPr>
              <w:spacing w:line="420" w:lineRule="exact"/>
              <w:jc w:val="center"/>
              <w:rPr>
                <w:rFonts w:eastAsia="宋体"/>
                <w:b/>
                <w:bCs/>
              </w:rPr>
            </w:pPr>
            <w:r>
              <w:rPr>
                <w:rFonts w:hint="eastAsia" w:eastAsia="宋体"/>
                <w:b/>
                <w:bCs/>
                <w:kern w:val="0"/>
              </w:rPr>
              <w:t>资格审查条款</w:t>
            </w:r>
          </w:p>
        </w:tc>
        <w:tc>
          <w:tcPr>
            <w:tcW w:w="1588" w:type="dxa"/>
            <w:vAlign w:val="center"/>
          </w:tcPr>
          <w:p>
            <w:pPr>
              <w:spacing w:line="420" w:lineRule="exact"/>
              <w:jc w:val="center"/>
              <w:rPr>
                <w:rFonts w:eastAsia="宋体"/>
                <w:b/>
                <w:bCs/>
              </w:rPr>
            </w:pPr>
            <w:r>
              <w:rPr>
                <w:rFonts w:hint="eastAsia" w:eastAsia="宋体"/>
                <w:b/>
                <w:bCs/>
              </w:rPr>
              <w:t>审查结论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16" w:type="dxa"/>
            <w:vAlign w:val="center"/>
          </w:tcPr>
          <w:p>
            <w:pPr>
              <w:spacing w:line="420" w:lineRule="exact"/>
              <w:jc w:val="center"/>
              <w:rPr>
                <w:rFonts w:eastAsia="宋体"/>
              </w:rPr>
            </w:pPr>
            <w:r>
              <w:rPr>
                <w:rFonts w:eastAsia="宋体"/>
                <w:kern w:val="0"/>
              </w:rPr>
              <w:t>1</w:t>
            </w:r>
          </w:p>
        </w:tc>
        <w:tc>
          <w:tcPr>
            <w:tcW w:w="7229" w:type="dxa"/>
            <w:vAlign w:val="center"/>
          </w:tcPr>
          <w:p>
            <w:pPr>
              <w:spacing w:line="420" w:lineRule="exact"/>
              <w:rPr>
                <w:rFonts w:eastAsia="宋体"/>
                <w:kern w:val="0"/>
              </w:rPr>
            </w:pPr>
            <w:r>
              <w:rPr>
                <w:rFonts w:hint="eastAsia" w:eastAsia="宋体"/>
              </w:rPr>
              <w:t>是否提供磋商响应供应商的《营业执照》原件的复印件（须加盖公章）。</w:t>
            </w:r>
          </w:p>
        </w:tc>
        <w:tc>
          <w:tcPr>
            <w:tcW w:w="1588" w:type="dxa"/>
            <w:vAlign w:val="center"/>
          </w:tcPr>
          <w:p>
            <w:pPr>
              <w:spacing w:line="420" w:lineRule="exact"/>
              <w:rPr>
                <w:rFonts w:eastAsia="宋体"/>
              </w:rPr>
            </w:pPr>
            <w:r>
              <w:rPr>
                <w:rFonts w:hint="eastAsia" w:eastAsia="宋体"/>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16" w:type="dxa"/>
            <w:vAlign w:val="center"/>
          </w:tcPr>
          <w:p>
            <w:pPr>
              <w:spacing w:line="420" w:lineRule="exact"/>
              <w:jc w:val="center"/>
              <w:rPr>
                <w:rFonts w:eastAsia="宋体"/>
              </w:rPr>
            </w:pPr>
            <w:r>
              <w:rPr>
                <w:rFonts w:eastAsia="宋体"/>
                <w:kern w:val="0"/>
              </w:rPr>
              <w:t>2</w:t>
            </w:r>
          </w:p>
        </w:tc>
        <w:tc>
          <w:tcPr>
            <w:tcW w:w="7229" w:type="dxa"/>
            <w:vAlign w:val="center"/>
          </w:tcPr>
          <w:p>
            <w:pPr>
              <w:spacing w:line="420" w:lineRule="exact"/>
              <w:rPr>
                <w:rFonts w:eastAsia="宋体"/>
                <w:kern w:val="0"/>
              </w:rPr>
            </w:pPr>
            <w:r>
              <w:rPr>
                <w:rFonts w:hint="eastAsia" w:eastAsia="宋体"/>
              </w:rPr>
              <w:t>是否提供供应商的法定代表人身份证明和身份证原件的复印件（须加盖公章）。</w:t>
            </w:r>
          </w:p>
        </w:tc>
        <w:tc>
          <w:tcPr>
            <w:tcW w:w="1588" w:type="dxa"/>
            <w:vAlign w:val="center"/>
          </w:tcPr>
          <w:p>
            <w:pPr>
              <w:spacing w:line="420" w:lineRule="exact"/>
              <w:rPr>
                <w:rFonts w:eastAsia="宋体"/>
              </w:rPr>
            </w:pPr>
            <w:r>
              <w:rPr>
                <w:rFonts w:hint="eastAsia" w:eastAsia="宋体"/>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16" w:type="dxa"/>
            <w:vAlign w:val="center"/>
          </w:tcPr>
          <w:p>
            <w:pPr>
              <w:spacing w:line="420" w:lineRule="exact"/>
              <w:jc w:val="center"/>
              <w:rPr>
                <w:rFonts w:eastAsia="宋体"/>
                <w:kern w:val="0"/>
              </w:rPr>
            </w:pPr>
            <w:r>
              <w:rPr>
                <w:rFonts w:eastAsia="宋体"/>
                <w:kern w:val="0"/>
              </w:rPr>
              <w:t>3</w:t>
            </w:r>
          </w:p>
        </w:tc>
        <w:tc>
          <w:tcPr>
            <w:tcW w:w="7229" w:type="dxa"/>
            <w:vAlign w:val="center"/>
          </w:tcPr>
          <w:p>
            <w:pPr>
              <w:spacing w:line="420" w:lineRule="exact"/>
              <w:rPr>
                <w:rFonts w:eastAsia="宋体"/>
                <w:kern w:val="0"/>
              </w:rPr>
            </w:pPr>
            <w:r>
              <w:rPr>
                <w:rFonts w:hint="eastAsia" w:eastAsia="宋体"/>
              </w:rPr>
              <w:t>如为被委托受权人参加磋商响应的，是否提供法定代表人签名或盖章的授权委托书及被委托受权人身份证这两项原件的复印件（须加盖公章），并提供被委托受权人与磋商响应供应商签订的有效劳动合同（注：不接受劳务合同、劳务协议。）和社保机构出具且盖章的磋商响应供应商为其交纳的</w:t>
            </w:r>
            <w:r>
              <w:rPr>
                <w:rFonts w:eastAsia="宋体"/>
              </w:rPr>
              <w:t>202</w:t>
            </w:r>
            <w:r>
              <w:rPr>
                <w:rFonts w:hint="eastAsia" w:eastAsia="宋体"/>
                <w:lang w:val="en-US" w:eastAsia="zh-CN"/>
              </w:rPr>
              <w:t>2</w:t>
            </w:r>
            <w:r>
              <w:rPr>
                <w:rFonts w:hint="eastAsia" w:eastAsia="宋体"/>
              </w:rPr>
              <w:t>年</w:t>
            </w:r>
            <w:r>
              <w:rPr>
                <w:rFonts w:hint="eastAsia" w:eastAsia="宋体"/>
                <w:lang w:val="en-US" w:eastAsia="zh-CN"/>
              </w:rPr>
              <w:t>1</w:t>
            </w:r>
            <w:r>
              <w:rPr>
                <w:rFonts w:hint="eastAsia" w:eastAsia="宋体"/>
              </w:rPr>
              <w:t>个至</w:t>
            </w:r>
            <w:r>
              <w:rPr>
                <w:rFonts w:eastAsia="宋体"/>
              </w:rPr>
              <w:t>2022</w:t>
            </w:r>
            <w:r>
              <w:rPr>
                <w:rFonts w:hint="eastAsia" w:eastAsia="宋体"/>
              </w:rPr>
              <w:t>年</w:t>
            </w:r>
            <w:r>
              <w:rPr>
                <w:rFonts w:hint="eastAsia" w:eastAsia="宋体"/>
                <w:lang w:val="en-US" w:eastAsia="zh-CN"/>
              </w:rPr>
              <w:t>3</w:t>
            </w:r>
            <w:r>
              <w:rPr>
                <w:rFonts w:hint="eastAsia" w:eastAsia="宋体"/>
              </w:rPr>
              <w:t>月连续</w:t>
            </w:r>
            <w:r>
              <w:rPr>
                <w:rFonts w:eastAsia="宋体"/>
              </w:rPr>
              <w:t>3</w:t>
            </w:r>
            <w:r>
              <w:rPr>
                <w:rFonts w:hint="eastAsia" w:eastAsia="宋体"/>
              </w:rPr>
              <w:t>个月的养老保险缴费清单这两项原件的复印件（须加盖公章）。</w:t>
            </w:r>
          </w:p>
        </w:tc>
        <w:tc>
          <w:tcPr>
            <w:tcW w:w="1588" w:type="dxa"/>
            <w:vAlign w:val="center"/>
          </w:tcPr>
          <w:p>
            <w:pPr>
              <w:spacing w:line="420" w:lineRule="exact"/>
              <w:rPr>
                <w:rFonts w:eastAsia="宋体"/>
              </w:rPr>
            </w:pPr>
            <w:r>
              <w:rPr>
                <w:rFonts w:hint="eastAsia" w:eastAsia="宋体"/>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16" w:type="dxa"/>
            <w:vAlign w:val="center"/>
          </w:tcPr>
          <w:p>
            <w:pPr>
              <w:spacing w:line="420" w:lineRule="exact"/>
              <w:jc w:val="center"/>
              <w:rPr>
                <w:rFonts w:eastAsia="宋体"/>
                <w:kern w:val="0"/>
              </w:rPr>
            </w:pPr>
            <w:r>
              <w:rPr>
                <w:rFonts w:eastAsia="宋体"/>
                <w:kern w:val="0"/>
              </w:rPr>
              <w:t>4</w:t>
            </w:r>
          </w:p>
        </w:tc>
        <w:tc>
          <w:tcPr>
            <w:tcW w:w="7229" w:type="dxa"/>
            <w:vAlign w:val="center"/>
          </w:tcPr>
          <w:p>
            <w:pPr>
              <w:spacing w:line="420" w:lineRule="exact"/>
              <w:rPr>
                <w:rFonts w:eastAsia="宋体"/>
              </w:rPr>
            </w:pPr>
            <w:r>
              <w:rPr>
                <w:rFonts w:hint="eastAsia" w:eastAsia="宋体"/>
              </w:rPr>
              <w:t>依据提供磋商响应供应商上一年度（即</w:t>
            </w:r>
            <w:r>
              <w:rPr>
                <w:rFonts w:eastAsia="宋体"/>
              </w:rPr>
              <w:t>2020</w:t>
            </w:r>
            <w:r>
              <w:rPr>
                <w:rFonts w:hint="eastAsia" w:eastAsia="宋体"/>
              </w:rPr>
              <w:t>年度）经会计师事务所或审计机构审计的财务报表（财务报表指资产负债表、利润表、现金流量表）及审计报告这</w:t>
            </w:r>
            <w:r>
              <w:rPr>
                <w:rFonts w:eastAsia="宋体"/>
              </w:rPr>
              <w:t>2</w:t>
            </w:r>
            <w:r>
              <w:rPr>
                <w:rFonts w:hint="eastAsia" w:eastAsia="宋体"/>
              </w:rPr>
              <w:t>项资料原件的复印件（须加盖公章），判断供应商的资金状况是否良好，是否符合本项目要求投入资金建设的实力。</w:t>
            </w:r>
          </w:p>
        </w:tc>
        <w:tc>
          <w:tcPr>
            <w:tcW w:w="1588" w:type="dxa"/>
            <w:vAlign w:val="center"/>
          </w:tcPr>
          <w:p>
            <w:pPr>
              <w:spacing w:line="420" w:lineRule="exact"/>
              <w:rPr>
                <w:rFonts w:eastAsia="宋体"/>
              </w:rPr>
            </w:pPr>
            <w:r>
              <w:rPr>
                <w:rFonts w:hint="eastAsia" w:eastAsia="宋体"/>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16" w:type="dxa"/>
            <w:vAlign w:val="center"/>
          </w:tcPr>
          <w:p>
            <w:pPr>
              <w:spacing w:line="420" w:lineRule="exact"/>
              <w:jc w:val="center"/>
              <w:rPr>
                <w:rFonts w:eastAsia="宋体"/>
              </w:rPr>
            </w:pPr>
            <w:r>
              <w:rPr>
                <w:rFonts w:eastAsia="宋体"/>
              </w:rPr>
              <w:t>5</w:t>
            </w:r>
          </w:p>
        </w:tc>
        <w:tc>
          <w:tcPr>
            <w:tcW w:w="7229" w:type="dxa"/>
            <w:vAlign w:val="center"/>
          </w:tcPr>
          <w:p>
            <w:pPr>
              <w:spacing w:line="420" w:lineRule="exact"/>
              <w:rPr>
                <w:rFonts w:eastAsia="宋体"/>
              </w:rPr>
            </w:pPr>
            <w:r>
              <w:rPr>
                <w:rFonts w:hint="eastAsia" w:eastAsia="宋体"/>
              </w:rPr>
              <w:t>是否提供磋商响应供应</w:t>
            </w:r>
            <w:r>
              <w:rPr>
                <w:rFonts w:hint="eastAsia" w:eastAsia="宋体"/>
                <w:highlight w:val="none"/>
              </w:rPr>
              <w:t>商</w:t>
            </w:r>
            <w:r>
              <w:rPr>
                <w:rFonts w:eastAsia="宋体"/>
                <w:highlight w:val="none"/>
              </w:rPr>
              <w:t>202</w:t>
            </w:r>
            <w:r>
              <w:rPr>
                <w:rFonts w:hint="eastAsia" w:eastAsia="宋体"/>
                <w:highlight w:val="none"/>
                <w:lang w:val="en-US" w:eastAsia="zh-CN"/>
              </w:rPr>
              <w:t>2</w:t>
            </w:r>
            <w:r>
              <w:rPr>
                <w:rFonts w:hint="eastAsia" w:eastAsia="宋体"/>
                <w:highlight w:val="none"/>
              </w:rPr>
              <w:t>年</w:t>
            </w:r>
            <w:r>
              <w:rPr>
                <w:rFonts w:hint="eastAsia" w:eastAsia="宋体"/>
                <w:highlight w:val="none"/>
                <w:lang w:val="en-US" w:eastAsia="zh-CN"/>
              </w:rPr>
              <w:t>10</w:t>
            </w:r>
            <w:r>
              <w:rPr>
                <w:rFonts w:hint="eastAsia" w:eastAsia="宋体"/>
                <w:highlight w:val="none"/>
              </w:rPr>
              <w:t>月至</w:t>
            </w:r>
            <w:r>
              <w:rPr>
                <w:rFonts w:eastAsia="宋体"/>
                <w:highlight w:val="none"/>
              </w:rPr>
              <w:t>2022</w:t>
            </w:r>
            <w:r>
              <w:rPr>
                <w:rFonts w:hint="eastAsia" w:eastAsia="宋体"/>
                <w:highlight w:val="none"/>
              </w:rPr>
              <w:t>年</w:t>
            </w:r>
            <w:r>
              <w:rPr>
                <w:rFonts w:hint="eastAsia" w:eastAsia="宋体"/>
                <w:highlight w:val="none"/>
                <w:lang w:val="en-US" w:eastAsia="zh-CN"/>
              </w:rPr>
              <w:t>3</w:t>
            </w:r>
            <w:r>
              <w:rPr>
                <w:rFonts w:hint="eastAsia" w:eastAsia="宋体"/>
                <w:highlight w:val="none"/>
              </w:rPr>
              <w:t>月</w:t>
            </w:r>
            <w:r>
              <w:rPr>
                <w:rFonts w:hint="eastAsia" w:eastAsia="宋体"/>
              </w:rPr>
              <w:t>止的连续</w:t>
            </w:r>
            <w:r>
              <w:rPr>
                <w:rFonts w:eastAsia="宋体"/>
              </w:rPr>
              <w:t>6</w:t>
            </w:r>
            <w:r>
              <w:rPr>
                <w:rFonts w:hint="eastAsia" w:eastAsia="宋体"/>
              </w:rPr>
              <w:t>个月依法缴纳“税收”和“社会保障资金”的这</w:t>
            </w:r>
            <w:r>
              <w:rPr>
                <w:rFonts w:eastAsia="宋体"/>
              </w:rPr>
              <w:t>2</w:t>
            </w:r>
            <w:r>
              <w:rPr>
                <w:rFonts w:hint="eastAsia" w:eastAsia="宋体"/>
              </w:rPr>
              <w:t>项证明材料原件的复印件（须加盖公章）。</w:t>
            </w:r>
          </w:p>
        </w:tc>
        <w:tc>
          <w:tcPr>
            <w:tcW w:w="1588" w:type="dxa"/>
            <w:vAlign w:val="center"/>
          </w:tcPr>
          <w:p>
            <w:pPr>
              <w:spacing w:line="420" w:lineRule="exact"/>
              <w:rPr>
                <w:rFonts w:eastAsia="宋体"/>
              </w:rPr>
            </w:pPr>
            <w:r>
              <w:rPr>
                <w:rFonts w:hint="eastAsia" w:eastAsia="宋体"/>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16" w:type="dxa"/>
            <w:vAlign w:val="center"/>
          </w:tcPr>
          <w:p>
            <w:pPr>
              <w:spacing w:line="420" w:lineRule="exact"/>
              <w:jc w:val="center"/>
              <w:rPr>
                <w:rFonts w:eastAsia="宋体"/>
              </w:rPr>
            </w:pPr>
            <w:r>
              <w:rPr>
                <w:rFonts w:eastAsia="宋体"/>
              </w:rPr>
              <w:t>6</w:t>
            </w:r>
          </w:p>
        </w:tc>
        <w:tc>
          <w:tcPr>
            <w:tcW w:w="7229" w:type="dxa"/>
            <w:vAlign w:val="center"/>
          </w:tcPr>
          <w:p>
            <w:pPr>
              <w:spacing w:line="420" w:lineRule="exact"/>
              <w:rPr>
                <w:rFonts w:eastAsia="宋体"/>
                <w:kern w:val="0"/>
              </w:rPr>
            </w:pPr>
            <w:r>
              <w:rPr>
                <w:rFonts w:hint="eastAsia" w:eastAsia="宋体"/>
              </w:rPr>
              <w:t>是否提供具有针对本项目履行合同所必需的设备和专业技术能力的承诺函（格式自拟，须加盖公章）。</w:t>
            </w:r>
          </w:p>
        </w:tc>
        <w:tc>
          <w:tcPr>
            <w:tcW w:w="1588" w:type="dxa"/>
            <w:vAlign w:val="center"/>
          </w:tcPr>
          <w:p>
            <w:pPr>
              <w:spacing w:line="420" w:lineRule="exact"/>
              <w:rPr>
                <w:rFonts w:eastAsia="宋体"/>
              </w:rPr>
            </w:pPr>
            <w:r>
              <w:rPr>
                <w:rFonts w:hint="eastAsia" w:eastAsia="宋体"/>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16" w:type="dxa"/>
            <w:vAlign w:val="center"/>
          </w:tcPr>
          <w:p>
            <w:pPr>
              <w:spacing w:line="420" w:lineRule="exact"/>
              <w:jc w:val="center"/>
              <w:rPr>
                <w:rFonts w:eastAsia="宋体"/>
              </w:rPr>
            </w:pPr>
            <w:r>
              <w:rPr>
                <w:rFonts w:eastAsia="宋体"/>
              </w:rPr>
              <w:t>7</w:t>
            </w:r>
          </w:p>
        </w:tc>
        <w:tc>
          <w:tcPr>
            <w:tcW w:w="7229" w:type="dxa"/>
            <w:vAlign w:val="center"/>
          </w:tcPr>
          <w:p>
            <w:pPr>
              <w:spacing w:line="420" w:lineRule="exact"/>
              <w:rPr>
                <w:rFonts w:eastAsia="宋体"/>
                <w:kern w:val="0"/>
              </w:rPr>
            </w:pPr>
            <w:r>
              <w:rPr>
                <w:rFonts w:hint="eastAsia" w:eastAsia="宋体"/>
              </w:rPr>
              <w:t>供应商是否提供加盖公章（红章）的，参与本次项目政府采购活动前三年内在经营活动中没有重大违法记录的书面《无重大违法记录声明函》。</w:t>
            </w:r>
          </w:p>
        </w:tc>
        <w:tc>
          <w:tcPr>
            <w:tcW w:w="1588" w:type="dxa"/>
            <w:vAlign w:val="center"/>
          </w:tcPr>
          <w:p>
            <w:pPr>
              <w:spacing w:line="420" w:lineRule="exact"/>
              <w:rPr>
                <w:rFonts w:eastAsia="宋体"/>
              </w:rPr>
            </w:pPr>
            <w:r>
              <w:rPr>
                <w:rFonts w:hint="eastAsia" w:eastAsia="宋体"/>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16" w:type="dxa"/>
            <w:vAlign w:val="center"/>
          </w:tcPr>
          <w:p>
            <w:pPr>
              <w:spacing w:line="420" w:lineRule="exact"/>
              <w:jc w:val="center"/>
              <w:rPr>
                <w:rFonts w:eastAsia="宋体"/>
              </w:rPr>
            </w:pPr>
            <w:r>
              <w:rPr>
                <w:rFonts w:eastAsia="宋体"/>
              </w:rPr>
              <w:t>8</w:t>
            </w:r>
          </w:p>
        </w:tc>
        <w:tc>
          <w:tcPr>
            <w:tcW w:w="7229" w:type="dxa"/>
            <w:vAlign w:val="center"/>
          </w:tcPr>
          <w:p>
            <w:pPr>
              <w:spacing w:line="420" w:lineRule="exact"/>
              <w:rPr>
                <w:rFonts w:eastAsia="宋体"/>
                <w:kern w:val="0"/>
              </w:rPr>
            </w:pPr>
            <w:r>
              <w:rPr>
                <w:rFonts w:hint="eastAsia" w:eastAsia="宋体"/>
              </w:rPr>
              <w:t>供应商是否提供加盖公章（红章）的《资格文件的声明函》。</w:t>
            </w:r>
          </w:p>
        </w:tc>
        <w:tc>
          <w:tcPr>
            <w:tcW w:w="1588" w:type="dxa"/>
            <w:vAlign w:val="center"/>
          </w:tcPr>
          <w:p>
            <w:pPr>
              <w:spacing w:line="420" w:lineRule="exact"/>
              <w:rPr>
                <w:rFonts w:eastAsia="宋体"/>
              </w:rPr>
            </w:pPr>
            <w:r>
              <w:rPr>
                <w:rFonts w:hint="eastAsia" w:eastAsia="宋体"/>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16" w:type="dxa"/>
            <w:vAlign w:val="center"/>
          </w:tcPr>
          <w:p>
            <w:pPr>
              <w:spacing w:line="420" w:lineRule="exact"/>
              <w:jc w:val="center"/>
              <w:rPr>
                <w:rFonts w:eastAsia="宋体"/>
              </w:rPr>
            </w:pPr>
            <w:r>
              <w:rPr>
                <w:rFonts w:eastAsia="宋体"/>
              </w:rPr>
              <w:t>9</w:t>
            </w:r>
          </w:p>
        </w:tc>
        <w:tc>
          <w:tcPr>
            <w:tcW w:w="7229" w:type="dxa"/>
            <w:vAlign w:val="center"/>
          </w:tcPr>
          <w:p>
            <w:pPr>
              <w:spacing w:line="420" w:lineRule="exact"/>
              <w:rPr>
                <w:rFonts w:eastAsia="宋体"/>
              </w:rPr>
            </w:pPr>
            <w:r>
              <w:rPr>
                <w:rFonts w:hint="eastAsia" w:eastAsia="宋体"/>
              </w:rPr>
              <w:t>是否提供磋商响应供应商具有的《养老机构设立许可证》（或《设置养老机构备案回执》）和《医疗机构执业许可证》的证明材料原件的复印件并加盖公章。</w:t>
            </w:r>
          </w:p>
        </w:tc>
        <w:tc>
          <w:tcPr>
            <w:tcW w:w="1588" w:type="dxa"/>
            <w:vAlign w:val="center"/>
          </w:tcPr>
          <w:p>
            <w:pPr>
              <w:spacing w:line="420" w:lineRule="exact"/>
              <w:rPr>
                <w:rFonts w:eastAsia="宋体"/>
              </w:rPr>
            </w:pPr>
            <w:r>
              <w:rPr>
                <w:rFonts w:hint="eastAsia" w:eastAsia="宋体"/>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16" w:type="dxa"/>
            <w:vAlign w:val="center"/>
          </w:tcPr>
          <w:p>
            <w:pPr>
              <w:spacing w:line="420" w:lineRule="exact"/>
              <w:jc w:val="center"/>
              <w:rPr>
                <w:rFonts w:eastAsia="宋体"/>
              </w:rPr>
            </w:pPr>
            <w:r>
              <w:rPr>
                <w:rFonts w:eastAsia="宋体"/>
              </w:rPr>
              <w:t>10</w:t>
            </w:r>
          </w:p>
        </w:tc>
        <w:tc>
          <w:tcPr>
            <w:tcW w:w="7229" w:type="dxa"/>
            <w:vAlign w:val="center"/>
          </w:tcPr>
          <w:p>
            <w:pPr>
              <w:spacing w:line="420" w:lineRule="exact"/>
              <w:rPr>
                <w:rFonts w:eastAsia="宋体"/>
                <w:kern w:val="0"/>
              </w:rPr>
            </w:pPr>
            <w:r>
              <w:rPr>
                <w:rFonts w:hint="eastAsia" w:eastAsia="宋体"/>
                <w:kern w:val="0"/>
              </w:rPr>
              <w:t>供应商无不良信用信息的记录。</w:t>
            </w:r>
          </w:p>
        </w:tc>
        <w:tc>
          <w:tcPr>
            <w:tcW w:w="1588" w:type="dxa"/>
            <w:vAlign w:val="center"/>
          </w:tcPr>
          <w:p>
            <w:pPr>
              <w:spacing w:line="420" w:lineRule="exact"/>
              <w:rPr>
                <w:rFonts w:eastAsia="宋体"/>
              </w:rPr>
            </w:pPr>
            <w:r>
              <w:rPr>
                <w:rFonts w:hint="eastAsia" w:eastAsia="宋体"/>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6" w:type="dxa"/>
            <w:vAlign w:val="center"/>
          </w:tcPr>
          <w:p>
            <w:pPr>
              <w:spacing w:line="420" w:lineRule="exact"/>
              <w:jc w:val="center"/>
              <w:rPr>
                <w:rFonts w:eastAsia="宋体"/>
              </w:rPr>
            </w:pPr>
            <w:r>
              <w:rPr>
                <w:rFonts w:hint="eastAsia" w:eastAsia="宋体"/>
              </w:rPr>
              <w:t>备注</w:t>
            </w:r>
          </w:p>
        </w:tc>
        <w:tc>
          <w:tcPr>
            <w:tcW w:w="8817" w:type="dxa"/>
            <w:gridSpan w:val="2"/>
            <w:vAlign w:val="center"/>
          </w:tcPr>
          <w:p>
            <w:pPr>
              <w:spacing w:line="420" w:lineRule="exact"/>
              <w:rPr>
                <w:rFonts w:eastAsia="宋体"/>
              </w:rPr>
            </w:pPr>
            <w:r>
              <w:rPr>
                <w:rFonts w:hint="eastAsia" w:eastAsia="宋体"/>
                <w:kern w:val="0"/>
              </w:rPr>
              <w:t>要求提供原件查验，因携带原件不全而由此引起的后果由磋商响应供应商自负。</w:t>
            </w:r>
          </w:p>
        </w:tc>
      </w:tr>
    </w:tbl>
    <w:p>
      <w:pPr>
        <w:adjustRightInd w:val="0"/>
        <w:snapToGrid w:val="0"/>
        <w:spacing w:line="420" w:lineRule="exact"/>
        <w:ind w:firstLine="487" w:firstLineChars="202"/>
        <w:outlineLvl w:val="1"/>
        <w:rPr>
          <w:rFonts w:eastAsia="宋体"/>
          <w:b/>
          <w:bCs/>
        </w:rPr>
      </w:pPr>
      <w:r>
        <w:rPr>
          <w:rFonts w:hint="eastAsia" w:eastAsia="宋体" w:cs="宋体"/>
          <w:b/>
          <w:bCs/>
        </w:rPr>
        <w:t>三、评审</w:t>
      </w:r>
    </w:p>
    <w:p>
      <w:pPr>
        <w:snapToGrid w:val="0"/>
        <w:spacing w:line="420" w:lineRule="exact"/>
        <w:ind w:firstLine="482" w:firstLineChars="200"/>
        <w:outlineLvl w:val="2"/>
        <w:rPr>
          <w:rFonts w:eastAsia="宋体"/>
          <w:b/>
          <w:bCs/>
        </w:rPr>
      </w:pPr>
      <w:r>
        <w:rPr>
          <w:rFonts w:hint="eastAsia" w:eastAsia="宋体" w:cs="宋体"/>
          <w:b/>
          <w:bCs/>
        </w:rPr>
        <w:t>（一）评审事项</w:t>
      </w:r>
    </w:p>
    <w:p>
      <w:pPr>
        <w:snapToGrid w:val="0"/>
        <w:spacing w:line="420" w:lineRule="exact"/>
        <w:ind w:firstLine="480" w:firstLineChars="200"/>
        <w:rPr>
          <w:rFonts w:eastAsia="宋体"/>
        </w:rPr>
      </w:pPr>
      <w:r>
        <w:rPr>
          <w:rFonts w:eastAsia="宋体"/>
        </w:rPr>
        <w:t>1.</w:t>
      </w:r>
      <w:bookmarkStart w:id="33" w:name="_Hlk45420967"/>
      <w:r>
        <w:rPr>
          <w:rFonts w:hint="eastAsia" w:eastAsia="宋体" w:cs="宋体"/>
        </w:rPr>
        <w:t>符合资格要求的磋商响应供应商不足</w:t>
      </w:r>
      <w:r>
        <w:rPr>
          <w:rFonts w:eastAsia="宋体"/>
        </w:rPr>
        <w:t>3</w:t>
      </w:r>
      <w:r>
        <w:rPr>
          <w:rFonts w:hint="eastAsia" w:eastAsia="宋体"/>
        </w:rPr>
        <w:t>家</w:t>
      </w:r>
      <w:r>
        <w:rPr>
          <w:rFonts w:hint="eastAsia" w:eastAsia="宋体" w:cs="宋体"/>
        </w:rPr>
        <w:t>的，不得评审；</w:t>
      </w:r>
      <w:bookmarkEnd w:id="33"/>
    </w:p>
    <w:p>
      <w:pPr>
        <w:snapToGrid w:val="0"/>
        <w:spacing w:line="420" w:lineRule="exact"/>
        <w:ind w:firstLine="480" w:firstLineChars="200"/>
        <w:rPr>
          <w:rFonts w:eastAsia="宋体"/>
        </w:rPr>
      </w:pPr>
      <w:r>
        <w:rPr>
          <w:rFonts w:eastAsia="宋体"/>
        </w:rPr>
        <w:t>2.</w:t>
      </w:r>
      <w:r>
        <w:rPr>
          <w:rFonts w:hint="eastAsia" w:eastAsia="宋体" w:cs="宋体"/>
        </w:rPr>
        <w:t>评审时间：</w:t>
      </w:r>
      <w:r>
        <w:rPr>
          <w:rFonts w:hint="eastAsia" w:eastAsia="宋体" w:cs="宋体"/>
          <w:b/>
          <w:bCs/>
          <w:u w:val="thick" w:color="FF0000"/>
        </w:rPr>
        <w:t>本项目资格审查后当即开始</w:t>
      </w:r>
      <w:r>
        <w:rPr>
          <w:rFonts w:hint="eastAsia" w:eastAsia="宋体" w:cs="宋体"/>
        </w:rPr>
        <w:t>；</w:t>
      </w:r>
    </w:p>
    <w:p>
      <w:pPr>
        <w:adjustRightInd w:val="0"/>
        <w:snapToGrid w:val="0"/>
        <w:spacing w:line="420" w:lineRule="exact"/>
        <w:ind w:firstLine="487" w:firstLineChars="202"/>
        <w:rPr>
          <w:rFonts w:eastAsia="宋体"/>
          <w:b/>
          <w:bCs/>
        </w:rPr>
      </w:pPr>
      <w:bookmarkStart w:id="34" w:name="_Hlk45421153"/>
      <w:r>
        <w:rPr>
          <w:rFonts w:eastAsia="宋体"/>
          <w:b/>
          <w:bCs/>
        </w:rPr>
        <w:t>3.</w:t>
      </w:r>
      <w:r>
        <w:rPr>
          <w:rFonts w:hint="eastAsia" w:eastAsia="宋体" w:cs="宋体"/>
          <w:b/>
          <w:bCs/>
        </w:rPr>
        <w:t>采购代理机构负责组织评审工作，并履行下列职责：</w:t>
      </w:r>
    </w:p>
    <w:p>
      <w:pPr>
        <w:adjustRightInd w:val="0"/>
        <w:snapToGrid w:val="0"/>
        <w:spacing w:line="420" w:lineRule="exact"/>
        <w:ind w:firstLine="484" w:firstLineChars="202"/>
        <w:rPr>
          <w:rFonts w:eastAsia="宋体"/>
        </w:rPr>
      </w:pPr>
      <w:r>
        <w:rPr>
          <w:rFonts w:hint="eastAsia" w:eastAsia="宋体" w:cs="宋体"/>
        </w:rPr>
        <w:t>（</w:t>
      </w:r>
      <w:r>
        <w:rPr>
          <w:rFonts w:eastAsia="宋体"/>
        </w:rPr>
        <w:t>1</w:t>
      </w:r>
      <w:r>
        <w:rPr>
          <w:rFonts w:hint="eastAsia" w:eastAsia="宋体" w:cs="宋体"/>
        </w:rPr>
        <w:t>）核对评审专家身份和采购人代表授权函，对评审专家在采购活动中的职责履行情况予以记录，并及时将有关违法违规行为向财政部门报告。</w:t>
      </w:r>
    </w:p>
    <w:p>
      <w:pPr>
        <w:adjustRightInd w:val="0"/>
        <w:snapToGrid w:val="0"/>
        <w:spacing w:line="420" w:lineRule="exact"/>
        <w:ind w:firstLine="484" w:firstLineChars="202"/>
        <w:rPr>
          <w:rFonts w:eastAsia="宋体"/>
        </w:rPr>
      </w:pPr>
      <w:r>
        <w:rPr>
          <w:rFonts w:hint="eastAsia" w:eastAsia="宋体" w:cs="宋体"/>
        </w:rPr>
        <w:t>（</w:t>
      </w:r>
      <w:r>
        <w:rPr>
          <w:rFonts w:eastAsia="宋体"/>
        </w:rPr>
        <w:t>2</w:t>
      </w:r>
      <w:r>
        <w:rPr>
          <w:rFonts w:hint="eastAsia" w:eastAsia="宋体" w:cs="宋体"/>
        </w:rPr>
        <w:t>）宣布评审纪律。</w:t>
      </w:r>
    </w:p>
    <w:p>
      <w:pPr>
        <w:adjustRightInd w:val="0"/>
        <w:snapToGrid w:val="0"/>
        <w:spacing w:line="420" w:lineRule="exact"/>
        <w:ind w:firstLine="484" w:firstLineChars="202"/>
        <w:rPr>
          <w:rFonts w:eastAsia="宋体"/>
        </w:rPr>
      </w:pPr>
      <w:r>
        <w:rPr>
          <w:rFonts w:hint="eastAsia" w:eastAsia="宋体" w:cs="宋体"/>
        </w:rPr>
        <w:t>（</w:t>
      </w:r>
      <w:r>
        <w:rPr>
          <w:rFonts w:eastAsia="宋体"/>
        </w:rPr>
        <w:t>3</w:t>
      </w:r>
      <w:r>
        <w:rPr>
          <w:rFonts w:hint="eastAsia" w:eastAsia="宋体" w:cs="宋体"/>
        </w:rPr>
        <w:t>）公布竞争性磋商响应供应商名单，告知评审专家应当回避的情形。</w:t>
      </w:r>
    </w:p>
    <w:p>
      <w:pPr>
        <w:adjustRightInd w:val="0"/>
        <w:snapToGrid w:val="0"/>
        <w:spacing w:line="420" w:lineRule="exact"/>
        <w:ind w:firstLine="484" w:firstLineChars="202"/>
        <w:rPr>
          <w:rFonts w:eastAsia="宋体"/>
        </w:rPr>
      </w:pPr>
      <w:r>
        <w:rPr>
          <w:rFonts w:hint="eastAsia" w:eastAsia="宋体" w:cs="宋体"/>
        </w:rPr>
        <w:t>（</w:t>
      </w:r>
      <w:r>
        <w:rPr>
          <w:rFonts w:eastAsia="宋体"/>
        </w:rPr>
        <w:t>4</w:t>
      </w:r>
      <w:r>
        <w:rPr>
          <w:rFonts w:hint="eastAsia" w:eastAsia="宋体" w:cs="宋体"/>
        </w:rPr>
        <w:t>）组织竞争性磋商小组推选评审组长，采购人代表不得担任组长。</w:t>
      </w:r>
    </w:p>
    <w:p>
      <w:pPr>
        <w:adjustRightInd w:val="0"/>
        <w:snapToGrid w:val="0"/>
        <w:spacing w:line="420" w:lineRule="exact"/>
        <w:ind w:firstLine="484" w:firstLineChars="202"/>
        <w:rPr>
          <w:rFonts w:eastAsia="宋体"/>
        </w:rPr>
      </w:pPr>
      <w:r>
        <w:rPr>
          <w:rFonts w:hint="eastAsia" w:eastAsia="宋体" w:cs="宋体"/>
        </w:rPr>
        <w:t>（</w:t>
      </w:r>
      <w:r>
        <w:rPr>
          <w:rFonts w:eastAsia="宋体"/>
        </w:rPr>
        <w:t>5</w:t>
      </w:r>
      <w:r>
        <w:rPr>
          <w:rFonts w:hint="eastAsia" w:eastAsia="宋体" w:cs="宋体"/>
        </w:rPr>
        <w:t>）在评审期间采取必要的通讯管理措施，保证评审活动不受外界干扰；除采购人代表、评审现场组织人员外，采购人的其他工作人员以及与评审工作无关的人员不得进入评审现场。</w:t>
      </w:r>
    </w:p>
    <w:p>
      <w:pPr>
        <w:adjustRightInd w:val="0"/>
        <w:snapToGrid w:val="0"/>
        <w:spacing w:line="420" w:lineRule="exact"/>
        <w:ind w:firstLine="484" w:firstLineChars="202"/>
        <w:rPr>
          <w:rFonts w:eastAsia="宋体"/>
        </w:rPr>
      </w:pPr>
      <w:r>
        <w:rPr>
          <w:rFonts w:hint="eastAsia" w:eastAsia="宋体" w:cs="宋体"/>
        </w:rPr>
        <w:t>（</w:t>
      </w:r>
      <w:r>
        <w:rPr>
          <w:rFonts w:eastAsia="宋体"/>
        </w:rPr>
        <w:t>6</w:t>
      </w:r>
      <w:r>
        <w:rPr>
          <w:rFonts w:hint="eastAsia" w:eastAsia="宋体" w:cs="宋体"/>
        </w:rPr>
        <w:t>）根据竞争性磋商小组的要求介绍采购相关政策法规、招标文件。</w:t>
      </w:r>
    </w:p>
    <w:p>
      <w:pPr>
        <w:adjustRightInd w:val="0"/>
        <w:snapToGrid w:val="0"/>
        <w:spacing w:line="420" w:lineRule="exact"/>
        <w:ind w:firstLine="484" w:firstLineChars="202"/>
        <w:rPr>
          <w:rFonts w:eastAsia="宋体"/>
        </w:rPr>
      </w:pPr>
      <w:r>
        <w:rPr>
          <w:rFonts w:hint="eastAsia" w:eastAsia="宋体" w:cs="宋体"/>
        </w:rPr>
        <w:t>（</w:t>
      </w:r>
      <w:r>
        <w:rPr>
          <w:rFonts w:eastAsia="宋体"/>
        </w:rPr>
        <w:t>7</w:t>
      </w:r>
      <w:r>
        <w:rPr>
          <w:rFonts w:hint="eastAsia" w:eastAsia="宋体" w:cs="宋体"/>
        </w:rPr>
        <w:t>）维护评审秩序，监督竞争性磋商小组依照招标文件规定的评审程序、方法和标准进行独立评审，及时制止和纠正采购人代表、评审专家的倾向性言论或者违法违规行为；采购人可以在评审前说明项目背景和采购需求，说明内容不得含有歧视性、倾向性意见，不得超出招标文件所述范围。说明应当提交书面材料，并随采购文件一并存档。</w:t>
      </w:r>
    </w:p>
    <w:p>
      <w:pPr>
        <w:adjustRightInd w:val="0"/>
        <w:snapToGrid w:val="0"/>
        <w:spacing w:line="420" w:lineRule="exact"/>
        <w:ind w:firstLine="484" w:firstLineChars="202"/>
        <w:rPr>
          <w:rFonts w:eastAsia="宋体"/>
        </w:rPr>
      </w:pPr>
      <w:r>
        <w:rPr>
          <w:rFonts w:hint="eastAsia" w:eastAsia="宋体" w:cs="宋体"/>
        </w:rPr>
        <w:t>（</w:t>
      </w:r>
      <w:r>
        <w:rPr>
          <w:rFonts w:eastAsia="宋体"/>
        </w:rPr>
        <w:t>8</w:t>
      </w:r>
      <w:r>
        <w:rPr>
          <w:rFonts w:hint="eastAsia" w:eastAsia="宋体" w:cs="宋体"/>
        </w:rPr>
        <w:t>）核对评审结果，除资格性检查认定错误、分值汇总计算错误、分项评分超出评分标准范围、客观分评分不一致、经竞争性磋商小组一致认定评分畸高、畸低的情形外，采购人或者采购代理机构不得以任何理由组织重新评审。采购人、采购代理机构发现竞争性磋商小组未按照竞争性磋商文件规定的评审标准进行评审的，应当重新开展采购活动，并同时书面报告本级财政部门。</w:t>
      </w:r>
    </w:p>
    <w:p>
      <w:pPr>
        <w:adjustRightInd w:val="0"/>
        <w:snapToGrid w:val="0"/>
        <w:spacing w:line="420" w:lineRule="exact"/>
        <w:ind w:firstLine="484" w:firstLineChars="202"/>
        <w:rPr>
          <w:rFonts w:eastAsia="宋体"/>
        </w:rPr>
      </w:pPr>
      <w:r>
        <w:rPr>
          <w:rFonts w:hint="eastAsia" w:eastAsia="宋体"/>
        </w:rPr>
        <w:t>（</w:t>
      </w:r>
      <w:r>
        <w:rPr>
          <w:rFonts w:eastAsia="宋体"/>
        </w:rPr>
        <w:t>9</w:t>
      </w:r>
      <w:r>
        <w:rPr>
          <w:rFonts w:hint="eastAsia" w:eastAsia="宋体"/>
        </w:rPr>
        <w:t>）评审工作完成后，按照规定向评审专家支付劳务报酬和异地评审差旅费，不得向评审专家以外的其他人员支付评审劳务报酬。</w:t>
      </w:r>
    </w:p>
    <w:p>
      <w:pPr>
        <w:adjustRightInd w:val="0"/>
        <w:snapToGrid w:val="0"/>
        <w:spacing w:line="420" w:lineRule="exact"/>
        <w:ind w:firstLine="484" w:firstLineChars="202"/>
        <w:rPr>
          <w:rFonts w:eastAsia="宋体"/>
        </w:rPr>
      </w:pPr>
      <w:r>
        <w:rPr>
          <w:rFonts w:hint="eastAsia" w:eastAsia="宋体"/>
        </w:rPr>
        <w:t>（</w:t>
      </w:r>
      <w:r>
        <w:rPr>
          <w:rFonts w:eastAsia="宋体"/>
        </w:rPr>
        <w:t>10</w:t>
      </w:r>
      <w:r>
        <w:rPr>
          <w:rFonts w:hint="eastAsia" w:eastAsia="宋体"/>
        </w:rPr>
        <w:t>）处理与磋商评审有关的其他事项。</w:t>
      </w:r>
    </w:p>
    <w:bookmarkEnd w:id="34"/>
    <w:p>
      <w:pPr>
        <w:adjustRightInd w:val="0"/>
        <w:snapToGrid w:val="0"/>
        <w:spacing w:line="420" w:lineRule="exact"/>
        <w:ind w:firstLine="487" w:firstLineChars="202"/>
        <w:rPr>
          <w:rFonts w:eastAsia="宋体"/>
          <w:b/>
          <w:bCs/>
        </w:rPr>
      </w:pPr>
      <w:r>
        <w:rPr>
          <w:rFonts w:eastAsia="宋体"/>
          <w:b/>
          <w:bCs/>
        </w:rPr>
        <w:t>4.</w:t>
      </w:r>
      <w:r>
        <w:rPr>
          <w:rFonts w:hint="eastAsia" w:eastAsia="宋体" w:cs="宋体"/>
          <w:b/>
          <w:bCs/>
        </w:rPr>
        <w:t>竞争性磋商小组负责具体的磋商评审事务，并独立履行以下职责：</w:t>
      </w:r>
    </w:p>
    <w:p>
      <w:pPr>
        <w:adjustRightInd w:val="0"/>
        <w:snapToGrid w:val="0"/>
        <w:spacing w:line="420" w:lineRule="exact"/>
        <w:ind w:firstLine="484" w:firstLineChars="202"/>
        <w:rPr>
          <w:rFonts w:eastAsia="宋体"/>
        </w:rPr>
      </w:pPr>
      <w:r>
        <w:rPr>
          <w:rFonts w:hint="eastAsia" w:eastAsia="宋体" w:cs="宋体"/>
        </w:rPr>
        <w:t>（</w:t>
      </w:r>
      <w:r>
        <w:rPr>
          <w:rFonts w:eastAsia="宋体"/>
        </w:rPr>
        <w:t>1</w:t>
      </w:r>
      <w:r>
        <w:rPr>
          <w:rFonts w:hint="eastAsia" w:eastAsia="宋体" w:cs="宋体"/>
        </w:rPr>
        <w:t>）审查合格竞争性磋商响应供应商的技术响应文件是否实质性响应竞争性磋商文件要求，并做出评价；</w:t>
      </w:r>
    </w:p>
    <w:p>
      <w:pPr>
        <w:adjustRightInd w:val="0"/>
        <w:snapToGrid w:val="0"/>
        <w:spacing w:line="420" w:lineRule="exact"/>
        <w:ind w:firstLine="484" w:firstLineChars="202"/>
        <w:rPr>
          <w:rFonts w:eastAsia="宋体"/>
        </w:rPr>
      </w:pPr>
      <w:r>
        <w:rPr>
          <w:rFonts w:hint="eastAsia" w:eastAsia="宋体" w:cs="宋体"/>
        </w:rPr>
        <w:t>（</w:t>
      </w:r>
      <w:r>
        <w:rPr>
          <w:rFonts w:eastAsia="宋体"/>
        </w:rPr>
        <w:t>2</w:t>
      </w:r>
      <w:r>
        <w:rPr>
          <w:rFonts w:hint="eastAsia" w:eastAsia="宋体" w:cs="宋体"/>
        </w:rPr>
        <w:t>）可以要求竞争性磋商响应供应商对竞争性磋商响应文件中的有关事项做出解释或澄清；</w:t>
      </w:r>
    </w:p>
    <w:p>
      <w:pPr>
        <w:adjustRightInd w:val="0"/>
        <w:snapToGrid w:val="0"/>
        <w:spacing w:line="420" w:lineRule="exact"/>
        <w:ind w:firstLine="484" w:firstLineChars="202"/>
        <w:rPr>
          <w:rFonts w:eastAsia="宋体"/>
        </w:rPr>
      </w:pPr>
      <w:r>
        <w:rPr>
          <w:rFonts w:hint="eastAsia" w:eastAsia="宋体" w:cs="宋体"/>
        </w:rPr>
        <w:t>（</w:t>
      </w:r>
      <w:r>
        <w:rPr>
          <w:rFonts w:eastAsia="宋体"/>
        </w:rPr>
        <w:t>3</w:t>
      </w:r>
      <w:r>
        <w:rPr>
          <w:rFonts w:hint="eastAsia" w:eastAsia="宋体" w:cs="宋体"/>
        </w:rPr>
        <w:t>）按竞争性磋商文件载明的方法确定成交人；</w:t>
      </w:r>
    </w:p>
    <w:p>
      <w:pPr>
        <w:snapToGrid w:val="0"/>
        <w:spacing w:line="420" w:lineRule="exact"/>
        <w:ind w:left="2" w:firstLine="484" w:firstLineChars="202"/>
        <w:rPr>
          <w:rFonts w:eastAsia="宋体"/>
        </w:rPr>
      </w:pPr>
      <w:r>
        <w:rPr>
          <w:rFonts w:hint="eastAsia" w:eastAsia="宋体" w:cs="宋体"/>
        </w:rPr>
        <w:t>（</w:t>
      </w:r>
      <w:r>
        <w:rPr>
          <w:rFonts w:eastAsia="宋体"/>
        </w:rPr>
        <w:t>4</w:t>
      </w:r>
      <w:r>
        <w:rPr>
          <w:rFonts w:hint="eastAsia" w:eastAsia="宋体" w:cs="宋体"/>
        </w:rPr>
        <w:t>）竞争性磋商小组发现竞争性磋商文件存在歧义、重大缺陷导致磋商评审工作无法进行，或者竞争性磋商文件内容违反国家有关强制性规定的，应当停止磋商评审工作，与采购人或者采购代理机构沟通并作书面记录。采购人或者采购代理机构确认后，应当修改竞争性磋商文件，重新组织采购活动。</w:t>
      </w:r>
    </w:p>
    <w:p>
      <w:pPr>
        <w:adjustRightInd w:val="0"/>
        <w:snapToGrid w:val="0"/>
        <w:spacing w:line="420" w:lineRule="exact"/>
        <w:ind w:firstLine="487" w:firstLineChars="202"/>
        <w:rPr>
          <w:rFonts w:eastAsia="宋体"/>
          <w:b/>
          <w:bCs/>
        </w:rPr>
      </w:pPr>
      <w:r>
        <w:rPr>
          <w:rFonts w:eastAsia="宋体"/>
          <w:b/>
          <w:bCs/>
        </w:rPr>
        <w:t>5.</w:t>
      </w:r>
      <w:r>
        <w:rPr>
          <w:rFonts w:hint="eastAsia" w:eastAsia="宋体" w:cs="宋体"/>
          <w:b/>
          <w:bCs/>
        </w:rPr>
        <w:t>竞争性磋商小组成员应当履行下列义务：</w:t>
      </w:r>
    </w:p>
    <w:p>
      <w:pPr>
        <w:adjustRightInd w:val="0"/>
        <w:snapToGrid w:val="0"/>
        <w:spacing w:line="420" w:lineRule="exact"/>
        <w:ind w:firstLine="484" w:firstLineChars="202"/>
        <w:rPr>
          <w:rFonts w:eastAsia="宋体"/>
        </w:rPr>
      </w:pPr>
      <w:r>
        <w:rPr>
          <w:rFonts w:hint="eastAsia" w:eastAsia="宋体" w:cs="宋体"/>
        </w:rPr>
        <w:t>（</w:t>
      </w:r>
      <w:r>
        <w:rPr>
          <w:rFonts w:eastAsia="宋体"/>
        </w:rPr>
        <w:t>1</w:t>
      </w:r>
      <w:r>
        <w:rPr>
          <w:rFonts w:hint="eastAsia" w:eastAsia="宋体" w:cs="宋体"/>
        </w:rPr>
        <w:t>）遵纪守法，客观、公正、廉洁地履行职责；</w:t>
      </w:r>
    </w:p>
    <w:p>
      <w:pPr>
        <w:adjustRightInd w:val="0"/>
        <w:snapToGrid w:val="0"/>
        <w:spacing w:line="420" w:lineRule="exact"/>
        <w:ind w:firstLine="484" w:firstLineChars="202"/>
        <w:rPr>
          <w:rFonts w:eastAsia="宋体"/>
        </w:rPr>
      </w:pPr>
      <w:r>
        <w:rPr>
          <w:rFonts w:hint="eastAsia" w:eastAsia="宋体" w:cs="宋体"/>
        </w:rPr>
        <w:t>（</w:t>
      </w:r>
      <w:r>
        <w:rPr>
          <w:rFonts w:eastAsia="宋体"/>
        </w:rPr>
        <w:t>2</w:t>
      </w:r>
      <w:r>
        <w:rPr>
          <w:rFonts w:hint="eastAsia" w:eastAsia="宋体" w:cs="宋体"/>
        </w:rPr>
        <w:t>）竞争性磋商小组成员应当按照客观、公正、审慎的原则，根据竞争性磋商文件规定的评审程序、评审方法和评审标准进行独立评审并对评审意见承担个人责任。</w:t>
      </w:r>
    </w:p>
    <w:p>
      <w:pPr>
        <w:adjustRightInd w:val="0"/>
        <w:snapToGrid w:val="0"/>
        <w:spacing w:line="420" w:lineRule="exact"/>
        <w:ind w:firstLine="484" w:firstLineChars="202"/>
        <w:rPr>
          <w:rFonts w:eastAsia="宋体"/>
        </w:rPr>
      </w:pPr>
      <w:r>
        <w:rPr>
          <w:rFonts w:hint="eastAsia" w:eastAsia="宋体" w:cs="宋体"/>
        </w:rPr>
        <w:t>（</w:t>
      </w:r>
      <w:r>
        <w:rPr>
          <w:rFonts w:eastAsia="宋体"/>
        </w:rPr>
        <w:t>3</w:t>
      </w:r>
      <w:r>
        <w:rPr>
          <w:rFonts w:hint="eastAsia" w:eastAsia="宋体" w:cs="宋体"/>
        </w:rPr>
        <w:t>）竞争性磋商小组成员应当遵守评审工作纪律，不得泄露磋商评审情况和磋商评审中获悉的商业秘密；</w:t>
      </w:r>
    </w:p>
    <w:p>
      <w:pPr>
        <w:adjustRightInd w:val="0"/>
        <w:snapToGrid w:val="0"/>
        <w:spacing w:line="420" w:lineRule="exact"/>
        <w:ind w:firstLine="484" w:firstLineChars="202"/>
        <w:rPr>
          <w:rFonts w:eastAsia="宋体"/>
        </w:rPr>
      </w:pPr>
      <w:r>
        <w:rPr>
          <w:rFonts w:hint="eastAsia" w:eastAsia="宋体" w:cs="宋体"/>
        </w:rPr>
        <w:t>（</w:t>
      </w:r>
      <w:r>
        <w:rPr>
          <w:rFonts w:eastAsia="宋体"/>
        </w:rPr>
        <w:t>4</w:t>
      </w:r>
      <w:r>
        <w:rPr>
          <w:rFonts w:hint="eastAsia" w:eastAsia="宋体" w:cs="宋体"/>
        </w:rPr>
        <w:t>）磋商评审程序中的有关记录由竞争性磋商小组成员签名，存档备查。</w:t>
      </w:r>
    </w:p>
    <w:p>
      <w:pPr>
        <w:adjustRightInd w:val="0"/>
        <w:snapToGrid w:val="0"/>
        <w:spacing w:line="420" w:lineRule="exact"/>
        <w:ind w:firstLine="484" w:firstLineChars="202"/>
        <w:rPr>
          <w:rFonts w:eastAsia="宋体"/>
        </w:rPr>
      </w:pPr>
      <w:r>
        <w:rPr>
          <w:rFonts w:hint="eastAsia" w:eastAsia="宋体" w:cs="宋体"/>
        </w:rPr>
        <w:t>（</w:t>
      </w:r>
      <w:r>
        <w:rPr>
          <w:rFonts w:eastAsia="宋体"/>
        </w:rPr>
        <w:t>5</w:t>
      </w:r>
      <w:r>
        <w:rPr>
          <w:rFonts w:hint="eastAsia" w:eastAsia="宋体" w:cs="宋体"/>
        </w:rPr>
        <w:t>）竞争性磋商小组成员在评审过程中发现供应商有行贿、提供虚假材料或者串通等违法行为的，应当及时向上级主管部门或监管部门报告。</w:t>
      </w:r>
    </w:p>
    <w:p>
      <w:pPr>
        <w:adjustRightInd w:val="0"/>
        <w:snapToGrid w:val="0"/>
        <w:spacing w:line="420" w:lineRule="exact"/>
        <w:ind w:firstLine="484" w:firstLineChars="202"/>
        <w:rPr>
          <w:rFonts w:eastAsia="宋体"/>
        </w:rPr>
      </w:pPr>
      <w:r>
        <w:rPr>
          <w:rFonts w:hint="eastAsia" w:eastAsia="宋体" w:cs="宋体"/>
        </w:rPr>
        <w:t>（</w:t>
      </w:r>
      <w:r>
        <w:rPr>
          <w:rFonts w:eastAsia="宋体"/>
        </w:rPr>
        <w:t>6</w:t>
      </w:r>
      <w:r>
        <w:rPr>
          <w:rFonts w:hint="eastAsia" w:eastAsia="宋体" w:cs="宋体"/>
        </w:rPr>
        <w:t>）磋商评委在磋商评审过程中受到非法干涉的，应当及时向监管部门举报。</w:t>
      </w:r>
    </w:p>
    <w:p>
      <w:pPr>
        <w:adjustRightInd w:val="0"/>
        <w:snapToGrid w:val="0"/>
        <w:spacing w:line="420" w:lineRule="exact"/>
        <w:ind w:firstLine="484" w:firstLineChars="202"/>
        <w:rPr>
          <w:rFonts w:eastAsia="宋体"/>
        </w:rPr>
      </w:pPr>
      <w:r>
        <w:rPr>
          <w:rFonts w:hint="eastAsia" w:eastAsia="宋体" w:cs="宋体"/>
        </w:rPr>
        <w:t>（</w:t>
      </w:r>
      <w:r>
        <w:rPr>
          <w:rFonts w:eastAsia="宋体"/>
        </w:rPr>
        <w:t>7</w:t>
      </w:r>
      <w:r>
        <w:rPr>
          <w:rFonts w:hint="eastAsia" w:eastAsia="宋体" w:cs="宋体"/>
        </w:rPr>
        <w:t>）竞争性磋商小组成员有义务及责任配合采购人答复供应商提出的质疑，配合监管部门的投诉处理和监督检查工作。</w:t>
      </w:r>
    </w:p>
    <w:p>
      <w:pPr>
        <w:adjustRightInd w:val="0"/>
        <w:snapToGrid w:val="0"/>
        <w:spacing w:line="420" w:lineRule="exact"/>
        <w:ind w:firstLine="487" w:firstLineChars="202"/>
        <w:rPr>
          <w:rFonts w:eastAsia="宋体"/>
          <w:b/>
          <w:bCs/>
        </w:rPr>
      </w:pPr>
      <w:r>
        <w:rPr>
          <w:rFonts w:eastAsia="宋体"/>
          <w:b/>
          <w:bCs/>
        </w:rPr>
        <w:t>6.</w:t>
      </w:r>
      <w:r>
        <w:rPr>
          <w:rFonts w:hint="eastAsia" w:eastAsia="宋体" w:cs="宋体"/>
          <w:b/>
          <w:bCs/>
        </w:rPr>
        <w:t>竞争性磋商小组成员参与项目评审活动前应当禁止的情形：</w:t>
      </w:r>
    </w:p>
    <w:p>
      <w:pPr>
        <w:adjustRightInd w:val="0"/>
        <w:snapToGrid w:val="0"/>
        <w:spacing w:line="420" w:lineRule="exact"/>
        <w:ind w:firstLine="484" w:firstLineChars="202"/>
        <w:rPr>
          <w:rFonts w:eastAsia="宋体"/>
        </w:rPr>
      </w:pPr>
      <w:r>
        <w:rPr>
          <w:rFonts w:hint="eastAsia" w:eastAsia="宋体" w:cs="宋体"/>
        </w:rPr>
        <w:t>（</w:t>
      </w:r>
      <w:r>
        <w:rPr>
          <w:rFonts w:eastAsia="宋体"/>
        </w:rPr>
        <w:t>1</w:t>
      </w:r>
      <w:r>
        <w:rPr>
          <w:rFonts w:hint="eastAsia" w:eastAsia="宋体" w:cs="宋体"/>
        </w:rPr>
        <w:t>）未将通讯工具交由采购人或代理机构统一保管；</w:t>
      </w:r>
    </w:p>
    <w:p>
      <w:pPr>
        <w:adjustRightInd w:val="0"/>
        <w:snapToGrid w:val="0"/>
        <w:spacing w:line="420" w:lineRule="exact"/>
        <w:ind w:firstLine="484" w:firstLineChars="202"/>
        <w:rPr>
          <w:rFonts w:eastAsia="宋体"/>
        </w:rPr>
      </w:pPr>
      <w:r>
        <w:rPr>
          <w:rFonts w:hint="eastAsia" w:eastAsia="宋体" w:cs="宋体"/>
        </w:rPr>
        <w:t>（</w:t>
      </w:r>
      <w:r>
        <w:rPr>
          <w:rFonts w:eastAsia="宋体"/>
        </w:rPr>
        <w:t>2</w:t>
      </w:r>
      <w:r>
        <w:rPr>
          <w:rFonts w:hint="eastAsia" w:eastAsia="宋体" w:cs="宋体"/>
        </w:rPr>
        <w:t>）与供应商存在利害关系未回避；</w:t>
      </w:r>
    </w:p>
    <w:p>
      <w:pPr>
        <w:adjustRightInd w:val="0"/>
        <w:snapToGrid w:val="0"/>
        <w:spacing w:line="420" w:lineRule="exact"/>
        <w:ind w:firstLine="484" w:firstLineChars="202"/>
        <w:rPr>
          <w:rFonts w:eastAsia="宋体"/>
        </w:rPr>
      </w:pPr>
      <w:r>
        <w:rPr>
          <w:rFonts w:hint="eastAsia" w:eastAsia="宋体" w:cs="宋体"/>
        </w:rPr>
        <w:t>（</w:t>
      </w:r>
      <w:r>
        <w:rPr>
          <w:rFonts w:eastAsia="宋体"/>
        </w:rPr>
        <w:t>3</w:t>
      </w:r>
      <w:r>
        <w:rPr>
          <w:rFonts w:hint="eastAsia" w:eastAsia="宋体" w:cs="宋体"/>
        </w:rPr>
        <w:t>）收受采购人、采购代理机构、供应商贿赂或者获取其他不正当利益；</w:t>
      </w:r>
    </w:p>
    <w:p>
      <w:pPr>
        <w:adjustRightInd w:val="0"/>
        <w:snapToGrid w:val="0"/>
        <w:spacing w:line="420" w:lineRule="exact"/>
        <w:ind w:firstLine="484" w:firstLineChars="202"/>
        <w:rPr>
          <w:rFonts w:eastAsia="宋体"/>
        </w:rPr>
      </w:pPr>
      <w:r>
        <w:rPr>
          <w:rFonts w:hint="eastAsia" w:eastAsia="宋体" w:cs="宋体"/>
        </w:rPr>
        <w:t>（</w:t>
      </w:r>
      <w:r>
        <w:rPr>
          <w:rFonts w:eastAsia="宋体"/>
        </w:rPr>
        <w:t>4</w:t>
      </w:r>
      <w:r>
        <w:rPr>
          <w:rFonts w:hint="eastAsia" w:eastAsia="宋体" w:cs="宋体"/>
        </w:rPr>
        <w:t>）确定参与本项目评审至评审活动结束前私自接触供应商；</w:t>
      </w:r>
    </w:p>
    <w:p>
      <w:pPr>
        <w:adjustRightInd w:val="0"/>
        <w:snapToGrid w:val="0"/>
        <w:spacing w:line="420" w:lineRule="exact"/>
        <w:ind w:firstLine="487" w:firstLineChars="202"/>
        <w:rPr>
          <w:rFonts w:eastAsia="宋体"/>
          <w:b/>
          <w:bCs/>
        </w:rPr>
      </w:pPr>
      <w:r>
        <w:rPr>
          <w:rFonts w:eastAsia="宋体"/>
          <w:b/>
          <w:bCs/>
        </w:rPr>
        <w:t>7.</w:t>
      </w:r>
      <w:r>
        <w:rPr>
          <w:rFonts w:hint="eastAsia" w:eastAsia="宋体" w:cs="宋体"/>
          <w:b/>
          <w:bCs/>
        </w:rPr>
        <w:t>竞争性磋商小组成员参与项目评审活动过程中应当禁止的情形：</w:t>
      </w:r>
    </w:p>
    <w:p>
      <w:pPr>
        <w:adjustRightInd w:val="0"/>
        <w:snapToGrid w:val="0"/>
        <w:spacing w:line="420" w:lineRule="exact"/>
        <w:ind w:firstLine="484" w:firstLineChars="202"/>
        <w:rPr>
          <w:rFonts w:eastAsia="宋体"/>
        </w:rPr>
      </w:pPr>
      <w:r>
        <w:rPr>
          <w:rFonts w:hint="eastAsia" w:eastAsia="宋体" w:cs="宋体"/>
        </w:rPr>
        <w:t>（</w:t>
      </w:r>
      <w:r>
        <w:rPr>
          <w:rFonts w:eastAsia="宋体"/>
        </w:rPr>
        <w:t>1</w:t>
      </w:r>
      <w:r>
        <w:rPr>
          <w:rFonts w:hint="eastAsia" w:eastAsia="宋体" w:cs="宋体"/>
        </w:rPr>
        <w:t>）未按照采购文件规定的评审程序、评审方法和评审标准进行独立评审；</w:t>
      </w:r>
    </w:p>
    <w:p>
      <w:pPr>
        <w:adjustRightInd w:val="0"/>
        <w:snapToGrid w:val="0"/>
        <w:spacing w:line="420" w:lineRule="exact"/>
        <w:ind w:firstLine="484" w:firstLineChars="202"/>
        <w:rPr>
          <w:rFonts w:eastAsia="宋体"/>
        </w:rPr>
      </w:pPr>
      <w:r>
        <w:rPr>
          <w:rFonts w:hint="eastAsia" w:eastAsia="宋体" w:cs="宋体"/>
        </w:rPr>
        <w:t>（</w:t>
      </w:r>
      <w:r>
        <w:rPr>
          <w:rFonts w:eastAsia="宋体"/>
        </w:rPr>
        <w:t>2</w:t>
      </w:r>
      <w:r>
        <w:rPr>
          <w:rFonts w:hint="eastAsia" w:eastAsia="宋体" w:cs="宋体"/>
        </w:rPr>
        <w:t>）除竞争性磋商响应文件中含义不明确、同类问题表述不一致或者有明显文字和计算错误情形外，接受竞争性磋商响应供应商提出的与竞争性磋商响应文件不一致的澄清或者说明；</w:t>
      </w:r>
    </w:p>
    <w:p>
      <w:pPr>
        <w:adjustRightInd w:val="0"/>
        <w:snapToGrid w:val="0"/>
        <w:spacing w:line="420" w:lineRule="exact"/>
        <w:ind w:firstLine="484" w:firstLineChars="202"/>
        <w:rPr>
          <w:rFonts w:eastAsia="宋体"/>
        </w:rPr>
      </w:pPr>
      <w:r>
        <w:rPr>
          <w:rFonts w:hint="eastAsia" w:eastAsia="宋体" w:cs="宋体"/>
        </w:rPr>
        <w:t>（</w:t>
      </w:r>
      <w:r>
        <w:rPr>
          <w:rFonts w:eastAsia="宋体"/>
        </w:rPr>
        <w:t>3</w:t>
      </w:r>
      <w:r>
        <w:rPr>
          <w:rFonts w:hint="eastAsia" w:eastAsia="宋体" w:cs="宋体"/>
        </w:rPr>
        <w:t>）违反评审纪律发表倾向性意见或者征询采购人的倾向性意见；</w:t>
      </w:r>
    </w:p>
    <w:p>
      <w:pPr>
        <w:adjustRightInd w:val="0"/>
        <w:snapToGrid w:val="0"/>
        <w:spacing w:line="420" w:lineRule="exact"/>
        <w:ind w:firstLine="484" w:firstLineChars="202"/>
        <w:rPr>
          <w:rFonts w:eastAsia="宋体"/>
        </w:rPr>
      </w:pPr>
      <w:r>
        <w:rPr>
          <w:rFonts w:hint="eastAsia" w:eastAsia="宋体" w:cs="宋体"/>
        </w:rPr>
        <w:t>（</w:t>
      </w:r>
      <w:r>
        <w:rPr>
          <w:rFonts w:eastAsia="宋体"/>
        </w:rPr>
        <w:t>4</w:t>
      </w:r>
      <w:r>
        <w:rPr>
          <w:rFonts w:hint="eastAsia" w:eastAsia="宋体" w:cs="宋体"/>
        </w:rPr>
        <w:t>）对需要专业判断的主观评审因素协商评分；</w:t>
      </w:r>
    </w:p>
    <w:p>
      <w:pPr>
        <w:adjustRightInd w:val="0"/>
        <w:snapToGrid w:val="0"/>
        <w:spacing w:line="420" w:lineRule="exact"/>
        <w:ind w:firstLine="484" w:firstLineChars="202"/>
        <w:rPr>
          <w:rFonts w:eastAsia="宋体"/>
        </w:rPr>
      </w:pPr>
      <w:r>
        <w:rPr>
          <w:rFonts w:hint="eastAsia" w:eastAsia="宋体" w:cs="宋体"/>
        </w:rPr>
        <w:t>（</w:t>
      </w:r>
      <w:r>
        <w:rPr>
          <w:rFonts w:eastAsia="宋体"/>
        </w:rPr>
        <w:t>5</w:t>
      </w:r>
      <w:r>
        <w:rPr>
          <w:rFonts w:hint="eastAsia" w:eastAsia="宋体" w:cs="宋体"/>
        </w:rPr>
        <w:t>）在评审过程中擅离职守，影响评审程序正常进行；</w:t>
      </w:r>
    </w:p>
    <w:p>
      <w:pPr>
        <w:adjustRightInd w:val="0"/>
        <w:snapToGrid w:val="0"/>
        <w:spacing w:line="420" w:lineRule="exact"/>
        <w:ind w:firstLine="484" w:firstLineChars="202"/>
        <w:rPr>
          <w:rFonts w:eastAsia="宋体"/>
        </w:rPr>
      </w:pPr>
      <w:r>
        <w:rPr>
          <w:rFonts w:hint="eastAsia" w:eastAsia="宋体" w:cs="宋体"/>
        </w:rPr>
        <w:t>（</w:t>
      </w:r>
      <w:r>
        <w:rPr>
          <w:rFonts w:eastAsia="宋体"/>
        </w:rPr>
        <w:t>6</w:t>
      </w:r>
      <w:r>
        <w:rPr>
          <w:rFonts w:hint="eastAsia" w:eastAsia="宋体" w:cs="宋体"/>
        </w:rPr>
        <w:t>）拒绝在评审报告上签字，或者有异议不签署不同意见并说明原因；</w:t>
      </w:r>
    </w:p>
    <w:p>
      <w:pPr>
        <w:adjustRightInd w:val="0"/>
        <w:snapToGrid w:val="0"/>
        <w:spacing w:line="420" w:lineRule="exact"/>
        <w:ind w:firstLine="484" w:firstLineChars="202"/>
        <w:rPr>
          <w:rFonts w:eastAsia="宋体"/>
        </w:rPr>
      </w:pPr>
      <w:r>
        <w:rPr>
          <w:rFonts w:hint="eastAsia" w:eastAsia="宋体" w:cs="宋体"/>
        </w:rPr>
        <w:t>（</w:t>
      </w:r>
      <w:r>
        <w:rPr>
          <w:rFonts w:eastAsia="宋体"/>
        </w:rPr>
        <w:t>7</w:t>
      </w:r>
      <w:r>
        <w:rPr>
          <w:rFonts w:hint="eastAsia" w:eastAsia="宋体" w:cs="宋体"/>
        </w:rPr>
        <w:t>）</w:t>
      </w:r>
      <w:r>
        <w:rPr>
          <w:rFonts w:hint="eastAsia" w:eastAsia="宋体" w:cs="宋体"/>
          <w:b/>
          <w:bCs/>
        </w:rPr>
        <w:t>未要求报价明显偏低的供应商提供合理说明</w:t>
      </w:r>
      <w:r>
        <w:rPr>
          <w:rFonts w:hint="eastAsia" w:eastAsia="宋体" w:cs="宋体"/>
        </w:rPr>
        <w:t>；</w:t>
      </w:r>
    </w:p>
    <w:p>
      <w:pPr>
        <w:adjustRightInd w:val="0"/>
        <w:snapToGrid w:val="0"/>
        <w:spacing w:line="420" w:lineRule="exact"/>
        <w:ind w:firstLine="484" w:firstLineChars="202"/>
        <w:rPr>
          <w:rFonts w:eastAsia="宋体"/>
        </w:rPr>
      </w:pPr>
      <w:r>
        <w:rPr>
          <w:rFonts w:hint="eastAsia" w:eastAsia="宋体" w:cs="宋体"/>
        </w:rPr>
        <w:t>（</w:t>
      </w:r>
      <w:r>
        <w:rPr>
          <w:rFonts w:eastAsia="宋体"/>
        </w:rPr>
        <w:t>8</w:t>
      </w:r>
      <w:r>
        <w:rPr>
          <w:rFonts w:hint="eastAsia" w:eastAsia="宋体" w:cs="宋体"/>
        </w:rPr>
        <w:t>）评审现场未对评分、供应商报价等重要数据履行核对义务；</w:t>
      </w:r>
    </w:p>
    <w:p>
      <w:pPr>
        <w:adjustRightInd w:val="0"/>
        <w:snapToGrid w:val="0"/>
        <w:spacing w:line="420" w:lineRule="exact"/>
        <w:ind w:firstLine="484" w:firstLineChars="202"/>
        <w:rPr>
          <w:rFonts w:eastAsia="宋体"/>
        </w:rPr>
      </w:pPr>
      <w:r>
        <w:rPr>
          <w:rFonts w:hint="eastAsia" w:eastAsia="宋体" w:cs="宋体"/>
        </w:rPr>
        <w:t>（</w:t>
      </w:r>
      <w:r>
        <w:rPr>
          <w:rFonts w:eastAsia="宋体"/>
        </w:rPr>
        <w:t>9</w:t>
      </w:r>
      <w:r>
        <w:rPr>
          <w:rFonts w:hint="eastAsia" w:eastAsia="宋体" w:cs="宋体"/>
        </w:rPr>
        <w:t>）评审过程中发现供应商有行贿、提供虚假材料或者串通等违法行为，不及时向财政部门报告；</w:t>
      </w:r>
    </w:p>
    <w:p>
      <w:pPr>
        <w:adjustRightInd w:val="0"/>
        <w:snapToGrid w:val="0"/>
        <w:spacing w:line="420" w:lineRule="exact"/>
        <w:ind w:firstLine="484" w:firstLineChars="202"/>
        <w:rPr>
          <w:rFonts w:eastAsia="宋体"/>
        </w:rPr>
      </w:pPr>
      <w:r>
        <w:rPr>
          <w:rFonts w:hint="eastAsia" w:eastAsia="宋体" w:cs="宋体"/>
        </w:rPr>
        <w:t>（</w:t>
      </w:r>
      <w:r>
        <w:rPr>
          <w:rFonts w:eastAsia="宋体"/>
        </w:rPr>
        <w:t>10</w:t>
      </w:r>
      <w:r>
        <w:rPr>
          <w:rFonts w:hint="eastAsia" w:eastAsia="宋体" w:cs="宋体"/>
        </w:rPr>
        <w:t>）评审过程中受到非法干预，未及时向财政、监察等部门举报。</w:t>
      </w:r>
    </w:p>
    <w:p>
      <w:pPr>
        <w:adjustRightInd w:val="0"/>
        <w:snapToGrid w:val="0"/>
        <w:spacing w:line="420" w:lineRule="exact"/>
        <w:ind w:firstLine="487" w:firstLineChars="202"/>
        <w:rPr>
          <w:rFonts w:eastAsia="宋体"/>
          <w:b/>
          <w:bCs/>
        </w:rPr>
      </w:pPr>
      <w:r>
        <w:rPr>
          <w:rFonts w:eastAsia="宋体"/>
          <w:b/>
          <w:bCs/>
        </w:rPr>
        <w:t>8.</w:t>
      </w:r>
      <w:r>
        <w:rPr>
          <w:rFonts w:hint="eastAsia" w:eastAsia="宋体" w:cs="宋体"/>
          <w:b/>
          <w:bCs/>
        </w:rPr>
        <w:t>竞争性磋商小组成员参与项目评审活动结束后应当禁止的情形：</w:t>
      </w:r>
    </w:p>
    <w:p>
      <w:pPr>
        <w:adjustRightInd w:val="0"/>
        <w:snapToGrid w:val="0"/>
        <w:spacing w:line="420" w:lineRule="exact"/>
        <w:ind w:firstLine="484" w:firstLineChars="202"/>
        <w:rPr>
          <w:rFonts w:eastAsia="宋体"/>
        </w:rPr>
      </w:pPr>
      <w:r>
        <w:rPr>
          <w:rFonts w:hint="eastAsia" w:eastAsia="宋体" w:cs="宋体"/>
        </w:rPr>
        <w:t>（</w:t>
      </w:r>
      <w:r>
        <w:rPr>
          <w:rFonts w:eastAsia="宋体"/>
        </w:rPr>
        <w:t>1</w:t>
      </w:r>
      <w:r>
        <w:rPr>
          <w:rFonts w:hint="eastAsia" w:eastAsia="宋体" w:cs="宋体"/>
        </w:rPr>
        <w:t>）泄露评审文件、评审情况和评审中获悉的国家秘密、商业秘密；</w:t>
      </w:r>
    </w:p>
    <w:p>
      <w:pPr>
        <w:adjustRightInd w:val="0"/>
        <w:snapToGrid w:val="0"/>
        <w:spacing w:line="420" w:lineRule="exact"/>
        <w:ind w:firstLine="484" w:firstLineChars="202"/>
        <w:rPr>
          <w:rFonts w:eastAsia="宋体"/>
        </w:rPr>
      </w:pPr>
      <w:r>
        <w:rPr>
          <w:rFonts w:hint="eastAsia" w:eastAsia="宋体" w:cs="宋体"/>
        </w:rPr>
        <w:t>（</w:t>
      </w:r>
      <w:r>
        <w:rPr>
          <w:rFonts w:eastAsia="宋体"/>
        </w:rPr>
        <w:t>2</w:t>
      </w:r>
      <w:r>
        <w:rPr>
          <w:rFonts w:hint="eastAsia" w:eastAsia="宋体" w:cs="宋体"/>
        </w:rPr>
        <w:t>）记录、复制或者带走任何本项目的评审资料；</w:t>
      </w:r>
    </w:p>
    <w:p>
      <w:pPr>
        <w:adjustRightInd w:val="0"/>
        <w:snapToGrid w:val="0"/>
        <w:spacing w:line="420" w:lineRule="exact"/>
        <w:ind w:firstLine="484" w:firstLineChars="202"/>
        <w:rPr>
          <w:rFonts w:eastAsia="宋体"/>
        </w:rPr>
      </w:pPr>
      <w:r>
        <w:rPr>
          <w:rFonts w:hint="eastAsia" w:eastAsia="宋体" w:cs="宋体"/>
        </w:rPr>
        <w:t>（</w:t>
      </w:r>
      <w:r>
        <w:rPr>
          <w:rFonts w:eastAsia="宋体"/>
        </w:rPr>
        <w:t>3</w:t>
      </w:r>
      <w:r>
        <w:rPr>
          <w:rFonts w:hint="eastAsia" w:eastAsia="宋体" w:cs="宋体"/>
        </w:rPr>
        <w:t>）在本项目评审活动中有违法违规行为的原竞争性磋商小组成员参加本项目重新组建的竞争性磋商小组；</w:t>
      </w:r>
    </w:p>
    <w:p>
      <w:pPr>
        <w:adjustRightInd w:val="0"/>
        <w:snapToGrid w:val="0"/>
        <w:spacing w:line="420" w:lineRule="exact"/>
        <w:ind w:firstLine="484" w:firstLineChars="202"/>
        <w:rPr>
          <w:rFonts w:eastAsia="宋体"/>
        </w:rPr>
      </w:pPr>
      <w:r>
        <w:rPr>
          <w:rFonts w:hint="eastAsia" w:eastAsia="宋体" w:cs="宋体"/>
        </w:rPr>
        <w:t>（</w:t>
      </w:r>
      <w:r>
        <w:rPr>
          <w:rFonts w:eastAsia="宋体"/>
        </w:rPr>
        <w:t>4</w:t>
      </w:r>
      <w:r>
        <w:rPr>
          <w:rFonts w:hint="eastAsia" w:eastAsia="宋体" w:cs="宋体"/>
        </w:rPr>
        <w:t>）拒不履行配合答复供应商询问、质疑、投诉等法定义务；</w:t>
      </w:r>
    </w:p>
    <w:p>
      <w:pPr>
        <w:adjustRightInd w:val="0"/>
        <w:snapToGrid w:val="0"/>
        <w:spacing w:line="420" w:lineRule="exact"/>
        <w:ind w:firstLine="484" w:firstLineChars="202"/>
        <w:rPr>
          <w:rFonts w:eastAsia="宋体"/>
        </w:rPr>
      </w:pPr>
      <w:r>
        <w:rPr>
          <w:rFonts w:hint="eastAsia" w:eastAsia="宋体" w:cs="宋体"/>
        </w:rPr>
        <w:t>（</w:t>
      </w:r>
      <w:r>
        <w:rPr>
          <w:rFonts w:eastAsia="宋体"/>
        </w:rPr>
        <w:t>5</w:t>
      </w:r>
      <w:r>
        <w:rPr>
          <w:rFonts w:hint="eastAsia" w:eastAsia="宋体" w:cs="宋体"/>
        </w:rPr>
        <w:t>）以评审专家身份从事有损政府采购公信力的活动。</w:t>
      </w:r>
    </w:p>
    <w:p>
      <w:pPr>
        <w:adjustRightInd w:val="0"/>
        <w:snapToGrid w:val="0"/>
        <w:spacing w:line="420" w:lineRule="exact"/>
        <w:ind w:firstLine="484" w:firstLineChars="202"/>
        <w:rPr>
          <w:rFonts w:eastAsia="宋体"/>
        </w:rPr>
      </w:pPr>
      <w:r>
        <w:rPr>
          <w:rFonts w:eastAsia="宋体"/>
        </w:rPr>
        <w:t>9.</w:t>
      </w:r>
      <w:r>
        <w:rPr>
          <w:rFonts w:hint="eastAsia" w:eastAsia="宋体" w:cs="宋体"/>
        </w:rPr>
        <w:t>除采购人代表、磋商评审现场组织人员外，采购人的其他工作人员以及与磋商评审工作无关的人员不得进入评审现场。</w:t>
      </w:r>
    </w:p>
    <w:p>
      <w:pPr>
        <w:adjustRightInd w:val="0"/>
        <w:snapToGrid w:val="0"/>
        <w:spacing w:line="420" w:lineRule="exact"/>
        <w:ind w:firstLine="484" w:firstLineChars="202"/>
        <w:rPr>
          <w:rFonts w:eastAsia="宋体"/>
        </w:rPr>
      </w:pPr>
      <w:r>
        <w:rPr>
          <w:rFonts w:eastAsia="宋体"/>
        </w:rPr>
        <w:t>10.</w:t>
      </w:r>
      <w:r>
        <w:rPr>
          <w:rFonts w:hint="eastAsia" w:eastAsia="宋体" w:cs="宋体"/>
        </w:rPr>
        <w:t>有关人员对评审情况以及在评审过程中获悉的商业秘密负有保密责任。</w:t>
      </w:r>
    </w:p>
    <w:p>
      <w:pPr>
        <w:adjustRightInd w:val="0"/>
        <w:snapToGrid w:val="0"/>
        <w:spacing w:line="420" w:lineRule="exact"/>
        <w:ind w:firstLine="484" w:firstLineChars="202"/>
        <w:rPr>
          <w:rFonts w:eastAsia="宋体"/>
        </w:rPr>
      </w:pPr>
      <w:r>
        <w:rPr>
          <w:rFonts w:eastAsia="宋体"/>
        </w:rPr>
        <w:t>11.</w:t>
      </w:r>
      <w:r>
        <w:rPr>
          <w:rFonts w:hint="eastAsia" w:eastAsia="宋体" w:cs="宋体"/>
        </w:rPr>
        <w:t>竞争性磋商开启后，直到公告项目成交结果，发出成交通知书并授予成交人合同为止，凡属于评审、澄清、评价和比较竞争性磋商响应的所有资料及有关授予合同等的相关信息，都严禁向竞争性磋商响应供应商或与磋商评审无关的其他人（单位）泄露。</w:t>
      </w:r>
    </w:p>
    <w:p>
      <w:pPr>
        <w:adjustRightInd w:val="0"/>
        <w:snapToGrid w:val="0"/>
        <w:spacing w:line="420" w:lineRule="exact"/>
        <w:ind w:firstLine="484" w:firstLineChars="202"/>
        <w:rPr>
          <w:rFonts w:eastAsia="宋体"/>
        </w:rPr>
      </w:pPr>
      <w:r>
        <w:rPr>
          <w:rFonts w:eastAsia="宋体"/>
        </w:rPr>
        <w:t>12.</w:t>
      </w:r>
      <w:r>
        <w:rPr>
          <w:rFonts w:hint="eastAsia" w:eastAsia="宋体" w:cs="宋体"/>
        </w:rPr>
        <w:t>在竞争性磋商响应文件的评审、澄清、评价和比较的过程中，供应商对采购人和竞争性磋商小组成员有施加影响的任何行为，都将取消其磋商资格。在授予合同的过程中，供应商对采购人和竞争性磋商小组成员有施加影响的任何行为，都将取消其成交资格。</w:t>
      </w:r>
    </w:p>
    <w:p>
      <w:pPr>
        <w:snapToGrid w:val="0"/>
        <w:spacing w:line="420" w:lineRule="exact"/>
        <w:ind w:firstLine="482" w:firstLineChars="200"/>
        <w:outlineLvl w:val="2"/>
        <w:rPr>
          <w:rFonts w:eastAsia="宋体"/>
          <w:b/>
          <w:bCs/>
        </w:rPr>
      </w:pPr>
      <w:r>
        <w:rPr>
          <w:rFonts w:hint="eastAsia" w:eastAsia="宋体" w:cs="宋体"/>
          <w:b/>
          <w:bCs/>
        </w:rPr>
        <w:t>（二）竞争性磋商程序</w:t>
      </w:r>
    </w:p>
    <w:p>
      <w:pPr>
        <w:snapToGrid w:val="0"/>
        <w:spacing w:line="420" w:lineRule="exact"/>
        <w:ind w:firstLine="484" w:firstLineChars="202"/>
        <w:rPr>
          <w:rFonts w:eastAsia="宋体"/>
        </w:rPr>
      </w:pPr>
      <w:r>
        <w:rPr>
          <w:rFonts w:eastAsia="宋体"/>
        </w:rPr>
        <w:t>1.</w:t>
      </w:r>
      <w:r>
        <w:rPr>
          <w:rFonts w:hint="eastAsia" w:eastAsia="宋体" w:cs="宋体"/>
        </w:rPr>
        <w:t>磋商小组依据《中华人民共和国政府采购法》、《政府采购竞争性磋商采购方式管理暂行办法》以及有关政府采购的相关法规，遵循</w:t>
      </w:r>
      <w:r>
        <w:rPr>
          <w:rFonts w:eastAsia="宋体"/>
        </w:rPr>
        <w:t>“</w:t>
      </w:r>
      <w:r>
        <w:rPr>
          <w:rFonts w:hint="eastAsia" w:eastAsia="宋体" w:cs="宋体"/>
        </w:rPr>
        <w:t>公开、公平、公正、择优、信用</w:t>
      </w:r>
      <w:r>
        <w:rPr>
          <w:rFonts w:eastAsia="宋体"/>
        </w:rPr>
        <w:t>”</w:t>
      </w:r>
      <w:r>
        <w:rPr>
          <w:rFonts w:hint="eastAsia" w:eastAsia="宋体" w:cs="宋体"/>
        </w:rPr>
        <w:t>的原则进行磋商评审。</w:t>
      </w:r>
    </w:p>
    <w:p>
      <w:pPr>
        <w:snapToGrid w:val="0"/>
        <w:spacing w:line="420" w:lineRule="exact"/>
        <w:ind w:firstLine="484" w:firstLineChars="202"/>
        <w:rPr>
          <w:rFonts w:eastAsia="宋体"/>
        </w:rPr>
      </w:pPr>
      <w:r>
        <w:rPr>
          <w:rFonts w:eastAsia="宋体"/>
        </w:rPr>
        <w:t>2.</w:t>
      </w:r>
      <w:r>
        <w:rPr>
          <w:rFonts w:hint="eastAsia" w:eastAsia="宋体" w:cs="宋体"/>
        </w:rPr>
        <w:t>磋商小组将按照竞争性磋商文件的规定，只对资格审查合格的供应商的磋商响应文件进行评审和比较。</w:t>
      </w:r>
    </w:p>
    <w:p>
      <w:pPr>
        <w:snapToGrid w:val="0"/>
        <w:spacing w:line="420" w:lineRule="exact"/>
        <w:ind w:firstLine="484" w:firstLineChars="202"/>
        <w:rPr>
          <w:rFonts w:eastAsia="宋体" w:cs="宋体"/>
        </w:rPr>
      </w:pPr>
      <w:r>
        <w:rPr>
          <w:rFonts w:eastAsia="宋体"/>
        </w:rPr>
        <w:t>3.</w:t>
      </w:r>
      <w:r>
        <w:rPr>
          <w:rFonts w:hint="eastAsia" w:eastAsia="宋体" w:cs="宋体"/>
        </w:rPr>
        <w:t>磋商小组根据磋商文件规定的程序、评定成交的标准等事项与实质性响应磋商文件要求的供应商进行磋商。未实质性响应磋商文件要求的磋商响应文件按无效处理，磋商小组应当告知提交磋商响应文件的供应商。</w:t>
      </w:r>
    </w:p>
    <w:p>
      <w:pPr>
        <w:snapToGrid w:val="0"/>
        <w:spacing w:line="420" w:lineRule="exact"/>
        <w:ind w:firstLine="484" w:firstLineChars="202"/>
        <w:rPr>
          <w:rFonts w:eastAsia="宋体"/>
        </w:rPr>
      </w:pPr>
      <w:r>
        <w:rPr>
          <w:rFonts w:hint="eastAsia" w:eastAsia="宋体" w:cs="宋体"/>
        </w:rPr>
        <w:t>（</w:t>
      </w:r>
      <w:r>
        <w:rPr>
          <w:rFonts w:eastAsia="宋体"/>
        </w:rPr>
        <w:t>1</w:t>
      </w:r>
      <w:r>
        <w:rPr>
          <w:rFonts w:hint="eastAsia" w:eastAsia="宋体" w:cs="宋体"/>
        </w:rPr>
        <w:t>）对符合资格要求的供应商的磋商技术响应文件的有效性、完整性和响应程度进行实质性响应评审：</w:t>
      </w:r>
    </w:p>
    <w:tbl>
      <w:tblPr>
        <w:tblStyle w:val="50"/>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trPr>
        <w:tc>
          <w:tcPr>
            <w:tcW w:w="851" w:type="dxa"/>
            <w:vAlign w:val="center"/>
          </w:tcPr>
          <w:p>
            <w:pPr>
              <w:spacing w:line="420" w:lineRule="exact"/>
              <w:jc w:val="center"/>
              <w:rPr>
                <w:rFonts w:eastAsia="宋体"/>
                <w:b/>
                <w:bCs/>
                <w:kern w:val="0"/>
              </w:rPr>
            </w:pPr>
            <w:bookmarkStart w:id="35" w:name="_Hlk47538231"/>
            <w:r>
              <w:rPr>
                <w:rFonts w:hint="eastAsia" w:eastAsia="宋体"/>
                <w:b/>
                <w:bCs/>
                <w:kern w:val="0"/>
              </w:rPr>
              <w:t>序号</w:t>
            </w:r>
          </w:p>
        </w:tc>
        <w:tc>
          <w:tcPr>
            <w:tcW w:w="8788" w:type="dxa"/>
            <w:vAlign w:val="center"/>
          </w:tcPr>
          <w:p>
            <w:pPr>
              <w:spacing w:line="420" w:lineRule="exact"/>
              <w:ind w:left="0" w:leftChars="-44" w:right="-106" w:rightChars="-44" w:hanging="106" w:hangingChars="44"/>
              <w:jc w:val="center"/>
              <w:rPr>
                <w:rFonts w:eastAsia="宋体" w:cs="宋体"/>
                <w:b/>
                <w:bCs/>
                <w:kern w:val="0"/>
              </w:rPr>
            </w:pPr>
            <w:r>
              <w:rPr>
                <w:rFonts w:hint="eastAsia" w:eastAsia="宋体" w:cs="宋体"/>
                <w:b/>
                <w:bCs/>
                <w:kern w:val="0"/>
              </w:rPr>
              <w:t>实质性响应评审内容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51" w:type="dxa"/>
            <w:vAlign w:val="center"/>
          </w:tcPr>
          <w:p>
            <w:pPr>
              <w:spacing w:line="420" w:lineRule="exact"/>
              <w:jc w:val="center"/>
              <w:rPr>
                <w:rFonts w:eastAsia="宋体"/>
                <w:kern w:val="0"/>
              </w:rPr>
            </w:pPr>
            <w:r>
              <w:rPr>
                <w:rFonts w:eastAsia="宋体"/>
                <w:kern w:val="0"/>
              </w:rPr>
              <w:t>1</w:t>
            </w:r>
          </w:p>
        </w:tc>
        <w:tc>
          <w:tcPr>
            <w:tcW w:w="8788" w:type="dxa"/>
            <w:vAlign w:val="center"/>
          </w:tcPr>
          <w:p>
            <w:pPr>
              <w:spacing w:line="420" w:lineRule="exact"/>
              <w:ind w:left="-104" w:leftChars="-44" w:right="-106" w:rightChars="-44" w:hanging="2"/>
              <w:jc w:val="left"/>
              <w:rPr>
                <w:rFonts w:eastAsia="宋体" w:cs="宋体"/>
                <w:kern w:val="0"/>
              </w:rPr>
            </w:pPr>
            <w:r>
              <w:rPr>
                <w:rFonts w:hint="eastAsia" w:eastAsia="宋体" w:cs="宋体"/>
                <w:kern w:val="0"/>
              </w:rPr>
              <w:t>磋商响应须提供的勘察项目现场的“现场踏勘函”是否实质性响应。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51" w:type="dxa"/>
            <w:vAlign w:val="center"/>
          </w:tcPr>
          <w:p>
            <w:pPr>
              <w:spacing w:line="420" w:lineRule="exact"/>
              <w:jc w:val="center"/>
              <w:rPr>
                <w:rFonts w:eastAsia="宋体"/>
                <w:kern w:val="0"/>
              </w:rPr>
            </w:pPr>
            <w:r>
              <w:rPr>
                <w:rFonts w:eastAsia="宋体"/>
                <w:kern w:val="0"/>
              </w:rPr>
              <w:t>2</w:t>
            </w:r>
          </w:p>
        </w:tc>
        <w:tc>
          <w:tcPr>
            <w:tcW w:w="8788" w:type="dxa"/>
            <w:vAlign w:val="center"/>
          </w:tcPr>
          <w:p>
            <w:pPr>
              <w:spacing w:line="420" w:lineRule="exact"/>
              <w:ind w:left="-104" w:leftChars="-44" w:right="-106" w:rightChars="-44" w:hanging="2"/>
              <w:jc w:val="left"/>
              <w:rPr>
                <w:rFonts w:eastAsia="宋体" w:cs="宋体"/>
                <w:kern w:val="0"/>
              </w:rPr>
            </w:pPr>
            <w:r>
              <w:rPr>
                <w:rFonts w:hint="eastAsia" w:eastAsia="宋体" w:cs="宋体"/>
                <w:kern w:val="0"/>
              </w:rPr>
              <w:t>磋商响应的项目《投资建设经营方案》与磋商文件要求的符合度（包含建设资金到位和专款专用的承诺函、目标地点建设设计成果内容、经营理念和方案的翔实性、建设装饰装修工期保证承诺函），是否实质性响应并可进入磋商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51" w:type="dxa"/>
            <w:vAlign w:val="center"/>
          </w:tcPr>
          <w:p>
            <w:pPr>
              <w:spacing w:line="420" w:lineRule="exact"/>
              <w:jc w:val="center"/>
              <w:rPr>
                <w:rFonts w:eastAsia="宋体"/>
                <w:kern w:val="0"/>
              </w:rPr>
            </w:pPr>
            <w:r>
              <w:rPr>
                <w:rFonts w:eastAsia="宋体"/>
                <w:kern w:val="0"/>
              </w:rPr>
              <w:t>3</w:t>
            </w:r>
          </w:p>
        </w:tc>
        <w:tc>
          <w:tcPr>
            <w:tcW w:w="8788" w:type="dxa"/>
            <w:vAlign w:val="center"/>
          </w:tcPr>
          <w:p>
            <w:pPr>
              <w:spacing w:line="420" w:lineRule="exact"/>
              <w:ind w:left="-1" w:leftChars="-44" w:right="-106" w:rightChars="-44" w:hanging="105" w:hangingChars="44"/>
              <w:jc w:val="left"/>
              <w:rPr>
                <w:rFonts w:eastAsia="宋体"/>
                <w:kern w:val="0"/>
              </w:rPr>
            </w:pPr>
            <w:r>
              <w:rPr>
                <w:rFonts w:hint="eastAsia" w:eastAsia="宋体" w:cs="宋体"/>
                <w:kern w:val="0"/>
              </w:rPr>
              <w:t>磋商响应的项目《</w:t>
            </w:r>
            <w:r>
              <w:rPr>
                <w:rFonts w:hint="eastAsia" w:eastAsia="宋体"/>
              </w:rPr>
              <w:t>针对居家养老服务运营、政府购买居家养老服务、残疾人之家运营的运作方案</w:t>
            </w:r>
            <w:r>
              <w:rPr>
                <w:rFonts w:hint="eastAsia" w:eastAsia="宋体" w:cs="宋体"/>
                <w:kern w:val="0"/>
              </w:rPr>
              <w:t>》（包含《退出机制条款执行承诺函》《服务到期配合承诺函》）与磋商文件要求的符合度，是否实质性响应并可进入磋商环节。</w:t>
            </w:r>
          </w:p>
        </w:tc>
      </w:tr>
      <w:bookmarkEnd w:id="35"/>
    </w:tbl>
    <w:p>
      <w:pPr>
        <w:snapToGrid w:val="0"/>
        <w:spacing w:line="420" w:lineRule="exact"/>
        <w:ind w:firstLine="484" w:firstLineChars="202"/>
        <w:rPr>
          <w:rFonts w:eastAsia="宋体" w:cs="宋体"/>
        </w:rPr>
      </w:pPr>
      <w:r>
        <w:rPr>
          <w:rFonts w:hint="eastAsia" w:eastAsia="宋体" w:cs="宋体"/>
        </w:rPr>
        <w:t>（</w:t>
      </w:r>
      <w:r>
        <w:rPr>
          <w:rFonts w:eastAsia="宋体" w:cs="宋体"/>
        </w:rPr>
        <w:t>2</w:t>
      </w:r>
      <w:r>
        <w:rPr>
          <w:rFonts w:hint="eastAsia" w:eastAsia="宋体" w:cs="宋体"/>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napToGrid w:val="0"/>
        <w:spacing w:line="420" w:lineRule="exact"/>
        <w:ind w:firstLine="484" w:firstLineChars="202"/>
        <w:rPr>
          <w:rFonts w:eastAsia="宋体" w:cs="宋体"/>
        </w:rPr>
      </w:pPr>
      <w:r>
        <w:rPr>
          <w:rFonts w:hint="eastAsia" w:eastAsia="宋体" w:cs="宋体"/>
        </w:rPr>
        <w:t>（</w:t>
      </w:r>
      <w:r>
        <w:rPr>
          <w:rFonts w:eastAsia="宋体" w:cs="宋体"/>
        </w:rPr>
        <w:t>3</w:t>
      </w:r>
      <w:r>
        <w:rPr>
          <w:rFonts w:hint="eastAsia" w:eastAsia="宋体" w:cs="宋体"/>
        </w:rPr>
        <w:t>）磋商小组要求供应商澄清、说明或者更正响应文件应当以书面形式作出。供应商的澄清、说明或者更正应当由法定代表人或其授权代表签字或者加盖公章。由授权代表签字的，应当附法定代表人授权书。</w:t>
      </w:r>
    </w:p>
    <w:p>
      <w:pPr>
        <w:snapToGrid w:val="0"/>
        <w:spacing w:line="420" w:lineRule="exact"/>
        <w:ind w:firstLine="484" w:firstLineChars="202"/>
        <w:rPr>
          <w:rFonts w:eastAsia="宋体"/>
        </w:rPr>
      </w:pPr>
      <w:r>
        <w:rPr>
          <w:rFonts w:hint="eastAsia" w:eastAsia="宋体" w:cs="宋体"/>
        </w:rPr>
        <w:t>（</w:t>
      </w:r>
      <w:r>
        <w:rPr>
          <w:rFonts w:eastAsia="宋体"/>
        </w:rPr>
        <w:t>4</w:t>
      </w:r>
      <w:r>
        <w:rPr>
          <w:rFonts w:hint="eastAsia" w:eastAsia="宋体" w:cs="宋体"/>
        </w:rPr>
        <w:t>）</w:t>
      </w:r>
      <w:r>
        <w:rPr>
          <w:rFonts w:hint="eastAsia" w:eastAsia="宋体" w:cs="宋体"/>
          <w:b/>
          <w:bCs/>
          <w:u w:val="thick" w:color="FF0000"/>
        </w:rPr>
        <w:t>因本项目无磋商响应报价</w:t>
      </w:r>
      <w:r>
        <w:rPr>
          <w:rFonts w:hint="eastAsia" w:eastAsia="宋体" w:cs="宋体"/>
        </w:rPr>
        <w:t>，在实质性响应评审后，磋商小组所有成员应当集中与单一供应商分别进行磋商，并给予所有参加磋商的供应商平等的磋商机会。</w:t>
      </w:r>
    </w:p>
    <w:p>
      <w:pPr>
        <w:snapToGrid w:val="0"/>
        <w:spacing w:line="420" w:lineRule="exact"/>
        <w:ind w:firstLine="484" w:firstLineChars="202"/>
        <w:rPr>
          <w:rFonts w:eastAsia="宋体"/>
        </w:rPr>
      </w:pPr>
      <w:r>
        <w:rPr>
          <w:rFonts w:hint="eastAsia" w:eastAsia="宋体" w:cs="宋体"/>
        </w:rPr>
        <w:t>（</w:t>
      </w:r>
      <w:r>
        <w:rPr>
          <w:rFonts w:eastAsia="宋体"/>
        </w:rPr>
        <w:t>5</w:t>
      </w:r>
      <w:r>
        <w:rPr>
          <w:rFonts w:hint="eastAsia" w:eastAsia="宋体" w:cs="宋体"/>
        </w:rPr>
        <w:t>）在磋商过程中，磋商小组可以根据磋商文件和磋商情况实质性变动采购需求中的技术、服务要求，但不得变动磋商文件中的其他内容。实质性变动的内容，须经采购人代表确认。</w:t>
      </w:r>
    </w:p>
    <w:p>
      <w:pPr>
        <w:snapToGrid w:val="0"/>
        <w:spacing w:line="420" w:lineRule="exact"/>
        <w:ind w:firstLine="484" w:firstLineChars="202"/>
        <w:rPr>
          <w:rFonts w:eastAsia="宋体"/>
        </w:rPr>
      </w:pPr>
      <w:r>
        <w:rPr>
          <w:rFonts w:hint="eastAsia" w:eastAsia="宋体" w:cs="宋体"/>
        </w:rPr>
        <w:t>（</w:t>
      </w:r>
      <w:r>
        <w:rPr>
          <w:rFonts w:eastAsia="宋体"/>
        </w:rPr>
        <w:t>6</w:t>
      </w:r>
      <w:r>
        <w:rPr>
          <w:rFonts w:hint="eastAsia" w:eastAsia="宋体" w:cs="宋体"/>
        </w:rPr>
        <w:t>）对磋商文件作出的实质性变动是磋商文件的有效组成部分，磋商小组应当及时以书面形式同时通知所有参加磋商的供应商。</w:t>
      </w:r>
    </w:p>
    <w:p>
      <w:pPr>
        <w:snapToGrid w:val="0"/>
        <w:spacing w:line="420" w:lineRule="exact"/>
        <w:ind w:firstLine="484" w:firstLineChars="202"/>
        <w:rPr>
          <w:rFonts w:eastAsia="宋体"/>
        </w:rPr>
      </w:pPr>
      <w:r>
        <w:rPr>
          <w:rFonts w:hint="eastAsia" w:eastAsia="宋体" w:cs="宋体"/>
        </w:rPr>
        <w:t>（</w:t>
      </w:r>
      <w:r>
        <w:rPr>
          <w:rFonts w:eastAsia="宋体"/>
        </w:rPr>
        <w:t>7</w:t>
      </w:r>
      <w:r>
        <w:rPr>
          <w:rFonts w:hint="eastAsia" w:eastAsia="宋体" w:cs="宋体"/>
        </w:rPr>
        <w:t>）供应商应当按照磋商文件的变动情况和磋商小组的要求重新提交响应文件，并由其法定代表人或授权代表签字或者加盖公章。</w:t>
      </w:r>
    </w:p>
    <w:p>
      <w:pPr>
        <w:snapToGrid w:val="0"/>
        <w:spacing w:line="420" w:lineRule="exact"/>
        <w:ind w:firstLine="484" w:firstLineChars="202"/>
        <w:rPr>
          <w:rFonts w:eastAsia="宋体"/>
        </w:rPr>
      </w:pPr>
      <w:r>
        <w:rPr>
          <w:rFonts w:hint="eastAsia" w:eastAsia="宋体" w:cs="宋体"/>
        </w:rPr>
        <w:t>（</w:t>
      </w:r>
      <w:r>
        <w:rPr>
          <w:rFonts w:eastAsia="宋体" w:cs="宋体"/>
        </w:rPr>
        <w:t>8</w:t>
      </w:r>
      <w:r>
        <w:rPr>
          <w:rFonts w:hint="eastAsia" w:eastAsia="宋体" w:cs="宋体"/>
        </w:rPr>
        <w:t>）实质性响应竞争性磋商文件的供应商，可以根据磋商情况退出磋商。</w:t>
      </w:r>
    </w:p>
    <w:p>
      <w:pPr>
        <w:snapToGrid w:val="0"/>
        <w:spacing w:line="420" w:lineRule="exact"/>
        <w:ind w:firstLine="484" w:firstLineChars="202"/>
        <w:rPr>
          <w:rFonts w:eastAsia="宋体"/>
        </w:rPr>
      </w:pPr>
      <w:r>
        <w:rPr>
          <w:rFonts w:hint="eastAsia" w:eastAsia="宋体" w:cs="宋体"/>
        </w:rPr>
        <w:t>（</w:t>
      </w:r>
      <w:r>
        <w:rPr>
          <w:rFonts w:eastAsia="宋体"/>
        </w:rPr>
        <w:t>9</w:t>
      </w:r>
      <w:r>
        <w:rPr>
          <w:rFonts w:hint="eastAsia" w:eastAsia="宋体" w:cs="宋体"/>
        </w:rPr>
        <w:t>）在磋商中，磋商的任何一方不得透露与磋商有关的其他响应磋商的供应商的技术资料及其他信息。</w:t>
      </w:r>
    </w:p>
    <w:p>
      <w:pPr>
        <w:snapToGrid w:val="0"/>
        <w:spacing w:line="420" w:lineRule="exact"/>
        <w:ind w:firstLine="484" w:firstLineChars="202"/>
        <w:rPr>
          <w:rFonts w:eastAsia="宋体"/>
        </w:rPr>
      </w:pPr>
      <w:r>
        <w:rPr>
          <w:rFonts w:eastAsia="宋体"/>
        </w:rPr>
        <w:t>4.</w:t>
      </w:r>
      <w:r>
        <w:rPr>
          <w:rFonts w:hint="eastAsia" w:eastAsia="宋体" w:cs="宋体"/>
        </w:rPr>
        <w:t>经磋商</w:t>
      </w:r>
      <w:r>
        <w:rPr>
          <w:rFonts w:eastAsia="宋体" w:cs="宋体"/>
          <w:u w:val="single"/>
        </w:rPr>
        <w:t xml:space="preserve">  </w:t>
      </w:r>
      <w:r>
        <w:rPr>
          <w:rFonts w:hint="eastAsia" w:eastAsia="宋体" w:cs="宋体"/>
          <w:b/>
          <w:bCs/>
          <w:u w:val="single"/>
        </w:rPr>
        <w:t>确定最终采购需求和进入最终评审的供应商</w:t>
      </w:r>
      <w:r>
        <w:rPr>
          <w:rFonts w:eastAsia="宋体" w:cs="宋体"/>
          <w:b/>
          <w:bCs/>
          <w:u w:val="single"/>
        </w:rPr>
        <w:t xml:space="preserve">  </w:t>
      </w:r>
      <w:r>
        <w:rPr>
          <w:rFonts w:hint="eastAsia" w:eastAsia="宋体" w:cs="宋体"/>
        </w:rPr>
        <w:t>后，由磋商小组采用</w:t>
      </w:r>
      <w:r>
        <w:rPr>
          <w:rFonts w:eastAsia="宋体" w:cs="宋体"/>
          <w:b/>
          <w:bCs/>
          <w:u w:val="single"/>
        </w:rPr>
        <w:t xml:space="preserve">  </w:t>
      </w:r>
      <w:r>
        <w:rPr>
          <w:rFonts w:hint="eastAsia" w:eastAsia="宋体" w:cs="宋体"/>
          <w:b/>
          <w:bCs/>
          <w:u w:val="single"/>
        </w:rPr>
        <w:t>综合评分法</w:t>
      </w:r>
      <w:r>
        <w:rPr>
          <w:rFonts w:eastAsia="宋体" w:cs="宋体"/>
          <w:b/>
          <w:bCs/>
          <w:u w:val="single"/>
        </w:rPr>
        <w:t xml:space="preserve">  </w:t>
      </w:r>
      <w:r>
        <w:rPr>
          <w:rFonts w:hint="eastAsia" w:eastAsia="宋体" w:cs="宋体"/>
        </w:rPr>
        <w:t>对列入最终评审供应商的响应文件进行综合评分。</w:t>
      </w:r>
    </w:p>
    <w:p>
      <w:pPr>
        <w:snapToGrid w:val="0"/>
        <w:spacing w:line="420" w:lineRule="exact"/>
        <w:ind w:firstLine="484" w:firstLineChars="202"/>
        <w:rPr>
          <w:rFonts w:eastAsia="宋体"/>
        </w:rPr>
      </w:pPr>
      <w:r>
        <w:rPr>
          <w:rFonts w:hint="eastAsia" w:eastAsia="宋体" w:cs="宋体"/>
        </w:rPr>
        <w:t>综合评分法，是指响应文件满足磋商文件全部实质性要求且按评审因素的量化指标评审得分最高的供应商为成交供应商的评审方法。</w:t>
      </w:r>
    </w:p>
    <w:p>
      <w:pPr>
        <w:snapToGrid w:val="0"/>
        <w:spacing w:line="420" w:lineRule="exact"/>
        <w:ind w:firstLine="484" w:firstLineChars="202"/>
        <w:rPr>
          <w:rFonts w:eastAsia="宋体"/>
        </w:rPr>
      </w:pPr>
      <w:r>
        <w:rPr>
          <w:rFonts w:hint="eastAsia" w:eastAsia="宋体" w:cs="宋体"/>
        </w:rPr>
        <w:t>（</w:t>
      </w:r>
      <w:r>
        <w:rPr>
          <w:rFonts w:eastAsia="宋体"/>
        </w:rPr>
        <w:t>1</w:t>
      </w:r>
      <w:r>
        <w:rPr>
          <w:rFonts w:hint="eastAsia" w:eastAsia="宋体" w:cs="宋体"/>
        </w:rPr>
        <w:t>）进入综合评分评审阶段后，磋商小组成员会将仅对按本磋商文件载明的方法与规定，对满足磋商文件全部实质性要求的磋商响应文件进行评审、评价和比较。</w:t>
      </w:r>
    </w:p>
    <w:p>
      <w:pPr>
        <w:snapToGrid w:val="0"/>
        <w:spacing w:line="420" w:lineRule="exact"/>
        <w:ind w:firstLine="484" w:firstLineChars="202"/>
        <w:rPr>
          <w:rFonts w:eastAsia="宋体"/>
        </w:rPr>
      </w:pPr>
      <w:r>
        <w:rPr>
          <w:rFonts w:hint="eastAsia" w:eastAsia="宋体" w:cs="宋体"/>
        </w:rPr>
        <w:t>（</w:t>
      </w:r>
      <w:r>
        <w:rPr>
          <w:rFonts w:eastAsia="宋体"/>
        </w:rPr>
        <w:t>2</w:t>
      </w:r>
      <w:r>
        <w:rPr>
          <w:rFonts w:hint="eastAsia" w:eastAsia="宋体" w:cs="宋体"/>
        </w:rPr>
        <w:t>）磋商小组各成员应当独立对每个有效的磋商响应文件进行评价、打分，然后汇总每个供应商每项评分因素的得分（计算结果均四舍五入保留两位小数）。</w:t>
      </w:r>
    </w:p>
    <w:p>
      <w:pPr>
        <w:snapToGrid w:val="0"/>
        <w:spacing w:line="420" w:lineRule="exact"/>
        <w:ind w:firstLine="484" w:firstLineChars="202"/>
        <w:rPr>
          <w:rFonts w:eastAsia="宋体"/>
        </w:rPr>
      </w:pPr>
      <w:r>
        <w:rPr>
          <w:rFonts w:hint="eastAsia" w:eastAsia="宋体" w:cs="宋体"/>
        </w:rPr>
        <w:t>（</w:t>
      </w:r>
      <w:r>
        <w:rPr>
          <w:rFonts w:eastAsia="宋体"/>
        </w:rPr>
        <w:t>3</w:t>
      </w:r>
      <w:r>
        <w:rPr>
          <w:rFonts w:hint="eastAsia" w:eastAsia="宋体" w:cs="宋体"/>
        </w:rPr>
        <w:t>）因无商务报价，本次磋商项目进入到综合评分阶段中的技术评审总分值为</w:t>
      </w:r>
      <w:r>
        <w:rPr>
          <w:rFonts w:eastAsia="宋体"/>
        </w:rPr>
        <w:t>100</w:t>
      </w:r>
      <w:r>
        <w:rPr>
          <w:rFonts w:hint="eastAsia" w:eastAsia="宋体" w:cs="宋体"/>
        </w:rPr>
        <w:t>分。</w:t>
      </w:r>
    </w:p>
    <w:p>
      <w:pPr>
        <w:snapToGrid w:val="0"/>
        <w:spacing w:line="420" w:lineRule="exact"/>
        <w:ind w:firstLine="484" w:firstLineChars="202"/>
        <w:rPr>
          <w:rFonts w:eastAsia="宋体"/>
        </w:rPr>
      </w:pPr>
      <w:r>
        <w:rPr>
          <w:rFonts w:eastAsia="宋体"/>
        </w:rPr>
        <w:t>5.</w:t>
      </w:r>
      <w:r>
        <w:rPr>
          <w:rFonts w:hint="eastAsia" w:eastAsia="宋体" w:cs="宋体"/>
        </w:rPr>
        <w:t>技术分按算术平均值计算后的得分即为磋商响应供应商的综合得分（四舍五入保留两位小数）。</w:t>
      </w:r>
    </w:p>
    <w:p>
      <w:pPr>
        <w:snapToGrid w:val="0"/>
        <w:spacing w:line="420" w:lineRule="exact"/>
        <w:ind w:firstLine="484" w:firstLineChars="202"/>
        <w:rPr>
          <w:rFonts w:eastAsia="宋体"/>
        </w:rPr>
      </w:pPr>
      <w:r>
        <w:rPr>
          <w:rFonts w:eastAsia="宋体"/>
        </w:rPr>
        <w:t>6.</w:t>
      </w:r>
      <w:r>
        <w:rPr>
          <w:rFonts w:hint="eastAsia" w:eastAsia="宋体" w:cs="宋体"/>
        </w:rPr>
        <w:t>综合得分最高的推荐为本项目成交供应商并出具《磋商评审报告》。</w:t>
      </w:r>
    </w:p>
    <w:p>
      <w:pPr>
        <w:snapToGrid w:val="0"/>
        <w:spacing w:line="420" w:lineRule="exact"/>
        <w:ind w:firstLine="487" w:firstLineChars="202"/>
        <w:rPr>
          <w:rFonts w:eastAsia="宋体"/>
          <w:b/>
          <w:bCs/>
        </w:rPr>
      </w:pPr>
      <w:r>
        <w:rPr>
          <w:rFonts w:eastAsia="宋体"/>
          <w:b/>
          <w:bCs/>
        </w:rPr>
        <w:t>7.</w:t>
      </w:r>
      <w:r>
        <w:rPr>
          <w:rFonts w:hint="eastAsia" w:eastAsia="宋体" w:cs="宋体"/>
          <w:b/>
          <w:bCs/>
          <w:u w:val="thick" w:color="FF0000"/>
        </w:rPr>
        <w:t>推荐成交人的特殊情况处理</w:t>
      </w:r>
      <w:r>
        <w:rPr>
          <w:rFonts w:hint="eastAsia" w:eastAsia="宋体" w:cs="宋体"/>
          <w:b/>
          <w:bCs/>
        </w:rPr>
        <w:t>：</w:t>
      </w:r>
    </w:p>
    <w:p>
      <w:pPr>
        <w:snapToGrid w:val="0"/>
        <w:spacing w:line="420" w:lineRule="exact"/>
        <w:ind w:firstLine="484" w:firstLineChars="202"/>
        <w:rPr>
          <w:rFonts w:eastAsia="宋体" w:cs="宋体"/>
        </w:rPr>
      </w:pPr>
      <w:r>
        <w:rPr>
          <w:rFonts w:hint="eastAsia" w:eastAsia="宋体" w:cs="宋体"/>
        </w:rPr>
        <w:t>（</w:t>
      </w:r>
      <w:r>
        <w:rPr>
          <w:rFonts w:eastAsia="宋体" w:cs="宋体"/>
        </w:rPr>
        <w:t>1</w:t>
      </w:r>
      <w:r>
        <w:rPr>
          <w:rFonts w:hint="eastAsia" w:eastAsia="宋体" w:cs="宋体"/>
        </w:rPr>
        <w:t>）评审得分相同且排名第一的，则采取现场抽签的方式确定推荐的成交人。</w:t>
      </w:r>
    </w:p>
    <w:p>
      <w:pPr>
        <w:snapToGrid w:val="0"/>
        <w:spacing w:line="420" w:lineRule="exact"/>
        <w:ind w:firstLine="487" w:firstLineChars="202"/>
        <w:rPr>
          <w:rFonts w:eastAsia="宋体"/>
        </w:rPr>
      </w:pPr>
      <w:r>
        <w:rPr>
          <w:rFonts w:hint="eastAsia" w:eastAsia="宋体"/>
          <w:b/>
          <w:bCs/>
        </w:rPr>
        <w:t>（</w:t>
      </w:r>
      <w:r>
        <w:rPr>
          <w:rFonts w:eastAsia="宋体"/>
          <w:b/>
          <w:bCs/>
        </w:rPr>
        <w:t>2</w:t>
      </w:r>
      <w:r>
        <w:rPr>
          <w:rFonts w:hint="eastAsia" w:eastAsia="宋体"/>
          <w:b/>
          <w:bCs/>
        </w:rPr>
        <w:t>）特别说明：</w:t>
      </w:r>
      <w:r>
        <w:rPr>
          <w:rFonts w:hint="eastAsia" w:eastAsia="宋体"/>
        </w:rPr>
        <w:t>本采购项目技术磋商评审使用综合评分法，为服务类型采购项目，非货物产品设备购买，不涉及相同品牌产品或核心产品相同品牌的特殊情况处理。</w:t>
      </w:r>
    </w:p>
    <w:p>
      <w:pPr>
        <w:snapToGrid w:val="0"/>
        <w:spacing w:line="420" w:lineRule="exact"/>
        <w:ind w:firstLine="482" w:firstLineChars="200"/>
        <w:outlineLvl w:val="2"/>
        <w:rPr>
          <w:rFonts w:eastAsia="宋体"/>
        </w:rPr>
      </w:pPr>
      <w:bookmarkStart w:id="36" w:name="_Hlk69388449"/>
      <w:r>
        <w:rPr>
          <w:rFonts w:hint="eastAsia" w:eastAsia="宋体" w:cs="宋体"/>
          <w:b/>
          <w:bCs/>
        </w:rPr>
        <w:t>（三）落实</w:t>
      </w:r>
      <w:r>
        <w:rPr>
          <w:rFonts w:hint="eastAsia" w:eastAsia="宋体" w:cs="宋体"/>
          <w:b/>
          <w:bCs/>
          <w:u w:val="thick" w:color="FF0000"/>
        </w:rPr>
        <w:t>政府采购政策</w:t>
      </w:r>
    </w:p>
    <w:bookmarkEnd w:id="36"/>
    <w:p>
      <w:pPr>
        <w:snapToGrid w:val="0"/>
        <w:spacing w:line="420" w:lineRule="exact"/>
        <w:ind w:firstLine="484" w:firstLineChars="202"/>
        <w:rPr>
          <w:rFonts w:eastAsia="宋体"/>
        </w:rPr>
      </w:pPr>
      <w:bookmarkStart w:id="37" w:name="_Hlk69391943"/>
      <w:r>
        <w:rPr>
          <w:rFonts w:hint="eastAsia" w:eastAsia="宋体"/>
        </w:rPr>
        <w:t>本项目不涉及价格评审优惠、优先采购等情形，无对中小微型企业、残疾人福利性单位、监狱企业和绿色采购而须落实的政府采购政策。</w:t>
      </w:r>
    </w:p>
    <w:bookmarkEnd w:id="37"/>
    <w:p>
      <w:pPr>
        <w:snapToGrid w:val="0"/>
        <w:spacing w:line="420" w:lineRule="exact"/>
        <w:ind w:firstLine="482" w:firstLineChars="200"/>
        <w:outlineLvl w:val="2"/>
        <w:rPr>
          <w:rFonts w:eastAsia="宋体"/>
          <w:b/>
          <w:bCs/>
        </w:rPr>
      </w:pPr>
      <w:r>
        <w:rPr>
          <w:rFonts w:hint="eastAsia" w:eastAsia="宋体" w:cs="宋体"/>
          <w:b/>
          <w:bCs/>
        </w:rPr>
        <w:t>（四）</w:t>
      </w:r>
      <w:r>
        <w:rPr>
          <w:rFonts w:hint="eastAsia" w:eastAsia="宋体" w:cs="宋体"/>
          <w:b/>
          <w:bCs/>
          <w:u w:val="thick" w:color="FF0000"/>
        </w:rPr>
        <w:t>关于报价的价格评审</w:t>
      </w:r>
    </w:p>
    <w:p>
      <w:pPr>
        <w:snapToGrid w:val="0"/>
        <w:spacing w:line="420" w:lineRule="exact"/>
        <w:ind w:firstLine="484" w:firstLineChars="202"/>
        <w:rPr>
          <w:rFonts w:eastAsia="宋体"/>
        </w:rPr>
      </w:pPr>
      <w:r>
        <w:rPr>
          <w:rFonts w:eastAsia="宋体"/>
        </w:rPr>
        <w:t>1.</w:t>
      </w:r>
      <w:r>
        <w:rPr>
          <w:rFonts w:hint="eastAsia" w:eastAsia="宋体"/>
        </w:rPr>
        <w:t>本项目无</w:t>
      </w:r>
      <w:r>
        <w:rPr>
          <w:rFonts w:hint="eastAsia" w:eastAsia="宋体" w:cs="宋体"/>
        </w:rPr>
        <w:t>磋商响应报价及价格评审。</w:t>
      </w:r>
    </w:p>
    <w:p>
      <w:pPr>
        <w:snapToGrid w:val="0"/>
        <w:spacing w:line="420" w:lineRule="exact"/>
        <w:ind w:firstLine="482" w:firstLineChars="200"/>
        <w:outlineLvl w:val="1"/>
        <w:rPr>
          <w:rFonts w:eastAsia="宋体"/>
          <w:b/>
          <w:bCs/>
        </w:rPr>
      </w:pPr>
      <w:r>
        <w:rPr>
          <w:rFonts w:hint="eastAsia" w:eastAsia="宋体" w:cs="宋体"/>
          <w:b/>
          <w:bCs/>
        </w:rPr>
        <w:t>四、综合评分评审因素</w:t>
      </w:r>
    </w:p>
    <w:p>
      <w:pPr>
        <w:adjustRightInd w:val="0"/>
        <w:snapToGrid w:val="0"/>
        <w:spacing w:line="420" w:lineRule="exact"/>
        <w:ind w:firstLine="482" w:firstLineChars="200"/>
        <w:outlineLvl w:val="2"/>
        <w:rPr>
          <w:rFonts w:eastAsia="宋体"/>
          <w:b/>
          <w:bCs/>
          <w:highlight w:val="yellow"/>
        </w:rPr>
      </w:pPr>
      <w:r>
        <w:rPr>
          <w:rFonts w:hint="eastAsia" w:eastAsia="宋体"/>
          <w:b/>
          <w:bCs/>
        </w:rPr>
        <w:t>（一）</w:t>
      </w:r>
      <w:r>
        <w:rPr>
          <w:rFonts w:hint="eastAsia" w:eastAsia="宋体" w:cs="宋体"/>
          <w:b/>
          <w:bCs/>
        </w:rPr>
        <w:t>技术磋商响应评审表：（</w:t>
      </w:r>
      <w:r>
        <w:rPr>
          <w:rFonts w:eastAsia="宋体" w:cs="宋体"/>
          <w:b/>
          <w:bCs/>
        </w:rPr>
        <w:t>10</w:t>
      </w:r>
      <w:r>
        <w:rPr>
          <w:rFonts w:eastAsia="宋体"/>
          <w:b/>
          <w:bCs/>
        </w:rPr>
        <w:t>0</w:t>
      </w:r>
      <w:r>
        <w:rPr>
          <w:rFonts w:hint="eastAsia" w:eastAsia="宋体" w:cs="宋体"/>
          <w:b/>
          <w:bCs/>
        </w:rPr>
        <w:t>分）</w:t>
      </w:r>
    </w:p>
    <w:tbl>
      <w:tblPr>
        <w:tblStyle w:val="50"/>
        <w:tblW w:w="9639" w:type="dxa"/>
        <w:tblInd w:w="108" w:type="dxa"/>
        <w:tblLayout w:type="fixed"/>
        <w:tblCellMar>
          <w:top w:w="0" w:type="dxa"/>
          <w:left w:w="108" w:type="dxa"/>
          <w:bottom w:w="0" w:type="dxa"/>
          <w:right w:w="108" w:type="dxa"/>
        </w:tblCellMar>
      </w:tblPr>
      <w:tblGrid>
        <w:gridCol w:w="851"/>
        <w:gridCol w:w="1276"/>
        <w:gridCol w:w="850"/>
        <w:gridCol w:w="2268"/>
        <w:gridCol w:w="4394"/>
      </w:tblGrid>
      <w:tr>
        <w:tblPrEx>
          <w:tblCellMar>
            <w:top w:w="0" w:type="dxa"/>
            <w:left w:w="108" w:type="dxa"/>
            <w:bottom w:w="0" w:type="dxa"/>
            <w:right w:w="108" w:type="dxa"/>
          </w:tblCellMar>
        </w:tblPrEx>
        <w:trPr>
          <w:trHeight w:val="478" w:hRule="atLeast"/>
          <w:tblHeader/>
        </w:trPr>
        <w:tc>
          <w:tcPr>
            <w:tcW w:w="851" w:type="dxa"/>
            <w:tcBorders>
              <w:top w:val="single" w:color="auto" w:sz="4" w:space="0"/>
              <w:left w:val="single" w:color="auto" w:sz="4" w:space="0"/>
              <w:bottom w:val="single" w:color="auto" w:sz="4" w:space="0"/>
              <w:right w:val="single" w:color="auto" w:sz="4" w:space="0"/>
            </w:tcBorders>
            <w:vAlign w:val="center"/>
          </w:tcPr>
          <w:p>
            <w:pPr>
              <w:spacing w:line="420" w:lineRule="exact"/>
              <w:ind w:left="-40"/>
              <w:jc w:val="center"/>
              <w:rPr>
                <w:rFonts w:eastAsia="宋体"/>
                <w:b/>
                <w:bCs/>
                <w:color w:val="auto"/>
              </w:rPr>
            </w:pPr>
            <w:r>
              <w:rPr>
                <w:rFonts w:hint="eastAsia" w:eastAsia="宋体"/>
                <w:b/>
                <w:bCs/>
                <w:color w:val="auto"/>
              </w:rPr>
              <w:t>序号</w:t>
            </w:r>
          </w:p>
        </w:tc>
        <w:tc>
          <w:tcPr>
            <w:tcW w:w="1276" w:type="dxa"/>
            <w:tcBorders>
              <w:top w:val="single" w:color="auto" w:sz="4" w:space="0"/>
              <w:left w:val="nil"/>
              <w:bottom w:val="single" w:color="auto" w:sz="4" w:space="0"/>
              <w:right w:val="single" w:color="auto" w:sz="4" w:space="0"/>
            </w:tcBorders>
            <w:vAlign w:val="center"/>
          </w:tcPr>
          <w:p>
            <w:pPr>
              <w:spacing w:line="420" w:lineRule="exact"/>
              <w:ind w:left="-40"/>
              <w:jc w:val="center"/>
              <w:rPr>
                <w:rFonts w:eastAsia="宋体"/>
                <w:b/>
                <w:bCs/>
                <w:color w:val="auto"/>
              </w:rPr>
            </w:pPr>
            <w:r>
              <w:rPr>
                <w:rFonts w:hint="eastAsia" w:eastAsia="宋体"/>
                <w:b/>
                <w:bCs/>
                <w:color w:val="auto"/>
              </w:rPr>
              <w:t>评审项目</w:t>
            </w:r>
          </w:p>
        </w:tc>
        <w:tc>
          <w:tcPr>
            <w:tcW w:w="850" w:type="dxa"/>
            <w:tcBorders>
              <w:top w:val="single" w:color="auto" w:sz="4" w:space="0"/>
              <w:left w:val="nil"/>
              <w:bottom w:val="single" w:color="auto" w:sz="4" w:space="0"/>
              <w:right w:val="single" w:color="auto" w:sz="4" w:space="0"/>
            </w:tcBorders>
            <w:vAlign w:val="center"/>
          </w:tcPr>
          <w:p>
            <w:pPr>
              <w:spacing w:line="420" w:lineRule="exact"/>
              <w:ind w:left="-40"/>
              <w:jc w:val="center"/>
              <w:rPr>
                <w:rFonts w:eastAsia="宋体"/>
                <w:b/>
                <w:bCs/>
                <w:color w:val="auto"/>
              </w:rPr>
            </w:pPr>
            <w:r>
              <w:rPr>
                <w:rFonts w:hint="eastAsia" w:eastAsia="宋体"/>
                <w:b/>
                <w:bCs/>
                <w:color w:val="auto"/>
              </w:rPr>
              <w:t>分值</w:t>
            </w:r>
          </w:p>
        </w:tc>
        <w:tc>
          <w:tcPr>
            <w:tcW w:w="2268" w:type="dxa"/>
            <w:tcBorders>
              <w:top w:val="single" w:color="auto" w:sz="4" w:space="0"/>
              <w:left w:val="nil"/>
              <w:bottom w:val="single" w:color="auto" w:sz="4" w:space="0"/>
              <w:right w:val="single" w:color="auto" w:sz="4" w:space="0"/>
            </w:tcBorders>
            <w:vAlign w:val="center"/>
          </w:tcPr>
          <w:p>
            <w:pPr>
              <w:spacing w:line="420" w:lineRule="exact"/>
              <w:ind w:left="-40"/>
              <w:jc w:val="center"/>
              <w:rPr>
                <w:rFonts w:eastAsia="宋体"/>
                <w:b/>
                <w:bCs/>
                <w:color w:val="auto"/>
              </w:rPr>
            </w:pPr>
            <w:r>
              <w:rPr>
                <w:rFonts w:hint="eastAsia" w:eastAsia="宋体"/>
                <w:b/>
                <w:bCs/>
                <w:color w:val="auto"/>
              </w:rPr>
              <w:t>评审要求</w:t>
            </w:r>
          </w:p>
        </w:tc>
        <w:tc>
          <w:tcPr>
            <w:tcW w:w="4394" w:type="dxa"/>
            <w:tcBorders>
              <w:top w:val="single" w:color="auto" w:sz="4" w:space="0"/>
              <w:left w:val="nil"/>
              <w:bottom w:val="single" w:color="auto" w:sz="4" w:space="0"/>
              <w:right w:val="single" w:color="auto" w:sz="4" w:space="0"/>
            </w:tcBorders>
            <w:vAlign w:val="center"/>
          </w:tcPr>
          <w:p>
            <w:pPr>
              <w:spacing w:line="420" w:lineRule="exact"/>
              <w:ind w:left="-40"/>
              <w:jc w:val="center"/>
              <w:rPr>
                <w:rFonts w:eastAsia="宋体"/>
                <w:b/>
                <w:bCs/>
                <w:color w:val="auto"/>
              </w:rPr>
            </w:pPr>
            <w:r>
              <w:rPr>
                <w:rFonts w:hint="eastAsia" w:eastAsia="宋体"/>
                <w:b/>
                <w:bCs/>
                <w:color w:val="auto"/>
              </w:rPr>
              <w:t>评审因素</w:t>
            </w:r>
          </w:p>
        </w:tc>
      </w:tr>
      <w:tr>
        <w:tblPrEx>
          <w:tblCellMar>
            <w:top w:w="0" w:type="dxa"/>
            <w:left w:w="108" w:type="dxa"/>
            <w:bottom w:w="0" w:type="dxa"/>
            <w:right w:w="108" w:type="dxa"/>
          </w:tblCellMar>
        </w:tblPrEx>
        <w:trPr>
          <w:trHeight w:val="644" w:hRule="atLeast"/>
        </w:trPr>
        <w:tc>
          <w:tcPr>
            <w:tcW w:w="851" w:type="dxa"/>
            <w:vMerge w:val="restart"/>
            <w:tcBorders>
              <w:top w:val="single" w:color="auto" w:sz="4" w:space="0"/>
              <w:left w:val="single" w:color="auto" w:sz="4" w:space="0"/>
              <w:bottom w:val="single" w:color="auto" w:sz="4" w:space="0"/>
              <w:right w:val="single" w:color="auto" w:sz="4" w:space="0"/>
            </w:tcBorders>
            <w:vAlign w:val="center"/>
          </w:tcPr>
          <w:p>
            <w:pPr>
              <w:spacing w:line="420" w:lineRule="exact"/>
              <w:ind w:left="-40"/>
              <w:jc w:val="center"/>
              <w:rPr>
                <w:rFonts w:eastAsia="宋体"/>
                <w:color w:val="auto"/>
              </w:rPr>
            </w:pPr>
            <w:r>
              <w:rPr>
                <w:rFonts w:eastAsia="宋体"/>
                <w:color w:val="auto"/>
              </w:rPr>
              <w:t>1</w:t>
            </w:r>
          </w:p>
        </w:tc>
        <w:tc>
          <w:tcPr>
            <w:tcW w:w="1276" w:type="dxa"/>
            <w:vMerge w:val="restart"/>
            <w:tcBorders>
              <w:top w:val="single" w:color="auto" w:sz="4" w:space="0"/>
              <w:left w:val="nil"/>
              <w:bottom w:val="single" w:color="auto" w:sz="4" w:space="0"/>
              <w:right w:val="single" w:color="auto" w:sz="4" w:space="0"/>
            </w:tcBorders>
            <w:vAlign w:val="center"/>
          </w:tcPr>
          <w:p>
            <w:pPr>
              <w:spacing w:line="420" w:lineRule="exact"/>
              <w:ind w:left="-40"/>
              <w:jc w:val="center"/>
              <w:rPr>
                <w:rFonts w:eastAsia="宋体"/>
                <w:b/>
                <w:bCs/>
                <w:color w:val="auto"/>
              </w:rPr>
            </w:pPr>
            <w:r>
              <w:rPr>
                <w:rFonts w:hint="eastAsia" w:eastAsia="宋体"/>
                <w:b/>
                <w:bCs/>
                <w:color w:val="auto"/>
              </w:rPr>
              <w:t>资信</w:t>
            </w:r>
          </w:p>
          <w:p>
            <w:pPr>
              <w:spacing w:line="420" w:lineRule="exact"/>
              <w:ind w:left="-40"/>
              <w:jc w:val="center"/>
              <w:rPr>
                <w:rFonts w:eastAsia="宋体"/>
                <w:b/>
                <w:bCs/>
                <w:color w:val="auto"/>
              </w:rPr>
            </w:pPr>
            <w:r>
              <w:rPr>
                <w:rFonts w:hint="eastAsia" w:eastAsia="宋体"/>
                <w:b/>
                <w:bCs/>
                <w:color w:val="auto"/>
              </w:rPr>
              <w:t>（</w:t>
            </w:r>
            <w:r>
              <w:rPr>
                <w:rFonts w:eastAsia="宋体"/>
                <w:b/>
                <w:bCs/>
                <w:color w:val="auto"/>
              </w:rPr>
              <w:t>19</w:t>
            </w:r>
            <w:r>
              <w:rPr>
                <w:rFonts w:hint="eastAsia" w:eastAsia="宋体"/>
                <w:b/>
                <w:bCs/>
                <w:color w:val="auto"/>
              </w:rPr>
              <w:t>分）</w:t>
            </w:r>
          </w:p>
        </w:tc>
        <w:tc>
          <w:tcPr>
            <w:tcW w:w="850" w:type="dxa"/>
            <w:tcBorders>
              <w:top w:val="single" w:color="auto" w:sz="4" w:space="0"/>
              <w:left w:val="nil"/>
              <w:bottom w:val="single" w:color="auto" w:sz="4" w:space="0"/>
              <w:right w:val="single" w:color="auto" w:sz="4" w:space="0"/>
            </w:tcBorders>
            <w:vAlign w:val="center"/>
          </w:tcPr>
          <w:p>
            <w:pPr>
              <w:spacing w:line="420" w:lineRule="exact"/>
              <w:ind w:left="-40"/>
              <w:jc w:val="center"/>
              <w:rPr>
                <w:rFonts w:eastAsia="宋体"/>
                <w:color w:val="auto"/>
              </w:rPr>
            </w:pPr>
            <w:r>
              <w:rPr>
                <w:rFonts w:eastAsia="宋体"/>
                <w:color w:val="auto"/>
              </w:rPr>
              <w:t>5</w:t>
            </w:r>
          </w:p>
        </w:tc>
        <w:tc>
          <w:tcPr>
            <w:tcW w:w="2268" w:type="dxa"/>
            <w:tcBorders>
              <w:top w:val="single" w:color="auto" w:sz="4" w:space="0"/>
              <w:left w:val="nil"/>
              <w:bottom w:val="single" w:color="auto" w:sz="4" w:space="0"/>
              <w:right w:val="single" w:color="auto" w:sz="4" w:space="0"/>
            </w:tcBorders>
            <w:vAlign w:val="center"/>
          </w:tcPr>
          <w:p>
            <w:pPr>
              <w:spacing w:line="420" w:lineRule="exact"/>
              <w:rPr>
                <w:rFonts w:eastAsia="宋体"/>
                <w:color w:val="auto"/>
              </w:rPr>
            </w:pPr>
            <w:r>
              <w:rPr>
                <w:rFonts w:hint="eastAsia" w:eastAsia="宋体"/>
                <w:color w:val="auto"/>
              </w:rPr>
              <w:t>提供主管部门认可的证明材料</w:t>
            </w:r>
          </w:p>
        </w:tc>
        <w:tc>
          <w:tcPr>
            <w:tcW w:w="4394" w:type="dxa"/>
            <w:tcBorders>
              <w:top w:val="single" w:color="auto" w:sz="4" w:space="0"/>
              <w:left w:val="nil"/>
              <w:bottom w:val="single" w:color="auto" w:sz="4" w:space="0"/>
              <w:right w:val="single" w:color="auto" w:sz="4" w:space="0"/>
            </w:tcBorders>
            <w:vAlign w:val="center"/>
          </w:tcPr>
          <w:p>
            <w:pPr>
              <w:spacing w:line="420" w:lineRule="exact"/>
              <w:rPr>
                <w:rFonts w:eastAsia="宋体"/>
                <w:color w:val="auto"/>
              </w:rPr>
            </w:pPr>
            <w:r>
              <w:rPr>
                <w:rFonts w:hint="eastAsia" w:eastAsia="宋体"/>
                <w:color w:val="auto"/>
              </w:rPr>
              <w:t>在养老机构等级评定被评为五星级的得</w:t>
            </w:r>
            <w:r>
              <w:rPr>
                <w:rFonts w:eastAsia="宋体"/>
                <w:color w:val="auto"/>
              </w:rPr>
              <w:t>5</w:t>
            </w:r>
            <w:r>
              <w:rPr>
                <w:rFonts w:hint="eastAsia" w:eastAsia="宋体"/>
                <w:color w:val="auto"/>
              </w:rPr>
              <w:t>分；四星级的得</w:t>
            </w:r>
            <w:r>
              <w:rPr>
                <w:rFonts w:eastAsia="宋体"/>
                <w:color w:val="auto"/>
              </w:rPr>
              <w:t>3</w:t>
            </w:r>
            <w:r>
              <w:rPr>
                <w:rFonts w:hint="eastAsia" w:eastAsia="宋体"/>
                <w:color w:val="auto"/>
              </w:rPr>
              <w:t>分；三星级的得</w:t>
            </w:r>
            <w:r>
              <w:rPr>
                <w:rFonts w:eastAsia="宋体"/>
                <w:color w:val="auto"/>
              </w:rPr>
              <w:t>1</w:t>
            </w:r>
            <w:r>
              <w:rPr>
                <w:rFonts w:hint="eastAsia" w:eastAsia="宋体"/>
                <w:color w:val="auto"/>
              </w:rPr>
              <w:t>分。</w:t>
            </w:r>
          </w:p>
        </w:tc>
      </w:tr>
      <w:tr>
        <w:tblPrEx>
          <w:tblCellMar>
            <w:top w:w="0" w:type="dxa"/>
            <w:left w:w="108" w:type="dxa"/>
            <w:bottom w:w="0" w:type="dxa"/>
            <w:right w:w="108" w:type="dxa"/>
          </w:tblCellMar>
        </w:tblPrEx>
        <w:trPr>
          <w:trHeight w:val="644" w:hRule="atLeast"/>
        </w:trPr>
        <w:tc>
          <w:tcPr>
            <w:tcW w:w="851" w:type="dxa"/>
            <w:vMerge w:val="continue"/>
            <w:tcBorders>
              <w:left w:val="single" w:color="auto" w:sz="4" w:space="0"/>
              <w:right w:val="single" w:color="auto" w:sz="4" w:space="0"/>
            </w:tcBorders>
            <w:vAlign w:val="center"/>
          </w:tcPr>
          <w:p>
            <w:pPr>
              <w:spacing w:line="420" w:lineRule="exact"/>
              <w:ind w:left="-40"/>
              <w:jc w:val="center"/>
              <w:rPr>
                <w:rFonts w:eastAsia="宋体"/>
                <w:color w:val="auto"/>
              </w:rPr>
            </w:pPr>
          </w:p>
        </w:tc>
        <w:tc>
          <w:tcPr>
            <w:tcW w:w="1276" w:type="dxa"/>
            <w:vMerge w:val="continue"/>
            <w:tcBorders>
              <w:left w:val="nil"/>
              <w:right w:val="single" w:color="auto" w:sz="4" w:space="0"/>
            </w:tcBorders>
            <w:vAlign w:val="center"/>
          </w:tcPr>
          <w:p>
            <w:pPr>
              <w:spacing w:line="420" w:lineRule="exact"/>
              <w:ind w:left="-40"/>
              <w:jc w:val="center"/>
              <w:rPr>
                <w:rFonts w:eastAsia="宋体"/>
                <w:b/>
                <w:bCs/>
                <w:color w:val="auto"/>
              </w:rPr>
            </w:pPr>
          </w:p>
        </w:tc>
        <w:tc>
          <w:tcPr>
            <w:tcW w:w="850" w:type="dxa"/>
            <w:tcBorders>
              <w:top w:val="single" w:color="auto" w:sz="4" w:space="0"/>
              <w:left w:val="nil"/>
              <w:bottom w:val="single" w:color="auto" w:sz="4" w:space="0"/>
              <w:right w:val="single" w:color="auto" w:sz="4" w:space="0"/>
            </w:tcBorders>
            <w:vAlign w:val="center"/>
          </w:tcPr>
          <w:p>
            <w:pPr>
              <w:spacing w:line="420" w:lineRule="exact"/>
              <w:ind w:left="-40"/>
              <w:jc w:val="center"/>
              <w:rPr>
                <w:rFonts w:eastAsia="宋体"/>
                <w:color w:val="auto"/>
              </w:rPr>
            </w:pPr>
            <w:r>
              <w:rPr>
                <w:rFonts w:eastAsia="宋体"/>
                <w:color w:val="auto"/>
              </w:rPr>
              <w:t>5</w:t>
            </w:r>
          </w:p>
        </w:tc>
        <w:tc>
          <w:tcPr>
            <w:tcW w:w="2268" w:type="dxa"/>
            <w:tcBorders>
              <w:top w:val="single" w:color="auto" w:sz="4" w:space="0"/>
              <w:left w:val="nil"/>
              <w:bottom w:val="single" w:color="auto" w:sz="4" w:space="0"/>
              <w:right w:val="single" w:color="auto" w:sz="4" w:space="0"/>
            </w:tcBorders>
            <w:vAlign w:val="center"/>
          </w:tcPr>
          <w:p>
            <w:pPr>
              <w:spacing w:line="420" w:lineRule="exact"/>
              <w:rPr>
                <w:rFonts w:eastAsia="宋体"/>
                <w:color w:val="auto"/>
              </w:rPr>
            </w:pPr>
            <w:r>
              <w:rPr>
                <w:rFonts w:hint="eastAsia" w:eastAsia="宋体"/>
                <w:color w:val="auto"/>
              </w:rPr>
              <w:t>提供连锁经营的证明材料</w:t>
            </w:r>
          </w:p>
        </w:tc>
        <w:tc>
          <w:tcPr>
            <w:tcW w:w="4394" w:type="dxa"/>
            <w:tcBorders>
              <w:top w:val="single" w:color="auto" w:sz="4" w:space="0"/>
              <w:left w:val="nil"/>
              <w:bottom w:val="single" w:color="auto" w:sz="4" w:space="0"/>
              <w:right w:val="single" w:color="auto" w:sz="4" w:space="0"/>
            </w:tcBorders>
            <w:vAlign w:val="center"/>
          </w:tcPr>
          <w:p>
            <w:pPr>
              <w:spacing w:line="420" w:lineRule="exact"/>
              <w:rPr>
                <w:rFonts w:eastAsia="宋体"/>
                <w:color w:val="auto"/>
              </w:rPr>
            </w:pPr>
            <w:r>
              <w:rPr>
                <w:rFonts w:hint="eastAsia" w:eastAsia="宋体"/>
                <w:color w:val="auto"/>
              </w:rPr>
              <w:t>供应商具有的养老机构为连锁经营的，达到</w:t>
            </w:r>
            <w:r>
              <w:rPr>
                <w:rFonts w:eastAsia="宋体"/>
                <w:color w:val="auto"/>
              </w:rPr>
              <w:t>2</w:t>
            </w:r>
            <w:r>
              <w:rPr>
                <w:rFonts w:hint="eastAsia" w:eastAsia="宋体"/>
                <w:color w:val="auto"/>
              </w:rPr>
              <w:t>家的</w:t>
            </w:r>
            <w:r>
              <w:rPr>
                <w:rFonts w:eastAsia="宋体"/>
                <w:color w:val="auto"/>
              </w:rPr>
              <w:t>2</w:t>
            </w:r>
            <w:r>
              <w:rPr>
                <w:rFonts w:hint="eastAsia" w:eastAsia="宋体"/>
                <w:color w:val="auto"/>
              </w:rPr>
              <w:t>分，每增加</w:t>
            </w:r>
            <w:r>
              <w:rPr>
                <w:rFonts w:eastAsia="宋体"/>
                <w:color w:val="auto"/>
              </w:rPr>
              <w:t>1</w:t>
            </w:r>
            <w:r>
              <w:rPr>
                <w:rFonts w:hint="eastAsia" w:eastAsia="宋体"/>
                <w:color w:val="auto"/>
              </w:rPr>
              <w:t>家加</w:t>
            </w:r>
            <w:r>
              <w:rPr>
                <w:rFonts w:eastAsia="宋体"/>
                <w:color w:val="auto"/>
              </w:rPr>
              <w:t>1</w:t>
            </w:r>
            <w:r>
              <w:rPr>
                <w:rFonts w:hint="eastAsia" w:eastAsia="宋体"/>
                <w:color w:val="auto"/>
              </w:rPr>
              <w:t>分，该项最高得</w:t>
            </w:r>
            <w:r>
              <w:rPr>
                <w:rFonts w:eastAsia="宋体"/>
                <w:color w:val="auto"/>
              </w:rPr>
              <w:t>5</w:t>
            </w:r>
            <w:r>
              <w:rPr>
                <w:rFonts w:hint="eastAsia" w:eastAsia="宋体"/>
                <w:color w:val="auto"/>
              </w:rPr>
              <w:t>分。</w:t>
            </w:r>
          </w:p>
        </w:tc>
      </w:tr>
      <w:tr>
        <w:tblPrEx>
          <w:tblCellMar>
            <w:top w:w="0" w:type="dxa"/>
            <w:left w:w="108" w:type="dxa"/>
            <w:bottom w:w="0" w:type="dxa"/>
            <w:right w:w="108" w:type="dxa"/>
          </w:tblCellMar>
        </w:tblPrEx>
        <w:trPr>
          <w:trHeight w:val="644" w:hRule="atLeast"/>
        </w:trPr>
        <w:tc>
          <w:tcPr>
            <w:tcW w:w="851" w:type="dxa"/>
            <w:vMerge w:val="continue"/>
            <w:tcBorders>
              <w:left w:val="single" w:color="auto" w:sz="4" w:space="0"/>
              <w:right w:val="single" w:color="auto" w:sz="4" w:space="0"/>
            </w:tcBorders>
            <w:vAlign w:val="center"/>
          </w:tcPr>
          <w:p>
            <w:pPr>
              <w:spacing w:line="420" w:lineRule="exact"/>
              <w:ind w:left="-40"/>
              <w:jc w:val="center"/>
              <w:rPr>
                <w:rFonts w:eastAsia="宋体"/>
                <w:color w:val="auto"/>
              </w:rPr>
            </w:pPr>
          </w:p>
        </w:tc>
        <w:tc>
          <w:tcPr>
            <w:tcW w:w="1276" w:type="dxa"/>
            <w:vMerge w:val="continue"/>
            <w:tcBorders>
              <w:left w:val="nil"/>
              <w:right w:val="single" w:color="auto" w:sz="4" w:space="0"/>
            </w:tcBorders>
            <w:vAlign w:val="center"/>
          </w:tcPr>
          <w:p>
            <w:pPr>
              <w:spacing w:line="420" w:lineRule="exact"/>
              <w:ind w:left="-40"/>
              <w:jc w:val="center"/>
              <w:rPr>
                <w:rFonts w:eastAsia="宋体"/>
                <w:b/>
                <w:bCs/>
                <w:color w:val="auto"/>
              </w:rPr>
            </w:pPr>
          </w:p>
        </w:tc>
        <w:tc>
          <w:tcPr>
            <w:tcW w:w="850" w:type="dxa"/>
            <w:tcBorders>
              <w:top w:val="single" w:color="auto" w:sz="4" w:space="0"/>
              <w:left w:val="nil"/>
              <w:bottom w:val="single" w:color="auto" w:sz="4" w:space="0"/>
              <w:right w:val="single" w:color="auto" w:sz="4" w:space="0"/>
            </w:tcBorders>
            <w:vAlign w:val="center"/>
          </w:tcPr>
          <w:p>
            <w:pPr>
              <w:spacing w:line="420" w:lineRule="exact"/>
              <w:ind w:left="-40"/>
              <w:jc w:val="center"/>
              <w:rPr>
                <w:rFonts w:eastAsia="宋体"/>
                <w:color w:val="auto"/>
              </w:rPr>
            </w:pPr>
            <w:r>
              <w:rPr>
                <w:rFonts w:eastAsia="宋体"/>
                <w:color w:val="auto"/>
              </w:rPr>
              <w:t>4</w:t>
            </w:r>
          </w:p>
        </w:tc>
        <w:tc>
          <w:tcPr>
            <w:tcW w:w="2268" w:type="dxa"/>
            <w:tcBorders>
              <w:top w:val="single" w:color="auto" w:sz="4" w:space="0"/>
              <w:left w:val="nil"/>
              <w:bottom w:val="single" w:color="auto" w:sz="4" w:space="0"/>
              <w:right w:val="single" w:color="auto" w:sz="4" w:space="0"/>
            </w:tcBorders>
            <w:vAlign w:val="center"/>
          </w:tcPr>
          <w:p>
            <w:pPr>
              <w:spacing w:line="420" w:lineRule="exact"/>
              <w:rPr>
                <w:rFonts w:eastAsia="宋体"/>
                <w:color w:val="auto"/>
              </w:rPr>
            </w:pPr>
            <w:r>
              <w:rPr>
                <w:rFonts w:hint="eastAsia" w:eastAsia="宋体"/>
                <w:color w:val="auto"/>
              </w:rPr>
              <w:t>获奖荣誉</w:t>
            </w:r>
          </w:p>
        </w:tc>
        <w:tc>
          <w:tcPr>
            <w:tcW w:w="4394" w:type="dxa"/>
            <w:tcBorders>
              <w:top w:val="single" w:color="auto" w:sz="4" w:space="0"/>
              <w:left w:val="nil"/>
              <w:bottom w:val="single" w:color="auto" w:sz="4" w:space="0"/>
              <w:right w:val="single" w:color="auto" w:sz="4" w:space="0"/>
            </w:tcBorders>
            <w:vAlign w:val="center"/>
          </w:tcPr>
          <w:p>
            <w:pPr>
              <w:spacing w:line="420" w:lineRule="exact"/>
              <w:rPr>
                <w:rFonts w:eastAsia="宋体"/>
                <w:color w:val="auto"/>
              </w:rPr>
            </w:pPr>
            <w:r>
              <w:rPr>
                <w:rFonts w:hint="eastAsia" w:eastAsia="宋体"/>
                <w:color w:val="auto"/>
              </w:rPr>
              <w:t>供应商</w:t>
            </w:r>
            <w:r>
              <w:rPr>
                <w:rFonts w:eastAsia="宋体"/>
                <w:color w:val="auto"/>
              </w:rPr>
              <w:t>2019</w:t>
            </w:r>
            <w:r>
              <w:rPr>
                <w:rFonts w:hint="eastAsia" w:eastAsia="宋体"/>
                <w:color w:val="auto"/>
              </w:rPr>
              <w:t>年以来获得政府部门授予的养老服务相关荣誉，国家级的每项得</w:t>
            </w:r>
            <w:r>
              <w:rPr>
                <w:rFonts w:eastAsia="宋体"/>
                <w:color w:val="auto"/>
              </w:rPr>
              <w:t>2</w:t>
            </w:r>
            <w:r>
              <w:rPr>
                <w:rFonts w:hint="eastAsia" w:eastAsia="宋体"/>
                <w:color w:val="auto"/>
              </w:rPr>
              <w:t>分，省级的每项得</w:t>
            </w:r>
            <w:r>
              <w:rPr>
                <w:rFonts w:eastAsia="宋体"/>
                <w:color w:val="auto"/>
              </w:rPr>
              <w:t>1</w:t>
            </w:r>
            <w:r>
              <w:rPr>
                <w:rFonts w:hint="eastAsia" w:eastAsia="宋体"/>
                <w:color w:val="auto"/>
              </w:rPr>
              <w:t>分，本项最高得</w:t>
            </w:r>
            <w:r>
              <w:rPr>
                <w:rFonts w:eastAsia="宋体"/>
                <w:color w:val="auto"/>
              </w:rPr>
              <w:t>4</w:t>
            </w:r>
            <w:r>
              <w:rPr>
                <w:rFonts w:hint="eastAsia" w:eastAsia="宋体"/>
                <w:color w:val="auto"/>
              </w:rPr>
              <w:t>分，政府部门指民政、老龄、卫健、工信、发改部门。提供文件材料或官方网站公示截图。</w:t>
            </w:r>
          </w:p>
        </w:tc>
      </w:tr>
      <w:tr>
        <w:tblPrEx>
          <w:tblCellMar>
            <w:top w:w="0" w:type="dxa"/>
            <w:left w:w="108" w:type="dxa"/>
            <w:bottom w:w="0" w:type="dxa"/>
            <w:right w:w="108" w:type="dxa"/>
          </w:tblCellMar>
        </w:tblPrEx>
        <w:trPr>
          <w:trHeight w:val="644"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spacing w:line="420" w:lineRule="exact"/>
              <w:ind w:left="-40"/>
              <w:jc w:val="center"/>
              <w:rPr>
                <w:rFonts w:eastAsia="宋体"/>
                <w:color w:val="auto"/>
              </w:rPr>
            </w:pPr>
          </w:p>
        </w:tc>
        <w:tc>
          <w:tcPr>
            <w:tcW w:w="1276" w:type="dxa"/>
            <w:vMerge w:val="continue"/>
            <w:tcBorders>
              <w:top w:val="single" w:color="auto" w:sz="4" w:space="0"/>
              <w:left w:val="nil"/>
              <w:bottom w:val="single" w:color="auto" w:sz="4" w:space="0"/>
              <w:right w:val="single" w:color="auto" w:sz="4" w:space="0"/>
            </w:tcBorders>
            <w:vAlign w:val="center"/>
          </w:tcPr>
          <w:p>
            <w:pPr>
              <w:spacing w:line="420" w:lineRule="exact"/>
              <w:ind w:left="-40"/>
              <w:jc w:val="center"/>
              <w:rPr>
                <w:rFonts w:eastAsia="宋体"/>
                <w:color w:val="auto"/>
              </w:rPr>
            </w:pPr>
          </w:p>
        </w:tc>
        <w:tc>
          <w:tcPr>
            <w:tcW w:w="850" w:type="dxa"/>
            <w:tcBorders>
              <w:top w:val="single" w:color="auto" w:sz="4" w:space="0"/>
              <w:left w:val="nil"/>
              <w:bottom w:val="single" w:color="auto" w:sz="4" w:space="0"/>
              <w:right w:val="single" w:color="auto" w:sz="4" w:space="0"/>
            </w:tcBorders>
            <w:vAlign w:val="center"/>
          </w:tcPr>
          <w:p>
            <w:pPr>
              <w:spacing w:line="420" w:lineRule="exact"/>
              <w:ind w:left="-40"/>
              <w:jc w:val="center"/>
              <w:rPr>
                <w:rFonts w:eastAsia="宋体"/>
                <w:color w:val="auto"/>
              </w:rPr>
            </w:pPr>
            <w:r>
              <w:rPr>
                <w:rFonts w:eastAsia="宋体"/>
                <w:color w:val="auto"/>
              </w:rPr>
              <w:t>5</w:t>
            </w:r>
          </w:p>
        </w:tc>
        <w:tc>
          <w:tcPr>
            <w:tcW w:w="2268" w:type="dxa"/>
            <w:tcBorders>
              <w:top w:val="single" w:color="auto" w:sz="4" w:space="0"/>
              <w:left w:val="nil"/>
              <w:bottom w:val="single" w:color="auto" w:sz="4" w:space="0"/>
              <w:right w:val="single" w:color="auto" w:sz="4" w:space="0"/>
            </w:tcBorders>
            <w:vAlign w:val="center"/>
          </w:tcPr>
          <w:p>
            <w:pPr>
              <w:spacing w:line="420" w:lineRule="exact"/>
              <w:rPr>
                <w:rFonts w:eastAsia="宋体"/>
                <w:color w:val="auto"/>
              </w:rPr>
            </w:pPr>
            <w:bookmarkStart w:id="38" w:name="_Hlk71400721"/>
            <w:r>
              <w:rPr>
                <w:rFonts w:hint="eastAsia" w:eastAsia="宋体"/>
                <w:color w:val="auto"/>
              </w:rPr>
              <w:t>提供：履约合同原件的复印件加盖公章和业主单位的好评这</w:t>
            </w:r>
            <w:r>
              <w:rPr>
                <w:rFonts w:eastAsia="宋体"/>
                <w:color w:val="auto"/>
              </w:rPr>
              <w:t>2</w:t>
            </w:r>
            <w:r>
              <w:rPr>
                <w:rFonts w:hint="eastAsia" w:eastAsia="宋体"/>
                <w:color w:val="auto"/>
              </w:rPr>
              <w:t>项材料为一个完整的业绩</w:t>
            </w:r>
            <w:bookmarkEnd w:id="38"/>
          </w:p>
        </w:tc>
        <w:tc>
          <w:tcPr>
            <w:tcW w:w="4394" w:type="dxa"/>
            <w:tcBorders>
              <w:top w:val="single" w:color="auto" w:sz="4" w:space="0"/>
              <w:left w:val="nil"/>
              <w:bottom w:val="single" w:color="auto" w:sz="4" w:space="0"/>
              <w:right w:val="single" w:color="auto" w:sz="4" w:space="0"/>
            </w:tcBorders>
            <w:vAlign w:val="center"/>
          </w:tcPr>
          <w:p>
            <w:pPr>
              <w:spacing w:line="420" w:lineRule="exact"/>
              <w:rPr>
                <w:rFonts w:eastAsia="宋体"/>
                <w:color w:val="auto"/>
              </w:rPr>
            </w:pPr>
            <w:bookmarkStart w:id="39" w:name="_Hlk71400649"/>
            <w:r>
              <w:rPr>
                <w:rFonts w:hint="eastAsia" w:eastAsia="宋体"/>
                <w:color w:val="auto"/>
              </w:rPr>
              <w:t>供应商近</w:t>
            </w:r>
            <w:r>
              <w:rPr>
                <w:rFonts w:eastAsia="宋体"/>
                <w:color w:val="auto"/>
              </w:rPr>
              <w:t>5</w:t>
            </w:r>
            <w:r>
              <w:rPr>
                <w:rFonts w:hint="eastAsia" w:eastAsia="宋体"/>
                <w:color w:val="auto"/>
              </w:rPr>
              <w:t>年来，即</w:t>
            </w:r>
            <w:r>
              <w:rPr>
                <w:rFonts w:eastAsia="宋体"/>
                <w:color w:val="auto"/>
              </w:rPr>
              <w:t>2017</w:t>
            </w:r>
            <w:r>
              <w:rPr>
                <w:rFonts w:hint="eastAsia" w:eastAsia="宋体"/>
                <w:color w:val="auto"/>
              </w:rPr>
              <w:t>年</w:t>
            </w:r>
            <w:r>
              <w:rPr>
                <w:rFonts w:eastAsia="宋体"/>
                <w:color w:val="auto"/>
              </w:rPr>
              <w:t>1</w:t>
            </w:r>
            <w:r>
              <w:rPr>
                <w:rFonts w:hint="eastAsia" w:eastAsia="宋体"/>
                <w:color w:val="auto"/>
              </w:rPr>
              <w:t>月</w:t>
            </w:r>
            <w:r>
              <w:rPr>
                <w:rFonts w:eastAsia="宋体"/>
                <w:color w:val="auto"/>
              </w:rPr>
              <w:t>1</w:t>
            </w:r>
            <w:r>
              <w:rPr>
                <w:rFonts w:hint="eastAsia" w:eastAsia="宋体"/>
                <w:color w:val="auto"/>
              </w:rPr>
              <w:t>日至今，具有运作类似本项目业绩（类似项目业绩包括综合性养老、居家和社区养老项目运营管理项目等），每个业绩得</w:t>
            </w:r>
            <w:r>
              <w:rPr>
                <w:rFonts w:eastAsia="宋体"/>
                <w:color w:val="auto"/>
              </w:rPr>
              <w:t>1</w:t>
            </w:r>
            <w:r>
              <w:rPr>
                <w:rFonts w:hint="eastAsia" w:eastAsia="宋体"/>
                <w:color w:val="auto"/>
              </w:rPr>
              <w:t>分，最高</w:t>
            </w:r>
            <w:r>
              <w:rPr>
                <w:rFonts w:eastAsia="宋体"/>
                <w:color w:val="auto"/>
              </w:rPr>
              <w:t>5</w:t>
            </w:r>
            <w:r>
              <w:rPr>
                <w:rFonts w:hint="eastAsia" w:eastAsia="宋体"/>
                <w:color w:val="auto"/>
              </w:rPr>
              <w:t>分。</w:t>
            </w:r>
            <w:bookmarkEnd w:id="39"/>
          </w:p>
        </w:tc>
      </w:tr>
      <w:tr>
        <w:tblPrEx>
          <w:tblCellMar>
            <w:top w:w="0" w:type="dxa"/>
            <w:left w:w="108" w:type="dxa"/>
            <w:bottom w:w="0" w:type="dxa"/>
            <w:right w:w="108" w:type="dxa"/>
          </w:tblCellMar>
        </w:tblPrEx>
        <w:trPr>
          <w:trHeight w:val="232" w:hRule="atLeast"/>
        </w:trPr>
        <w:tc>
          <w:tcPr>
            <w:tcW w:w="851" w:type="dxa"/>
            <w:vMerge w:val="restart"/>
            <w:tcBorders>
              <w:top w:val="single" w:color="auto" w:sz="4" w:space="0"/>
              <w:left w:val="single" w:color="auto" w:sz="4" w:space="0"/>
              <w:bottom w:val="single" w:color="auto" w:sz="4" w:space="0"/>
              <w:right w:val="single" w:color="auto" w:sz="4" w:space="0"/>
            </w:tcBorders>
            <w:vAlign w:val="center"/>
          </w:tcPr>
          <w:p>
            <w:pPr>
              <w:spacing w:line="420" w:lineRule="exact"/>
              <w:ind w:left="-40"/>
              <w:jc w:val="center"/>
              <w:rPr>
                <w:rFonts w:eastAsia="宋体"/>
                <w:color w:val="auto"/>
              </w:rPr>
            </w:pPr>
            <w:r>
              <w:rPr>
                <w:rFonts w:eastAsia="宋体"/>
                <w:color w:val="auto"/>
              </w:rPr>
              <w:t>2</w:t>
            </w:r>
          </w:p>
        </w:tc>
        <w:tc>
          <w:tcPr>
            <w:tcW w:w="1276" w:type="dxa"/>
            <w:vMerge w:val="restart"/>
            <w:tcBorders>
              <w:top w:val="single" w:color="auto" w:sz="4" w:space="0"/>
              <w:left w:val="nil"/>
              <w:bottom w:val="single" w:color="auto" w:sz="4" w:space="0"/>
              <w:right w:val="single" w:color="auto" w:sz="4" w:space="0"/>
            </w:tcBorders>
            <w:vAlign w:val="center"/>
          </w:tcPr>
          <w:p>
            <w:pPr>
              <w:spacing w:line="420" w:lineRule="exact"/>
              <w:ind w:left="-40"/>
              <w:jc w:val="center"/>
              <w:rPr>
                <w:rFonts w:eastAsia="宋体"/>
                <w:b/>
                <w:bCs/>
                <w:color w:val="auto"/>
              </w:rPr>
            </w:pPr>
            <w:r>
              <w:rPr>
                <w:rFonts w:hint="eastAsia" w:eastAsia="宋体"/>
                <w:b/>
                <w:bCs/>
                <w:color w:val="auto"/>
              </w:rPr>
              <w:t>综合性养老服务中心投资建设运营方案（</w:t>
            </w:r>
            <w:r>
              <w:rPr>
                <w:rFonts w:eastAsia="宋体"/>
                <w:b/>
                <w:bCs/>
                <w:color w:val="auto"/>
              </w:rPr>
              <w:t>26</w:t>
            </w:r>
            <w:r>
              <w:rPr>
                <w:rFonts w:hint="eastAsia" w:eastAsia="宋体"/>
                <w:b/>
                <w:bCs/>
                <w:color w:val="auto"/>
              </w:rPr>
              <w:t>分）</w:t>
            </w:r>
          </w:p>
        </w:tc>
        <w:tc>
          <w:tcPr>
            <w:tcW w:w="850" w:type="dxa"/>
            <w:tcBorders>
              <w:top w:val="single" w:color="auto" w:sz="4" w:space="0"/>
              <w:left w:val="nil"/>
              <w:bottom w:val="single" w:color="auto" w:sz="4" w:space="0"/>
              <w:right w:val="single" w:color="auto" w:sz="4" w:space="0"/>
            </w:tcBorders>
            <w:vAlign w:val="center"/>
          </w:tcPr>
          <w:p>
            <w:pPr>
              <w:spacing w:line="420" w:lineRule="exact"/>
              <w:ind w:left="-40"/>
              <w:jc w:val="center"/>
              <w:rPr>
                <w:rFonts w:eastAsia="宋体"/>
                <w:color w:val="auto"/>
              </w:rPr>
            </w:pPr>
            <w:r>
              <w:rPr>
                <w:rFonts w:eastAsia="宋体"/>
                <w:color w:val="auto"/>
              </w:rPr>
              <w:t>2</w:t>
            </w:r>
          </w:p>
        </w:tc>
        <w:tc>
          <w:tcPr>
            <w:tcW w:w="2268" w:type="dxa"/>
            <w:tcBorders>
              <w:top w:val="single" w:color="auto" w:sz="4" w:space="0"/>
              <w:left w:val="nil"/>
              <w:bottom w:val="single" w:color="auto" w:sz="4" w:space="0"/>
              <w:right w:val="single" w:color="auto" w:sz="4" w:space="0"/>
            </w:tcBorders>
            <w:vAlign w:val="center"/>
          </w:tcPr>
          <w:p>
            <w:pPr>
              <w:spacing w:line="420" w:lineRule="exact"/>
              <w:rPr>
                <w:rFonts w:eastAsia="宋体"/>
                <w:color w:val="auto"/>
              </w:rPr>
            </w:pPr>
            <w:r>
              <w:rPr>
                <w:rFonts w:hint="eastAsia" w:eastAsia="宋体"/>
                <w:color w:val="auto"/>
              </w:rPr>
              <w:t>要求提供的</w:t>
            </w:r>
            <w:r>
              <w:rPr>
                <w:rFonts w:eastAsia="宋体"/>
                <w:color w:val="auto"/>
              </w:rPr>
              <w:t>16</w:t>
            </w:r>
            <w:r>
              <w:rPr>
                <w:rFonts w:hint="eastAsia" w:eastAsia="宋体"/>
                <w:color w:val="auto"/>
              </w:rPr>
              <w:t>项成果</w:t>
            </w:r>
          </w:p>
        </w:tc>
        <w:tc>
          <w:tcPr>
            <w:tcW w:w="4394" w:type="dxa"/>
            <w:tcBorders>
              <w:top w:val="single" w:color="auto" w:sz="4" w:space="0"/>
              <w:left w:val="nil"/>
              <w:bottom w:val="single" w:color="auto" w:sz="4" w:space="0"/>
              <w:right w:val="single" w:color="auto" w:sz="4" w:space="0"/>
            </w:tcBorders>
            <w:vAlign w:val="center"/>
          </w:tcPr>
          <w:p>
            <w:pPr>
              <w:spacing w:line="420" w:lineRule="exact"/>
              <w:rPr>
                <w:rFonts w:eastAsia="宋体"/>
                <w:color w:val="auto"/>
              </w:rPr>
            </w:pPr>
            <w:r>
              <w:rPr>
                <w:rFonts w:hint="eastAsia" w:eastAsia="宋体"/>
                <w:color w:val="auto"/>
              </w:rPr>
              <w:t>要求的设计成果提供齐全且内容完整，表达清晰，得</w:t>
            </w:r>
            <w:r>
              <w:rPr>
                <w:rFonts w:eastAsia="宋体"/>
                <w:color w:val="auto"/>
              </w:rPr>
              <w:t>2</w:t>
            </w:r>
            <w:r>
              <w:rPr>
                <w:rFonts w:hint="eastAsia" w:eastAsia="宋体"/>
                <w:color w:val="auto"/>
              </w:rPr>
              <w:t>分，否则不得分。</w:t>
            </w:r>
          </w:p>
        </w:tc>
      </w:tr>
      <w:tr>
        <w:tblPrEx>
          <w:tblCellMar>
            <w:top w:w="0" w:type="dxa"/>
            <w:left w:w="108" w:type="dxa"/>
            <w:bottom w:w="0" w:type="dxa"/>
            <w:right w:w="108" w:type="dxa"/>
          </w:tblCellMar>
        </w:tblPrEx>
        <w:trPr>
          <w:trHeight w:val="232"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spacing w:line="420" w:lineRule="exact"/>
              <w:ind w:left="-40"/>
              <w:jc w:val="center"/>
              <w:rPr>
                <w:rFonts w:eastAsia="宋体"/>
                <w:color w:val="auto"/>
                <w:highlight w:val="yellow"/>
              </w:rPr>
            </w:pPr>
          </w:p>
        </w:tc>
        <w:tc>
          <w:tcPr>
            <w:tcW w:w="1276" w:type="dxa"/>
            <w:vMerge w:val="continue"/>
            <w:tcBorders>
              <w:top w:val="single" w:color="auto" w:sz="4" w:space="0"/>
              <w:left w:val="nil"/>
              <w:bottom w:val="single" w:color="auto" w:sz="4" w:space="0"/>
              <w:right w:val="single" w:color="auto" w:sz="4" w:space="0"/>
            </w:tcBorders>
            <w:vAlign w:val="center"/>
          </w:tcPr>
          <w:p>
            <w:pPr>
              <w:spacing w:line="420" w:lineRule="exact"/>
              <w:ind w:left="-40"/>
              <w:jc w:val="center"/>
              <w:rPr>
                <w:rFonts w:eastAsia="宋体"/>
                <w:b/>
                <w:bCs/>
                <w:color w:val="auto"/>
                <w:highlight w:val="yellow"/>
              </w:rPr>
            </w:pPr>
          </w:p>
        </w:tc>
        <w:tc>
          <w:tcPr>
            <w:tcW w:w="850" w:type="dxa"/>
            <w:tcBorders>
              <w:top w:val="single" w:color="auto" w:sz="4" w:space="0"/>
              <w:left w:val="nil"/>
              <w:bottom w:val="single" w:color="auto" w:sz="4" w:space="0"/>
              <w:right w:val="single" w:color="auto" w:sz="4" w:space="0"/>
            </w:tcBorders>
            <w:vAlign w:val="center"/>
          </w:tcPr>
          <w:p>
            <w:pPr>
              <w:spacing w:line="420" w:lineRule="exact"/>
              <w:ind w:left="-40"/>
              <w:jc w:val="center"/>
              <w:rPr>
                <w:rFonts w:eastAsia="宋体"/>
                <w:color w:val="auto"/>
              </w:rPr>
            </w:pPr>
            <w:r>
              <w:rPr>
                <w:rFonts w:eastAsia="宋体"/>
                <w:color w:val="auto"/>
              </w:rPr>
              <w:t>2</w:t>
            </w:r>
          </w:p>
        </w:tc>
        <w:tc>
          <w:tcPr>
            <w:tcW w:w="2268" w:type="dxa"/>
            <w:vMerge w:val="restart"/>
            <w:tcBorders>
              <w:top w:val="single" w:color="auto" w:sz="4" w:space="0"/>
              <w:left w:val="nil"/>
              <w:right w:val="single" w:color="auto" w:sz="4" w:space="0"/>
            </w:tcBorders>
            <w:vAlign w:val="center"/>
          </w:tcPr>
          <w:p>
            <w:pPr>
              <w:spacing w:line="420" w:lineRule="exact"/>
              <w:rPr>
                <w:rFonts w:eastAsia="宋体"/>
                <w:color w:val="auto"/>
                <w:highlight w:val="yellow"/>
              </w:rPr>
            </w:pPr>
            <w:r>
              <w:rPr>
                <w:rFonts w:hint="eastAsia" w:eastAsia="宋体"/>
                <w:color w:val="auto"/>
              </w:rPr>
              <w:t>投资建设经营资金的说明</w:t>
            </w:r>
          </w:p>
        </w:tc>
        <w:tc>
          <w:tcPr>
            <w:tcW w:w="4394" w:type="dxa"/>
            <w:tcBorders>
              <w:top w:val="single" w:color="auto" w:sz="4" w:space="0"/>
              <w:left w:val="nil"/>
              <w:bottom w:val="single" w:color="auto" w:sz="4" w:space="0"/>
              <w:right w:val="single" w:color="auto" w:sz="4" w:space="0"/>
            </w:tcBorders>
            <w:vAlign w:val="center"/>
          </w:tcPr>
          <w:p>
            <w:pPr>
              <w:spacing w:line="420" w:lineRule="exact"/>
              <w:rPr>
                <w:rFonts w:eastAsia="宋体"/>
                <w:color w:val="auto"/>
              </w:rPr>
            </w:pPr>
            <w:r>
              <w:rPr>
                <w:rFonts w:hint="eastAsia" w:eastAsia="宋体"/>
                <w:color w:val="auto"/>
              </w:rPr>
              <w:t>（</w:t>
            </w:r>
            <w:r>
              <w:rPr>
                <w:rFonts w:eastAsia="宋体"/>
                <w:color w:val="auto"/>
              </w:rPr>
              <w:t>1</w:t>
            </w:r>
            <w:r>
              <w:rPr>
                <w:rFonts w:hint="eastAsia" w:eastAsia="宋体"/>
                <w:color w:val="auto"/>
              </w:rPr>
              <w:t>）提供投资建设运营的资本资金来源说明详细，表达清晰，得</w:t>
            </w:r>
            <w:r>
              <w:rPr>
                <w:rFonts w:eastAsia="宋体"/>
                <w:color w:val="auto"/>
              </w:rPr>
              <w:t>2</w:t>
            </w:r>
            <w:r>
              <w:rPr>
                <w:rFonts w:hint="eastAsia" w:eastAsia="宋体"/>
                <w:color w:val="auto"/>
              </w:rPr>
              <w:t>分，否则不得分。</w:t>
            </w:r>
          </w:p>
        </w:tc>
      </w:tr>
      <w:tr>
        <w:tblPrEx>
          <w:tblCellMar>
            <w:top w:w="0" w:type="dxa"/>
            <w:left w:w="108" w:type="dxa"/>
            <w:bottom w:w="0" w:type="dxa"/>
            <w:right w:w="108" w:type="dxa"/>
          </w:tblCellMar>
        </w:tblPrEx>
        <w:trPr>
          <w:trHeight w:val="232"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spacing w:line="420" w:lineRule="exact"/>
              <w:ind w:left="-40"/>
              <w:jc w:val="center"/>
              <w:rPr>
                <w:rFonts w:eastAsia="宋体"/>
                <w:color w:val="auto"/>
                <w:highlight w:val="yellow"/>
              </w:rPr>
            </w:pPr>
          </w:p>
        </w:tc>
        <w:tc>
          <w:tcPr>
            <w:tcW w:w="1276" w:type="dxa"/>
            <w:vMerge w:val="continue"/>
            <w:tcBorders>
              <w:top w:val="single" w:color="auto" w:sz="4" w:space="0"/>
              <w:left w:val="nil"/>
              <w:bottom w:val="single" w:color="auto" w:sz="4" w:space="0"/>
              <w:right w:val="single" w:color="auto" w:sz="4" w:space="0"/>
            </w:tcBorders>
            <w:vAlign w:val="center"/>
          </w:tcPr>
          <w:p>
            <w:pPr>
              <w:spacing w:line="420" w:lineRule="exact"/>
              <w:ind w:left="-40"/>
              <w:jc w:val="center"/>
              <w:rPr>
                <w:rFonts w:eastAsia="宋体"/>
                <w:b/>
                <w:bCs/>
                <w:color w:val="auto"/>
                <w:highlight w:val="yellow"/>
              </w:rPr>
            </w:pPr>
          </w:p>
        </w:tc>
        <w:tc>
          <w:tcPr>
            <w:tcW w:w="850" w:type="dxa"/>
            <w:tcBorders>
              <w:top w:val="single" w:color="auto" w:sz="4" w:space="0"/>
              <w:left w:val="nil"/>
              <w:bottom w:val="single" w:color="auto" w:sz="4" w:space="0"/>
              <w:right w:val="single" w:color="auto" w:sz="4" w:space="0"/>
            </w:tcBorders>
            <w:vAlign w:val="center"/>
          </w:tcPr>
          <w:p>
            <w:pPr>
              <w:spacing w:line="420" w:lineRule="exact"/>
              <w:ind w:left="-40"/>
              <w:jc w:val="center"/>
              <w:rPr>
                <w:rFonts w:eastAsia="宋体"/>
                <w:color w:val="auto"/>
              </w:rPr>
            </w:pPr>
            <w:r>
              <w:rPr>
                <w:rFonts w:eastAsia="宋体"/>
                <w:color w:val="auto"/>
              </w:rPr>
              <w:t>2</w:t>
            </w:r>
          </w:p>
        </w:tc>
        <w:tc>
          <w:tcPr>
            <w:tcW w:w="2268" w:type="dxa"/>
            <w:vMerge w:val="continue"/>
            <w:tcBorders>
              <w:left w:val="nil"/>
              <w:right w:val="single" w:color="auto" w:sz="4" w:space="0"/>
            </w:tcBorders>
            <w:vAlign w:val="center"/>
          </w:tcPr>
          <w:p>
            <w:pPr>
              <w:spacing w:line="420" w:lineRule="exact"/>
              <w:rPr>
                <w:rFonts w:eastAsia="宋体"/>
                <w:color w:val="auto"/>
                <w:highlight w:val="yellow"/>
              </w:rPr>
            </w:pPr>
          </w:p>
        </w:tc>
        <w:tc>
          <w:tcPr>
            <w:tcW w:w="4394" w:type="dxa"/>
            <w:tcBorders>
              <w:top w:val="single" w:color="auto" w:sz="4" w:space="0"/>
              <w:left w:val="nil"/>
              <w:bottom w:val="single" w:color="auto" w:sz="4" w:space="0"/>
              <w:right w:val="single" w:color="auto" w:sz="4" w:space="0"/>
            </w:tcBorders>
            <w:vAlign w:val="center"/>
          </w:tcPr>
          <w:p>
            <w:pPr>
              <w:spacing w:line="420" w:lineRule="exact"/>
              <w:rPr>
                <w:rFonts w:eastAsia="宋体"/>
                <w:color w:val="auto"/>
              </w:rPr>
            </w:pPr>
            <w:r>
              <w:rPr>
                <w:rFonts w:hint="eastAsia" w:eastAsia="宋体"/>
                <w:color w:val="auto"/>
              </w:rPr>
              <w:t>（</w:t>
            </w:r>
            <w:r>
              <w:rPr>
                <w:rFonts w:eastAsia="宋体"/>
                <w:color w:val="auto"/>
              </w:rPr>
              <w:t>2</w:t>
            </w:r>
            <w:r>
              <w:rPr>
                <w:rFonts w:hint="eastAsia" w:eastAsia="宋体"/>
                <w:color w:val="auto"/>
              </w:rPr>
              <w:t>）提供明确的建设资金金额且到位和专款专用的承诺函，得</w:t>
            </w:r>
            <w:r>
              <w:rPr>
                <w:rFonts w:eastAsia="宋体"/>
                <w:color w:val="auto"/>
              </w:rPr>
              <w:t>2</w:t>
            </w:r>
            <w:r>
              <w:rPr>
                <w:rFonts w:hint="eastAsia" w:eastAsia="宋体"/>
                <w:color w:val="auto"/>
              </w:rPr>
              <w:t>分，否则“综合性养老服务中心投资建设运营方案（</w:t>
            </w:r>
            <w:r>
              <w:rPr>
                <w:rFonts w:eastAsia="宋体"/>
                <w:color w:val="auto"/>
              </w:rPr>
              <w:t>26</w:t>
            </w:r>
            <w:r>
              <w:rPr>
                <w:rFonts w:hint="eastAsia" w:eastAsia="宋体"/>
                <w:color w:val="auto"/>
              </w:rPr>
              <w:t>分）”最高只得</w:t>
            </w:r>
            <w:r>
              <w:rPr>
                <w:rFonts w:eastAsia="宋体"/>
                <w:color w:val="auto"/>
              </w:rPr>
              <w:t>10</w:t>
            </w:r>
            <w:r>
              <w:rPr>
                <w:rFonts w:hint="eastAsia" w:eastAsia="宋体"/>
                <w:color w:val="auto"/>
              </w:rPr>
              <w:t>分。</w:t>
            </w:r>
          </w:p>
        </w:tc>
      </w:tr>
      <w:tr>
        <w:tblPrEx>
          <w:tblCellMar>
            <w:top w:w="0" w:type="dxa"/>
            <w:left w:w="108" w:type="dxa"/>
            <w:bottom w:w="0" w:type="dxa"/>
            <w:right w:w="108" w:type="dxa"/>
          </w:tblCellMar>
        </w:tblPrEx>
        <w:trPr>
          <w:trHeight w:val="232"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spacing w:line="420" w:lineRule="exact"/>
              <w:ind w:left="-40"/>
              <w:jc w:val="center"/>
              <w:rPr>
                <w:rFonts w:eastAsia="宋体"/>
                <w:color w:val="auto"/>
                <w:highlight w:val="yellow"/>
              </w:rPr>
            </w:pPr>
          </w:p>
        </w:tc>
        <w:tc>
          <w:tcPr>
            <w:tcW w:w="1276" w:type="dxa"/>
            <w:vMerge w:val="continue"/>
            <w:tcBorders>
              <w:top w:val="single" w:color="auto" w:sz="4" w:space="0"/>
              <w:left w:val="nil"/>
              <w:bottom w:val="single" w:color="auto" w:sz="4" w:space="0"/>
              <w:right w:val="single" w:color="auto" w:sz="4" w:space="0"/>
            </w:tcBorders>
            <w:vAlign w:val="center"/>
          </w:tcPr>
          <w:p>
            <w:pPr>
              <w:spacing w:line="420" w:lineRule="exact"/>
              <w:ind w:left="-40"/>
              <w:jc w:val="center"/>
              <w:rPr>
                <w:rFonts w:eastAsia="宋体"/>
                <w:color w:val="auto"/>
                <w:highlight w:val="yellow"/>
              </w:rPr>
            </w:pPr>
          </w:p>
        </w:tc>
        <w:tc>
          <w:tcPr>
            <w:tcW w:w="850" w:type="dxa"/>
            <w:tcBorders>
              <w:top w:val="single" w:color="auto" w:sz="4" w:space="0"/>
              <w:left w:val="nil"/>
              <w:bottom w:val="single" w:color="auto" w:sz="4" w:space="0"/>
              <w:right w:val="single" w:color="auto" w:sz="4" w:space="0"/>
            </w:tcBorders>
            <w:vAlign w:val="center"/>
          </w:tcPr>
          <w:p>
            <w:pPr>
              <w:spacing w:line="420" w:lineRule="exact"/>
              <w:ind w:left="-40"/>
              <w:jc w:val="center"/>
              <w:rPr>
                <w:rFonts w:eastAsia="宋体"/>
                <w:color w:val="auto"/>
              </w:rPr>
            </w:pPr>
            <w:r>
              <w:rPr>
                <w:rFonts w:eastAsia="宋体"/>
                <w:color w:val="auto"/>
              </w:rPr>
              <w:t>10</w:t>
            </w:r>
          </w:p>
        </w:tc>
        <w:tc>
          <w:tcPr>
            <w:tcW w:w="2268" w:type="dxa"/>
            <w:vMerge w:val="continue"/>
            <w:tcBorders>
              <w:left w:val="nil"/>
              <w:bottom w:val="single" w:color="auto" w:sz="4" w:space="0"/>
              <w:right w:val="single" w:color="auto" w:sz="4" w:space="0"/>
            </w:tcBorders>
            <w:vAlign w:val="center"/>
          </w:tcPr>
          <w:p>
            <w:pPr>
              <w:spacing w:line="420" w:lineRule="exact"/>
              <w:rPr>
                <w:rFonts w:eastAsia="宋体"/>
                <w:color w:val="auto"/>
                <w:highlight w:val="yellow"/>
              </w:rPr>
            </w:pPr>
          </w:p>
        </w:tc>
        <w:tc>
          <w:tcPr>
            <w:tcW w:w="4394" w:type="dxa"/>
            <w:tcBorders>
              <w:top w:val="single" w:color="auto" w:sz="4" w:space="0"/>
              <w:left w:val="nil"/>
              <w:bottom w:val="single" w:color="auto" w:sz="4" w:space="0"/>
              <w:right w:val="single" w:color="auto" w:sz="4" w:space="0"/>
            </w:tcBorders>
            <w:vAlign w:val="center"/>
          </w:tcPr>
          <w:p>
            <w:pPr>
              <w:spacing w:line="420" w:lineRule="exact"/>
              <w:rPr>
                <w:rFonts w:eastAsia="宋体"/>
                <w:color w:val="auto"/>
              </w:rPr>
            </w:pPr>
            <w:r>
              <w:rPr>
                <w:rFonts w:hint="eastAsia" w:eastAsia="宋体"/>
                <w:color w:val="auto"/>
              </w:rPr>
              <w:t>（</w:t>
            </w:r>
            <w:r>
              <w:rPr>
                <w:rFonts w:eastAsia="宋体"/>
                <w:color w:val="auto"/>
              </w:rPr>
              <w:t>3</w:t>
            </w:r>
            <w:r>
              <w:rPr>
                <w:rFonts w:hint="eastAsia" w:eastAsia="宋体"/>
                <w:color w:val="auto"/>
              </w:rPr>
              <w:t>）评委针对投资建设经营资金合理，投资资金控制措施方面酌情给分，优得【</w:t>
            </w:r>
            <w:r>
              <w:rPr>
                <w:rFonts w:eastAsia="宋体"/>
                <w:color w:val="auto"/>
              </w:rPr>
              <w:t>10-6.5</w:t>
            </w:r>
            <w:r>
              <w:rPr>
                <w:rFonts w:hint="eastAsia" w:eastAsia="宋体"/>
                <w:color w:val="auto"/>
              </w:rPr>
              <w:t>分】、良得【</w:t>
            </w:r>
            <w:r>
              <w:rPr>
                <w:rFonts w:eastAsia="宋体"/>
                <w:color w:val="auto"/>
              </w:rPr>
              <w:t>6-3.5</w:t>
            </w:r>
            <w:r>
              <w:rPr>
                <w:rFonts w:hint="eastAsia" w:eastAsia="宋体"/>
                <w:color w:val="auto"/>
              </w:rPr>
              <w:t>分】、一般得【</w:t>
            </w:r>
            <w:r>
              <w:rPr>
                <w:rFonts w:eastAsia="宋体"/>
                <w:color w:val="auto"/>
              </w:rPr>
              <w:t>3-0</w:t>
            </w:r>
            <w:r>
              <w:rPr>
                <w:rFonts w:hint="eastAsia" w:eastAsia="宋体"/>
                <w:color w:val="auto"/>
              </w:rPr>
              <w:t>分】。</w:t>
            </w:r>
          </w:p>
        </w:tc>
      </w:tr>
      <w:tr>
        <w:tblPrEx>
          <w:tblCellMar>
            <w:top w:w="0" w:type="dxa"/>
            <w:left w:w="108" w:type="dxa"/>
            <w:bottom w:w="0" w:type="dxa"/>
            <w:right w:w="108" w:type="dxa"/>
          </w:tblCellMar>
        </w:tblPrEx>
        <w:trPr>
          <w:trHeight w:val="232"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spacing w:line="420" w:lineRule="exact"/>
              <w:ind w:left="-40"/>
              <w:jc w:val="center"/>
              <w:rPr>
                <w:rFonts w:eastAsia="宋体"/>
                <w:color w:val="auto"/>
                <w:highlight w:val="yellow"/>
              </w:rPr>
            </w:pPr>
          </w:p>
        </w:tc>
        <w:tc>
          <w:tcPr>
            <w:tcW w:w="1276" w:type="dxa"/>
            <w:vMerge w:val="continue"/>
            <w:tcBorders>
              <w:top w:val="single" w:color="auto" w:sz="4" w:space="0"/>
              <w:left w:val="nil"/>
              <w:bottom w:val="single" w:color="auto" w:sz="4" w:space="0"/>
              <w:right w:val="single" w:color="auto" w:sz="4" w:space="0"/>
            </w:tcBorders>
            <w:vAlign w:val="center"/>
          </w:tcPr>
          <w:p>
            <w:pPr>
              <w:spacing w:line="420" w:lineRule="exact"/>
              <w:ind w:left="-40"/>
              <w:jc w:val="center"/>
              <w:rPr>
                <w:rFonts w:eastAsia="宋体"/>
                <w:color w:val="auto"/>
                <w:highlight w:val="yellow"/>
              </w:rPr>
            </w:pPr>
          </w:p>
        </w:tc>
        <w:tc>
          <w:tcPr>
            <w:tcW w:w="850" w:type="dxa"/>
            <w:tcBorders>
              <w:top w:val="single" w:color="auto" w:sz="4" w:space="0"/>
              <w:left w:val="nil"/>
              <w:bottom w:val="single" w:color="auto" w:sz="4" w:space="0"/>
              <w:right w:val="single" w:color="auto" w:sz="4" w:space="0"/>
            </w:tcBorders>
            <w:vAlign w:val="center"/>
          </w:tcPr>
          <w:p>
            <w:pPr>
              <w:spacing w:line="420" w:lineRule="exact"/>
              <w:ind w:left="-40"/>
              <w:jc w:val="center"/>
              <w:rPr>
                <w:rFonts w:eastAsia="宋体"/>
                <w:color w:val="auto"/>
              </w:rPr>
            </w:pPr>
            <w:r>
              <w:rPr>
                <w:rFonts w:eastAsia="宋体"/>
                <w:color w:val="auto"/>
              </w:rPr>
              <w:t>10</w:t>
            </w:r>
          </w:p>
        </w:tc>
        <w:tc>
          <w:tcPr>
            <w:tcW w:w="2268" w:type="dxa"/>
            <w:tcBorders>
              <w:top w:val="single" w:color="auto" w:sz="4" w:space="0"/>
              <w:left w:val="nil"/>
              <w:bottom w:val="single" w:color="auto" w:sz="4" w:space="0"/>
              <w:right w:val="single" w:color="auto" w:sz="4" w:space="0"/>
            </w:tcBorders>
            <w:vAlign w:val="center"/>
          </w:tcPr>
          <w:p>
            <w:pPr>
              <w:spacing w:line="420" w:lineRule="exact"/>
              <w:rPr>
                <w:rFonts w:eastAsia="宋体"/>
                <w:color w:val="auto"/>
              </w:rPr>
            </w:pPr>
            <w:r>
              <w:rPr>
                <w:rFonts w:hint="eastAsia" w:eastAsia="宋体"/>
                <w:color w:val="auto"/>
              </w:rPr>
              <w:t>提供整体方案、营收平衡、具体有特色的创新服务</w:t>
            </w:r>
          </w:p>
        </w:tc>
        <w:tc>
          <w:tcPr>
            <w:tcW w:w="4394" w:type="dxa"/>
            <w:tcBorders>
              <w:top w:val="single" w:color="auto" w:sz="4" w:space="0"/>
              <w:left w:val="nil"/>
              <w:bottom w:val="single" w:color="auto" w:sz="4" w:space="0"/>
              <w:right w:val="single" w:color="auto" w:sz="4" w:space="0"/>
            </w:tcBorders>
            <w:vAlign w:val="center"/>
          </w:tcPr>
          <w:p>
            <w:pPr>
              <w:spacing w:line="420" w:lineRule="exact"/>
              <w:rPr>
                <w:rFonts w:eastAsia="宋体"/>
                <w:color w:val="auto"/>
              </w:rPr>
            </w:pPr>
            <w:r>
              <w:rPr>
                <w:rFonts w:hint="eastAsia" w:eastAsia="宋体"/>
                <w:color w:val="auto"/>
              </w:rPr>
              <w:t>评委针对资金投入结合经营理念，提供的投资建设经营方案能够深度满足本项目运营需求，营收平衡和开展具体有特色的创新服务等方案，明确和条理清晰、内容翔实酌情给分，优得【</w:t>
            </w:r>
            <w:r>
              <w:rPr>
                <w:rFonts w:eastAsia="宋体"/>
                <w:color w:val="auto"/>
              </w:rPr>
              <w:t>10-6.5</w:t>
            </w:r>
            <w:r>
              <w:rPr>
                <w:rFonts w:hint="eastAsia" w:eastAsia="宋体"/>
                <w:color w:val="auto"/>
              </w:rPr>
              <w:t>分】、良得【</w:t>
            </w:r>
            <w:r>
              <w:rPr>
                <w:rFonts w:eastAsia="宋体"/>
                <w:color w:val="auto"/>
              </w:rPr>
              <w:t>6-3.5</w:t>
            </w:r>
            <w:r>
              <w:rPr>
                <w:rFonts w:hint="eastAsia" w:eastAsia="宋体"/>
                <w:color w:val="auto"/>
              </w:rPr>
              <w:t>分】、一般得【</w:t>
            </w:r>
            <w:r>
              <w:rPr>
                <w:rFonts w:eastAsia="宋体"/>
                <w:color w:val="auto"/>
              </w:rPr>
              <w:t>3-0</w:t>
            </w:r>
            <w:r>
              <w:rPr>
                <w:rFonts w:hint="eastAsia" w:eastAsia="宋体"/>
                <w:color w:val="auto"/>
              </w:rPr>
              <w:t>分】。</w:t>
            </w:r>
          </w:p>
        </w:tc>
      </w:tr>
      <w:tr>
        <w:tblPrEx>
          <w:tblCellMar>
            <w:top w:w="0" w:type="dxa"/>
            <w:left w:w="108" w:type="dxa"/>
            <w:bottom w:w="0" w:type="dxa"/>
            <w:right w:w="108" w:type="dxa"/>
          </w:tblCellMar>
        </w:tblPrEx>
        <w:trPr>
          <w:trHeight w:val="232" w:hRule="atLeast"/>
        </w:trPr>
        <w:tc>
          <w:tcPr>
            <w:tcW w:w="851" w:type="dxa"/>
            <w:vMerge w:val="restart"/>
            <w:tcBorders>
              <w:top w:val="single" w:color="auto" w:sz="4" w:space="0"/>
              <w:left w:val="single" w:color="auto" w:sz="4" w:space="0"/>
              <w:bottom w:val="single" w:color="auto" w:sz="4" w:space="0"/>
              <w:right w:val="single" w:color="auto" w:sz="4" w:space="0"/>
            </w:tcBorders>
            <w:vAlign w:val="center"/>
          </w:tcPr>
          <w:p>
            <w:pPr>
              <w:spacing w:line="420" w:lineRule="exact"/>
              <w:ind w:left="-40"/>
              <w:jc w:val="center"/>
              <w:rPr>
                <w:rFonts w:eastAsia="宋体"/>
                <w:color w:val="auto"/>
              </w:rPr>
            </w:pPr>
            <w:r>
              <w:rPr>
                <w:rFonts w:eastAsia="宋体"/>
                <w:color w:val="auto"/>
              </w:rPr>
              <w:t>3</w:t>
            </w:r>
          </w:p>
        </w:tc>
        <w:tc>
          <w:tcPr>
            <w:tcW w:w="1276" w:type="dxa"/>
            <w:vMerge w:val="restart"/>
            <w:tcBorders>
              <w:top w:val="single" w:color="auto" w:sz="4" w:space="0"/>
              <w:left w:val="nil"/>
              <w:bottom w:val="single" w:color="auto" w:sz="4" w:space="0"/>
              <w:right w:val="single" w:color="auto" w:sz="4" w:space="0"/>
            </w:tcBorders>
            <w:vAlign w:val="center"/>
          </w:tcPr>
          <w:p>
            <w:pPr>
              <w:spacing w:line="420" w:lineRule="exact"/>
              <w:ind w:left="-40"/>
              <w:jc w:val="center"/>
              <w:rPr>
                <w:rFonts w:eastAsia="宋体"/>
                <w:color w:val="auto"/>
              </w:rPr>
            </w:pPr>
            <w:r>
              <w:rPr>
                <w:rFonts w:hint="eastAsia" w:eastAsia="宋体"/>
                <w:b/>
                <w:bCs/>
                <w:color w:val="auto"/>
              </w:rPr>
              <w:t>针对居家养老服务运营、政府购买居家养老服务、残疾人之家运营的运作方案（</w:t>
            </w:r>
            <w:r>
              <w:rPr>
                <w:rFonts w:eastAsia="宋体"/>
                <w:b/>
                <w:bCs/>
                <w:color w:val="auto"/>
              </w:rPr>
              <w:t>30</w:t>
            </w:r>
            <w:r>
              <w:rPr>
                <w:rFonts w:hint="eastAsia" w:eastAsia="宋体"/>
                <w:b/>
                <w:bCs/>
                <w:color w:val="auto"/>
              </w:rPr>
              <w:t>分）</w:t>
            </w:r>
          </w:p>
        </w:tc>
        <w:tc>
          <w:tcPr>
            <w:tcW w:w="850" w:type="dxa"/>
            <w:tcBorders>
              <w:top w:val="single" w:color="auto" w:sz="4" w:space="0"/>
              <w:left w:val="nil"/>
              <w:bottom w:val="single" w:color="auto" w:sz="4" w:space="0"/>
              <w:right w:val="single" w:color="auto" w:sz="4" w:space="0"/>
            </w:tcBorders>
            <w:vAlign w:val="center"/>
          </w:tcPr>
          <w:p>
            <w:pPr>
              <w:spacing w:line="420" w:lineRule="exact"/>
              <w:ind w:left="-40"/>
              <w:jc w:val="center"/>
              <w:rPr>
                <w:rFonts w:eastAsia="宋体"/>
                <w:color w:val="auto"/>
              </w:rPr>
            </w:pPr>
            <w:r>
              <w:rPr>
                <w:rFonts w:eastAsia="宋体"/>
                <w:color w:val="auto"/>
              </w:rPr>
              <w:t>10</w:t>
            </w:r>
          </w:p>
        </w:tc>
        <w:tc>
          <w:tcPr>
            <w:tcW w:w="2268" w:type="dxa"/>
            <w:tcBorders>
              <w:top w:val="single" w:color="auto" w:sz="4" w:space="0"/>
              <w:left w:val="nil"/>
              <w:bottom w:val="single" w:color="auto" w:sz="4" w:space="0"/>
              <w:right w:val="single" w:color="auto" w:sz="4" w:space="0"/>
            </w:tcBorders>
            <w:vAlign w:val="center"/>
          </w:tcPr>
          <w:p>
            <w:pPr>
              <w:spacing w:line="420" w:lineRule="exact"/>
              <w:rPr>
                <w:rFonts w:eastAsia="宋体"/>
                <w:color w:val="auto"/>
              </w:rPr>
            </w:pPr>
            <w:r>
              <w:rPr>
                <w:rFonts w:hint="eastAsia" w:eastAsia="宋体"/>
                <w:color w:val="auto"/>
              </w:rPr>
              <w:t>能够根据需要服务的不同类型的老人</w:t>
            </w:r>
            <w:r>
              <w:rPr>
                <w:rFonts w:hint="eastAsia" w:eastAsia="宋体"/>
                <w:color w:val="auto"/>
                <w:lang w:eastAsia="zh-CN"/>
              </w:rPr>
              <w:t>、</w:t>
            </w:r>
            <w:r>
              <w:rPr>
                <w:rFonts w:hint="eastAsia" w:eastAsia="宋体"/>
                <w:color w:val="auto"/>
                <w:lang w:val="en-US" w:eastAsia="zh-CN"/>
              </w:rPr>
              <w:t>残疾人</w:t>
            </w:r>
            <w:r>
              <w:rPr>
                <w:rFonts w:hint="eastAsia" w:eastAsia="宋体"/>
                <w:color w:val="auto"/>
              </w:rPr>
              <w:t>实际情况合理制定适合的服务方案。</w:t>
            </w:r>
          </w:p>
        </w:tc>
        <w:tc>
          <w:tcPr>
            <w:tcW w:w="4394" w:type="dxa"/>
            <w:tcBorders>
              <w:top w:val="single" w:color="auto" w:sz="4" w:space="0"/>
              <w:left w:val="nil"/>
              <w:bottom w:val="single" w:color="auto" w:sz="4" w:space="0"/>
              <w:right w:val="single" w:color="auto" w:sz="4" w:space="0"/>
            </w:tcBorders>
            <w:vAlign w:val="center"/>
          </w:tcPr>
          <w:p>
            <w:pPr>
              <w:spacing w:line="420" w:lineRule="exact"/>
              <w:rPr>
                <w:rFonts w:eastAsia="宋体"/>
                <w:color w:val="auto"/>
              </w:rPr>
            </w:pPr>
            <w:r>
              <w:rPr>
                <w:rFonts w:hint="eastAsia" w:eastAsia="宋体"/>
                <w:color w:val="auto"/>
              </w:rPr>
              <w:t>评委依据“政府购买居家养老服务”、“残疾人之家”的服务内容齐全、服务标准表述明确且有条理酌情给分，优得【</w:t>
            </w:r>
            <w:r>
              <w:rPr>
                <w:rFonts w:eastAsia="宋体"/>
                <w:color w:val="auto"/>
              </w:rPr>
              <w:t>10-6.5</w:t>
            </w:r>
            <w:r>
              <w:rPr>
                <w:rFonts w:hint="eastAsia" w:eastAsia="宋体"/>
                <w:color w:val="auto"/>
              </w:rPr>
              <w:t>分】、良得【</w:t>
            </w:r>
            <w:r>
              <w:rPr>
                <w:rFonts w:eastAsia="宋体"/>
                <w:color w:val="auto"/>
              </w:rPr>
              <w:t>6-3.5</w:t>
            </w:r>
            <w:r>
              <w:rPr>
                <w:rFonts w:hint="eastAsia" w:eastAsia="宋体"/>
                <w:color w:val="auto"/>
              </w:rPr>
              <w:t>分】、一般得【</w:t>
            </w:r>
            <w:r>
              <w:rPr>
                <w:rFonts w:eastAsia="宋体"/>
                <w:color w:val="auto"/>
              </w:rPr>
              <w:t>3-0</w:t>
            </w:r>
            <w:r>
              <w:rPr>
                <w:rFonts w:hint="eastAsia" w:eastAsia="宋体"/>
                <w:color w:val="auto"/>
              </w:rPr>
              <w:t>分】。</w:t>
            </w:r>
          </w:p>
        </w:tc>
      </w:tr>
      <w:tr>
        <w:tblPrEx>
          <w:tblCellMar>
            <w:top w:w="0" w:type="dxa"/>
            <w:left w:w="108" w:type="dxa"/>
            <w:bottom w:w="0" w:type="dxa"/>
            <w:right w:w="108" w:type="dxa"/>
          </w:tblCellMar>
        </w:tblPrEx>
        <w:trPr>
          <w:trHeight w:val="232"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spacing w:line="420" w:lineRule="exact"/>
              <w:ind w:left="-40"/>
              <w:jc w:val="center"/>
              <w:rPr>
                <w:rFonts w:eastAsia="宋体"/>
                <w:color w:val="auto"/>
              </w:rPr>
            </w:pPr>
          </w:p>
        </w:tc>
        <w:tc>
          <w:tcPr>
            <w:tcW w:w="1276" w:type="dxa"/>
            <w:vMerge w:val="continue"/>
            <w:tcBorders>
              <w:top w:val="single" w:color="auto" w:sz="4" w:space="0"/>
              <w:left w:val="nil"/>
              <w:bottom w:val="single" w:color="auto" w:sz="4" w:space="0"/>
              <w:right w:val="single" w:color="auto" w:sz="4" w:space="0"/>
            </w:tcBorders>
            <w:vAlign w:val="center"/>
          </w:tcPr>
          <w:p>
            <w:pPr>
              <w:spacing w:line="420" w:lineRule="exact"/>
              <w:ind w:left="-40"/>
              <w:jc w:val="center"/>
              <w:rPr>
                <w:rFonts w:eastAsia="宋体"/>
                <w:color w:val="auto"/>
              </w:rPr>
            </w:pPr>
          </w:p>
        </w:tc>
        <w:tc>
          <w:tcPr>
            <w:tcW w:w="850" w:type="dxa"/>
            <w:tcBorders>
              <w:top w:val="single" w:color="auto" w:sz="4" w:space="0"/>
              <w:left w:val="nil"/>
              <w:bottom w:val="single" w:color="auto" w:sz="4" w:space="0"/>
              <w:right w:val="single" w:color="auto" w:sz="4" w:space="0"/>
            </w:tcBorders>
            <w:vAlign w:val="center"/>
          </w:tcPr>
          <w:p>
            <w:pPr>
              <w:spacing w:line="420" w:lineRule="exact"/>
              <w:ind w:left="-40"/>
              <w:jc w:val="center"/>
              <w:rPr>
                <w:rFonts w:eastAsia="宋体"/>
                <w:color w:val="auto"/>
              </w:rPr>
            </w:pPr>
            <w:r>
              <w:rPr>
                <w:rFonts w:eastAsia="宋体"/>
                <w:color w:val="auto"/>
              </w:rPr>
              <w:t>10</w:t>
            </w:r>
          </w:p>
        </w:tc>
        <w:tc>
          <w:tcPr>
            <w:tcW w:w="2268" w:type="dxa"/>
            <w:tcBorders>
              <w:top w:val="single" w:color="auto" w:sz="4" w:space="0"/>
              <w:left w:val="nil"/>
              <w:bottom w:val="single" w:color="auto" w:sz="4" w:space="0"/>
              <w:right w:val="single" w:color="auto" w:sz="4" w:space="0"/>
            </w:tcBorders>
            <w:vAlign w:val="center"/>
          </w:tcPr>
          <w:p>
            <w:pPr>
              <w:spacing w:line="420" w:lineRule="exact"/>
              <w:rPr>
                <w:rFonts w:eastAsia="宋体"/>
                <w:color w:val="auto"/>
              </w:rPr>
            </w:pPr>
            <w:r>
              <w:rPr>
                <w:rFonts w:hint="eastAsia" w:eastAsia="宋体"/>
                <w:color w:val="auto"/>
              </w:rPr>
              <w:t>提供日常行政、业务管理设置的职能部门，并配备相应的服务团队人员。</w:t>
            </w:r>
          </w:p>
        </w:tc>
        <w:tc>
          <w:tcPr>
            <w:tcW w:w="4394" w:type="dxa"/>
            <w:tcBorders>
              <w:top w:val="single" w:color="auto" w:sz="4" w:space="0"/>
              <w:left w:val="nil"/>
              <w:bottom w:val="single" w:color="auto" w:sz="4" w:space="0"/>
              <w:right w:val="single" w:color="auto" w:sz="4" w:space="0"/>
            </w:tcBorders>
            <w:vAlign w:val="center"/>
          </w:tcPr>
          <w:p>
            <w:pPr>
              <w:spacing w:line="420" w:lineRule="exact"/>
              <w:rPr>
                <w:rFonts w:eastAsia="宋体"/>
                <w:color w:val="auto"/>
              </w:rPr>
            </w:pPr>
            <w:r>
              <w:rPr>
                <w:rFonts w:hint="eastAsia" w:eastAsia="宋体"/>
                <w:color w:val="auto"/>
              </w:rPr>
              <w:t>按需设置本项目涉及的各职能部门、运营服务拟派人员数量、资质等，评委就供应商的团队建设酌情给分，优得【</w:t>
            </w:r>
            <w:r>
              <w:rPr>
                <w:rFonts w:eastAsia="宋体"/>
                <w:color w:val="auto"/>
              </w:rPr>
              <w:t>10-6.5</w:t>
            </w:r>
            <w:r>
              <w:rPr>
                <w:rFonts w:hint="eastAsia" w:eastAsia="宋体"/>
                <w:color w:val="auto"/>
              </w:rPr>
              <w:t>分】、良得【</w:t>
            </w:r>
            <w:r>
              <w:rPr>
                <w:rFonts w:eastAsia="宋体"/>
                <w:color w:val="auto"/>
              </w:rPr>
              <w:t>6-3.5</w:t>
            </w:r>
            <w:r>
              <w:rPr>
                <w:rFonts w:hint="eastAsia" w:eastAsia="宋体"/>
                <w:color w:val="auto"/>
              </w:rPr>
              <w:t>分】、一般得【</w:t>
            </w:r>
            <w:r>
              <w:rPr>
                <w:rFonts w:eastAsia="宋体"/>
                <w:color w:val="auto"/>
              </w:rPr>
              <w:t>3-0</w:t>
            </w:r>
            <w:r>
              <w:rPr>
                <w:rFonts w:hint="eastAsia" w:eastAsia="宋体"/>
                <w:color w:val="auto"/>
              </w:rPr>
              <w:t>分】。</w:t>
            </w:r>
          </w:p>
        </w:tc>
      </w:tr>
      <w:tr>
        <w:tblPrEx>
          <w:tblCellMar>
            <w:top w:w="0" w:type="dxa"/>
            <w:left w:w="108" w:type="dxa"/>
            <w:bottom w:w="0" w:type="dxa"/>
            <w:right w:w="108" w:type="dxa"/>
          </w:tblCellMar>
        </w:tblPrEx>
        <w:trPr>
          <w:trHeight w:val="232"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spacing w:line="420" w:lineRule="exact"/>
              <w:ind w:left="-40"/>
              <w:jc w:val="center"/>
              <w:rPr>
                <w:rFonts w:eastAsia="宋体"/>
                <w:color w:val="auto"/>
              </w:rPr>
            </w:pPr>
          </w:p>
        </w:tc>
        <w:tc>
          <w:tcPr>
            <w:tcW w:w="1276" w:type="dxa"/>
            <w:vMerge w:val="continue"/>
            <w:tcBorders>
              <w:top w:val="single" w:color="auto" w:sz="4" w:space="0"/>
              <w:left w:val="nil"/>
              <w:bottom w:val="single" w:color="auto" w:sz="4" w:space="0"/>
              <w:right w:val="single" w:color="auto" w:sz="4" w:space="0"/>
            </w:tcBorders>
            <w:vAlign w:val="center"/>
          </w:tcPr>
          <w:p>
            <w:pPr>
              <w:spacing w:line="420" w:lineRule="exact"/>
              <w:ind w:left="-40"/>
              <w:jc w:val="center"/>
              <w:rPr>
                <w:rFonts w:eastAsia="宋体"/>
                <w:color w:val="auto"/>
              </w:rPr>
            </w:pPr>
          </w:p>
        </w:tc>
        <w:tc>
          <w:tcPr>
            <w:tcW w:w="850" w:type="dxa"/>
            <w:tcBorders>
              <w:top w:val="single" w:color="auto" w:sz="4" w:space="0"/>
              <w:left w:val="nil"/>
              <w:bottom w:val="single" w:color="auto" w:sz="4" w:space="0"/>
              <w:right w:val="single" w:color="auto" w:sz="4" w:space="0"/>
            </w:tcBorders>
            <w:vAlign w:val="center"/>
          </w:tcPr>
          <w:p>
            <w:pPr>
              <w:spacing w:line="420" w:lineRule="exact"/>
              <w:ind w:left="-40"/>
              <w:jc w:val="center"/>
              <w:rPr>
                <w:rFonts w:eastAsia="宋体"/>
                <w:color w:val="auto"/>
              </w:rPr>
            </w:pPr>
            <w:r>
              <w:rPr>
                <w:rFonts w:eastAsia="宋体"/>
                <w:color w:val="auto"/>
              </w:rPr>
              <w:t>10</w:t>
            </w:r>
          </w:p>
        </w:tc>
        <w:tc>
          <w:tcPr>
            <w:tcW w:w="2268" w:type="dxa"/>
            <w:tcBorders>
              <w:top w:val="single" w:color="auto" w:sz="4" w:space="0"/>
              <w:left w:val="nil"/>
              <w:bottom w:val="single" w:color="auto" w:sz="4" w:space="0"/>
              <w:right w:val="single" w:color="auto" w:sz="4" w:space="0"/>
            </w:tcBorders>
            <w:vAlign w:val="center"/>
          </w:tcPr>
          <w:p>
            <w:pPr>
              <w:spacing w:line="420" w:lineRule="exact"/>
              <w:rPr>
                <w:rFonts w:eastAsia="宋体"/>
                <w:color w:val="auto"/>
              </w:rPr>
            </w:pPr>
            <w:bookmarkStart w:id="40" w:name="_Hlk71402801"/>
            <w:r>
              <w:rPr>
                <w:rFonts w:hint="eastAsia" w:eastAsia="宋体"/>
                <w:color w:val="auto"/>
              </w:rPr>
              <w:t>结合街道的养老情形，</w:t>
            </w:r>
            <w:bookmarkEnd w:id="40"/>
            <w:r>
              <w:rPr>
                <w:rFonts w:hint="eastAsia" w:eastAsia="宋体"/>
                <w:color w:val="auto"/>
              </w:rPr>
              <w:t>提供针对性强的养老方案。</w:t>
            </w:r>
          </w:p>
        </w:tc>
        <w:tc>
          <w:tcPr>
            <w:tcW w:w="4394" w:type="dxa"/>
            <w:tcBorders>
              <w:top w:val="single" w:color="auto" w:sz="4" w:space="0"/>
              <w:left w:val="nil"/>
              <w:bottom w:val="single" w:color="auto" w:sz="4" w:space="0"/>
              <w:right w:val="single" w:color="auto" w:sz="4" w:space="0"/>
            </w:tcBorders>
            <w:vAlign w:val="center"/>
          </w:tcPr>
          <w:p>
            <w:pPr>
              <w:spacing w:line="420" w:lineRule="exact"/>
              <w:rPr>
                <w:rFonts w:eastAsia="宋体"/>
                <w:color w:val="auto"/>
              </w:rPr>
            </w:pPr>
            <w:r>
              <w:rPr>
                <w:rFonts w:hint="eastAsia" w:eastAsia="宋体"/>
                <w:color w:val="auto"/>
              </w:rPr>
              <w:t>评委对“方案”内的的实施措施、应急处置、各项目运营要素是否且切实可行并贴近本项目街道社区酌情给分，优得【</w:t>
            </w:r>
            <w:r>
              <w:rPr>
                <w:rFonts w:eastAsia="宋体"/>
                <w:color w:val="auto"/>
              </w:rPr>
              <w:t>10-6.5</w:t>
            </w:r>
            <w:r>
              <w:rPr>
                <w:rFonts w:hint="eastAsia" w:eastAsia="宋体"/>
                <w:color w:val="auto"/>
              </w:rPr>
              <w:t>分】、良得【</w:t>
            </w:r>
            <w:r>
              <w:rPr>
                <w:rFonts w:eastAsia="宋体"/>
                <w:color w:val="auto"/>
              </w:rPr>
              <w:t>6-3.5</w:t>
            </w:r>
            <w:r>
              <w:rPr>
                <w:rFonts w:hint="eastAsia" w:eastAsia="宋体"/>
                <w:color w:val="auto"/>
              </w:rPr>
              <w:t>分】、一般得【</w:t>
            </w:r>
            <w:r>
              <w:rPr>
                <w:rFonts w:eastAsia="宋体"/>
                <w:color w:val="auto"/>
              </w:rPr>
              <w:t>3-0</w:t>
            </w:r>
            <w:r>
              <w:rPr>
                <w:rFonts w:hint="eastAsia" w:eastAsia="宋体"/>
                <w:color w:val="auto"/>
              </w:rPr>
              <w:t>分】。</w:t>
            </w:r>
          </w:p>
        </w:tc>
      </w:tr>
      <w:tr>
        <w:tblPrEx>
          <w:tblCellMar>
            <w:top w:w="0" w:type="dxa"/>
            <w:left w:w="108" w:type="dxa"/>
            <w:bottom w:w="0" w:type="dxa"/>
            <w:right w:w="108" w:type="dxa"/>
          </w:tblCellMar>
        </w:tblPrEx>
        <w:trPr>
          <w:trHeight w:val="232"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420" w:lineRule="exact"/>
              <w:ind w:left="-40"/>
              <w:jc w:val="center"/>
              <w:rPr>
                <w:rFonts w:eastAsia="宋体"/>
                <w:color w:val="auto"/>
                <w:highlight w:val="yellow"/>
              </w:rPr>
            </w:pPr>
            <w:r>
              <w:rPr>
                <w:rFonts w:eastAsia="宋体"/>
                <w:color w:val="auto"/>
              </w:rPr>
              <w:t>4</w:t>
            </w:r>
          </w:p>
        </w:tc>
        <w:tc>
          <w:tcPr>
            <w:tcW w:w="1276" w:type="dxa"/>
            <w:tcBorders>
              <w:top w:val="single" w:color="auto" w:sz="4" w:space="0"/>
              <w:left w:val="nil"/>
              <w:bottom w:val="single" w:color="auto" w:sz="4" w:space="0"/>
              <w:right w:val="single" w:color="auto" w:sz="4" w:space="0"/>
            </w:tcBorders>
            <w:vAlign w:val="center"/>
          </w:tcPr>
          <w:p>
            <w:pPr>
              <w:spacing w:line="420" w:lineRule="exact"/>
              <w:ind w:left="-40"/>
              <w:jc w:val="center"/>
              <w:rPr>
                <w:rFonts w:eastAsia="宋体"/>
                <w:color w:val="auto"/>
              </w:rPr>
            </w:pPr>
            <w:r>
              <w:rPr>
                <w:rFonts w:hint="eastAsia" w:eastAsia="宋体"/>
                <w:b/>
                <w:bCs/>
                <w:color w:val="auto"/>
              </w:rPr>
              <w:t>现场述标（</w:t>
            </w:r>
            <w:r>
              <w:rPr>
                <w:rFonts w:eastAsia="宋体"/>
                <w:b/>
                <w:bCs/>
                <w:color w:val="auto"/>
              </w:rPr>
              <w:t>25</w:t>
            </w:r>
            <w:r>
              <w:rPr>
                <w:rFonts w:hint="eastAsia" w:eastAsia="宋体"/>
                <w:b/>
                <w:bCs/>
                <w:color w:val="auto"/>
              </w:rPr>
              <w:t>分）</w:t>
            </w:r>
          </w:p>
        </w:tc>
        <w:tc>
          <w:tcPr>
            <w:tcW w:w="850" w:type="dxa"/>
            <w:tcBorders>
              <w:top w:val="single" w:color="auto" w:sz="4" w:space="0"/>
              <w:left w:val="nil"/>
              <w:bottom w:val="single" w:color="auto" w:sz="4" w:space="0"/>
              <w:right w:val="single" w:color="auto" w:sz="4" w:space="0"/>
            </w:tcBorders>
            <w:vAlign w:val="center"/>
          </w:tcPr>
          <w:p>
            <w:pPr>
              <w:spacing w:line="420" w:lineRule="exact"/>
              <w:ind w:left="-40"/>
              <w:jc w:val="center"/>
              <w:rPr>
                <w:rFonts w:eastAsia="宋体"/>
                <w:color w:val="auto"/>
              </w:rPr>
            </w:pPr>
            <w:r>
              <w:rPr>
                <w:rFonts w:eastAsia="宋体"/>
                <w:color w:val="auto"/>
              </w:rPr>
              <w:t>25</w:t>
            </w:r>
          </w:p>
        </w:tc>
        <w:tc>
          <w:tcPr>
            <w:tcW w:w="2268" w:type="dxa"/>
            <w:tcBorders>
              <w:top w:val="single" w:color="auto" w:sz="4" w:space="0"/>
              <w:left w:val="nil"/>
              <w:bottom w:val="single" w:color="auto" w:sz="4" w:space="0"/>
              <w:right w:val="single" w:color="auto" w:sz="4" w:space="0"/>
            </w:tcBorders>
            <w:vAlign w:val="center"/>
          </w:tcPr>
          <w:p>
            <w:pPr>
              <w:spacing w:line="420" w:lineRule="exact"/>
              <w:rPr>
                <w:rFonts w:eastAsia="宋体"/>
                <w:color w:val="auto"/>
              </w:rPr>
            </w:pPr>
            <w:r>
              <w:rPr>
                <w:rFonts w:hint="eastAsia" w:eastAsia="宋体"/>
                <w:color w:val="auto"/>
              </w:rPr>
              <w:t>从四个方面述标：</w:t>
            </w:r>
          </w:p>
          <w:p>
            <w:pPr>
              <w:spacing w:line="420" w:lineRule="exact"/>
              <w:rPr>
                <w:rFonts w:eastAsia="宋体"/>
                <w:color w:val="auto"/>
              </w:rPr>
            </w:pPr>
            <w:r>
              <w:rPr>
                <w:rFonts w:hint="eastAsia" w:eastAsia="宋体"/>
                <w:color w:val="auto"/>
              </w:rPr>
              <w:t>投资建设、运营服务、管理思路（含应急处置、投诉处理）、市场化服务拓展。</w:t>
            </w:r>
          </w:p>
        </w:tc>
        <w:tc>
          <w:tcPr>
            <w:tcW w:w="4394" w:type="dxa"/>
            <w:tcBorders>
              <w:top w:val="single" w:color="auto" w:sz="4" w:space="0"/>
              <w:left w:val="nil"/>
              <w:bottom w:val="single" w:color="auto" w:sz="4" w:space="0"/>
              <w:right w:val="single" w:color="auto" w:sz="4" w:space="0"/>
            </w:tcBorders>
            <w:vAlign w:val="center"/>
          </w:tcPr>
          <w:p>
            <w:pPr>
              <w:spacing w:line="420" w:lineRule="exact"/>
              <w:rPr>
                <w:rFonts w:eastAsia="宋体"/>
                <w:color w:val="auto"/>
              </w:rPr>
            </w:pPr>
            <w:r>
              <w:rPr>
                <w:rFonts w:hint="eastAsia" w:eastAsia="宋体"/>
                <w:color w:val="auto"/>
              </w:rPr>
              <w:t>方案思路清、理念新、针对性强、定位明确、可行，评委根据供应商现场“述标”结合其提供的投资建设方案和承办运营服务方案酌情给分，优得【</w:t>
            </w:r>
            <w:r>
              <w:rPr>
                <w:rFonts w:eastAsia="宋体"/>
                <w:color w:val="auto"/>
              </w:rPr>
              <w:t>25-16</w:t>
            </w:r>
            <w:r>
              <w:rPr>
                <w:rFonts w:hint="eastAsia" w:eastAsia="宋体"/>
                <w:color w:val="auto"/>
              </w:rPr>
              <w:t>分】、良得【</w:t>
            </w:r>
            <w:r>
              <w:rPr>
                <w:rFonts w:eastAsia="宋体"/>
                <w:color w:val="auto"/>
              </w:rPr>
              <w:t>15.9-7</w:t>
            </w:r>
            <w:r>
              <w:rPr>
                <w:rFonts w:hint="eastAsia" w:eastAsia="宋体"/>
                <w:color w:val="auto"/>
              </w:rPr>
              <w:t>分】、一般得【</w:t>
            </w:r>
            <w:r>
              <w:rPr>
                <w:rFonts w:eastAsia="宋体"/>
                <w:color w:val="auto"/>
              </w:rPr>
              <w:t>6.9-0</w:t>
            </w:r>
            <w:r>
              <w:rPr>
                <w:rFonts w:hint="eastAsia" w:eastAsia="宋体"/>
                <w:color w:val="auto"/>
              </w:rPr>
              <w:t>分】。</w:t>
            </w:r>
          </w:p>
        </w:tc>
      </w:tr>
    </w:tbl>
    <w:p>
      <w:pPr>
        <w:adjustRightInd w:val="0"/>
        <w:snapToGrid w:val="0"/>
        <w:spacing w:line="420" w:lineRule="exact"/>
        <w:ind w:firstLine="482" w:firstLineChars="200"/>
        <w:outlineLvl w:val="2"/>
        <w:rPr>
          <w:rFonts w:eastAsia="宋体"/>
          <w:b/>
          <w:bCs/>
        </w:rPr>
      </w:pPr>
      <w:r>
        <w:rPr>
          <w:rFonts w:hint="eastAsia" w:eastAsia="宋体"/>
          <w:b/>
          <w:bCs/>
        </w:rPr>
        <w:t>（二）磋商评审时磋商小组评委成员对磋商评审细则若有争议，由磋商小组评委成员集体讨论确定并对未尽情况有最终解释权。磋商小组评委成员对需要共同认定的事项存在争议的，应当按照少数服从多数的原则作出结论。持不同意见的磋商小组评委成员应当在磋商评审报告上签署不同意见及理由，否则视为同意磋商评审报告。</w:t>
      </w:r>
    </w:p>
    <w:p>
      <w:pPr>
        <w:adjustRightInd w:val="0"/>
        <w:snapToGrid w:val="0"/>
        <w:spacing w:line="420" w:lineRule="exact"/>
        <w:ind w:firstLine="482" w:firstLineChars="200"/>
        <w:outlineLvl w:val="2"/>
        <w:rPr>
          <w:rFonts w:eastAsia="宋体"/>
        </w:rPr>
      </w:pPr>
      <w:r>
        <w:rPr>
          <w:rFonts w:hint="eastAsia" w:eastAsia="宋体"/>
          <w:b/>
          <w:bCs/>
        </w:rPr>
        <w:t>（三）对落标的磋商响应供应商不做落标原因的解释。</w:t>
      </w:r>
    </w:p>
    <w:bookmarkEnd w:id="31"/>
    <w:p>
      <w:pPr>
        <w:snapToGrid w:val="0"/>
        <w:spacing w:line="420" w:lineRule="exact"/>
        <w:ind w:firstLine="487" w:firstLineChars="202"/>
        <w:outlineLvl w:val="1"/>
        <w:rPr>
          <w:rFonts w:eastAsia="宋体"/>
          <w:b/>
          <w:bCs/>
        </w:rPr>
      </w:pPr>
      <w:r>
        <w:rPr>
          <w:rFonts w:hint="eastAsia" w:eastAsia="宋体" w:cs="宋体"/>
          <w:b/>
          <w:bCs/>
        </w:rPr>
        <w:t>五、出现下列情形之一的，作无效磋商处理</w:t>
      </w:r>
    </w:p>
    <w:p>
      <w:pPr>
        <w:spacing w:line="420" w:lineRule="exact"/>
        <w:ind w:firstLine="484" w:firstLineChars="202"/>
        <w:rPr>
          <w:rFonts w:eastAsia="宋体"/>
        </w:rPr>
      </w:pPr>
      <w:r>
        <w:rPr>
          <w:rFonts w:eastAsia="宋体"/>
        </w:rPr>
        <w:t>1.</w:t>
      </w:r>
      <w:r>
        <w:rPr>
          <w:rFonts w:hint="eastAsia" w:eastAsia="宋体" w:cs="宋体"/>
        </w:rPr>
        <w:t>响应文件未按磋商文件要求装订、密封、签署、盖章及主要资料不齐全的；</w:t>
      </w:r>
    </w:p>
    <w:p>
      <w:pPr>
        <w:spacing w:line="420" w:lineRule="exact"/>
        <w:ind w:firstLine="484" w:firstLineChars="202"/>
        <w:rPr>
          <w:rFonts w:eastAsia="宋体"/>
        </w:rPr>
      </w:pPr>
      <w:r>
        <w:rPr>
          <w:rFonts w:eastAsia="宋体"/>
        </w:rPr>
        <w:t>2.</w:t>
      </w:r>
      <w:r>
        <w:rPr>
          <w:rFonts w:hint="eastAsia" w:eastAsia="宋体" w:cs="宋体"/>
        </w:rPr>
        <w:t>响应文件的资料有虚报或者谎报的；</w:t>
      </w:r>
    </w:p>
    <w:p>
      <w:pPr>
        <w:spacing w:line="420" w:lineRule="exact"/>
        <w:ind w:firstLine="484" w:firstLineChars="202"/>
        <w:rPr>
          <w:rFonts w:eastAsia="宋体"/>
        </w:rPr>
      </w:pPr>
      <w:r>
        <w:rPr>
          <w:rFonts w:eastAsia="宋体"/>
        </w:rPr>
        <w:t>3.</w:t>
      </w:r>
      <w:r>
        <w:rPr>
          <w:rFonts w:hint="eastAsia" w:eastAsia="宋体" w:cs="宋体"/>
        </w:rPr>
        <w:t>不具备磋商文件规定的资格要求的；</w:t>
      </w:r>
    </w:p>
    <w:p>
      <w:pPr>
        <w:spacing w:line="420" w:lineRule="exact"/>
        <w:ind w:firstLine="484" w:firstLineChars="202"/>
        <w:rPr>
          <w:rFonts w:eastAsia="宋体"/>
        </w:rPr>
      </w:pPr>
      <w:r>
        <w:rPr>
          <w:rFonts w:eastAsia="宋体"/>
        </w:rPr>
        <w:t>4.</w:t>
      </w:r>
      <w:r>
        <w:rPr>
          <w:rFonts w:hint="eastAsia" w:eastAsia="宋体" w:cs="宋体"/>
        </w:rPr>
        <w:t>响应文件有重大漏项或重大不合理的；</w:t>
      </w:r>
    </w:p>
    <w:p>
      <w:pPr>
        <w:spacing w:line="420" w:lineRule="exact"/>
        <w:ind w:firstLine="484" w:firstLineChars="202"/>
        <w:rPr>
          <w:rFonts w:eastAsia="宋体"/>
        </w:rPr>
      </w:pPr>
      <w:r>
        <w:rPr>
          <w:rFonts w:eastAsia="宋体"/>
        </w:rPr>
        <w:t>5.</w:t>
      </w:r>
      <w:r>
        <w:rPr>
          <w:rFonts w:hint="eastAsia" w:eastAsia="宋体" w:cs="宋体"/>
        </w:rPr>
        <w:t>项目技术、方案不满足项目需求中的要求，有重大偏离或保留的；</w:t>
      </w:r>
    </w:p>
    <w:p>
      <w:pPr>
        <w:spacing w:line="420" w:lineRule="exact"/>
        <w:ind w:firstLine="484" w:firstLineChars="202"/>
        <w:rPr>
          <w:rFonts w:eastAsia="宋体"/>
        </w:rPr>
      </w:pPr>
      <w:r>
        <w:rPr>
          <w:rFonts w:eastAsia="宋体"/>
        </w:rPr>
        <w:t>6.</w:t>
      </w:r>
      <w:r>
        <w:rPr>
          <w:rFonts w:hint="eastAsia" w:eastAsia="宋体" w:cs="宋体"/>
        </w:rPr>
        <w:t>磋商响应报价超出项目预算的；</w:t>
      </w:r>
    </w:p>
    <w:p>
      <w:pPr>
        <w:spacing w:line="420" w:lineRule="exact"/>
        <w:ind w:firstLine="484" w:firstLineChars="202"/>
        <w:rPr>
          <w:rFonts w:eastAsia="宋体"/>
        </w:rPr>
      </w:pPr>
      <w:r>
        <w:rPr>
          <w:rFonts w:eastAsia="宋体"/>
        </w:rPr>
        <w:t>7.</w:t>
      </w:r>
      <w:r>
        <w:rPr>
          <w:rFonts w:hint="eastAsia" w:eastAsia="宋体" w:cs="宋体"/>
        </w:rPr>
        <w:t>不符合法律、法规和磋商文件中规定的其他实质性响应要求的；</w:t>
      </w:r>
    </w:p>
    <w:p>
      <w:pPr>
        <w:spacing w:line="420" w:lineRule="exact"/>
        <w:ind w:firstLine="484" w:firstLineChars="202"/>
        <w:rPr>
          <w:rFonts w:eastAsia="宋体"/>
        </w:rPr>
      </w:pPr>
      <w:r>
        <w:rPr>
          <w:rFonts w:eastAsia="宋体"/>
        </w:rPr>
        <w:t>8.</w:t>
      </w:r>
      <w:r>
        <w:rPr>
          <w:rFonts w:hint="eastAsia" w:eastAsia="宋体" w:cs="宋体"/>
        </w:rPr>
        <w:t>磋商小组依据法律法规可以认定为无效磋商响应的其他情况。</w:t>
      </w:r>
    </w:p>
    <w:p>
      <w:pPr>
        <w:snapToGrid w:val="0"/>
        <w:spacing w:line="420" w:lineRule="exact"/>
        <w:ind w:firstLine="482" w:firstLineChars="200"/>
        <w:outlineLvl w:val="1"/>
        <w:rPr>
          <w:rFonts w:eastAsia="宋体"/>
        </w:rPr>
      </w:pPr>
      <w:r>
        <w:rPr>
          <w:rFonts w:hint="eastAsia" w:eastAsia="宋体" w:cs="宋体"/>
          <w:b/>
          <w:bCs/>
        </w:rPr>
        <w:t>六、有下列情形之一的，视为竞争性磋商响应供应商恶意串通竞标，其磋商无效</w:t>
      </w:r>
    </w:p>
    <w:p>
      <w:pPr>
        <w:snapToGrid w:val="0"/>
        <w:spacing w:line="420" w:lineRule="exact"/>
        <w:ind w:firstLine="484" w:firstLineChars="202"/>
        <w:rPr>
          <w:rFonts w:eastAsia="宋体"/>
        </w:rPr>
      </w:pPr>
      <w:bookmarkStart w:id="41" w:name="_Hlk70289589"/>
      <w:r>
        <w:rPr>
          <w:rFonts w:eastAsia="宋体"/>
        </w:rPr>
        <w:t>1.</w:t>
      </w:r>
      <w:r>
        <w:rPr>
          <w:rFonts w:hint="eastAsia" w:eastAsia="宋体" w:cs="宋体"/>
        </w:rPr>
        <w:t>直接或者间接从采购人或者采购代理机构处获得其他供应商的相关情况并修改其响应文件；</w:t>
      </w:r>
    </w:p>
    <w:p>
      <w:pPr>
        <w:snapToGrid w:val="0"/>
        <w:spacing w:line="420" w:lineRule="exact"/>
        <w:ind w:firstLine="484" w:firstLineChars="202"/>
        <w:rPr>
          <w:rFonts w:eastAsia="宋体"/>
        </w:rPr>
      </w:pPr>
      <w:r>
        <w:rPr>
          <w:rFonts w:eastAsia="宋体"/>
        </w:rPr>
        <w:t>2.</w:t>
      </w:r>
      <w:r>
        <w:rPr>
          <w:rFonts w:hint="eastAsia" w:eastAsia="宋体" w:cs="宋体"/>
        </w:rPr>
        <w:t>按照采购人或者采购代理机构的授意撤换、修改响应文件；</w:t>
      </w:r>
    </w:p>
    <w:p>
      <w:pPr>
        <w:snapToGrid w:val="0"/>
        <w:spacing w:line="420" w:lineRule="exact"/>
        <w:ind w:firstLine="484" w:firstLineChars="202"/>
        <w:rPr>
          <w:rFonts w:eastAsia="宋体"/>
        </w:rPr>
      </w:pPr>
      <w:r>
        <w:rPr>
          <w:rFonts w:eastAsia="宋体"/>
        </w:rPr>
        <w:t>3.</w:t>
      </w:r>
      <w:r>
        <w:rPr>
          <w:rFonts w:hint="eastAsia" w:eastAsia="宋体" w:cs="宋体"/>
        </w:rPr>
        <w:t>与其他的供应商协商技术方案响应文件的实质性内容；</w:t>
      </w:r>
    </w:p>
    <w:p>
      <w:pPr>
        <w:snapToGrid w:val="0"/>
        <w:spacing w:line="420" w:lineRule="exact"/>
        <w:ind w:firstLine="484" w:firstLineChars="202"/>
        <w:rPr>
          <w:rFonts w:eastAsia="宋体"/>
        </w:rPr>
      </w:pPr>
      <w:r>
        <w:rPr>
          <w:rFonts w:eastAsia="宋体"/>
        </w:rPr>
        <w:t>4.</w:t>
      </w:r>
      <w:r>
        <w:rPr>
          <w:rFonts w:hint="eastAsia" w:eastAsia="宋体" w:cs="宋体"/>
        </w:rPr>
        <w:t>属于同一集团、协会、商会等组织成员的供应商，按照该组织要求协同参加政府采购活动；</w:t>
      </w:r>
    </w:p>
    <w:p>
      <w:pPr>
        <w:snapToGrid w:val="0"/>
        <w:spacing w:line="420" w:lineRule="exact"/>
        <w:ind w:firstLine="484" w:firstLineChars="202"/>
        <w:rPr>
          <w:rFonts w:eastAsia="宋体"/>
        </w:rPr>
      </w:pPr>
      <w:r>
        <w:rPr>
          <w:rFonts w:eastAsia="宋体"/>
        </w:rPr>
        <w:t>5.</w:t>
      </w:r>
      <w:r>
        <w:rPr>
          <w:rFonts w:hint="eastAsia" w:eastAsia="宋体" w:cs="宋体"/>
        </w:rPr>
        <w:t>供应商之间事先约定由某一特定供应商成交；</w:t>
      </w:r>
    </w:p>
    <w:p>
      <w:pPr>
        <w:snapToGrid w:val="0"/>
        <w:spacing w:line="420" w:lineRule="exact"/>
        <w:ind w:firstLine="484" w:firstLineChars="202"/>
        <w:rPr>
          <w:rFonts w:eastAsia="宋体"/>
        </w:rPr>
      </w:pPr>
      <w:r>
        <w:rPr>
          <w:rFonts w:eastAsia="宋体"/>
        </w:rPr>
        <w:t>6.</w:t>
      </w:r>
      <w:r>
        <w:rPr>
          <w:rFonts w:hint="eastAsia" w:eastAsia="宋体" w:cs="宋体"/>
        </w:rPr>
        <w:t>供应商之间商定部分供应商放弃参加政府采购活动或者放弃成交；</w:t>
      </w:r>
    </w:p>
    <w:p>
      <w:pPr>
        <w:snapToGrid w:val="0"/>
        <w:spacing w:line="420" w:lineRule="exact"/>
        <w:ind w:firstLine="484" w:firstLineChars="202"/>
        <w:rPr>
          <w:rFonts w:eastAsia="宋体"/>
        </w:rPr>
      </w:pPr>
      <w:r>
        <w:rPr>
          <w:rFonts w:eastAsia="宋体"/>
        </w:rPr>
        <w:t>7.</w:t>
      </w:r>
      <w:r>
        <w:rPr>
          <w:rFonts w:hint="eastAsia" w:eastAsia="宋体" w:cs="宋体"/>
        </w:rPr>
        <w:t>供应商与采购人或者采购代理机构之间、供应商相互之间，为谋求特定供应商成交或者排斥其他供应商的其他串通行为；</w:t>
      </w:r>
    </w:p>
    <w:p>
      <w:pPr>
        <w:snapToGrid w:val="0"/>
        <w:spacing w:line="420" w:lineRule="exact"/>
        <w:ind w:firstLine="484" w:firstLineChars="202"/>
        <w:rPr>
          <w:rFonts w:eastAsia="宋体"/>
        </w:rPr>
      </w:pPr>
      <w:r>
        <w:rPr>
          <w:rFonts w:eastAsia="宋体"/>
        </w:rPr>
        <w:t>8.</w:t>
      </w:r>
      <w:r>
        <w:rPr>
          <w:rFonts w:hint="eastAsia" w:eastAsia="宋体" w:cs="宋体"/>
        </w:rPr>
        <w:t>不同的竞争性磋商响应供应商的竞争性磋商响应文件由同一单位或者个人编制；</w:t>
      </w:r>
    </w:p>
    <w:p>
      <w:pPr>
        <w:snapToGrid w:val="0"/>
        <w:spacing w:line="420" w:lineRule="exact"/>
        <w:ind w:firstLine="484" w:firstLineChars="202"/>
        <w:rPr>
          <w:rFonts w:eastAsia="宋体"/>
        </w:rPr>
      </w:pPr>
      <w:r>
        <w:rPr>
          <w:rFonts w:eastAsia="宋体"/>
        </w:rPr>
        <w:t>9.</w:t>
      </w:r>
      <w:r>
        <w:rPr>
          <w:rFonts w:hint="eastAsia" w:eastAsia="宋体" w:cs="宋体"/>
        </w:rPr>
        <w:t>不同的竞争性磋商响应供应商委托同一单位或者个人办理竞争性磋商响应事宜；</w:t>
      </w:r>
    </w:p>
    <w:p>
      <w:pPr>
        <w:snapToGrid w:val="0"/>
        <w:spacing w:line="420" w:lineRule="exact"/>
        <w:ind w:firstLine="484" w:firstLineChars="202"/>
        <w:rPr>
          <w:rFonts w:eastAsia="宋体"/>
        </w:rPr>
      </w:pPr>
      <w:r>
        <w:rPr>
          <w:rFonts w:eastAsia="宋体"/>
        </w:rPr>
        <w:t>10.</w:t>
      </w:r>
      <w:r>
        <w:rPr>
          <w:rFonts w:hint="eastAsia" w:eastAsia="宋体" w:cs="宋体"/>
        </w:rPr>
        <w:t>不同的竞争性磋商响应供应商的竞争性磋商响应文件载明的项目管理成员或者联系人员为同一人；</w:t>
      </w:r>
    </w:p>
    <w:p>
      <w:pPr>
        <w:snapToGrid w:val="0"/>
        <w:spacing w:line="420" w:lineRule="exact"/>
        <w:ind w:firstLine="484" w:firstLineChars="202"/>
        <w:rPr>
          <w:rFonts w:eastAsia="宋体"/>
        </w:rPr>
      </w:pPr>
      <w:r>
        <w:rPr>
          <w:rFonts w:eastAsia="宋体"/>
        </w:rPr>
        <w:t>11.</w:t>
      </w:r>
      <w:r>
        <w:rPr>
          <w:rFonts w:hint="eastAsia" w:eastAsia="宋体" w:cs="宋体"/>
        </w:rPr>
        <w:t>不同的竞争性磋商响应供应商的竞争性磋商响应文件相互混装。</w:t>
      </w:r>
      <w:bookmarkEnd w:id="41"/>
    </w:p>
    <w:p>
      <w:pPr>
        <w:snapToGrid w:val="0"/>
        <w:spacing w:line="420" w:lineRule="exact"/>
        <w:ind w:firstLine="482" w:firstLineChars="200"/>
        <w:outlineLvl w:val="1"/>
        <w:rPr>
          <w:rFonts w:eastAsia="宋体"/>
        </w:rPr>
      </w:pPr>
      <w:r>
        <w:rPr>
          <w:rFonts w:hint="eastAsia" w:eastAsia="宋体" w:cs="宋体"/>
          <w:b/>
          <w:bCs/>
        </w:rPr>
        <w:t>七、出现下列情形之一的，采购人或者采购代理机构应当终止竞争性磋商采购活动，发布项目终止公告并说明原因，重新开展采购活动：</w:t>
      </w:r>
    </w:p>
    <w:p>
      <w:pPr>
        <w:snapToGrid w:val="0"/>
        <w:spacing w:line="420" w:lineRule="exact"/>
        <w:ind w:firstLine="484" w:firstLineChars="202"/>
        <w:rPr>
          <w:rFonts w:eastAsia="宋体"/>
        </w:rPr>
      </w:pPr>
      <w:r>
        <w:rPr>
          <w:rFonts w:eastAsia="宋体"/>
        </w:rPr>
        <w:t>1.</w:t>
      </w:r>
      <w:r>
        <w:rPr>
          <w:rFonts w:hint="eastAsia" w:eastAsia="宋体" w:cs="宋体"/>
        </w:rPr>
        <w:t>因情况变化，不再符合规定的竞争性磋商采购方式适用情形的；</w:t>
      </w:r>
    </w:p>
    <w:p>
      <w:pPr>
        <w:snapToGrid w:val="0"/>
        <w:spacing w:line="420" w:lineRule="exact"/>
        <w:ind w:firstLine="484" w:firstLineChars="202"/>
        <w:rPr>
          <w:rFonts w:eastAsia="宋体"/>
        </w:rPr>
      </w:pPr>
      <w:r>
        <w:rPr>
          <w:rFonts w:eastAsia="宋体"/>
        </w:rPr>
        <w:t>2.</w:t>
      </w:r>
      <w:r>
        <w:rPr>
          <w:rFonts w:hint="eastAsia" w:eastAsia="宋体" w:cs="宋体"/>
        </w:rPr>
        <w:t>出现影响采购公正的违法、违规行为的；</w:t>
      </w:r>
    </w:p>
    <w:p>
      <w:pPr>
        <w:snapToGrid w:val="0"/>
        <w:spacing w:line="420" w:lineRule="exact"/>
        <w:ind w:firstLine="484" w:firstLineChars="202"/>
        <w:rPr>
          <w:rFonts w:eastAsia="宋体"/>
        </w:rPr>
      </w:pPr>
      <w:r>
        <w:rPr>
          <w:rFonts w:eastAsia="宋体"/>
        </w:rPr>
        <w:t>3.</w:t>
      </w:r>
      <w:r>
        <w:rPr>
          <w:rFonts w:hint="eastAsia" w:eastAsia="宋体"/>
        </w:rPr>
        <w:t>本项目为采用竞争性磋商采购方式进行的与社会资本合作的项目，</w:t>
      </w:r>
      <w:r>
        <w:rPr>
          <w:rFonts w:hint="eastAsia" w:eastAsia="宋体" w:cs="宋体"/>
        </w:rPr>
        <w:t>在采购过程中符合要求的供应商不足</w:t>
      </w:r>
      <w:r>
        <w:rPr>
          <w:rFonts w:eastAsia="宋体"/>
        </w:rPr>
        <w:t>1</w:t>
      </w:r>
      <w:r>
        <w:rPr>
          <w:rFonts w:hint="eastAsia" w:eastAsia="宋体"/>
        </w:rPr>
        <w:t>家</w:t>
      </w:r>
      <w:r>
        <w:rPr>
          <w:rFonts w:hint="eastAsia" w:eastAsia="宋体" w:cs="宋体"/>
        </w:rPr>
        <w:t>的。</w:t>
      </w:r>
    </w:p>
    <w:p>
      <w:pPr>
        <w:snapToGrid w:val="0"/>
        <w:spacing w:line="420" w:lineRule="exact"/>
        <w:ind w:firstLine="482" w:firstLineChars="200"/>
        <w:outlineLvl w:val="1"/>
        <w:rPr>
          <w:rFonts w:eastAsia="宋体"/>
          <w:b/>
          <w:bCs/>
        </w:rPr>
      </w:pPr>
      <w:r>
        <w:rPr>
          <w:rFonts w:hint="eastAsia" w:eastAsia="宋体" w:cs="宋体"/>
          <w:b/>
          <w:bCs/>
        </w:rPr>
        <w:t>八、在采购活动中因重大变故，采购任务取消的，采购人或者采购代理机构应当终止采购活动，通知所有参加采购活动的供应商，并将项目实施情况和采购任务取消原因报送本级财政部门。</w:t>
      </w:r>
    </w:p>
    <w:p>
      <w:pPr>
        <w:snapToGrid w:val="0"/>
        <w:spacing w:line="420" w:lineRule="exact"/>
        <w:ind w:firstLine="487" w:firstLineChars="202"/>
        <w:outlineLvl w:val="1"/>
        <w:rPr>
          <w:rFonts w:eastAsia="宋体"/>
          <w:b/>
          <w:bCs/>
        </w:rPr>
      </w:pPr>
      <w:r>
        <w:rPr>
          <w:rFonts w:hint="eastAsia" w:eastAsia="宋体" w:cs="宋体"/>
          <w:b/>
          <w:bCs/>
        </w:rPr>
        <w:t>九、成交通知</w:t>
      </w:r>
    </w:p>
    <w:p>
      <w:pPr>
        <w:spacing w:line="420" w:lineRule="exact"/>
        <w:ind w:firstLine="484" w:firstLineChars="202"/>
        <w:rPr>
          <w:rFonts w:eastAsia="宋体"/>
        </w:rPr>
      </w:pPr>
      <w:r>
        <w:rPr>
          <w:rFonts w:eastAsia="宋体"/>
        </w:rPr>
        <w:t>1.</w:t>
      </w:r>
      <w:r>
        <w:rPr>
          <w:rFonts w:hint="eastAsia" w:eastAsia="宋体" w:cs="宋体"/>
        </w:rPr>
        <w:t>竞争性磋商结束后，采购人将成交结果在“南通市崇川区人民政府网公示公告栏</w:t>
      </w:r>
      <w:r>
        <w:rPr>
          <w:rFonts w:eastAsia="宋体" w:cs="宋体"/>
        </w:rPr>
        <w:t>(www.chongchuan.gov.cn)</w:t>
      </w:r>
      <w:r>
        <w:rPr>
          <w:rFonts w:hint="eastAsia" w:eastAsia="宋体" w:cs="宋体"/>
        </w:rPr>
        <w:t>”发布；</w:t>
      </w:r>
    </w:p>
    <w:p>
      <w:pPr>
        <w:spacing w:line="420" w:lineRule="exact"/>
        <w:ind w:firstLine="484" w:firstLineChars="202"/>
        <w:rPr>
          <w:rFonts w:eastAsia="宋体"/>
        </w:rPr>
      </w:pPr>
      <w:r>
        <w:rPr>
          <w:rFonts w:eastAsia="宋体"/>
        </w:rPr>
        <w:t>2.</w:t>
      </w:r>
      <w:r>
        <w:rPr>
          <w:rFonts w:hint="eastAsia" w:eastAsia="宋体" w:cs="宋体"/>
        </w:rPr>
        <w:t>成交结果公告的期限为</w:t>
      </w:r>
      <w:r>
        <w:rPr>
          <w:rFonts w:eastAsia="宋体"/>
        </w:rPr>
        <w:t>1</w:t>
      </w:r>
      <w:r>
        <w:rPr>
          <w:rFonts w:hint="eastAsia" w:eastAsia="宋体" w:cs="宋体"/>
        </w:rPr>
        <w:t>个工作日，期限结束后向成交人发出《成交通知书》。</w:t>
      </w:r>
    </w:p>
    <w:p>
      <w:pPr>
        <w:spacing w:line="420" w:lineRule="exact"/>
        <w:ind w:firstLine="484" w:firstLineChars="202"/>
        <w:rPr>
          <w:rFonts w:eastAsia="宋体" w:cs="宋体"/>
        </w:rPr>
      </w:pPr>
      <w:r>
        <w:rPr>
          <w:rFonts w:eastAsia="宋体"/>
        </w:rPr>
        <w:t>3.</w:t>
      </w:r>
      <w:r>
        <w:rPr>
          <w:rFonts w:hint="eastAsia" w:eastAsia="宋体" w:cs="宋体"/>
        </w:rPr>
        <w:t>《成交通知书》一经发出，即具有法律效力。采购人、成交人依法承担法律责任，且《成交通知书》是本项目采购合同的组成部分。</w:t>
      </w: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rPr>
          <w:rFonts w:eastAsia="宋体" w:cs="宋体"/>
          <w:b/>
          <w:bCs/>
          <w:w w:val="80"/>
          <w:sz w:val="36"/>
          <w:szCs w:val="36"/>
        </w:rPr>
      </w:pPr>
      <w:bookmarkStart w:id="42" w:name="_Toc363573858"/>
      <w:bookmarkStart w:id="43" w:name="_Toc94585343"/>
      <w:r>
        <w:rPr>
          <w:rFonts w:eastAsia="宋体" w:cs="宋体"/>
          <w:b/>
          <w:bCs/>
          <w:w w:val="80"/>
          <w:sz w:val="36"/>
          <w:szCs w:val="36"/>
        </w:rPr>
        <w:br w:type="page"/>
      </w:r>
    </w:p>
    <w:p>
      <w:pPr>
        <w:tabs>
          <w:tab w:val="left" w:pos="1050"/>
          <w:tab w:val="right" w:leader="dot" w:pos="9402"/>
        </w:tabs>
        <w:spacing w:beforeLines="100" w:line="600" w:lineRule="exact"/>
        <w:jc w:val="center"/>
        <w:outlineLvl w:val="0"/>
        <w:rPr>
          <w:rFonts w:eastAsia="宋体"/>
          <w:b/>
          <w:bCs/>
          <w:w w:val="80"/>
          <w:sz w:val="36"/>
          <w:szCs w:val="36"/>
        </w:rPr>
      </w:pPr>
      <w:r>
        <w:rPr>
          <w:rFonts w:hint="eastAsia" w:eastAsia="宋体" w:cs="宋体"/>
          <w:b/>
          <w:bCs/>
          <w:w w:val="80"/>
          <w:sz w:val="36"/>
          <w:szCs w:val="36"/>
        </w:rPr>
        <w:t>第五章</w:t>
      </w:r>
      <w:bookmarkEnd w:id="42"/>
      <w:bookmarkEnd w:id="43"/>
      <w:r>
        <w:rPr>
          <w:rFonts w:eastAsia="宋体" w:cs="宋体"/>
          <w:b/>
          <w:bCs/>
          <w:w w:val="80"/>
          <w:sz w:val="36"/>
          <w:szCs w:val="36"/>
        </w:rPr>
        <w:t xml:space="preserve">  </w:t>
      </w:r>
      <w:r>
        <w:rPr>
          <w:rFonts w:hint="eastAsia" w:eastAsia="宋体" w:cs="宋体"/>
          <w:b/>
          <w:bCs/>
          <w:w w:val="80"/>
          <w:sz w:val="36"/>
          <w:szCs w:val="36"/>
        </w:rPr>
        <w:t>合同授予</w:t>
      </w:r>
      <w:bookmarkStart w:id="44" w:name="_Toc363573859"/>
    </w:p>
    <w:p>
      <w:pPr>
        <w:spacing w:line="420" w:lineRule="exact"/>
        <w:ind w:firstLine="484" w:firstLineChars="202"/>
        <w:rPr>
          <w:rFonts w:eastAsia="宋体"/>
          <w:kern w:val="0"/>
        </w:rPr>
      </w:pPr>
      <w:r>
        <w:rPr>
          <w:rFonts w:hint="eastAsia" w:eastAsia="宋体" w:cs="宋体"/>
          <w:kern w:val="0"/>
        </w:rPr>
        <w:t>一、成交人在《成交通知书》发出送达后的</w:t>
      </w:r>
      <w:r>
        <w:rPr>
          <w:rFonts w:eastAsia="宋体"/>
          <w:kern w:val="0"/>
        </w:rPr>
        <w:t>15</w:t>
      </w:r>
      <w:r>
        <w:rPr>
          <w:rFonts w:hint="eastAsia" w:eastAsia="宋体" w:cs="宋体"/>
          <w:kern w:val="0"/>
        </w:rPr>
        <w:t>日内必须按照磋商文件确定的事项签订合作合同。</w:t>
      </w:r>
    </w:p>
    <w:p>
      <w:pPr>
        <w:spacing w:line="420" w:lineRule="exact"/>
        <w:ind w:firstLine="484" w:firstLineChars="202"/>
        <w:rPr>
          <w:rFonts w:eastAsia="宋体" w:cs="宋体"/>
          <w:kern w:val="0"/>
        </w:rPr>
      </w:pPr>
      <w:r>
        <w:rPr>
          <w:rFonts w:hint="eastAsia" w:eastAsia="宋体" w:cs="宋体"/>
          <w:kern w:val="0"/>
        </w:rPr>
        <w:t>二、所签合同不得对磋商文件作实质性修改。采购人不得向成交供应商提出不合理的要求作为签订合同的条件，不得与成交人私下订立背离磋商文件实质性内容的协议。</w:t>
      </w:r>
    </w:p>
    <w:p>
      <w:pPr>
        <w:spacing w:line="420" w:lineRule="exact"/>
        <w:ind w:firstLine="484" w:firstLineChars="202"/>
        <w:rPr>
          <w:rFonts w:eastAsia="宋体"/>
          <w:kern w:val="0"/>
        </w:rPr>
      </w:pPr>
      <w:r>
        <w:rPr>
          <w:rFonts w:hint="eastAsia" w:eastAsia="宋体"/>
          <w:kern w:val="0"/>
        </w:rPr>
        <w:t>三、合同具体内容因涉及商业秘密，其主要条款依法不在本竞争性磋商文件内提供。</w:t>
      </w:r>
    </w:p>
    <w:p>
      <w:pPr>
        <w:spacing w:line="420" w:lineRule="exact"/>
        <w:ind w:firstLine="484" w:firstLineChars="202"/>
        <w:rPr>
          <w:rFonts w:eastAsia="宋体"/>
          <w:kern w:val="0"/>
          <w:highlight w:val="yellow"/>
        </w:rPr>
      </w:pPr>
      <w:r>
        <w:rPr>
          <w:rFonts w:hint="eastAsia" w:eastAsia="宋体" w:cs="宋体"/>
          <w:kern w:val="0"/>
        </w:rPr>
        <w:t>四、采购人按合同约定积极配合成交人履约，成交人履约</w:t>
      </w:r>
      <w:r>
        <w:rPr>
          <w:rFonts w:eastAsia="宋体" w:cs="宋体"/>
          <w:kern w:val="0"/>
        </w:rPr>
        <w:t>3</w:t>
      </w:r>
      <w:r>
        <w:rPr>
          <w:rFonts w:hint="eastAsia" w:eastAsia="宋体" w:cs="宋体"/>
          <w:kern w:val="0"/>
        </w:rPr>
        <w:t>个月后，请以书面形式向采购单位提出季度考核评测申请，采购单位接到申请后原则上在</w:t>
      </w:r>
      <w:r>
        <w:rPr>
          <w:rFonts w:eastAsia="宋体"/>
          <w:kern w:val="0"/>
        </w:rPr>
        <w:t>5</w:t>
      </w:r>
      <w:r>
        <w:rPr>
          <w:rFonts w:hint="eastAsia" w:eastAsia="宋体" w:cs="宋体"/>
          <w:kern w:val="0"/>
        </w:rPr>
        <w:t>个工作日内及时组织相关专业技术人员进行考核评测，并出具考核评测报告，在考核评测合格的原则上结合财政拨款的到位情形支付相应款项。</w:t>
      </w:r>
    </w:p>
    <w:p>
      <w:pPr>
        <w:spacing w:line="420" w:lineRule="exact"/>
        <w:ind w:firstLine="484" w:firstLineChars="202"/>
        <w:rPr>
          <w:rFonts w:eastAsia="宋体"/>
          <w:kern w:val="0"/>
        </w:rPr>
      </w:pPr>
      <w:r>
        <w:rPr>
          <w:rFonts w:hint="eastAsia" w:eastAsia="宋体" w:cs="宋体"/>
          <w:kern w:val="0"/>
        </w:rPr>
        <w:t>五、采购人故意推迟项目考核评测时间的，与成交人串通或要求成交人通过减少服务量或降低服务标准的，在履行合同中采取更改或调换服务内容等手段的，要求成交人出具虚假发票或任意更改销售发票，谋取不正当利益的，承担相应的法律责任。</w:t>
      </w:r>
    </w:p>
    <w:p>
      <w:pPr>
        <w:spacing w:line="420" w:lineRule="exact"/>
        <w:ind w:firstLine="484" w:firstLineChars="202"/>
        <w:rPr>
          <w:rFonts w:eastAsia="宋体"/>
          <w:kern w:val="0"/>
        </w:rPr>
      </w:pPr>
      <w:r>
        <w:rPr>
          <w:rFonts w:hint="eastAsia" w:eastAsia="宋体" w:cs="宋体"/>
          <w:kern w:val="0"/>
        </w:rPr>
        <w:t>六、成交人出现违约情形，应当及时纠正或补偿；造成损失的，按合同约定追究违约责任；发现有商业贿赂等违法情形的，应由采购人移交工商、质监、公安等行政执法部门依法查处。</w:t>
      </w:r>
    </w:p>
    <w:p>
      <w:pPr>
        <w:spacing w:line="420" w:lineRule="exact"/>
        <w:ind w:firstLine="484" w:firstLineChars="202"/>
        <w:rPr>
          <w:rFonts w:eastAsia="宋体"/>
          <w:kern w:val="0"/>
        </w:rPr>
      </w:pPr>
      <w:r>
        <w:rPr>
          <w:rFonts w:hint="eastAsia" w:eastAsia="宋体" w:cs="宋体"/>
          <w:kern w:val="0"/>
        </w:rPr>
        <w:t>七、采购人须按合同约定，支付合同履约的服务款。</w:t>
      </w:r>
    </w:p>
    <w:p>
      <w:pPr>
        <w:spacing w:line="420" w:lineRule="exact"/>
        <w:ind w:firstLine="484" w:firstLineChars="202"/>
        <w:rPr>
          <w:rFonts w:eastAsia="宋体"/>
          <w:kern w:val="0"/>
        </w:rPr>
      </w:pPr>
      <w:r>
        <w:rPr>
          <w:rFonts w:hint="eastAsia" w:eastAsia="宋体" w:cs="宋体"/>
          <w:kern w:val="0"/>
        </w:rPr>
        <w:t>八、不响应付款方式的，视同响应文件无效，按无效响应文件处理。</w:t>
      </w:r>
    </w:p>
    <w:p>
      <w:pPr>
        <w:spacing w:line="420" w:lineRule="exact"/>
        <w:ind w:firstLine="484" w:firstLineChars="202"/>
        <w:rPr>
          <w:rFonts w:eastAsia="宋体" w:cs="宋体"/>
          <w:kern w:val="0"/>
        </w:rPr>
      </w:pPr>
      <w:r>
        <w:rPr>
          <w:rFonts w:hint="eastAsia" w:eastAsia="宋体" w:cs="宋体"/>
          <w:kern w:val="0"/>
        </w:rPr>
        <w:t>九、合同项目涉及支付的服务价款不计息。</w:t>
      </w:r>
    </w:p>
    <w:p>
      <w:pPr>
        <w:spacing w:line="420" w:lineRule="exact"/>
        <w:ind w:firstLine="484" w:firstLineChars="202"/>
        <w:rPr>
          <w:rFonts w:eastAsia="宋体" w:cs="宋体"/>
          <w:kern w:val="0"/>
        </w:rPr>
      </w:pPr>
    </w:p>
    <w:p>
      <w:pPr>
        <w:spacing w:line="420" w:lineRule="exact"/>
        <w:ind w:firstLine="484" w:firstLineChars="202"/>
        <w:rPr>
          <w:rFonts w:eastAsia="宋体" w:cs="宋体"/>
          <w:kern w:val="0"/>
        </w:rPr>
      </w:pPr>
    </w:p>
    <w:p>
      <w:pPr>
        <w:spacing w:line="420" w:lineRule="exact"/>
        <w:ind w:firstLine="484" w:firstLineChars="202"/>
        <w:rPr>
          <w:rFonts w:eastAsia="宋体" w:cs="宋体"/>
          <w:kern w:val="0"/>
        </w:rPr>
      </w:pPr>
    </w:p>
    <w:p>
      <w:pPr>
        <w:spacing w:line="420" w:lineRule="exact"/>
        <w:ind w:firstLine="484" w:firstLineChars="202"/>
        <w:rPr>
          <w:rFonts w:eastAsia="宋体" w:cs="宋体"/>
          <w:kern w:val="0"/>
        </w:rPr>
      </w:pPr>
    </w:p>
    <w:p>
      <w:pPr>
        <w:spacing w:line="420" w:lineRule="exact"/>
        <w:ind w:firstLine="484" w:firstLineChars="202"/>
        <w:rPr>
          <w:rFonts w:eastAsia="宋体" w:cs="宋体"/>
          <w:kern w:val="0"/>
        </w:rPr>
      </w:pPr>
    </w:p>
    <w:p>
      <w:pPr>
        <w:spacing w:line="420" w:lineRule="exact"/>
        <w:ind w:firstLine="484" w:firstLineChars="202"/>
        <w:rPr>
          <w:rFonts w:eastAsia="宋体" w:cs="宋体"/>
          <w:kern w:val="0"/>
        </w:rPr>
      </w:pPr>
    </w:p>
    <w:p>
      <w:pPr>
        <w:spacing w:line="420" w:lineRule="exact"/>
        <w:ind w:firstLine="484" w:firstLineChars="202"/>
        <w:rPr>
          <w:rFonts w:eastAsia="宋体" w:cs="宋体"/>
          <w:kern w:val="0"/>
        </w:rPr>
      </w:pPr>
    </w:p>
    <w:p>
      <w:pPr>
        <w:spacing w:line="420" w:lineRule="exact"/>
        <w:ind w:firstLine="484" w:firstLineChars="202"/>
        <w:rPr>
          <w:rFonts w:eastAsia="宋体" w:cs="宋体"/>
          <w:kern w:val="0"/>
        </w:rPr>
      </w:pPr>
    </w:p>
    <w:p>
      <w:pPr>
        <w:spacing w:line="420" w:lineRule="exact"/>
        <w:ind w:firstLine="484" w:firstLineChars="202"/>
        <w:rPr>
          <w:rFonts w:eastAsia="宋体" w:cs="宋体"/>
          <w:kern w:val="0"/>
        </w:rPr>
      </w:pPr>
    </w:p>
    <w:p>
      <w:pPr>
        <w:spacing w:line="420" w:lineRule="exact"/>
        <w:ind w:firstLine="484" w:firstLineChars="202"/>
        <w:rPr>
          <w:rFonts w:eastAsia="宋体" w:cs="宋体"/>
          <w:kern w:val="0"/>
        </w:rPr>
      </w:pPr>
    </w:p>
    <w:p>
      <w:pPr>
        <w:spacing w:line="420" w:lineRule="exact"/>
        <w:ind w:firstLine="484" w:firstLineChars="202"/>
        <w:rPr>
          <w:rFonts w:eastAsia="宋体" w:cs="宋体"/>
          <w:kern w:val="0"/>
        </w:rPr>
      </w:pPr>
    </w:p>
    <w:p>
      <w:pPr>
        <w:spacing w:line="420" w:lineRule="exact"/>
        <w:ind w:firstLine="484" w:firstLineChars="202"/>
        <w:rPr>
          <w:rFonts w:eastAsia="宋体" w:cs="宋体"/>
          <w:kern w:val="0"/>
        </w:rPr>
      </w:pPr>
    </w:p>
    <w:p>
      <w:pPr>
        <w:spacing w:line="420" w:lineRule="exact"/>
        <w:ind w:firstLine="484" w:firstLineChars="202"/>
        <w:rPr>
          <w:rFonts w:eastAsia="宋体" w:cs="宋体"/>
          <w:kern w:val="0"/>
        </w:rPr>
      </w:pPr>
    </w:p>
    <w:p>
      <w:pPr>
        <w:spacing w:line="420" w:lineRule="exact"/>
        <w:ind w:firstLine="484" w:firstLineChars="202"/>
        <w:rPr>
          <w:rFonts w:eastAsia="宋体" w:cs="宋体"/>
          <w:kern w:val="0"/>
        </w:rPr>
      </w:pPr>
    </w:p>
    <w:p>
      <w:pPr>
        <w:spacing w:line="420" w:lineRule="exact"/>
        <w:ind w:firstLine="484" w:firstLineChars="202"/>
        <w:rPr>
          <w:rFonts w:eastAsia="宋体" w:cs="宋体"/>
          <w:kern w:val="0"/>
        </w:rPr>
      </w:pPr>
    </w:p>
    <w:p>
      <w:pPr>
        <w:spacing w:line="420" w:lineRule="exact"/>
        <w:ind w:firstLine="484" w:firstLineChars="202"/>
        <w:rPr>
          <w:rFonts w:eastAsia="宋体" w:cs="宋体"/>
          <w:kern w:val="0"/>
        </w:rPr>
      </w:pPr>
    </w:p>
    <w:p>
      <w:pPr>
        <w:tabs>
          <w:tab w:val="left" w:pos="1050"/>
          <w:tab w:val="right" w:leader="dot" w:pos="9402"/>
        </w:tabs>
        <w:spacing w:beforeLines="100" w:line="600" w:lineRule="exact"/>
        <w:jc w:val="center"/>
        <w:outlineLvl w:val="0"/>
        <w:rPr>
          <w:rFonts w:eastAsia="宋体"/>
          <w:b/>
          <w:bCs/>
          <w:w w:val="80"/>
          <w:sz w:val="36"/>
          <w:szCs w:val="36"/>
        </w:rPr>
      </w:pPr>
      <w:r>
        <w:rPr>
          <w:rFonts w:hint="eastAsia" w:eastAsia="宋体" w:cs="宋体"/>
          <w:b/>
          <w:bCs/>
          <w:w w:val="80"/>
          <w:sz w:val="36"/>
          <w:szCs w:val="36"/>
        </w:rPr>
        <w:t>第六章</w:t>
      </w:r>
      <w:r>
        <w:rPr>
          <w:rFonts w:eastAsia="宋体" w:cs="宋体"/>
          <w:b/>
          <w:bCs/>
          <w:w w:val="80"/>
          <w:sz w:val="36"/>
          <w:szCs w:val="36"/>
        </w:rPr>
        <w:t xml:space="preserve">  </w:t>
      </w:r>
      <w:r>
        <w:rPr>
          <w:rFonts w:hint="eastAsia" w:eastAsia="宋体" w:cs="宋体"/>
          <w:b/>
          <w:bCs/>
          <w:w w:val="80"/>
          <w:sz w:val="36"/>
          <w:szCs w:val="36"/>
        </w:rPr>
        <w:t>质疑与投诉</w:t>
      </w:r>
      <w:bookmarkEnd w:id="44"/>
    </w:p>
    <w:p>
      <w:pPr>
        <w:spacing w:line="420" w:lineRule="exact"/>
        <w:ind w:firstLine="487" w:firstLineChars="202"/>
        <w:rPr>
          <w:rFonts w:eastAsia="宋体" w:cs="宋体"/>
          <w:b/>
          <w:bCs/>
        </w:rPr>
      </w:pPr>
      <w:bookmarkStart w:id="45" w:name="_Hlk69860264"/>
      <w:r>
        <w:rPr>
          <w:rFonts w:hint="eastAsia" w:eastAsia="宋体" w:cs="宋体"/>
          <w:b/>
          <w:bCs/>
          <w:u w:val="thick" w:color="FF0000"/>
        </w:rPr>
        <w:t>格式请在南通市崇川区人民政府网（</w:t>
      </w:r>
      <w:r>
        <w:rPr>
          <w:rFonts w:eastAsia="宋体"/>
          <w:b/>
          <w:bCs/>
          <w:u w:val="thick" w:color="FF0000"/>
        </w:rPr>
        <w:t>http://www.chongchuan.gov.cn/</w:t>
      </w:r>
      <w:r>
        <w:rPr>
          <w:rFonts w:hint="eastAsia" w:eastAsia="宋体" w:cs="宋体"/>
          <w:b/>
          <w:bCs/>
          <w:u w:val="thick" w:color="FF0000"/>
        </w:rPr>
        <w:t>）→政府采购工程招标板块→</w:t>
      </w:r>
      <w:r>
        <w:rPr>
          <w:rFonts w:eastAsia="宋体"/>
          <w:b/>
          <w:bCs/>
          <w:u w:val="thick" w:color="FF0000"/>
        </w:rPr>
        <w:t>“</w:t>
      </w:r>
      <w:r>
        <w:rPr>
          <w:rFonts w:hint="eastAsia" w:eastAsia="宋体" w:cs="宋体"/>
          <w:b/>
          <w:bCs/>
          <w:u w:val="thick" w:color="FF0000"/>
        </w:rPr>
        <w:t>下载中心→质疑函</w:t>
      </w:r>
      <w:r>
        <w:rPr>
          <w:rFonts w:eastAsia="宋体"/>
          <w:b/>
          <w:bCs/>
          <w:u w:val="thick" w:color="FF0000"/>
        </w:rPr>
        <w:t>”</w:t>
      </w:r>
      <w:r>
        <w:rPr>
          <w:rFonts w:hint="eastAsia" w:eastAsia="宋体" w:cs="宋体"/>
          <w:b/>
          <w:bCs/>
          <w:u w:val="thick" w:color="FF0000"/>
        </w:rPr>
        <w:t>下载</w:t>
      </w:r>
      <w:r>
        <w:rPr>
          <w:rFonts w:hint="eastAsia" w:eastAsia="宋体" w:cs="宋体"/>
          <w:b/>
          <w:bCs/>
        </w:rPr>
        <w:t>。</w:t>
      </w:r>
      <w:bookmarkEnd w:id="45"/>
    </w:p>
    <w:p>
      <w:pPr>
        <w:spacing w:line="420" w:lineRule="exact"/>
        <w:ind w:firstLine="487" w:firstLineChars="202"/>
        <w:outlineLvl w:val="1"/>
        <w:rPr>
          <w:rFonts w:eastAsia="宋体"/>
        </w:rPr>
      </w:pPr>
      <w:r>
        <w:rPr>
          <w:rFonts w:hint="eastAsia" w:eastAsia="宋体" w:cs="宋体"/>
          <w:b/>
          <w:bCs/>
          <w:kern w:val="0"/>
        </w:rPr>
        <w:t>一、质疑的提出</w:t>
      </w:r>
    </w:p>
    <w:p>
      <w:pPr>
        <w:spacing w:line="420" w:lineRule="exact"/>
        <w:ind w:firstLine="484" w:firstLineChars="202"/>
        <w:rPr>
          <w:rFonts w:eastAsia="宋体"/>
        </w:rPr>
      </w:pPr>
      <w:r>
        <w:rPr>
          <w:rFonts w:eastAsia="宋体"/>
        </w:rPr>
        <w:t>1.</w:t>
      </w:r>
      <w:r>
        <w:rPr>
          <w:rFonts w:hint="eastAsia" w:eastAsia="宋体" w:cs="宋体"/>
        </w:rPr>
        <w:t>质疑人必须是直接参加本次磋商活动的当事人。</w:t>
      </w:r>
    </w:p>
    <w:p>
      <w:pPr>
        <w:spacing w:line="420" w:lineRule="exact"/>
        <w:ind w:firstLine="484" w:firstLineChars="202"/>
        <w:rPr>
          <w:rFonts w:eastAsia="宋体" w:cs="宋体"/>
        </w:rPr>
      </w:pPr>
      <w:r>
        <w:rPr>
          <w:rFonts w:eastAsia="宋体"/>
        </w:rPr>
        <w:t>2.</w:t>
      </w:r>
      <w:r>
        <w:rPr>
          <w:rFonts w:hint="eastAsia" w:eastAsia="宋体" w:cs="宋体"/>
        </w:rPr>
        <w:t>下载磋商文件的供应商应根据第二章</w:t>
      </w:r>
      <w:r>
        <w:rPr>
          <w:rFonts w:eastAsia="宋体"/>
        </w:rPr>
        <w:t>“</w:t>
      </w:r>
      <w:r>
        <w:rPr>
          <w:rFonts w:hint="eastAsia" w:eastAsia="宋体" w:cs="宋体"/>
        </w:rPr>
        <w:t>竞争性磋商响应供应商须知</w:t>
      </w:r>
      <w:r>
        <w:rPr>
          <w:rFonts w:eastAsia="宋体"/>
        </w:rPr>
        <w:t>”</w:t>
      </w:r>
      <w:r>
        <w:rPr>
          <w:rFonts w:hint="eastAsia" w:eastAsia="宋体" w:cs="宋体"/>
        </w:rPr>
        <w:t>中第一条第</w:t>
      </w:r>
      <w:r>
        <w:rPr>
          <w:rFonts w:eastAsia="宋体"/>
        </w:rPr>
        <w:t>4</w:t>
      </w:r>
      <w:r>
        <w:rPr>
          <w:rFonts w:hint="eastAsia" w:eastAsia="宋体" w:cs="宋体"/>
        </w:rPr>
        <w:t>点的约定提出；竞争性磋商响应文件接收截止后，供应商未进行磋商登记的，不能就竞争性磋商响应文件接收截止后的招投标过程、成交结果提出质疑；在磋商过程中，凡主持人或评估小组明确提出须由供应商确认的事项，供应商当场无异议的，事后不得提出质疑。</w:t>
      </w:r>
    </w:p>
    <w:p>
      <w:pPr>
        <w:spacing w:line="420" w:lineRule="exact"/>
        <w:ind w:firstLine="484" w:firstLineChars="202"/>
        <w:rPr>
          <w:rFonts w:eastAsia="宋体"/>
        </w:rPr>
      </w:pPr>
      <w:r>
        <w:rPr>
          <w:rFonts w:hint="eastAsia" w:eastAsia="宋体"/>
        </w:rPr>
        <w:t>对采购过程、中标或者成交结果使自己的权益受到损害的，可以在知道或者应知其权益受到损害之日起</w:t>
      </w:r>
      <w:r>
        <w:rPr>
          <w:rFonts w:eastAsia="宋体"/>
        </w:rPr>
        <w:t>7</w:t>
      </w:r>
      <w:r>
        <w:rPr>
          <w:rFonts w:hint="eastAsia" w:eastAsia="宋体"/>
        </w:rPr>
        <w:t>个工作日内，以书面形式向采购人、采购代理机构提出质疑。</w:t>
      </w:r>
    </w:p>
    <w:p>
      <w:pPr>
        <w:spacing w:line="420" w:lineRule="exact"/>
        <w:ind w:firstLine="484" w:firstLineChars="202"/>
        <w:rPr>
          <w:rFonts w:eastAsia="宋体"/>
        </w:rPr>
      </w:pPr>
      <w:r>
        <w:rPr>
          <w:rFonts w:hint="eastAsia" w:eastAsia="宋体"/>
        </w:rPr>
        <w:t>供应商应当在法定质疑期内一次性提出针对同一采购程序环节的质疑。</w:t>
      </w:r>
    </w:p>
    <w:p>
      <w:pPr>
        <w:spacing w:line="420" w:lineRule="exact"/>
        <w:ind w:firstLine="484" w:firstLineChars="202"/>
        <w:rPr>
          <w:rFonts w:eastAsia="宋体"/>
        </w:rPr>
      </w:pPr>
      <w:r>
        <w:rPr>
          <w:rFonts w:eastAsia="宋体"/>
        </w:rPr>
        <w:t>3.</w:t>
      </w:r>
      <w:r>
        <w:rPr>
          <w:rFonts w:hint="eastAsia" w:eastAsia="宋体" w:cs="宋体"/>
        </w:rPr>
        <w:t>提出质疑时，必须坚持</w:t>
      </w:r>
      <w:r>
        <w:rPr>
          <w:rFonts w:eastAsia="宋体"/>
        </w:rPr>
        <w:t>“</w:t>
      </w:r>
      <w:r>
        <w:rPr>
          <w:rFonts w:hint="eastAsia" w:eastAsia="宋体" w:cs="宋体"/>
        </w:rPr>
        <w:t>谁主张，谁举证</w:t>
      </w:r>
      <w:r>
        <w:rPr>
          <w:rFonts w:eastAsia="宋体"/>
        </w:rPr>
        <w:t>”</w:t>
      </w:r>
      <w:r>
        <w:rPr>
          <w:rFonts w:hint="eastAsia" w:eastAsia="宋体" w:cs="宋体"/>
        </w:rPr>
        <w:t>、</w:t>
      </w:r>
      <w:r>
        <w:rPr>
          <w:rFonts w:eastAsia="宋体"/>
        </w:rPr>
        <w:t>“</w:t>
      </w:r>
      <w:r>
        <w:rPr>
          <w:rFonts w:hint="eastAsia" w:eastAsia="宋体" w:cs="宋体"/>
        </w:rPr>
        <w:t>实事求是</w:t>
      </w:r>
      <w:r>
        <w:rPr>
          <w:rFonts w:eastAsia="宋体"/>
        </w:rPr>
        <w:t>”</w:t>
      </w:r>
      <w:r>
        <w:rPr>
          <w:rFonts w:hint="eastAsia" w:eastAsia="宋体" w:cs="宋体"/>
        </w:rPr>
        <w:t>的原则，不能臆测。属于须由法定部门调查、侦查或先行作出相关认定的事项，质疑人应当依法申请具有法定职权的部门查清、认定，并将相关结果提供给采购单位或采购代理机构。采购单位或采购代理机构不具有法定调查、认定权限。</w:t>
      </w:r>
    </w:p>
    <w:p>
      <w:pPr>
        <w:spacing w:line="420" w:lineRule="exact"/>
        <w:ind w:firstLine="484" w:firstLineChars="202"/>
        <w:rPr>
          <w:rFonts w:eastAsia="宋体"/>
        </w:rPr>
      </w:pPr>
      <w:r>
        <w:rPr>
          <w:rFonts w:eastAsia="宋体"/>
        </w:rPr>
        <w:t>4.</w:t>
      </w:r>
      <w:r>
        <w:rPr>
          <w:rFonts w:hint="eastAsia" w:eastAsia="宋体" w:cs="宋体"/>
        </w:rPr>
        <w:t>对本次招标有质疑的，实行实名制，不得进行虚假、恶意质疑。质疑人应在质疑有效期内以书面形式提出《质疑函》（格式请在“南通市崇川区人民政府网→政府采购与工程招标→下载中心”栏内下载），《质疑函》内容应包括质疑事项、主要内容、事实依据、适应法规条款、佐证材料等。同时，质疑人应保证其提出的质疑内容及相关佐证材料的真实性及来源的合法性，并承担相应的法律责任。</w:t>
      </w:r>
    </w:p>
    <w:p>
      <w:pPr>
        <w:spacing w:line="420" w:lineRule="exact"/>
        <w:ind w:firstLine="484" w:firstLineChars="202"/>
        <w:rPr>
          <w:rFonts w:eastAsia="宋体"/>
        </w:rPr>
      </w:pPr>
      <w:r>
        <w:rPr>
          <w:rFonts w:hint="eastAsia" w:eastAsia="宋体" w:cs="宋体"/>
        </w:rPr>
        <w:t>对不能提供相关佐证材料的、涉及商业秘密的、非书面形式的、非送达的、匿名的《质疑函》将不予受理。</w:t>
      </w:r>
    </w:p>
    <w:p>
      <w:pPr>
        <w:spacing w:line="420" w:lineRule="exact"/>
        <w:ind w:firstLine="484" w:firstLineChars="202"/>
        <w:rPr>
          <w:rFonts w:eastAsia="宋体"/>
        </w:rPr>
      </w:pPr>
      <w:r>
        <w:rPr>
          <w:rFonts w:hint="eastAsia" w:eastAsia="宋体" w:cs="宋体"/>
        </w:rPr>
        <w:t>相关佐证材料要具备客观性、关联性、合法性，无法查实的（如宣传册、媒体报道、猜测、推理等）不能作为佐证材料。</w:t>
      </w:r>
    </w:p>
    <w:p>
      <w:pPr>
        <w:spacing w:line="420" w:lineRule="exact"/>
        <w:ind w:firstLine="484" w:firstLineChars="202"/>
        <w:rPr>
          <w:rFonts w:eastAsia="宋体"/>
        </w:rPr>
      </w:pPr>
      <w:r>
        <w:rPr>
          <w:rFonts w:hint="eastAsia" w:eastAsia="宋体" w:cs="宋体"/>
        </w:rPr>
        <w:t>采购单位或采购代理机构不负责搜集相关佐证材料等工作。</w:t>
      </w:r>
    </w:p>
    <w:p>
      <w:pPr>
        <w:spacing w:line="420" w:lineRule="exact"/>
        <w:ind w:firstLine="487" w:firstLineChars="202"/>
        <w:outlineLvl w:val="1"/>
        <w:rPr>
          <w:rFonts w:eastAsia="宋体"/>
        </w:rPr>
      </w:pPr>
      <w:r>
        <w:rPr>
          <w:rFonts w:hint="eastAsia" w:eastAsia="宋体" w:cs="宋体"/>
          <w:b/>
          <w:bCs/>
          <w:kern w:val="0"/>
        </w:rPr>
        <w:t>二、《质疑函》的受理和回复</w:t>
      </w:r>
    </w:p>
    <w:p>
      <w:pPr>
        <w:spacing w:line="420" w:lineRule="exact"/>
        <w:ind w:firstLine="484" w:firstLineChars="202"/>
        <w:rPr>
          <w:rFonts w:eastAsia="宋体"/>
        </w:rPr>
      </w:pPr>
      <w:r>
        <w:rPr>
          <w:rFonts w:eastAsia="宋体"/>
        </w:rPr>
        <w:t>1</w:t>
      </w:r>
      <w:r>
        <w:rPr>
          <w:rFonts w:hint="eastAsia" w:eastAsia="宋体" w:cs="宋体"/>
        </w:rPr>
        <w:t>、《质疑函》须由质疑人的法定代表人或参加本次磋商被授权人送达采购单位和采购代理机构。</w:t>
      </w:r>
    </w:p>
    <w:p>
      <w:pPr>
        <w:spacing w:line="420" w:lineRule="exact"/>
        <w:ind w:firstLine="484" w:firstLineChars="202"/>
        <w:rPr>
          <w:rFonts w:eastAsia="宋体"/>
        </w:rPr>
      </w:pPr>
      <w:r>
        <w:rPr>
          <w:rFonts w:eastAsia="宋体"/>
        </w:rPr>
        <w:t>2</w:t>
      </w:r>
      <w:r>
        <w:rPr>
          <w:rFonts w:hint="eastAsia" w:eastAsia="宋体" w:cs="宋体"/>
        </w:rPr>
        <w:t>、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pPr>
        <w:spacing w:line="420" w:lineRule="exact"/>
        <w:ind w:firstLine="484" w:firstLineChars="202"/>
        <w:rPr>
          <w:rFonts w:eastAsia="宋体"/>
        </w:rPr>
      </w:pPr>
      <w:r>
        <w:rPr>
          <w:rFonts w:eastAsia="宋体"/>
        </w:rPr>
        <w:t>3</w:t>
      </w:r>
      <w:r>
        <w:rPr>
          <w:rFonts w:hint="eastAsia" w:eastAsia="宋体" w:cs="宋体"/>
        </w:rPr>
        <w:t>、对不符合提出质疑要求的，出具《质疑退回通知书》并提出相关补充材料要求，质疑人未在规定的时间内提供补充佐证材料的，视同放弃质疑。</w:t>
      </w:r>
    </w:p>
    <w:p>
      <w:pPr>
        <w:spacing w:line="420" w:lineRule="exact"/>
        <w:ind w:firstLine="484" w:firstLineChars="202"/>
        <w:rPr>
          <w:rFonts w:eastAsia="宋体"/>
        </w:rPr>
      </w:pPr>
      <w:r>
        <w:rPr>
          <w:rFonts w:eastAsia="宋体"/>
        </w:rPr>
        <w:t>4</w:t>
      </w:r>
      <w:r>
        <w:rPr>
          <w:rFonts w:hint="eastAsia" w:eastAsia="宋体" w:cs="宋体"/>
        </w:rPr>
        <w:t>、采购单位、采购代理机构负责将质疑人提出的质疑相关材料提供给相关专家或评估小组审核，并将审核意见回复质疑人。</w:t>
      </w:r>
    </w:p>
    <w:p>
      <w:pPr>
        <w:spacing w:line="420" w:lineRule="exact"/>
        <w:ind w:firstLine="484" w:firstLineChars="202"/>
        <w:rPr>
          <w:rFonts w:eastAsia="宋体"/>
        </w:rPr>
      </w:pPr>
      <w:r>
        <w:rPr>
          <w:rFonts w:hint="eastAsia" w:eastAsia="宋体" w:cs="宋体"/>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spacing w:line="420" w:lineRule="exact"/>
        <w:ind w:firstLine="484" w:firstLineChars="202"/>
        <w:rPr>
          <w:rFonts w:eastAsia="宋体"/>
        </w:rPr>
      </w:pPr>
      <w:r>
        <w:rPr>
          <w:rFonts w:eastAsia="宋体"/>
        </w:rPr>
        <w:t>5</w:t>
      </w:r>
      <w:r>
        <w:rPr>
          <w:rFonts w:hint="eastAsia" w:eastAsia="宋体" w:cs="宋体"/>
        </w:rPr>
        <w:t>、因质疑情况复杂，组织论证或审查时间较长的，采购单位、采购代理机构以书面形式通知质疑人，可适当延长质疑回复处理时间。</w:t>
      </w:r>
    </w:p>
    <w:p>
      <w:pPr>
        <w:spacing w:line="420" w:lineRule="exact"/>
        <w:ind w:firstLine="487" w:firstLineChars="202"/>
        <w:outlineLvl w:val="1"/>
        <w:rPr>
          <w:rFonts w:eastAsia="宋体"/>
        </w:rPr>
      </w:pPr>
      <w:r>
        <w:rPr>
          <w:rFonts w:hint="eastAsia" w:eastAsia="宋体" w:cs="宋体"/>
          <w:b/>
          <w:bCs/>
          <w:kern w:val="0"/>
        </w:rPr>
        <w:t>三、质疑处理</w:t>
      </w:r>
    </w:p>
    <w:p>
      <w:pPr>
        <w:spacing w:line="420" w:lineRule="exact"/>
        <w:ind w:firstLine="484" w:firstLineChars="202"/>
        <w:rPr>
          <w:rFonts w:eastAsia="宋体"/>
        </w:rPr>
      </w:pPr>
      <w:r>
        <w:rPr>
          <w:rFonts w:eastAsia="宋体"/>
        </w:rPr>
        <w:t>1</w:t>
      </w:r>
      <w:r>
        <w:rPr>
          <w:rFonts w:hint="eastAsia" w:eastAsia="宋体" w:cs="宋体"/>
        </w:rPr>
        <w:t>、质疑成立的处理。采购单位或采购代理机构终止采购，并建议有关部门给相关当事人予以处理。</w:t>
      </w:r>
    </w:p>
    <w:p>
      <w:pPr>
        <w:spacing w:line="420" w:lineRule="exact"/>
        <w:ind w:firstLine="484" w:firstLineChars="202"/>
        <w:rPr>
          <w:rFonts w:eastAsia="宋体"/>
        </w:rPr>
      </w:pPr>
      <w:r>
        <w:rPr>
          <w:rFonts w:eastAsia="宋体"/>
        </w:rPr>
        <w:t>2</w:t>
      </w:r>
      <w:r>
        <w:rPr>
          <w:rFonts w:hint="eastAsia" w:eastAsia="宋体" w:cs="宋体"/>
        </w:rPr>
        <w:t>、质疑不成立的处理。</w:t>
      </w:r>
    </w:p>
    <w:p>
      <w:pPr>
        <w:spacing w:line="420" w:lineRule="exact"/>
        <w:ind w:firstLine="484" w:firstLineChars="202"/>
        <w:rPr>
          <w:rFonts w:eastAsia="宋体"/>
        </w:rPr>
      </w:pPr>
      <w:r>
        <w:rPr>
          <w:rFonts w:eastAsia="宋体"/>
        </w:rPr>
        <w:t>1</w:t>
      </w:r>
      <w:r>
        <w:rPr>
          <w:rFonts w:hint="eastAsia" w:eastAsia="宋体" w:cs="宋体"/>
        </w:rPr>
        <w:t>）质疑人书面《申请撤回质疑函》的，不作违约处理。</w:t>
      </w:r>
    </w:p>
    <w:p>
      <w:pPr>
        <w:spacing w:line="420" w:lineRule="exact"/>
        <w:ind w:firstLine="484" w:firstLineChars="202"/>
        <w:rPr>
          <w:rFonts w:eastAsia="宋体"/>
        </w:rPr>
      </w:pPr>
      <w:r>
        <w:rPr>
          <w:rFonts w:eastAsia="宋体"/>
        </w:rPr>
        <w:t>2</w:t>
      </w:r>
      <w:r>
        <w:rPr>
          <w:rFonts w:hint="eastAsia" w:eastAsia="宋体" w:cs="宋体"/>
        </w:rPr>
        <w:t>）质疑人在规定的时间内不配合进行质疑调查处理的，按自动撤回《质疑函》处理。</w:t>
      </w:r>
    </w:p>
    <w:p>
      <w:pPr>
        <w:spacing w:line="420" w:lineRule="exact"/>
        <w:ind w:firstLine="484" w:firstLineChars="202"/>
        <w:rPr>
          <w:rFonts w:eastAsia="宋体"/>
        </w:rPr>
      </w:pPr>
      <w:r>
        <w:rPr>
          <w:rFonts w:eastAsia="宋体"/>
        </w:rPr>
        <w:t>3</w:t>
      </w:r>
      <w:r>
        <w:rPr>
          <w:rFonts w:hint="eastAsia" w:eastAsia="宋体" w:cs="宋体"/>
        </w:rPr>
        <w:t>）质疑人不按《质疑函》格式就提出质疑的，作违约处理。同时，视情列入不良供应商名单。</w:t>
      </w:r>
    </w:p>
    <w:p>
      <w:pPr>
        <w:spacing w:line="420" w:lineRule="exact"/>
        <w:ind w:firstLine="484" w:firstLineChars="202"/>
        <w:rPr>
          <w:rFonts w:eastAsia="宋体"/>
        </w:rPr>
      </w:pPr>
      <w:r>
        <w:rPr>
          <w:rFonts w:eastAsia="宋体"/>
        </w:rPr>
        <w:t>4</w:t>
      </w:r>
      <w:r>
        <w:rPr>
          <w:rFonts w:hint="eastAsia" w:eastAsia="宋体" w:cs="宋体"/>
        </w:rPr>
        <w:t>）质疑人虽提供了相关佐证材料，但不能证明其质疑成立的，采购单位或采购代理机构请质疑人补充相关佐证材料，仍不能证明其质疑成立的，作违约处理。并将其列入不良供应商名单。</w:t>
      </w:r>
    </w:p>
    <w:p>
      <w:pPr>
        <w:spacing w:line="420" w:lineRule="exact"/>
        <w:ind w:firstLine="484" w:firstLineChars="202"/>
        <w:rPr>
          <w:rFonts w:eastAsia="宋体"/>
        </w:rPr>
      </w:pPr>
      <w:r>
        <w:rPr>
          <w:rFonts w:eastAsia="宋体"/>
        </w:rPr>
        <w:t>5</w:t>
      </w:r>
      <w:r>
        <w:rPr>
          <w:rFonts w:hint="eastAsia" w:eastAsia="宋体" w:cs="宋体"/>
        </w:rPr>
        <w:t>）质疑人不能提供相关佐证材料的，采购单位、采购代理机构已指出，质疑人仍然坚持提出质疑的，作违约处理。同时，列入不良供应商名单。</w:t>
      </w:r>
    </w:p>
    <w:p>
      <w:pPr>
        <w:spacing w:line="420" w:lineRule="exact"/>
        <w:ind w:firstLine="484" w:firstLineChars="202"/>
        <w:rPr>
          <w:rFonts w:eastAsia="宋体"/>
        </w:rPr>
      </w:pPr>
      <w:r>
        <w:rPr>
          <w:rFonts w:eastAsia="宋体"/>
        </w:rPr>
        <w:t>6</w:t>
      </w:r>
      <w:r>
        <w:rPr>
          <w:rFonts w:hint="eastAsia" w:eastAsia="宋体" w:cs="宋体"/>
        </w:rPr>
        <w:t>）对明显有违事实的、经相关专家或评审小组认定无依据的、经其他供应商举证无依据的质疑，作违约处理，列入不良供应商名单；同时，对其中每一项不成立的质疑给予质疑人</w:t>
      </w:r>
      <w:r>
        <w:rPr>
          <w:rFonts w:eastAsia="宋体"/>
        </w:rPr>
        <w:t>1</w:t>
      </w:r>
      <w:r>
        <w:rPr>
          <w:rFonts w:hint="eastAsia" w:eastAsia="宋体" w:cs="宋体"/>
        </w:rPr>
        <w:t>年内禁入本区域内的政府采购活动的违约处理，依次类推；视情在南通公共资源交易平台、省、国家级相关媒体予以披露。</w:t>
      </w:r>
    </w:p>
    <w:p>
      <w:pPr>
        <w:spacing w:line="420" w:lineRule="exact"/>
        <w:ind w:firstLine="484" w:firstLineChars="202"/>
        <w:rPr>
          <w:rFonts w:eastAsia="宋体"/>
        </w:rPr>
      </w:pPr>
      <w:r>
        <w:rPr>
          <w:rFonts w:eastAsia="宋体"/>
        </w:rPr>
        <w:t>7</w:t>
      </w:r>
      <w:r>
        <w:rPr>
          <w:rFonts w:hint="eastAsia" w:eastAsia="宋体" w:cs="宋体"/>
        </w:rPr>
        <w:t>）质疑人承担使用虚假材料或恶意方式质疑的法律责任。</w:t>
      </w:r>
    </w:p>
    <w:p>
      <w:pPr>
        <w:spacing w:line="420" w:lineRule="exact"/>
        <w:ind w:firstLine="487" w:firstLineChars="202"/>
        <w:outlineLvl w:val="1"/>
        <w:rPr>
          <w:rFonts w:eastAsia="宋体"/>
          <w:kern w:val="0"/>
        </w:rPr>
      </w:pPr>
      <w:r>
        <w:rPr>
          <w:rFonts w:hint="eastAsia" w:eastAsia="宋体" w:cs="宋体"/>
          <w:b/>
          <w:bCs/>
          <w:kern w:val="0"/>
        </w:rPr>
        <w:t>四、无佐证材料的举报作违约处理</w:t>
      </w:r>
    </w:p>
    <w:p>
      <w:pPr>
        <w:spacing w:line="420" w:lineRule="exact"/>
        <w:ind w:firstLine="484" w:firstLineChars="202"/>
        <w:rPr>
          <w:rFonts w:eastAsia="宋体"/>
        </w:rPr>
      </w:pPr>
      <w:r>
        <w:rPr>
          <w:rFonts w:hint="eastAsia" w:eastAsia="宋体" w:cs="宋体"/>
        </w:rPr>
        <w:t>供应商不得进行不提供相关佐证材料（含无法查实的如宣传册、媒体报道、猜测、推理等）向有关部门的举报，否则作违约处理。同时对其在</w:t>
      </w:r>
      <w:r>
        <w:rPr>
          <w:rFonts w:eastAsia="宋体"/>
        </w:rPr>
        <w:t>1</w:t>
      </w:r>
      <w:r>
        <w:rPr>
          <w:rFonts w:hint="eastAsia" w:eastAsia="宋体" w:cs="宋体"/>
        </w:rPr>
        <w:t>至</w:t>
      </w:r>
      <w:r>
        <w:rPr>
          <w:rFonts w:eastAsia="宋体"/>
        </w:rPr>
        <w:t>3</w:t>
      </w:r>
      <w:r>
        <w:rPr>
          <w:rFonts w:hint="eastAsia" w:eastAsia="宋体" w:cs="宋体"/>
        </w:rPr>
        <w:t>年内禁入由采购单位组织的政府采购活动的违约处理。</w:t>
      </w:r>
    </w:p>
    <w:p>
      <w:pPr>
        <w:spacing w:line="420" w:lineRule="exact"/>
        <w:ind w:firstLine="487" w:firstLineChars="202"/>
        <w:outlineLvl w:val="1"/>
        <w:rPr>
          <w:rFonts w:eastAsia="宋体"/>
        </w:rPr>
      </w:pPr>
      <w:r>
        <w:rPr>
          <w:rFonts w:hint="eastAsia" w:eastAsia="宋体" w:cs="宋体"/>
          <w:b/>
          <w:bCs/>
          <w:kern w:val="0"/>
        </w:rPr>
        <w:t>五、关于投诉</w:t>
      </w:r>
    </w:p>
    <w:p>
      <w:pPr>
        <w:spacing w:line="420" w:lineRule="exact"/>
        <w:ind w:firstLine="484" w:firstLineChars="202"/>
        <w:rPr>
          <w:rFonts w:eastAsia="宋体"/>
        </w:rPr>
      </w:pPr>
      <w:r>
        <w:rPr>
          <w:rFonts w:hint="eastAsia" w:eastAsia="宋体" w:cs="宋体"/>
        </w:rPr>
        <w:t>质疑供应商对采购单位或代理机构的答复不满意或者采购单位或代理机构未在规定的时间内作出答复的，可以在答复期满后</w:t>
      </w:r>
      <w:r>
        <w:rPr>
          <w:rFonts w:eastAsia="宋体"/>
        </w:rPr>
        <w:t>15</w:t>
      </w:r>
      <w:r>
        <w:rPr>
          <w:rFonts w:hint="eastAsia" w:eastAsia="宋体" w:cs="宋体"/>
        </w:rPr>
        <w:t>个工作日内向崇川区政府采购监督管理部门投诉。</w:t>
      </w:r>
    </w:p>
    <w:p>
      <w:pPr>
        <w:spacing w:line="420" w:lineRule="exact"/>
        <w:ind w:firstLine="487" w:firstLineChars="202"/>
        <w:outlineLvl w:val="1"/>
        <w:rPr>
          <w:rFonts w:eastAsia="宋体"/>
          <w:b/>
          <w:bCs/>
          <w:kern w:val="0"/>
        </w:rPr>
      </w:pPr>
      <w:r>
        <w:rPr>
          <w:rFonts w:hint="eastAsia" w:eastAsia="宋体" w:cs="宋体"/>
          <w:b/>
          <w:bCs/>
          <w:kern w:val="0"/>
        </w:rPr>
        <w:t>六、投诉不成立的作违约处理</w:t>
      </w:r>
    </w:p>
    <w:p>
      <w:pPr>
        <w:spacing w:line="420" w:lineRule="exact"/>
        <w:ind w:firstLine="484" w:firstLineChars="202"/>
        <w:rPr>
          <w:rFonts w:eastAsia="宋体"/>
        </w:rPr>
      </w:pPr>
      <w:r>
        <w:rPr>
          <w:rFonts w:hint="eastAsia" w:eastAsia="宋体" w:cs="宋体"/>
        </w:rPr>
        <w:t>供应商进行质疑后，采购单位回复质疑不成立，供应商仍进行投诉的，并最终投诉不成立的，作违约处理。采购单位有权对其在</w:t>
      </w:r>
      <w:r>
        <w:rPr>
          <w:rFonts w:eastAsia="宋体"/>
        </w:rPr>
        <w:t>1</w:t>
      </w:r>
      <w:r>
        <w:rPr>
          <w:rFonts w:hint="eastAsia" w:eastAsia="宋体" w:cs="宋体"/>
        </w:rPr>
        <w:t>至</w:t>
      </w:r>
      <w:r>
        <w:rPr>
          <w:rFonts w:eastAsia="宋体"/>
        </w:rPr>
        <w:t>3</w:t>
      </w:r>
      <w:r>
        <w:rPr>
          <w:rFonts w:hint="eastAsia" w:eastAsia="宋体" w:cs="宋体"/>
        </w:rPr>
        <w:t>年内禁入由采购单位组织的政府采购活动的违约处理。</w:t>
      </w:r>
    </w:p>
    <w:p>
      <w:pPr>
        <w:spacing w:line="420" w:lineRule="exact"/>
        <w:ind w:firstLine="487" w:firstLineChars="202"/>
        <w:outlineLvl w:val="1"/>
        <w:rPr>
          <w:rFonts w:eastAsia="宋体"/>
        </w:rPr>
      </w:pPr>
      <w:r>
        <w:rPr>
          <w:rFonts w:hint="eastAsia" w:eastAsia="宋体" w:cs="宋体"/>
          <w:b/>
          <w:bCs/>
          <w:kern w:val="0"/>
        </w:rPr>
        <w:t>七、</w:t>
      </w:r>
      <w:bookmarkStart w:id="46" w:name="_Hlk48749879"/>
      <w:r>
        <w:rPr>
          <w:rFonts w:hint="eastAsia" w:eastAsia="宋体" w:cs="宋体"/>
          <w:b/>
          <w:bCs/>
          <w:kern w:val="0"/>
        </w:rPr>
        <w:t>质疑、举报、投诉均不成立的等相关情况处理</w:t>
      </w:r>
      <w:bookmarkEnd w:id="46"/>
    </w:p>
    <w:p>
      <w:pPr>
        <w:spacing w:line="420" w:lineRule="exact"/>
        <w:ind w:firstLine="484" w:firstLineChars="202"/>
        <w:rPr>
          <w:rFonts w:eastAsia="宋体" w:cs="宋体"/>
        </w:rPr>
      </w:pPr>
      <w:r>
        <w:rPr>
          <w:rFonts w:hint="eastAsia" w:eastAsia="宋体" w:cs="宋体"/>
        </w:rPr>
        <w:t>质疑（《质疑函》、《质疑回复函》的事项）、举报、投诉均不成立的等相关情况处理，视情在南通公共资源交易平台、省、国家级等相关媒体予以披露。并建议相关政府采购机构对该供应商同步实施</w:t>
      </w:r>
      <w:r>
        <w:rPr>
          <w:rFonts w:eastAsia="宋体"/>
        </w:rPr>
        <w:t>1</w:t>
      </w:r>
      <w:r>
        <w:rPr>
          <w:rFonts w:hint="eastAsia" w:eastAsia="宋体" w:cs="宋体"/>
        </w:rPr>
        <w:t>至</w:t>
      </w:r>
      <w:r>
        <w:rPr>
          <w:rFonts w:eastAsia="宋体"/>
        </w:rPr>
        <w:t>3</w:t>
      </w:r>
      <w:r>
        <w:rPr>
          <w:rFonts w:hint="eastAsia" w:eastAsia="宋体" w:cs="宋体"/>
        </w:rPr>
        <w:t>年内禁入。</w:t>
      </w: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spacing w:line="420" w:lineRule="exact"/>
        <w:ind w:firstLine="484" w:firstLineChars="202"/>
        <w:rPr>
          <w:rFonts w:eastAsia="宋体" w:cs="宋体"/>
        </w:rPr>
      </w:pPr>
    </w:p>
    <w:p>
      <w:pPr>
        <w:tabs>
          <w:tab w:val="left" w:pos="1050"/>
          <w:tab w:val="right" w:leader="dot" w:pos="9402"/>
        </w:tabs>
        <w:spacing w:beforeLines="100" w:line="600" w:lineRule="exact"/>
        <w:jc w:val="center"/>
        <w:outlineLvl w:val="0"/>
        <w:rPr>
          <w:rFonts w:eastAsia="宋体"/>
          <w:b/>
          <w:bCs/>
          <w:w w:val="80"/>
          <w:sz w:val="36"/>
          <w:szCs w:val="36"/>
        </w:rPr>
      </w:pPr>
      <w:bookmarkStart w:id="47" w:name="_Toc363573860"/>
      <w:bookmarkStart w:id="48" w:name="_Hlk72602557"/>
      <w:r>
        <w:rPr>
          <w:rFonts w:hint="eastAsia" w:eastAsia="宋体" w:cs="宋体"/>
          <w:b/>
          <w:bCs/>
          <w:w w:val="80"/>
          <w:sz w:val="36"/>
          <w:szCs w:val="36"/>
        </w:rPr>
        <w:t>第七章</w:t>
      </w:r>
      <w:bookmarkEnd w:id="47"/>
      <w:r>
        <w:rPr>
          <w:rFonts w:eastAsia="宋体" w:cs="宋体"/>
          <w:b/>
          <w:bCs/>
          <w:w w:val="80"/>
          <w:sz w:val="36"/>
          <w:szCs w:val="36"/>
        </w:rPr>
        <w:t xml:space="preserve">  </w:t>
      </w:r>
      <w:r>
        <w:rPr>
          <w:rFonts w:hint="eastAsia" w:eastAsia="宋体" w:cs="宋体"/>
          <w:b/>
          <w:bCs/>
          <w:w w:val="80"/>
          <w:sz w:val="36"/>
          <w:szCs w:val="36"/>
        </w:rPr>
        <w:t>响应文件组成及格式</w:t>
      </w:r>
      <w:bookmarkEnd w:id="48"/>
    </w:p>
    <w:p>
      <w:pPr>
        <w:adjustRightInd w:val="0"/>
        <w:snapToGrid w:val="0"/>
        <w:spacing w:line="420" w:lineRule="exact"/>
        <w:ind w:firstLine="487" w:firstLineChars="202"/>
        <w:jc w:val="left"/>
        <w:outlineLvl w:val="1"/>
        <w:rPr>
          <w:rFonts w:eastAsia="宋体"/>
          <w:b/>
          <w:bCs/>
        </w:rPr>
      </w:pPr>
      <w:r>
        <w:rPr>
          <w:rFonts w:hint="eastAsia" w:eastAsia="宋体" w:cs="宋体"/>
          <w:b/>
          <w:bCs/>
        </w:rPr>
        <w:t>一、磋商响应文件组成</w:t>
      </w:r>
    </w:p>
    <w:p>
      <w:pPr>
        <w:adjustRightInd w:val="0"/>
        <w:snapToGrid w:val="0"/>
        <w:spacing w:line="420" w:lineRule="exact"/>
        <w:ind w:firstLine="484" w:firstLineChars="202"/>
        <w:jc w:val="left"/>
        <w:rPr>
          <w:rFonts w:eastAsia="宋体"/>
        </w:rPr>
      </w:pPr>
      <w:bookmarkStart w:id="49" w:name="_Hlk67938904"/>
      <w:r>
        <w:rPr>
          <w:rFonts w:hint="eastAsia" w:eastAsia="宋体" w:cs="宋体"/>
        </w:rPr>
        <w:t>响应文件</w:t>
      </w:r>
      <w:bookmarkEnd w:id="49"/>
      <w:r>
        <w:rPr>
          <w:rFonts w:hint="eastAsia" w:eastAsia="宋体" w:cs="宋体"/>
        </w:rPr>
        <w:t>由如下四部分组成：</w:t>
      </w:r>
    </w:p>
    <w:p>
      <w:pPr>
        <w:adjustRightInd w:val="0"/>
        <w:snapToGrid w:val="0"/>
        <w:spacing w:line="420" w:lineRule="exact"/>
        <w:ind w:firstLine="484" w:firstLineChars="202"/>
        <w:jc w:val="left"/>
        <w:rPr>
          <w:rFonts w:eastAsia="宋体"/>
        </w:rPr>
      </w:pPr>
      <w:r>
        <w:rPr>
          <w:rFonts w:eastAsia="宋体"/>
        </w:rPr>
        <w:t>1.A</w:t>
      </w:r>
      <w:r>
        <w:rPr>
          <w:rFonts w:hint="eastAsia" w:eastAsia="宋体" w:cs="宋体"/>
        </w:rPr>
        <w:t>磋商响应资料原件包</w:t>
      </w:r>
      <w:r>
        <w:rPr>
          <w:rFonts w:hint="eastAsia" w:eastAsia="宋体" w:cs="宋体"/>
          <w:b w:val="0"/>
          <w:bCs w:val="0"/>
        </w:rPr>
        <w:t>（</w:t>
      </w:r>
      <w:r>
        <w:rPr>
          <w:rFonts w:hint="eastAsia" w:eastAsia="宋体" w:cs="宋体"/>
          <w:b w:val="0"/>
          <w:bCs w:val="0"/>
          <w:u w:val="thick" w:color="FF0000"/>
        </w:rPr>
        <w:t>一个密封包</w:t>
      </w:r>
      <w:r>
        <w:rPr>
          <w:rFonts w:hint="eastAsia" w:eastAsia="宋体" w:cs="宋体"/>
          <w:b w:val="0"/>
          <w:bCs w:val="0"/>
        </w:rPr>
        <w:t>）</w:t>
      </w:r>
    </w:p>
    <w:p>
      <w:pPr>
        <w:adjustRightInd w:val="0"/>
        <w:snapToGrid w:val="0"/>
        <w:spacing w:line="420" w:lineRule="exact"/>
        <w:ind w:firstLine="484" w:firstLineChars="202"/>
        <w:jc w:val="left"/>
        <w:rPr>
          <w:rFonts w:eastAsia="宋体"/>
        </w:rPr>
      </w:pPr>
      <w:r>
        <w:rPr>
          <w:rFonts w:eastAsia="宋体"/>
        </w:rPr>
        <w:t>2.B</w:t>
      </w:r>
      <w:r>
        <w:rPr>
          <w:rFonts w:hint="eastAsia" w:eastAsia="宋体" w:cs="宋体"/>
        </w:rPr>
        <w:t>资格后审材料文件（</w:t>
      </w:r>
      <w:r>
        <w:rPr>
          <w:rFonts w:hint="eastAsia" w:eastAsia="宋体" w:cs="宋体"/>
          <w:u w:val="thick" w:color="FF0000"/>
        </w:rPr>
        <w:t>一个密封包，内含：</w:t>
      </w:r>
      <w:r>
        <w:rPr>
          <w:rFonts w:eastAsia="宋体"/>
          <w:u w:val="thick" w:color="FF0000"/>
        </w:rPr>
        <w:t>1</w:t>
      </w:r>
      <w:r>
        <w:rPr>
          <w:rFonts w:hint="eastAsia" w:eastAsia="宋体" w:cs="宋体"/>
          <w:u w:val="thick" w:color="FF0000"/>
        </w:rPr>
        <w:t>份</w:t>
      </w:r>
      <w:r>
        <w:rPr>
          <w:rFonts w:eastAsia="宋体"/>
          <w:u w:val="thick" w:color="FF0000"/>
        </w:rPr>
        <w:t>“</w:t>
      </w:r>
      <w:r>
        <w:rPr>
          <w:rFonts w:hint="eastAsia" w:eastAsia="宋体" w:cs="宋体"/>
          <w:u w:val="thick" w:color="FF0000"/>
        </w:rPr>
        <w:t>正本</w:t>
      </w:r>
      <w:r>
        <w:rPr>
          <w:rFonts w:eastAsia="宋体"/>
          <w:u w:val="thick" w:color="FF0000"/>
        </w:rPr>
        <w:t>”</w:t>
      </w:r>
      <w:r>
        <w:rPr>
          <w:rFonts w:hint="eastAsia" w:eastAsia="宋体" w:cs="宋体"/>
          <w:u w:val="thick" w:color="FF0000"/>
        </w:rPr>
        <w:t>和</w:t>
      </w:r>
      <w:r>
        <w:rPr>
          <w:rFonts w:eastAsia="宋体"/>
          <w:u w:val="thick" w:color="FF0000"/>
        </w:rPr>
        <w:t>4</w:t>
      </w:r>
      <w:r>
        <w:rPr>
          <w:rFonts w:hint="eastAsia" w:eastAsia="宋体" w:cs="宋体"/>
          <w:u w:val="thick" w:color="FF0000"/>
        </w:rPr>
        <w:t>份</w:t>
      </w:r>
      <w:r>
        <w:rPr>
          <w:rFonts w:eastAsia="宋体"/>
          <w:u w:val="thick" w:color="FF0000"/>
        </w:rPr>
        <w:t>“</w:t>
      </w:r>
      <w:r>
        <w:rPr>
          <w:rFonts w:hint="eastAsia" w:eastAsia="宋体" w:cs="宋体"/>
          <w:u w:val="thick" w:color="FF0000"/>
        </w:rPr>
        <w:t>副本</w:t>
      </w:r>
      <w:r>
        <w:rPr>
          <w:rFonts w:eastAsia="宋体"/>
          <w:u w:val="thick" w:color="FF0000"/>
        </w:rPr>
        <w:t>”</w:t>
      </w:r>
      <w:r>
        <w:rPr>
          <w:rFonts w:hint="eastAsia" w:eastAsia="宋体" w:cs="宋体"/>
          <w:u w:val="thick" w:color="FF0000"/>
        </w:rPr>
        <w:t>。</w:t>
      </w:r>
      <w:r>
        <w:rPr>
          <w:rFonts w:hint="eastAsia" w:eastAsia="宋体" w:cs="宋体"/>
        </w:rPr>
        <w:t>）</w:t>
      </w:r>
    </w:p>
    <w:p>
      <w:pPr>
        <w:adjustRightInd w:val="0"/>
        <w:snapToGrid w:val="0"/>
        <w:spacing w:line="420" w:lineRule="exact"/>
        <w:ind w:firstLine="484" w:firstLineChars="202"/>
        <w:jc w:val="left"/>
        <w:rPr>
          <w:rFonts w:eastAsia="宋体" w:cs="宋体"/>
        </w:rPr>
      </w:pPr>
      <w:r>
        <w:rPr>
          <w:rFonts w:eastAsia="宋体"/>
        </w:rPr>
        <w:t>3.C</w:t>
      </w:r>
      <w:r>
        <w:rPr>
          <w:rFonts w:hint="eastAsia" w:eastAsia="宋体" w:cs="宋体"/>
        </w:rPr>
        <w:t>技术标文件（</w:t>
      </w:r>
      <w:r>
        <w:rPr>
          <w:rFonts w:hint="eastAsia" w:eastAsia="宋体" w:cs="宋体"/>
          <w:u w:val="thick" w:color="FF0000"/>
        </w:rPr>
        <w:t>一个密封包，内含：</w:t>
      </w:r>
      <w:r>
        <w:rPr>
          <w:rFonts w:eastAsia="宋体"/>
          <w:u w:val="thick" w:color="FF0000"/>
        </w:rPr>
        <w:t>1</w:t>
      </w:r>
      <w:r>
        <w:rPr>
          <w:rFonts w:hint="eastAsia" w:eastAsia="宋体" w:cs="宋体"/>
          <w:u w:val="thick" w:color="FF0000"/>
        </w:rPr>
        <w:t>份</w:t>
      </w:r>
      <w:r>
        <w:rPr>
          <w:rFonts w:eastAsia="宋体"/>
          <w:u w:val="thick" w:color="FF0000"/>
        </w:rPr>
        <w:t>“</w:t>
      </w:r>
      <w:r>
        <w:rPr>
          <w:rFonts w:hint="eastAsia" w:eastAsia="宋体" w:cs="宋体"/>
          <w:u w:val="thick" w:color="FF0000"/>
        </w:rPr>
        <w:t>正本</w:t>
      </w:r>
      <w:r>
        <w:rPr>
          <w:rFonts w:eastAsia="宋体"/>
          <w:u w:val="thick" w:color="FF0000"/>
        </w:rPr>
        <w:t>”</w:t>
      </w:r>
      <w:r>
        <w:rPr>
          <w:rFonts w:hint="eastAsia" w:eastAsia="宋体" w:cs="宋体"/>
          <w:u w:val="thick" w:color="FF0000"/>
        </w:rPr>
        <w:t>和</w:t>
      </w:r>
      <w:r>
        <w:rPr>
          <w:rFonts w:eastAsia="宋体"/>
          <w:u w:val="thick" w:color="FF0000"/>
        </w:rPr>
        <w:t>4</w:t>
      </w:r>
      <w:r>
        <w:rPr>
          <w:rFonts w:hint="eastAsia" w:eastAsia="宋体" w:cs="宋体"/>
          <w:u w:val="thick" w:color="FF0000"/>
        </w:rPr>
        <w:t>份</w:t>
      </w:r>
      <w:r>
        <w:rPr>
          <w:rFonts w:eastAsia="宋体"/>
          <w:u w:val="thick" w:color="FF0000"/>
        </w:rPr>
        <w:t>“</w:t>
      </w:r>
      <w:r>
        <w:rPr>
          <w:rFonts w:hint="eastAsia" w:eastAsia="宋体" w:cs="宋体"/>
          <w:u w:val="thick" w:color="FF0000"/>
        </w:rPr>
        <w:t>副本</w:t>
      </w:r>
      <w:r>
        <w:rPr>
          <w:rFonts w:eastAsia="宋体"/>
          <w:u w:val="thick" w:color="FF0000"/>
        </w:rPr>
        <w:t>”</w:t>
      </w:r>
      <w:r>
        <w:rPr>
          <w:rFonts w:hint="eastAsia" w:eastAsia="宋体" w:cs="宋体"/>
          <w:u w:val="thick" w:color="FF0000"/>
        </w:rPr>
        <w:t>。</w:t>
      </w:r>
      <w:r>
        <w:rPr>
          <w:rFonts w:hint="eastAsia" w:eastAsia="宋体" w:cs="宋体"/>
        </w:rPr>
        <w:t>）</w:t>
      </w:r>
    </w:p>
    <w:p>
      <w:pPr>
        <w:pStyle w:val="18"/>
        <w:ind w:firstLine="480" w:firstLineChars="200"/>
        <w:rPr>
          <w:rFonts w:ascii="Times New Roman" w:eastAsia="宋体" w:cs="宋体"/>
          <w:kern w:val="2"/>
          <w:sz w:val="24"/>
          <w:szCs w:val="24"/>
        </w:rPr>
      </w:pPr>
      <w:r>
        <w:rPr>
          <w:rFonts w:ascii="Times New Roman" w:eastAsia="宋体" w:cs="宋体"/>
          <w:kern w:val="2"/>
          <w:sz w:val="24"/>
          <w:szCs w:val="24"/>
        </w:rPr>
        <w:t>4.D</w:t>
      </w:r>
      <w:r>
        <w:rPr>
          <w:rFonts w:hint="eastAsia" w:ascii="Times New Roman" w:eastAsia="宋体" w:cs="宋体"/>
          <w:kern w:val="2"/>
          <w:sz w:val="24"/>
          <w:szCs w:val="24"/>
        </w:rPr>
        <w:t>响应文件电子版（</w:t>
      </w:r>
      <w:r>
        <w:rPr>
          <w:rFonts w:ascii="Times New Roman" w:eastAsia="宋体" w:cs="宋体"/>
          <w:kern w:val="2"/>
          <w:sz w:val="24"/>
          <w:szCs w:val="24"/>
        </w:rPr>
        <w:t>U</w:t>
      </w:r>
      <w:r>
        <w:rPr>
          <w:rFonts w:hint="eastAsia" w:ascii="Times New Roman" w:eastAsia="宋体" w:cs="宋体"/>
          <w:kern w:val="2"/>
          <w:sz w:val="24"/>
          <w:szCs w:val="24"/>
        </w:rPr>
        <w:t>盘）（一个密封包）</w:t>
      </w:r>
    </w:p>
    <w:p>
      <w:pPr>
        <w:adjustRightInd w:val="0"/>
        <w:snapToGrid w:val="0"/>
        <w:spacing w:line="420" w:lineRule="exact"/>
        <w:ind w:firstLine="487" w:firstLineChars="202"/>
        <w:jc w:val="left"/>
        <w:rPr>
          <w:rFonts w:eastAsia="宋体" w:cs="宋体"/>
          <w:b/>
          <w:bCs/>
        </w:rPr>
      </w:pPr>
      <w:r>
        <w:rPr>
          <w:rFonts w:hint="eastAsia" w:eastAsia="宋体" w:cs="宋体"/>
          <w:b/>
          <w:bCs/>
        </w:rPr>
        <w:t>注：本次竞争性磋商采用资格后审方式，供应商须按磋商文件第二章第四条要求，将响应文件装订成册并按四个密封包递交。</w:t>
      </w:r>
    </w:p>
    <w:p>
      <w:pPr>
        <w:adjustRightInd w:val="0"/>
        <w:snapToGrid w:val="0"/>
        <w:spacing w:line="420" w:lineRule="exact"/>
        <w:ind w:firstLine="487" w:firstLineChars="202"/>
        <w:jc w:val="left"/>
        <w:outlineLvl w:val="1"/>
        <w:rPr>
          <w:rFonts w:eastAsia="宋体" w:cs="宋体"/>
        </w:rPr>
      </w:pPr>
      <w:r>
        <w:rPr>
          <w:rFonts w:hint="eastAsia" w:eastAsia="宋体" w:cs="宋体"/>
          <w:b/>
          <w:bCs/>
        </w:rPr>
        <w:t>二、磋商响应文件的内容</w:t>
      </w:r>
      <w:r>
        <w:rPr>
          <w:rFonts w:eastAsia="宋体" w:cs="宋体"/>
          <w:b/>
          <w:bCs/>
        </w:rPr>
        <w:t xml:space="preserve"> </w:t>
      </w:r>
    </w:p>
    <w:p>
      <w:pPr>
        <w:adjustRightInd w:val="0"/>
        <w:snapToGrid w:val="0"/>
        <w:spacing w:line="420" w:lineRule="exact"/>
        <w:ind w:firstLine="487" w:firstLineChars="202"/>
        <w:jc w:val="left"/>
        <w:outlineLvl w:val="2"/>
        <w:rPr>
          <w:rFonts w:eastAsia="宋体" w:cs="宋体"/>
          <w:b/>
          <w:bCs/>
        </w:rPr>
      </w:pPr>
      <w:r>
        <w:rPr>
          <w:rFonts w:hint="eastAsia" w:eastAsia="宋体" w:cs="宋体"/>
          <w:b/>
          <w:bCs/>
        </w:rPr>
        <w:t>（一）</w:t>
      </w:r>
      <w:r>
        <w:rPr>
          <w:rFonts w:eastAsia="宋体" w:cs="宋体"/>
          <w:b/>
          <w:bCs/>
        </w:rPr>
        <w:t>A</w:t>
      </w:r>
      <w:r>
        <w:rPr>
          <w:rFonts w:hint="eastAsia" w:eastAsia="宋体" w:cs="宋体"/>
          <w:b/>
          <w:bCs/>
        </w:rPr>
        <w:t>磋商响应资料原件包的内容</w:t>
      </w:r>
    </w:p>
    <w:p>
      <w:pPr>
        <w:adjustRightInd w:val="0"/>
        <w:snapToGrid w:val="0"/>
        <w:spacing w:line="420" w:lineRule="exact"/>
        <w:ind w:firstLine="487" w:firstLineChars="202"/>
        <w:jc w:val="left"/>
        <w:rPr>
          <w:rFonts w:eastAsia="宋体" w:cs="宋体"/>
        </w:rPr>
      </w:pPr>
      <w:r>
        <w:rPr>
          <w:rFonts w:hint="eastAsia" w:eastAsia="宋体" w:cs="宋体"/>
          <w:b/>
          <w:bCs/>
        </w:rPr>
        <w:t>【特别提醒】未携带要求的原件或因携带原件不齐全而引起的后果，由供应商自负。</w:t>
      </w:r>
    </w:p>
    <w:p>
      <w:pPr>
        <w:adjustRightInd w:val="0"/>
        <w:snapToGrid w:val="0"/>
        <w:spacing w:line="420" w:lineRule="exact"/>
        <w:ind w:firstLine="484" w:firstLineChars="202"/>
        <w:jc w:val="left"/>
        <w:rPr>
          <w:rFonts w:eastAsia="宋体" w:cs="宋体"/>
        </w:rPr>
      </w:pPr>
      <w:r>
        <w:rPr>
          <w:rFonts w:eastAsia="宋体" w:cs="宋体"/>
        </w:rPr>
        <w:t>1.</w:t>
      </w:r>
      <w:r>
        <w:rPr>
          <w:rFonts w:hint="eastAsia" w:eastAsia="宋体" w:cs="宋体"/>
        </w:rPr>
        <w:t>提供磋商响应供应商的《营业执照》的原件。</w:t>
      </w:r>
    </w:p>
    <w:p>
      <w:pPr>
        <w:adjustRightInd w:val="0"/>
        <w:snapToGrid w:val="0"/>
        <w:spacing w:line="420" w:lineRule="exact"/>
        <w:ind w:firstLine="484" w:firstLineChars="202"/>
        <w:jc w:val="left"/>
        <w:rPr>
          <w:rFonts w:eastAsia="宋体" w:cs="宋体"/>
        </w:rPr>
      </w:pPr>
      <w:r>
        <w:rPr>
          <w:rFonts w:eastAsia="宋体" w:cs="宋体"/>
        </w:rPr>
        <w:t>2.</w:t>
      </w:r>
      <w:r>
        <w:rPr>
          <w:rFonts w:hint="eastAsia" w:eastAsia="宋体" w:cs="宋体"/>
        </w:rPr>
        <w:t>法定代表人参加磋商响应的，必须提供本人身份证原件；被委托受权人参加磋商响应的，必须提供法定代表人签名或盖章的授权委托书及被委托受权人身份证的这两项原件（注：身份证可随身携带备查，无须放置在“磋商响应资料原件包”内。）；同时提供被委托受权人与磋商响应供应商签订的有效劳动合同</w:t>
      </w:r>
      <w:bookmarkStart w:id="50" w:name="_Hlk71399203"/>
      <w:r>
        <w:rPr>
          <w:rFonts w:hint="eastAsia" w:eastAsia="宋体" w:cs="宋体"/>
          <w:b/>
          <w:bCs/>
        </w:rPr>
        <w:t>（注：不接受劳务合同、劳务协议。）</w:t>
      </w:r>
      <w:bookmarkEnd w:id="50"/>
      <w:r>
        <w:rPr>
          <w:rFonts w:hint="eastAsia" w:eastAsia="宋体" w:cs="宋体"/>
        </w:rPr>
        <w:t>和社保机构出具并盖章的磋商响应供应商为其交纳</w:t>
      </w:r>
      <w:r>
        <w:rPr>
          <w:rFonts w:hint="eastAsia" w:eastAsia="宋体" w:cs="宋体"/>
          <w:highlight w:val="none"/>
        </w:rPr>
        <w:t>的</w:t>
      </w:r>
      <w:r>
        <w:rPr>
          <w:rFonts w:eastAsia="宋体"/>
          <w:highlight w:val="none"/>
        </w:rPr>
        <w:t>202</w:t>
      </w:r>
      <w:r>
        <w:rPr>
          <w:rFonts w:hint="eastAsia" w:eastAsia="宋体"/>
          <w:highlight w:val="none"/>
          <w:lang w:val="en-US" w:eastAsia="zh-CN"/>
        </w:rPr>
        <w:t>2</w:t>
      </w:r>
      <w:r>
        <w:rPr>
          <w:rFonts w:hint="eastAsia" w:eastAsia="宋体"/>
          <w:highlight w:val="none"/>
        </w:rPr>
        <w:t>年</w:t>
      </w:r>
      <w:r>
        <w:rPr>
          <w:rFonts w:hint="eastAsia" w:eastAsia="宋体"/>
          <w:highlight w:val="none"/>
          <w:lang w:val="en-US" w:eastAsia="zh-CN"/>
        </w:rPr>
        <w:t>1</w:t>
      </w:r>
      <w:r>
        <w:rPr>
          <w:rFonts w:hint="eastAsia" w:eastAsia="宋体"/>
          <w:highlight w:val="none"/>
        </w:rPr>
        <w:t>个至</w:t>
      </w:r>
      <w:r>
        <w:rPr>
          <w:rFonts w:eastAsia="宋体"/>
          <w:highlight w:val="none"/>
        </w:rPr>
        <w:t>2022</w:t>
      </w:r>
      <w:r>
        <w:rPr>
          <w:rFonts w:hint="eastAsia" w:eastAsia="宋体"/>
          <w:highlight w:val="none"/>
        </w:rPr>
        <w:t>年</w:t>
      </w:r>
      <w:r>
        <w:rPr>
          <w:rFonts w:hint="eastAsia" w:eastAsia="宋体"/>
          <w:highlight w:val="none"/>
          <w:lang w:val="en-US" w:eastAsia="zh-CN"/>
        </w:rPr>
        <w:t>3</w:t>
      </w:r>
      <w:r>
        <w:rPr>
          <w:rFonts w:hint="eastAsia" w:eastAsia="宋体"/>
          <w:highlight w:val="none"/>
        </w:rPr>
        <w:t>月连续</w:t>
      </w:r>
      <w:r>
        <w:rPr>
          <w:rFonts w:eastAsia="宋体"/>
          <w:highlight w:val="none"/>
        </w:rPr>
        <w:t>3</w:t>
      </w:r>
      <w:r>
        <w:rPr>
          <w:rFonts w:hint="eastAsia" w:eastAsia="宋体"/>
          <w:highlight w:val="none"/>
        </w:rPr>
        <w:t>个月</w:t>
      </w:r>
      <w:r>
        <w:rPr>
          <w:rFonts w:hint="eastAsia" w:eastAsia="宋体" w:cs="宋体"/>
        </w:rPr>
        <w:t>的养老保险缴费清单这两项的原件。</w:t>
      </w:r>
    </w:p>
    <w:p>
      <w:pPr>
        <w:adjustRightInd w:val="0"/>
        <w:snapToGrid w:val="0"/>
        <w:spacing w:line="420" w:lineRule="exact"/>
        <w:ind w:firstLine="484" w:firstLineChars="202"/>
        <w:jc w:val="left"/>
        <w:rPr>
          <w:rFonts w:eastAsia="宋体" w:cs="宋体"/>
        </w:rPr>
      </w:pPr>
      <w:bookmarkStart w:id="51" w:name="_Hlk72418488"/>
      <w:r>
        <w:rPr>
          <w:rFonts w:eastAsia="宋体" w:cs="宋体"/>
        </w:rPr>
        <w:t>3</w:t>
      </w:r>
      <w:bookmarkStart w:id="52" w:name="_Hlk72869749"/>
      <w:r>
        <w:rPr>
          <w:rFonts w:eastAsia="宋体" w:cs="宋体"/>
        </w:rPr>
        <w:t>.</w:t>
      </w:r>
      <w:r>
        <w:rPr>
          <w:rFonts w:hint="eastAsia" w:eastAsia="宋体" w:cs="宋体"/>
        </w:rPr>
        <w:t>提供磋商响应供应商</w:t>
      </w:r>
      <w:r>
        <w:rPr>
          <w:rFonts w:eastAsia="宋体" w:cs="宋体"/>
        </w:rPr>
        <w:t>2020</w:t>
      </w:r>
      <w:r>
        <w:rPr>
          <w:rFonts w:hint="eastAsia" w:eastAsia="宋体" w:cs="宋体"/>
        </w:rPr>
        <w:t>年度经会计师事务所或审计机构审计的财务报表（财务报表指资产负债表、利润表、现金流量表）及审计报告这</w:t>
      </w:r>
      <w:r>
        <w:rPr>
          <w:rFonts w:eastAsia="宋体" w:cs="宋体"/>
        </w:rPr>
        <w:t>2</w:t>
      </w:r>
      <w:r>
        <w:rPr>
          <w:rFonts w:hint="eastAsia" w:eastAsia="宋体" w:cs="宋体"/>
        </w:rPr>
        <w:t>项资料的原件。</w:t>
      </w:r>
      <w:bookmarkEnd w:id="52"/>
    </w:p>
    <w:bookmarkEnd w:id="51"/>
    <w:p>
      <w:pPr>
        <w:adjustRightInd w:val="0"/>
        <w:snapToGrid w:val="0"/>
        <w:spacing w:line="420" w:lineRule="exact"/>
        <w:ind w:firstLine="484" w:firstLineChars="202"/>
        <w:jc w:val="left"/>
        <w:rPr>
          <w:rFonts w:eastAsia="宋体" w:cs="宋体"/>
        </w:rPr>
      </w:pPr>
      <w:r>
        <w:rPr>
          <w:rFonts w:eastAsia="宋体" w:cs="宋体"/>
        </w:rPr>
        <w:t>4.</w:t>
      </w:r>
      <w:r>
        <w:rPr>
          <w:rFonts w:hint="eastAsia" w:eastAsia="宋体" w:cs="宋体"/>
        </w:rPr>
        <w:t>提供磋商响应供应商</w:t>
      </w:r>
      <w:r>
        <w:rPr>
          <w:rFonts w:eastAsia="宋体"/>
          <w:highlight w:val="none"/>
        </w:rPr>
        <w:t>202</w:t>
      </w:r>
      <w:r>
        <w:rPr>
          <w:rFonts w:hint="eastAsia" w:eastAsia="宋体"/>
          <w:highlight w:val="none"/>
          <w:lang w:val="en-US" w:eastAsia="zh-CN"/>
        </w:rPr>
        <w:t>2</w:t>
      </w:r>
      <w:r>
        <w:rPr>
          <w:rFonts w:hint="eastAsia" w:eastAsia="宋体"/>
          <w:highlight w:val="none"/>
        </w:rPr>
        <w:t>年</w:t>
      </w:r>
      <w:r>
        <w:rPr>
          <w:rFonts w:hint="eastAsia" w:eastAsia="宋体"/>
          <w:highlight w:val="none"/>
          <w:lang w:val="en-US" w:eastAsia="zh-CN"/>
        </w:rPr>
        <w:t>10</w:t>
      </w:r>
      <w:r>
        <w:rPr>
          <w:rFonts w:hint="eastAsia" w:eastAsia="宋体"/>
          <w:highlight w:val="none"/>
        </w:rPr>
        <w:t>月至</w:t>
      </w:r>
      <w:r>
        <w:rPr>
          <w:rFonts w:eastAsia="宋体"/>
          <w:highlight w:val="none"/>
        </w:rPr>
        <w:t>2022</w:t>
      </w:r>
      <w:r>
        <w:rPr>
          <w:rFonts w:hint="eastAsia" w:eastAsia="宋体"/>
          <w:highlight w:val="none"/>
        </w:rPr>
        <w:t>年</w:t>
      </w:r>
      <w:r>
        <w:rPr>
          <w:rFonts w:hint="eastAsia" w:eastAsia="宋体"/>
          <w:highlight w:val="none"/>
          <w:lang w:val="en-US" w:eastAsia="zh-CN"/>
        </w:rPr>
        <w:t>3</w:t>
      </w:r>
      <w:r>
        <w:rPr>
          <w:rFonts w:hint="eastAsia" w:eastAsia="宋体"/>
          <w:highlight w:val="none"/>
        </w:rPr>
        <w:t>月止的连续</w:t>
      </w:r>
      <w:r>
        <w:rPr>
          <w:rFonts w:eastAsia="宋体"/>
        </w:rPr>
        <w:t>6</w:t>
      </w:r>
      <w:r>
        <w:rPr>
          <w:rFonts w:hint="eastAsia" w:eastAsia="宋体"/>
        </w:rPr>
        <w:t>个</w:t>
      </w:r>
      <w:r>
        <w:rPr>
          <w:rFonts w:hint="eastAsia" w:eastAsia="宋体" w:cs="宋体"/>
        </w:rPr>
        <w:t>月的依法缴纳“税收”和“社会保障资金”的这</w:t>
      </w:r>
      <w:r>
        <w:rPr>
          <w:rFonts w:eastAsia="宋体" w:cs="宋体"/>
        </w:rPr>
        <w:t>2</w:t>
      </w:r>
      <w:r>
        <w:rPr>
          <w:rFonts w:hint="eastAsia" w:eastAsia="宋体" w:cs="宋体"/>
        </w:rPr>
        <w:t>项证明材料的原件（成立不满</w:t>
      </w:r>
      <w:r>
        <w:rPr>
          <w:rFonts w:eastAsia="宋体" w:cs="宋体"/>
        </w:rPr>
        <w:t>12</w:t>
      </w:r>
      <w:r>
        <w:rPr>
          <w:rFonts w:hint="eastAsia" w:eastAsia="宋体" w:cs="宋体"/>
        </w:rPr>
        <w:t>个月不需提供。）。</w:t>
      </w:r>
    </w:p>
    <w:p>
      <w:pPr>
        <w:adjustRightInd w:val="0"/>
        <w:snapToGrid w:val="0"/>
        <w:spacing w:line="420" w:lineRule="exact"/>
        <w:ind w:firstLine="484" w:firstLineChars="202"/>
        <w:jc w:val="left"/>
        <w:rPr>
          <w:rFonts w:eastAsia="宋体" w:cs="宋体"/>
        </w:rPr>
      </w:pPr>
      <w:r>
        <w:rPr>
          <w:rFonts w:eastAsia="宋体" w:cs="宋体"/>
        </w:rPr>
        <w:t>5.</w:t>
      </w:r>
      <w:r>
        <w:rPr>
          <w:rFonts w:hint="eastAsia" w:eastAsia="宋体" w:cs="宋体"/>
        </w:rPr>
        <w:t>提供磋商响应供应商具有的《养老机构设立许可证》（或《设置养老机构备案回执》）和《医疗机构执业许可证》的原件。</w:t>
      </w:r>
    </w:p>
    <w:p>
      <w:pPr>
        <w:adjustRightInd w:val="0"/>
        <w:snapToGrid w:val="0"/>
        <w:spacing w:line="420" w:lineRule="exact"/>
        <w:ind w:firstLine="484" w:firstLineChars="202"/>
        <w:jc w:val="left"/>
        <w:rPr>
          <w:rFonts w:eastAsia="宋体" w:cs="宋体"/>
        </w:rPr>
      </w:pPr>
      <w:r>
        <w:rPr>
          <w:rFonts w:eastAsia="宋体" w:cs="宋体"/>
        </w:rPr>
        <w:t>6.</w:t>
      </w:r>
      <w:r>
        <w:rPr>
          <w:rFonts w:hint="eastAsia" w:eastAsia="宋体" w:cs="宋体"/>
        </w:rPr>
        <w:t>竞争性磋商采购文件要求的其他材料的原件。</w:t>
      </w:r>
    </w:p>
    <w:p>
      <w:pPr>
        <w:adjustRightInd w:val="0"/>
        <w:snapToGrid w:val="0"/>
        <w:spacing w:line="420" w:lineRule="exact"/>
        <w:ind w:firstLine="487" w:firstLineChars="202"/>
        <w:jc w:val="left"/>
        <w:outlineLvl w:val="2"/>
        <w:rPr>
          <w:rFonts w:eastAsia="宋体" w:cs="宋体"/>
        </w:rPr>
      </w:pPr>
      <w:r>
        <w:rPr>
          <w:rFonts w:hint="eastAsia" w:eastAsia="宋体" w:cs="宋体"/>
          <w:b/>
          <w:bCs/>
        </w:rPr>
        <w:t>（二）</w:t>
      </w:r>
      <w:r>
        <w:rPr>
          <w:rFonts w:eastAsia="宋体" w:cs="宋体"/>
          <w:b/>
          <w:bCs/>
        </w:rPr>
        <w:t>B</w:t>
      </w:r>
      <w:r>
        <w:rPr>
          <w:rFonts w:hint="eastAsia" w:eastAsia="宋体" w:cs="宋体"/>
          <w:b/>
          <w:bCs/>
        </w:rPr>
        <w:t>资格后审材料文件的内容</w:t>
      </w:r>
    </w:p>
    <w:p>
      <w:pPr>
        <w:adjustRightInd w:val="0"/>
        <w:snapToGrid w:val="0"/>
        <w:spacing w:line="420" w:lineRule="exact"/>
        <w:ind w:firstLine="487" w:firstLineChars="202"/>
        <w:jc w:val="left"/>
        <w:rPr>
          <w:rFonts w:eastAsia="宋体" w:cs="宋体"/>
        </w:rPr>
      </w:pPr>
      <w:r>
        <w:rPr>
          <w:rFonts w:hint="eastAsia" w:eastAsia="宋体" w:cs="宋体"/>
          <w:b/>
          <w:bCs/>
        </w:rPr>
        <w:t>【特别提醒】单位负责人为同一人或者存在直接控股、管理关系的不同供应商，不得同时参与同一采购项目相同标段的政府采购活动；如发现供应商递交的资格后审材料有弄虚作假行为，该供应商将记入不良记录，并上报有关部门，如已成交，采购人有权取消其成交资格，并由该供应商承担一切责任和损失。</w:t>
      </w:r>
    </w:p>
    <w:p>
      <w:pPr>
        <w:adjustRightInd w:val="0"/>
        <w:snapToGrid w:val="0"/>
        <w:spacing w:line="420" w:lineRule="exact"/>
        <w:ind w:firstLine="484" w:firstLineChars="202"/>
        <w:jc w:val="left"/>
        <w:rPr>
          <w:rFonts w:eastAsia="宋体" w:cs="宋体"/>
        </w:rPr>
      </w:pPr>
      <w:r>
        <w:rPr>
          <w:rFonts w:eastAsia="宋体" w:cs="宋体"/>
        </w:rPr>
        <w:t>1.</w:t>
      </w:r>
      <w:r>
        <w:rPr>
          <w:rFonts w:hint="eastAsia" w:eastAsia="宋体" w:cs="宋体"/>
        </w:rPr>
        <w:t>提供磋商响应供应商的《营业执照》原件的复印件（须加盖公章）。</w:t>
      </w:r>
    </w:p>
    <w:p>
      <w:pPr>
        <w:adjustRightInd w:val="0"/>
        <w:snapToGrid w:val="0"/>
        <w:spacing w:line="420" w:lineRule="exact"/>
        <w:ind w:firstLine="484" w:firstLineChars="202"/>
        <w:jc w:val="left"/>
        <w:rPr>
          <w:rFonts w:eastAsia="宋体" w:cs="宋体"/>
        </w:rPr>
      </w:pPr>
      <w:r>
        <w:rPr>
          <w:rFonts w:eastAsia="宋体" w:cs="宋体"/>
        </w:rPr>
        <w:t>2.</w:t>
      </w:r>
      <w:r>
        <w:rPr>
          <w:rFonts w:hint="eastAsia" w:eastAsia="宋体" w:cs="宋体"/>
        </w:rPr>
        <w:t>提供供应商的法定代表人身份证明（格式参见第七章）和身份证原件的复印件（须加盖公章）。</w:t>
      </w:r>
    </w:p>
    <w:p>
      <w:pPr>
        <w:adjustRightInd w:val="0"/>
        <w:snapToGrid w:val="0"/>
        <w:spacing w:line="420" w:lineRule="exact"/>
        <w:ind w:firstLine="484" w:firstLineChars="202"/>
        <w:jc w:val="left"/>
        <w:rPr>
          <w:rFonts w:eastAsia="宋体" w:cs="宋体"/>
        </w:rPr>
      </w:pPr>
      <w:r>
        <w:rPr>
          <w:rFonts w:eastAsia="宋体" w:cs="宋体"/>
        </w:rPr>
        <w:t>3.</w:t>
      </w:r>
      <w:r>
        <w:rPr>
          <w:rFonts w:hint="eastAsia" w:eastAsia="宋体" w:cs="宋体"/>
        </w:rPr>
        <w:t>如为被委托受权人参加磋商响应的，必须提供法定代表人签名或盖章的授权委托书及被委托受权人身份证这两项原件的复印件（须加盖公章），并提供被委托受权人与磋商响应供应商签订的有效劳动合同</w:t>
      </w:r>
      <w:r>
        <w:rPr>
          <w:rFonts w:hint="eastAsia" w:eastAsia="宋体" w:cs="宋体"/>
          <w:b/>
          <w:bCs/>
        </w:rPr>
        <w:t>（注：不接受劳务合同、劳务协议。）</w:t>
      </w:r>
      <w:r>
        <w:rPr>
          <w:rFonts w:hint="eastAsia" w:eastAsia="宋体" w:cs="宋体"/>
        </w:rPr>
        <w:t>和社保机构出具且盖章的磋商响应供应商为其交纳</w:t>
      </w:r>
      <w:r>
        <w:rPr>
          <w:rFonts w:hint="eastAsia" w:eastAsia="宋体" w:cs="宋体"/>
          <w:highlight w:val="none"/>
        </w:rPr>
        <w:t>的</w:t>
      </w:r>
      <w:r>
        <w:rPr>
          <w:rFonts w:eastAsia="宋体"/>
          <w:highlight w:val="none"/>
        </w:rPr>
        <w:t>202</w:t>
      </w:r>
      <w:r>
        <w:rPr>
          <w:rFonts w:hint="eastAsia" w:eastAsia="宋体"/>
          <w:highlight w:val="none"/>
          <w:lang w:val="en-US" w:eastAsia="zh-CN"/>
        </w:rPr>
        <w:t>2</w:t>
      </w:r>
      <w:r>
        <w:rPr>
          <w:rFonts w:hint="eastAsia" w:eastAsia="宋体"/>
          <w:highlight w:val="none"/>
        </w:rPr>
        <w:t>年</w:t>
      </w:r>
      <w:r>
        <w:rPr>
          <w:rFonts w:hint="eastAsia" w:eastAsia="宋体"/>
          <w:highlight w:val="none"/>
          <w:lang w:val="en-US" w:eastAsia="zh-CN"/>
        </w:rPr>
        <w:t>1</w:t>
      </w:r>
      <w:r>
        <w:rPr>
          <w:rFonts w:hint="eastAsia" w:eastAsia="宋体"/>
          <w:highlight w:val="none"/>
        </w:rPr>
        <w:t>个至</w:t>
      </w:r>
      <w:r>
        <w:rPr>
          <w:rFonts w:eastAsia="宋体"/>
          <w:highlight w:val="none"/>
        </w:rPr>
        <w:t>2022</w:t>
      </w:r>
      <w:r>
        <w:rPr>
          <w:rFonts w:hint="eastAsia" w:eastAsia="宋体"/>
          <w:highlight w:val="none"/>
        </w:rPr>
        <w:t>年</w:t>
      </w:r>
      <w:r>
        <w:rPr>
          <w:rFonts w:hint="eastAsia" w:eastAsia="宋体"/>
          <w:highlight w:val="none"/>
          <w:lang w:val="en-US" w:eastAsia="zh-CN"/>
        </w:rPr>
        <w:t>3</w:t>
      </w:r>
      <w:r>
        <w:rPr>
          <w:rFonts w:hint="eastAsia" w:eastAsia="宋体"/>
          <w:highlight w:val="none"/>
        </w:rPr>
        <w:t>月连续</w:t>
      </w:r>
      <w:r>
        <w:rPr>
          <w:rFonts w:eastAsia="宋体"/>
          <w:highlight w:val="none"/>
        </w:rPr>
        <w:t>3</w:t>
      </w:r>
      <w:r>
        <w:rPr>
          <w:rFonts w:hint="eastAsia" w:eastAsia="宋体"/>
          <w:highlight w:val="none"/>
        </w:rPr>
        <w:t>个</w:t>
      </w:r>
      <w:r>
        <w:rPr>
          <w:rFonts w:hint="eastAsia" w:eastAsia="宋体"/>
        </w:rPr>
        <w:t>月</w:t>
      </w:r>
      <w:r>
        <w:rPr>
          <w:rFonts w:hint="eastAsia" w:eastAsia="宋体" w:cs="宋体"/>
        </w:rPr>
        <w:t>的养老保险缴费清单这两项原件的复印件（须加盖公章）。</w:t>
      </w:r>
    </w:p>
    <w:p>
      <w:pPr>
        <w:adjustRightInd w:val="0"/>
        <w:snapToGrid w:val="0"/>
        <w:spacing w:line="420" w:lineRule="exact"/>
        <w:ind w:firstLine="484" w:firstLineChars="202"/>
        <w:jc w:val="left"/>
        <w:rPr>
          <w:rFonts w:eastAsia="宋体" w:cs="宋体"/>
        </w:rPr>
      </w:pPr>
      <w:r>
        <w:rPr>
          <w:rFonts w:eastAsia="宋体" w:cs="宋体"/>
        </w:rPr>
        <w:t>4.</w:t>
      </w:r>
      <w:r>
        <w:rPr>
          <w:rFonts w:hint="eastAsia" w:eastAsia="宋体" w:cs="宋体"/>
        </w:rPr>
        <w:t>提供磋商响应供应商上一年度（即</w:t>
      </w:r>
      <w:r>
        <w:rPr>
          <w:rFonts w:eastAsia="宋体" w:cs="宋体"/>
        </w:rPr>
        <w:t>2020</w:t>
      </w:r>
      <w:r>
        <w:rPr>
          <w:rFonts w:hint="eastAsia" w:eastAsia="宋体" w:cs="宋体"/>
        </w:rPr>
        <w:t>年度）经会计师事务所或审计机构审计的财务报表（财务报表指资产负债表、利润表、现金流量表）及审计报告这</w:t>
      </w:r>
      <w:r>
        <w:rPr>
          <w:rFonts w:eastAsia="宋体" w:cs="宋体"/>
        </w:rPr>
        <w:t>2</w:t>
      </w:r>
      <w:r>
        <w:rPr>
          <w:rFonts w:hint="eastAsia" w:eastAsia="宋体" w:cs="宋体"/>
        </w:rPr>
        <w:t>项资料原件的复印件（须加盖公章）。</w:t>
      </w:r>
    </w:p>
    <w:p>
      <w:pPr>
        <w:adjustRightInd w:val="0"/>
        <w:snapToGrid w:val="0"/>
        <w:spacing w:line="420" w:lineRule="exact"/>
        <w:ind w:firstLine="484" w:firstLineChars="202"/>
        <w:jc w:val="left"/>
        <w:rPr>
          <w:rFonts w:eastAsia="宋体" w:cs="宋体"/>
        </w:rPr>
      </w:pPr>
      <w:r>
        <w:rPr>
          <w:rFonts w:eastAsia="宋体" w:cs="宋体"/>
        </w:rPr>
        <w:t>5.</w:t>
      </w:r>
      <w:r>
        <w:rPr>
          <w:rFonts w:hint="eastAsia" w:eastAsia="宋体" w:cs="宋体"/>
        </w:rPr>
        <w:t>提供磋商响应供应商</w:t>
      </w:r>
      <w:r>
        <w:rPr>
          <w:rFonts w:eastAsia="宋体"/>
          <w:highlight w:val="none"/>
        </w:rPr>
        <w:t>202</w:t>
      </w:r>
      <w:r>
        <w:rPr>
          <w:rFonts w:hint="eastAsia" w:eastAsia="宋体"/>
          <w:highlight w:val="none"/>
          <w:lang w:val="en-US" w:eastAsia="zh-CN"/>
        </w:rPr>
        <w:t>2</w:t>
      </w:r>
      <w:r>
        <w:rPr>
          <w:rFonts w:hint="eastAsia" w:eastAsia="宋体"/>
          <w:highlight w:val="none"/>
        </w:rPr>
        <w:t>年</w:t>
      </w:r>
      <w:r>
        <w:rPr>
          <w:rFonts w:hint="eastAsia" w:eastAsia="宋体"/>
          <w:highlight w:val="none"/>
          <w:lang w:val="en-US" w:eastAsia="zh-CN"/>
        </w:rPr>
        <w:t>10</w:t>
      </w:r>
      <w:r>
        <w:rPr>
          <w:rFonts w:hint="eastAsia" w:eastAsia="宋体"/>
          <w:highlight w:val="none"/>
        </w:rPr>
        <w:t>月至</w:t>
      </w:r>
      <w:r>
        <w:rPr>
          <w:rFonts w:eastAsia="宋体"/>
          <w:highlight w:val="none"/>
        </w:rPr>
        <w:t>2022</w:t>
      </w:r>
      <w:r>
        <w:rPr>
          <w:rFonts w:hint="eastAsia" w:eastAsia="宋体"/>
          <w:highlight w:val="none"/>
        </w:rPr>
        <w:t>年</w:t>
      </w:r>
      <w:r>
        <w:rPr>
          <w:rFonts w:hint="eastAsia" w:eastAsia="宋体"/>
          <w:highlight w:val="none"/>
          <w:lang w:val="en-US" w:eastAsia="zh-CN"/>
        </w:rPr>
        <w:t>3</w:t>
      </w:r>
      <w:r>
        <w:rPr>
          <w:rFonts w:hint="eastAsia" w:eastAsia="宋体"/>
          <w:highlight w:val="none"/>
        </w:rPr>
        <w:t>月</w:t>
      </w:r>
      <w:r>
        <w:rPr>
          <w:rFonts w:hint="eastAsia" w:eastAsia="宋体" w:cs="宋体"/>
          <w:highlight w:val="none"/>
        </w:rPr>
        <w:t>止的连</w:t>
      </w:r>
      <w:r>
        <w:rPr>
          <w:rFonts w:hint="eastAsia" w:eastAsia="宋体" w:cs="宋体"/>
        </w:rPr>
        <w:t>续</w:t>
      </w:r>
      <w:r>
        <w:rPr>
          <w:rFonts w:eastAsia="宋体" w:cs="宋体"/>
        </w:rPr>
        <w:t>6</w:t>
      </w:r>
      <w:r>
        <w:rPr>
          <w:rFonts w:hint="eastAsia" w:eastAsia="宋体" w:cs="宋体"/>
        </w:rPr>
        <w:t>个月依法缴纳“税收”和“社会保障资金”的这</w:t>
      </w:r>
      <w:r>
        <w:rPr>
          <w:rFonts w:eastAsia="宋体" w:cs="宋体"/>
        </w:rPr>
        <w:t>2</w:t>
      </w:r>
      <w:r>
        <w:rPr>
          <w:rFonts w:hint="eastAsia" w:eastAsia="宋体" w:cs="宋体"/>
        </w:rPr>
        <w:t>项证明材料原件的复印件（须加盖公章）。</w:t>
      </w:r>
    </w:p>
    <w:p>
      <w:pPr>
        <w:adjustRightInd w:val="0"/>
        <w:snapToGrid w:val="0"/>
        <w:spacing w:line="420" w:lineRule="exact"/>
        <w:ind w:firstLine="484" w:firstLineChars="202"/>
        <w:jc w:val="left"/>
        <w:rPr>
          <w:rFonts w:eastAsia="宋体" w:cs="宋体"/>
        </w:rPr>
      </w:pPr>
      <w:r>
        <w:rPr>
          <w:rFonts w:eastAsia="宋体" w:cs="宋体"/>
        </w:rPr>
        <w:t>6.</w:t>
      </w:r>
      <w:r>
        <w:rPr>
          <w:rFonts w:hint="eastAsia" w:eastAsia="宋体" w:cs="宋体"/>
        </w:rPr>
        <w:t>提供具有针对本项目履行合同所必需的设备和专业技术能力的承诺函（格式自拟，须加盖公章）。</w:t>
      </w:r>
    </w:p>
    <w:p>
      <w:pPr>
        <w:adjustRightInd w:val="0"/>
        <w:snapToGrid w:val="0"/>
        <w:spacing w:line="420" w:lineRule="exact"/>
        <w:ind w:firstLine="484" w:firstLineChars="202"/>
        <w:jc w:val="left"/>
        <w:rPr>
          <w:rFonts w:eastAsia="宋体" w:cs="宋体"/>
        </w:rPr>
      </w:pPr>
      <w:r>
        <w:rPr>
          <w:rFonts w:eastAsia="宋体" w:cs="宋体"/>
        </w:rPr>
        <w:t>7.</w:t>
      </w:r>
      <w:r>
        <w:rPr>
          <w:rFonts w:hint="eastAsia" w:eastAsia="宋体" w:cs="宋体"/>
        </w:rPr>
        <w:t>供应商须提供加盖公章（红章）的，参与本次项目政府采购活动前三年内在经营活动中没有重大违法记录的书面《无重大违法记录声明函》。</w:t>
      </w:r>
    </w:p>
    <w:p>
      <w:pPr>
        <w:adjustRightInd w:val="0"/>
        <w:snapToGrid w:val="0"/>
        <w:spacing w:line="420" w:lineRule="exact"/>
        <w:ind w:firstLine="484" w:firstLineChars="202"/>
        <w:jc w:val="left"/>
        <w:rPr>
          <w:rFonts w:eastAsia="宋体" w:cs="宋体"/>
        </w:rPr>
      </w:pPr>
      <w:r>
        <w:rPr>
          <w:rFonts w:eastAsia="宋体" w:cs="宋体"/>
        </w:rPr>
        <w:t>8.</w:t>
      </w:r>
      <w:r>
        <w:rPr>
          <w:rFonts w:hint="eastAsia" w:eastAsia="宋体" w:cs="宋体"/>
        </w:rPr>
        <w:t>供应商须提供加盖公章（红章）的《资格文件的声明函》。</w:t>
      </w:r>
    </w:p>
    <w:p>
      <w:pPr>
        <w:adjustRightInd w:val="0"/>
        <w:snapToGrid w:val="0"/>
        <w:spacing w:line="420" w:lineRule="exact"/>
        <w:ind w:firstLine="484" w:firstLineChars="202"/>
        <w:jc w:val="left"/>
        <w:rPr>
          <w:rFonts w:eastAsia="宋体" w:cs="宋体"/>
        </w:rPr>
      </w:pPr>
      <w:r>
        <w:rPr>
          <w:rFonts w:eastAsia="宋体" w:cs="宋体"/>
        </w:rPr>
        <w:t>9.</w:t>
      </w:r>
      <w:r>
        <w:rPr>
          <w:rFonts w:hint="eastAsia" w:eastAsia="宋体" w:cs="宋体"/>
        </w:rPr>
        <w:t>提供磋商响应供应商具有的《养老机构设立许可证》（或《设置养老机构备案回执》）和《医疗机构执业许可证》原件的复印件并加盖公章。</w:t>
      </w:r>
    </w:p>
    <w:p>
      <w:pPr>
        <w:adjustRightInd w:val="0"/>
        <w:snapToGrid w:val="0"/>
        <w:spacing w:line="420" w:lineRule="exact"/>
        <w:ind w:firstLine="487" w:firstLineChars="202"/>
        <w:jc w:val="left"/>
        <w:outlineLvl w:val="2"/>
        <w:rPr>
          <w:rFonts w:eastAsia="宋体" w:cs="宋体"/>
        </w:rPr>
      </w:pPr>
      <w:r>
        <w:rPr>
          <w:rFonts w:hint="eastAsia" w:eastAsia="宋体" w:cs="宋体"/>
          <w:b/>
          <w:bCs/>
        </w:rPr>
        <w:t>（三）</w:t>
      </w:r>
      <w:r>
        <w:rPr>
          <w:rFonts w:eastAsia="宋体" w:cs="宋体"/>
          <w:b/>
          <w:bCs/>
        </w:rPr>
        <w:t>C</w:t>
      </w:r>
      <w:r>
        <w:rPr>
          <w:rFonts w:hint="eastAsia" w:eastAsia="宋体" w:cs="宋体"/>
          <w:b/>
          <w:bCs/>
        </w:rPr>
        <w:t>技术标文件的内容</w:t>
      </w:r>
    </w:p>
    <w:p>
      <w:pPr>
        <w:adjustRightInd w:val="0"/>
        <w:snapToGrid w:val="0"/>
        <w:spacing w:line="420" w:lineRule="exact"/>
        <w:ind w:firstLine="487" w:firstLineChars="202"/>
        <w:jc w:val="left"/>
        <w:rPr>
          <w:rFonts w:eastAsia="宋体" w:cs="宋体"/>
        </w:rPr>
      </w:pPr>
      <w:r>
        <w:rPr>
          <w:rFonts w:hint="eastAsia" w:eastAsia="宋体" w:cs="宋体"/>
          <w:b/>
          <w:bCs/>
        </w:rPr>
        <w:t>【特别提醒】以下技术标文件的内容，不得有缺项或漏项。否则将有可能被视为未实质性响应磋商文件要求而作无效磋商处理，亦可能直接影响技术磋商评审的得分。供应商应根据本磋商文件第三章</w:t>
      </w:r>
      <w:r>
        <w:rPr>
          <w:rFonts w:eastAsia="宋体"/>
          <w:b/>
          <w:bCs/>
        </w:rPr>
        <w:t>“</w:t>
      </w:r>
      <w:r>
        <w:rPr>
          <w:rFonts w:hint="eastAsia" w:eastAsia="宋体" w:cs="宋体"/>
          <w:b/>
          <w:bCs/>
        </w:rPr>
        <w:t>项目需求</w:t>
      </w:r>
      <w:r>
        <w:rPr>
          <w:rFonts w:eastAsia="宋体"/>
          <w:b/>
          <w:bCs/>
        </w:rPr>
        <w:t>”</w:t>
      </w:r>
      <w:r>
        <w:rPr>
          <w:rFonts w:hint="eastAsia" w:eastAsia="宋体" w:cs="宋体"/>
          <w:b/>
          <w:bCs/>
        </w:rPr>
        <w:t>提供的主要技术规范、要求标准等，仔细阅读并在理解的基础上结合第四章</w:t>
      </w:r>
      <w:r>
        <w:rPr>
          <w:rFonts w:eastAsia="宋体"/>
          <w:b/>
          <w:bCs/>
        </w:rPr>
        <w:t>“</w:t>
      </w:r>
      <w:r>
        <w:rPr>
          <w:rFonts w:hint="eastAsia" w:eastAsia="宋体" w:cs="宋体"/>
          <w:b/>
          <w:bCs/>
        </w:rPr>
        <w:t>评审程序和方法</w:t>
      </w:r>
      <w:r>
        <w:rPr>
          <w:rFonts w:eastAsia="宋体"/>
          <w:b/>
          <w:bCs/>
        </w:rPr>
        <w:t>”</w:t>
      </w:r>
      <w:r>
        <w:rPr>
          <w:rFonts w:hint="eastAsia" w:eastAsia="宋体" w:cs="宋体"/>
          <w:b/>
          <w:bCs/>
        </w:rPr>
        <w:t>内的评审细则，编写编制技术标文件。</w:t>
      </w:r>
      <w:r>
        <w:rPr>
          <w:rFonts w:hint="eastAsia" w:eastAsia="宋体" w:cs="宋体"/>
          <w:b/>
          <w:bCs/>
          <w:u w:val="thick" w:color="FF0000"/>
        </w:rPr>
        <w:t>凡涉及材料原件的，须提供密封在</w:t>
      </w:r>
      <w:r>
        <w:rPr>
          <w:rFonts w:eastAsia="宋体"/>
          <w:b/>
          <w:bCs/>
          <w:u w:val="thick" w:color="FF0000"/>
        </w:rPr>
        <w:t>“A</w:t>
      </w:r>
      <w:r>
        <w:rPr>
          <w:rFonts w:hint="eastAsia" w:eastAsia="宋体" w:cs="宋体"/>
          <w:b/>
          <w:bCs/>
          <w:u w:val="thick" w:color="FF0000"/>
        </w:rPr>
        <w:t>磋商响应资料原件包</w:t>
      </w:r>
      <w:r>
        <w:rPr>
          <w:rFonts w:eastAsia="宋体"/>
          <w:b/>
          <w:bCs/>
          <w:u w:val="thick" w:color="FF0000"/>
        </w:rPr>
        <w:t>”</w:t>
      </w:r>
      <w:r>
        <w:rPr>
          <w:rFonts w:hint="eastAsia" w:eastAsia="宋体" w:cs="宋体"/>
          <w:b/>
          <w:bCs/>
          <w:u w:val="thick" w:color="FF0000"/>
        </w:rPr>
        <w:t>内，以便评审核查。</w:t>
      </w:r>
    </w:p>
    <w:p>
      <w:pPr>
        <w:adjustRightInd w:val="0"/>
        <w:snapToGrid w:val="0"/>
        <w:spacing w:line="420" w:lineRule="exact"/>
        <w:ind w:firstLine="484" w:firstLineChars="202"/>
        <w:jc w:val="left"/>
        <w:rPr>
          <w:rFonts w:eastAsia="宋体" w:cs="宋体"/>
        </w:rPr>
      </w:pPr>
      <w:bookmarkStart w:id="53" w:name="_Hlk71408429"/>
      <w:r>
        <w:rPr>
          <w:rFonts w:eastAsia="宋体" w:cs="宋体"/>
        </w:rPr>
        <w:t>1</w:t>
      </w:r>
      <w:r>
        <w:rPr>
          <w:rFonts w:hint="eastAsia" w:eastAsia="宋体" w:cs="宋体"/>
        </w:rPr>
        <w:t>、竞争性磋商响应函（格式参见第七章）；</w:t>
      </w:r>
    </w:p>
    <w:p>
      <w:pPr>
        <w:adjustRightInd w:val="0"/>
        <w:snapToGrid w:val="0"/>
        <w:spacing w:line="420" w:lineRule="exact"/>
        <w:ind w:firstLine="484" w:firstLineChars="202"/>
        <w:jc w:val="left"/>
        <w:rPr>
          <w:rFonts w:eastAsia="宋体" w:cs="宋体"/>
        </w:rPr>
      </w:pPr>
      <w:r>
        <w:rPr>
          <w:rFonts w:eastAsia="宋体" w:cs="宋体"/>
        </w:rPr>
        <w:t>2</w:t>
      </w:r>
      <w:r>
        <w:rPr>
          <w:rFonts w:hint="eastAsia" w:eastAsia="宋体" w:cs="宋体"/>
        </w:rPr>
        <w:t>、技术响应及偏离表、商务条款响应及偏离表（格式参见第七章）；</w:t>
      </w:r>
    </w:p>
    <w:p>
      <w:pPr>
        <w:adjustRightInd w:val="0"/>
        <w:snapToGrid w:val="0"/>
        <w:spacing w:line="420" w:lineRule="exact"/>
        <w:ind w:firstLine="484" w:firstLineChars="202"/>
        <w:jc w:val="left"/>
        <w:rPr>
          <w:rFonts w:eastAsia="宋体" w:cs="宋体"/>
        </w:rPr>
      </w:pPr>
      <w:r>
        <w:rPr>
          <w:rFonts w:hint="eastAsia" w:eastAsia="宋体" w:cs="宋体"/>
        </w:rPr>
        <w:t>填制正负偏离表，不完全响应的，必须在偏离表中列示，否则将认为供应商接受采购文件的所有要求。完全响应的，请以空白表列示。</w:t>
      </w:r>
    </w:p>
    <w:p>
      <w:pPr>
        <w:numPr>
          <w:ilvl w:val="0"/>
          <w:numId w:val="2"/>
        </w:numPr>
        <w:adjustRightInd w:val="0"/>
        <w:snapToGrid w:val="0"/>
        <w:spacing w:line="420" w:lineRule="exact"/>
        <w:ind w:firstLine="484" w:firstLineChars="202"/>
        <w:jc w:val="left"/>
        <w:rPr>
          <w:rFonts w:hint="eastAsia" w:eastAsia="宋体" w:cs="宋体"/>
        </w:rPr>
      </w:pPr>
      <w:r>
        <w:rPr>
          <w:rFonts w:hint="eastAsia" w:eastAsia="宋体" w:cs="宋体"/>
          <w:lang w:eastAsia="zh-CN"/>
        </w:rPr>
        <w:t>《</w:t>
      </w:r>
      <w:r>
        <w:rPr>
          <w:rFonts w:hint="eastAsia" w:eastAsia="宋体" w:cs="宋体"/>
        </w:rPr>
        <w:t>建设资金到位和专款专用的承诺函</w:t>
      </w:r>
      <w:r>
        <w:rPr>
          <w:rFonts w:hint="eastAsia" w:eastAsia="宋体" w:cs="宋体"/>
          <w:lang w:eastAsia="zh-CN"/>
        </w:rPr>
        <w:t>》、《</w:t>
      </w:r>
      <w:r>
        <w:rPr>
          <w:rFonts w:hint="eastAsia" w:eastAsia="宋体" w:cs="宋体"/>
        </w:rPr>
        <w:t>建设装饰装修工期保证承诺函</w:t>
      </w:r>
      <w:r>
        <w:rPr>
          <w:rFonts w:hint="eastAsia" w:eastAsia="宋体" w:cs="宋体"/>
          <w:lang w:eastAsia="zh-CN"/>
        </w:rPr>
        <w:t>》、</w:t>
      </w:r>
      <w:r>
        <w:rPr>
          <w:rFonts w:hint="eastAsia" w:eastAsia="宋体" w:cs="宋体"/>
        </w:rPr>
        <w:t>《服务到期配合承诺函》、《退出机制条款执行承诺函》等</w:t>
      </w:r>
      <w:r>
        <w:rPr>
          <w:rFonts w:hint="eastAsia" w:eastAsia="宋体" w:cs="宋体"/>
          <w:lang w:val="en-US" w:eastAsia="zh-CN"/>
        </w:rPr>
        <w:t>承诺函</w:t>
      </w:r>
      <w:r>
        <w:rPr>
          <w:rFonts w:hint="eastAsia" w:eastAsia="宋体" w:cs="宋体"/>
        </w:rPr>
        <w:t>（格式自拟）；</w:t>
      </w:r>
    </w:p>
    <w:p>
      <w:pPr>
        <w:adjustRightInd w:val="0"/>
        <w:snapToGrid w:val="0"/>
        <w:spacing w:line="420" w:lineRule="exact"/>
        <w:ind w:firstLine="484" w:firstLineChars="202"/>
        <w:jc w:val="left"/>
        <w:rPr>
          <w:rFonts w:eastAsia="宋体" w:cs="宋体"/>
        </w:rPr>
      </w:pPr>
      <w:r>
        <w:rPr>
          <w:rFonts w:eastAsia="宋体" w:cs="宋体"/>
        </w:rPr>
        <w:t>4</w:t>
      </w:r>
      <w:r>
        <w:rPr>
          <w:rFonts w:hint="eastAsia" w:eastAsia="宋体" w:cs="宋体"/>
        </w:rPr>
        <w:t>、现场踏勘函（格式参见第七章）；</w:t>
      </w:r>
    </w:p>
    <w:p>
      <w:pPr>
        <w:adjustRightInd w:val="0"/>
        <w:snapToGrid w:val="0"/>
        <w:spacing w:line="420" w:lineRule="exact"/>
        <w:ind w:firstLine="484" w:firstLineChars="202"/>
        <w:jc w:val="left"/>
        <w:rPr>
          <w:rFonts w:hint="eastAsia" w:eastAsia="宋体" w:cs="宋体"/>
          <w:lang w:eastAsia="zh-CN"/>
        </w:rPr>
      </w:pPr>
      <w:r>
        <w:rPr>
          <w:rFonts w:eastAsia="宋体" w:cs="宋体"/>
        </w:rPr>
        <w:t>5</w:t>
      </w:r>
      <w:r>
        <w:rPr>
          <w:rFonts w:hint="eastAsia" w:eastAsia="宋体" w:cs="宋体"/>
        </w:rPr>
        <w:t>、</w:t>
      </w:r>
      <w:r>
        <w:rPr>
          <w:rFonts w:hint="eastAsia" w:eastAsia="宋体" w:cs="宋体"/>
          <w:lang w:val="en-US" w:eastAsia="zh-CN"/>
        </w:rPr>
        <w:t>结合项目需求及</w:t>
      </w:r>
      <w:r>
        <w:rPr>
          <w:rFonts w:hint="eastAsia" w:eastAsia="宋体" w:cs="宋体"/>
        </w:rPr>
        <w:t>评标办法中所涉及的事项需提供的所有资料</w:t>
      </w:r>
      <w:r>
        <w:rPr>
          <w:rFonts w:hint="eastAsia" w:eastAsia="宋体" w:cs="宋体"/>
          <w:lang w:val="en-US" w:eastAsia="zh-CN"/>
        </w:rPr>
        <w:t>；</w:t>
      </w:r>
    </w:p>
    <w:p>
      <w:pPr>
        <w:adjustRightInd w:val="0"/>
        <w:snapToGrid w:val="0"/>
        <w:spacing w:line="420" w:lineRule="exact"/>
        <w:ind w:firstLine="487" w:firstLineChars="202"/>
        <w:jc w:val="left"/>
        <w:rPr>
          <w:rFonts w:eastAsia="宋体" w:cs="宋体"/>
        </w:rPr>
      </w:pPr>
      <w:r>
        <w:rPr>
          <w:rFonts w:hint="eastAsia" w:eastAsia="宋体" w:cs="宋体"/>
          <w:b/>
          <w:bCs/>
        </w:rPr>
        <w:t>【特别提醒】</w:t>
      </w:r>
      <w:r>
        <w:rPr>
          <w:rFonts w:hint="eastAsia" w:eastAsia="宋体" w:cs="宋体"/>
        </w:rPr>
        <w:t>现场述标的</w:t>
      </w:r>
      <w:r>
        <w:rPr>
          <w:rFonts w:eastAsia="宋体" w:cs="宋体"/>
        </w:rPr>
        <w:t>PPT</w:t>
      </w:r>
      <w:r>
        <w:rPr>
          <w:rFonts w:hint="eastAsia" w:eastAsia="宋体" w:cs="宋体"/>
        </w:rPr>
        <w:t>电子文件以</w:t>
      </w:r>
      <w:r>
        <w:rPr>
          <w:rFonts w:eastAsia="宋体" w:cs="宋体"/>
        </w:rPr>
        <w:t>U</w:t>
      </w:r>
      <w:r>
        <w:rPr>
          <w:rFonts w:hint="eastAsia" w:eastAsia="宋体" w:cs="宋体"/>
        </w:rPr>
        <w:t>盘装载，密封在“技术响应文件”内，供应商应做好相应防护措施，以免电子文件无法读取。否则后果由供应商自行承担。</w:t>
      </w:r>
    </w:p>
    <w:p>
      <w:pPr>
        <w:adjustRightInd w:val="0"/>
        <w:snapToGrid w:val="0"/>
        <w:spacing w:line="420" w:lineRule="exact"/>
        <w:ind w:firstLine="484" w:firstLineChars="202"/>
        <w:jc w:val="left"/>
        <w:rPr>
          <w:rFonts w:eastAsia="宋体" w:cs="宋体"/>
        </w:rPr>
      </w:pPr>
      <w:r>
        <w:rPr>
          <w:rFonts w:hint="eastAsia" w:eastAsia="宋体" w:cs="宋体"/>
        </w:rPr>
        <w:t>（</w:t>
      </w:r>
      <w:r>
        <w:rPr>
          <w:rFonts w:eastAsia="宋体" w:cs="宋体"/>
        </w:rPr>
        <w:t>1</w:t>
      </w:r>
      <w:r>
        <w:rPr>
          <w:rFonts w:hint="eastAsia" w:eastAsia="宋体" w:cs="宋体"/>
        </w:rPr>
        <w:t>）本次技术标响应评审评分阶段有现场述标，供应商须自带电脑设备，采用</w:t>
      </w:r>
      <w:r>
        <w:rPr>
          <w:rFonts w:eastAsia="宋体" w:cs="宋体"/>
        </w:rPr>
        <w:t>PPT</w:t>
      </w:r>
      <w:r>
        <w:rPr>
          <w:rFonts w:hint="eastAsia" w:eastAsia="宋体" w:cs="宋体"/>
        </w:rPr>
        <w:t>的形式。按“综合性养老服务中心建设及运营管理”、“居家养老服务中心（站）运营管理”、“政府购买居家养老服务”、“残疾人之家运营管理”四项内容，在理解本项目承办运营服务的总体目标基础上，就“投资建设、运营服务、管理思路（含应急处置、投诉处理）、市场化服务拓展”四个方面，进行现场讲解述标；</w:t>
      </w:r>
    </w:p>
    <w:p>
      <w:pPr>
        <w:adjustRightInd w:val="0"/>
        <w:snapToGrid w:val="0"/>
        <w:spacing w:line="420" w:lineRule="exact"/>
        <w:ind w:firstLine="484" w:firstLineChars="202"/>
        <w:jc w:val="left"/>
        <w:rPr>
          <w:rFonts w:eastAsia="宋体" w:cs="宋体"/>
        </w:rPr>
      </w:pPr>
      <w:r>
        <w:rPr>
          <w:rFonts w:hint="eastAsia" w:eastAsia="宋体" w:cs="宋体"/>
        </w:rPr>
        <w:t>（</w:t>
      </w:r>
      <w:r>
        <w:rPr>
          <w:rFonts w:eastAsia="宋体" w:cs="宋体"/>
        </w:rPr>
        <w:t>2</w:t>
      </w:r>
      <w:r>
        <w:rPr>
          <w:rFonts w:hint="eastAsia" w:eastAsia="宋体" w:cs="宋体"/>
        </w:rPr>
        <w:t>）讲解时间控制在</w:t>
      </w:r>
      <w:r>
        <w:rPr>
          <w:rFonts w:eastAsia="宋体" w:cs="宋体"/>
        </w:rPr>
        <w:t>10-15</w:t>
      </w:r>
      <w:r>
        <w:rPr>
          <w:rFonts w:hint="eastAsia" w:eastAsia="宋体" w:cs="宋体"/>
        </w:rPr>
        <w:t>分钟内。并对评标委员会现场提出的问题进行解答。</w:t>
      </w:r>
    </w:p>
    <w:p>
      <w:pPr>
        <w:adjustRightInd w:val="0"/>
        <w:snapToGrid w:val="0"/>
        <w:spacing w:line="420" w:lineRule="exact"/>
        <w:ind w:firstLine="484" w:firstLineChars="202"/>
        <w:jc w:val="left"/>
        <w:rPr>
          <w:rFonts w:eastAsia="宋体" w:cs="宋体"/>
        </w:rPr>
      </w:pPr>
      <w:r>
        <w:rPr>
          <w:rFonts w:eastAsia="宋体" w:cs="宋体"/>
        </w:rPr>
        <w:t>6</w:t>
      </w:r>
      <w:r>
        <w:rPr>
          <w:rFonts w:hint="eastAsia" w:eastAsia="宋体" w:cs="宋体"/>
        </w:rPr>
        <w:t>、采购文件要求递交的其他材料；</w:t>
      </w:r>
    </w:p>
    <w:p>
      <w:pPr>
        <w:adjustRightInd w:val="0"/>
        <w:snapToGrid w:val="0"/>
        <w:spacing w:line="420" w:lineRule="exact"/>
        <w:ind w:firstLine="484" w:firstLineChars="202"/>
        <w:jc w:val="left"/>
        <w:rPr>
          <w:rFonts w:eastAsia="宋体" w:cs="宋体"/>
        </w:rPr>
      </w:pPr>
      <w:r>
        <w:rPr>
          <w:rFonts w:eastAsia="宋体" w:cs="宋体"/>
        </w:rPr>
        <w:t>7</w:t>
      </w:r>
      <w:r>
        <w:rPr>
          <w:rFonts w:hint="eastAsia" w:eastAsia="宋体" w:cs="宋体"/>
        </w:rPr>
        <w:t>、评标办法中未涉及的事项，供应商认为需要提交的其他资料。</w:t>
      </w:r>
    </w:p>
    <w:p>
      <w:pPr>
        <w:adjustRightInd w:val="0"/>
        <w:snapToGrid w:val="0"/>
        <w:spacing w:line="420" w:lineRule="exact"/>
        <w:ind w:firstLine="484" w:firstLineChars="202"/>
        <w:jc w:val="left"/>
        <w:rPr>
          <w:rFonts w:hint="eastAsia" w:eastAsia="宋体" w:cs="宋体"/>
          <w:lang w:eastAsia="zh-CN"/>
        </w:rPr>
      </w:pPr>
      <w:r>
        <w:rPr>
          <w:rFonts w:hint="eastAsia" w:eastAsia="宋体" w:cs="宋体"/>
        </w:rPr>
        <w:t>注：为方便评委评估，请供应商按评标办法中所涉及的事项顺序进行编制，可以补充相关材料</w:t>
      </w:r>
      <w:r>
        <w:rPr>
          <w:rFonts w:hint="eastAsia" w:eastAsia="宋体" w:cs="宋体"/>
          <w:lang w:eastAsia="zh-CN"/>
        </w:rPr>
        <w:t>。</w:t>
      </w:r>
    </w:p>
    <w:p>
      <w:pPr>
        <w:spacing w:line="480" w:lineRule="exact"/>
        <w:ind w:firstLine="482" w:firstLineChars="200"/>
        <w:rPr>
          <w:rFonts w:hAnsi="宋体" w:cs="宋体"/>
          <w:b/>
          <w:bCs/>
        </w:rPr>
      </w:pPr>
      <w:r>
        <w:rPr>
          <w:rFonts w:hint="eastAsia" w:eastAsia="宋体" w:cs="宋体"/>
          <w:b/>
          <w:bCs/>
        </w:rPr>
        <w:t>（四）响应文件</w:t>
      </w:r>
      <w:r>
        <w:rPr>
          <w:rFonts w:eastAsia="宋体" w:cs="宋体"/>
          <w:b/>
          <w:bCs/>
        </w:rPr>
        <w:t>D</w:t>
      </w:r>
      <w:r>
        <w:rPr>
          <w:rFonts w:hint="eastAsia" w:eastAsia="宋体" w:cs="宋体"/>
          <w:b/>
          <w:bCs/>
        </w:rPr>
        <w:t>电子版（</w:t>
      </w:r>
      <w:r>
        <w:rPr>
          <w:rFonts w:eastAsia="宋体" w:cs="宋体"/>
          <w:b/>
          <w:bCs/>
        </w:rPr>
        <w:t>U</w:t>
      </w:r>
      <w:r>
        <w:rPr>
          <w:rFonts w:hint="eastAsia" w:eastAsia="宋体" w:cs="宋体"/>
          <w:b/>
          <w:bCs/>
        </w:rPr>
        <w:t>盘）的内容</w:t>
      </w:r>
      <w:r>
        <w:rPr>
          <w:rFonts w:hint="eastAsia" w:hAnsi="宋体" w:cs="宋体"/>
          <w:b/>
          <w:bCs/>
        </w:rPr>
        <w:t>：</w:t>
      </w:r>
    </w:p>
    <w:p>
      <w:pPr>
        <w:pStyle w:val="18"/>
        <w:ind w:firstLine="480" w:firstLineChars="200"/>
        <w:rPr>
          <w:rFonts w:ascii="Times New Roman" w:eastAsia="宋体" w:cs="宋体"/>
          <w:kern w:val="2"/>
          <w:sz w:val="24"/>
          <w:szCs w:val="24"/>
        </w:rPr>
      </w:pPr>
      <w:r>
        <w:rPr>
          <w:rFonts w:hint="eastAsia" w:ascii="Times New Roman" w:eastAsia="宋体" w:cs="宋体"/>
          <w:kern w:val="2"/>
          <w:sz w:val="24"/>
          <w:szCs w:val="24"/>
        </w:rPr>
        <w:t>响应文件电子版单独封装</w:t>
      </w:r>
      <w:r>
        <w:rPr>
          <w:rFonts w:ascii="Times New Roman" w:eastAsia="宋体" w:cs="宋体"/>
          <w:kern w:val="2"/>
          <w:sz w:val="24"/>
          <w:szCs w:val="24"/>
        </w:rPr>
        <w:t>U</w:t>
      </w:r>
      <w:r>
        <w:rPr>
          <w:rFonts w:hint="eastAsia" w:ascii="Times New Roman" w:eastAsia="宋体" w:cs="宋体"/>
          <w:kern w:val="2"/>
          <w:sz w:val="24"/>
          <w:szCs w:val="24"/>
        </w:rPr>
        <w:t>盘</w:t>
      </w:r>
      <w:r>
        <w:rPr>
          <w:rFonts w:ascii="Times New Roman" w:eastAsia="宋体" w:cs="宋体"/>
          <w:kern w:val="2"/>
          <w:sz w:val="24"/>
          <w:szCs w:val="24"/>
        </w:rPr>
        <w:t>1</w:t>
      </w:r>
      <w:r>
        <w:rPr>
          <w:rFonts w:hint="eastAsia" w:ascii="Times New Roman" w:eastAsia="宋体" w:cs="宋体"/>
          <w:kern w:val="2"/>
          <w:sz w:val="24"/>
          <w:szCs w:val="24"/>
        </w:rPr>
        <w:t>个（必须提供），电子版为有签字盖章的</w:t>
      </w:r>
      <w:r>
        <w:rPr>
          <w:rFonts w:ascii="Times New Roman" w:eastAsia="宋体" w:cs="宋体"/>
          <w:kern w:val="2"/>
          <w:sz w:val="24"/>
          <w:szCs w:val="24"/>
        </w:rPr>
        <w:t>PDF</w:t>
      </w:r>
      <w:r>
        <w:rPr>
          <w:rFonts w:hint="eastAsia" w:ascii="Times New Roman" w:eastAsia="宋体" w:cs="宋体"/>
          <w:kern w:val="2"/>
          <w:sz w:val="24"/>
          <w:szCs w:val="24"/>
        </w:rPr>
        <w:t>文件。单独密封（一个封装）提交，内容包括：</w:t>
      </w:r>
      <w:r>
        <w:rPr>
          <w:rFonts w:ascii="Times New Roman" w:eastAsia="宋体" w:cs="宋体"/>
          <w:kern w:val="2"/>
          <w:sz w:val="24"/>
          <w:szCs w:val="24"/>
        </w:rPr>
        <w:t>B</w:t>
      </w:r>
      <w:r>
        <w:rPr>
          <w:rFonts w:hint="eastAsia" w:ascii="Times New Roman" w:eastAsia="宋体" w:cs="宋体"/>
          <w:kern w:val="2"/>
          <w:sz w:val="24"/>
          <w:szCs w:val="24"/>
        </w:rPr>
        <w:t>资格后审材料文件、</w:t>
      </w:r>
      <w:r>
        <w:rPr>
          <w:rFonts w:ascii="Times New Roman" w:eastAsia="宋体" w:cs="宋体"/>
          <w:kern w:val="2"/>
          <w:sz w:val="24"/>
          <w:szCs w:val="24"/>
        </w:rPr>
        <w:t>C</w:t>
      </w:r>
      <w:r>
        <w:rPr>
          <w:rFonts w:hint="eastAsia" w:ascii="Times New Roman" w:eastAsia="宋体" w:cs="宋体"/>
          <w:kern w:val="2"/>
          <w:sz w:val="24"/>
          <w:szCs w:val="24"/>
        </w:rPr>
        <w:t>技术标文件的全部内容。</w:t>
      </w:r>
    </w:p>
    <w:bookmarkEnd w:id="53"/>
    <w:p>
      <w:pPr>
        <w:adjustRightInd w:val="0"/>
        <w:snapToGrid w:val="0"/>
        <w:spacing w:line="420" w:lineRule="exact"/>
        <w:ind w:firstLine="487" w:firstLineChars="202"/>
        <w:jc w:val="left"/>
        <w:outlineLvl w:val="1"/>
        <w:rPr>
          <w:rFonts w:eastAsia="宋体" w:cs="宋体"/>
          <w:b/>
          <w:bCs/>
        </w:rPr>
      </w:pPr>
      <w:r>
        <w:rPr>
          <w:rFonts w:hint="eastAsia" w:eastAsia="宋体" w:cs="宋体"/>
          <w:b/>
          <w:bCs/>
        </w:rPr>
        <w:t>三、磋商响应文件封面范例及相关格式</w:t>
      </w:r>
    </w:p>
    <w:p>
      <w:pPr>
        <w:snapToGrid w:val="0"/>
        <w:spacing w:beforeLines="100" w:line="420" w:lineRule="exact"/>
        <w:jc w:val="center"/>
        <w:outlineLvl w:val="4"/>
        <w:rPr>
          <w:rFonts w:eastAsia="宋体"/>
          <w:b/>
          <w:bCs/>
        </w:rPr>
      </w:pPr>
      <w:r>
        <w:rPr>
          <w:rFonts w:hint="eastAsia" w:eastAsia="宋体"/>
          <w:b/>
          <w:bCs/>
        </w:rPr>
        <w:t>（</w:t>
      </w:r>
      <w:r>
        <w:rPr>
          <w:rFonts w:eastAsia="宋体"/>
          <w:b/>
          <w:bCs/>
        </w:rPr>
        <w:t>1</w:t>
      </w:r>
      <w:r>
        <w:rPr>
          <w:rFonts w:hint="eastAsia" w:eastAsia="宋体"/>
          <w:b/>
          <w:bCs/>
        </w:rPr>
        <w:t>）磋商响应文件封面</w:t>
      </w:r>
    </w:p>
    <w:p>
      <w:pPr>
        <w:spacing w:beforeLines="100" w:line="360" w:lineRule="exact"/>
        <w:jc w:val="center"/>
        <w:rPr>
          <w:rFonts w:eastAsia="宋体"/>
          <w:w w:val="80"/>
          <w:kern w:val="44"/>
          <w:sz w:val="36"/>
          <w:szCs w:val="36"/>
        </w:rPr>
      </w:pPr>
      <w:r>
        <w:rPr>
          <w:rFonts w:hint="eastAsia" w:eastAsia="宋体" w:cs="宋体"/>
          <w:w w:val="80"/>
          <w:kern w:val="44"/>
          <w:sz w:val="36"/>
          <w:szCs w:val="36"/>
        </w:rPr>
        <w:t>南通市崇川区钟秀街道办事处综合性养老服务中心建设及运营管理、居家养老服务中心（站）运营管理、政府购买居家养老服务、残疾人之家运营管理项目</w:t>
      </w:r>
    </w:p>
    <w:p>
      <w:pPr>
        <w:spacing w:beforeLines="100" w:line="360" w:lineRule="exact"/>
        <w:jc w:val="center"/>
        <w:rPr>
          <w:rFonts w:eastAsia="宋体"/>
          <w:w w:val="80"/>
          <w:kern w:val="44"/>
          <w:sz w:val="36"/>
          <w:szCs w:val="36"/>
        </w:rPr>
      </w:pPr>
    </w:p>
    <w:p>
      <w:pPr>
        <w:spacing w:line="520" w:lineRule="exact"/>
        <w:jc w:val="center"/>
        <w:rPr>
          <w:rFonts w:eastAsia="宋体"/>
          <w:sz w:val="44"/>
          <w:szCs w:val="44"/>
        </w:rPr>
      </w:pPr>
      <w:r>
        <w:rPr>
          <w:rFonts w:hint="eastAsia" w:eastAsia="宋体" w:cs="宋体"/>
          <w:sz w:val="44"/>
          <w:szCs w:val="44"/>
        </w:rPr>
        <w:t>竞争性磋商响应文件</w:t>
      </w:r>
    </w:p>
    <w:p>
      <w:pPr>
        <w:spacing w:line="520" w:lineRule="exact"/>
        <w:jc w:val="center"/>
        <w:rPr>
          <w:rFonts w:eastAsia="宋体"/>
          <w:sz w:val="36"/>
          <w:szCs w:val="36"/>
        </w:rPr>
      </w:pPr>
    </w:p>
    <w:p>
      <w:pPr>
        <w:spacing w:line="360" w:lineRule="exact"/>
        <w:ind w:firstLine="1920" w:firstLineChars="800"/>
        <w:rPr>
          <w:rFonts w:eastAsia="宋体"/>
        </w:rPr>
      </w:pPr>
      <w:r>
        <w:rPr>
          <w:rFonts w:hint="eastAsia" w:eastAsia="宋体" w:cs="宋体"/>
        </w:rPr>
        <w:t>对应磋商响应文件，相应填写：</w:t>
      </w:r>
      <w:r>
        <w:rPr>
          <w:rFonts w:eastAsia="宋体"/>
        </w:rPr>
        <w:t xml:space="preserve"> A</w:t>
      </w:r>
      <w:r>
        <w:rPr>
          <w:rFonts w:hint="eastAsia" w:eastAsia="宋体" w:cs="宋体"/>
        </w:rPr>
        <w:t>磋商响应资料原件包</w:t>
      </w:r>
    </w:p>
    <w:p>
      <w:pPr>
        <w:spacing w:line="360" w:lineRule="exact"/>
        <w:ind w:firstLine="5438" w:firstLineChars="2266"/>
        <w:jc w:val="left"/>
        <w:rPr>
          <w:rFonts w:eastAsia="宋体"/>
        </w:rPr>
      </w:pPr>
      <w:r>
        <w:rPr>
          <w:rFonts w:eastAsia="宋体"/>
        </w:rPr>
        <w:t>B</w:t>
      </w:r>
      <w:r>
        <w:rPr>
          <w:rFonts w:hint="eastAsia" w:eastAsia="宋体" w:cs="宋体"/>
        </w:rPr>
        <w:t>资格后审材料文件</w:t>
      </w:r>
    </w:p>
    <w:p>
      <w:pPr>
        <w:spacing w:line="360" w:lineRule="exact"/>
        <w:ind w:firstLine="5438" w:firstLineChars="2266"/>
        <w:jc w:val="left"/>
        <w:rPr>
          <w:rFonts w:eastAsia="宋体" w:cs="宋体"/>
        </w:rPr>
      </w:pPr>
      <w:r>
        <w:rPr>
          <w:rFonts w:eastAsia="宋体"/>
        </w:rPr>
        <w:t>C</w:t>
      </w:r>
      <w:r>
        <w:rPr>
          <w:rFonts w:hint="eastAsia" w:eastAsia="宋体" w:cs="宋体"/>
        </w:rPr>
        <w:t>技术响应文件</w:t>
      </w:r>
    </w:p>
    <w:p>
      <w:pPr>
        <w:spacing w:line="360" w:lineRule="exact"/>
        <w:ind w:firstLine="5438" w:firstLineChars="2266"/>
        <w:jc w:val="left"/>
        <w:rPr>
          <w:rFonts w:eastAsia="宋体"/>
        </w:rPr>
      </w:pPr>
      <w:r>
        <w:rPr>
          <w:rFonts w:eastAsia="宋体"/>
        </w:rPr>
        <w:t>D</w:t>
      </w:r>
      <w:r>
        <w:rPr>
          <w:rFonts w:hint="eastAsia" w:eastAsia="宋体"/>
        </w:rPr>
        <w:t>响应文件电子版（</w:t>
      </w:r>
      <w:r>
        <w:rPr>
          <w:rFonts w:eastAsia="宋体"/>
        </w:rPr>
        <w:t>U</w:t>
      </w:r>
      <w:r>
        <w:rPr>
          <w:rFonts w:hint="eastAsia" w:eastAsia="宋体"/>
        </w:rPr>
        <w:t>盘）</w:t>
      </w:r>
    </w:p>
    <w:p>
      <w:pPr>
        <w:spacing w:line="360" w:lineRule="exact"/>
        <w:jc w:val="center"/>
        <w:rPr>
          <w:rFonts w:eastAsia="宋体"/>
        </w:rPr>
      </w:pPr>
    </w:p>
    <w:p>
      <w:pPr>
        <w:spacing w:line="360" w:lineRule="exact"/>
        <w:jc w:val="center"/>
        <w:rPr>
          <w:rFonts w:eastAsia="宋体"/>
        </w:rPr>
      </w:pPr>
    </w:p>
    <w:p>
      <w:pPr>
        <w:spacing w:line="360" w:lineRule="exact"/>
        <w:jc w:val="center"/>
        <w:rPr>
          <w:rFonts w:eastAsia="宋体"/>
        </w:rPr>
      </w:pPr>
    </w:p>
    <w:p>
      <w:pPr>
        <w:spacing w:line="360" w:lineRule="exact"/>
        <w:jc w:val="center"/>
        <w:rPr>
          <w:rFonts w:eastAsia="宋体"/>
        </w:rPr>
      </w:pPr>
    </w:p>
    <w:p>
      <w:pPr>
        <w:spacing w:line="360" w:lineRule="exact"/>
        <w:jc w:val="center"/>
        <w:rPr>
          <w:rFonts w:eastAsia="宋体"/>
        </w:rPr>
      </w:pPr>
    </w:p>
    <w:p>
      <w:pPr>
        <w:spacing w:line="360" w:lineRule="exact"/>
        <w:jc w:val="center"/>
        <w:rPr>
          <w:rFonts w:eastAsia="宋体"/>
        </w:rPr>
      </w:pPr>
    </w:p>
    <w:p>
      <w:pPr>
        <w:spacing w:line="360" w:lineRule="exact"/>
        <w:jc w:val="center"/>
        <w:rPr>
          <w:rFonts w:eastAsia="宋体"/>
        </w:rPr>
      </w:pPr>
    </w:p>
    <w:p>
      <w:pPr>
        <w:spacing w:line="360" w:lineRule="exact"/>
        <w:jc w:val="center"/>
        <w:rPr>
          <w:rFonts w:eastAsia="宋体"/>
        </w:rPr>
      </w:pPr>
    </w:p>
    <w:p>
      <w:pPr>
        <w:spacing w:line="360" w:lineRule="exact"/>
        <w:jc w:val="center"/>
        <w:rPr>
          <w:rFonts w:eastAsia="宋体"/>
        </w:rPr>
      </w:pPr>
    </w:p>
    <w:p>
      <w:pPr>
        <w:spacing w:line="360" w:lineRule="exact"/>
        <w:jc w:val="center"/>
        <w:rPr>
          <w:rFonts w:eastAsia="宋体"/>
        </w:rPr>
      </w:pPr>
    </w:p>
    <w:p>
      <w:pPr>
        <w:spacing w:line="360" w:lineRule="exact"/>
        <w:jc w:val="center"/>
        <w:rPr>
          <w:rFonts w:eastAsia="宋体"/>
        </w:rPr>
      </w:pPr>
    </w:p>
    <w:p>
      <w:pPr>
        <w:spacing w:line="360" w:lineRule="exact"/>
        <w:jc w:val="center"/>
        <w:rPr>
          <w:rFonts w:eastAsia="宋体"/>
        </w:rPr>
      </w:pPr>
    </w:p>
    <w:p>
      <w:pPr>
        <w:pStyle w:val="49"/>
        <w:ind w:firstLine="31680"/>
      </w:pPr>
    </w:p>
    <w:p>
      <w:pPr>
        <w:spacing w:line="360" w:lineRule="exact"/>
        <w:jc w:val="center"/>
        <w:rPr>
          <w:rFonts w:eastAsia="宋体"/>
        </w:rPr>
      </w:pPr>
    </w:p>
    <w:p>
      <w:pPr>
        <w:adjustRightInd w:val="0"/>
        <w:snapToGrid w:val="0"/>
        <w:spacing w:line="420" w:lineRule="exact"/>
        <w:jc w:val="center"/>
        <w:rPr>
          <w:rFonts w:eastAsia="宋体"/>
        </w:rPr>
      </w:pPr>
      <w:r>
        <w:rPr>
          <w:rFonts w:hint="eastAsia" w:eastAsia="宋体" w:cs="宋体"/>
        </w:rPr>
        <w:t>供应商：参加磋商响应单位全称</w:t>
      </w:r>
    </w:p>
    <w:p>
      <w:pPr>
        <w:snapToGrid w:val="0"/>
        <w:spacing w:line="420" w:lineRule="exact"/>
        <w:jc w:val="center"/>
        <w:rPr>
          <w:rFonts w:eastAsia="宋体" w:cs="宋体"/>
        </w:rPr>
      </w:pPr>
      <w:r>
        <w:rPr>
          <w:rFonts w:hint="eastAsia" w:eastAsia="宋体" w:cs="宋体"/>
        </w:rPr>
        <w:t>二〇二二年</w:t>
      </w:r>
      <w:r>
        <w:rPr>
          <w:rFonts w:eastAsia="宋体" w:cs="宋体"/>
        </w:rPr>
        <w:t xml:space="preserve">  </w:t>
      </w:r>
      <w:r>
        <w:rPr>
          <w:rFonts w:hint="eastAsia" w:eastAsia="宋体" w:cs="宋体"/>
        </w:rPr>
        <w:t>月</w:t>
      </w:r>
      <w:r>
        <w:rPr>
          <w:rFonts w:eastAsia="宋体" w:cs="宋体"/>
        </w:rPr>
        <w:t xml:space="preserve">  </w:t>
      </w:r>
      <w:r>
        <w:rPr>
          <w:rFonts w:hint="eastAsia" w:eastAsia="宋体" w:cs="宋体"/>
        </w:rPr>
        <w:t>日</w:t>
      </w:r>
    </w:p>
    <w:p>
      <w:pPr>
        <w:snapToGrid w:val="0"/>
        <w:spacing w:line="420" w:lineRule="exact"/>
        <w:jc w:val="center"/>
        <w:rPr>
          <w:rFonts w:eastAsia="宋体"/>
        </w:rPr>
      </w:pPr>
    </w:p>
    <w:p>
      <w:pPr>
        <w:jc w:val="center"/>
        <w:rPr>
          <w:rFonts w:eastAsia="宋体"/>
          <w:b/>
          <w:bCs/>
        </w:rPr>
      </w:pPr>
      <w:r>
        <w:rPr>
          <w:rFonts w:hint="eastAsia" w:eastAsia="宋体"/>
          <w:b/>
          <w:bCs/>
        </w:rPr>
        <w:t>（</w:t>
      </w:r>
      <w:r>
        <w:rPr>
          <w:rFonts w:eastAsia="宋体"/>
          <w:b/>
          <w:bCs/>
        </w:rPr>
        <w:t>2</w:t>
      </w:r>
      <w:r>
        <w:rPr>
          <w:rFonts w:hint="eastAsia" w:eastAsia="宋体"/>
          <w:b/>
          <w:bCs/>
        </w:rPr>
        <w:t>）</w:t>
      </w:r>
      <w:r>
        <w:rPr>
          <w:rFonts w:hint="eastAsia" w:eastAsia="宋体" w:cs="宋体"/>
          <w:b/>
          <w:bCs/>
        </w:rPr>
        <w:t>法定代表人身份证明</w:t>
      </w:r>
    </w:p>
    <w:p>
      <w:pPr>
        <w:snapToGrid w:val="0"/>
        <w:spacing w:beforeLines="100" w:afterLines="100" w:line="420" w:lineRule="exact"/>
        <w:rPr>
          <w:rFonts w:eastAsia="宋体"/>
        </w:rPr>
      </w:pPr>
      <w:bookmarkStart w:id="54" w:name="_Hlk49178957"/>
      <w:r>
        <w:rPr>
          <w:rFonts w:hint="eastAsia" w:eastAsia="宋体" w:cs="宋体"/>
        </w:rPr>
        <w:t>南通市崇川区钟秀街道办事处：</w:t>
      </w:r>
      <w:bookmarkEnd w:id="54"/>
    </w:p>
    <w:p>
      <w:pPr>
        <w:snapToGrid w:val="0"/>
        <w:spacing w:line="420" w:lineRule="exact"/>
        <w:ind w:firstLine="480" w:firstLineChars="200"/>
        <w:rPr>
          <w:rFonts w:eastAsia="宋体"/>
        </w:rPr>
      </w:pPr>
      <w:r>
        <w:rPr>
          <w:rFonts w:hint="eastAsia" w:eastAsia="宋体" w:cs="宋体"/>
        </w:rPr>
        <w:t>（先生／女士）现任我单位</w:t>
      </w:r>
      <w:r>
        <w:rPr>
          <w:rFonts w:hint="eastAsia" w:eastAsia="宋体" w:cs="宋体"/>
          <w:u w:val="single"/>
        </w:rPr>
        <w:t>　　　　　　　</w:t>
      </w:r>
      <w:r>
        <w:rPr>
          <w:rFonts w:hint="eastAsia" w:eastAsia="宋体" w:cs="宋体"/>
        </w:rPr>
        <w:t>职务，为法定代表人，特此证明。</w:t>
      </w:r>
    </w:p>
    <w:p>
      <w:pPr>
        <w:snapToGrid w:val="0"/>
        <w:spacing w:line="420" w:lineRule="exact"/>
        <w:ind w:firstLine="480" w:firstLineChars="200"/>
        <w:rPr>
          <w:rFonts w:eastAsia="宋体"/>
          <w:u w:val="single"/>
        </w:rPr>
      </w:pPr>
      <w:r>
        <w:rPr>
          <w:rFonts w:hint="eastAsia" w:eastAsia="宋体" w:cs="宋体"/>
        </w:rPr>
        <w:t>身份证号码：</w:t>
      </w:r>
    </w:p>
    <w:p>
      <w:pPr>
        <w:snapToGrid w:val="0"/>
        <w:spacing w:line="420" w:lineRule="exact"/>
        <w:ind w:firstLine="484" w:firstLineChars="202"/>
        <w:jc w:val="right"/>
        <w:rPr>
          <w:rFonts w:eastAsia="宋体"/>
        </w:rPr>
      </w:pPr>
      <w:r>
        <w:rPr>
          <w:rFonts w:hint="eastAsia" w:eastAsia="宋体" w:cs="宋体"/>
        </w:rPr>
        <w:t>供应商（盖章）</w:t>
      </w:r>
    </w:p>
    <w:p>
      <w:pPr>
        <w:snapToGrid w:val="0"/>
        <w:spacing w:line="420" w:lineRule="exact"/>
        <w:ind w:firstLine="484" w:firstLineChars="202"/>
        <w:jc w:val="right"/>
        <w:rPr>
          <w:rFonts w:eastAsia="宋体"/>
        </w:rPr>
      </w:pPr>
      <w:r>
        <w:rPr>
          <w:rFonts w:hint="eastAsia" w:eastAsia="宋体" w:cs="宋体"/>
        </w:rPr>
        <w:t>二〇二二年</w:t>
      </w:r>
      <w:r>
        <w:rPr>
          <w:rFonts w:eastAsia="宋体" w:cs="宋体"/>
        </w:rPr>
        <w:t xml:space="preserve">  </w:t>
      </w:r>
      <w:r>
        <w:rPr>
          <w:rFonts w:hint="eastAsia" w:eastAsia="宋体" w:cs="宋体"/>
        </w:rPr>
        <w:t>月</w:t>
      </w:r>
      <w:r>
        <w:rPr>
          <w:rFonts w:eastAsia="宋体" w:cs="宋体"/>
        </w:rPr>
        <w:t xml:space="preserve">  </w:t>
      </w:r>
      <w:r>
        <w:rPr>
          <w:rFonts w:hint="eastAsia" w:eastAsia="宋体" w:cs="宋体"/>
        </w:rPr>
        <w:t>日</w:t>
      </w:r>
    </w:p>
    <w:p>
      <w:pPr>
        <w:snapToGrid w:val="0"/>
        <w:spacing w:line="420" w:lineRule="exact"/>
        <w:ind w:firstLine="484" w:firstLineChars="202"/>
        <w:jc w:val="left"/>
        <w:rPr>
          <w:rFonts w:eastAsia="宋体"/>
        </w:rPr>
      </w:pPr>
    </w:p>
    <w:p>
      <w:pPr>
        <w:snapToGrid w:val="0"/>
        <w:spacing w:line="420" w:lineRule="exact"/>
        <w:ind w:firstLine="484" w:firstLineChars="202"/>
        <w:jc w:val="left"/>
        <w:rPr>
          <w:rFonts w:eastAsia="宋体"/>
        </w:rPr>
      </w:pPr>
    </w:p>
    <w:p>
      <w:pPr>
        <w:snapToGrid w:val="0"/>
        <w:spacing w:line="420" w:lineRule="exact"/>
        <w:jc w:val="center"/>
        <w:rPr>
          <w:rFonts w:eastAsia="宋体"/>
          <w:b/>
          <w:bCs/>
        </w:rPr>
      </w:pPr>
      <w:r>
        <w:rPr>
          <w:rFonts w:hint="eastAsia" w:eastAsia="宋体" w:cs="宋体"/>
          <w:b/>
          <w:bCs/>
        </w:rPr>
        <w:t>法定代表人身份证复印件</w:t>
      </w:r>
    </w:p>
    <w:p>
      <w:pPr>
        <w:snapToGrid w:val="0"/>
        <w:spacing w:line="420" w:lineRule="exact"/>
        <w:jc w:val="center"/>
        <w:rPr>
          <w:rFonts w:eastAsia="宋体"/>
          <w:b/>
          <w:bCs/>
        </w:rPr>
      </w:pPr>
    </w:p>
    <w:p>
      <w:pPr>
        <w:snapToGrid w:val="0"/>
        <w:spacing w:line="420" w:lineRule="exact"/>
        <w:jc w:val="center"/>
        <w:rPr>
          <w:rFonts w:eastAsia="宋体"/>
          <w:b/>
          <w:bCs/>
        </w:rPr>
      </w:pPr>
    </w:p>
    <w:p>
      <w:pPr>
        <w:snapToGrid w:val="0"/>
        <w:spacing w:line="420" w:lineRule="exact"/>
        <w:jc w:val="center"/>
        <w:rPr>
          <w:rFonts w:eastAsia="宋体"/>
          <w:b/>
          <w:bCs/>
        </w:rPr>
      </w:pPr>
    </w:p>
    <w:p>
      <w:pPr>
        <w:snapToGrid w:val="0"/>
        <w:spacing w:line="420" w:lineRule="exact"/>
        <w:jc w:val="center"/>
        <w:rPr>
          <w:rFonts w:eastAsia="宋体"/>
          <w:b/>
          <w:bCs/>
        </w:rPr>
      </w:pPr>
    </w:p>
    <w:p>
      <w:pPr>
        <w:snapToGrid w:val="0"/>
        <w:spacing w:line="420" w:lineRule="exact"/>
        <w:jc w:val="center"/>
        <w:rPr>
          <w:rFonts w:eastAsia="宋体"/>
          <w:b/>
          <w:bCs/>
        </w:rPr>
      </w:pPr>
    </w:p>
    <w:p>
      <w:pPr>
        <w:snapToGrid w:val="0"/>
        <w:spacing w:line="420" w:lineRule="exact"/>
        <w:jc w:val="center"/>
        <w:rPr>
          <w:rFonts w:eastAsia="宋体"/>
        </w:rPr>
      </w:pPr>
      <w:r>
        <w:rPr>
          <w:rFonts w:hint="eastAsia" w:eastAsia="宋体" w:cs="宋体"/>
        </w:rPr>
        <w:t>（粘贴此处）</w:t>
      </w:r>
    </w:p>
    <w:p>
      <w:pPr>
        <w:snapToGrid w:val="0"/>
        <w:spacing w:line="420" w:lineRule="exact"/>
        <w:jc w:val="center"/>
        <w:rPr>
          <w:rFonts w:eastAsia="宋体"/>
        </w:rPr>
      </w:pPr>
    </w:p>
    <w:p>
      <w:pPr>
        <w:snapToGrid w:val="0"/>
        <w:spacing w:line="420" w:lineRule="exact"/>
        <w:jc w:val="center"/>
        <w:rPr>
          <w:rFonts w:eastAsia="宋体"/>
        </w:rPr>
      </w:pPr>
    </w:p>
    <w:p>
      <w:pPr>
        <w:snapToGrid w:val="0"/>
        <w:spacing w:line="420" w:lineRule="exact"/>
        <w:jc w:val="center"/>
        <w:rPr>
          <w:rFonts w:eastAsia="宋体"/>
        </w:rPr>
      </w:pPr>
    </w:p>
    <w:p>
      <w:pPr>
        <w:snapToGrid w:val="0"/>
        <w:spacing w:line="420" w:lineRule="exact"/>
        <w:jc w:val="center"/>
        <w:rPr>
          <w:rFonts w:eastAsia="宋体"/>
        </w:rPr>
      </w:pPr>
    </w:p>
    <w:p>
      <w:pPr>
        <w:snapToGrid w:val="0"/>
        <w:spacing w:line="420" w:lineRule="exact"/>
        <w:jc w:val="center"/>
        <w:rPr>
          <w:rFonts w:eastAsia="宋体"/>
        </w:rPr>
      </w:pPr>
    </w:p>
    <w:p>
      <w:pPr>
        <w:snapToGrid w:val="0"/>
        <w:spacing w:line="420" w:lineRule="exact"/>
        <w:jc w:val="left"/>
        <w:rPr>
          <w:rFonts w:eastAsia="宋体"/>
          <w:b/>
          <w:bCs/>
        </w:rPr>
      </w:pPr>
      <w:r>
        <w:rPr>
          <w:rFonts w:hint="eastAsia" w:eastAsia="宋体" w:cs="宋体"/>
          <w:b/>
          <w:bCs/>
        </w:rPr>
        <w:t>注：</w:t>
      </w:r>
    </w:p>
    <w:p>
      <w:pPr>
        <w:snapToGrid w:val="0"/>
        <w:spacing w:line="420" w:lineRule="exact"/>
        <w:jc w:val="left"/>
        <w:rPr>
          <w:rFonts w:eastAsia="宋体"/>
          <w:b/>
          <w:bCs/>
        </w:rPr>
      </w:pPr>
      <w:r>
        <w:rPr>
          <w:rFonts w:hint="eastAsia" w:eastAsia="宋体" w:cs="宋体"/>
          <w:b/>
          <w:bCs/>
        </w:rPr>
        <w:t>（</w:t>
      </w:r>
      <w:r>
        <w:rPr>
          <w:rFonts w:eastAsia="宋体"/>
          <w:b/>
          <w:bCs/>
        </w:rPr>
        <w:t>1</w:t>
      </w:r>
      <w:r>
        <w:rPr>
          <w:rFonts w:hint="eastAsia" w:eastAsia="宋体" w:cs="宋体"/>
          <w:b/>
          <w:bCs/>
        </w:rPr>
        <w:t>）提供法定代表人的身份证复印件（正、反面）并加盖公章。</w:t>
      </w:r>
    </w:p>
    <w:p>
      <w:pPr>
        <w:snapToGrid w:val="0"/>
        <w:spacing w:line="420" w:lineRule="exact"/>
        <w:jc w:val="left"/>
        <w:rPr>
          <w:rFonts w:eastAsia="宋体"/>
          <w:b/>
          <w:bCs/>
        </w:rPr>
      </w:pPr>
      <w:r>
        <w:rPr>
          <w:rFonts w:hint="eastAsia" w:eastAsia="宋体" w:cs="宋体"/>
          <w:b/>
          <w:bCs/>
        </w:rPr>
        <w:t>（</w:t>
      </w:r>
      <w:r>
        <w:rPr>
          <w:rFonts w:eastAsia="宋体"/>
          <w:b/>
          <w:bCs/>
        </w:rPr>
        <w:t>2</w:t>
      </w:r>
      <w:r>
        <w:rPr>
          <w:rFonts w:hint="eastAsia" w:eastAsia="宋体" w:cs="宋体"/>
          <w:b/>
          <w:bCs/>
        </w:rPr>
        <w:t>）如为法定代表人参加项目磋商响应，须将身份证原件带至磋商现场备查（无须放入</w:t>
      </w:r>
      <w:r>
        <w:rPr>
          <w:rFonts w:eastAsia="宋体"/>
          <w:b/>
          <w:bCs/>
        </w:rPr>
        <w:t>“</w:t>
      </w:r>
      <w:r>
        <w:rPr>
          <w:rFonts w:hint="eastAsia" w:eastAsia="宋体" w:cs="宋体"/>
          <w:b/>
          <w:bCs/>
        </w:rPr>
        <w:t>磋商响应资料原件包</w:t>
      </w:r>
      <w:r>
        <w:rPr>
          <w:rFonts w:eastAsia="宋体"/>
          <w:b/>
          <w:bCs/>
        </w:rPr>
        <w:t>”</w:t>
      </w:r>
      <w:r>
        <w:rPr>
          <w:rFonts w:hint="eastAsia" w:eastAsia="宋体" w:cs="宋体"/>
          <w:b/>
          <w:bCs/>
        </w:rPr>
        <w:t>内）。</w:t>
      </w: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rPr>
          <w:rFonts w:eastAsia="宋体"/>
          <w:b/>
          <w:bCs/>
        </w:rPr>
      </w:pPr>
      <w:r>
        <w:rPr>
          <w:rFonts w:eastAsia="宋体"/>
          <w:b/>
          <w:bCs/>
        </w:rPr>
        <w:br w:type="page"/>
      </w:r>
    </w:p>
    <w:p>
      <w:pPr>
        <w:snapToGrid w:val="0"/>
        <w:spacing w:line="420" w:lineRule="exact"/>
        <w:jc w:val="center"/>
        <w:outlineLvl w:val="4"/>
        <w:rPr>
          <w:rFonts w:eastAsia="宋体"/>
          <w:b/>
          <w:bCs/>
        </w:rPr>
      </w:pPr>
      <w:r>
        <w:rPr>
          <w:rFonts w:hint="eastAsia" w:eastAsia="宋体"/>
          <w:b/>
          <w:bCs/>
        </w:rPr>
        <w:t>（</w:t>
      </w:r>
      <w:r>
        <w:rPr>
          <w:rFonts w:eastAsia="宋体"/>
          <w:b/>
          <w:bCs/>
        </w:rPr>
        <w:t>3</w:t>
      </w:r>
      <w:r>
        <w:rPr>
          <w:rFonts w:hint="eastAsia" w:eastAsia="宋体"/>
          <w:b/>
          <w:bCs/>
        </w:rPr>
        <w:t>）</w:t>
      </w:r>
      <w:r>
        <w:rPr>
          <w:rFonts w:hint="eastAsia" w:eastAsia="宋体" w:cs="宋体"/>
          <w:b/>
          <w:bCs/>
        </w:rPr>
        <w:t>法定代表人授权委托书</w:t>
      </w:r>
    </w:p>
    <w:p>
      <w:pPr>
        <w:snapToGrid w:val="0"/>
        <w:spacing w:beforeLines="100" w:afterLines="100" w:line="420" w:lineRule="exact"/>
        <w:rPr>
          <w:rFonts w:eastAsia="宋体"/>
        </w:rPr>
      </w:pPr>
      <w:r>
        <w:rPr>
          <w:rFonts w:hint="eastAsia" w:eastAsia="宋体" w:cs="宋体"/>
        </w:rPr>
        <w:t>南通市崇川区钟秀街道办事处：</w:t>
      </w:r>
    </w:p>
    <w:p>
      <w:pPr>
        <w:snapToGrid w:val="0"/>
        <w:spacing w:line="420" w:lineRule="exact"/>
        <w:ind w:firstLine="484" w:firstLineChars="202"/>
        <w:rPr>
          <w:rFonts w:eastAsia="宋体"/>
        </w:rPr>
      </w:pPr>
      <w:r>
        <w:rPr>
          <w:rFonts w:hint="eastAsia" w:eastAsia="宋体" w:cs="宋体"/>
        </w:rPr>
        <w:t>本授权委托书声明：我</w:t>
      </w:r>
      <w:r>
        <w:rPr>
          <w:rFonts w:hint="eastAsia" w:eastAsia="宋体" w:cs="宋体"/>
          <w:u w:val="single"/>
        </w:rPr>
        <w:t>　</w:t>
      </w:r>
      <w:r>
        <w:rPr>
          <w:rFonts w:eastAsia="宋体" w:cs="宋体"/>
          <w:u w:val="single"/>
        </w:rPr>
        <w:t xml:space="preserve">    </w:t>
      </w:r>
      <w:r>
        <w:rPr>
          <w:rFonts w:hint="eastAsia" w:eastAsia="宋体" w:cs="宋体"/>
        </w:rPr>
        <w:t>（姓名）系</w:t>
      </w:r>
      <w:r>
        <w:rPr>
          <w:rFonts w:hint="eastAsia" w:eastAsia="宋体" w:cs="宋体"/>
          <w:u w:val="single"/>
        </w:rPr>
        <w:t>　</w:t>
      </w:r>
      <w:r>
        <w:rPr>
          <w:rFonts w:eastAsia="宋体" w:cs="宋体"/>
          <w:u w:val="single"/>
        </w:rPr>
        <w:t xml:space="preserve">   </w:t>
      </w:r>
      <w:r>
        <w:rPr>
          <w:rFonts w:hint="eastAsia" w:eastAsia="宋体" w:cs="宋体"/>
        </w:rPr>
        <w:t>（供应商名称）的法定代表人，现授权委托</w:t>
      </w:r>
      <w:r>
        <w:rPr>
          <w:rFonts w:hint="eastAsia" w:eastAsia="宋体" w:cs="宋体"/>
          <w:u w:val="single"/>
        </w:rPr>
        <w:t>　</w:t>
      </w:r>
      <w:r>
        <w:rPr>
          <w:rFonts w:eastAsia="宋体" w:cs="宋体"/>
          <w:u w:val="single"/>
        </w:rPr>
        <w:t xml:space="preserve">   </w:t>
      </w:r>
      <w:r>
        <w:rPr>
          <w:rFonts w:hint="eastAsia" w:eastAsia="宋体" w:cs="宋体"/>
          <w:u w:val="single"/>
        </w:rPr>
        <w:t>　</w:t>
      </w:r>
      <w:r>
        <w:rPr>
          <w:rFonts w:hint="eastAsia" w:eastAsia="宋体" w:cs="宋体"/>
        </w:rPr>
        <w:t>（姓名）为我公司为被委托受权人，以本公司的名义参加本项目的磋商响应活动。被委托受权人在项目开启、评审、合同签订过程中所签署的一切文件和处理与之有关的一切事务，我均予以承认。</w:t>
      </w:r>
    </w:p>
    <w:p>
      <w:pPr>
        <w:snapToGrid w:val="0"/>
        <w:spacing w:line="420" w:lineRule="exact"/>
        <w:ind w:firstLine="484" w:firstLineChars="202"/>
        <w:rPr>
          <w:rFonts w:eastAsia="宋体"/>
        </w:rPr>
      </w:pPr>
      <w:r>
        <w:rPr>
          <w:rFonts w:hint="eastAsia" w:eastAsia="宋体" w:cs="宋体"/>
        </w:rPr>
        <w:t>被委托受权人无转委托权，特此委托。</w:t>
      </w:r>
    </w:p>
    <w:p>
      <w:pPr>
        <w:snapToGrid w:val="0"/>
        <w:spacing w:line="420" w:lineRule="exact"/>
        <w:ind w:firstLine="972" w:firstLineChars="405"/>
        <w:rPr>
          <w:rFonts w:eastAsia="宋体"/>
        </w:rPr>
      </w:pPr>
      <w:r>
        <w:rPr>
          <w:rFonts w:hint="eastAsia" w:eastAsia="宋体" w:cs="宋体"/>
        </w:rPr>
        <w:t>法定代表人签字：</w:t>
      </w:r>
    </w:p>
    <w:p>
      <w:pPr>
        <w:snapToGrid w:val="0"/>
        <w:spacing w:line="420" w:lineRule="exact"/>
        <w:ind w:firstLine="972" w:firstLineChars="405"/>
        <w:rPr>
          <w:rFonts w:eastAsia="宋体"/>
        </w:rPr>
      </w:pPr>
      <w:r>
        <w:rPr>
          <w:rFonts w:hint="eastAsia" w:eastAsia="宋体" w:cs="宋体"/>
        </w:rPr>
        <w:t>被委托受权人身份证号：</w:t>
      </w:r>
    </w:p>
    <w:p>
      <w:pPr>
        <w:snapToGrid w:val="0"/>
        <w:spacing w:line="420" w:lineRule="exact"/>
        <w:ind w:firstLine="972" w:firstLineChars="405"/>
        <w:rPr>
          <w:rFonts w:eastAsia="宋体"/>
        </w:rPr>
      </w:pPr>
      <w:r>
        <w:rPr>
          <w:rFonts w:hint="eastAsia" w:eastAsia="宋体" w:cs="宋体"/>
        </w:rPr>
        <w:t>被委托受权人签字：</w:t>
      </w:r>
    </w:p>
    <w:p>
      <w:pPr>
        <w:snapToGrid w:val="0"/>
        <w:spacing w:line="420" w:lineRule="exact"/>
        <w:ind w:firstLine="484" w:firstLineChars="202"/>
        <w:jc w:val="right"/>
        <w:rPr>
          <w:rFonts w:eastAsia="宋体"/>
        </w:rPr>
      </w:pPr>
      <w:r>
        <w:rPr>
          <w:rFonts w:hint="eastAsia" w:eastAsia="宋体" w:cs="宋体"/>
        </w:rPr>
        <w:t>供应商（盖章）</w:t>
      </w:r>
    </w:p>
    <w:p>
      <w:pPr>
        <w:snapToGrid w:val="0"/>
        <w:spacing w:line="420" w:lineRule="exact"/>
        <w:ind w:firstLine="484" w:firstLineChars="202"/>
        <w:jc w:val="right"/>
        <w:rPr>
          <w:rFonts w:eastAsia="宋体"/>
        </w:rPr>
      </w:pPr>
      <w:r>
        <w:rPr>
          <w:rFonts w:hint="eastAsia" w:eastAsia="宋体" w:cs="宋体"/>
        </w:rPr>
        <w:t>二〇二二年</w:t>
      </w:r>
      <w:r>
        <w:rPr>
          <w:rFonts w:eastAsia="宋体" w:cs="宋体"/>
        </w:rPr>
        <w:t xml:space="preserve">  </w:t>
      </w:r>
      <w:r>
        <w:rPr>
          <w:rFonts w:hint="eastAsia" w:eastAsia="宋体" w:cs="宋体"/>
        </w:rPr>
        <w:t>月</w:t>
      </w:r>
      <w:r>
        <w:rPr>
          <w:rFonts w:eastAsia="宋体" w:cs="宋体"/>
        </w:rPr>
        <w:t xml:space="preserve">  </w:t>
      </w:r>
      <w:r>
        <w:rPr>
          <w:rFonts w:hint="eastAsia" w:eastAsia="宋体" w:cs="宋体"/>
        </w:rPr>
        <w:t>日</w:t>
      </w:r>
    </w:p>
    <w:p>
      <w:pPr>
        <w:snapToGrid w:val="0"/>
        <w:spacing w:line="420" w:lineRule="exact"/>
        <w:ind w:firstLine="484" w:firstLineChars="202"/>
        <w:jc w:val="left"/>
        <w:rPr>
          <w:rFonts w:eastAsia="宋体"/>
        </w:rPr>
      </w:pPr>
    </w:p>
    <w:p>
      <w:pPr>
        <w:snapToGrid w:val="0"/>
        <w:spacing w:line="420" w:lineRule="exact"/>
        <w:ind w:firstLine="484" w:firstLineChars="202"/>
        <w:jc w:val="left"/>
        <w:rPr>
          <w:rFonts w:eastAsia="宋体"/>
        </w:rPr>
      </w:pPr>
    </w:p>
    <w:p>
      <w:pPr>
        <w:snapToGrid w:val="0"/>
        <w:spacing w:line="420" w:lineRule="exact"/>
        <w:ind w:firstLine="484" w:firstLineChars="202"/>
        <w:jc w:val="left"/>
        <w:rPr>
          <w:rFonts w:eastAsia="宋体"/>
        </w:rPr>
      </w:pPr>
    </w:p>
    <w:p>
      <w:pPr>
        <w:snapToGrid w:val="0"/>
        <w:spacing w:line="420" w:lineRule="exact"/>
        <w:jc w:val="center"/>
        <w:rPr>
          <w:rFonts w:eastAsia="宋体"/>
          <w:b/>
          <w:bCs/>
        </w:rPr>
      </w:pPr>
      <w:r>
        <w:rPr>
          <w:rFonts w:hint="eastAsia" w:eastAsia="宋体" w:cs="宋体"/>
          <w:b/>
          <w:bCs/>
        </w:rPr>
        <w:t>被委托受权人身份证复印件</w:t>
      </w:r>
    </w:p>
    <w:p>
      <w:pPr>
        <w:snapToGrid w:val="0"/>
        <w:spacing w:line="420" w:lineRule="exact"/>
        <w:jc w:val="center"/>
        <w:rPr>
          <w:rFonts w:eastAsia="宋体"/>
          <w:b/>
          <w:bCs/>
        </w:rPr>
      </w:pPr>
    </w:p>
    <w:p>
      <w:pPr>
        <w:snapToGrid w:val="0"/>
        <w:spacing w:line="420" w:lineRule="exact"/>
        <w:jc w:val="center"/>
        <w:rPr>
          <w:rFonts w:eastAsia="宋体"/>
          <w:b/>
          <w:bCs/>
        </w:rPr>
      </w:pPr>
    </w:p>
    <w:p>
      <w:pPr>
        <w:snapToGrid w:val="0"/>
        <w:spacing w:line="420" w:lineRule="exact"/>
        <w:jc w:val="center"/>
        <w:rPr>
          <w:rFonts w:eastAsia="宋体"/>
          <w:b/>
          <w:bCs/>
        </w:rPr>
      </w:pPr>
    </w:p>
    <w:p>
      <w:pPr>
        <w:snapToGrid w:val="0"/>
        <w:spacing w:line="420" w:lineRule="exact"/>
        <w:jc w:val="center"/>
        <w:rPr>
          <w:rFonts w:eastAsia="宋体"/>
        </w:rPr>
      </w:pPr>
      <w:r>
        <w:rPr>
          <w:rFonts w:hint="eastAsia" w:eastAsia="宋体" w:cs="宋体"/>
        </w:rPr>
        <w:t>（粘贴此处）</w:t>
      </w:r>
    </w:p>
    <w:p>
      <w:pPr>
        <w:snapToGrid w:val="0"/>
        <w:spacing w:line="420" w:lineRule="exact"/>
        <w:jc w:val="center"/>
        <w:rPr>
          <w:rFonts w:eastAsia="宋体"/>
        </w:rPr>
      </w:pPr>
    </w:p>
    <w:p>
      <w:pPr>
        <w:snapToGrid w:val="0"/>
        <w:spacing w:line="420" w:lineRule="exact"/>
        <w:jc w:val="center"/>
        <w:rPr>
          <w:rFonts w:eastAsia="宋体"/>
        </w:rPr>
      </w:pPr>
    </w:p>
    <w:p>
      <w:pPr>
        <w:snapToGrid w:val="0"/>
        <w:spacing w:line="420" w:lineRule="exact"/>
        <w:jc w:val="center"/>
        <w:rPr>
          <w:rFonts w:eastAsia="宋体"/>
        </w:rPr>
      </w:pPr>
    </w:p>
    <w:p>
      <w:pPr>
        <w:snapToGrid w:val="0"/>
        <w:spacing w:line="420" w:lineRule="exact"/>
        <w:jc w:val="center"/>
        <w:rPr>
          <w:rFonts w:eastAsia="宋体"/>
        </w:rPr>
      </w:pPr>
    </w:p>
    <w:p>
      <w:pPr>
        <w:snapToGrid w:val="0"/>
        <w:spacing w:line="420" w:lineRule="exact"/>
        <w:jc w:val="center"/>
        <w:rPr>
          <w:rFonts w:eastAsia="宋体"/>
        </w:rPr>
      </w:pPr>
    </w:p>
    <w:p>
      <w:pPr>
        <w:snapToGrid w:val="0"/>
        <w:spacing w:line="420" w:lineRule="exact"/>
        <w:jc w:val="left"/>
        <w:rPr>
          <w:rFonts w:eastAsia="宋体"/>
          <w:b/>
          <w:bCs/>
        </w:rPr>
      </w:pPr>
      <w:r>
        <w:rPr>
          <w:rFonts w:hint="eastAsia" w:eastAsia="宋体" w:cs="宋体"/>
          <w:b/>
          <w:bCs/>
        </w:rPr>
        <w:t>注：</w:t>
      </w:r>
    </w:p>
    <w:p>
      <w:pPr>
        <w:snapToGrid w:val="0"/>
        <w:spacing w:line="420" w:lineRule="exact"/>
        <w:jc w:val="left"/>
        <w:rPr>
          <w:rFonts w:eastAsia="宋体"/>
          <w:b/>
          <w:bCs/>
        </w:rPr>
      </w:pPr>
      <w:r>
        <w:rPr>
          <w:rFonts w:hint="eastAsia" w:eastAsia="宋体" w:cs="宋体"/>
          <w:b/>
          <w:bCs/>
        </w:rPr>
        <w:t>提供被委托受权人的身份证（正、反面）复印件盖公章，将身份证原件带至开启现场备查。</w:t>
      </w: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center"/>
        <w:outlineLvl w:val="4"/>
        <w:rPr>
          <w:rFonts w:eastAsia="宋体"/>
          <w:b/>
          <w:bCs/>
        </w:rPr>
      </w:pPr>
      <w:r>
        <w:rPr>
          <w:rFonts w:hint="eastAsia" w:eastAsia="宋体"/>
          <w:b/>
          <w:bCs/>
        </w:rPr>
        <w:t>（</w:t>
      </w:r>
      <w:r>
        <w:rPr>
          <w:rFonts w:eastAsia="宋体"/>
          <w:b/>
          <w:bCs/>
        </w:rPr>
        <w:t>4</w:t>
      </w:r>
      <w:r>
        <w:rPr>
          <w:rFonts w:hint="eastAsia" w:eastAsia="宋体"/>
          <w:b/>
          <w:bCs/>
        </w:rPr>
        <w:t>）</w:t>
      </w:r>
      <w:r>
        <w:rPr>
          <w:rFonts w:hint="eastAsia" w:eastAsia="宋体" w:cs="宋体"/>
          <w:b/>
          <w:bCs/>
        </w:rPr>
        <w:t>无重大违法记录声明</w:t>
      </w:r>
    </w:p>
    <w:p>
      <w:pPr>
        <w:snapToGrid w:val="0"/>
        <w:spacing w:beforeLines="100" w:afterLines="100" w:line="420" w:lineRule="exact"/>
        <w:rPr>
          <w:rFonts w:eastAsia="宋体"/>
        </w:rPr>
      </w:pPr>
      <w:r>
        <w:rPr>
          <w:rFonts w:hint="eastAsia" w:eastAsia="宋体" w:cs="宋体"/>
        </w:rPr>
        <w:t>南通市崇川区钟秀街道办事处：</w:t>
      </w:r>
    </w:p>
    <w:p>
      <w:pPr>
        <w:spacing w:line="420" w:lineRule="exact"/>
        <w:ind w:firstLine="566" w:firstLineChars="236"/>
        <w:rPr>
          <w:rFonts w:eastAsia="宋体"/>
        </w:rPr>
      </w:pPr>
      <w:r>
        <w:rPr>
          <w:rFonts w:hint="eastAsia" w:eastAsia="宋体" w:cs="宋体"/>
        </w:rPr>
        <w:t>我单位（供应商名称）郑重声明：</w:t>
      </w:r>
    </w:p>
    <w:p>
      <w:pPr>
        <w:spacing w:line="420" w:lineRule="exact"/>
        <w:ind w:firstLine="566" w:firstLineChars="236"/>
        <w:rPr>
          <w:rFonts w:eastAsia="宋体"/>
        </w:rPr>
      </w:pPr>
      <w:r>
        <w:rPr>
          <w:rFonts w:hint="eastAsia" w:eastAsia="宋体" w:cs="宋体"/>
        </w:rPr>
        <w:t>参加政府采购活动前</w:t>
      </w:r>
      <w:r>
        <w:rPr>
          <w:rFonts w:eastAsia="宋体"/>
        </w:rPr>
        <w:t>3</w:t>
      </w:r>
      <w:r>
        <w:rPr>
          <w:rFonts w:hint="eastAsia" w:eastAsia="宋体" w:cs="宋体"/>
        </w:rPr>
        <w:t>年内在经营活动中</w:t>
      </w:r>
      <w:r>
        <w:rPr>
          <w:rFonts w:eastAsia="宋体" w:cs="宋体"/>
          <w:u w:val="single"/>
        </w:rPr>
        <w:t xml:space="preserve">     </w:t>
      </w:r>
      <w:r>
        <w:rPr>
          <w:rFonts w:hint="eastAsia" w:eastAsia="宋体" w:cs="宋体"/>
        </w:rPr>
        <w:t>（在下划线上如实填写：有或没有）重大违法记录。</w:t>
      </w:r>
    </w:p>
    <w:p>
      <w:pPr>
        <w:spacing w:line="420" w:lineRule="exact"/>
        <w:ind w:firstLine="424" w:firstLineChars="177"/>
        <w:rPr>
          <w:rFonts w:eastAsia="宋体"/>
        </w:rPr>
      </w:pPr>
    </w:p>
    <w:p>
      <w:pPr>
        <w:spacing w:line="420" w:lineRule="exact"/>
        <w:ind w:firstLine="424" w:firstLineChars="177"/>
        <w:rPr>
          <w:rFonts w:eastAsia="宋体"/>
        </w:rPr>
      </w:pPr>
      <w:r>
        <w:rPr>
          <w:rFonts w:hint="eastAsia" w:eastAsia="宋体" w:cs="宋体"/>
        </w:rPr>
        <w:t>说明：政府采购法第二十二条第一款第五项所称重大违法记录，是指供应商因违法经营受到刑事处罚或者责令停产停业、吊销许可证或者执照、较大数额罚款等行政处罚。</w:t>
      </w:r>
    </w:p>
    <w:p>
      <w:pPr>
        <w:spacing w:line="420" w:lineRule="exact"/>
        <w:ind w:firstLine="424" w:firstLineChars="177"/>
        <w:rPr>
          <w:rFonts w:eastAsia="宋体"/>
        </w:rPr>
      </w:pPr>
    </w:p>
    <w:p>
      <w:pPr>
        <w:spacing w:line="420" w:lineRule="exact"/>
        <w:ind w:firstLine="424" w:firstLineChars="177"/>
        <w:rPr>
          <w:rFonts w:eastAsia="宋体"/>
        </w:rPr>
      </w:pPr>
    </w:p>
    <w:p>
      <w:pPr>
        <w:spacing w:line="420" w:lineRule="exact"/>
        <w:jc w:val="right"/>
        <w:rPr>
          <w:rFonts w:eastAsia="宋体"/>
        </w:rPr>
      </w:pPr>
      <w:r>
        <w:rPr>
          <w:rFonts w:hint="eastAsia" w:eastAsia="宋体" w:cs="宋体"/>
        </w:rPr>
        <w:t>声明人：（公章）</w:t>
      </w:r>
    </w:p>
    <w:p>
      <w:pPr>
        <w:spacing w:line="420" w:lineRule="exact"/>
        <w:jc w:val="right"/>
        <w:rPr>
          <w:rFonts w:eastAsia="宋体"/>
        </w:rPr>
      </w:pPr>
      <w:r>
        <w:rPr>
          <w:rFonts w:hint="eastAsia" w:eastAsia="宋体" w:cs="宋体"/>
        </w:rPr>
        <w:t>二〇二二年</w:t>
      </w:r>
      <w:r>
        <w:rPr>
          <w:rFonts w:eastAsia="宋体" w:cs="宋体"/>
        </w:rPr>
        <w:t xml:space="preserve">  </w:t>
      </w:r>
      <w:r>
        <w:rPr>
          <w:rFonts w:hint="eastAsia" w:eastAsia="宋体" w:cs="宋体"/>
        </w:rPr>
        <w:t>月</w:t>
      </w:r>
      <w:r>
        <w:rPr>
          <w:rFonts w:eastAsia="宋体" w:cs="宋体"/>
        </w:rPr>
        <w:t xml:space="preserve">  </w:t>
      </w:r>
      <w:r>
        <w:rPr>
          <w:rFonts w:hint="eastAsia" w:eastAsia="宋体" w:cs="宋体"/>
        </w:rPr>
        <w:t>日</w:t>
      </w: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napToGrid w:val="0"/>
        <w:spacing w:line="420" w:lineRule="exact"/>
        <w:jc w:val="center"/>
        <w:outlineLvl w:val="4"/>
        <w:rPr>
          <w:rFonts w:eastAsia="宋体"/>
        </w:rPr>
      </w:pPr>
      <w:r>
        <w:rPr>
          <w:rFonts w:hint="eastAsia" w:eastAsia="宋体"/>
          <w:b/>
          <w:bCs/>
        </w:rPr>
        <w:t>（</w:t>
      </w:r>
      <w:r>
        <w:rPr>
          <w:rFonts w:eastAsia="宋体"/>
          <w:b/>
          <w:bCs/>
        </w:rPr>
        <w:t>5</w:t>
      </w:r>
      <w:r>
        <w:rPr>
          <w:rFonts w:hint="eastAsia" w:eastAsia="宋体"/>
          <w:b/>
          <w:bCs/>
        </w:rPr>
        <w:t>）</w:t>
      </w:r>
      <w:r>
        <w:rPr>
          <w:rFonts w:hint="eastAsia" w:eastAsia="宋体" w:cs="宋体"/>
          <w:b/>
          <w:bCs/>
        </w:rPr>
        <w:t>资格文件的声明函</w:t>
      </w:r>
    </w:p>
    <w:p>
      <w:pPr>
        <w:snapToGrid w:val="0"/>
        <w:spacing w:beforeLines="100" w:afterLines="100" w:line="420" w:lineRule="exact"/>
        <w:rPr>
          <w:rFonts w:eastAsia="宋体"/>
        </w:rPr>
      </w:pPr>
      <w:r>
        <w:rPr>
          <w:rFonts w:hint="eastAsia" w:eastAsia="宋体" w:cs="宋体"/>
        </w:rPr>
        <w:t>南通市崇川区钟秀街道办事处：</w:t>
      </w:r>
    </w:p>
    <w:p>
      <w:pPr>
        <w:overflowPunct w:val="0"/>
        <w:adjustRightInd w:val="0"/>
        <w:spacing w:line="420" w:lineRule="exact"/>
        <w:ind w:firstLine="660"/>
        <w:jc w:val="left"/>
        <w:textAlignment w:val="baseline"/>
        <w:rPr>
          <w:rFonts w:eastAsia="宋体"/>
        </w:rPr>
      </w:pPr>
      <w:r>
        <w:rPr>
          <w:rFonts w:hint="eastAsia" w:eastAsia="宋体" w:cs="宋体"/>
        </w:rPr>
        <w:t>本公司愿意就贵单位委托的采购代理机构组织实施的</w:t>
      </w:r>
      <w:r>
        <w:rPr>
          <w:rFonts w:eastAsia="宋体" w:cs="宋体"/>
          <w:u w:val="single"/>
        </w:rPr>
        <w:t xml:space="preserve">                   </w:t>
      </w:r>
      <w:r>
        <w:rPr>
          <w:rFonts w:hint="eastAsia" w:eastAsia="宋体" w:cs="宋体"/>
        </w:rPr>
        <w:t>项目采购活动进行磋商响应。本公司所提交的磋商响应文件中所有关于磋商响应资格的文件、证明和陈述均是真实的、准确的。若与真实情况不符，本公司愿意承担由此而产生的一切后果。</w:t>
      </w:r>
    </w:p>
    <w:p>
      <w:pPr>
        <w:overflowPunct w:val="0"/>
        <w:adjustRightInd w:val="0"/>
        <w:spacing w:line="420" w:lineRule="exact"/>
        <w:ind w:firstLine="660"/>
        <w:jc w:val="left"/>
        <w:textAlignment w:val="baseline"/>
        <w:rPr>
          <w:rFonts w:eastAsia="宋体"/>
        </w:rPr>
      </w:pPr>
    </w:p>
    <w:p>
      <w:pPr>
        <w:overflowPunct w:val="0"/>
        <w:adjustRightInd w:val="0"/>
        <w:spacing w:line="420" w:lineRule="exact"/>
        <w:ind w:firstLine="4080" w:firstLineChars="1700"/>
        <w:jc w:val="left"/>
        <w:textAlignment w:val="baseline"/>
        <w:rPr>
          <w:rFonts w:eastAsia="宋体" w:cs="宋体"/>
        </w:rPr>
      </w:pPr>
    </w:p>
    <w:p>
      <w:pPr>
        <w:overflowPunct w:val="0"/>
        <w:adjustRightInd w:val="0"/>
        <w:spacing w:line="420" w:lineRule="exact"/>
        <w:ind w:firstLine="4080" w:firstLineChars="1700"/>
        <w:jc w:val="left"/>
        <w:textAlignment w:val="baseline"/>
        <w:rPr>
          <w:rFonts w:eastAsia="宋体" w:cs="宋体"/>
        </w:rPr>
      </w:pPr>
    </w:p>
    <w:p>
      <w:pPr>
        <w:overflowPunct w:val="0"/>
        <w:adjustRightInd w:val="0"/>
        <w:spacing w:line="420" w:lineRule="exact"/>
        <w:ind w:firstLine="4080" w:firstLineChars="1700"/>
        <w:jc w:val="left"/>
        <w:textAlignment w:val="baseline"/>
        <w:rPr>
          <w:rFonts w:eastAsia="宋体" w:cs="宋体"/>
        </w:rPr>
      </w:pPr>
    </w:p>
    <w:p>
      <w:pPr>
        <w:overflowPunct w:val="0"/>
        <w:adjustRightInd w:val="0"/>
        <w:spacing w:line="420" w:lineRule="exact"/>
        <w:ind w:firstLine="4080" w:firstLineChars="1700"/>
        <w:jc w:val="left"/>
        <w:textAlignment w:val="baseline"/>
        <w:rPr>
          <w:rFonts w:eastAsia="宋体" w:cs="宋体"/>
        </w:rPr>
      </w:pPr>
    </w:p>
    <w:p>
      <w:pPr>
        <w:spacing w:line="520" w:lineRule="exact"/>
        <w:ind w:firstLine="5520" w:firstLineChars="2300"/>
        <w:rPr>
          <w:rFonts w:ascii="宋体" w:hAnsi="宋体" w:eastAsia="宋体" w:cs="宋体"/>
        </w:rPr>
      </w:pPr>
      <w:r>
        <w:rPr>
          <w:rFonts w:hint="eastAsia" w:ascii="宋体" w:hAnsi="宋体" w:eastAsia="宋体" w:cs="宋体"/>
        </w:rPr>
        <w:t>供应商：（公章）</w:t>
      </w:r>
    </w:p>
    <w:p>
      <w:pPr>
        <w:spacing w:line="520" w:lineRule="exact"/>
        <w:ind w:firstLine="5520" w:firstLineChars="2300"/>
        <w:rPr>
          <w:rFonts w:ascii="宋体" w:hAnsi="宋体" w:eastAsia="宋体" w:cs="宋体"/>
        </w:rPr>
      </w:pPr>
      <w:r>
        <w:rPr>
          <w:rFonts w:hint="eastAsia" w:ascii="宋体" w:hAnsi="宋体" w:eastAsia="宋体" w:cs="宋体"/>
        </w:rPr>
        <w:t>法定代表人或被授权人：（签字或盖章）</w:t>
      </w:r>
    </w:p>
    <w:p>
      <w:pPr>
        <w:overflowPunct w:val="0"/>
        <w:adjustRightInd w:val="0"/>
        <w:spacing w:line="420" w:lineRule="exact"/>
        <w:ind w:firstLine="420"/>
        <w:jc w:val="right"/>
        <w:textAlignment w:val="baseline"/>
        <w:rPr>
          <w:rFonts w:eastAsia="宋体"/>
        </w:rPr>
      </w:pPr>
    </w:p>
    <w:p>
      <w:pPr>
        <w:wordWrap w:val="0"/>
        <w:overflowPunct w:val="0"/>
        <w:adjustRightInd w:val="0"/>
        <w:spacing w:line="420" w:lineRule="exact"/>
        <w:ind w:firstLine="420"/>
        <w:jc w:val="right"/>
        <w:textAlignment w:val="baseline"/>
        <w:rPr>
          <w:rFonts w:eastAsia="宋体"/>
        </w:rPr>
      </w:pPr>
      <w:r>
        <w:rPr>
          <w:rFonts w:hint="eastAsia" w:eastAsia="宋体" w:cs="宋体"/>
        </w:rPr>
        <w:t>二〇二二年</w:t>
      </w:r>
      <w:r>
        <w:rPr>
          <w:rFonts w:eastAsia="宋体" w:cs="宋体"/>
        </w:rPr>
        <w:t xml:space="preserve">  </w:t>
      </w:r>
      <w:r>
        <w:rPr>
          <w:rFonts w:hint="eastAsia" w:eastAsia="宋体" w:cs="宋体"/>
        </w:rPr>
        <w:t>月</w:t>
      </w:r>
      <w:r>
        <w:rPr>
          <w:rFonts w:eastAsia="宋体" w:cs="宋体"/>
        </w:rPr>
        <w:t xml:space="preserve">  </w:t>
      </w:r>
      <w:r>
        <w:rPr>
          <w:rFonts w:hint="eastAsia" w:eastAsia="宋体" w:cs="宋体"/>
        </w:rPr>
        <w:t>日</w:t>
      </w: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snapToGrid w:val="0"/>
        <w:spacing w:beforeLines="100" w:line="420" w:lineRule="exact"/>
        <w:jc w:val="center"/>
        <w:outlineLvl w:val="3"/>
        <w:rPr>
          <w:rFonts w:eastAsia="宋体"/>
          <w:b/>
          <w:bCs/>
        </w:rPr>
      </w:pPr>
      <w:r>
        <w:rPr>
          <w:rFonts w:hint="eastAsia" w:eastAsia="宋体"/>
          <w:b/>
          <w:bCs/>
        </w:rPr>
        <w:t>（</w:t>
      </w:r>
      <w:r>
        <w:rPr>
          <w:rFonts w:eastAsia="宋体"/>
          <w:b/>
          <w:bCs/>
        </w:rPr>
        <w:t>6</w:t>
      </w:r>
      <w:r>
        <w:rPr>
          <w:rFonts w:hint="eastAsia" w:eastAsia="宋体"/>
          <w:b/>
          <w:bCs/>
        </w:rPr>
        <w:t>）</w:t>
      </w:r>
      <w:r>
        <w:rPr>
          <w:rFonts w:hint="eastAsia" w:eastAsia="宋体" w:cs="宋体"/>
          <w:b/>
          <w:bCs/>
        </w:rPr>
        <w:t>竞争性磋商响应函</w:t>
      </w:r>
    </w:p>
    <w:p>
      <w:pPr>
        <w:snapToGrid w:val="0"/>
        <w:spacing w:beforeLines="100" w:afterLines="100" w:line="420" w:lineRule="exact"/>
        <w:rPr>
          <w:rFonts w:eastAsia="宋体"/>
        </w:rPr>
      </w:pPr>
      <w:r>
        <w:rPr>
          <w:rFonts w:hint="eastAsia" w:eastAsia="宋体" w:cs="宋体"/>
        </w:rPr>
        <w:t>南通市崇川区钟秀街道办事处：</w:t>
      </w:r>
    </w:p>
    <w:p>
      <w:pPr>
        <w:snapToGrid w:val="0"/>
        <w:spacing w:line="420" w:lineRule="exact"/>
        <w:ind w:firstLine="480" w:firstLineChars="200"/>
        <w:rPr>
          <w:rFonts w:eastAsia="宋体"/>
        </w:rPr>
      </w:pPr>
      <w:r>
        <w:rPr>
          <w:rFonts w:hint="eastAsia" w:eastAsia="宋体" w:cs="宋体"/>
        </w:rPr>
        <w:t>依据贵单位</w:t>
      </w:r>
      <w:r>
        <w:rPr>
          <w:rFonts w:eastAsia="宋体" w:cs="宋体"/>
        </w:rPr>
        <w:t xml:space="preserve"> </w:t>
      </w:r>
      <w:r>
        <w:rPr>
          <w:rFonts w:eastAsia="宋体" w:cs="宋体"/>
          <w:u w:val="single"/>
        </w:rPr>
        <w:t xml:space="preserve">            </w:t>
      </w:r>
      <w:r>
        <w:rPr>
          <w:rFonts w:hint="eastAsia" w:eastAsia="宋体" w:cs="宋体"/>
        </w:rPr>
        <w:t>（采购项目名称</w:t>
      </w:r>
      <w:r>
        <w:rPr>
          <w:rFonts w:hint="eastAsia" w:eastAsia="宋体"/>
        </w:rPr>
        <w:t>）</w:t>
      </w:r>
      <w:r>
        <w:rPr>
          <w:rFonts w:hint="eastAsia" w:eastAsia="宋体" w:cs="宋体"/>
        </w:rPr>
        <w:t>项目竞争性磋商的邀请，我方授权</w:t>
      </w:r>
      <w:r>
        <w:rPr>
          <w:rFonts w:eastAsia="宋体" w:cs="宋体"/>
          <w:u w:val="single"/>
        </w:rPr>
        <w:t xml:space="preserve">    </w:t>
      </w:r>
      <w:r>
        <w:rPr>
          <w:rFonts w:hint="eastAsia" w:eastAsia="宋体" w:cs="宋体"/>
        </w:rPr>
        <w:t>（姓名）为全权代表参加该项目的磋商响应工作，全权处理本次磋商的有关事宜。同时，我公司声明如下：</w:t>
      </w:r>
    </w:p>
    <w:p>
      <w:pPr>
        <w:snapToGrid w:val="0"/>
        <w:spacing w:line="420" w:lineRule="exact"/>
        <w:ind w:firstLine="480" w:firstLineChars="200"/>
        <w:rPr>
          <w:rFonts w:eastAsia="宋体"/>
        </w:rPr>
      </w:pPr>
      <w:r>
        <w:rPr>
          <w:rFonts w:hint="eastAsia" w:eastAsia="宋体" w:cs="宋体"/>
        </w:rPr>
        <w:t>（</w:t>
      </w:r>
      <w:r>
        <w:rPr>
          <w:rFonts w:eastAsia="宋体"/>
        </w:rPr>
        <w:t>1</w:t>
      </w:r>
      <w:r>
        <w:rPr>
          <w:rFonts w:hint="eastAsia" w:eastAsia="宋体" w:cs="宋体"/>
        </w:rPr>
        <w:t>）我方愿意按照磋商文件的一切要求，提供完成该项目的全部内容，我方的磋商响应包括完成本项目工作所需的一切费用，即本项目的固定服务价（含政策补贴），包含但不限于如完成本项目工作所需的投资建设资金、专用设备及其备品、备件、易耗品耗材、通讯和专用工具费用、税费、运输、保险、检测验收、技术评审、办理各项行政许可、服务及相关劳务支出等工作所发生的全部费用以及我方（企业）利润、税金和政策性文件规定及合同包含的所有风险、责任及本项目响应的各项应有费用。</w:t>
      </w:r>
    </w:p>
    <w:p>
      <w:pPr>
        <w:snapToGrid w:val="0"/>
        <w:spacing w:line="420" w:lineRule="exact"/>
        <w:ind w:firstLine="480" w:firstLineChars="200"/>
        <w:rPr>
          <w:rFonts w:eastAsia="宋体"/>
        </w:rPr>
      </w:pPr>
      <w:r>
        <w:rPr>
          <w:rFonts w:hint="eastAsia" w:eastAsia="宋体" w:cs="宋体"/>
        </w:rPr>
        <w:t>（</w:t>
      </w:r>
      <w:r>
        <w:rPr>
          <w:rFonts w:eastAsia="宋体"/>
        </w:rPr>
        <w:t>2</w:t>
      </w:r>
      <w:r>
        <w:rPr>
          <w:rFonts w:hint="eastAsia" w:eastAsia="宋体" w:cs="宋体"/>
        </w:rPr>
        <w:t>）我方已经详细审查了全部磋商文件，我方已完全清晰理解磋商文件的要求，不存在任何含糊不清和误解之处，同意放弃对这些文件所提出的异议和质疑的权利。</w:t>
      </w:r>
    </w:p>
    <w:p>
      <w:pPr>
        <w:snapToGrid w:val="0"/>
        <w:spacing w:line="420" w:lineRule="exact"/>
        <w:ind w:firstLine="480" w:firstLineChars="200"/>
        <w:rPr>
          <w:rFonts w:eastAsia="宋体"/>
        </w:rPr>
      </w:pPr>
      <w:r>
        <w:rPr>
          <w:rFonts w:hint="eastAsia" w:eastAsia="宋体" w:cs="宋体"/>
        </w:rPr>
        <w:t>（</w:t>
      </w:r>
      <w:r>
        <w:rPr>
          <w:rFonts w:eastAsia="宋体"/>
        </w:rPr>
        <w:t>3</w:t>
      </w:r>
      <w:r>
        <w:rPr>
          <w:rFonts w:hint="eastAsia" w:eastAsia="宋体" w:cs="宋体"/>
        </w:rPr>
        <w:t>）我方承诺提供的磋商响应文件的有效期，从磋商响应文件接收截止之日算起，</w:t>
      </w:r>
      <w:r>
        <w:rPr>
          <w:rFonts w:eastAsia="宋体"/>
          <w:b/>
          <w:bCs/>
        </w:rPr>
        <w:t>45</w:t>
      </w:r>
      <w:r>
        <w:rPr>
          <w:rFonts w:hint="eastAsia" w:eastAsia="宋体" w:cs="宋体"/>
        </w:rPr>
        <w:t>个</w:t>
      </w:r>
      <w:r>
        <w:rPr>
          <w:rFonts w:eastAsia="宋体"/>
        </w:rPr>
        <w:t>“</w:t>
      </w:r>
      <w:r>
        <w:rPr>
          <w:rFonts w:hint="eastAsia" w:eastAsia="宋体" w:cs="宋体"/>
        </w:rPr>
        <w:t>日历天</w:t>
      </w:r>
      <w:r>
        <w:rPr>
          <w:rFonts w:eastAsia="宋体"/>
        </w:rPr>
        <w:t>”</w:t>
      </w:r>
      <w:r>
        <w:rPr>
          <w:rFonts w:hint="eastAsia" w:eastAsia="宋体" w:cs="宋体"/>
        </w:rPr>
        <w:t>内保持有效。</w:t>
      </w:r>
    </w:p>
    <w:p>
      <w:pPr>
        <w:snapToGrid w:val="0"/>
        <w:spacing w:line="420" w:lineRule="exact"/>
        <w:ind w:firstLine="480" w:firstLineChars="200"/>
        <w:rPr>
          <w:rFonts w:eastAsia="宋体"/>
        </w:rPr>
      </w:pPr>
      <w:r>
        <w:rPr>
          <w:rFonts w:hint="eastAsia" w:eastAsia="宋体" w:cs="宋体"/>
        </w:rPr>
        <w:t>（</w:t>
      </w:r>
      <w:r>
        <w:rPr>
          <w:rFonts w:eastAsia="宋体"/>
        </w:rPr>
        <w:t>4</w:t>
      </w:r>
      <w:r>
        <w:rPr>
          <w:rFonts w:hint="eastAsia" w:eastAsia="宋体" w:cs="宋体"/>
        </w:rPr>
        <w:t>）我方愿意提供采购人在磋商文件中要求的所有资料。</w:t>
      </w:r>
    </w:p>
    <w:p>
      <w:pPr>
        <w:snapToGrid w:val="0"/>
        <w:spacing w:line="420" w:lineRule="exact"/>
        <w:ind w:firstLine="480" w:firstLineChars="200"/>
        <w:rPr>
          <w:rFonts w:eastAsia="宋体"/>
        </w:rPr>
      </w:pPr>
      <w:r>
        <w:rPr>
          <w:rFonts w:hint="eastAsia" w:eastAsia="宋体" w:cs="宋体"/>
        </w:rPr>
        <w:t>（</w:t>
      </w:r>
      <w:r>
        <w:rPr>
          <w:rFonts w:eastAsia="宋体"/>
        </w:rPr>
        <w:t>5</w:t>
      </w:r>
      <w:r>
        <w:rPr>
          <w:rFonts w:hint="eastAsia" w:eastAsia="宋体" w:cs="宋体"/>
        </w:rPr>
        <w:t>）我方承诺在本次磋商响应中提供的一切文件，无论是原件还是复印件均真实有效，绝无任何虚假、伪造和夸大的成份。否则，愿承担相应的后果和法律责任。</w:t>
      </w:r>
    </w:p>
    <w:p>
      <w:pPr>
        <w:snapToGrid w:val="0"/>
        <w:spacing w:line="420" w:lineRule="exact"/>
        <w:ind w:firstLine="480" w:firstLineChars="200"/>
        <w:rPr>
          <w:rFonts w:eastAsia="宋体"/>
        </w:rPr>
      </w:pPr>
      <w:r>
        <w:rPr>
          <w:rFonts w:hint="eastAsia" w:eastAsia="宋体" w:cs="宋体"/>
        </w:rPr>
        <w:t>（</w:t>
      </w:r>
      <w:r>
        <w:rPr>
          <w:rFonts w:eastAsia="宋体"/>
        </w:rPr>
        <w:t>6</w:t>
      </w:r>
      <w:r>
        <w:rPr>
          <w:rFonts w:hint="eastAsia" w:eastAsia="宋体" w:cs="宋体"/>
        </w:rPr>
        <w:t>）我方尊重竞争性磋商小组所作评定结果。</w:t>
      </w:r>
    </w:p>
    <w:p>
      <w:pPr>
        <w:snapToGrid w:val="0"/>
        <w:spacing w:line="420" w:lineRule="exact"/>
        <w:ind w:firstLine="480" w:firstLineChars="200"/>
        <w:rPr>
          <w:rFonts w:eastAsia="宋体"/>
        </w:rPr>
      </w:pPr>
      <w:r>
        <w:rPr>
          <w:rFonts w:hint="eastAsia" w:eastAsia="宋体" w:cs="宋体"/>
        </w:rPr>
        <w:t>（</w:t>
      </w:r>
      <w:r>
        <w:rPr>
          <w:rFonts w:eastAsia="宋体"/>
        </w:rPr>
        <w:t>7</w:t>
      </w:r>
      <w:r>
        <w:rPr>
          <w:rFonts w:hint="eastAsia" w:eastAsia="宋体" w:cs="宋体"/>
        </w:rPr>
        <w:t>）一旦我方成交，我方将根据磋商文件的规定，严格履行磋商文件中规定的每一项要求和按期、按质、按量履行合同的义务。</w:t>
      </w:r>
    </w:p>
    <w:p>
      <w:pPr>
        <w:snapToGrid w:val="0"/>
        <w:spacing w:line="420" w:lineRule="exact"/>
        <w:ind w:firstLine="480" w:firstLineChars="200"/>
        <w:rPr>
          <w:rFonts w:eastAsia="宋体"/>
        </w:rPr>
      </w:pPr>
    </w:p>
    <w:p>
      <w:pPr>
        <w:spacing w:line="520" w:lineRule="exact"/>
        <w:ind w:firstLine="5522" w:firstLineChars="2301"/>
        <w:rPr>
          <w:rFonts w:ascii="宋体" w:hAnsi="宋体" w:eastAsia="宋体" w:cs="宋体"/>
        </w:rPr>
      </w:pPr>
      <w:r>
        <w:rPr>
          <w:rFonts w:hint="eastAsia" w:ascii="宋体" w:hAnsi="宋体" w:eastAsia="宋体" w:cs="宋体"/>
        </w:rPr>
        <w:t>供应商：（公章）</w:t>
      </w:r>
    </w:p>
    <w:p>
      <w:pPr>
        <w:spacing w:line="520" w:lineRule="exact"/>
        <w:ind w:firstLine="5522" w:firstLineChars="2301"/>
        <w:rPr>
          <w:rFonts w:ascii="宋体" w:hAnsi="宋体" w:eastAsia="宋体" w:cs="宋体"/>
        </w:rPr>
      </w:pPr>
      <w:r>
        <w:rPr>
          <w:rFonts w:hint="eastAsia" w:ascii="宋体" w:hAnsi="宋体" w:eastAsia="宋体" w:cs="宋体"/>
        </w:rPr>
        <w:t>法定代表人或被授权人：（签字或盖章）</w:t>
      </w:r>
    </w:p>
    <w:p>
      <w:pPr>
        <w:snapToGrid w:val="0"/>
        <w:spacing w:line="420" w:lineRule="exact"/>
        <w:jc w:val="right"/>
        <w:rPr>
          <w:rFonts w:eastAsia="宋体"/>
        </w:rPr>
      </w:pPr>
      <w:r>
        <w:rPr>
          <w:rFonts w:hint="eastAsia" w:eastAsia="宋体" w:cs="宋体"/>
        </w:rPr>
        <w:t>二〇二二年</w:t>
      </w:r>
      <w:r>
        <w:rPr>
          <w:rFonts w:eastAsia="宋体" w:cs="宋体"/>
        </w:rPr>
        <w:t xml:space="preserve">  </w:t>
      </w:r>
      <w:r>
        <w:rPr>
          <w:rFonts w:hint="eastAsia" w:eastAsia="宋体" w:cs="宋体"/>
        </w:rPr>
        <w:t>月</w:t>
      </w:r>
      <w:r>
        <w:rPr>
          <w:rFonts w:eastAsia="宋体" w:cs="宋体"/>
        </w:rPr>
        <w:t xml:space="preserve">  </w:t>
      </w:r>
      <w:r>
        <w:rPr>
          <w:rFonts w:hint="eastAsia" w:eastAsia="宋体" w:cs="宋体"/>
        </w:rPr>
        <w:t>日</w:t>
      </w: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rPr>
          <w:rFonts w:ascii="宋体" w:hAnsi="宋体" w:eastAsia="宋体" w:cs="宋体"/>
          <w:b/>
          <w:bCs/>
        </w:rPr>
      </w:pPr>
      <w:r>
        <w:rPr>
          <w:rFonts w:ascii="宋体" w:hAnsi="宋体" w:eastAsia="宋体" w:cs="宋体"/>
          <w:b/>
          <w:bCs/>
        </w:rPr>
        <w:br w:type="page"/>
      </w:r>
    </w:p>
    <w:p>
      <w:pPr>
        <w:snapToGrid w:val="0"/>
        <w:spacing w:beforeLines="100" w:afterLines="100" w:line="420" w:lineRule="exact"/>
        <w:jc w:val="center"/>
        <w:outlineLvl w:val="4"/>
        <w:rPr>
          <w:rFonts w:ascii="宋体" w:hAnsi="宋体" w:eastAsia="宋体"/>
          <w:sz w:val="28"/>
          <w:szCs w:val="28"/>
        </w:rPr>
      </w:pPr>
      <w:r>
        <w:rPr>
          <w:rFonts w:hint="eastAsia" w:ascii="宋体" w:hAnsi="宋体" w:eastAsia="宋体" w:cs="宋体"/>
          <w:b/>
          <w:bCs/>
        </w:rPr>
        <w:t>（</w:t>
      </w:r>
      <w:r>
        <w:rPr>
          <w:rFonts w:ascii="宋体" w:hAnsi="宋体" w:eastAsia="宋体" w:cs="宋体"/>
          <w:b/>
          <w:bCs/>
        </w:rPr>
        <w:t>7</w:t>
      </w:r>
      <w:r>
        <w:rPr>
          <w:rFonts w:hint="eastAsia" w:ascii="宋体" w:hAnsi="宋体" w:eastAsia="宋体" w:cs="宋体"/>
          <w:b/>
          <w:bCs/>
        </w:rPr>
        <w:t>）现场踏勘函（格式）</w:t>
      </w:r>
    </w:p>
    <w:p>
      <w:pPr>
        <w:snapToGrid w:val="0"/>
        <w:spacing w:line="420" w:lineRule="exact"/>
        <w:rPr>
          <w:rFonts w:ascii="宋体" w:hAnsi="宋体" w:eastAsia="宋体"/>
        </w:rPr>
      </w:pPr>
      <w:r>
        <w:rPr>
          <w:rFonts w:hint="eastAsia" w:eastAsia="宋体" w:cs="宋体"/>
        </w:rPr>
        <w:t>南通市崇川区钟秀街道办事处</w:t>
      </w:r>
      <w:r>
        <w:rPr>
          <w:rFonts w:hint="eastAsia" w:ascii="宋体" w:hAnsi="宋体" w:eastAsia="宋体" w:cs="宋体"/>
        </w:rPr>
        <w:t>：</w:t>
      </w:r>
    </w:p>
    <w:p>
      <w:pPr>
        <w:overflowPunct w:val="0"/>
        <w:adjustRightInd w:val="0"/>
        <w:spacing w:line="420" w:lineRule="exact"/>
        <w:ind w:firstLine="660"/>
        <w:jc w:val="left"/>
        <w:textAlignment w:val="baseline"/>
        <w:rPr>
          <w:rFonts w:ascii="宋体" w:hAnsi="宋体" w:eastAsia="宋体" w:cs="宋体"/>
        </w:rPr>
      </w:pPr>
      <w:r>
        <w:rPr>
          <w:rFonts w:hint="eastAsia" w:ascii="宋体" w:hAnsi="宋体" w:eastAsia="宋体" w:cs="宋体"/>
        </w:rPr>
        <w:t>根据贵单位委托的采购代理机构组织实施</w:t>
      </w:r>
      <w:bookmarkStart w:id="55" w:name="_Hlk69428670"/>
      <w:r>
        <w:rPr>
          <w:rFonts w:hint="eastAsia" w:ascii="宋体" w:hAnsi="宋体" w:eastAsia="宋体" w:cs="宋体"/>
        </w:rPr>
        <w:t>的</w:t>
      </w:r>
      <w:r>
        <w:rPr>
          <w:rFonts w:hint="eastAsia" w:eastAsia="宋体"/>
        </w:rPr>
        <w:t>项目名称：</w:t>
      </w:r>
      <w:r>
        <w:rPr>
          <w:rFonts w:eastAsia="宋体"/>
          <w:u w:val="single"/>
        </w:rPr>
        <w:t xml:space="preserve">             </w:t>
      </w:r>
      <w:r>
        <w:rPr>
          <w:rFonts w:hint="eastAsia" w:eastAsia="宋体"/>
          <w:u w:val="single"/>
        </w:rPr>
        <w:t>项目</w:t>
      </w:r>
      <w:r>
        <w:rPr>
          <w:rFonts w:hint="eastAsia" w:eastAsia="宋体"/>
        </w:rPr>
        <w:t>的</w:t>
      </w:r>
      <w:bookmarkEnd w:id="55"/>
      <w:r>
        <w:rPr>
          <w:rFonts w:hint="eastAsia" w:ascii="宋体" w:hAnsi="宋体" w:eastAsia="宋体" w:cs="宋体"/>
        </w:rPr>
        <w:t>竞争性磋商响应要求，我单位于</w:t>
      </w:r>
      <w:r>
        <w:rPr>
          <w:rFonts w:eastAsia="宋体"/>
        </w:rPr>
        <w:t>2022</w:t>
      </w:r>
      <w:r>
        <w:rPr>
          <w:rFonts w:hint="eastAsia" w:ascii="宋体" w:hAnsi="宋体" w:eastAsia="宋体" w:cs="宋体"/>
        </w:rPr>
        <w:t>年</w:t>
      </w:r>
      <w:r>
        <w:rPr>
          <w:rFonts w:ascii="宋体" w:hAnsi="宋体" w:eastAsia="宋体" w:cs="宋体"/>
          <w:u w:val="single"/>
        </w:rPr>
        <w:t xml:space="preserve">   </w:t>
      </w:r>
      <w:r>
        <w:rPr>
          <w:rFonts w:hint="eastAsia" w:ascii="宋体" w:hAnsi="宋体" w:eastAsia="宋体" w:cs="宋体"/>
        </w:rPr>
        <w:t>月</w:t>
      </w:r>
      <w:r>
        <w:rPr>
          <w:rFonts w:ascii="宋体" w:hAnsi="宋体" w:eastAsia="宋体" w:cs="宋体"/>
          <w:u w:val="single"/>
        </w:rPr>
        <w:t xml:space="preserve">     </w:t>
      </w:r>
      <w:r>
        <w:rPr>
          <w:rFonts w:hint="eastAsia" w:ascii="宋体" w:hAnsi="宋体" w:eastAsia="宋体" w:cs="宋体"/>
        </w:rPr>
        <w:t>日</w:t>
      </w:r>
      <w:r>
        <w:rPr>
          <w:rFonts w:ascii="宋体" w:hAnsi="宋体" w:eastAsia="宋体" w:cs="宋体"/>
          <w:u w:val="single"/>
        </w:rPr>
        <w:t xml:space="preserve">     </w:t>
      </w:r>
      <w:r>
        <w:rPr>
          <w:rFonts w:hint="eastAsia" w:ascii="宋体" w:hAnsi="宋体" w:eastAsia="宋体" w:cs="宋体"/>
        </w:rPr>
        <w:t>时到现场勘查，并取得现场资料数据，同时与采购人确认了投资建设（含设计创作）的具体地点位置。</w:t>
      </w:r>
    </w:p>
    <w:p>
      <w:pPr>
        <w:overflowPunct w:val="0"/>
        <w:adjustRightInd w:val="0"/>
        <w:spacing w:line="420" w:lineRule="exact"/>
        <w:ind w:firstLine="660"/>
        <w:jc w:val="left"/>
        <w:textAlignment w:val="baseline"/>
        <w:rPr>
          <w:rFonts w:ascii="宋体" w:hAnsi="宋体" w:eastAsia="宋体" w:cs="宋体"/>
        </w:rPr>
      </w:pPr>
    </w:p>
    <w:p>
      <w:pPr>
        <w:overflowPunct w:val="0"/>
        <w:adjustRightInd w:val="0"/>
        <w:spacing w:line="420" w:lineRule="exact"/>
        <w:ind w:firstLine="660"/>
        <w:jc w:val="left"/>
        <w:textAlignment w:val="baseline"/>
        <w:rPr>
          <w:rFonts w:ascii="宋体" w:hAnsi="宋体" w:eastAsia="宋体" w:cs="宋体"/>
        </w:rPr>
      </w:pPr>
      <w:r>
        <w:rPr>
          <w:rFonts w:hint="eastAsia" w:ascii="宋体" w:hAnsi="宋体" w:eastAsia="宋体" w:cs="宋体"/>
        </w:rPr>
        <w:t>勘察人：</w:t>
      </w:r>
      <w:r>
        <w:rPr>
          <w:rFonts w:eastAsia="宋体" w:cs="宋体"/>
          <w:u w:val="single"/>
        </w:rPr>
        <w:t xml:space="preserve">  </w:t>
      </w:r>
      <w:r>
        <w:rPr>
          <w:rFonts w:hint="eastAsia" w:eastAsia="宋体" w:cs="宋体"/>
          <w:u w:val="single"/>
        </w:rPr>
        <w:t>（法人、其他组织名称）</w:t>
      </w:r>
      <w:r>
        <w:rPr>
          <w:rFonts w:eastAsia="宋体" w:cs="宋体"/>
          <w:u w:val="single"/>
        </w:rPr>
        <w:t xml:space="preserve">  </w:t>
      </w:r>
    </w:p>
    <w:p>
      <w:pPr>
        <w:overflowPunct w:val="0"/>
        <w:adjustRightInd w:val="0"/>
        <w:spacing w:line="420" w:lineRule="exact"/>
        <w:ind w:firstLine="660"/>
        <w:jc w:val="left"/>
        <w:textAlignment w:val="baseline"/>
        <w:rPr>
          <w:rFonts w:ascii="宋体" w:hAnsi="宋体" w:eastAsia="宋体"/>
        </w:rPr>
      </w:pPr>
      <w:r>
        <w:rPr>
          <w:rFonts w:hint="eastAsia" w:eastAsia="宋体"/>
        </w:rPr>
        <w:t>联系电话：</w:t>
      </w:r>
      <w:r>
        <w:rPr>
          <w:rFonts w:eastAsia="宋体"/>
          <w:u w:val="single"/>
        </w:rPr>
        <w:t xml:space="preserve">                                    </w:t>
      </w:r>
    </w:p>
    <w:p>
      <w:pPr>
        <w:overflowPunct w:val="0"/>
        <w:adjustRightInd w:val="0"/>
        <w:spacing w:line="420" w:lineRule="exact"/>
        <w:ind w:firstLine="1701"/>
        <w:jc w:val="left"/>
        <w:textAlignment w:val="baseline"/>
        <w:rPr>
          <w:rFonts w:ascii="宋体" w:hAnsi="宋体" w:eastAsia="宋体" w:cs="宋体"/>
        </w:rPr>
      </w:pPr>
    </w:p>
    <w:p>
      <w:pPr>
        <w:overflowPunct w:val="0"/>
        <w:adjustRightInd w:val="0"/>
        <w:spacing w:line="420" w:lineRule="exact"/>
        <w:ind w:firstLine="1701"/>
        <w:jc w:val="left"/>
        <w:textAlignment w:val="baseline"/>
        <w:rPr>
          <w:rFonts w:ascii="宋体" w:hAnsi="宋体" w:eastAsia="宋体" w:cs="宋体"/>
        </w:rPr>
      </w:pPr>
      <w:r>
        <w:rPr>
          <w:rFonts w:hint="eastAsia" w:ascii="宋体" w:hAnsi="宋体" w:eastAsia="宋体" w:cs="宋体"/>
        </w:rPr>
        <w:t>特此证明</w:t>
      </w:r>
    </w:p>
    <w:p>
      <w:pPr>
        <w:overflowPunct w:val="0"/>
        <w:adjustRightInd w:val="0"/>
        <w:spacing w:line="420" w:lineRule="exact"/>
        <w:ind w:firstLine="1701"/>
        <w:jc w:val="left"/>
        <w:textAlignment w:val="baseline"/>
        <w:rPr>
          <w:rFonts w:ascii="宋体" w:hAnsi="宋体" w:eastAsia="宋体"/>
        </w:rPr>
      </w:pPr>
    </w:p>
    <w:p>
      <w:pPr>
        <w:overflowPunct w:val="0"/>
        <w:adjustRightInd w:val="0"/>
        <w:spacing w:line="420" w:lineRule="exact"/>
        <w:ind w:firstLine="660"/>
        <w:jc w:val="right"/>
        <w:textAlignment w:val="baseline"/>
        <w:rPr>
          <w:rFonts w:ascii="宋体" w:hAnsi="宋体" w:eastAsia="宋体"/>
        </w:rPr>
      </w:pPr>
      <w:r>
        <w:rPr>
          <w:rFonts w:hint="eastAsia" w:ascii="宋体" w:hAnsi="宋体" w:eastAsia="宋体" w:cs="宋体"/>
        </w:rPr>
        <w:t>采购人（单位）：（加盖公章）</w:t>
      </w:r>
    </w:p>
    <w:p>
      <w:pPr>
        <w:overflowPunct w:val="0"/>
        <w:adjustRightInd w:val="0"/>
        <w:spacing w:line="420" w:lineRule="exact"/>
        <w:ind w:firstLine="660"/>
        <w:jc w:val="right"/>
        <w:textAlignment w:val="baseline"/>
        <w:rPr>
          <w:rFonts w:ascii="宋体" w:hAnsi="宋体" w:eastAsia="宋体"/>
        </w:rPr>
      </w:pPr>
      <w:r>
        <w:rPr>
          <w:rFonts w:hint="eastAsia" w:eastAsia="宋体" w:cs="宋体"/>
        </w:rPr>
        <w:t>二〇二二</w:t>
      </w:r>
      <w:r>
        <w:rPr>
          <w:rFonts w:hint="eastAsia" w:ascii="宋体" w:hAnsi="宋体" w:eastAsia="宋体" w:cs="宋体"/>
        </w:rPr>
        <w:t>年</w:t>
      </w:r>
      <w:r>
        <w:rPr>
          <w:rFonts w:ascii="宋体" w:hAnsi="宋体" w:eastAsia="宋体" w:cs="宋体"/>
        </w:rPr>
        <w:t xml:space="preserve">      </w:t>
      </w:r>
      <w:r>
        <w:rPr>
          <w:rFonts w:hint="eastAsia" w:ascii="宋体" w:hAnsi="宋体" w:eastAsia="宋体" w:cs="宋体"/>
        </w:rPr>
        <w:t>月</w:t>
      </w:r>
      <w:r>
        <w:rPr>
          <w:rFonts w:ascii="宋体" w:hAnsi="宋体" w:eastAsia="宋体" w:cs="宋体"/>
        </w:rPr>
        <w:t xml:space="preserve">     </w:t>
      </w:r>
      <w:r>
        <w:rPr>
          <w:rFonts w:hint="eastAsia" w:ascii="宋体" w:hAnsi="宋体" w:eastAsia="宋体" w:cs="宋体"/>
        </w:rPr>
        <w:t>日</w:t>
      </w:r>
    </w:p>
    <w:p>
      <w:pPr>
        <w:overflowPunct w:val="0"/>
        <w:adjustRightInd w:val="0"/>
        <w:spacing w:line="420" w:lineRule="exact"/>
        <w:ind w:firstLine="420"/>
        <w:jc w:val="left"/>
        <w:textAlignment w:val="baseline"/>
        <w:rPr>
          <w:rFonts w:eastAsia="宋体"/>
          <w:b/>
          <w:bCs/>
          <w:sz w:val="21"/>
          <w:szCs w:val="21"/>
        </w:rPr>
      </w:pPr>
      <w:r>
        <w:rPr>
          <w:rFonts w:hint="eastAsia" w:eastAsia="宋体"/>
          <w:b/>
          <w:bCs/>
          <w:sz w:val="21"/>
          <w:szCs w:val="21"/>
        </w:rPr>
        <w:t>注：</w:t>
      </w:r>
    </w:p>
    <w:p>
      <w:pPr>
        <w:overflowPunct w:val="0"/>
        <w:adjustRightInd w:val="0"/>
        <w:spacing w:line="420" w:lineRule="exact"/>
        <w:ind w:firstLine="420"/>
        <w:jc w:val="left"/>
        <w:textAlignment w:val="baseline"/>
        <w:rPr>
          <w:rFonts w:eastAsia="宋体"/>
          <w:b/>
          <w:bCs/>
          <w:sz w:val="21"/>
          <w:szCs w:val="21"/>
        </w:rPr>
      </w:pPr>
      <w:r>
        <w:rPr>
          <w:rFonts w:hint="eastAsia" w:eastAsia="宋体"/>
          <w:b/>
          <w:bCs/>
          <w:sz w:val="21"/>
          <w:szCs w:val="21"/>
        </w:rPr>
        <w:t>有意愿参与对本项目竞争性磋商响应的供应商，请于本项目在“南通市崇川区人民政府网→我要看→公示公告”栏内公告之日起，至响应文件提交的截止时间前，联系采购人勘察现场。</w:t>
      </w:r>
    </w:p>
    <w:p>
      <w:pPr>
        <w:overflowPunct w:val="0"/>
        <w:adjustRightInd w:val="0"/>
        <w:spacing w:line="420" w:lineRule="exact"/>
        <w:ind w:firstLine="420"/>
        <w:jc w:val="left"/>
        <w:textAlignment w:val="baseline"/>
        <w:rPr>
          <w:rFonts w:eastAsia="宋体"/>
        </w:rPr>
      </w:pPr>
    </w:p>
    <w:p>
      <w:pPr>
        <w:adjustRightInd w:val="0"/>
        <w:snapToGrid w:val="0"/>
        <w:spacing w:line="420" w:lineRule="exact"/>
        <w:ind w:left="1133" w:leftChars="472" w:firstLine="424" w:firstLineChars="177"/>
        <w:jc w:val="left"/>
        <w:rPr>
          <w:rFonts w:eastAsia="宋体" w:cs="宋体"/>
        </w:rPr>
      </w:pPr>
      <w:r>
        <w:rPr>
          <w:rFonts w:hint="eastAsia" w:eastAsia="宋体" w:cs="宋体"/>
        </w:rPr>
        <w:t>③</w:t>
      </w:r>
      <w:r>
        <w:rPr>
          <w:rFonts w:eastAsia="宋体" w:cs="宋体"/>
        </w:rPr>
        <w:t xml:space="preserve"> </w:t>
      </w:r>
      <w:r>
        <w:rPr>
          <w:rFonts w:hint="eastAsia" w:eastAsia="宋体" w:cs="宋体"/>
        </w:rPr>
        <w:t>提供本项目投资建设目标所在地的设计成果；</w:t>
      </w:r>
    </w:p>
    <w:p>
      <w:pPr>
        <w:adjustRightInd w:val="0"/>
        <w:snapToGrid w:val="0"/>
        <w:spacing w:line="420" w:lineRule="exact"/>
        <w:ind w:left="1133" w:leftChars="472" w:firstLine="424" w:firstLineChars="177"/>
        <w:jc w:val="left"/>
        <w:rPr>
          <w:rFonts w:eastAsia="宋体" w:cs="宋体"/>
        </w:rPr>
      </w:pPr>
      <w:r>
        <w:rPr>
          <w:rFonts w:hint="eastAsia" w:eastAsia="宋体" w:cs="宋体"/>
        </w:rPr>
        <w:t>④</w:t>
      </w:r>
      <w:r>
        <w:rPr>
          <w:rFonts w:eastAsia="宋体" w:cs="宋体"/>
        </w:rPr>
        <w:t xml:space="preserve"> </w:t>
      </w:r>
      <w:r>
        <w:rPr>
          <w:rFonts w:hint="eastAsia" w:eastAsia="宋体" w:cs="宋体"/>
        </w:rPr>
        <w:t>供应商认为可以提供的其他技术文件或说明。</w:t>
      </w:r>
    </w:p>
    <w:p>
      <w:pPr>
        <w:rPr>
          <w:rFonts w:eastAsia="宋体" w:cs="宋体"/>
        </w:rPr>
      </w:pPr>
      <w:r>
        <w:rPr>
          <w:rFonts w:eastAsia="宋体" w:cs="宋体"/>
        </w:rPr>
        <w:br w:type="page"/>
      </w:r>
    </w:p>
    <w:p>
      <w:pPr>
        <w:pStyle w:val="49"/>
        <w:ind w:firstLine="31680"/>
        <w:rPr>
          <w:rFonts w:ascii="宋体" w:cs="宋体"/>
        </w:rPr>
      </w:pPr>
    </w:p>
    <w:p>
      <w:pPr>
        <w:snapToGrid w:val="0"/>
        <w:spacing w:line="520" w:lineRule="exact"/>
        <w:jc w:val="center"/>
        <w:rPr>
          <w:rFonts w:ascii="宋体" w:hAnsi="宋体" w:eastAsia="宋体" w:cs="宋体"/>
          <w:b/>
          <w:bCs/>
          <w:color w:val="000000"/>
        </w:rPr>
      </w:pPr>
      <w:r>
        <w:rPr>
          <w:rFonts w:hint="eastAsia" w:ascii="宋体" w:hAnsi="宋体" w:eastAsia="宋体" w:cs="宋体"/>
          <w:b/>
          <w:bCs/>
          <w:color w:val="000000"/>
        </w:rPr>
        <w:t>（</w:t>
      </w:r>
      <w:r>
        <w:rPr>
          <w:rFonts w:ascii="宋体" w:hAnsi="宋体" w:eastAsia="宋体" w:cs="宋体"/>
          <w:b/>
          <w:bCs/>
        </w:rPr>
        <w:t>8</w:t>
      </w:r>
      <w:r>
        <w:rPr>
          <w:rFonts w:hint="eastAsia" w:ascii="宋体" w:hAnsi="宋体" w:eastAsia="宋体" w:cs="宋体"/>
          <w:b/>
          <w:bCs/>
        </w:rPr>
        <w:t>）技术响应及偏离表</w:t>
      </w:r>
    </w:p>
    <w:p>
      <w:pPr>
        <w:spacing w:line="520" w:lineRule="exact"/>
        <w:ind w:firstLine="484" w:firstLineChars="202"/>
        <w:rPr>
          <w:rFonts w:ascii="宋体" w:hAnsi="宋体" w:eastAsia="宋体" w:cs="宋体"/>
        </w:rPr>
      </w:pPr>
    </w:p>
    <w:tbl>
      <w:tblPr>
        <w:tblStyle w:val="5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9"/>
        <w:gridCol w:w="3026"/>
        <w:gridCol w:w="1782"/>
        <w:gridCol w:w="1459"/>
        <w:gridCol w:w="7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15" w:hRule="exact"/>
          <w:jc w:val="center"/>
        </w:trPr>
        <w:tc>
          <w:tcPr>
            <w:tcW w:w="849" w:type="dxa"/>
            <w:tcBorders>
              <w:top w:val="single" w:color="auto" w:sz="12" w:space="0"/>
            </w:tcBorders>
            <w:vAlign w:val="center"/>
          </w:tcPr>
          <w:p>
            <w:pPr>
              <w:spacing w:line="520" w:lineRule="exact"/>
              <w:jc w:val="center"/>
              <w:rPr>
                <w:rFonts w:ascii="宋体" w:hAnsi="宋体" w:eastAsia="宋体" w:cs="宋体"/>
              </w:rPr>
            </w:pPr>
            <w:r>
              <w:rPr>
                <w:rFonts w:hint="eastAsia" w:ascii="宋体" w:hAnsi="宋体" w:eastAsia="宋体" w:cs="宋体"/>
                <w:b/>
                <w:bCs/>
              </w:rPr>
              <w:t>序号</w:t>
            </w:r>
          </w:p>
        </w:tc>
        <w:tc>
          <w:tcPr>
            <w:tcW w:w="3026" w:type="dxa"/>
            <w:tcBorders>
              <w:top w:val="single" w:color="auto" w:sz="12" w:space="0"/>
            </w:tcBorders>
            <w:vAlign w:val="center"/>
          </w:tcPr>
          <w:p>
            <w:pPr>
              <w:spacing w:line="520" w:lineRule="exact"/>
              <w:jc w:val="center"/>
              <w:rPr>
                <w:rFonts w:ascii="宋体" w:hAnsi="宋体" w:eastAsia="宋体" w:cs="宋体"/>
              </w:rPr>
            </w:pPr>
            <w:r>
              <w:rPr>
                <w:rFonts w:hint="eastAsia" w:ascii="宋体" w:hAnsi="宋体" w:eastAsia="宋体" w:cs="宋体"/>
                <w:b/>
                <w:bCs/>
              </w:rPr>
              <w:t>竞争性磋商文件技术要求</w:t>
            </w:r>
          </w:p>
        </w:tc>
        <w:tc>
          <w:tcPr>
            <w:tcW w:w="1782" w:type="dxa"/>
            <w:tcBorders>
              <w:top w:val="single" w:color="auto" w:sz="12" w:space="0"/>
            </w:tcBorders>
            <w:vAlign w:val="center"/>
          </w:tcPr>
          <w:p>
            <w:pPr>
              <w:spacing w:line="520" w:lineRule="exact"/>
              <w:jc w:val="center"/>
              <w:rPr>
                <w:rFonts w:ascii="宋体" w:hAnsi="宋体" w:eastAsia="宋体" w:cs="宋体"/>
              </w:rPr>
            </w:pPr>
            <w:r>
              <w:rPr>
                <w:rFonts w:hint="eastAsia" w:ascii="宋体" w:hAnsi="宋体" w:eastAsia="宋体" w:cs="宋体"/>
                <w:b/>
                <w:bCs/>
              </w:rPr>
              <w:t>竞谈响应</w:t>
            </w:r>
          </w:p>
        </w:tc>
        <w:tc>
          <w:tcPr>
            <w:tcW w:w="1459" w:type="dxa"/>
            <w:tcBorders>
              <w:top w:val="single" w:color="auto" w:sz="12" w:space="0"/>
            </w:tcBorders>
            <w:vAlign w:val="center"/>
          </w:tcPr>
          <w:p>
            <w:pPr>
              <w:spacing w:line="520" w:lineRule="exact"/>
              <w:jc w:val="center"/>
              <w:rPr>
                <w:rFonts w:ascii="宋体" w:hAnsi="宋体" w:eastAsia="宋体" w:cs="宋体"/>
              </w:rPr>
            </w:pPr>
            <w:r>
              <w:rPr>
                <w:rFonts w:hint="eastAsia" w:ascii="宋体" w:hAnsi="宋体" w:eastAsia="宋体" w:cs="宋体"/>
                <w:b/>
                <w:bCs/>
              </w:rPr>
              <w:t>偏离</w:t>
            </w:r>
          </w:p>
        </w:tc>
        <w:tc>
          <w:tcPr>
            <w:tcW w:w="753" w:type="dxa"/>
            <w:tcBorders>
              <w:top w:val="single" w:color="auto" w:sz="12" w:space="0"/>
            </w:tcBorders>
            <w:vAlign w:val="center"/>
          </w:tcPr>
          <w:p>
            <w:pPr>
              <w:spacing w:line="520" w:lineRule="exact"/>
              <w:jc w:val="center"/>
              <w:rPr>
                <w:rFonts w:ascii="宋体" w:hAnsi="宋体" w:eastAsia="宋体" w:cs="宋体"/>
              </w:rPr>
            </w:pPr>
            <w:r>
              <w:rPr>
                <w:rFonts w:hint="eastAsia" w:ascii="宋体" w:hAnsi="宋体" w:eastAsia="宋体" w:cs="宋体"/>
                <w:b/>
                <w:bCs/>
              </w:rPr>
              <w:t>原因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849" w:type="dxa"/>
            <w:vAlign w:val="center"/>
          </w:tcPr>
          <w:p>
            <w:pPr>
              <w:spacing w:line="520" w:lineRule="exact"/>
              <w:ind w:firstLine="480" w:firstLineChars="200"/>
              <w:jc w:val="center"/>
              <w:rPr>
                <w:rFonts w:ascii="宋体" w:hAnsi="宋体" w:eastAsia="宋体" w:cs="宋体"/>
              </w:rPr>
            </w:pPr>
          </w:p>
        </w:tc>
        <w:tc>
          <w:tcPr>
            <w:tcW w:w="3026" w:type="dxa"/>
            <w:vAlign w:val="center"/>
          </w:tcPr>
          <w:p>
            <w:pPr>
              <w:spacing w:line="520" w:lineRule="exact"/>
              <w:ind w:firstLine="480" w:firstLineChars="200"/>
              <w:jc w:val="center"/>
              <w:rPr>
                <w:rFonts w:ascii="宋体" w:hAnsi="宋体" w:eastAsia="宋体" w:cs="宋体"/>
              </w:rPr>
            </w:pPr>
          </w:p>
        </w:tc>
        <w:tc>
          <w:tcPr>
            <w:tcW w:w="1782" w:type="dxa"/>
            <w:vAlign w:val="center"/>
          </w:tcPr>
          <w:p>
            <w:pPr>
              <w:spacing w:line="520" w:lineRule="exact"/>
              <w:ind w:firstLine="480" w:firstLineChars="200"/>
              <w:jc w:val="center"/>
              <w:rPr>
                <w:rFonts w:ascii="宋体" w:hAnsi="宋体" w:eastAsia="宋体" w:cs="宋体"/>
              </w:rPr>
            </w:pPr>
          </w:p>
        </w:tc>
        <w:tc>
          <w:tcPr>
            <w:tcW w:w="1459" w:type="dxa"/>
            <w:vAlign w:val="center"/>
          </w:tcPr>
          <w:p>
            <w:pPr>
              <w:spacing w:line="520" w:lineRule="exact"/>
              <w:ind w:firstLine="480" w:firstLineChars="200"/>
              <w:jc w:val="center"/>
              <w:rPr>
                <w:rFonts w:ascii="宋体" w:hAnsi="宋体" w:eastAsia="宋体" w:cs="宋体"/>
              </w:rPr>
            </w:pPr>
          </w:p>
        </w:tc>
        <w:tc>
          <w:tcPr>
            <w:tcW w:w="753" w:type="dxa"/>
            <w:vAlign w:val="center"/>
          </w:tcPr>
          <w:p>
            <w:pPr>
              <w:spacing w:line="520" w:lineRule="exact"/>
              <w:ind w:firstLine="480" w:firstLineChars="200"/>
              <w:jc w:val="cente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849" w:type="dxa"/>
          </w:tcPr>
          <w:p>
            <w:pPr>
              <w:spacing w:line="520" w:lineRule="exact"/>
              <w:ind w:firstLine="480" w:firstLineChars="200"/>
              <w:jc w:val="center"/>
              <w:rPr>
                <w:rFonts w:ascii="宋体" w:hAnsi="宋体" w:eastAsia="宋体" w:cs="宋体"/>
              </w:rPr>
            </w:pPr>
          </w:p>
        </w:tc>
        <w:tc>
          <w:tcPr>
            <w:tcW w:w="3026" w:type="dxa"/>
            <w:vAlign w:val="center"/>
          </w:tcPr>
          <w:p>
            <w:pPr>
              <w:spacing w:line="520" w:lineRule="exact"/>
              <w:ind w:firstLine="480" w:firstLineChars="200"/>
              <w:jc w:val="center"/>
              <w:rPr>
                <w:rFonts w:ascii="宋体" w:hAnsi="宋体" w:eastAsia="宋体" w:cs="宋体"/>
              </w:rPr>
            </w:pPr>
          </w:p>
        </w:tc>
        <w:tc>
          <w:tcPr>
            <w:tcW w:w="1782" w:type="dxa"/>
            <w:vAlign w:val="center"/>
          </w:tcPr>
          <w:p>
            <w:pPr>
              <w:spacing w:line="520" w:lineRule="exact"/>
              <w:ind w:firstLine="480" w:firstLineChars="200"/>
              <w:jc w:val="center"/>
              <w:rPr>
                <w:rFonts w:ascii="宋体" w:hAnsi="宋体" w:eastAsia="宋体" w:cs="宋体"/>
              </w:rPr>
            </w:pPr>
          </w:p>
        </w:tc>
        <w:tc>
          <w:tcPr>
            <w:tcW w:w="1459" w:type="dxa"/>
            <w:vAlign w:val="center"/>
          </w:tcPr>
          <w:p>
            <w:pPr>
              <w:spacing w:line="520" w:lineRule="exact"/>
              <w:ind w:firstLine="480" w:firstLineChars="200"/>
              <w:jc w:val="center"/>
              <w:rPr>
                <w:rFonts w:ascii="宋体" w:hAnsi="宋体" w:eastAsia="宋体" w:cs="宋体"/>
              </w:rPr>
            </w:pPr>
          </w:p>
        </w:tc>
        <w:tc>
          <w:tcPr>
            <w:tcW w:w="753" w:type="dxa"/>
            <w:vAlign w:val="center"/>
          </w:tcPr>
          <w:p>
            <w:pPr>
              <w:spacing w:line="520" w:lineRule="exact"/>
              <w:ind w:firstLine="480" w:firstLineChars="200"/>
              <w:jc w:val="cente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849" w:type="dxa"/>
          </w:tcPr>
          <w:p>
            <w:pPr>
              <w:spacing w:line="520" w:lineRule="exact"/>
              <w:ind w:firstLine="480" w:firstLineChars="200"/>
              <w:jc w:val="center"/>
              <w:rPr>
                <w:rFonts w:ascii="宋体" w:hAnsi="宋体" w:eastAsia="宋体" w:cs="宋体"/>
              </w:rPr>
            </w:pPr>
          </w:p>
        </w:tc>
        <w:tc>
          <w:tcPr>
            <w:tcW w:w="3026" w:type="dxa"/>
            <w:vAlign w:val="center"/>
          </w:tcPr>
          <w:p>
            <w:pPr>
              <w:spacing w:line="520" w:lineRule="exact"/>
              <w:ind w:firstLine="480" w:firstLineChars="200"/>
              <w:jc w:val="center"/>
              <w:rPr>
                <w:rFonts w:ascii="宋体" w:hAnsi="宋体" w:eastAsia="宋体" w:cs="宋体"/>
              </w:rPr>
            </w:pPr>
          </w:p>
        </w:tc>
        <w:tc>
          <w:tcPr>
            <w:tcW w:w="1782" w:type="dxa"/>
            <w:vAlign w:val="center"/>
          </w:tcPr>
          <w:p>
            <w:pPr>
              <w:spacing w:line="520" w:lineRule="exact"/>
              <w:ind w:firstLine="480" w:firstLineChars="200"/>
              <w:jc w:val="center"/>
              <w:rPr>
                <w:rFonts w:ascii="宋体" w:hAnsi="宋体" w:eastAsia="宋体" w:cs="宋体"/>
              </w:rPr>
            </w:pPr>
          </w:p>
        </w:tc>
        <w:tc>
          <w:tcPr>
            <w:tcW w:w="1459" w:type="dxa"/>
            <w:vAlign w:val="center"/>
          </w:tcPr>
          <w:p>
            <w:pPr>
              <w:spacing w:line="520" w:lineRule="exact"/>
              <w:ind w:firstLine="480" w:firstLineChars="200"/>
              <w:jc w:val="center"/>
              <w:rPr>
                <w:rFonts w:ascii="宋体" w:hAnsi="宋体" w:eastAsia="宋体" w:cs="宋体"/>
              </w:rPr>
            </w:pPr>
          </w:p>
        </w:tc>
        <w:tc>
          <w:tcPr>
            <w:tcW w:w="753" w:type="dxa"/>
            <w:vAlign w:val="center"/>
          </w:tcPr>
          <w:p>
            <w:pPr>
              <w:spacing w:line="520" w:lineRule="exact"/>
              <w:ind w:firstLine="480" w:firstLineChars="200"/>
              <w:jc w:val="cente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849" w:type="dxa"/>
          </w:tcPr>
          <w:p>
            <w:pPr>
              <w:spacing w:line="520" w:lineRule="exact"/>
              <w:ind w:firstLine="480" w:firstLineChars="200"/>
              <w:jc w:val="center"/>
              <w:rPr>
                <w:rFonts w:ascii="宋体" w:hAnsi="宋体" w:eastAsia="宋体" w:cs="宋体"/>
              </w:rPr>
            </w:pPr>
          </w:p>
        </w:tc>
        <w:tc>
          <w:tcPr>
            <w:tcW w:w="3026" w:type="dxa"/>
            <w:vAlign w:val="center"/>
          </w:tcPr>
          <w:p>
            <w:pPr>
              <w:spacing w:line="520" w:lineRule="exact"/>
              <w:ind w:firstLine="480" w:firstLineChars="200"/>
              <w:jc w:val="center"/>
              <w:rPr>
                <w:rFonts w:ascii="宋体" w:hAnsi="宋体" w:eastAsia="宋体" w:cs="宋体"/>
              </w:rPr>
            </w:pPr>
          </w:p>
        </w:tc>
        <w:tc>
          <w:tcPr>
            <w:tcW w:w="1782" w:type="dxa"/>
            <w:vAlign w:val="center"/>
          </w:tcPr>
          <w:p>
            <w:pPr>
              <w:spacing w:line="520" w:lineRule="exact"/>
              <w:ind w:firstLine="480" w:firstLineChars="200"/>
              <w:jc w:val="center"/>
              <w:rPr>
                <w:rFonts w:ascii="宋体" w:hAnsi="宋体" w:eastAsia="宋体" w:cs="宋体"/>
              </w:rPr>
            </w:pPr>
          </w:p>
        </w:tc>
        <w:tc>
          <w:tcPr>
            <w:tcW w:w="1459" w:type="dxa"/>
            <w:vAlign w:val="center"/>
          </w:tcPr>
          <w:p>
            <w:pPr>
              <w:spacing w:line="520" w:lineRule="exact"/>
              <w:ind w:firstLine="480" w:firstLineChars="200"/>
              <w:jc w:val="center"/>
              <w:rPr>
                <w:rFonts w:ascii="宋体" w:hAnsi="宋体" w:eastAsia="宋体" w:cs="宋体"/>
              </w:rPr>
            </w:pPr>
          </w:p>
        </w:tc>
        <w:tc>
          <w:tcPr>
            <w:tcW w:w="753" w:type="dxa"/>
            <w:vAlign w:val="center"/>
          </w:tcPr>
          <w:p>
            <w:pPr>
              <w:spacing w:line="520" w:lineRule="exact"/>
              <w:ind w:firstLine="480" w:firstLineChars="200"/>
              <w:jc w:val="cente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849" w:type="dxa"/>
          </w:tcPr>
          <w:p>
            <w:pPr>
              <w:spacing w:line="520" w:lineRule="exact"/>
              <w:ind w:firstLine="480" w:firstLineChars="200"/>
              <w:jc w:val="center"/>
              <w:rPr>
                <w:rFonts w:ascii="宋体" w:hAnsi="宋体" w:eastAsia="宋体" w:cs="宋体"/>
              </w:rPr>
            </w:pPr>
          </w:p>
        </w:tc>
        <w:tc>
          <w:tcPr>
            <w:tcW w:w="3026" w:type="dxa"/>
            <w:vAlign w:val="center"/>
          </w:tcPr>
          <w:p>
            <w:pPr>
              <w:spacing w:line="520" w:lineRule="exact"/>
              <w:ind w:firstLine="480" w:firstLineChars="200"/>
              <w:jc w:val="center"/>
              <w:rPr>
                <w:rFonts w:ascii="宋体" w:hAnsi="宋体" w:eastAsia="宋体" w:cs="宋体"/>
              </w:rPr>
            </w:pPr>
          </w:p>
        </w:tc>
        <w:tc>
          <w:tcPr>
            <w:tcW w:w="1782" w:type="dxa"/>
            <w:vAlign w:val="center"/>
          </w:tcPr>
          <w:p>
            <w:pPr>
              <w:spacing w:line="520" w:lineRule="exact"/>
              <w:ind w:firstLine="480" w:firstLineChars="200"/>
              <w:jc w:val="center"/>
              <w:rPr>
                <w:rFonts w:ascii="宋体" w:hAnsi="宋体" w:eastAsia="宋体" w:cs="宋体"/>
              </w:rPr>
            </w:pPr>
          </w:p>
        </w:tc>
        <w:tc>
          <w:tcPr>
            <w:tcW w:w="1459" w:type="dxa"/>
            <w:vAlign w:val="center"/>
          </w:tcPr>
          <w:p>
            <w:pPr>
              <w:spacing w:line="520" w:lineRule="exact"/>
              <w:ind w:firstLine="480" w:firstLineChars="200"/>
              <w:jc w:val="center"/>
              <w:rPr>
                <w:rFonts w:ascii="宋体" w:hAnsi="宋体" w:eastAsia="宋体" w:cs="宋体"/>
              </w:rPr>
            </w:pPr>
          </w:p>
        </w:tc>
        <w:tc>
          <w:tcPr>
            <w:tcW w:w="753" w:type="dxa"/>
            <w:vAlign w:val="center"/>
          </w:tcPr>
          <w:p>
            <w:pPr>
              <w:spacing w:line="520" w:lineRule="exact"/>
              <w:ind w:firstLine="480" w:firstLineChars="200"/>
              <w:jc w:val="cente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849" w:type="dxa"/>
          </w:tcPr>
          <w:p>
            <w:pPr>
              <w:spacing w:line="520" w:lineRule="exact"/>
              <w:ind w:firstLine="480" w:firstLineChars="200"/>
              <w:jc w:val="center"/>
              <w:rPr>
                <w:rFonts w:ascii="宋体" w:hAnsi="宋体" w:eastAsia="宋体" w:cs="宋体"/>
              </w:rPr>
            </w:pPr>
          </w:p>
        </w:tc>
        <w:tc>
          <w:tcPr>
            <w:tcW w:w="3026" w:type="dxa"/>
            <w:vAlign w:val="center"/>
          </w:tcPr>
          <w:p>
            <w:pPr>
              <w:spacing w:line="520" w:lineRule="exact"/>
              <w:ind w:firstLine="480" w:firstLineChars="200"/>
              <w:jc w:val="center"/>
              <w:rPr>
                <w:rFonts w:ascii="宋体" w:hAnsi="宋体" w:eastAsia="宋体" w:cs="宋体"/>
              </w:rPr>
            </w:pPr>
          </w:p>
        </w:tc>
        <w:tc>
          <w:tcPr>
            <w:tcW w:w="1782" w:type="dxa"/>
            <w:vAlign w:val="center"/>
          </w:tcPr>
          <w:p>
            <w:pPr>
              <w:spacing w:line="520" w:lineRule="exact"/>
              <w:ind w:firstLine="480" w:firstLineChars="200"/>
              <w:jc w:val="center"/>
              <w:rPr>
                <w:rFonts w:ascii="宋体" w:hAnsi="宋体" w:eastAsia="宋体" w:cs="宋体"/>
              </w:rPr>
            </w:pPr>
          </w:p>
        </w:tc>
        <w:tc>
          <w:tcPr>
            <w:tcW w:w="1459" w:type="dxa"/>
            <w:vAlign w:val="center"/>
          </w:tcPr>
          <w:p>
            <w:pPr>
              <w:spacing w:line="520" w:lineRule="exact"/>
              <w:ind w:firstLine="480" w:firstLineChars="200"/>
              <w:jc w:val="center"/>
              <w:rPr>
                <w:rFonts w:ascii="宋体" w:hAnsi="宋体" w:eastAsia="宋体" w:cs="宋体"/>
              </w:rPr>
            </w:pPr>
          </w:p>
        </w:tc>
        <w:tc>
          <w:tcPr>
            <w:tcW w:w="753" w:type="dxa"/>
            <w:vAlign w:val="center"/>
          </w:tcPr>
          <w:p>
            <w:pPr>
              <w:spacing w:line="520" w:lineRule="exact"/>
              <w:ind w:firstLine="480" w:firstLineChars="200"/>
              <w:jc w:val="cente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849" w:type="dxa"/>
          </w:tcPr>
          <w:p>
            <w:pPr>
              <w:spacing w:line="520" w:lineRule="exact"/>
              <w:ind w:firstLine="480" w:firstLineChars="200"/>
              <w:jc w:val="center"/>
              <w:rPr>
                <w:rFonts w:ascii="宋体" w:hAnsi="宋体" w:eastAsia="宋体" w:cs="宋体"/>
              </w:rPr>
            </w:pPr>
          </w:p>
        </w:tc>
        <w:tc>
          <w:tcPr>
            <w:tcW w:w="3026" w:type="dxa"/>
            <w:vAlign w:val="center"/>
          </w:tcPr>
          <w:p>
            <w:pPr>
              <w:spacing w:line="520" w:lineRule="exact"/>
              <w:ind w:firstLine="480" w:firstLineChars="200"/>
              <w:jc w:val="center"/>
              <w:rPr>
                <w:rFonts w:ascii="宋体" w:hAnsi="宋体" w:eastAsia="宋体" w:cs="宋体"/>
              </w:rPr>
            </w:pPr>
          </w:p>
        </w:tc>
        <w:tc>
          <w:tcPr>
            <w:tcW w:w="1782" w:type="dxa"/>
            <w:vAlign w:val="center"/>
          </w:tcPr>
          <w:p>
            <w:pPr>
              <w:spacing w:line="520" w:lineRule="exact"/>
              <w:ind w:firstLine="480" w:firstLineChars="200"/>
              <w:jc w:val="center"/>
              <w:rPr>
                <w:rFonts w:ascii="宋体" w:hAnsi="宋体" w:eastAsia="宋体" w:cs="宋体"/>
              </w:rPr>
            </w:pPr>
          </w:p>
        </w:tc>
        <w:tc>
          <w:tcPr>
            <w:tcW w:w="1459" w:type="dxa"/>
            <w:vAlign w:val="center"/>
          </w:tcPr>
          <w:p>
            <w:pPr>
              <w:spacing w:line="520" w:lineRule="exact"/>
              <w:ind w:firstLine="480" w:firstLineChars="200"/>
              <w:jc w:val="center"/>
              <w:rPr>
                <w:rFonts w:ascii="宋体" w:hAnsi="宋体" w:eastAsia="宋体" w:cs="宋体"/>
              </w:rPr>
            </w:pPr>
          </w:p>
        </w:tc>
        <w:tc>
          <w:tcPr>
            <w:tcW w:w="753" w:type="dxa"/>
            <w:vAlign w:val="center"/>
          </w:tcPr>
          <w:p>
            <w:pPr>
              <w:spacing w:line="520" w:lineRule="exact"/>
              <w:ind w:firstLine="480" w:firstLineChars="200"/>
              <w:jc w:val="cente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849" w:type="dxa"/>
            <w:tcBorders>
              <w:bottom w:val="single" w:color="auto" w:sz="12" w:space="0"/>
            </w:tcBorders>
          </w:tcPr>
          <w:p>
            <w:pPr>
              <w:spacing w:line="520" w:lineRule="exact"/>
              <w:ind w:firstLine="480" w:firstLineChars="200"/>
              <w:jc w:val="center"/>
              <w:rPr>
                <w:rFonts w:ascii="宋体" w:hAnsi="宋体" w:eastAsia="宋体" w:cs="宋体"/>
              </w:rPr>
            </w:pPr>
            <w:r>
              <w:rPr>
                <w:rFonts w:hint="eastAsia" w:ascii="宋体" w:hAnsi="宋体" w:eastAsia="宋体" w:cs="宋体"/>
              </w:rPr>
              <w:t>……</w:t>
            </w:r>
          </w:p>
        </w:tc>
        <w:tc>
          <w:tcPr>
            <w:tcW w:w="3026" w:type="dxa"/>
            <w:tcBorders>
              <w:bottom w:val="single" w:color="auto" w:sz="12" w:space="0"/>
            </w:tcBorders>
            <w:vAlign w:val="center"/>
          </w:tcPr>
          <w:p>
            <w:pPr>
              <w:spacing w:line="520" w:lineRule="exact"/>
              <w:ind w:firstLine="480" w:firstLineChars="200"/>
              <w:jc w:val="center"/>
              <w:rPr>
                <w:rFonts w:ascii="宋体" w:hAnsi="宋体" w:eastAsia="宋体" w:cs="宋体"/>
              </w:rPr>
            </w:pPr>
          </w:p>
        </w:tc>
        <w:tc>
          <w:tcPr>
            <w:tcW w:w="1782" w:type="dxa"/>
            <w:tcBorders>
              <w:bottom w:val="single" w:color="auto" w:sz="12" w:space="0"/>
            </w:tcBorders>
            <w:vAlign w:val="center"/>
          </w:tcPr>
          <w:p>
            <w:pPr>
              <w:spacing w:line="520" w:lineRule="exact"/>
              <w:ind w:firstLine="480" w:firstLineChars="200"/>
              <w:jc w:val="center"/>
              <w:rPr>
                <w:rFonts w:ascii="宋体" w:hAnsi="宋体" w:eastAsia="宋体" w:cs="宋体"/>
              </w:rPr>
            </w:pPr>
          </w:p>
        </w:tc>
        <w:tc>
          <w:tcPr>
            <w:tcW w:w="1459" w:type="dxa"/>
            <w:tcBorders>
              <w:bottom w:val="single" w:color="auto" w:sz="12" w:space="0"/>
            </w:tcBorders>
            <w:vAlign w:val="center"/>
          </w:tcPr>
          <w:p>
            <w:pPr>
              <w:spacing w:line="520" w:lineRule="exact"/>
              <w:ind w:firstLine="480" w:firstLineChars="200"/>
              <w:jc w:val="center"/>
              <w:rPr>
                <w:rFonts w:ascii="宋体" w:hAnsi="宋体" w:eastAsia="宋体" w:cs="宋体"/>
              </w:rPr>
            </w:pPr>
          </w:p>
        </w:tc>
        <w:tc>
          <w:tcPr>
            <w:tcW w:w="753" w:type="dxa"/>
            <w:tcBorders>
              <w:bottom w:val="single" w:color="auto" w:sz="12" w:space="0"/>
            </w:tcBorders>
            <w:vAlign w:val="center"/>
          </w:tcPr>
          <w:p>
            <w:pPr>
              <w:spacing w:line="520" w:lineRule="exact"/>
              <w:ind w:firstLine="480" w:firstLineChars="200"/>
              <w:jc w:val="center"/>
              <w:rPr>
                <w:rFonts w:ascii="宋体" w:hAnsi="宋体" w:eastAsia="宋体" w:cs="宋体"/>
              </w:rPr>
            </w:pPr>
          </w:p>
        </w:tc>
      </w:tr>
    </w:tbl>
    <w:p>
      <w:pPr>
        <w:tabs>
          <w:tab w:val="left" w:pos="1905"/>
        </w:tabs>
        <w:spacing w:line="420" w:lineRule="exact"/>
        <w:ind w:right="-11" w:firstLine="480" w:firstLineChars="200"/>
        <w:jc w:val="left"/>
        <w:rPr>
          <w:rFonts w:ascii="宋体" w:hAnsi="宋体" w:eastAsia="宋体" w:cs="宋体"/>
        </w:rPr>
      </w:pPr>
      <w:r>
        <w:rPr>
          <w:rFonts w:hint="eastAsia" w:ascii="宋体" w:hAnsi="宋体" w:eastAsia="宋体" w:cs="宋体"/>
        </w:rPr>
        <w:t>填制正负偏离表，不完全响应的，必须在偏离表中列示，否则将认为供应商接受采购文件的所有要求。完全响应的，请以空白表列示。</w:t>
      </w:r>
    </w:p>
    <w:p>
      <w:pPr>
        <w:spacing w:line="520" w:lineRule="exact"/>
        <w:ind w:firstLine="482" w:firstLineChars="200"/>
        <w:rPr>
          <w:rFonts w:ascii="宋体" w:hAnsi="宋体" w:eastAsia="宋体" w:cs="宋体"/>
          <w:b/>
          <w:bCs/>
          <w:lang w:val="zh-CN"/>
        </w:rPr>
      </w:pPr>
    </w:p>
    <w:p>
      <w:pPr>
        <w:spacing w:line="520" w:lineRule="exact"/>
        <w:ind w:firstLine="484" w:firstLineChars="202"/>
        <w:rPr>
          <w:rFonts w:ascii="宋体" w:hAnsi="宋体" w:eastAsia="宋体" w:cs="宋体"/>
        </w:rPr>
      </w:pPr>
      <w:r>
        <w:rPr>
          <w:rFonts w:hint="eastAsia" w:ascii="宋体" w:hAnsi="宋体" w:eastAsia="宋体" w:cs="宋体"/>
        </w:rPr>
        <w:t>供应商：（公章）</w:t>
      </w:r>
    </w:p>
    <w:p>
      <w:pPr>
        <w:spacing w:line="520" w:lineRule="exact"/>
        <w:ind w:firstLine="484" w:firstLineChars="202"/>
        <w:rPr>
          <w:rFonts w:ascii="宋体" w:hAnsi="宋体" w:eastAsia="宋体" w:cs="宋体"/>
        </w:rPr>
      </w:pPr>
      <w:r>
        <w:rPr>
          <w:rFonts w:hint="eastAsia" w:ascii="宋体" w:hAnsi="宋体" w:eastAsia="宋体" w:cs="宋体"/>
        </w:rPr>
        <w:t>法定代表人或被授权人：（签字或盖章）</w:t>
      </w:r>
    </w:p>
    <w:p>
      <w:pPr>
        <w:spacing w:line="520" w:lineRule="exact"/>
        <w:ind w:firstLine="484" w:firstLineChars="202"/>
        <w:rPr>
          <w:rFonts w:ascii="宋体" w:hAnsi="宋体" w:eastAsia="宋体" w:cs="宋体"/>
        </w:rPr>
      </w:pPr>
      <w:r>
        <w:rPr>
          <w:rFonts w:hint="eastAsia" w:ascii="宋体" w:hAnsi="宋体" w:eastAsia="宋体" w:cs="宋体"/>
        </w:rPr>
        <w:t>日期：</w:t>
      </w:r>
      <w:r>
        <w:rPr>
          <w:rFonts w:ascii="宋体" w:hAnsi="宋体" w:eastAsia="宋体" w:cs="宋体"/>
        </w:rPr>
        <w:t xml:space="preserve">         </w:t>
      </w:r>
      <w:r>
        <w:rPr>
          <w:rFonts w:hint="eastAsia" w:ascii="宋体" w:hAnsi="宋体" w:eastAsia="宋体" w:cs="宋体"/>
        </w:rPr>
        <w:t>年</w:t>
      </w:r>
      <w:r>
        <w:rPr>
          <w:rFonts w:ascii="宋体" w:hAnsi="宋体" w:eastAsia="宋体" w:cs="宋体"/>
        </w:rPr>
        <w:t xml:space="preserve">         </w:t>
      </w:r>
      <w:r>
        <w:rPr>
          <w:rFonts w:hint="eastAsia" w:ascii="宋体" w:hAnsi="宋体" w:eastAsia="宋体" w:cs="宋体"/>
        </w:rPr>
        <w:t>月</w:t>
      </w:r>
      <w:r>
        <w:rPr>
          <w:rFonts w:ascii="宋体" w:hAnsi="宋体" w:eastAsia="宋体" w:cs="宋体"/>
        </w:rPr>
        <w:t xml:space="preserve">       </w:t>
      </w:r>
      <w:r>
        <w:rPr>
          <w:rFonts w:hint="eastAsia" w:ascii="宋体" w:hAnsi="宋体" w:eastAsia="宋体" w:cs="宋体"/>
        </w:rPr>
        <w:t>日</w:t>
      </w:r>
    </w:p>
    <w:p>
      <w:pPr>
        <w:snapToGrid w:val="0"/>
        <w:spacing w:line="520" w:lineRule="exact"/>
        <w:jc w:val="center"/>
        <w:rPr>
          <w:rFonts w:ascii="宋体" w:hAnsi="宋体" w:eastAsia="宋体" w:cs="宋体"/>
          <w:b/>
          <w:bCs/>
        </w:rPr>
      </w:pPr>
      <w:r>
        <w:rPr>
          <w:rFonts w:ascii="宋体" w:hAnsi="宋体" w:eastAsia="宋体" w:cs="宋体"/>
          <w:b/>
          <w:bCs/>
        </w:rPr>
        <w:br w:type="page"/>
      </w:r>
      <w:r>
        <w:rPr>
          <w:rFonts w:hint="eastAsia" w:ascii="宋体" w:hAnsi="宋体" w:eastAsia="宋体" w:cs="宋体"/>
          <w:b/>
          <w:bCs/>
        </w:rPr>
        <w:t>（</w:t>
      </w:r>
      <w:r>
        <w:rPr>
          <w:rFonts w:ascii="宋体" w:hAnsi="宋体" w:eastAsia="宋体" w:cs="宋体"/>
          <w:b/>
          <w:bCs/>
        </w:rPr>
        <w:t>9</w:t>
      </w:r>
      <w:r>
        <w:rPr>
          <w:rFonts w:hint="eastAsia" w:ascii="宋体" w:hAnsi="宋体" w:eastAsia="宋体" w:cs="宋体"/>
          <w:b/>
          <w:bCs/>
        </w:rPr>
        <w:t>）商务条款响应及偏离表</w:t>
      </w:r>
    </w:p>
    <w:p>
      <w:pPr>
        <w:spacing w:line="520" w:lineRule="exact"/>
        <w:ind w:firstLine="484" w:firstLineChars="202"/>
        <w:rPr>
          <w:rFonts w:ascii="宋体" w:hAnsi="宋体" w:eastAsia="宋体" w:cs="宋体"/>
        </w:rPr>
      </w:pPr>
    </w:p>
    <w:tbl>
      <w:tblPr>
        <w:tblStyle w:val="5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9"/>
        <w:gridCol w:w="3026"/>
        <w:gridCol w:w="1782"/>
        <w:gridCol w:w="1459"/>
        <w:gridCol w:w="7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15" w:hRule="exact"/>
          <w:jc w:val="center"/>
        </w:trPr>
        <w:tc>
          <w:tcPr>
            <w:tcW w:w="849" w:type="dxa"/>
            <w:tcBorders>
              <w:top w:val="single" w:color="auto" w:sz="12" w:space="0"/>
            </w:tcBorders>
            <w:vAlign w:val="center"/>
          </w:tcPr>
          <w:p>
            <w:pPr>
              <w:spacing w:line="520" w:lineRule="exact"/>
              <w:jc w:val="center"/>
              <w:rPr>
                <w:rFonts w:ascii="宋体" w:hAnsi="宋体" w:eastAsia="宋体" w:cs="宋体"/>
              </w:rPr>
            </w:pPr>
            <w:r>
              <w:rPr>
                <w:rFonts w:hint="eastAsia" w:ascii="宋体" w:hAnsi="宋体" w:eastAsia="宋体" w:cs="宋体"/>
                <w:b/>
                <w:bCs/>
              </w:rPr>
              <w:t>序号</w:t>
            </w:r>
          </w:p>
        </w:tc>
        <w:tc>
          <w:tcPr>
            <w:tcW w:w="3026" w:type="dxa"/>
            <w:tcBorders>
              <w:top w:val="single" w:color="auto" w:sz="12" w:space="0"/>
            </w:tcBorders>
            <w:vAlign w:val="center"/>
          </w:tcPr>
          <w:p>
            <w:pPr>
              <w:spacing w:line="520" w:lineRule="exact"/>
              <w:jc w:val="center"/>
              <w:rPr>
                <w:rFonts w:ascii="宋体" w:hAnsi="宋体" w:eastAsia="宋体" w:cs="宋体"/>
              </w:rPr>
            </w:pPr>
            <w:r>
              <w:rPr>
                <w:rFonts w:hint="eastAsia" w:ascii="宋体" w:hAnsi="宋体" w:eastAsia="宋体" w:cs="宋体"/>
                <w:b/>
                <w:bCs/>
              </w:rPr>
              <w:t>竞争性磋商文件商务条款要求</w:t>
            </w:r>
          </w:p>
        </w:tc>
        <w:tc>
          <w:tcPr>
            <w:tcW w:w="1782" w:type="dxa"/>
            <w:tcBorders>
              <w:top w:val="single" w:color="auto" w:sz="12" w:space="0"/>
            </w:tcBorders>
            <w:vAlign w:val="center"/>
          </w:tcPr>
          <w:p>
            <w:pPr>
              <w:spacing w:line="520" w:lineRule="exact"/>
              <w:jc w:val="center"/>
              <w:rPr>
                <w:rFonts w:ascii="宋体" w:hAnsi="宋体" w:eastAsia="宋体" w:cs="宋体"/>
              </w:rPr>
            </w:pPr>
            <w:r>
              <w:rPr>
                <w:rFonts w:hint="eastAsia" w:ascii="宋体" w:hAnsi="宋体" w:eastAsia="宋体" w:cs="宋体"/>
                <w:b/>
                <w:bCs/>
              </w:rPr>
              <w:t>竞谈响应</w:t>
            </w:r>
          </w:p>
        </w:tc>
        <w:tc>
          <w:tcPr>
            <w:tcW w:w="1459" w:type="dxa"/>
            <w:tcBorders>
              <w:top w:val="single" w:color="auto" w:sz="12" w:space="0"/>
            </w:tcBorders>
            <w:vAlign w:val="center"/>
          </w:tcPr>
          <w:p>
            <w:pPr>
              <w:spacing w:line="520" w:lineRule="exact"/>
              <w:jc w:val="center"/>
              <w:rPr>
                <w:rFonts w:ascii="宋体" w:hAnsi="宋体" w:eastAsia="宋体" w:cs="宋体"/>
              </w:rPr>
            </w:pPr>
            <w:r>
              <w:rPr>
                <w:rFonts w:hint="eastAsia" w:ascii="宋体" w:hAnsi="宋体" w:eastAsia="宋体" w:cs="宋体"/>
                <w:b/>
                <w:bCs/>
              </w:rPr>
              <w:t>偏离</w:t>
            </w:r>
          </w:p>
        </w:tc>
        <w:tc>
          <w:tcPr>
            <w:tcW w:w="753" w:type="dxa"/>
            <w:tcBorders>
              <w:top w:val="single" w:color="auto" w:sz="12" w:space="0"/>
            </w:tcBorders>
            <w:vAlign w:val="center"/>
          </w:tcPr>
          <w:p>
            <w:pPr>
              <w:spacing w:line="520" w:lineRule="exact"/>
              <w:jc w:val="center"/>
              <w:rPr>
                <w:rFonts w:ascii="宋体" w:hAnsi="宋体" w:eastAsia="宋体" w:cs="宋体"/>
              </w:rPr>
            </w:pPr>
            <w:r>
              <w:rPr>
                <w:rFonts w:hint="eastAsia" w:ascii="宋体" w:hAnsi="宋体" w:eastAsia="宋体" w:cs="宋体"/>
                <w:b/>
                <w:bCs/>
              </w:rPr>
              <w:t>原因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849" w:type="dxa"/>
            <w:vAlign w:val="center"/>
          </w:tcPr>
          <w:p>
            <w:pPr>
              <w:spacing w:line="520" w:lineRule="exact"/>
              <w:ind w:firstLine="480" w:firstLineChars="200"/>
              <w:jc w:val="center"/>
              <w:rPr>
                <w:rFonts w:ascii="宋体" w:hAnsi="宋体" w:eastAsia="宋体" w:cs="宋体"/>
              </w:rPr>
            </w:pPr>
          </w:p>
        </w:tc>
        <w:tc>
          <w:tcPr>
            <w:tcW w:w="3026" w:type="dxa"/>
            <w:vAlign w:val="center"/>
          </w:tcPr>
          <w:p>
            <w:pPr>
              <w:spacing w:line="520" w:lineRule="exact"/>
              <w:ind w:firstLine="480" w:firstLineChars="200"/>
              <w:jc w:val="center"/>
              <w:rPr>
                <w:rFonts w:ascii="宋体" w:hAnsi="宋体" w:eastAsia="宋体" w:cs="宋体"/>
              </w:rPr>
            </w:pPr>
          </w:p>
        </w:tc>
        <w:tc>
          <w:tcPr>
            <w:tcW w:w="1782" w:type="dxa"/>
            <w:vAlign w:val="center"/>
          </w:tcPr>
          <w:p>
            <w:pPr>
              <w:spacing w:line="520" w:lineRule="exact"/>
              <w:ind w:firstLine="480" w:firstLineChars="200"/>
              <w:jc w:val="center"/>
              <w:rPr>
                <w:rFonts w:ascii="宋体" w:hAnsi="宋体" w:eastAsia="宋体" w:cs="宋体"/>
              </w:rPr>
            </w:pPr>
          </w:p>
        </w:tc>
        <w:tc>
          <w:tcPr>
            <w:tcW w:w="1459" w:type="dxa"/>
            <w:vAlign w:val="center"/>
          </w:tcPr>
          <w:p>
            <w:pPr>
              <w:spacing w:line="520" w:lineRule="exact"/>
              <w:ind w:firstLine="480" w:firstLineChars="200"/>
              <w:jc w:val="center"/>
              <w:rPr>
                <w:rFonts w:ascii="宋体" w:hAnsi="宋体" w:eastAsia="宋体" w:cs="宋体"/>
              </w:rPr>
            </w:pPr>
          </w:p>
        </w:tc>
        <w:tc>
          <w:tcPr>
            <w:tcW w:w="753" w:type="dxa"/>
            <w:vAlign w:val="center"/>
          </w:tcPr>
          <w:p>
            <w:pPr>
              <w:spacing w:line="520" w:lineRule="exact"/>
              <w:ind w:firstLine="480" w:firstLineChars="200"/>
              <w:jc w:val="cente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849" w:type="dxa"/>
          </w:tcPr>
          <w:p>
            <w:pPr>
              <w:spacing w:line="520" w:lineRule="exact"/>
              <w:ind w:firstLine="480" w:firstLineChars="200"/>
              <w:jc w:val="center"/>
              <w:rPr>
                <w:rFonts w:ascii="宋体" w:hAnsi="宋体" w:eastAsia="宋体" w:cs="宋体"/>
              </w:rPr>
            </w:pPr>
          </w:p>
        </w:tc>
        <w:tc>
          <w:tcPr>
            <w:tcW w:w="3026" w:type="dxa"/>
            <w:vAlign w:val="center"/>
          </w:tcPr>
          <w:p>
            <w:pPr>
              <w:spacing w:line="520" w:lineRule="exact"/>
              <w:ind w:firstLine="480" w:firstLineChars="200"/>
              <w:jc w:val="center"/>
              <w:rPr>
                <w:rFonts w:ascii="宋体" w:hAnsi="宋体" w:eastAsia="宋体" w:cs="宋体"/>
              </w:rPr>
            </w:pPr>
          </w:p>
        </w:tc>
        <w:tc>
          <w:tcPr>
            <w:tcW w:w="1782" w:type="dxa"/>
            <w:vAlign w:val="center"/>
          </w:tcPr>
          <w:p>
            <w:pPr>
              <w:spacing w:line="520" w:lineRule="exact"/>
              <w:ind w:firstLine="480" w:firstLineChars="200"/>
              <w:jc w:val="center"/>
              <w:rPr>
                <w:rFonts w:ascii="宋体" w:hAnsi="宋体" w:eastAsia="宋体" w:cs="宋体"/>
              </w:rPr>
            </w:pPr>
          </w:p>
        </w:tc>
        <w:tc>
          <w:tcPr>
            <w:tcW w:w="1459" w:type="dxa"/>
            <w:vAlign w:val="center"/>
          </w:tcPr>
          <w:p>
            <w:pPr>
              <w:spacing w:line="520" w:lineRule="exact"/>
              <w:ind w:firstLine="480" w:firstLineChars="200"/>
              <w:jc w:val="center"/>
              <w:rPr>
                <w:rFonts w:ascii="宋体" w:hAnsi="宋体" w:eastAsia="宋体" w:cs="宋体"/>
              </w:rPr>
            </w:pPr>
          </w:p>
        </w:tc>
        <w:tc>
          <w:tcPr>
            <w:tcW w:w="753" w:type="dxa"/>
            <w:vAlign w:val="center"/>
          </w:tcPr>
          <w:p>
            <w:pPr>
              <w:spacing w:line="520" w:lineRule="exact"/>
              <w:ind w:firstLine="480" w:firstLineChars="200"/>
              <w:jc w:val="cente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849" w:type="dxa"/>
          </w:tcPr>
          <w:p>
            <w:pPr>
              <w:spacing w:line="520" w:lineRule="exact"/>
              <w:ind w:firstLine="480" w:firstLineChars="200"/>
              <w:jc w:val="center"/>
              <w:rPr>
                <w:rFonts w:ascii="宋体" w:hAnsi="宋体" w:eastAsia="宋体" w:cs="宋体"/>
              </w:rPr>
            </w:pPr>
          </w:p>
        </w:tc>
        <w:tc>
          <w:tcPr>
            <w:tcW w:w="3026" w:type="dxa"/>
            <w:vAlign w:val="center"/>
          </w:tcPr>
          <w:p>
            <w:pPr>
              <w:spacing w:line="520" w:lineRule="exact"/>
              <w:ind w:firstLine="480" w:firstLineChars="200"/>
              <w:jc w:val="center"/>
              <w:rPr>
                <w:rFonts w:ascii="宋体" w:hAnsi="宋体" w:eastAsia="宋体" w:cs="宋体"/>
              </w:rPr>
            </w:pPr>
          </w:p>
        </w:tc>
        <w:tc>
          <w:tcPr>
            <w:tcW w:w="1782" w:type="dxa"/>
            <w:vAlign w:val="center"/>
          </w:tcPr>
          <w:p>
            <w:pPr>
              <w:spacing w:line="520" w:lineRule="exact"/>
              <w:ind w:firstLine="480" w:firstLineChars="200"/>
              <w:jc w:val="center"/>
              <w:rPr>
                <w:rFonts w:ascii="宋体" w:hAnsi="宋体" w:eastAsia="宋体" w:cs="宋体"/>
              </w:rPr>
            </w:pPr>
          </w:p>
        </w:tc>
        <w:tc>
          <w:tcPr>
            <w:tcW w:w="1459" w:type="dxa"/>
            <w:vAlign w:val="center"/>
          </w:tcPr>
          <w:p>
            <w:pPr>
              <w:spacing w:line="520" w:lineRule="exact"/>
              <w:ind w:firstLine="480" w:firstLineChars="200"/>
              <w:jc w:val="center"/>
              <w:rPr>
                <w:rFonts w:ascii="宋体" w:hAnsi="宋体" w:eastAsia="宋体" w:cs="宋体"/>
              </w:rPr>
            </w:pPr>
          </w:p>
        </w:tc>
        <w:tc>
          <w:tcPr>
            <w:tcW w:w="753" w:type="dxa"/>
            <w:vAlign w:val="center"/>
          </w:tcPr>
          <w:p>
            <w:pPr>
              <w:spacing w:line="520" w:lineRule="exact"/>
              <w:ind w:firstLine="480" w:firstLineChars="200"/>
              <w:jc w:val="cente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849" w:type="dxa"/>
          </w:tcPr>
          <w:p>
            <w:pPr>
              <w:spacing w:line="520" w:lineRule="exact"/>
              <w:ind w:firstLine="480" w:firstLineChars="200"/>
              <w:jc w:val="center"/>
              <w:rPr>
                <w:rFonts w:ascii="宋体" w:hAnsi="宋体" w:eastAsia="宋体" w:cs="宋体"/>
              </w:rPr>
            </w:pPr>
          </w:p>
        </w:tc>
        <w:tc>
          <w:tcPr>
            <w:tcW w:w="3026" w:type="dxa"/>
            <w:vAlign w:val="center"/>
          </w:tcPr>
          <w:p>
            <w:pPr>
              <w:spacing w:line="520" w:lineRule="exact"/>
              <w:ind w:firstLine="480" w:firstLineChars="200"/>
              <w:jc w:val="center"/>
              <w:rPr>
                <w:rFonts w:ascii="宋体" w:hAnsi="宋体" w:eastAsia="宋体" w:cs="宋体"/>
              </w:rPr>
            </w:pPr>
          </w:p>
        </w:tc>
        <w:tc>
          <w:tcPr>
            <w:tcW w:w="1782" w:type="dxa"/>
            <w:vAlign w:val="center"/>
          </w:tcPr>
          <w:p>
            <w:pPr>
              <w:spacing w:line="520" w:lineRule="exact"/>
              <w:ind w:firstLine="480" w:firstLineChars="200"/>
              <w:jc w:val="center"/>
              <w:rPr>
                <w:rFonts w:ascii="宋体" w:hAnsi="宋体" w:eastAsia="宋体" w:cs="宋体"/>
              </w:rPr>
            </w:pPr>
          </w:p>
        </w:tc>
        <w:tc>
          <w:tcPr>
            <w:tcW w:w="1459" w:type="dxa"/>
            <w:vAlign w:val="center"/>
          </w:tcPr>
          <w:p>
            <w:pPr>
              <w:spacing w:line="520" w:lineRule="exact"/>
              <w:ind w:firstLine="480" w:firstLineChars="200"/>
              <w:jc w:val="center"/>
              <w:rPr>
                <w:rFonts w:ascii="宋体" w:hAnsi="宋体" w:eastAsia="宋体" w:cs="宋体"/>
              </w:rPr>
            </w:pPr>
          </w:p>
        </w:tc>
        <w:tc>
          <w:tcPr>
            <w:tcW w:w="753" w:type="dxa"/>
            <w:vAlign w:val="center"/>
          </w:tcPr>
          <w:p>
            <w:pPr>
              <w:spacing w:line="520" w:lineRule="exact"/>
              <w:ind w:firstLine="480" w:firstLineChars="200"/>
              <w:jc w:val="cente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849" w:type="dxa"/>
          </w:tcPr>
          <w:p>
            <w:pPr>
              <w:spacing w:line="520" w:lineRule="exact"/>
              <w:ind w:firstLine="480" w:firstLineChars="200"/>
              <w:jc w:val="center"/>
              <w:rPr>
                <w:rFonts w:ascii="宋体" w:hAnsi="宋体" w:eastAsia="宋体" w:cs="宋体"/>
              </w:rPr>
            </w:pPr>
          </w:p>
        </w:tc>
        <w:tc>
          <w:tcPr>
            <w:tcW w:w="3026" w:type="dxa"/>
            <w:vAlign w:val="center"/>
          </w:tcPr>
          <w:p>
            <w:pPr>
              <w:spacing w:line="520" w:lineRule="exact"/>
              <w:ind w:firstLine="480" w:firstLineChars="200"/>
              <w:jc w:val="center"/>
              <w:rPr>
                <w:rFonts w:ascii="宋体" w:hAnsi="宋体" w:eastAsia="宋体" w:cs="宋体"/>
              </w:rPr>
            </w:pPr>
          </w:p>
        </w:tc>
        <w:tc>
          <w:tcPr>
            <w:tcW w:w="1782" w:type="dxa"/>
            <w:vAlign w:val="center"/>
          </w:tcPr>
          <w:p>
            <w:pPr>
              <w:spacing w:line="520" w:lineRule="exact"/>
              <w:ind w:firstLine="480" w:firstLineChars="200"/>
              <w:jc w:val="center"/>
              <w:rPr>
                <w:rFonts w:ascii="宋体" w:hAnsi="宋体" w:eastAsia="宋体" w:cs="宋体"/>
              </w:rPr>
            </w:pPr>
          </w:p>
        </w:tc>
        <w:tc>
          <w:tcPr>
            <w:tcW w:w="1459" w:type="dxa"/>
            <w:vAlign w:val="center"/>
          </w:tcPr>
          <w:p>
            <w:pPr>
              <w:spacing w:line="520" w:lineRule="exact"/>
              <w:ind w:firstLine="480" w:firstLineChars="200"/>
              <w:jc w:val="center"/>
              <w:rPr>
                <w:rFonts w:ascii="宋体" w:hAnsi="宋体" w:eastAsia="宋体" w:cs="宋体"/>
              </w:rPr>
            </w:pPr>
          </w:p>
        </w:tc>
        <w:tc>
          <w:tcPr>
            <w:tcW w:w="753" w:type="dxa"/>
            <w:vAlign w:val="center"/>
          </w:tcPr>
          <w:p>
            <w:pPr>
              <w:spacing w:line="520" w:lineRule="exact"/>
              <w:ind w:firstLine="480" w:firstLineChars="200"/>
              <w:jc w:val="cente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849" w:type="dxa"/>
          </w:tcPr>
          <w:p>
            <w:pPr>
              <w:spacing w:line="520" w:lineRule="exact"/>
              <w:ind w:firstLine="480" w:firstLineChars="200"/>
              <w:jc w:val="center"/>
              <w:rPr>
                <w:rFonts w:ascii="宋体" w:hAnsi="宋体" w:eastAsia="宋体" w:cs="宋体"/>
              </w:rPr>
            </w:pPr>
          </w:p>
        </w:tc>
        <w:tc>
          <w:tcPr>
            <w:tcW w:w="3026" w:type="dxa"/>
            <w:vAlign w:val="center"/>
          </w:tcPr>
          <w:p>
            <w:pPr>
              <w:spacing w:line="520" w:lineRule="exact"/>
              <w:ind w:firstLine="480" w:firstLineChars="200"/>
              <w:jc w:val="center"/>
              <w:rPr>
                <w:rFonts w:ascii="宋体" w:hAnsi="宋体" w:eastAsia="宋体" w:cs="宋体"/>
              </w:rPr>
            </w:pPr>
          </w:p>
        </w:tc>
        <w:tc>
          <w:tcPr>
            <w:tcW w:w="1782" w:type="dxa"/>
            <w:vAlign w:val="center"/>
          </w:tcPr>
          <w:p>
            <w:pPr>
              <w:spacing w:line="520" w:lineRule="exact"/>
              <w:ind w:firstLine="480" w:firstLineChars="200"/>
              <w:jc w:val="center"/>
              <w:rPr>
                <w:rFonts w:ascii="宋体" w:hAnsi="宋体" w:eastAsia="宋体" w:cs="宋体"/>
              </w:rPr>
            </w:pPr>
          </w:p>
        </w:tc>
        <w:tc>
          <w:tcPr>
            <w:tcW w:w="1459" w:type="dxa"/>
            <w:vAlign w:val="center"/>
          </w:tcPr>
          <w:p>
            <w:pPr>
              <w:spacing w:line="520" w:lineRule="exact"/>
              <w:ind w:firstLine="480" w:firstLineChars="200"/>
              <w:jc w:val="center"/>
              <w:rPr>
                <w:rFonts w:ascii="宋体" w:hAnsi="宋体" w:eastAsia="宋体" w:cs="宋体"/>
              </w:rPr>
            </w:pPr>
          </w:p>
        </w:tc>
        <w:tc>
          <w:tcPr>
            <w:tcW w:w="753" w:type="dxa"/>
            <w:vAlign w:val="center"/>
          </w:tcPr>
          <w:p>
            <w:pPr>
              <w:spacing w:line="520" w:lineRule="exact"/>
              <w:ind w:firstLine="480" w:firstLineChars="200"/>
              <w:jc w:val="cente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849" w:type="dxa"/>
          </w:tcPr>
          <w:p>
            <w:pPr>
              <w:spacing w:line="520" w:lineRule="exact"/>
              <w:ind w:firstLine="480" w:firstLineChars="200"/>
              <w:jc w:val="center"/>
              <w:rPr>
                <w:rFonts w:ascii="宋体" w:hAnsi="宋体" w:eastAsia="宋体" w:cs="宋体"/>
              </w:rPr>
            </w:pPr>
          </w:p>
        </w:tc>
        <w:tc>
          <w:tcPr>
            <w:tcW w:w="3026" w:type="dxa"/>
            <w:vAlign w:val="center"/>
          </w:tcPr>
          <w:p>
            <w:pPr>
              <w:spacing w:line="520" w:lineRule="exact"/>
              <w:ind w:firstLine="480" w:firstLineChars="200"/>
              <w:jc w:val="center"/>
              <w:rPr>
                <w:rFonts w:ascii="宋体" w:hAnsi="宋体" w:eastAsia="宋体" w:cs="宋体"/>
              </w:rPr>
            </w:pPr>
          </w:p>
        </w:tc>
        <w:tc>
          <w:tcPr>
            <w:tcW w:w="1782" w:type="dxa"/>
            <w:vAlign w:val="center"/>
          </w:tcPr>
          <w:p>
            <w:pPr>
              <w:spacing w:line="520" w:lineRule="exact"/>
              <w:ind w:firstLine="480" w:firstLineChars="200"/>
              <w:jc w:val="center"/>
              <w:rPr>
                <w:rFonts w:ascii="宋体" w:hAnsi="宋体" w:eastAsia="宋体" w:cs="宋体"/>
              </w:rPr>
            </w:pPr>
          </w:p>
        </w:tc>
        <w:tc>
          <w:tcPr>
            <w:tcW w:w="1459" w:type="dxa"/>
            <w:vAlign w:val="center"/>
          </w:tcPr>
          <w:p>
            <w:pPr>
              <w:spacing w:line="520" w:lineRule="exact"/>
              <w:ind w:firstLine="480" w:firstLineChars="200"/>
              <w:jc w:val="center"/>
              <w:rPr>
                <w:rFonts w:ascii="宋体" w:hAnsi="宋体" w:eastAsia="宋体" w:cs="宋体"/>
              </w:rPr>
            </w:pPr>
          </w:p>
        </w:tc>
        <w:tc>
          <w:tcPr>
            <w:tcW w:w="753" w:type="dxa"/>
            <w:vAlign w:val="center"/>
          </w:tcPr>
          <w:p>
            <w:pPr>
              <w:spacing w:line="520" w:lineRule="exact"/>
              <w:ind w:firstLine="480" w:firstLineChars="200"/>
              <w:jc w:val="cente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849" w:type="dxa"/>
            <w:tcBorders>
              <w:bottom w:val="single" w:color="auto" w:sz="12" w:space="0"/>
            </w:tcBorders>
          </w:tcPr>
          <w:p>
            <w:pPr>
              <w:spacing w:line="520" w:lineRule="exact"/>
              <w:ind w:firstLine="480" w:firstLineChars="200"/>
              <w:jc w:val="center"/>
              <w:rPr>
                <w:rFonts w:ascii="宋体" w:hAnsi="宋体" w:eastAsia="宋体" w:cs="宋体"/>
              </w:rPr>
            </w:pPr>
            <w:r>
              <w:rPr>
                <w:rFonts w:hint="eastAsia" w:ascii="宋体" w:hAnsi="宋体" w:eastAsia="宋体" w:cs="宋体"/>
              </w:rPr>
              <w:t>……</w:t>
            </w:r>
          </w:p>
        </w:tc>
        <w:tc>
          <w:tcPr>
            <w:tcW w:w="3026" w:type="dxa"/>
            <w:tcBorders>
              <w:bottom w:val="single" w:color="auto" w:sz="12" w:space="0"/>
            </w:tcBorders>
            <w:vAlign w:val="center"/>
          </w:tcPr>
          <w:p>
            <w:pPr>
              <w:spacing w:line="520" w:lineRule="exact"/>
              <w:ind w:firstLine="480" w:firstLineChars="200"/>
              <w:jc w:val="center"/>
              <w:rPr>
                <w:rFonts w:ascii="宋体" w:hAnsi="宋体" w:eastAsia="宋体" w:cs="宋体"/>
              </w:rPr>
            </w:pPr>
          </w:p>
        </w:tc>
        <w:tc>
          <w:tcPr>
            <w:tcW w:w="1782" w:type="dxa"/>
            <w:tcBorders>
              <w:bottom w:val="single" w:color="auto" w:sz="12" w:space="0"/>
            </w:tcBorders>
            <w:vAlign w:val="center"/>
          </w:tcPr>
          <w:p>
            <w:pPr>
              <w:spacing w:line="520" w:lineRule="exact"/>
              <w:ind w:firstLine="480" w:firstLineChars="200"/>
              <w:jc w:val="center"/>
              <w:rPr>
                <w:rFonts w:ascii="宋体" w:hAnsi="宋体" w:eastAsia="宋体" w:cs="宋体"/>
              </w:rPr>
            </w:pPr>
          </w:p>
        </w:tc>
        <w:tc>
          <w:tcPr>
            <w:tcW w:w="1459" w:type="dxa"/>
            <w:tcBorders>
              <w:bottom w:val="single" w:color="auto" w:sz="12" w:space="0"/>
            </w:tcBorders>
            <w:vAlign w:val="center"/>
          </w:tcPr>
          <w:p>
            <w:pPr>
              <w:spacing w:line="520" w:lineRule="exact"/>
              <w:ind w:firstLine="480" w:firstLineChars="200"/>
              <w:jc w:val="center"/>
              <w:rPr>
                <w:rFonts w:ascii="宋体" w:hAnsi="宋体" w:eastAsia="宋体" w:cs="宋体"/>
              </w:rPr>
            </w:pPr>
          </w:p>
        </w:tc>
        <w:tc>
          <w:tcPr>
            <w:tcW w:w="753" w:type="dxa"/>
            <w:tcBorders>
              <w:bottom w:val="single" w:color="auto" w:sz="12" w:space="0"/>
            </w:tcBorders>
            <w:vAlign w:val="center"/>
          </w:tcPr>
          <w:p>
            <w:pPr>
              <w:spacing w:line="520" w:lineRule="exact"/>
              <w:ind w:firstLine="480" w:firstLineChars="200"/>
              <w:jc w:val="center"/>
              <w:rPr>
                <w:rFonts w:ascii="宋体" w:hAnsi="宋体" w:eastAsia="宋体" w:cs="宋体"/>
              </w:rPr>
            </w:pPr>
          </w:p>
        </w:tc>
      </w:tr>
    </w:tbl>
    <w:p>
      <w:pPr>
        <w:tabs>
          <w:tab w:val="left" w:pos="1905"/>
        </w:tabs>
        <w:spacing w:line="420" w:lineRule="exact"/>
        <w:ind w:right="-11" w:firstLine="960" w:firstLineChars="400"/>
        <w:jc w:val="left"/>
        <w:rPr>
          <w:rFonts w:ascii="宋体" w:hAnsi="宋体" w:eastAsia="宋体" w:cs="宋体"/>
        </w:rPr>
      </w:pPr>
      <w:r>
        <w:rPr>
          <w:rFonts w:hint="eastAsia" w:ascii="宋体" w:hAnsi="宋体" w:eastAsia="宋体" w:cs="宋体"/>
        </w:rPr>
        <w:t>填制正负偏离表，不完全响应的，必须在偏离表中列示，否则将认为供应商接受采购文件的所有要求。完全响应的，请以空白表列示。</w:t>
      </w:r>
    </w:p>
    <w:p>
      <w:pPr>
        <w:spacing w:line="520" w:lineRule="exact"/>
        <w:ind w:firstLine="482" w:firstLineChars="200"/>
        <w:rPr>
          <w:rFonts w:ascii="宋体" w:hAnsi="宋体" w:eastAsia="宋体" w:cs="宋体"/>
          <w:b/>
          <w:bCs/>
        </w:rPr>
      </w:pPr>
    </w:p>
    <w:p>
      <w:pPr>
        <w:spacing w:line="520" w:lineRule="exact"/>
        <w:ind w:firstLine="484" w:firstLineChars="202"/>
        <w:rPr>
          <w:rFonts w:ascii="宋体" w:hAnsi="宋体" w:eastAsia="宋体" w:cs="宋体"/>
        </w:rPr>
      </w:pPr>
      <w:r>
        <w:rPr>
          <w:rFonts w:hint="eastAsia" w:ascii="宋体" w:hAnsi="宋体" w:eastAsia="宋体" w:cs="宋体"/>
        </w:rPr>
        <w:t>供应商：（公章）</w:t>
      </w:r>
    </w:p>
    <w:p>
      <w:pPr>
        <w:spacing w:line="520" w:lineRule="exact"/>
        <w:ind w:firstLine="484" w:firstLineChars="202"/>
        <w:rPr>
          <w:rFonts w:ascii="宋体" w:hAnsi="宋体" w:eastAsia="宋体" w:cs="宋体"/>
        </w:rPr>
      </w:pPr>
      <w:r>
        <w:rPr>
          <w:rFonts w:hint="eastAsia" w:ascii="宋体" w:hAnsi="宋体" w:eastAsia="宋体" w:cs="宋体"/>
        </w:rPr>
        <w:t>法定代表人或被授权人：（签字或盖章）</w:t>
      </w:r>
    </w:p>
    <w:p>
      <w:pPr>
        <w:snapToGrid w:val="0"/>
        <w:spacing w:line="420" w:lineRule="exact"/>
        <w:ind w:firstLine="480" w:firstLineChars="200"/>
        <w:rPr>
          <w:rFonts w:eastAsia="宋体"/>
        </w:rPr>
      </w:pPr>
      <w:r>
        <w:rPr>
          <w:rFonts w:hint="eastAsia" w:ascii="宋体" w:hAnsi="宋体" w:eastAsia="宋体" w:cs="宋体"/>
        </w:rPr>
        <w:t>日期：</w:t>
      </w:r>
      <w:r>
        <w:rPr>
          <w:rFonts w:ascii="宋体" w:hAnsi="宋体" w:eastAsia="宋体" w:cs="宋体"/>
        </w:rPr>
        <w:t xml:space="preserve">         </w:t>
      </w:r>
      <w:r>
        <w:rPr>
          <w:rFonts w:hint="eastAsia" w:ascii="宋体" w:hAnsi="宋体" w:eastAsia="宋体" w:cs="宋体"/>
        </w:rPr>
        <w:t>年</w:t>
      </w:r>
      <w:r>
        <w:rPr>
          <w:rFonts w:ascii="宋体" w:hAnsi="宋体" w:eastAsia="宋体" w:cs="宋体"/>
        </w:rPr>
        <w:t xml:space="preserve">         </w:t>
      </w:r>
      <w:r>
        <w:rPr>
          <w:rFonts w:hint="eastAsia" w:ascii="宋体" w:hAnsi="宋体" w:eastAsia="宋体" w:cs="宋体"/>
        </w:rPr>
        <w:t>月</w:t>
      </w:r>
      <w:r>
        <w:rPr>
          <w:rFonts w:ascii="宋体" w:hAnsi="宋体" w:eastAsia="宋体" w:cs="宋体"/>
        </w:rPr>
        <w:t xml:space="preserve">       </w:t>
      </w:r>
      <w:r>
        <w:rPr>
          <w:rFonts w:hint="eastAsia" w:ascii="宋体" w:hAnsi="宋体" w:eastAsia="宋体" w:cs="宋体"/>
        </w:rPr>
        <w:t>日</w:t>
      </w:r>
    </w:p>
    <w:sectPr>
      <w:footerReference r:id="rId3" w:type="default"/>
      <w:pgSz w:w="11906" w:h="16838"/>
      <w:pgMar w:top="851" w:right="851" w:bottom="851" w:left="1418" w:header="851" w:footer="471" w:gutter="0"/>
      <w:pgBorders>
        <w:top w:val="none" w:sz="0" w:space="0"/>
        <w:left w:val="none" w:sz="0" w:space="0"/>
        <w:bottom w:val="none" w:sz="0" w:space="0"/>
        <w:right w:val="none" w:sz="0" w:space="0"/>
      </w:pgBorders>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enlo">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创艺简仿宋">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rPr>
        <w:b/>
        <w:bCs/>
      </w:rPr>
      <w:fldChar w:fldCharType="begin"/>
    </w:r>
    <w:r>
      <w:rPr>
        <w:b/>
        <w:bCs/>
      </w:rPr>
      <w:instrText xml:space="preserve">PAGE</w:instrText>
    </w:r>
    <w:r>
      <w:rPr>
        <w:b/>
        <w:bCs/>
      </w:rPr>
      <w:fldChar w:fldCharType="separate"/>
    </w:r>
    <w:r>
      <w:rPr>
        <w:b/>
        <w:bCs/>
      </w:rPr>
      <w:t>33</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61</w:t>
    </w:r>
    <w:r>
      <w:rPr>
        <w:b/>
        <w:bCs/>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425891"/>
    <w:multiLevelType w:val="singleLevel"/>
    <w:tmpl w:val="2D425891"/>
    <w:lvl w:ilvl="0" w:tentative="0">
      <w:start w:val="3"/>
      <w:numFmt w:val="decimal"/>
      <w:suff w:val="nothing"/>
      <w:lvlText w:val="%1、"/>
      <w:lvlJc w:val="left"/>
    </w:lvl>
  </w:abstractNum>
  <w:abstractNum w:abstractNumId="1">
    <w:nsid w:val="7A3633E2"/>
    <w:multiLevelType w:val="multilevel"/>
    <w:tmpl w:val="7A3633E2"/>
    <w:lvl w:ilvl="0" w:tentative="0">
      <w:start w:val="1"/>
      <w:numFmt w:val="decimal"/>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pStyle w:val="7"/>
      <w:lvlText w:val="%1.%2.%3.%4.%5"/>
      <w:lvlJc w:val="left"/>
      <w:pPr>
        <w:tabs>
          <w:tab w:val="left" w:pos="1008"/>
        </w:tabs>
        <w:ind w:left="1008" w:hanging="1008"/>
      </w:pPr>
      <w:rPr>
        <w:rFonts w:cs="Times New Roman"/>
      </w:rPr>
    </w:lvl>
    <w:lvl w:ilvl="5" w:tentative="0">
      <w:start w:val="1"/>
      <w:numFmt w:val="decimal"/>
      <w:pStyle w:val="8"/>
      <w:lvlText w:val="%1.%2.%3.%4.%5.%6"/>
      <w:lvlJc w:val="left"/>
      <w:pPr>
        <w:tabs>
          <w:tab w:val="left" w:pos="1152"/>
        </w:tabs>
        <w:ind w:left="1152" w:hanging="1152"/>
      </w:pPr>
      <w:rPr>
        <w:rFonts w:cs="Times New Roman"/>
      </w:rPr>
    </w:lvl>
    <w:lvl w:ilvl="6" w:tentative="0">
      <w:start w:val="1"/>
      <w:numFmt w:val="decimal"/>
      <w:pStyle w:val="9"/>
      <w:lvlText w:val="%1.%2.%3.%4.%5.%6.%7"/>
      <w:lvlJc w:val="left"/>
      <w:pPr>
        <w:tabs>
          <w:tab w:val="left" w:pos="1296"/>
        </w:tabs>
        <w:ind w:left="1296" w:hanging="1296"/>
      </w:pPr>
      <w:rPr>
        <w:rFonts w:cs="Times New Roman"/>
      </w:rPr>
    </w:lvl>
    <w:lvl w:ilvl="7" w:tentative="0">
      <w:start w:val="1"/>
      <w:numFmt w:val="decimal"/>
      <w:pStyle w:val="10"/>
      <w:lvlText w:val="%1.%2.%3.%4.%5.%6.%7.%8"/>
      <w:lvlJc w:val="left"/>
      <w:pPr>
        <w:tabs>
          <w:tab w:val="left" w:pos="1440"/>
        </w:tabs>
        <w:ind w:left="1440" w:hanging="1440"/>
      </w:pPr>
      <w:rPr>
        <w:rFonts w:cs="Times New Roman"/>
      </w:rPr>
    </w:lvl>
    <w:lvl w:ilvl="8" w:tentative="0">
      <w:start w:val="1"/>
      <w:numFmt w:val="decimal"/>
      <w:pStyle w:val="11"/>
      <w:lvlText w:val="%1.%2.%3.%4.%5.%6.%7.%8.%9"/>
      <w:lvlJc w:val="left"/>
      <w:pPr>
        <w:tabs>
          <w:tab w:val="left" w:pos="1584"/>
        </w:tabs>
        <w:ind w:left="1584" w:hanging="1584"/>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lOWQyZTFjYTZmZTI5Y2M4N2E2MGZjYWYwNDU2YWIifQ=="/>
  </w:docVars>
  <w:rsids>
    <w:rsidRoot w:val="009D44D5"/>
    <w:rsid w:val="00000817"/>
    <w:rsid w:val="00000E26"/>
    <w:rsid w:val="00001B45"/>
    <w:rsid w:val="00014257"/>
    <w:rsid w:val="0001641D"/>
    <w:rsid w:val="00021F0C"/>
    <w:rsid w:val="000271FC"/>
    <w:rsid w:val="00030885"/>
    <w:rsid w:val="000326F6"/>
    <w:rsid w:val="00032E7C"/>
    <w:rsid w:val="00037E20"/>
    <w:rsid w:val="0004682F"/>
    <w:rsid w:val="00046986"/>
    <w:rsid w:val="000514DA"/>
    <w:rsid w:val="00055AA0"/>
    <w:rsid w:val="00061CBC"/>
    <w:rsid w:val="00061CF9"/>
    <w:rsid w:val="000628B7"/>
    <w:rsid w:val="000643A7"/>
    <w:rsid w:val="0007029A"/>
    <w:rsid w:val="0007194F"/>
    <w:rsid w:val="000764FF"/>
    <w:rsid w:val="00085863"/>
    <w:rsid w:val="00092161"/>
    <w:rsid w:val="0009693E"/>
    <w:rsid w:val="000A0F66"/>
    <w:rsid w:val="000A2C27"/>
    <w:rsid w:val="000A3FDA"/>
    <w:rsid w:val="000B0415"/>
    <w:rsid w:val="000B1CC2"/>
    <w:rsid w:val="000B698A"/>
    <w:rsid w:val="000D5F53"/>
    <w:rsid w:val="000E0837"/>
    <w:rsid w:val="000E187E"/>
    <w:rsid w:val="000E2A76"/>
    <w:rsid w:val="000E37A4"/>
    <w:rsid w:val="000E5614"/>
    <w:rsid w:val="000E6005"/>
    <w:rsid w:val="000E6641"/>
    <w:rsid w:val="000F2488"/>
    <w:rsid w:val="000F48E5"/>
    <w:rsid w:val="000F69D3"/>
    <w:rsid w:val="000F6A4B"/>
    <w:rsid w:val="001000E2"/>
    <w:rsid w:val="00100DE9"/>
    <w:rsid w:val="00102500"/>
    <w:rsid w:val="00105A41"/>
    <w:rsid w:val="00114A9F"/>
    <w:rsid w:val="001235D8"/>
    <w:rsid w:val="0012396A"/>
    <w:rsid w:val="00124109"/>
    <w:rsid w:val="001270FC"/>
    <w:rsid w:val="001278CE"/>
    <w:rsid w:val="00127F1A"/>
    <w:rsid w:val="0013130D"/>
    <w:rsid w:val="0013484D"/>
    <w:rsid w:val="00144E9E"/>
    <w:rsid w:val="00147822"/>
    <w:rsid w:val="001513E1"/>
    <w:rsid w:val="0015197E"/>
    <w:rsid w:val="001572B7"/>
    <w:rsid w:val="00160282"/>
    <w:rsid w:val="001669E9"/>
    <w:rsid w:val="00167DC7"/>
    <w:rsid w:val="00172CCB"/>
    <w:rsid w:val="00183F0E"/>
    <w:rsid w:val="0019530C"/>
    <w:rsid w:val="00197830"/>
    <w:rsid w:val="001A0CC4"/>
    <w:rsid w:val="001A2FF0"/>
    <w:rsid w:val="001A3434"/>
    <w:rsid w:val="001A4DED"/>
    <w:rsid w:val="001B2F71"/>
    <w:rsid w:val="001B49BE"/>
    <w:rsid w:val="001B63BF"/>
    <w:rsid w:val="001C0199"/>
    <w:rsid w:val="001C0678"/>
    <w:rsid w:val="001C4C1B"/>
    <w:rsid w:val="001C62A6"/>
    <w:rsid w:val="001D2B49"/>
    <w:rsid w:val="001D2EF6"/>
    <w:rsid w:val="001D40A6"/>
    <w:rsid w:val="001D71AC"/>
    <w:rsid w:val="001E1334"/>
    <w:rsid w:val="001E43B9"/>
    <w:rsid w:val="001E6476"/>
    <w:rsid w:val="001F35C2"/>
    <w:rsid w:val="001F4BBF"/>
    <w:rsid w:val="00200462"/>
    <w:rsid w:val="002005CE"/>
    <w:rsid w:val="00203775"/>
    <w:rsid w:val="00203968"/>
    <w:rsid w:val="00205608"/>
    <w:rsid w:val="00210F85"/>
    <w:rsid w:val="0021101D"/>
    <w:rsid w:val="0021373E"/>
    <w:rsid w:val="00216289"/>
    <w:rsid w:val="002315A8"/>
    <w:rsid w:val="00233F33"/>
    <w:rsid w:val="00235F0D"/>
    <w:rsid w:val="00235F54"/>
    <w:rsid w:val="00235F64"/>
    <w:rsid w:val="002407B2"/>
    <w:rsid w:val="00243AFC"/>
    <w:rsid w:val="00245B04"/>
    <w:rsid w:val="002461B3"/>
    <w:rsid w:val="002469B5"/>
    <w:rsid w:val="00252133"/>
    <w:rsid w:val="00254A33"/>
    <w:rsid w:val="00256E71"/>
    <w:rsid w:val="00257698"/>
    <w:rsid w:val="00257E5F"/>
    <w:rsid w:val="00270CAB"/>
    <w:rsid w:val="0027426F"/>
    <w:rsid w:val="0027547F"/>
    <w:rsid w:val="002768FD"/>
    <w:rsid w:val="0027781C"/>
    <w:rsid w:val="00283DC4"/>
    <w:rsid w:val="00284697"/>
    <w:rsid w:val="0028481C"/>
    <w:rsid w:val="00291294"/>
    <w:rsid w:val="002A2F14"/>
    <w:rsid w:val="002A4550"/>
    <w:rsid w:val="002B3E5D"/>
    <w:rsid w:val="002B6923"/>
    <w:rsid w:val="002C0D6E"/>
    <w:rsid w:val="002C14C2"/>
    <w:rsid w:val="002C1922"/>
    <w:rsid w:val="002C587B"/>
    <w:rsid w:val="002D273F"/>
    <w:rsid w:val="002D4B71"/>
    <w:rsid w:val="002D57EA"/>
    <w:rsid w:val="002D6607"/>
    <w:rsid w:val="002E04EB"/>
    <w:rsid w:val="002E12B0"/>
    <w:rsid w:val="002E12C3"/>
    <w:rsid w:val="002E1A84"/>
    <w:rsid w:val="002E7005"/>
    <w:rsid w:val="002E7222"/>
    <w:rsid w:val="002F1EDA"/>
    <w:rsid w:val="002F4E74"/>
    <w:rsid w:val="002F6A46"/>
    <w:rsid w:val="002F7806"/>
    <w:rsid w:val="00301375"/>
    <w:rsid w:val="003024D2"/>
    <w:rsid w:val="00303770"/>
    <w:rsid w:val="00304A7F"/>
    <w:rsid w:val="00305D73"/>
    <w:rsid w:val="00307A95"/>
    <w:rsid w:val="00311516"/>
    <w:rsid w:val="00316B18"/>
    <w:rsid w:val="003206AD"/>
    <w:rsid w:val="0032793B"/>
    <w:rsid w:val="0032794E"/>
    <w:rsid w:val="00327DD0"/>
    <w:rsid w:val="00331987"/>
    <w:rsid w:val="00335915"/>
    <w:rsid w:val="00337304"/>
    <w:rsid w:val="00337AA6"/>
    <w:rsid w:val="003416D3"/>
    <w:rsid w:val="00341DB6"/>
    <w:rsid w:val="003459A3"/>
    <w:rsid w:val="00352097"/>
    <w:rsid w:val="00354622"/>
    <w:rsid w:val="0036340A"/>
    <w:rsid w:val="0036369A"/>
    <w:rsid w:val="00370278"/>
    <w:rsid w:val="00372718"/>
    <w:rsid w:val="00381FCB"/>
    <w:rsid w:val="00382B45"/>
    <w:rsid w:val="00383D0A"/>
    <w:rsid w:val="00396AC3"/>
    <w:rsid w:val="003A5E61"/>
    <w:rsid w:val="003A6B28"/>
    <w:rsid w:val="003B284D"/>
    <w:rsid w:val="003C023E"/>
    <w:rsid w:val="003C3752"/>
    <w:rsid w:val="003C3DF0"/>
    <w:rsid w:val="003C5D9A"/>
    <w:rsid w:val="003D47CC"/>
    <w:rsid w:val="003D5752"/>
    <w:rsid w:val="003D5D05"/>
    <w:rsid w:val="003E10DD"/>
    <w:rsid w:val="003E1B6E"/>
    <w:rsid w:val="003E2689"/>
    <w:rsid w:val="003E3965"/>
    <w:rsid w:val="003E664B"/>
    <w:rsid w:val="003E76DB"/>
    <w:rsid w:val="003F2556"/>
    <w:rsid w:val="003F33EF"/>
    <w:rsid w:val="003F474E"/>
    <w:rsid w:val="004012CA"/>
    <w:rsid w:val="00401C0B"/>
    <w:rsid w:val="00401F0D"/>
    <w:rsid w:val="0040682B"/>
    <w:rsid w:val="00411E7B"/>
    <w:rsid w:val="004127BF"/>
    <w:rsid w:val="0041448E"/>
    <w:rsid w:val="00414AE8"/>
    <w:rsid w:val="004173B2"/>
    <w:rsid w:val="00417FBF"/>
    <w:rsid w:val="00421FEC"/>
    <w:rsid w:val="00424BAA"/>
    <w:rsid w:val="00426F21"/>
    <w:rsid w:val="0042755A"/>
    <w:rsid w:val="00427DA8"/>
    <w:rsid w:val="00431F50"/>
    <w:rsid w:val="0043479F"/>
    <w:rsid w:val="00435D1A"/>
    <w:rsid w:val="0044011C"/>
    <w:rsid w:val="00443C6C"/>
    <w:rsid w:val="00444711"/>
    <w:rsid w:val="00465B88"/>
    <w:rsid w:val="00470394"/>
    <w:rsid w:val="004730A3"/>
    <w:rsid w:val="00474C94"/>
    <w:rsid w:val="00482264"/>
    <w:rsid w:val="0048577C"/>
    <w:rsid w:val="004863CD"/>
    <w:rsid w:val="00491ADF"/>
    <w:rsid w:val="00492C21"/>
    <w:rsid w:val="00492CB2"/>
    <w:rsid w:val="004930DB"/>
    <w:rsid w:val="00496094"/>
    <w:rsid w:val="004A0006"/>
    <w:rsid w:val="004A1FCA"/>
    <w:rsid w:val="004A2032"/>
    <w:rsid w:val="004A59BC"/>
    <w:rsid w:val="004A6CD8"/>
    <w:rsid w:val="004B0A85"/>
    <w:rsid w:val="004B0F63"/>
    <w:rsid w:val="004C6060"/>
    <w:rsid w:val="004D0CB3"/>
    <w:rsid w:val="004D1370"/>
    <w:rsid w:val="004E4AD3"/>
    <w:rsid w:val="004E5829"/>
    <w:rsid w:val="004E61CA"/>
    <w:rsid w:val="004E75C9"/>
    <w:rsid w:val="004F199F"/>
    <w:rsid w:val="004F25F0"/>
    <w:rsid w:val="004F2FDE"/>
    <w:rsid w:val="004F6BDC"/>
    <w:rsid w:val="00501334"/>
    <w:rsid w:val="00504F8A"/>
    <w:rsid w:val="005150D6"/>
    <w:rsid w:val="0052343D"/>
    <w:rsid w:val="00533F87"/>
    <w:rsid w:val="00534D9A"/>
    <w:rsid w:val="00535A9D"/>
    <w:rsid w:val="00544071"/>
    <w:rsid w:val="00544BA4"/>
    <w:rsid w:val="0055406D"/>
    <w:rsid w:val="005546C1"/>
    <w:rsid w:val="00554900"/>
    <w:rsid w:val="00556472"/>
    <w:rsid w:val="005642DA"/>
    <w:rsid w:val="0056697E"/>
    <w:rsid w:val="00570814"/>
    <w:rsid w:val="005711F0"/>
    <w:rsid w:val="00572B2C"/>
    <w:rsid w:val="00574274"/>
    <w:rsid w:val="005744EC"/>
    <w:rsid w:val="00576348"/>
    <w:rsid w:val="00590F54"/>
    <w:rsid w:val="005913A1"/>
    <w:rsid w:val="005917C8"/>
    <w:rsid w:val="00593DE1"/>
    <w:rsid w:val="00593ECC"/>
    <w:rsid w:val="005A37B9"/>
    <w:rsid w:val="005A6882"/>
    <w:rsid w:val="005B0975"/>
    <w:rsid w:val="005B0A4D"/>
    <w:rsid w:val="005B782F"/>
    <w:rsid w:val="005C13B3"/>
    <w:rsid w:val="005C20F1"/>
    <w:rsid w:val="005C5AC1"/>
    <w:rsid w:val="005C6103"/>
    <w:rsid w:val="005C6CDF"/>
    <w:rsid w:val="005D0AB7"/>
    <w:rsid w:val="005D2FEB"/>
    <w:rsid w:val="005D3CCC"/>
    <w:rsid w:val="005E5E09"/>
    <w:rsid w:val="005E6634"/>
    <w:rsid w:val="005F0A1E"/>
    <w:rsid w:val="005F7104"/>
    <w:rsid w:val="006133A5"/>
    <w:rsid w:val="00615C41"/>
    <w:rsid w:val="00616DA7"/>
    <w:rsid w:val="00624C41"/>
    <w:rsid w:val="00627E6B"/>
    <w:rsid w:val="0063413D"/>
    <w:rsid w:val="0064245A"/>
    <w:rsid w:val="006426A8"/>
    <w:rsid w:val="006437BD"/>
    <w:rsid w:val="00645780"/>
    <w:rsid w:val="0065258C"/>
    <w:rsid w:val="00661F97"/>
    <w:rsid w:val="00663281"/>
    <w:rsid w:val="00664A4C"/>
    <w:rsid w:val="00664E40"/>
    <w:rsid w:val="00665912"/>
    <w:rsid w:val="0066782B"/>
    <w:rsid w:val="00674AF2"/>
    <w:rsid w:val="006751CF"/>
    <w:rsid w:val="006847F7"/>
    <w:rsid w:val="00684BD7"/>
    <w:rsid w:val="006A31E5"/>
    <w:rsid w:val="006A45EB"/>
    <w:rsid w:val="006B53AE"/>
    <w:rsid w:val="006B70E6"/>
    <w:rsid w:val="006D066A"/>
    <w:rsid w:val="006D1D02"/>
    <w:rsid w:val="006D292A"/>
    <w:rsid w:val="006F3BDB"/>
    <w:rsid w:val="00702E12"/>
    <w:rsid w:val="00705C3F"/>
    <w:rsid w:val="00710401"/>
    <w:rsid w:val="00710C49"/>
    <w:rsid w:val="00713CF5"/>
    <w:rsid w:val="00722F8C"/>
    <w:rsid w:val="00725142"/>
    <w:rsid w:val="0072555F"/>
    <w:rsid w:val="00727600"/>
    <w:rsid w:val="00732A39"/>
    <w:rsid w:val="00733835"/>
    <w:rsid w:val="007360A0"/>
    <w:rsid w:val="007410BD"/>
    <w:rsid w:val="0074317A"/>
    <w:rsid w:val="0074763C"/>
    <w:rsid w:val="007554ED"/>
    <w:rsid w:val="00756636"/>
    <w:rsid w:val="00760B2E"/>
    <w:rsid w:val="00763EAB"/>
    <w:rsid w:val="00767212"/>
    <w:rsid w:val="007703F6"/>
    <w:rsid w:val="007710A1"/>
    <w:rsid w:val="007732B1"/>
    <w:rsid w:val="00776405"/>
    <w:rsid w:val="0078051B"/>
    <w:rsid w:val="007832EA"/>
    <w:rsid w:val="007841B4"/>
    <w:rsid w:val="00787C7A"/>
    <w:rsid w:val="007915D1"/>
    <w:rsid w:val="0079226B"/>
    <w:rsid w:val="007A0AAD"/>
    <w:rsid w:val="007A1DB3"/>
    <w:rsid w:val="007A2C46"/>
    <w:rsid w:val="007A305D"/>
    <w:rsid w:val="007A3658"/>
    <w:rsid w:val="007A495D"/>
    <w:rsid w:val="007B1710"/>
    <w:rsid w:val="007C4BD4"/>
    <w:rsid w:val="007C4DA9"/>
    <w:rsid w:val="007C59E6"/>
    <w:rsid w:val="007C5D65"/>
    <w:rsid w:val="007C7FDC"/>
    <w:rsid w:val="007D06F5"/>
    <w:rsid w:val="007D65C7"/>
    <w:rsid w:val="007E4515"/>
    <w:rsid w:val="007E61F7"/>
    <w:rsid w:val="007E69DC"/>
    <w:rsid w:val="007E734B"/>
    <w:rsid w:val="007F0248"/>
    <w:rsid w:val="007F4AA4"/>
    <w:rsid w:val="0080193A"/>
    <w:rsid w:val="00803BFB"/>
    <w:rsid w:val="00806170"/>
    <w:rsid w:val="008102F1"/>
    <w:rsid w:val="008112B7"/>
    <w:rsid w:val="00811B7D"/>
    <w:rsid w:val="00813731"/>
    <w:rsid w:val="008138BD"/>
    <w:rsid w:val="008163CE"/>
    <w:rsid w:val="008168AD"/>
    <w:rsid w:val="008173A7"/>
    <w:rsid w:val="00823556"/>
    <w:rsid w:val="0082398A"/>
    <w:rsid w:val="0083116F"/>
    <w:rsid w:val="00831CA7"/>
    <w:rsid w:val="008360B6"/>
    <w:rsid w:val="00841165"/>
    <w:rsid w:val="00842C90"/>
    <w:rsid w:val="00846480"/>
    <w:rsid w:val="00851899"/>
    <w:rsid w:val="00852C95"/>
    <w:rsid w:val="0085347E"/>
    <w:rsid w:val="008539FA"/>
    <w:rsid w:val="0085717B"/>
    <w:rsid w:val="0085734A"/>
    <w:rsid w:val="00860E52"/>
    <w:rsid w:val="00860F3B"/>
    <w:rsid w:val="008707F0"/>
    <w:rsid w:val="008737C2"/>
    <w:rsid w:val="00876044"/>
    <w:rsid w:val="00882030"/>
    <w:rsid w:val="00886020"/>
    <w:rsid w:val="008874EF"/>
    <w:rsid w:val="00890DF5"/>
    <w:rsid w:val="00893877"/>
    <w:rsid w:val="00896DAF"/>
    <w:rsid w:val="008A1C7D"/>
    <w:rsid w:val="008A2C8B"/>
    <w:rsid w:val="008A38A1"/>
    <w:rsid w:val="008A6525"/>
    <w:rsid w:val="008A7EA5"/>
    <w:rsid w:val="008B093F"/>
    <w:rsid w:val="008B2A02"/>
    <w:rsid w:val="008B2AA4"/>
    <w:rsid w:val="008B2D2B"/>
    <w:rsid w:val="008B4417"/>
    <w:rsid w:val="008B5385"/>
    <w:rsid w:val="008B6C91"/>
    <w:rsid w:val="008C1FAC"/>
    <w:rsid w:val="008C7D82"/>
    <w:rsid w:val="008D5799"/>
    <w:rsid w:val="008E0C60"/>
    <w:rsid w:val="008E2961"/>
    <w:rsid w:val="008E4EB9"/>
    <w:rsid w:val="008F03A3"/>
    <w:rsid w:val="008F19C4"/>
    <w:rsid w:val="008F27C7"/>
    <w:rsid w:val="008F610C"/>
    <w:rsid w:val="00902CAE"/>
    <w:rsid w:val="00907177"/>
    <w:rsid w:val="0091062C"/>
    <w:rsid w:val="00912A3A"/>
    <w:rsid w:val="00917C5E"/>
    <w:rsid w:val="009275F0"/>
    <w:rsid w:val="0092770A"/>
    <w:rsid w:val="0093144F"/>
    <w:rsid w:val="00944434"/>
    <w:rsid w:val="00950AD4"/>
    <w:rsid w:val="009511AD"/>
    <w:rsid w:val="0095398F"/>
    <w:rsid w:val="0095449A"/>
    <w:rsid w:val="0096132C"/>
    <w:rsid w:val="009618CB"/>
    <w:rsid w:val="0096234D"/>
    <w:rsid w:val="009700E0"/>
    <w:rsid w:val="00971385"/>
    <w:rsid w:val="00984A70"/>
    <w:rsid w:val="0099079C"/>
    <w:rsid w:val="00990DA0"/>
    <w:rsid w:val="00993DE7"/>
    <w:rsid w:val="009A0750"/>
    <w:rsid w:val="009A294A"/>
    <w:rsid w:val="009A6529"/>
    <w:rsid w:val="009B3B30"/>
    <w:rsid w:val="009B7B91"/>
    <w:rsid w:val="009C0D8C"/>
    <w:rsid w:val="009C42E3"/>
    <w:rsid w:val="009C4506"/>
    <w:rsid w:val="009C5AD4"/>
    <w:rsid w:val="009C5DCD"/>
    <w:rsid w:val="009D0DC2"/>
    <w:rsid w:val="009D27A5"/>
    <w:rsid w:val="009D44D5"/>
    <w:rsid w:val="009E17F4"/>
    <w:rsid w:val="009E31D5"/>
    <w:rsid w:val="009E3D51"/>
    <w:rsid w:val="009E4B7C"/>
    <w:rsid w:val="009E7BEE"/>
    <w:rsid w:val="009E7FAC"/>
    <w:rsid w:val="009F1C7A"/>
    <w:rsid w:val="00A043A0"/>
    <w:rsid w:val="00A07CD9"/>
    <w:rsid w:val="00A10418"/>
    <w:rsid w:val="00A10C85"/>
    <w:rsid w:val="00A1182A"/>
    <w:rsid w:val="00A121D4"/>
    <w:rsid w:val="00A12BBD"/>
    <w:rsid w:val="00A13849"/>
    <w:rsid w:val="00A2020D"/>
    <w:rsid w:val="00A21F18"/>
    <w:rsid w:val="00A257C9"/>
    <w:rsid w:val="00A3295D"/>
    <w:rsid w:val="00A34BD2"/>
    <w:rsid w:val="00A36A90"/>
    <w:rsid w:val="00A400DD"/>
    <w:rsid w:val="00A424B9"/>
    <w:rsid w:val="00A43AA8"/>
    <w:rsid w:val="00A472CF"/>
    <w:rsid w:val="00A503AD"/>
    <w:rsid w:val="00A50681"/>
    <w:rsid w:val="00A52D68"/>
    <w:rsid w:val="00A55CEF"/>
    <w:rsid w:val="00A5655A"/>
    <w:rsid w:val="00A5717E"/>
    <w:rsid w:val="00A65FA9"/>
    <w:rsid w:val="00A6765D"/>
    <w:rsid w:val="00A755FE"/>
    <w:rsid w:val="00A76EE5"/>
    <w:rsid w:val="00A818EE"/>
    <w:rsid w:val="00A826DE"/>
    <w:rsid w:val="00A83BDB"/>
    <w:rsid w:val="00A86069"/>
    <w:rsid w:val="00A860E9"/>
    <w:rsid w:val="00A8751E"/>
    <w:rsid w:val="00A9072B"/>
    <w:rsid w:val="00A90761"/>
    <w:rsid w:val="00A9106B"/>
    <w:rsid w:val="00A91582"/>
    <w:rsid w:val="00A97793"/>
    <w:rsid w:val="00AA02D4"/>
    <w:rsid w:val="00AA0764"/>
    <w:rsid w:val="00AA7278"/>
    <w:rsid w:val="00AA7605"/>
    <w:rsid w:val="00AB1198"/>
    <w:rsid w:val="00AB1BAF"/>
    <w:rsid w:val="00AB2578"/>
    <w:rsid w:val="00AB5608"/>
    <w:rsid w:val="00AB5D88"/>
    <w:rsid w:val="00AB6646"/>
    <w:rsid w:val="00AB6ABD"/>
    <w:rsid w:val="00AC0B30"/>
    <w:rsid w:val="00AC1B2C"/>
    <w:rsid w:val="00AC4360"/>
    <w:rsid w:val="00AC72DC"/>
    <w:rsid w:val="00AD5676"/>
    <w:rsid w:val="00AD5C35"/>
    <w:rsid w:val="00AE5293"/>
    <w:rsid w:val="00AF2E47"/>
    <w:rsid w:val="00AF77C2"/>
    <w:rsid w:val="00B025DE"/>
    <w:rsid w:val="00B03172"/>
    <w:rsid w:val="00B0365B"/>
    <w:rsid w:val="00B0556E"/>
    <w:rsid w:val="00B07102"/>
    <w:rsid w:val="00B07D56"/>
    <w:rsid w:val="00B178AB"/>
    <w:rsid w:val="00B20423"/>
    <w:rsid w:val="00B21401"/>
    <w:rsid w:val="00B23D06"/>
    <w:rsid w:val="00B3016E"/>
    <w:rsid w:val="00B3620F"/>
    <w:rsid w:val="00B36F44"/>
    <w:rsid w:val="00B37244"/>
    <w:rsid w:val="00B42A30"/>
    <w:rsid w:val="00B445CE"/>
    <w:rsid w:val="00B5665B"/>
    <w:rsid w:val="00B6141B"/>
    <w:rsid w:val="00B61B26"/>
    <w:rsid w:val="00B622D5"/>
    <w:rsid w:val="00B63400"/>
    <w:rsid w:val="00B702D6"/>
    <w:rsid w:val="00B71FE5"/>
    <w:rsid w:val="00B750BD"/>
    <w:rsid w:val="00B81DA7"/>
    <w:rsid w:val="00B93D07"/>
    <w:rsid w:val="00B96913"/>
    <w:rsid w:val="00BA3D12"/>
    <w:rsid w:val="00BA6408"/>
    <w:rsid w:val="00BB14D4"/>
    <w:rsid w:val="00BC13FE"/>
    <w:rsid w:val="00BC1FE7"/>
    <w:rsid w:val="00BC4B23"/>
    <w:rsid w:val="00BC6B67"/>
    <w:rsid w:val="00BD071E"/>
    <w:rsid w:val="00BD177B"/>
    <w:rsid w:val="00BD2D3F"/>
    <w:rsid w:val="00BD3429"/>
    <w:rsid w:val="00BE1543"/>
    <w:rsid w:val="00BE538B"/>
    <w:rsid w:val="00BF385A"/>
    <w:rsid w:val="00BF5AF4"/>
    <w:rsid w:val="00C03A99"/>
    <w:rsid w:val="00C05E0E"/>
    <w:rsid w:val="00C06FB6"/>
    <w:rsid w:val="00C11502"/>
    <w:rsid w:val="00C1380C"/>
    <w:rsid w:val="00C1586E"/>
    <w:rsid w:val="00C2152D"/>
    <w:rsid w:val="00C22695"/>
    <w:rsid w:val="00C2506F"/>
    <w:rsid w:val="00C30358"/>
    <w:rsid w:val="00C318AA"/>
    <w:rsid w:val="00C4350A"/>
    <w:rsid w:val="00C43D88"/>
    <w:rsid w:val="00C5235F"/>
    <w:rsid w:val="00C531E6"/>
    <w:rsid w:val="00C5411B"/>
    <w:rsid w:val="00C56980"/>
    <w:rsid w:val="00C60262"/>
    <w:rsid w:val="00C60E11"/>
    <w:rsid w:val="00C65E1C"/>
    <w:rsid w:val="00C66928"/>
    <w:rsid w:val="00C67110"/>
    <w:rsid w:val="00C70868"/>
    <w:rsid w:val="00C77B4C"/>
    <w:rsid w:val="00C915D1"/>
    <w:rsid w:val="00C957F0"/>
    <w:rsid w:val="00CA1E5F"/>
    <w:rsid w:val="00CA226D"/>
    <w:rsid w:val="00CA75E8"/>
    <w:rsid w:val="00CB5E4A"/>
    <w:rsid w:val="00CC29C6"/>
    <w:rsid w:val="00CC34A3"/>
    <w:rsid w:val="00CC50EA"/>
    <w:rsid w:val="00CD3758"/>
    <w:rsid w:val="00CD4953"/>
    <w:rsid w:val="00CD7BB3"/>
    <w:rsid w:val="00CE1F19"/>
    <w:rsid w:val="00CE5542"/>
    <w:rsid w:val="00CE7164"/>
    <w:rsid w:val="00CE71CB"/>
    <w:rsid w:val="00CE7F99"/>
    <w:rsid w:val="00CF6B16"/>
    <w:rsid w:val="00D02A2A"/>
    <w:rsid w:val="00D06B9D"/>
    <w:rsid w:val="00D12665"/>
    <w:rsid w:val="00D15C34"/>
    <w:rsid w:val="00D20825"/>
    <w:rsid w:val="00D27EEE"/>
    <w:rsid w:val="00D321C3"/>
    <w:rsid w:val="00D33D4F"/>
    <w:rsid w:val="00D3426E"/>
    <w:rsid w:val="00D350CD"/>
    <w:rsid w:val="00D358D7"/>
    <w:rsid w:val="00D4057F"/>
    <w:rsid w:val="00D40E48"/>
    <w:rsid w:val="00D4683E"/>
    <w:rsid w:val="00D50374"/>
    <w:rsid w:val="00D50D66"/>
    <w:rsid w:val="00D53EF4"/>
    <w:rsid w:val="00D54204"/>
    <w:rsid w:val="00D55281"/>
    <w:rsid w:val="00D575FB"/>
    <w:rsid w:val="00D5771A"/>
    <w:rsid w:val="00D62A1A"/>
    <w:rsid w:val="00D63FC4"/>
    <w:rsid w:val="00D66B2D"/>
    <w:rsid w:val="00D80DAE"/>
    <w:rsid w:val="00D8185A"/>
    <w:rsid w:val="00D852C3"/>
    <w:rsid w:val="00D8645C"/>
    <w:rsid w:val="00D915C1"/>
    <w:rsid w:val="00D92AE6"/>
    <w:rsid w:val="00D92CBC"/>
    <w:rsid w:val="00D9385D"/>
    <w:rsid w:val="00D95677"/>
    <w:rsid w:val="00D97AC3"/>
    <w:rsid w:val="00DA0812"/>
    <w:rsid w:val="00DA2D9F"/>
    <w:rsid w:val="00DA66E4"/>
    <w:rsid w:val="00DB4491"/>
    <w:rsid w:val="00DC21D3"/>
    <w:rsid w:val="00DC4D7F"/>
    <w:rsid w:val="00DD4724"/>
    <w:rsid w:val="00DE0014"/>
    <w:rsid w:val="00DE0B74"/>
    <w:rsid w:val="00DE3CE9"/>
    <w:rsid w:val="00DE5B0A"/>
    <w:rsid w:val="00DF14BB"/>
    <w:rsid w:val="00E00654"/>
    <w:rsid w:val="00E00A60"/>
    <w:rsid w:val="00E01697"/>
    <w:rsid w:val="00E01AAE"/>
    <w:rsid w:val="00E10BB8"/>
    <w:rsid w:val="00E1458F"/>
    <w:rsid w:val="00E15186"/>
    <w:rsid w:val="00E20245"/>
    <w:rsid w:val="00E208B5"/>
    <w:rsid w:val="00E37CA1"/>
    <w:rsid w:val="00E43D81"/>
    <w:rsid w:val="00E51719"/>
    <w:rsid w:val="00E51C8E"/>
    <w:rsid w:val="00E51E30"/>
    <w:rsid w:val="00E62FC2"/>
    <w:rsid w:val="00E64945"/>
    <w:rsid w:val="00E65CB6"/>
    <w:rsid w:val="00E833E4"/>
    <w:rsid w:val="00E85259"/>
    <w:rsid w:val="00E91D89"/>
    <w:rsid w:val="00E92A27"/>
    <w:rsid w:val="00E9708C"/>
    <w:rsid w:val="00E977CF"/>
    <w:rsid w:val="00EB3842"/>
    <w:rsid w:val="00EB3C75"/>
    <w:rsid w:val="00EB6B72"/>
    <w:rsid w:val="00EC6F12"/>
    <w:rsid w:val="00EC7C46"/>
    <w:rsid w:val="00ED0FDB"/>
    <w:rsid w:val="00ED65A9"/>
    <w:rsid w:val="00ED7474"/>
    <w:rsid w:val="00ED7586"/>
    <w:rsid w:val="00EE2BA5"/>
    <w:rsid w:val="00EF403B"/>
    <w:rsid w:val="00F01F41"/>
    <w:rsid w:val="00F044E4"/>
    <w:rsid w:val="00F118B1"/>
    <w:rsid w:val="00F143CE"/>
    <w:rsid w:val="00F15012"/>
    <w:rsid w:val="00F17DCA"/>
    <w:rsid w:val="00F237C5"/>
    <w:rsid w:val="00F25622"/>
    <w:rsid w:val="00F34451"/>
    <w:rsid w:val="00F361A0"/>
    <w:rsid w:val="00F511B4"/>
    <w:rsid w:val="00F57B64"/>
    <w:rsid w:val="00F609B2"/>
    <w:rsid w:val="00F65893"/>
    <w:rsid w:val="00F670E8"/>
    <w:rsid w:val="00F73328"/>
    <w:rsid w:val="00F76895"/>
    <w:rsid w:val="00F83042"/>
    <w:rsid w:val="00F8369C"/>
    <w:rsid w:val="00F935DE"/>
    <w:rsid w:val="00FA109F"/>
    <w:rsid w:val="00FA341E"/>
    <w:rsid w:val="00FB0908"/>
    <w:rsid w:val="00FB1724"/>
    <w:rsid w:val="00FB3D29"/>
    <w:rsid w:val="00FB6AF5"/>
    <w:rsid w:val="00FB7EB4"/>
    <w:rsid w:val="00FC0EE5"/>
    <w:rsid w:val="00FC2B80"/>
    <w:rsid w:val="00FC5AA8"/>
    <w:rsid w:val="00FC5FC3"/>
    <w:rsid w:val="00FD224F"/>
    <w:rsid w:val="00FD5F06"/>
    <w:rsid w:val="00FE2790"/>
    <w:rsid w:val="00FE40A2"/>
    <w:rsid w:val="00FE6C7A"/>
    <w:rsid w:val="00FF50B1"/>
    <w:rsid w:val="00FF7CB2"/>
    <w:rsid w:val="010F3B4F"/>
    <w:rsid w:val="0113471D"/>
    <w:rsid w:val="011E3D92"/>
    <w:rsid w:val="012F3ECF"/>
    <w:rsid w:val="01323CE1"/>
    <w:rsid w:val="018C33F1"/>
    <w:rsid w:val="018F2A41"/>
    <w:rsid w:val="01A22C15"/>
    <w:rsid w:val="01A71FD9"/>
    <w:rsid w:val="01B6221C"/>
    <w:rsid w:val="01B87D5F"/>
    <w:rsid w:val="01D6304F"/>
    <w:rsid w:val="02293F32"/>
    <w:rsid w:val="022C24DE"/>
    <w:rsid w:val="02377801"/>
    <w:rsid w:val="023D0B8F"/>
    <w:rsid w:val="02581525"/>
    <w:rsid w:val="026E2AF7"/>
    <w:rsid w:val="026E6F9B"/>
    <w:rsid w:val="02C623D5"/>
    <w:rsid w:val="02CE534C"/>
    <w:rsid w:val="02F456F2"/>
    <w:rsid w:val="03065425"/>
    <w:rsid w:val="035717DD"/>
    <w:rsid w:val="037C1244"/>
    <w:rsid w:val="03850C6E"/>
    <w:rsid w:val="0398426E"/>
    <w:rsid w:val="03AA4003"/>
    <w:rsid w:val="03AC38D7"/>
    <w:rsid w:val="03B14202"/>
    <w:rsid w:val="03BB6210"/>
    <w:rsid w:val="03D70B20"/>
    <w:rsid w:val="03E06CA3"/>
    <w:rsid w:val="03E72B61"/>
    <w:rsid w:val="040D6D19"/>
    <w:rsid w:val="04387860"/>
    <w:rsid w:val="046E5030"/>
    <w:rsid w:val="047F0FEB"/>
    <w:rsid w:val="04891E6A"/>
    <w:rsid w:val="04C55066"/>
    <w:rsid w:val="04DF5F2E"/>
    <w:rsid w:val="054F4E62"/>
    <w:rsid w:val="056C5A14"/>
    <w:rsid w:val="05BA3E5F"/>
    <w:rsid w:val="05BC1DCB"/>
    <w:rsid w:val="05C0366A"/>
    <w:rsid w:val="05CF5FA2"/>
    <w:rsid w:val="05E859B2"/>
    <w:rsid w:val="05EC0902"/>
    <w:rsid w:val="05EF315A"/>
    <w:rsid w:val="05FD2B10"/>
    <w:rsid w:val="05FE20CE"/>
    <w:rsid w:val="06667380"/>
    <w:rsid w:val="06823015"/>
    <w:rsid w:val="06826B71"/>
    <w:rsid w:val="068428E9"/>
    <w:rsid w:val="06B3316B"/>
    <w:rsid w:val="06C47189"/>
    <w:rsid w:val="06CC4290"/>
    <w:rsid w:val="06FC6923"/>
    <w:rsid w:val="06FF4665"/>
    <w:rsid w:val="070103DE"/>
    <w:rsid w:val="073A569E"/>
    <w:rsid w:val="07554285"/>
    <w:rsid w:val="077D4D47"/>
    <w:rsid w:val="0788053B"/>
    <w:rsid w:val="07944DAE"/>
    <w:rsid w:val="07BC4304"/>
    <w:rsid w:val="07D50775"/>
    <w:rsid w:val="07DE24CD"/>
    <w:rsid w:val="07FA0816"/>
    <w:rsid w:val="0814540D"/>
    <w:rsid w:val="081D2FF5"/>
    <w:rsid w:val="08352FC5"/>
    <w:rsid w:val="083A3095"/>
    <w:rsid w:val="084560A8"/>
    <w:rsid w:val="08515212"/>
    <w:rsid w:val="086C1887"/>
    <w:rsid w:val="088D794E"/>
    <w:rsid w:val="089A4646"/>
    <w:rsid w:val="089E3A0A"/>
    <w:rsid w:val="08CE42EF"/>
    <w:rsid w:val="08D15B8E"/>
    <w:rsid w:val="08F31FA8"/>
    <w:rsid w:val="09067F2D"/>
    <w:rsid w:val="09095327"/>
    <w:rsid w:val="09255637"/>
    <w:rsid w:val="0969226A"/>
    <w:rsid w:val="096D1D5A"/>
    <w:rsid w:val="096F5AD2"/>
    <w:rsid w:val="09A3577C"/>
    <w:rsid w:val="09E2101D"/>
    <w:rsid w:val="0A0638BA"/>
    <w:rsid w:val="0A0A2FE0"/>
    <w:rsid w:val="0A12656B"/>
    <w:rsid w:val="0A2543E3"/>
    <w:rsid w:val="0A285C81"/>
    <w:rsid w:val="0A355F9C"/>
    <w:rsid w:val="0A570314"/>
    <w:rsid w:val="0A59408D"/>
    <w:rsid w:val="0A852B6F"/>
    <w:rsid w:val="0AA417AC"/>
    <w:rsid w:val="0AA51080"/>
    <w:rsid w:val="0ADB2CF4"/>
    <w:rsid w:val="0AE40B42"/>
    <w:rsid w:val="0AED724C"/>
    <w:rsid w:val="0B261896"/>
    <w:rsid w:val="0B275D15"/>
    <w:rsid w:val="0B39655D"/>
    <w:rsid w:val="0B5331D2"/>
    <w:rsid w:val="0B8C1CD4"/>
    <w:rsid w:val="0C087B18"/>
    <w:rsid w:val="0C465E66"/>
    <w:rsid w:val="0C9037D2"/>
    <w:rsid w:val="0C970E9C"/>
    <w:rsid w:val="0CC17E16"/>
    <w:rsid w:val="0CF602B9"/>
    <w:rsid w:val="0D2070E4"/>
    <w:rsid w:val="0D2B56A9"/>
    <w:rsid w:val="0D4A5F0F"/>
    <w:rsid w:val="0D576FA9"/>
    <w:rsid w:val="0DB02216"/>
    <w:rsid w:val="0DC21F49"/>
    <w:rsid w:val="0DD24882"/>
    <w:rsid w:val="0DD50074"/>
    <w:rsid w:val="0DDA3736"/>
    <w:rsid w:val="0DE46363"/>
    <w:rsid w:val="0DEB7CF1"/>
    <w:rsid w:val="0E625C06"/>
    <w:rsid w:val="0E666D78"/>
    <w:rsid w:val="0EA7186A"/>
    <w:rsid w:val="0EAD2BF9"/>
    <w:rsid w:val="0EB35674"/>
    <w:rsid w:val="0ECF3AB3"/>
    <w:rsid w:val="0ED91C40"/>
    <w:rsid w:val="0EE26D46"/>
    <w:rsid w:val="0F040A6B"/>
    <w:rsid w:val="0F056591"/>
    <w:rsid w:val="0F1B5DB5"/>
    <w:rsid w:val="0F4165A6"/>
    <w:rsid w:val="0F557C4C"/>
    <w:rsid w:val="0F7554C5"/>
    <w:rsid w:val="0F8971C2"/>
    <w:rsid w:val="0FA364D6"/>
    <w:rsid w:val="0FAE6C29"/>
    <w:rsid w:val="0FBD0C1A"/>
    <w:rsid w:val="0FDE5334"/>
    <w:rsid w:val="0FE4264A"/>
    <w:rsid w:val="100827DD"/>
    <w:rsid w:val="10120F66"/>
    <w:rsid w:val="101420A5"/>
    <w:rsid w:val="102B3941"/>
    <w:rsid w:val="102D3FF1"/>
    <w:rsid w:val="10305890"/>
    <w:rsid w:val="108005C5"/>
    <w:rsid w:val="10945E1E"/>
    <w:rsid w:val="109813C2"/>
    <w:rsid w:val="10B60B86"/>
    <w:rsid w:val="10C10FE4"/>
    <w:rsid w:val="110E3E23"/>
    <w:rsid w:val="112D6EFE"/>
    <w:rsid w:val="11545714"/>
    <w:rsid w:val="11910902"/>
    <w:rsid w:val="119D5D41"/>
    <w:rsid w:val="119F0F1F"/>
    <w:rsid w:val="11B20C52"/>
    <w:rsid w:val="11B30526"/>
    <w:rsid w:val="11BE2DE2"/>
    <w:rsid w:val="11ED1C8A"/>
    <w:rsid w:val="11ED2C9D"/>
    <w:rsid w:val="120B0362"/>
    <w:rsid w:val="123258EF"/>
    <w:rsid w:val="12331667"/>
    <w:rsid w:val="1255782F"/>
    <w:rsid w:val="125718AA"/>
    <w:rsid w:val="12703D83"/>
    <w:rsid w:val="129C734B"/>
    <w:rsid w:val="12CD5618"/>
    <w:rsid w:val="130866EA"/>
    <w:rsid w:val="130B7EEE"/>
    <w:rsid w:val="13143247"/>
    <w:rsid w:val="131B45D5"/>
    <w:rsid w:val="135D4BEE"/>
    <w:rsid w:val="13693592"/>
    <w:rsid w:val="13734411"/>
    <w:rsid w:val="138E1CF5"/>
    <w:rsid w:val="13975A19"/>
    <w:rsid w:val="139A7BF0"/>
    <w:rsid w:val="13B22621"/>
    <w:rsid w:val="13C94031"/>
    <w:rsid w:val="13DC2025"/>
    <w:rsid w:val="13F51A75"/>
    <w:rsid w:val="141F11F4"/>
    <w:rsid w:val="14423DE3"/>
    <w:rsid w:val="14535FF1"/>
    <w:rsid w:val="147E12BF"/>
    <w:rsid w:val="14B22D17"/>
    <w:rsid w:val="14B4083D"/>
    <w:rsid w:val="14BA7E1E"/>
    <w:rsid w:val="14D72B9A"/>
    <w:rsid w:val="14DB226E"/>
    <w:rsid w:val="14E05AD6"/>
    <w:rsid w:val="14ED1FA1"/>
    <w:rsid w:val="150443FD"/>
    <w:rsid w:val="15051099"/>
    <w:rsid w:val="150D43F1"/>
    <w:rsid w:val="15252E50"/>
    <w:rsid w:val="153D4098"/>
    <w:rsid w:val="15652DAF"/>
    <w:rsid w:val="156A53A0"/>
    <w:rsid w:val="15B1013A"/>
    <w:rsid w:val="15C727F2"/>
    <w:rsid w:val="15CC1BB7"/>
    <w:rsid w:val="15D7735E"/>
    <w:rsid w:val="15F31839"/>
    <w:rsid w:val="15F555B1"/>
    <w:rsid w:val="15F87315"/>
    <w:rsid w:val="15FA46E0"/>
    <w:rsid w:val="15FA4976"/>
    <w:rsid w:val="1606156C"/>
    <w:rsid w:val="16112078"/>
    <w:rsid w:val="16253698"/>
    <w:rsid w:val="162714E3"/>
    <w:rsid w:val="1639417E"/>
    <w:rsid w:val="16646293"/>
    <w:rsid w:val="166B4467"/>
    <w:rsid w:val="168626AD"/>
    <w:rsid w:val="16CD208A"/>
    <w:rsid w:val="16DF0D20"/>
    <w:rsid w:val="16E42F30"/>
    <w:rsid w:val="170F4451"/>
    <w:rsid w:val="1726179A"/>
    <w:rsid w:val="1732013F"/>
    <w:rsid w:val="173F1493"/>
    <w:rsid w:val="175956CC"/>
    <w:rsid w:val="175C3583"/>
    <w:rsid w:val="177E3384"/>
    <w:rsid w:val="17AC1CA0"/>
    <w:rsid w:val="17B54D19"/>
    <w:rsid w:val="17C1746A"/>
    <w:rsid w:val="17C830F4"/>
    <w:rsid w:val="17D11706"/>
    <w:rsid w:val="17E23913"/>
    <w:rsid w:val="17EC02EE"/>
    <w:rsid w:val="17F453F5"/>
    <w:rsid w:val="182201B4"/>
    <w:rsid w:val="182A7068"/>
    <w:rsid w:val="185235A1"/>
    <w:rsid w:val="186526ED"/>
    <w:rsid w:val="188D1AD1"/>
    <w:rsid w:val="18910E95"/>
    <w:rsid w:val="18A35DB6"/>
    <w:rsid w:val="18A84B5D"/>
    <w:rsid w:val="18B828C6"/>
    <w:rsid w:val="18CB25F9"/>
    <w:rsid w:val="18CD0120"/>
    <w:rsid w:val="18ED00CA"/>
    <w:rsid w:val="191436B8"/>
    <w:rsid w:val="1934019F"/>
    <w:rsid w:val="193463F1"/>
    <w:rsid w:val="194523AC"/>
    <w:rsid w:val="194B6C84"/>
    <w:rsid w:val="19617762"/>
    <w:rsid w:val="19A96D61"/>
    <w:rsid w:val="19AE781E"/>
    <w:rsid w:val="1A0D4AD8"/>
    <w:rsid w:val="1A1324AA"/>
    <w:rsid w:val="1A136006"/>
    <w:rsid w:val="1A295829"/>
    <w:rsid w:val="1A524D2C"/>
    <w:rsid w:val="1A546D31"/>
    <w:rsid w:val="1A6D4B10"/>
    <w:rsid w:val="1AA27C58"/>
    <w:rsid w:val="1AAD645B"/>
    <w:rsid w:val="1AB31597"/>
    <w:rsid w:val="1B1E4D15"/>
    <w:rsid w:val="1B2129A5"/>
    <w:rsid w:val="1B245F4B"/>
    <w:rsid w:val="1B3A2DE8"/>
    <w:rsid w:val="1B463CB8"/>
    <w:rsid w:val="1B570174"/>
    <w:rsid w:val="1B950C9D"/>
    <w:rsid w:val="1BCB0C5B"/>
    <w:rsid w:val="1BCF0653"/>
    <w:rsid w:val="1BD20A56"/>
    <w:rsid w:val="1C0D4CD7"/>
    <w:rsid w:val="1C1442B7"/>
    <w:rsid w:val="1C246FE5"/>
    <w:rsid w:val="1C597F1C"/>
    <w:rsid w:val="1C6F168E"/>
    <w:rsid w:val="1CA4563B"/>
    <w:rsid w:val="1CBD25FA"/>
    <w:rsid w:val="1CD221A8"/>
    <w:rsid w:val="1CD852E5"/>
    <w:rsid w:val="1CEC0D90"/>
    <w:rsid w:val="1CF928A3"/>
    <w:rsid w:val="1D464944"/>
    <w:rsid w:val="1D532BBD"/>
    <w:rsid w:val="1D6F4D74"/>
    <w:rsid w:val="1D77325B"/>
    <w:rsid w:val="1D905BC0"/>
    <w:rsid w:val="1D9D71B6"/>
    <w:rsid w:val="1DE859FC"/>
    <w:rsid w:val="1E0A7720"/>
    <w:rsid w:val="1E1B7B7F"/>
    <w:rsid w:val="1E2F7187"/>
    <w:rsid w:val="1E51534F"/>
    <w:rsid w:val="1E5B441F"/>
    <w:rsid w:val="1E62755C"/>
    <w:rsid w:val="1E635082"/>
    <w:rsid w:val="1E870283"/>
    <w:rsid w:val="1EB332D4"/>
    <w:rsid w:val="1EDF6DFF"/>
    <w:rsid w:val="1F105BB3"/>
    <w:rsid w:val="1F3802BD"/>
    <w:rsid w:val="1F43738D"/>
    <w:rsid w:val="1F447FA0"/>
    <w:rsid w:val="1F7D0EBD"/>
    <w:rsid w:val="1F92453A"/>
    <w:rsid w:val="1FB77434"/>
    <w:rsid w:val="1FD46237"/>
    <w:rsid w:val="1FD53D5E"/>
    <w:rsid w:val="1FD75D28"/>
    <w:rsid w:val="1FE10D15"/>
    <w:rsid w:val="1FED554B"/>
    <w:rsid w:val="1FEF6BCD"/>
    <w:rsid w:val="20142AD8"/>
    <w:rsid w:val="204213F3"/>
    <w:rsid w:val="20B22ABC"/>
    <w:rsid w:val="20CC33B3"/>
    <w:rsid w:val="20D36967"/>
    <w:rsid w:val="20E95D13"/>
    <w:rsid w:val="21050673"/>
    <w:rsid w:val="210508C0"/>
    <w:rsid w:val="21115269"/>
    <w:rsid w:val="215C4736"/>
    <w:rsid w:val="217D44F9"/>
    <w:rsid w:val="219C5803"/>
    <w:rsid w:val="21A001B8"/>
    <w:rsid w:val="21A167BF"/>
    <w:rsid w:val="21A35A6C"/>
    <w:rsid w:val="22010E3A"/>
    <w:rsid w:val="22192627"/>
    <w:rsid w:val="22482582"/>
    <w:rsid w:val="22596EC8"/>
    <w:rsid w:val="225A0780"/>
    <w:rsid w:val="225D0766"/>
    <w:rsid w:val="227609CD"/>
    <w:rsid w:val="2292790A"/>
    <w:rsid w:val="22965A26"/>
    <w:rsid w:val="22A31EF1"/>
    <w:rsid w:val="22A55D80"/>
    <w:rsid w:val="22CF0F38"/>
    <w:rsid w:val="22EA7B20"/>
    <w:rsid w:val="22F90C34"/>
    <w:rsid w:val="22F95FB5"/>
    <w:rsid w:val="230E0CDD"/>
    <w:rsid w:val="23113150"/>
    <w:rsid w:val="23250B58"/>
    <w:rsid w:val="233174FD"/>
    <w:rsid w:val="23425BAE"/>
    <w:rsid w:val="234405FE"/>
    <w:rsid w:val="235558E1"/>
    <w:rsid w:val="236E24FF"/>
    <w:rsid w:val="23720241"/>
    <w:rsid w:val="239C706C"/>
    <w:rsid w:val="23C05002"/>
    <w:rsid w:val="23E4182C"/>
    <w:rsid w:val="2409256C"/>
    <w:rsid w:val="241E671A"/>
    <w:rsid w:val="24212F0F"/>
    <w:rsid w:val="243002A2"/>
    <w:rsid w:val="24457704"/>
    <w:rsid w:val="245E7725"/>
    <w:rsid w:val="24724965"/>
    <w:rsid w:val="24771887"/>
    <w:rsid w:val="248144B4"/>
    <w:rsid w:val="24875A24"/>
    <w:rsid w:val="248D4C07"/>
    <w:rsid w:val="24DA2BBE"/>
    <w:rsid w:val="24E011DB"/>
    <w:rsid w:val="24E355E7"/>
    <w:rsid w:val="24EE1D3D"/>
    <w:rsid w:val="25453733"/>
    <w:rsid w:val="25B763DF"/>
    <w:rsid w:val="25BF7042"/>
    <w:rsid w:val="25D36F91"/>
    <w:rsid w:val="25F62AB4"/>
    <w:rsid w:val="261F21D6"/>
    <w:rsid w:val="26485289"/>
    <w:rsid w:val="268564DD"/>
    <w:rsid w:val="26AD333E"/>
    <w:rsid w:val="26C6444F"/>
    <w:rsid w:val="26D66D39"/>
    <w:rsid w:val="26FE003E"/>
    <w:rsid w:val="27160EE4"/>
    <w:rsid w:val="27377E1D"/>
    <w:rsid w:val="27435A51"/>
    <w:rsid w:val="27840543"/>
    <w:rsid w:val="27906EE8"/>
    <w:rsid w:val="27983FEE"/>
    <w:rsid w:val="27C85FA9"/>
    <w:rsid w:val="27CB63C1"/>
    <w:rsid w:val="27D05112"/>
    <w:rsid w:val="27EB24A8"/>
    <w:rsid w:val="28520495"/>
    <w:rsid w:val="285A74F6"/>
    <w:rsid w:val="28772BE3"/>
    <w:rsid w:val="289742A6"/>
    <w:rsid w:val="28991DCC"/>
    <w:rsid w:val="28B05A8E"/>
    <w:rsid w:val="28EF7C3E"/>
    <w:rsid w:val="28FD69FA"/>
    <w:rsid w:val="29051210"/>
    <w:rsid w:val="29155EC0"/>
    <w:rsid w:val="29312005"/>
    <w:rsid w:val="29381B9B"/>
    <w:rsid w:val="294A6240"/>
    <w:rsid w:val="294B7965"/>
    <w:rsid w:val="296248B4"/>
    <w:rsid w:val="298244EE"/>
    <w:rsid w:val="29827E50"/>
    <w:rsid w:val="29856ECD"/>
    <w:rsid w:val="29A6660E"/>
    <w:rsid w:val="29C11B4F"/>
    <w:rsid w:val="29CC4423"/>
    <w:rsid w:val="29D532D8"/>
    <w:rsid w:val="29E31A75"/>
    <w:rsid w:val="29E96D83"/>
    <w:rsid w:val="29FB0865"/>
    <w:rsid w:val="2A063491"/>
    <w:rsid w:val="2A2D63B5"/>
    <w:rsid w:val="2A5D2EAE"/>
    <w:rsid w:val="2A9A6739"/>
    <w:rsid w:val="2AA027A4"/>
    <w:rsid w:val="2AAE3A4E"/>
    <w:rsid w:val="2ABA24CE"/>
    <w:rsid w:val="2AC33130"/>
    <w:rsid w:val="2ACD0453"/>
    <w:rsid w:val="2ADC2444"/>
    <w:rsid w:val="2AF35F1B"/>
    <w:rsid w:val="2B0423C1"/>
    <w:rsid w:val="2B141BDE"/>
    <w:rsid w:val="2B1971F4"/>
    <w:rsid w:val="2B1C6630"/>
    <w:rsid w:val="2B373415"/>
    <w:rsid w:val="2B3D7707"/>
    <w:rsid w:val="2B45623B"/>
    <w:rsid w:val="2B54022C"/>
    <w:rsid w:val="2B5C5333"/>
    <w:rsid w:val="2B620B9B"/>
    <w:rsid w:val="2B6F5066"/>
    <w:rsid w:val="2B8A2F99"/>
    <w:rsid w:val="2BC929C8"/>
    <w:rsid w:val="2BCE7FDF"/>
    <w:rsid w:val="2BD72A2F"/>
    <w:rsid w:val="2BDE46D5"/>
    <w:rsid w:val="2BF10171"/>
    <w:rsid w:val="2BF11F1F"/>
    <w:rsid w:val="2BF30AC7"/>
    <w:rsid w:val="2BF81500"/>
    <w:rsid w:val="2C22032B"/>
    <w:rsid w:val="2C315D69"/>
    <w:rsid w:val="2C332538"/>
    <w:rsid w:val="2C385DA0"/>
    <w:rsid w:val="2C506C46"/>
    <w:rsid w:val="2C5A5D16"/>
    <w:rsid w:val="2C647269"/>
    <w:rsid w:val="2C7030A2"/>
    <w:rsid w:val="2C714E0E"/>
    <w:rsid w:val="2CA13D0C"/>
    <w:rsid w:val="2CB74F17"/>
    <w:rsid w:val="2CB847EB"/>
    <w:rsid w:val="2CC729E4"/>
    <w:rsid w:val="2CCD3F5D"/>
    <w:rsid w:val="2CDA5934"/>
    <w:rsid w:val="2CE41F2E"/>
    <w:rsid w:val="2D184218"/>
    <w:rsid w:val="2D3C541C"/>
    <w:rsid w:val="2D7745C4"/>
    <w:rsid w:val="2D88252C"/>
    <w:rsid w:val="2D8D21DF"/>
    <w:rsid w:val="2DC23B73"/>
    <w:rsid w:val="2DD809AF"/>
    <w:rsid w:val="2E206AEC"/>
    <w:rsid w:val="2E2760CC"/>
    <w:rsid w:val="2E53148E"/>
    <w:rsid w:val="2E6115DE"/>
    <w:rsid w:val="2E6966E5"/>
    <w:rsid w:val="2E905A1F"/>
    <w:rsid w:val="2E9A689E"/>
    <w:rsid w:val="2EB35574"/>
    <w:rsid w:val="2EEB534C"/>
    <w:rsid w:val="2F065CE2"/>
    <w:rsid w:val="2F2B5748"/>
    <w:rsid w:val="2F4B7B98"/>
    <w:rsid w:val="2F4D3910"/>
    <w:rsid w:val="2F782CC6"/>
    <w:rsid w:val="2F8B61E7"/>
    <w:rsid w:val="2FA75D92"/>
    <w:rsid w:val="2FCF4325"/>
    <w:rsid w:val="3002294D"/>
    <w:rsid w:val="302B1826"/>
    <w:rsid w:val="30697F7D"/>
    <w:rsid w:val="308E41E1"/>
    <w:rsid w:val="30BC0D4E"/>
    <w:rsid w:val="30DA11D4"/>
    <w:rsid w:val="312D1C4B"/>
    <w:rsid w:val="3135465C"/>
    <w:rsid w:val="31376626"/>
    <w:rsid w:val="3146704B"/>
    <w:rsid w:val="316F477E"/>
    <w:rsid w:val="318B24CE"/>
    <w:rsid w:val="31AA6DF8"/>
    <w:rsid w:val="31C8654E"/>
    <w:rsid w:val="31E247E4"/>
    <w:rsid w:val="31F14A27"/>
    <w:rsid w:val="31F46B28"/>
    <w:rsid w:val="32204DF4"/>
    <w:rsid w:val="322C1F03"/>
    <w:rsid w:val="32445C96"/>
    <w:rsid w:val="32537490"/>
    <w:rsid w:val="325B4596"/>
    <w:rsid w:val="326C0551"/>
    <w:rsid w:val="32943DCB"/>
    <w:rsid w:val="32B75C71"/>
    <w:rsid w:val="32C97752"/>
    <w:rsid w:val="32CC7242"/>
    <w:rsid w:val="330B12A9"/>
    <w:rsid w:val="33292AF7"/>
    <w:rsid w:val="333E5ADD"/>
    <w:rsid w:val="335B3701"/>
    <w:rsid w:val="337C6572"/>
    <w:rsid w:val="337D597D"/>
    <w:rsid w:val="33835B53"/>
    <w:rsid w:val="33AC1439"/>
    <w:rsid w:val="33C1667B"/>
    <w:rsid w:val="33F1163C"/>
    <w:rsid w:val="33F151B2"/>
    <w:rsid w:val="34030A42"/>
    <w:rsid w:val="345968B4"/>
    <w:rsid w:val="347A3B83"/>
    <w:rsid w:val="34A96FDF"/>
    <w:rsid w:val="34BD10D8"/>
    <w:rsid w:val="34C93A39"/>
    <w:rsid w:val="34DD5737"/>
    <w:rsid w:val="350519CA"/>
    <w:rsid w:val="351D5B33"/>
    <w:rsid w:val="35215623"/>
    <w:rsid w:val="352652CA"/>
    <w:rsid w:val="353335A8"/>
    <w:rsid w:val="35596B81"/>
    <w:rsid w:val="355E0625"/>
    <w:rsid w:val="356279EA"/>
    <w:rsid w:val="3564347F"/>
    <w:rsid w:val="359776DB"/>
    <w:rsid w:val="35A973C7"/>
    <w:rsid w:val="35B244CD"/>
    <w:rsid w:val="35F20D6E"/>
    <w:rsid w:val="36076005"/>
    <w:rsid w:val="3613710F"/>
    <w:rsid w:val="36581519"/>
    <w:rsid w:val="36813910"/>
    <w:rsid w:val="36AC716F"/>
    <w:rsid w:val="36BB1D6C"/>
    <w:rsid w:val="36C841D0"/>
    <w:rsid w:val="36CD5E83"/>
    <w:rsid w:val="36D05553"/>
    <w:rsid w:val="36E33990"/>
    <w:rsid w:val="37425D25"/>
    <w:rsid w:val="37461371"/>
    <w:rsid w:val="376A3E82"/>
    <w:rsid w:val="376E6B1A"/>
    <w:rsid w:val="377731A3"/>
    <w:rsid w:val="378974B0"/>
    <w:rsid w:val="378C0D4E"/>
    <w:rsid w:val="379876F3"/>
    <w:rsid w:val="37B3452D"/>
    <w:rsid w:val="37BC5AD7"/>
    <w:rsid w:val="37BE081B"/>
    <w:rsid w:val="37CD44D8"/>
    <w:rsid w:val="37E5630E"/>
    <w:rsid w:val="3805122C"/>
    <w:rsid w:val="383218F5"/>
    <w:rsid w:val="384635F3"/>
    <w:rsid w:val="38776F5F"/>
    <w:rsid w:val="387970C9"/>
    <w:rsid w:val="387B504A"/>
    <w:rsid w:val="38A37878"/>
    <w:rsid w:val="38A722E3"/>
    <w:rsid w:val="38E3651A"/>
    <w:rsid w:val="39113C01"/>
    <w:rsid w:val="39241FBB"/>
    <w:rsid w:val="39495149"/>
    <w:rsid w:val="39644874"/>
    <w:rsid w:val="39BD3A55"/>
    <w:rsid w:val="39D624C5"/>
    <w:rsid w:val="39D864CC"/>
    <w:rsid w:val="39DD3AE3"/>
    <w:rsid w:val="39EE5833"/>
    <w:rsid w:val="39FA5973"/>
    <w:rsid w:val="3A080BE1"/>
    <w:rsid w:val="3A0D43C8"/>
    <w:rsid w:val="3A2931D7"/>
    <w:rsid w:val="3A2B2AA0"/>
    <w:rsid w:val="3A37724F"/>
    <w:rsid w:val="3A3A2CE3"/>
    <w:rsid w:val="3A6D30B9"/>
    <w:rsid w:val="3A7925D4"/>
    <w:rsid w:val="3A8B1791"/>
    <w:rsid w:val="3A995C5C"/>
    <w:rsid w:val="3AC72ECC"/>
    <w:rsid w:val="3ADC3D9A"/>
    <w:rsid w:val="3B2319C9"/>
    <w:rsid w:val="3B255741"/>
    <w:rsid w:val="3B5F50F7"/>
    <w:rsid w:val="3B673FAC"/>
    <w:rsid w:val="3B716BD9"/>
    <w:rsid w:val="3B871F58"/>
    <w:rsid w:val="3B903503"/>
    <w:rsid w:val="3B9A1C8B"/>
    <w:rsid w:val="3BCC368A"/>
    <w:rsid w:val="3BD06104"/>
    <w:rsid w:val="3BD86AFA"/>
    <w:rsid w:val="3C1A644D"/>
    <w:rsid w:val="3C6D55F2"/>
    <w:rsid w:val="3C8808A8"/>
    <w:rsid w:val="3C8A7F52"/>
    <w:rsid w:val="3CB15FCA"/>
    <w:rsid w:val="3CB52AF5"/>
    <w:rsid w:val="3CCA2A44"/>
    <w:rsid w:val="3CD63197"/>
    <w:rsid w:val="3CFC24D2"/>
    <w:rsid w:val="3D18555E"/>
    <w:rsid w:val="3D314198"/>
    <w:rsid w:val="3D5F5B26"/>
    <w:rsid w:val="3D695DB9"/>
    <w:rsid w:val="3D7E738B"/>
    <w:rsid w:val="3D89645B"/>
    <w:rsid w:val="3DAB4624"/>
    <w:rsid w:val="3DB50FFF"/>
    <w:rsid w:val="3DD07BE6"/>
    <w:rsid w:val="3DF862C0"/>
    <w:rsid w:val="3E42537F"/>
    <w:rsid w:val="3E446845"/>
    <w:rsid w:val="3E4800C5"/>
    <w:rsid w:val="3E4D7489"/>
    <w:rsid w:val="3E624B2F"/>
    <w:rsid w:val="3E693B97"/>
    <w:rsid w:val="3E6F72E4"/>
    <w:rsid w:val="3F0110BB"/>
    <w:rsid w:val="3F143D5A"/>
    <w:rsid w:val="3F163D1F"/>
    <w:rsid w:val="3F1C6E5B"/>
    <w:rsid w:val="3F6820A1"/>
    <w:rsid w:val="3F6D76B7"/>
    <w:rsid w:val="3F935E11"/>
    <w:rsid w:val="3F964E60"/>
    <w:rsid w:val="3F9B4224"/>
    <w:rsid w:val="3FB90C6E"/>
    <w:rsid w:val="3FCA4B09"/>
    <w:rsid w:val="3FDB0AC5"/>
    <w:rsid w:val="3FDD3AA0"/>
    <w:rsid w:val="3FDF6807"/>
    <w:rsid w:val="40167D4F"/>
    <w:rsid w:val="40352509"/>
    <w:rsid w:val="407857B3"/>
    <w:rsid w:val="40A16AF0"/>
    <w:rsid w:val="40A9471F"/>
    <w:rsid w:val="40B01F51"/>
    <w:rsid w:val="40B62373"/>
    <w:rsid w:val="40C477AB"/>
    <w:rsid w:val="40D75730"/>
    <w:rsid w:val="40E01908"/>
    <w:rsid w:val="4129291D"/>
    <w:rsid w:val="41390199"/>
    <w:rsid w:val="413E2100"/>
    <w:rsid w:val="413E755D"/>
    <w:rsid w:val="41716B89"/>
    <w:rsid w:val="41731623"/>
    <w:rsid w:val="41886A2A"/>
    <w:rsid w:val="41AF3FB7"/>
    <w:rsid w:val="41AF6BC7"/>
    <w:rsid w:val="41C3735C"/>
    <w:rsid w:val="41DB2FFE"/>
    <w:rsid w:val="41E719A3"/>
    <w:rsid w:val="42132798"/>
    <w:rsid w:val="42134546"/>
    <w:rsid w:val="42312C1E"/>
    <w:rsid w:val="42380450"/>
    <w:rsid w:val="42611561"/>
    <w:rsid w:val="4269685C"/>
    <w:rsid w:val="426D00FA"/>
    <w:rsid w:val="42734FE4"/>
    <w:rsid w:val="427C77E8"/>
    <w:rsid w:val="42BD36B2"/>
    <w:rsid w:val="430777CF"/>
    <w:rsid w:val="430D5439"/>
    <w:rsid w:val="43282273"/>
    <w:rsid w:val="434150E2"/>
    <w:rsid w:val="43543068"/>
    <w:rsid w:val="43571574"/>
    <w:rsid w:val="4392593E"/>
    <w:rsid w:val="43943464"/>
    <w:rsid w:val="43A324A6"/>
    <w:rsid w:val="43AC4C52"/>
    <w:rsid w:val="43C73BDB"/>
    <w:rsid w:val="43D23F8D"/>
    <w:rsid w:val="43D877F5"/>
    <w:rsid w:val="43DF5653"/>
    <w:rsid w:val="43EC14F2"/>
    <w:rsid w:val="44022AC4"/>
    <w:rsid w:val="443D58AA"/>
    <w:rsid w:val="444A6219"/>
    <w:rsid w:val="446B516E"/>
    <w:rsid w:val="447D039C"/>
    <w:rsid w:val="448D14FC"/>
    <w:rsid w:val="449A00E0"/>
    <w:rsid w:val="449D27EC"/>
    <w:rsid w:val="44A31A2B"/>
    <w:rsid w:val="44BF09B5"/>
    <w:rsid w:val="44D501D8"/>
    <w:rsid w:val="44D83825"/>
    <w:rsid w:val="44D97CC8"/>
    <w:rsid w:val="44EF1C2A"/>
    <w:rsid w:val="4513485D"/>
    <w:rsid w:val="453F5652"/>
    <w:rsid w:val="45652C74"/>
    <w:rsid w:val="458F65D9"/>
    <w:rsid w:val="45B222C8"/>
    <w:rsid w:val="45C049E4"/>
    <w:rsid w:val="45D03C5F"/>
    <w:rsid w:val="45DB35CC"/>
    <w:rsid w:val="460E7FAC"/>
    <w:rsid w:val="460F3276"/>
    <w:rsid w:val="4611121F"/>
    <w:rsid w:val="46135147"/>
    <w:rsid w:val="461E27E1"/>
    <w:rsid w:val="462C02CC"/>
    <w:rsid w:val="46342CDD"/>
    <w:rsid w:val="469C7200"/>
    <w:rsid w:val="46A55988"/>
    <w:rsid w:val="46C71DA3"/>
    <w:rsid w:val="46EB783F"/>
    <w:rsid w:val="472E3BD0"/>
    <w:rsid w:val="47484C91"/>
    <w:rsid w:val="474D7799"/>
    <w:rsid w:val="47746AF3"/>
    <w:rsid w:val="47A10846"/>
    <w:rsid w:val="47B90762"/>
    <w:rsid w:val="47DB3EA0"/>
    <w:rsid w:val="47F40975"/>
    <w:rsid w:val="481E3C44"/>
    <w:rsid w:val="485D29BF"/>
    <w:rsid w:val="486A50DB"/>
    <w:rsid w:val="488C32A4"/>
    <w:rsid w:val="48A00AFD"/>
    <w:rsid w:val="48EB5130"/>
    <w:rsid w:val="48F03833"/>
    <w:rsid w:val="49057251"/>
    <w:rsid w:val="49065B77"/>
    <w:rsid w:val="490B5F77"/>
    <w:rsid w:val="491B090B"/>
    <w:rsid w:val="491C12E0"/>
    <w:rsid w:val="496B2DEF"/>
    <w:rsid w:val="49971F00"/>
    <w:rsid w:val="499C0B00"/>
    <w:rsid w:val="49A25FC8"/>
    <w:rsid w:val="49B26D3A"/>
    <w:rsid w:val="49FB5243"/>
    <w:rsid w:val="4A080708"/>
    <w:rsid w:val="4A2C2648"/>
    <w:rsid w:val="4A4A0D21"/>
    <w:rsid w:val="4A5D6CA6"/>
    <w:rsid w:val="4AB03106"/>
    <w:rsid w:val="4AB80FD5"/>
    <w:rsid w:val="4AC05487"/>
    <w:rsid w:val="4ACE1952"/>
    <w:rsid w:val="4AE41175"/>
    <w:rsid w:val="4B1169FD"/>
    <w:rsid w:val="4B245A16"/>
    <w:rsid w:val="4B375A36"/>
    <w:rsid w:val="4B4B6F6D"/>
    <w:rsid w:val="4B7C13AE"/>
    <w:rsid w:val="4B9F6E4A"/>
    <w:rsid w:val="4BA77ED2"/>
    <w:rsid w:val="4BA97CC9"/>
    <w:rsid w:val="4BC7402D"/>
    <w:rsid w:val="4BD765E4"/>
    <w:rsid w:val="4C065165"/>
    <w:rsid w:val="4C066B66"/>
    <w:rsid w:val="4C4A3B3A"/>
    <w:rsid w:val="4C5C7478"/>
    <w:rsid w:val="4C7B78B7"/>
    <w:rsid w:val="4C975D73"/>
    <w:rsid w:val="4CAF130F"/>
    <w:rsid w:val="4CAF57B3"/>
    <w:rsid w:val="4CC254E6"/>
    <w:rsid w:val="4CD40D75"/>
    <w:rsid w:val="4CD80866"/>
    <w:rsid w:val="4D043409"/>
    <w:rsid w:val="4D1D3216"/>
    <w:rsid w:val="4D7B5AD0"/>
    <w:rsid w:val="4DA22C22"/>
    <w:rsid w:val="4DAD5669"/>
    <w:rsid w:val="4DDA6F61"/>
    <w:rsid w:val="4DE2784F"/>
    <w:rsid w:val="4E5E2FEC"/>
    <w:rsid w:val="4E9A5D76"/>
    <w:rsid w:val="4E9B7D9D"/>
    <w:rsid w:val="4EA50C1B"/>
    <w:rsid w:val="4EAA6DB1"/>
    <w:rsid w:val="4EB26E94"/>
    <w:rsid w:val="4EBD5F65"/>
    <w:rsid w:val="4EDB463D"/>
    <w:rsid w:val="4EF179BD"/>
    <w:rsid w:val="4EF23FDF"/>
    <w:rsid w:val="4F253B0A"/>
    <w:rsid w:val="4F2E29BF"/>
    <w:rsid w:val="4F3E28B4"/>
    <w:rsid w:val="4F5A1A06"/>
    <w:rsid w:val="4F642884"/>
    <w:rsid w:val="4F675ED1"/>
    <w:rsid w:val="4F6A47C2"/>
    <w:rsid w:val="4F797711"/>
    <w:rsid w:val="4F7E5458"/>
    <w:rsid w:val="4F8D1DDB"/>
    <w:rsid w:val="4FFF6109"/>
    <w:rsid w:val="502344EE"/>
    <w:rsid w:val="502913D8"/>
    <w:rsid w:val="503C28C9"/>
    <w:rsid w:val="503D056A"/>
    <w:rsid w:val="50811214"/>
    <w:rsid w:val="50B04260"/>
    <w:rsid w:val="50C64E79"/>
    <w:rsid w:val="50F32112"/>
    <w:rsid w:val="511F06B0"/>
    <w:rsid w:val="51234079"/>
    <w:rsid w:val="515D57DD"/>
    <w:rsid w:val="518F4562"/>
    <w:rsid w:val="51960443"/>
    <w:rsid w:val="51AF590D"/>
    <w:rsid w:val="51BA49DE"/>
    <w:rsid w:val="51BD627C"/>
    <w:rsid w:val="51C03390"/>
    <w:rsid w:val="51C413B8"/>
    <w:rsid w:val="51C66835"/>
    <w:rsid w:val="51E11F6A"/>
    <w:rsid w:val="52281131"/>
    <w:rsid w:val="52527E09"/>
    <w:rsid w:val="526112FD"/>
    <w:rsid w:val="52750905"/>
    <w:rsid w:val="52780561"/>
    <w:rsid w:val="529F29E4"/>
    <w:rsid w:val="52A3653F"/>
    <w:rsid w:val="52B96A43"/>
    <w:rsid w:val="52BE7978"/>
    <w:rsid w:val="52D27AA6"/>
    <w:rsid w:val="52DA30A5"/>
    <w:rsid w:val="52DB29CF"/>
    <w:rsid w:val="52E350B6"/>
    <w:rsid w:val="52E87329"/>
    <w:rsid w:val="534704F3"/>
    <w:rsid w:val="534722A1"/>
    <w:rsid w:val="538418DC"/>
    <w:rsid w:val="53935379"/>
    <w:rsid w:val="53CA4C80"/>
    <w:rsid w:val="53D11E6D"/>
    <w:rsid w:val="53F341D7"/>
    <w:rsid w:val="542530EC"/>
    <w:rsid w:val="547075D6"/>
    <w:rsid w:val="54754BEC"/>
    <w:rsid w:val="54CA318A"/>
    <w:rsid w:val="54ED50CA"/>
    <w:rsid w:val="54F77CF7"/>
    <w:rsid w:val="55050666"/>
    <w:rsid w:val="55081F04"/>
    <w:rsid w:val="55097B26"/>
    <w:rsid w:val="55225FBE"/>
    <w:rsid w:val="552A3C28"/>
    <w:rsid w:val="552D6F21"/>
    <w:rsid w:val="553920BD"/>
    <w:rsid w:val="55676C2B"/>
    <w:rsid w:val="55715321"/>
    <w:rsid w:val="55717AA9"/>
    <w:rsid w:val="558246BA"/>
    <w:rsid w:val="55AC6D33"/>
    <w:rsid w:val="55B1434A"/>
    <w:rsid w:val="55B64F00"/>
    <w:rsid w:val="55C93441"/>
    <w:rsid w:val="55CC2F32"/>
    <w:rsid w:val="55EB160A"/>
    <w:rsid w:val="560E52F8"/>
    <w:rsid w:val="562468CA"/>
    <w:rsid w:val="562543F0"/>
    <w:rsid w:val="56280E81"/>
    <w:rsid w:val="56327239"/>
    <w:rsid w:val="5656482C"/>
    <w:rsid w:val="5661367A"/>
    <w:rsid w:val="566158BA"/>
    <w:rsid w:val="56921A85"/>
    <w:rsid w:val="56B85264"/>
    <w:rsid w:val="56C82D84"/>
    <w:rsid w:val="56DA3153"/>
    <w:rsid w:val="56ED315F"/>
    <w:rsid w:val="57075151"/>
    <w:rsid w:val="57120E18"/>
    <w:rsid w:val="572A0ECA"/>
    <w:rsid w:val="572C3252"/>
    <w:rsid w:val="57315C98"/>
    <w:rsid w:val="5737262D"/>
    <w:rsid w:val="574657F1"/>
    <w:rsid w:val="57476D14"/>
    <w:rsid w:val="57483C49"/>
    <w:rsid w:val="577D2735"/>
    <w:rsid w:val="578329F2"/>
    <w:rsid w:val="57AA2DFF"/>
    <w:rsid w:val="57D04F5B"/>
    <w:rsid w:val="58044C05"/>
    <w:rsid w:val="58156E12"/>
    <w:rsid w:val="581F4B46"/>
    <w:rsid w:val="582D0510"/>
    <w:rsid w:val="584D3894"/>
    <w:rsid w:val="586B4F13"/>
    <w:rsid w:val="587A0A23"/>
    <w:rsid w:val="587C0C3F"/>
    <w:rsid w:val="5889335C"/>
    <w:rsid w:val="588E44CE"/>
    <w:rsid w:val="58D850D3"/>
    <w:rsid w:val="58ED5699"/>
    <w:rsid w:val="58F070CC"/>
    <w:rsid w:val="59057087"/>
    <w:rsid w:val="59417793"/>
    <w:rsid w:val="595C45CC"/>
    <w:rsid w:val="597731B4"/>
    <w:rsid w:val="597C6A1D"/>
    <w:rsid w:val="597E47CE"/>
    <w:rsid w:val="5980650D"/>
    <w:rsid w:val="59926240"/>
    <w:rsid w:val="59A246D5"/>
    <w:rsid w:val="59C3202D"/>
    <w:rsid w:val="59C34DDC"/>
    <w:rsid w:val="59C77C98"/>
    <w:rsid w:val="59C82464"/>
    <w:rsid w:val="59CB138A"/>
    <w:rsid w:val="59CC52AE"/>
    <w:rsid w:val="59E85E60"/>
    <w:rsid w:val="5A0C656C"/>
    <w:rsid w:val="5A252C10"/>
    <w:rsid w:val="5A272E2C"/>
    <w:rsid w:val="5A370DD5"/>
    <w:rsid w:val="5A390534"/>
    <w:rsid w:val="5A390A7B"/>
    <w:rsid w:val="5A7D2A4C"/>
    <w:rsid w:val="5A86633B"/>
    <w:rsid w:val="5A9A35FE"/>
    <w:rsid w:val="5AC051B0"/>
    <w:rsid w:val="5AD84127"/>
    <w:rsid w:val="5ADA0D78"/>
    <w:rsid w:val="5AE42ACB"/>
    <w:rsid w:val="5B2C3611"/>
    <w:rsid w:val="5B3D7C9E"/>
    <w:rsid w:val="5B410F66"/>
    <w:rsid w:val="5B41461C"/>
    <w:rsid w:val="5B5525CE"/>
    <w:rsid w:val="5B5639C9"/>
    <w:rsid w:val="5B5B0FE0"/>
    <w:rsid w:val="5B6B7E45"/>
    <w:rsid w:val="5B6F1663"/>
    <w:rsid w:val="5B977B3E"/>
    <w:rsid w:val="5B9C5154"/>
    <w:rsid w:val="5BA11EA0"/>
    <w:rsid w:val="5BB24978"/>
    <w:rsid w:val="5BEA2363"/>
    <w:rsid w:val="5BEC60DC"/>
    <w:rsid w:val="5BEF797A"/>
    <w:rsid w:val="5C053504"/>
    <w:rsid w:val="5C05719D"/>
    <w:rsid w:val="5C0D7E00"/>
    <w:rsid w:val="5C6A5252"/>
    <w:rsid w:val="5C6A5542"/>
    <w:rsid w:val="5C871960"/>
    <w:rsid w:val="5C8D4654"/>
    <w:rsid w:val="5CA7109D"/>
    <w:rsid w:val="5CAC6D2A"/>
    <w:rsid w:val="5CDD60ED"/>
    <w:rsid w:val="5CE13766"/>
    <w:rsid w:val="5D1E0517"/>
    <w:rsid w:val="5D867E6A"/>
    <w:rsid w:val="5DA84284"/>
    <w:rsid w:val="5DCF7D3C"/>
    <w:rsid w:val="5DF70D68"/>
    <w:rsid w:val="5DFA38AA"/>
    <w:rsid w:val="5DFD6725"/>
    <w:rsid w:val="5E0718CD"/>
    <w:rsid w:val="5E19388A"/>
    <w:rsid w:val="5E2F0501"/>
    <w:rsid w:val="5E36363E"/>
    <w:rsid w:val="5E421FE3"/>
    <w:rsid w:val="5E4633AF"/>
    <w:rsid w:val="5E473A9D"/>
    <w:rsid w:val="5E916AC6"/>
    <w:rsid w:val="5E9D3A08"/>
    <w:rsid w:val="5EB7681C"/>
    <w:rsid w:val="5EC40C4A"/>
    <w:rsid w:val="5EC450EE"/>
    <w:rsid w:val="5ED54C05"/>
    <w:rsid w:val="5EDD7F5D"/>
    <w:rsid w:val="5F061196"/>
    <w:rsid w:val="5F092B01"/>
    <w:rsid w:val="5F265461"/>
    <w:rsid w:val="5F2B2A77"/>
    <w:rsid w:val="5F3C2ED6"/>
    <w:rsid w:val="5F4E6765"/>
    <w:rsid w:val="5F781A34"/>
    <w:rsid w:val="5F7C1524"/>
    <w:rsid w:val="5F8D4FB7"/>
    <w:rsid w:val="5F99786C"/>
    <w:rsid w:val="5FA8056B"/>
    <w:rsid w:val="5FC627A0"/>
    <w:rsid w:val="5FE13A7D"/>
    <w:rsid w:val="5FEF619A"/>
    <w:rsid w:val="5FF53085"/>
    <w:rsid w:val="60025ECE"/>
    <w:rsid w:val="600532C8"/>
    <w:rsid w:val="601222BF"/>
    <w:rsid w:val="601259E5"/>
    <w:rsid w:val="60243279"/>
    <w:rsid w:val="60326087"/>
    <w:rsid w:val="60730B79"/>
    <w:rsid w:val="607E5A53"/>
    <w:rsid w:val="607F1A4B"/>
    <w:rsid w:val="608A1A1F"/>
    <w:rsid w:val="60E23609"/>
    <w:rsid w:val="60E706F6"/>
    <w:rsid w:val="60E76E71"/>
    <w:rsid w:val="6105554A"/>
    <w:rsid w:val="613528A4"/>
    <w:rsid w:val="61A66D2D"/>
    <w:rsid w:val="61C80A51"/>
    <w:rsid w:val="6202591B"/>
    <w:rsid w:val="62287742"/>
    <w:rsid w:val="62662018"/>
    <w:rsid w:val="626D1D8F"/>
    <w:rsid w:val="6288436E"/>
    <w:rsid w:val="629B43B7"/>
    <w:rsid w:val="62D578C9"/>
    <w:rsid w:val="62D6719E"/>
    <w:rsid w:val="62DB77BF"/>
    <w:rsid w:val="631C2FEA"/>
    <w:rsid w:val="63421097"/>
    <w:rsid w:val="635307EE"/>
    <w:rsid w:val="638572BB"/>
    <w:rsid w:val="638E7A78"/>
    <w:rsid w:val="639E22E8"/>
    <w:rsid w:val="63A728E8"/>
    <w:rsid w:val="63C35974"/>
    <w:rsid w:val="63C8561D"/>
    <w:rsid w:val="63E13995"/>
    <w:rsid w:val="641A755E"/>
    <w:rsid w:val="64287ECD"/>
    <w:rsid w:val="642D54E3"/>
    <w:rsid w:val="64462101"/>
    <w:rsid w:val="644D7933"/>
    <w:rsid w:val="645018E6"/>
    <w:rsid w:val="6450287C"/>
    <w:rsid w:val="64713622"/>
    <w:rsid w:val="649B41FB"/>
    <w:rsid w:val="64A07A63"/>
    <w:rsid w:val="64C6694E"/>
    <w:rsid w:val="64E77440"/>
    <w:rsid w:val="64F423B7"/>
    <w:rsid w:val="6501769D"/>
    <w:rsid w:val="65044496"/>
    <w:rsid w:val="653231E0"/>
    <w:rsid w:val="658C7FE7"/>
    <w:rsid w:val="65A370BE"/>
    <w:rsid w:val="65B71508"/>
    <w:rsid w:val="65CE6852"/>
    <w:rsid w:val="65E330C1"/>
    <w:rsid w:val="65F04A1A"/>
    <w:rsid w:val="662415EA"/>
    <w:rsid w:val="662C2D47"/>
    <w:rsid w:val="66327DBB"/>
    <w:rsid w:val="663754B0"/>
    <w:rsid w:val="665947B7"/>
    <w:rsid w:val="66A80E51"/>
    <w:rsid w:val="66AD290B"/>
    <w:rsid w:val="66C82907"/>
    <w:rsid w:val="66D25ECE"/>
    <w:rsid w:val="66DA25C9"/>
    <w:rsid w:val="66DF7510"/>
    <w:rsid w:val="66EE2624"/>
    <w:rsid w:val="670B7AEA"/>
    <w:rsid w:val="670D5158"/>
    <w:rsid w:val="671169F6"/>
    <w:rsid w:val="67357BB4"/>
    <w:rsid w:val="67642FCA"/>
    <w:rsid w:val="677B6565"/>
    <w:rsid w:val="67862A4E"/>
    <w:rsid w:val="67874F0A"/>
    <w:rsid w:val="67AF38F8"/>
    <w:rsid w:val="67B11F87"/>
    <w:rsid w:val="67D30150"/>
    <w:rsid w:val="67DA7730"/>
    <w:rsid w:val="67F3689C"/>
    <w:rsid w:val="68183DB4"/>
    <w:rsid w:val="682D3D04"/>
    <w:rsid w:val="683F7593"/>
    <w:rsid w:val="687F5BE1"/>
    <w:rsid w:val="688472F1"/>
    <w:rsid w:val="688B27D8"/>
    <w:rsid w:val="689E075E"/>
    <w:rsid w:val="68E76220"/>
    <w:rsid w:val="690507DD"/>
    <w:rsid w:val="690D029C"/>
    <w:rsid w:val="692C7B17"/>
    <w:rsid w:val="698C4A5A"/>
    <w:rsid w:val="69AE49D0"/>
    <w:rsid w:val="69CD7761"/>
    <w:rsid w:val="69DB1CD7"/>
    <w:rsid w:val="69E20B1E"/>
    <w:rsid w:val="69FA19C4"/>
    <w:rsid w:val="6A1052CA"/>
    <w:rsid w:val="6A1F3F21"/>
    <w:rsid w:val="6A2D41DB"/>
    <w:rsid w:val="6A3C1FDC"/>
    <w:rsid w:val="6A4327A4"/>
    <w:rsid w:val="6A5135AE"/>
    <w:rsid w:val="6A5F5CCB"/>
    <w:rsid w:val="6A706DE0"/>
    <w:rsid w:val="6A8B4D12"/>
    <w:rsid w:val="6A9C6F1F"/>
    <w:rsid w:val="6A9E67F3"/>
    <w:rsid w:val="6AA95198"/>
    <w:rsid w:val="6ABF6769"/>
    <w:rsid w:val="6AC3244C"/>
    <w:rsid w:val="6AC63880"/>
    <w:rsid w:val="6AE64505"/>
    <w:rsid w:val="6AEA7C8A"/>
    <w:rsid w:val="6AFF69BF"/>
    <w:rsid w:val="6B0A20DA"/>
    <w:rsid w:val="6B2A277C"/>
    <w:rsid w:val="6B3C52FC"/>
    <w:rsid w:val="6B4D0219"/>
    <w:rsid w:val="6B663FD5"/>
    <w:rsid w:val="6B792DBC"/>
    <w:rsid w:val="6BA53000"/>
    <w:rsid w:val="6BB63F85"/>
    <w:rsid w:val="6BD10E4A"/>
    <w:rsid w:val="6BE7241B"/>
    <w:rsid w:val="6C117498"/>
    <w:rsid w:val="6C145E5A"/>
    <w:rsid w:val="6C21592D"/>
    <w:rsid w:val="6C2B67AC"/>
    <w:rsid w:val="6C6121CE"/>
    <w:rsid w:val="6C7A503E"/>
    <w:rsid w:val="6C871509"/>
    <w:rsid w:val="6C937EAD"/>
    <w:rsid w:val="6C9445C6"/>
    <w:rsid w:val="6CB22A29"/>
    <w:rsid w:val="6CB57E24"/>
    <w:rsid w:val="6CC707EE"/>
    <w:rsid w:val="6CDA3D2E"/>
    <w:rsid w:val="6CFE5C6F"/>
    <w:rsid w:val="6D417909"/>
    <w:rsid w:val="6D83727B"/>
    <w:rsid w:val="6D8819DC"/>
    <w:rsid w:val="6D886E76"/>
    <w:rsid w:val="6D8D0DA1"/>
    <w:rsid w:val="6DA265FA"/>
    <w:rsid w:val="6DAA31E4"/>
    <w:rsid w:val="6DB4632D"/>
    <w:rsid w:val="6DBD3434"/>
    <w:rsid w:val="6DDD7632"/>
    <w:rsid w:val="6DE36C13"/>
    <w:rsid w:val="6DEE7A91"/>
    <w:rsid w:val="6DF37226"/>
    <w:rsid w:val="6E1F67A8"/>
    <w:rsid w:val="6EB56801"/>
    <w:rsid w:val="6EBE56B6"/>
    <w:rsid w:val="6ECF4375"/>
    <w:rsid w:val="6ED547AD"/>
    <w:rsid w:val="6EF916AB"/>
    <w:rsid w:val="6EFF5A3E"/>
    <w:rsid w:val="6F2968A7"/>
    <w:rsid w:val="6F4F27B2"/>
    <w:rsid w:val="6F7E3097"/>
    <w:rsid w:val="6F9F7969"/>
    <w:rsid w:val="6FBE43CC"/>
    <w:rsid w:val="7007308C"/>
    <w:rsid w:val="70131A31"/>
    <w:rsid w:val="70266E89"/>
    <w:rsid w:val="70455963"/>
    <w:rsid w:val="70645DE9"/>
    <w:rsid w:val="70776CBE"/>
    <w:rsid w:val="707F0E75"/>
    <w:rsid w:val="70841A5F"/>
    <w:rsid w:val="709F4389"/>
    <w:rsid w:val="70A02B99"/>
    <w:rsid w:val="70A15996"/>
    <w:rsid w:val="70A307A5"/>
    <w:rsid w:val="70AD6FF9"/>
    <w:rsid w:val="70CC1BE0"/>
    <w:rsid w:val="70F058CE"/>
    <w:rsid w:val="710B095A"/>
    <w:rsid w:val="71285068"/>
    <w:rsid w:val="713B6E93"/>
    <w:rsid w:val="71593474"/>
    <w:rsid w:val="71600CA6"/>
    <w:rsid w:val="71A768D5"/>
    <w:rsid w:val="71E4748A"/>
    <w:rsid w:val="71F43E08"/>
    <w:rsid w:val="72111FA0"/>
    <w:rsid w:val="72133F6A"/>
    <w:rsid w:val="721970A7"/>
    <w:rsid w:val="722F2426"/>
    <w:rsid w:val="72646574"/>
    <w:rsid w:val="72693B8A"/>
    <w:rsid w:val="72AE33B3"/>
    <w:rsid w:val="72B312A9"/>
    <w:rsid w:val="72B6607D"/>
    <w:rsid w:val="72B83470"/>
    <w:rsid w:val="72BC0C11"/>
    <w:rsid w:val="72BC2D58"/>
    <w:rsid w:val="72CA46A5"/>
    <w:rsid w:val="72F95A8E"/>
    <w:rsid w:val="73124222"/>
    <w:rsid w:val="731955B0"/>
    <w:rsid w:val="73243F55"/>
    <w:rsid w:val="73257E81"/>
    <w:rsid w:val="7355410F"/>
    <w:rsid w:val="7399224D"/>
    <w:rsid w:val="73A8656E"/>
    <w:rsid w:val="73C3551C"/>
    <w:rsid w:val="73D47729"/>
    <w:rsid w:val="740A314B"/>
    <w:rsid w:val="74240D16"/>
    <w:rsid w:val="74286545"/>
    <w:rsid w:val="744321B9"/>
    <w:rsid w:val="744523D5"/>
    <w:rsid w:val="7450198C"/>
    <w:rsid w:val="745D327B"/>
    <w:rsid w:val="746F2FAE"/>
    <w:rsid w:val="748E79EE"/>
    <w:rsid w:val="74AC5FB0"/>
    <w:rsid w:val="74DF6386"/>
    <w:rsid w:val="74E120FE"/>
    <w:rsid w:val="74E7523A"/>
    <w:rsid w:val="75104791"/>
    <w:rsid w:val="753A7A60"/>
    <w:rsid w:val="753C7334"/>
    <w:rsid w:val="755C1784"/>
    <w:rsid w:val="7561323F"/>
    <w:rsid w:val="7581743D"/>
    <w:rsid w:val="75A629FF"/>
    <w:rsid w:val="75CE1F56"/>
    <w:rsid w:val="761262E7"/>
    <w:rsid w:val="761B33ED"/>
    <w:rsid w:val="761E7BBA"/>
    <w:rsid w:val="76607F98"/>
    <w:rsid w:val="76636B42"/>
    <w:rsid w:val="76AE0F04"/>
    <w:rsid w:val="76B566AC"/>
    <w:rsid w:val="76D637B8"/>
    <w:rsid w:val="76F771B9"/>
    <w:rsid w:val="770E6B49"/>
    <w:rsid w:val="7711659E"/>
    <w:rsid w:val="77130569"/>
    <w:rsid w:val="7730111A"/>
    <w:rsid w:val="7756509B"/>
    <w:rsid w:val="776A3931"/>
    <w:rsid w:val="778B42C3"/>
    <w:rsid w:val="77935205"/>
    <w:rsid w:val="779C055E"/>
    <w:rsid w:val="77CA386E"/>
    <w:rsid w:val="77E45A61"/>
    <w:rsid w:val="78276D39"/>
    <w:rsid w:val="78574485"/>
    <w:rsid w:val="7878641F"/>
    <w:rsid w:val="788A61F5"/>
    <w:rsid w:val="788F3C1F"/>
    <w:rsid w:val="789722CD"/>
    <w:rsid w:val="78A13EEA"/>
    <w:rsid w:val="797F1EE5"/>
    <w:rsid w:val="798E037A"/>
    <w:rsid w:val="7993773F"/>
    <w:rsid w:val="79A84B20"/>
    <w:rsid w:val="79BF6786"/>
    <w:rsid w:val="79C922CD"/>
    <w:rsid w:val="79DA711C"/>
    <w:rsid w:val="79F70218"/>
    <w:rsid w:val="7A02547E"/>
    <w:rsid w:val="7A1D05C0"/>
    <w:rsid w:val="7A224071"/>
    <w:rsid w:val="7A2E73CC"/>
    <w:rsid w:val="7A3939FA"/>
    <w:rsid w:val="7A410F49"/>
    <w:rsid w:val="7A5C3FD5"/>
    <w:rsid w:val="7A8C4CBB"/>
    <w:rsid w:val="7AA716F4"/>
    <w:rsid w:val="7ABF39CE"/>
    <w:rsid w:val="7AC53928"/>
    <w:rsid w:val="7ACF47A6"/>
    <w:rsid w:val="7B072192"/>
    <w:rsid w:val="7B0E3521"/>
    <w:rsid w:val="7B917CAE"/>
    <w:rsid w:val="7B95154C"/>
    <w:rsid w:val="7BC6370B"/>
    <w:rsid w:val="7BCB4BEA"/>
    <w:rsid w:val="7BF07693"/>
    <w:rsid w:val="7BFB54A5"/>
    <w:rsid w:val="7BFD7BB8"/>
    <w:rsid w:val="7C266648"/>
    <w:rsid w:val="7C273F54"/>
    <w:rsid w:val="7C2B0102"/>
    <w:rsid w:val="7C386AE4"/>
    <w:rsid w:val="7C635AEE"/>
    <w:rsid w:val="7C683105"/>
    <w:rsid w:val="7C6B1F8D"/>
    <w:rsid w:val="7CBE516E"/>
    <w:rsid w:val="7CFD32C7"/>
    <w:rsid w:val="7D0B583E"/>
    <w:rsid w:val="7D23702C"/>
    <w:rsid w:val="7D474AC8"/>
    <w:rsid w:val="7D4C0330"/>
    <w:rsid w:val="7D567401"/>
    <w:rsid w:val="7D5D078F"/>
    <w:rsid w:val="7D684929"/>
    <w:rsid w:val="7D787377"/>
    <w:rsid w:val="7D9C12B8"/>
    <w:rsid w:val="7DA0242A"/>
    <w:rsid w:val="7DB55ED6"/>
    <w:rsid w:val="7DF779F0"/>
    <w:rsid w:val="7E2272E3"/>
    <w:rsid w:val="7E4159BB"/>
    <w:rsid w:val="7E4B4A8C"/>
    <w:rsid w:val="7E5F0760"/>
    <w:rsid w:val="7E7C64BF"/>
    <w:rsid w:val="7EBC14E6"/>
    <w:rsid w:val="7EF0118F"/>
    <w:rsid w:val="7EF90044"/>
    <w:rsid w:val="7F3E014D"/>
    <w:rsid w:val="7F58120E"/>
    <w:rsid w:val="7F674754"/>
    <w:rsid w:val="7F8244DD"/>
    <w:rsid w:val="7FB36445"/>
    <w:rsid w:val="7FC00B62"/>
    <w:rsid w:val="7FE9455C"/>
    <w:rsid w:val="7FEE56CF"/>
    <w:rsid w:val="7FFF5B2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99" w:semiHidden="0" w:name="toc 1"/>
    <w:lsdException w:qFormat="1" w:unhideWhenUsed="0" w:uiPriority="99" w:name="toc 2"/>
    <w:lsdException w:qFormat="1" w:unhideWhenUsed="0" w:uiPriority="99" w:semiHidden="0"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iPriority="35" w:name="caption" w:locked="1"/>
    <w:lsdException w:qFormat="1" w:unhideWhenUsed="0" w:uiPriority="99" w:name="table of figures"/>
    <w:lsdException w:uiPriority="99" w:name="envelope address" w:locked="1"/>
    <w:lsdException w:qFormat="1" w:unhideWhenUsed="0" w:uiPriority="99" w:semiHidden="0" w:name="envelope return" w:locked="1"/>
    <w:lsdException w:qFormat="1" w:unhideWhenUsed="0" w:uiPriority="99" w:name="footnote reference"/>
    <w:lsdException w:qFormat="1" w:unhideWhenUsed="0" w:uiPriority="99" w:name="annotation reference"/>
    <w:lsdException w:qFormat="1" w:unhideWhenUsed="0" w:uiPriority="99" w:semiHidden="0" w:name="line number"/>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qFormat="1" w:unhideWhenUsed="0" w:uiPriority="99" w:semiHidden="0"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4"/>
      <w:szCs w:val="24"/>
      <w:lang w:val="en-US" w:eastAsia="zh-CN" w:bidi="ar-SA"/>
    </w:rPr>
  </w:style>
  <w:style w:type="paragraph" w:styleId="3">
    <w:name w:val="heading 1"/>
    <w:basedOn w:val="1"/>
    <w:next w:val="1"/>
    <w:link w:val="66"/>
    <w:qFormat/>
    <w:uiPriority w:val="99"/>
    <w:pPr>
      <w:keepNext/>
      <w:keepLines/>
      <w:spacing w:before="340" w:after="330" w:line="578" w:lineRule="auto"/>
      <w:outlineLvl w:val="0"/>
    </w:pPr>
    <w:rPr>
      <w:rFonts w:eastAsia="楷体_GB2312"/>
      <w:b/>
      <w:bCs/>
      <w:kern w:val="44"/>
      <w:sz w:val="20"/>
      <w:szCs w:val="20"/>
    </w:rPr>
  </w:style>
  <w:style w:type="paragraph" w:styleId="4">
    <w:name w:val="heading 2"/>
    <w:basedOn w:val="1"/>
    <w:next w:val="1"/>
    <w:link w:val="67"/>
    <w:qFormat/>
    <w:uiPriority w:val="99"/>
    <w:pPr>
      <w:keepNext/>
      <w:keepLines/>
      <w:overflowPunct w:val="0"/>
      <w:adjustRightInd w:val="0"/>
      <w:jc w:val="left"/>
      <w:textAlignment w:val="baseline"/>
      <w:outlineLvl w:val="1"/>
    </w:pPr>
    <w:rPr>
      <w:rFonts w:ascii="宋体" w:hAnsi="宋体" w:eastAsia="楷体_GB2312"/>
      <w:b/>
      <w:bCs/>
      <w:kern w:val="0"/>
      <w:sz w:val="20"/>
      <w:szCs w:val="20"/>
    </w:rPr>
  </w:style>
  <w:style w:type="paragraph" w:styleId="5">
    <w:name w:val="heading 3"/>
    <w:basedOn w:val="1"/>
    <w:next w:val="1"/>
    <w:link w:val="68"/>
    <w:qFormat/>
    <w:uiPriority w:val="99"/>
    <w:pPr>
      <w:keepNext/>
      <w:keepLines/>
      <w:adjustRightInd w:val="0"/>
      <w:jc w:val="left"/>
      <w:textAlignment w:val="baseline"/>
      <w:outlineLvl w:val="2"/>
    </w:pPr>
    <w:rPr>
      <w:rFonts w:eastAsia="楷体_GB2312"/>
      <w:b/>
      <w:bCs/>
      <w:kern w:val="0"/>
      <w:sz w:val="20"/>
      <w:szCs w:val="20"/>
    </w:rPr>
  </w:style>
  <w:style w:type="paragraph" w:styleId="6">
    <w:name w:val="heading 4"/>
    <w:basedOn w:val="1"/>
    <w:next w:val="1"/>
    <w:link w:val="69"/>
    <w:qFormat/>
    <w:uiPriority w:val="99"/>
    <w:pPr>
      <w:keepNext/>
      <w:keepLines/>
      <w:spacing w:before="280" w:after="290" w:line="376" w:lineRule="auto"/>
      <w:outlineLvl w:val="3"/>
    </w:pPr>
    <w:rPr>
      <w:rFonts w:ascii="Cambria" w:hAnsi="Cambria" w:eastAsia="宋体"/>
      <w:b/>
      <w:bCs/>
      <w:kern w:val="0"/>
      <w:sz w:val="28"/>
      <w:szCs w:val="28"/>
    </w:rPr>
  </w:style>
  <w:style w:type="paragraph" w:styleId="7">
    <w:name w:val="heading 5"/>
    <w:basedOn w:val="1"/>
    <w:next w:val="2"/>
    <w:link w:val="70"/>
    <w:qFormat/>
    <w:uiPriority w:val="99"/>
    <w:pPr>
      <w:keepNext/>
      <w:keepLines/>
      <w:numPr>
        <w:ilvl w:val="4"/>
        <w:numId w:val="1"/>
      </w:numPr>
      <w:spacing w:before="280" w:after="290" w:line="376" w:lineRule="auto"/>
      <w:outlineLvl w:val="4"/>
    </w:pPr>
    <w:rPr>
      <w:rFonts w:ascii="宋体" w:eastAsia="宋体"/>
      <w:b/>
      <w:bCs/>
      <w:spacing w:val="-2"/>
      <w:kern w:val="0"/>
      <w:position w:val="-6"/>
      <w:sz w:val="20"/>
      <w:szCs w:val="20"/>
    </w:rPr>
  </w:style>
  <w:style w:type="paragraph" w:styleId="8">
    <w:name w:val="heading 6"/>
    <w:basedOn w:val="1"/>
    <w:next w:val="2"/>
    <w:link w:val="71"/>
    <w:qFormat/>
    <w:uiPriority w:val="99"/>
    <w:pPr>
      <w:keepNext/>
      <w:keepLines/>
      <w:numPr>
        <w:ilvl w:val="5"/>
        <w:numId w:val="1"/>
      </w:numPr>
      <w:spacing w:before="240" w:after="64" w:line="320" w:lineRule="auto"/>
      <w:outlineLvl w:val="5"/>
    </w:pPr>
    <w:rPr>
      <w:rFonts w:ascii="Arial" w:hAnsi="Arial" w:eastAsia="黑体"/>
      <w:b/>
      <w:bCs/>
      <w:spacing w:val="-2"/>
      <w:kern w:val="0"/>
      <w:position w:val="-6"/>
      <w:sz w:val="20"/>
      <w:szCs w:val="20"/>
    </w:rPr>
  </w:style>
  <w:style w:type="paragraph" w:styleId="9">
    <w:name w:val="heading 7"/>
    <w:basedOn w:val="1"/>
    <w:next w:val="2"/>
    <w:link w:val="72"/>
    <w:qFormat/>
    <w:uiPriority w:val="99"/>
    <w:pPr>
      <w:keepNext/>
      <w:keepLines/>
      <w:numPr>
        <w:ilvl w:val="6"/>
        <w:numId w:val="1"/>
      </w:numPr>
      <w:spacing w:before="240" w:after="64" w:line="320" w:lineRule="auto"/>
      <w:outlineLvl w:val="6"/>
    </w:pPr>
    <w:rPr>
      <w:rFonts w:ascii="宋体" w:eastAsia="宋体"/>
      <w:b/>
      <w:bCs/>
      <w:spacing w:val="-2"/>
      <w:kern w:val="0"/>
      <w:position w:val="-6"/>
      <w:sz w:val="20"/>
      <w:szCs w:val="20"/>
    </w:rPr>
  </w:style>
  <w:style w:type="paragraph" w:styleId="10">
    <w:name w:val="heading 8"/>
    <w:basedOn w:val="1"/>
    <w:next w:val="2"/>
    <w:link w:val="73"/>
    <w:qFormat/>
    <w:uiPriority w:val="99"/>
    <w:pPr>
      <w:keepNext/>
      <w:keepLines/>
      <w:numPr>
        <w:ilvl w:val="7"/>
        <w:numId w:val="1"/>
      </w:numPr>
      <w:spacing w:before="240" w:after="64" w:line="320" w:lineRule="auto"/>
      <w:outlineLvl w:val="7"/>
    </w:pPr>
    <w:rPr>
      <w:rFonts w:ascii="Arial" w:hAnsi="Arial" w:eastAsia="黑体"/>
      <w:spacing w:val="-2"/>
      <w:kern w:val="0"/>
      <w:position w:val="-6"/>
      <w:sz w:val="20"/>
      <w:szCs w:val="20"/>
    </w:rPr>
  </w:style>
  <w:style w:type="paragraph" w:styleId="11">
    <w:name w:val="heading 9"/>
    <w:basedOn w:val="1"/>
    <w:next w:val="2"/>
    <w:link w:val="74"/>
    <w:qFormat/>
    <w:uiPriority w:val="99"/>
    <w:pPr>
      <w:keepNext/>
      <w:keepLines/>
      <w:numPr>
        <w:ilvl w:val="8"/>
        <w:numId w:val="1"/>
      </w:numPr>
      <w:spacing w:before="240" w:after="64" w:line="320" w:lineRule="auto"/>
      <w:outlineLvl w:val="8"/>
    </w:pPr>
    <w:rPr>
      <w:rFonts w:ascii="Arial" w:hAnsi="Arial" w:eastAsia="黑体"/>
      <w:spacing w:val="-2"/>
      <w:kern w:val="0"/>
      <w:position w:val="-6"/>
      <w:sz w:val="20"/>
      <w:szCs w:val="20"/>
    </w:rPr>
  </w:style>
  <w:style w:type="character" w:default="1" w:styleId="52">
    <w:name w:val="Default Paragraph Font"/>
    <w:semiHidden/>
    <w:qFormat/>
    <w:uiPriority w:val="99"/>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93"/>
    <w:qFormat/>
    <w:uiPriority w:val="99"/>
    <w:pPr>
      <w:adjustRightInd w:val="0"/>
      <w:ind w:firstLine="420"/>
      <w:jc w:val="left"/>
      <w:textAlignment w:val="baseline"/>
    </w:pPr>
    <w:rPr>
      <w:rFonts w:eastAsia="楷体_GB2312"/>
      <w:kern w:val="0"/>
      <w:sz w:val="20"/>
      <w:szCs w:val="20"/>
    </w:rPr>
  </w:style>
  <w:style w:type="paragraph" w:styleId="12">
    <w:name w:val="toc 7"/>
    <w:basedOn w:val="1"/>
    <w:next w:val="1"/>
    <w:semiHidden/>
    <w:qFormat/>
    <w:uiPriority w:val="99"/>
    <w:pPr>
      <w:ind w:left="2520"/>
    </w:pPr>
    <w:rPr>
      <w:rFonts w:eastAsia="楷体_GB2312"/>
      <w:sz w:val="26"/>
      <w:szCs w:val="26"/>
    </w:rPr>
  </w:style>
  <w:style w:type="paragraph" w:styleId="13">
    <w:name w:val="index 8"/>
    <w:basedOn w:val="1"/>
    <w:next w:val="1"/>
    <w:semiHidden/>
    <w:qFormat/>
    <w:uiPriority w:val="99"/>
    <w:pPr>
      <w:ind w:left="2940"/>
    </w:pPr>
    <w:rPr>
      <w:rFonts w:eastAsia="楷体_GB2312"/>
      <w:sz w:val="26"/>
      <w:szCs w:val="26"/>
    </w:rPr>
  </w:style>
  <w:style w:type="paragraph" w:styleId="14">
    <w:name w:val="index 5"/>
    <w:basedOn w:val="1"/>
    <w:next w:val="1"/>
    <w:semiHidden/>
    <w:qFormat/>
    <w:uiPriority w:val="99"/>
    <w:pPr>
      <w:ind w:left="1680"/>
    </w:pPr>
    <w:rPr>
      <w:rFonts w:eastAsia="楷体_GB2312"/>
      <w:sz w:val="26"/>
      <w:szCs w:val="26"/>
    </w:rPr>
  </w:style>
  <w:style w:type="paragraph" w:styleId="15">
    <w:name w:val="Document Map"/>
    <w:basedOn w:val="1"/>
    <w:link w:val="77"/>
    <w:semiHidden/>
    <w:qFormat/>
    <w:uiPriority w:val="99"/>
    <w:pPr>
      <w:shd w:val="clear" w:color="auto" w:fill="000080"/>
    </w:pPr>
    <w:rPr>
      <w:rFonts w:eastAsia="楷体_GB2312"/>
      <w:kern w:val="0"/>
      <w:sz w:val="20"/>
      <w:szCs w:val="20"/>
    </w:rPr>
  </w:style>
  <w:style w:type="paragraph" w:styleId="16">
    <w:name w:val="annotation text"/>
    <w:basedOn w:val="1"/>
    <w:link w:val="78"/>
    <w:semiHidden/>
    <w:qFormat/>
    <w:uiPriority w:val="99"/>
    <w:pPr>
      <w:jc w:val="left"/>
    </w:pPr>
  </w:style>
  <w:style w:type="paragraph" w:styleId="17">
    <w:name w:val="index 6"/>
    <w:basedOn w:val="1"/>
    <w:next w:val="1"/>
    <w:semiHidden/>
    <w:qFormat/>
    <w:uiPriority w:val="99"/>
    <w:pPr>
      <w:ind w:left="2100"/>
    </w:pPr>
    <w:rPr>
      <w:rFonts w:eastAsia="楷体_GB2312"/>
      <w:sz w:val="26"/>
      <w:szCs w:val="26"/>
    </w:rPr>
  </w:style>
  <w:style w:type="paragraph" w:styleId="18">
    <w:name w:val="Body Text"/>
    <w:basedOn w:val="1"/>
    <w:next w:val="1"/>
    <w:link w:val="79"/>
    <w:qFormat/>
    <w:uiPriority w:val="99"/>
    <w:pPr>
      <w:spacing w:line="400" w:lineRule="exact"/>
    </w:pPr>
    <w:rPr>
      <w:rFonts w:ascii="楷体_GB2312" w:eastAsia="楷体_GB2312"/>
      <w:kern w:val="0"/>
      <w:sz w:val="20"/>
      <w:szCs w:val="20"/>
    </w:rPr>
  </w:style>
  <w:style w:type="paragraph" w:styleId="19">
    <w:name w:val="Body Text Indent"/>
    <w:basedOn w:val="1"/>
    <w:next w:val="20"/>
    <w:link w:val="124"/>
    <w:qFormat/>
    <w:uiPriority w:val="99"/>
    <w:pPr>
      <w:spacing w:line="520" w:lineRule="exact"/>
      <w:ind w:left="570"/>
    </w:pPr>
    <w:rPr>
      <w:rFonts w:eastAsia="宋体"/>
      <w:kern w:val="0"/>
    </w:rPr>
  </w:style>
  <w:style w:type="paragraph" w:styleId="20">
    <w:name w:val="envelope return"/>
    <w:basedOn w:val="1"/>
    <w:qFormat/>
    <w:locked/>
    <w:uiPriority w:val="99"/>
    <w:pPr>
      <w:snapToGrid w:val="0"/>
    </w:pPr>
    <w:rPr>
      <w:rFonts w:ascii="Arial" w:hAnsi="Arial"/>
    </w:rPr>
  </w:style>
  <w:style w:type="paragraph" w:styleId="21">
    <w:name w:val="Block Text"/>
    <w:basedOn w:val="1"/>
    <w:qFormat/>
    <w:locked/>
    <w:uiPriority w:val="99"/>
    <w:pPr>
      <w:autoSpaceDE w:val="0"/>
      <w:autoSpaceDN w:val="0"/>
      <w:adjustRightInd w:val="0"/>
      <w:spacing w:line="300" w:lineRule="auto"/>
      <w:ind w:left="29" w:leftChars="12" w:right="6" w:firstLine="560" w:firstLineChars="200"/>
    </w:pPr>
    <w:rPr>
      <w:rFonts w:eastAsia="宋体"/>
      <w:kern w:val="0"/>
      <w:sz w:val="28"/>
      <w:szCs w:val="20"/>
    </w:rPr>
  </w:style>
  <w:style w:type="paragraph" w:styleId="22">
    <w:name w:val="index 4"/>
    <w:basedOn w:val="1"/>
    <w:next w:val="1"/>
    <w:semiHidden/>
    <w:qFormat/>
    <w:uiPriority w:val="99"/>
    <w:pPr>
      <w:ind w:left="1260"/>
    </w:pPr>
    <w:rPr>
      <w:rFonts w:eastAsia="楷体_GB2312"/>
      <w:sz w:val="26"/>
      <w:szCs w:val="26"/>
    </w:rPr>
  </w:style>
  <w:style w:type="paragraph" w:styleId="23">
    <w:name w:val="toc 5"/>
    <w:basedOn w:val="1"/>
    <w:next w:val="1"/>
    <w:semiHidden/>
    <w:qFormat/>
    <w:uiPriority w:val="99"/>
    <w:pPr>
      <w:ind w:left="1680"/>
    </w:pPr>
    <w:rPr>
      <w:rFonts w:eastAsia="楷体_GB2312"/>
      <w:sz w:val="26"/>
      <w:szCs w:val="26"/>
    </w:rPr>
  </w:style>
  <w:style w:type="paragraph" w:styleId="24">
    <w:name w:val="toc 3"/>
    <w:basedOn w:val="1"/>
    <w:next w:val="1"/>
    <w:qFormat/>
    <w:uiPriority w:val="99"/>
    <w:pPr>
      <w:ind w:left="840"/>
    </w:pPr>
    <w:rPr>
      <w:rFonts w:eastAsia="楷体_GB2312"/>
      <w:sz w:val="26"/>
      <w:szCs w:val="26"/>
    </w:rPr>
  </w:style>
  <w:style w:type="paragraph" w:styleId="25">
    <w:name w:val="Plain Text"/>
    <w:basedOn w:val="1"/>
    <w:link w:val="120"/>
    <w:qFormat/>
    <w:uiPriority w:val="99"/>
    <w:rPr>
      <w:rFonts w:ascii="宋体" w:hAnsi="Courier New" w:eastAsia="宋体"/>
      <w:kern w:val="0"/>
      <w:sz w:val="21"/>
      <w:szCs w:val="21"/>
    </w:rPr>
  </w:style>
  <w:style w:type="paragraph" w:styleId="26">
    <w:name w:val="toc 8"/>
    <w:basedOn w:val="1"/>
    <w:next w:val="1"/>
    <w:semiHidden/>
    <w:qFormat/>
    <w:uiPriority w:val="99"/>
    <w:pPr>
      <w:ind w:left="2940"/>
    </w:pPr>
    <w:rPr>
      <w:rFonts w:eastAsia="楷体_GB2312"/>
      <w:sz w:val="26"/>
      <w:szCs w:val="26"/>
    </w:rPr>
  </w:style>
  <w:style w:type="paragraph" w:styleId="27">
    <w:name w:val="index 3"/>
    <w:basedOn w:val="1"/>
    <w:next w:val="1"/>
    <w:semiHidden/>
    <w:qFormat/>
    <w:uiPriority w:val="99"/>
    <w:pPr>
      <w:ind w:left="840"/>
    </w:pPr>
    <w:rPr>
      <w:rFonts w:eastAsia="楷体_GB2312"/>
      <w:sz w:val="26"/>
      <w:szCs w:val="26"/>
    </w:rPr>
  </w:style>
  <w:style w:type="paragraph" w:styleId="28">
    <w:name w:val="Date"/>
    <w:basedOn w:val="1"/>
    <w:next w:val="1"/>
    <w:link w:val="81"/>
    <w:qFormat/>
    <w:uiPriority w:val="99"/>
    <w:rPr>
      <w:rFonts w:ascii="宋体" w:hAnsi="宋体" w:eastAsia="楷体_GB2312"/>
      <w:kern w:val="0"/>
      <w:sz w:val="20"/>
      <w:szCs w:val="20"/>
    </w:rPr>
  </w:style>
  <w:style w:type="paragraph" w:styleId="29">
    <w:name w:val="Body Text Indent 2"/>
    <w:basedOn w:val="1"/>
    <w:link w:val="82"/>
    <w:qFormat/>
    <w:uiPriority w:val="99"/>
    <w:pPr>
      <w:tabs>
        <w:tab w:val="left" w:pos="0"/>
      </w:tabs>
      <w:spacing w:line="360" w:lineRule="auto"/>
      <w:ind w:firstLine="502" w:firstLineChars="209"/>
    </w:pPr>
    <w:rPr>
      <w:rFonts w:ascii="宋体" w:eastAsia="宋体"/>
      <w:b/>
      <w:bCs/>
      <w:kern w:val="0"/>
      <w:sz w:val="20"/>
      <w:szCs w:val="20"/>
    </w:rPr>
  </w:style>
  <w:style w:type="paragraph" w:styleId="30">
    <w:name w:val="Balloon Text"/>
    <w:basedOn w:val="1"/>
    <w:link w:val="83"/>
    <w:semiHidden/>
    <w:qFormat/>
    <w:uiPriority w:val="99"/>
    <w:rPr>
      <w:rFonts w:eastAsia="楷体_GB2312"/>
      <w:kern w:val="0"/>
      <w:sz w:val="18"/>
      <w:szCs w:val="18"/>
    </w:rPr>
  </w:style>
  <w:style w:type="paragraph" w:styleId="31">
    <w:name w:val="footer"/>
    <w:basedOn w:val="1"/>
    <w:link w:val="111"/>
    <w:qFormat/>
    <w:uiPriority w:val="99"/>
    <w:pPr>
      <w:tabs>
        <w:tab w:val="center" w:pos="4153"/>
        <w:tab w:val="right" w:pos="8306"/>
      </w:tabs>
      <w:snapToGrid w:val="0"/>
      <w:jc w:val="left"/>
    </w:pPr>
    <w:rPr>
      <w:rFonts w:eastAsia="宋体"/>
      <w:kern w:val="0"/>
      <w:sz w:val="18"/>
      <w:szCs w:val="18"/>
    </w:rPr>
  </w:style>
  <w:style w:type="paragraph" w:styleId="32">
    <w:name w:val="header"/>
    <w:basedOn w:val="1"/>
    <w:link w:val="114"/>
    <w:qFormat/>
    <w:uiPriority w:val="99"/>
    <w:pPr>
      <w:pBdr>
        <w:bottom w:val="single" w:color="auto" w:sz="6" w:space="1"/>
      </w:pBdr>
      <w:tabs>
        <w:tab w:val="center" w:pos="4153"/>
        <w:tab w:val="right" w:pos="8306"/>
      </w:tabs>
      <w:snapToGrid w:val="0"/>
      <w:jc w:val="center"/>
    </w:pPr>
    <w:rPr>
      <w:rFonts w:eastAsia="宋体"/>
      <w:kern w:val="0"/>
      <w:sz w:val="18"/>
      <w:szCs w:val="18"/>
    </w:rPr>
  </w:style>
  <w:style w:type="paragraph" w:styleId="33">
    <w:name w:val="toc 1"/>
    <w:basedOn w:val="1"/>
    <w:next w:val="1"/>
    <w:qFormat/>
    <w:uiPriority w:val="99"/>
    <w:pPr>
      <w:adjustRightInd w:val="0"/>
      <w:jc w:val="left"/>
      <w:textAlignment w:val="baseline"/>
    </w:pPr>
    <w:rPr>
      <w:rFonts w:eastAsia="楷体_GB2312"/>
    </w:rPr>
  </w:style>
  <w:style w:type="paragraph" w:styleId="34">
    <w:name w:val="toc 4"/>
    <w:basedOn w:val="1"/>
    <w:next w:val="1"/>
    <w:semiHidden/>
    <w:qFormat/>
    <w:uiPriority w:val="99"/>
    <w:pPr>
      <w:ind w:left="1260"/>
    </w:pPr>
    <w:rPr>
      <w:rFonts w:eastAsia="楷体_GB2312"/>
      <w:sz w:val="26"/>
      <w:szCs w:val="26"/>
    </w:rPr>
  </w:style>
  <w:style w:type="paragraph" w:styleId="35">
    <w:name w:val="index heading"/>
    <w:basedOn w:val="1"/>
    <w:next w:val="36"/>
    <w:semiHidden/>
    <w:qFormat/>
    <w:uiPriority w:val="99"/>
    <w:rPr>
      <w:rFonts w:eastAsia="楷体_GB2312"/>
      <w:sz w:val="26"/>
      <w:szCs w:val="26"/>
    </w:rPr>
  </w:style>
  <w:style w:type="paragraph" w:styleId="36">
    <w:name w:val="index 1"/>
    <w:basedOn w:val="1"/>
    <w:next w:val="1"/>
    <w:semiHidden/>
    <w:qFormat/>
    <w:uiPriority w:val="99"/>
    <w:rPr>
      <w:rFonts w:eastAsia="楷体_GB2312"/>
      <w:sz w:val="26"/>
      <w:szCs w:val="26"/>
    </w:rPr>
  </w:style>
  <w:style w:type="paragraph" w:styleId="37">
    <w:name w:val="footnote text"/>
    <w:basedOn w:val="1"/>
    <w:link w:val="86"/>
    <w:semiHidden/>
    <w:qFormat/>
    <w:uiPriority w:val="99"/>
    <w:pPr>
      <w:snapToGrid w:val="0"/>
      <w:jc w:val="left"/>
    </w:pPr>
    <w:rPr>
      <w:rFonts w:eastAsia="楷体_GB2312"/>
      <w:kern w:val="0"/>
      <w:sz w:val="20"/>
      <w:szCs w:val="20"/>
    </w:rPr>
  </w:style>
  <w:style w:type="paragraph" w:styleId="38">
    <w:name w:val="toc 6"/>
    <w:basedOn w:val="1"/>
    <w:next w:val="1"/>
    <w:semiHidden/>
    <w:qFormat/>
    <w:uiPriority w:val="99"/>
    <w:pPr>
      <w:ind w:left="2100"/>
    </w:pPr>
    <w:rPr>
      <w:rFonts w:eastAsia="楷体_GB2312"/>
      <w:sz w:val="26"/>
      <w:szCs w:val="26"/>
    </w:rPr>
  </w:style>
  <w:style w:type="paragraph" w:styleId="39">
    <w:name w:val="Body Text Indent 3"/>
    <w:basedOn w:val="1"/>
    <w:link w:val="87"/>
    <w:qFormat/>
    <w:uiPriority w:val="99"/>
    <w:pPr>
      <w:spacing w:line="360" w:lineRule="auto"/>
      <w:ind w:firstLine="617" w:firstLineChars="257"/>
    </w:pPr>
    <w:rPr>
      <w:rFonts w:eastAsia="宋体"/>
      <w:kern w:val="0"/>
      <w:sz w:val="20"/>
      <w:szCs w:val="20"/>
    </w:rPr>
  </w:style>
  <w:style w:type="paragraph" w:styleId="40">
    <w:name w:val="index 7"/>
    <w:basedOn w:val="1"/>
    <w:next w:val="1"/>
    <w:semiHidden/>
    <w:qFormat/>
    <w:uiPriority w:val="99"/>
    <w:pPr>
      <w:ind w:left="2520"/>
    </w:pPr>
    <w:rPr>
      <w:rFonts w:eastAsia="楷体_GB2312"/>
      <w:sz w:val="26"/>
      <w:szCs w:val="26"/>
    </w:rPr>
  </w:style>
  <w:style w:type="paragraph" w:styleId="41">
    <w:name w:val="index 9"/>
    <w:basedOn w:val="1"/>
    <w:next w:val="1"/>
    <w:semiHidden/>
    <w:qFormat/>
    <w:uiPriority w:val="99"/>
    <w:pPr>
      <w:ind w:left="3360"/>
    </w:pPr>
    <w:rPr>
      <w:rFonts w:eastAsia="楷体_GB2312"/>
      <w:sz w:val="26"/>
      <w:szCs w:val="26"/>
    </w:rPr>
  </w:style>
  <w:style w:type="paragraph" w:styleId="42">
    <w:name w:val="table of figures"/>
    <w:basedOn w:val="1"/>
    <w:next w:val="1"/>
    <w:semiHidden/>
    <w:qFormat/>
    <w:uiPriority w:val="99"/>
    <w:pPr>
      <w:adjustRightInd w:val="0"/>
      <w:ind w:left="420" w:hanging="420"/>
      <w:jc w:val="left"/>
      <w:textAlignment w:val="baseline"/>
    </w:pPr>
    <w:rPr>
      <w:rFonts w:eastAsia="楷体_GB2312"/>
      <w:smallCaps/>
    </w:rPr>
  </w:style>
  <w:style w:type="paragraph" w:styleId="43">
    <w:name w:val="toc 2"/>
    <w:basedOn w:val="1"/>
    <w:next w:val="1"/>
    <w:semiHidden/>
    <w:qFormat/>
    <w:uiPriority w:val="99"/>
    <w:pPr>
      <w:ind w:left="420"/>
    </w:pPr>
    <w:rPr>
      <w:rFonts w:eastAsia="楷体_GB2312"/>
      <w:sz w:val="26"/>
      <w:szCs w:val="26"/>
    </w:rPr>
  </w:style>
  <w:style w:type="paragraph" w:styleId="44">
    <w:name w:val="toc 9"/>
    <w:basedOn w:val="1"/>
    <w:next w:val="1"/>
    <w:semiHidden/>
    <w:qFormat/>
    <w:uiPriority w:val="99"/>
    <w:pPr>
      <w:ind w:left="3360"/>
    </w:pPr>
    <w:rPr>
      <w:rFonts w:eastAsia="楷体_GB2312"/>
      <w:sz w:val="26"/>
      <w:szCs w:val="26"/>
    </w:rPr>
  </w:style>
  <w:style w:type="paragraph" w:styleId="45">
    <w:name w:val="HTML Preformatted"/>
    <w:basedOn w:val="1"/>
    <w:link w:val="8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6">
    <w:name w:val="Normal (Web)"/>
    <w:basedOn w:val="1"/>
    <w:qFormat/>
    <w:uiPriority w:val="99"/>
    <w:pPr>
      <w:spacing w:before="100" w:beforeAutospacing="1" w:after="100" w:afterAutospacing="1"/>
      <w:jc w:val="left"/>
    </w:pPr>
    <w:rPr>
      <w:rFonts w:ascii="Calibri" w:hAnsi="Calibri" w:eastAsia="宋体" w:cs="Calibri"/>
      <w:kern w:val="0"/>
    </w:rPr>
  </w:style>
  <w:style w:type="paragraph" w:styleId="47">
    <w:name w:val="index 2"/>
    <w:basedOn w:val="1"/>
    <w:next w:val="1"/>
    <w:semiHidden/>
    <w:qFormat/>
    <w:uiPriority w:val="99"/>
    <w:pPr>
      <w:ind w:left="420"/>
    </w:pPr>
    <w:rPr>
      <w:rFonts w:eastAsia="楷体_GB2312"/>
      <w:sz w:val="26"/>
      <w:szCs w:val="26"/>
    </w:rPr>
  </w:style>
  <w:style w:type="paragraph" w:styleId="48">
    <w:name w:val="annotation subject"/>
    <w:basedOn w:val="16"/>
    <w:next w:val="16"/>
    <w:link w:val="89"/>
    <w:semiHidden/>
    <w:qFormat/>
    <w:uiPriority w:val="99"/>
    <w:rPr>
      <w:rFonts w:eastAsia="楷体_GB2312"/>
      <w:b/>
      <w:bCs/>
      <w:kern w:val="0"/>
      <w:sz w:val="20"/>
      <w:szCs w:val="20"/>
    </w:rPr>
  </w:style>
  <w:style w:type="paragraph" w:styleId="49">
    <w:name w:val="Body Text First Indent 2"/>
    <w:basedOn w:val="19"/>
    <w:next w:val="21"/>
    <w:link w:val="76"/>
    <w:qFormat/>
    <w:locked/>
    <w:uiPriority w:val="99"/>
    <w:pPr>
      <w:ind w:firstLine="420" w:firstLineChars="200"/>
    </w:pPr>
  </w:style>
  <w:style w:type="table" w:styleId="51">
    <w:name w:val="Table Grid"/>
    <w:basedOn w:val="50"/>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basedOn w:val="52"/>
    <w:qFormat/>
    <w:uiPriority w:val="99"/>
    <w:rPr>
      <w:rFonts w:cs="Times New Roman"/>
      <w:b/>
    </w:rPr>
  </w:style>
  <w:style w:type="character" w:styleId="54">
    <w:name w:val="page number"/>
    <w:basedOn w:val="52"/>
    <w:qFormat/>
    <w:uiPriority w:val="99"/>
    <w:rPr>
      <w:rFonts w:cs="Times New Roman"/>
    </w:rPr>
  </w:style>
  <w:style w:type="character" w:styleId="55">
    <w:name w:val="FollowedHyperlink"/>
    <w:basedOn w:val="52"/>
    <w:qFormat/>
    <w:uiPriority w:val="99"/>
    <w:rPr>
      <w:rFonts w:cs="Times New Roman"/>
      <w:color w:val="auto"/>
      <w:u w:val="single"/>
    </w:rPr>
  </w:style>
  <w:style w:type="character" w:styleId="56">
    <w:name w:val="Emphasis"/>
    <w:basedOn w:val="52"/>
    <w:qFormat/>
    <w:uiPriority w:val="99"/>
    <w:rPr>
      <w:rFonts w:cs="Times New Roman"/>
      <w:i/>
    </w:rPr>
  </w:style>
  <w:style w:type="character" w:styleId="57">
    <w:name w:val="line number"/>
    <w:basedOn w:val="52"/>
    <w:qFormat/>
    <w:uiPriority w:val="99"/>
    <w:rPr>
      <w:rFonts w:cs="Times New Roman"/>
    </w:rPr>
  </w:style>
  <w:style w:type="character" w:styleId="58">
    <w:name w:val="HTML Definition"/>
    <w:basedOn w:val="52"/>
    <w:qFormat/>
    <w:uiPriority w:val="99"/>
    <w:rPr>
      <w:rFonts w:cs="Times New Roman"/>
      <w:i/>
    </w:rPr>
  </w:style>
  <w:style w:type="character" w:styleId="59">
    <w:name w:val="Hyperlink"/>
    <w:basedOn w:val="52"/>
    <w:qFormat/>
    <w:uiPriority w:val="99"/>
    <w:rPr>
      <w:rFonts w:cs="Times New Roman"/>
      <w:color w:val="0000FF"/>
      <w:u w:val="single"/>
    </w:rPr>
  </w:style>
  <w:style w:type="character" w:styleId="60">
    <w:name w:val="HTML Code"/>
    <w:basedOn w:val="52"/>
    <w:qFormat/>
    <w:uiPriority w:val="99"/>
    <w:rPr>
      <w:rFonts w:ascii="Menlo" w:hAnsi="Menlo" w:cs="Times New Roman"/>
      <w:color w:val="auto"/>
      <w:sz w:val="21"/>
      <w:shd w:val="clear" w:color="auto" w:fill="auto"/>
    </w:rPr>
  </w:style>
  <w:style w:type="character" w:styleId="61">
    <w:name w:val="annotation reference"/>
    <w:basedOn w:val="52"/>
    <w:semiHidden/>
    <w:qFormat/>
    <w:uiPriority w:val="99"/>
    <w:rPr>
      <w:rFonts w:cs="Times New Roman"/>
      <w:sz w:val="21"/>
    </w:rPr>
  </w:style>
  <w:style w:type="character" w:styleId="62">
    <w:name w:val="HTML Cite"/>
    <w:basedOn w:val="52"/>
    <w:qFormat/>
    <w:uiPriority w:val="99"/>
    <w:rPr>
      <w:rFonts w:cs="Times New Roman"/>
    </w:rPr>
  </w:style>
  <w:style w:type="character" w:styleId="63">
    <w:name w:val="footnote reference"/>
    <w:basedOn w:val="52"/>
    <w:semiHidden/>
    <w:qFormat/>
    <w:uiPriority w:val="99"/>
    <w:rPr>
      <w:rFonts w:cs="Times New Roman"/>
      <w:vertAlign w:val="superscript"/>
    </w:rPr>
  </w:style>
  <w:style w:type="character" w:styleId="64">
    <w:name w:val="HTML Keyboard"/>
    <w:basedOn w:val="52"/>
    <w:qFormat/>
    <w:uiPriority w:val="99"/>
    <w:rPr>
      <w:rFonts w:ascii="Menlo" w:hAnsi="Menlo" w:cs="Times New Roman"/>
      <w:sz w:val="21"/>
    </w:rPr>
  </w:style>
  <w:style w:type="character" w:styleId="65">
    <w:name w:val="HTML Sample"/>
    <w:basedOn w:val="52"/>
    <w:qFormat/>
    <w:uiPriority w:val="99"/>
    <w:rPr>
      <w:rFonts w:ascii="Menlo" w:hAnsi="Menlo" w:cs="Times New Roman"/>
      <w:sz w:val="21"/>
    </w:rPr>
  </w:style>
  <w:style w:type="character" w:customStyle="1" w:styleId="66">
    <w:name w:val="Heading 1 Char"/>
    <w:basedOn w:val="52"/>
    <w:link w:val="3"/>
    <w:qFormat/>
    <w:locked/>
    <w:uiPriority w:val="99"/>
    <w:rPr>
      <w:rFonts w:eastAsia="楷体_GB2312"/>
      <w:b/>
      <w:kern w:val="44"/>
      <w:sz w:val="20"/>
    </w:rPr>
  </w:style>
  <w:style w:type="character" w:customStyle="1" w:styleId="67">
    <w:name w:val="Heading 2 Char"/>
    <w:basedOn w:val="52"/>
    <w:link w:val="4"/>
    <w:qFormat/>
    <w:locked/>
    <w:uiPriority w:val="99"/>
    <w:rPr>
      <w:rFonts w:ascii="宋体" w:hAnsi="宋体" w:eastAsia="楷体_GB2312"/>
      <w:b/>
      <w:sz w:val="20"/>
    </w:rPr>
  </w:style>
  <w:style w:type="character" w:customStyle="1" w:styleId="68">
    <w:name w:val="Heading 3 Char"/>
    <w:basedOn w:val="52"/>
    <w:link w:val="5"/>
    <w:qFormat/>
    <w:locked/>
    <w:uiPriority w:val="99"/>
    <w:rPr>
      <w:rFonts w:eastAsia="楷体_GB2312"/>
      <w:b/>
      <w:sz w:val="20"/>
    </w:rPr>
  </w:style>
  <w:style w:type="character" w:customStyle="1" w:styleId="69">
    <w:name w:val="Heading 4 Char"/>
    <w:basedOn w:val="52"/>
    <w:link w:val="6"/>
    <w:qFormat/>
    <w:locked/>
    <w:uiPriority w:val="99"/>
    <w:rPr>
      <w:rFonts w:ascii="Cambria" w:hAnsi="Cambria" w:eastAsia="宋体"/>
      <w:b/>
      <w:sz w:val="28"/>
    </w:rPr>
  </w:style>
  <w:style w:type="character" w:customStyle="1" w:styleId="70">
    <w:name w:val="Heading 5 Char"/>
    <w:basedOn w:val="52"/>
    <w:link w:val="7"/>
    <w:qFormat/>
    <w:locked/>
    <w:uiPriority w:val="99"/>
    <w:rPr>
      <w:rFonts w:ascii="宋体" w:eastAsia="宋体"/>
      <w:b/>
      <w:spacing w:val="-2"/>
      <w:position w:val="-6"/>
      <w:sz w:val="20"/>
    </w:rPr>
  </w:style>
  <w:style w:type="character" w:customStyle="1" w:styleId="71">
    <w:name w:val="Heading 6 Char"/>
    <w:basedOn w:val="52"/>
    <w:link w:val="8"/>
    <w:qFormat/>
    <w:locked/>
    <w:uiPriority w:val="99"/>
    <w:rPr>
      <w:rFonts w:ascii="Arial" w:hAnsi="Arial" w:eastAsia="黑体"/>
      <w:b/>
      <w:spacing w:val="-2"/>
      <w:position w:val="-6"/>
      <w:sz w:val="20"/>
    </w:rPr>
  </w:style>
  <w:style w:type="character" w:customStyle="1" w:styleId="72">
    <w:name w:val="Heading 7 Char"/>
    <w:basedOn w:val="52"/>
    <w:link w:val="9"/>
    <w:qFormat/>
    <w:locked/>
    <w:uiPriority w:val="99"/>
    <w:rPr>
      <w:rFonts w:ascii="宋体" w:eastAsia="宋体"/>
      <w:b/>
      <w:spacing w:val="-2"/>
      <w:position w:val="-6"/>
      <w:sz w:val="20"/>
    </w:rPr>
  </w:style>
  <w:style w:type="character" w:customStyle="1" w:styleId="73">
    <w:name w:val="Heading 8 Char"/>
    <w:basedOn w:val="52"/>
    <w:link w:val="10"/>
    <w:qFormat/>
    <w:locked/>
    <w:uiPriority w:val="99"/>
    <w:rPr>
      <w:rFonts w:ascii="Arial" w:hAnsi="Arial" w:eastAsia="黑体"/>
      <w:spacing w:val="-2"/>
      <w:position w:val="-6"/>
      <w:sz w:val="20"/>
    </w:rPr>
  </w:style>
  <w:style w:type="character" w:customStyle="1" w:styleId="74">
    <w:name w:val="Heading 9 Char"/>
    <w:basedOn w:val="52"/>
    <w:link w:val="11"/>
    <w:qFormat/>
    <w:locked/>
    <w:uiPriority w:val="99"/>
    <w:rPr>
      <w:rFonts w:ascii="Arial" w:hAnsi="Arial" w:eastAsia="黑体"/>
      <w:spacing w:val="-2"/>
      <w:position w:val="-6"/>
      <w:sz w:val="20"/>
    </w:rPr>
  </w:style>
  <w:style w:type="character" w:customStyle="1" w:styleId="75">
    <w:name w:val="Body Text Indent Char"/>
    <w:basedOn w:val="52"/>
    <w:link w:val="19"/>
    <w:qFormat/>
    <w:locked/>
    <w:uiPriority w:val="99"/>
    <w:rPr>
      <w:rFonts w:ascii="方正仿宋简体" w:hAnsi="创艺简仿宋" w:eastAsia="方正仿宋简体"/>
    </w:rPr>
  </w:style>
  <w:style w:type="character" w:customStyle="1" w:styleId="76">
    <w:name w:val="Body Text First Indent 2 Char"/>
    <w:basedOn w:val="75"/>
    <w:link w:val="49"/>
    <w:semiHidden/>
    <w:qFormat/>
    <w:uiPriority w:val="99"/>
    <w:rPr>
      <w:rFonts w:eastAsia="仿宋_GB2312"/>
      <w:sz w:val="24"/>
      <w:szCs w:val="24"/>
    </w:rPr>
  </w:style>
  <w:style w:type="character" w:customStyle="1" w:styleId="77">
    <w:name w:val="Document Map Char"/>
    <w:basedOn w:val="52"/>
    <w:link w:val="15"/>
    <w:semiHidden/>
    <w:qFormat/>
    <w:locked/>
    <w:uiPriority w:val="99"/>
    <w:rPr>
      <w:rFonts w:eastAsia="楷体_GB2312"/>
      <w:sz w:val="20"/>
      <w:shd w:val="clear" w:color="auto" w:fill="000080"/>
    </w:rPr>
  </w:style>
  <w:style w:type="character" w:customStyle="1" w:styleId="78">
    <w:name w:val="Comment Text Char"/>
    <w:basedOn w:val="52"/>
    <w:link w:val="16"/>
    <w:semiHidden/>
    <w:qFormat/>
    <w:locked/>
    <w:uiPriority w:val="99"/>
    <w:rPr>
      <w:rFonts w:cs="Times New Roman"/>
    </w:rPr>
  </w:style>
  <w:style w:type="character" w:customStyle="1" w:styleId="79">
    <w:name w:val="Body Text Char"/>
    <w:basedOn w:val="52"/>
    <w:link w:val="18"/>
    <w:qFormat/>
    <w:locked/>
    <w:uiPriority w:val="99"/>
    <w:rPr>
      <w:rFonts w:ascii="楷体_GB2312" w:eastAsia="楷体_GB2312"/>
      <w:sz w:val="20"/>
    </w:rPr>
  </w:style>
  <w:style w:type="character" w:customStyle="1" w:styleId="80">
    <w:name w:val="Plain Text Char"/>
    <w:basedOn w:val="52"/>
    <w:link w:val="25"/>
    <w:qFormat/>
    <w:locked/>
    <w:uiPriority w:val="99"/>
    <w:rPr>
      <w:rFonts w:ascii="宋体" w:hAnsi="Courier New" w:eastAsia="楷体_GB2312"/>
      <w:sz w:val="26"/>
    </w:rPr>
  </w:style>
  <w:style w:type="character" w:customStyle="1" w:styleId="81">
    <w:name w:val="Date Char"/>
    <w:basedOn w:val="52"/>
    <w:link w:val="28"/>
    <w:qFormat/>
    <w:locked/>
    <w:uiPriority w:val="99"/>
    <w:rPr>
      <w:rFonts w:ascii="宋体" w:hAnsi="宋体" w:eastAsia="楷体_GB2312"/>
      <w:sz w:val="20"/>
    </w:rPr>
  </w:style>
  <w:style w:type="character" w:customStyle="1" w:styleId="82">
    <w:name w:val="Body Text Indent 2 Char"/>
    <w:basedOn w:val="52"/>
    <w:link w:val="29"/>
    <w:qFormat/>
    <w:locked/>
    <w:uiPriority w:val="99"/>
    <w:rPr>
      <w:rFonts w:ascii="宋体" w:eastAsia="宋体"/>
      <w:b/>
      <w:sz w:val="20"/>
    </w:rPr>
  </w:style>
  <w:style w:type="character" w:customStyle="1" w:styleId="83">
    <w:name w:val="Balloon Text Char"/>
    <w:basedOn w:val="52"/>
    <w:link w:val="30"/>
    <w:semiHidden/>
    <w:qFormat/>
    <w:locked/>
    <w:uiPriority w:val="99"/>
    <w:rPr>
      <w:rFonts w:eastAsia="楷体_GB2312"/>
      <w:sz w:val="18"/>
    </w:rPr>
  </w:style>
  <w:style w:type="character" w:customStyle="1" w:styleId="84">
    <w:name w:val="Footer Char"/>
    <w:basedOn w:val="52"/>
    <w:link w:val="31"/>
    <w:qFormat/>
    <w:locked/>
    <w:uiPriority w:val="99"/>
    <w:rPr>
      <w:rFonts w:eastAsia="楷体_GB2312"/>
      <w:sz w:val="18"/>
    </w:rPr>
  </w:style>
  <w:style w:type="character" w:customStyle="1" w:styleId="85">
    <w:name w:val="Header Char"/>
    <w:basedOn w:val="52"/>
    <w:link w:val="32"/>
    <w:qFormat/>
    <w:locked/>
    <w:uiPriority w:val="99"/>
    <w:rPr>
      <w:rFonts w:eastAsia="楷体_GB2312"/>
      <w:sz w:val="18"/>
    </w:rPr>
  </w:style>
  <w:style w:type="character" w:customStyle="1" w:styleId="86">
    <w:name w:val="Footnote Text Char"/>
    <w:basedOn w:val="52"/>
    <w:link w:val="37"/>
    <w:semiHidden/>
    <w:qFormat/>
    <w:locked/>
    <w:uiPriority w:val="99"/>
    <w:rPr>
      <w:rFonts w:eastAsia="楷体_GB2312"/>
      <w:sz w:val="20"/>
    </w:rPr>
  </w:style>
  <w:style w:type="character" w:customStyle="1" w:styleId="87">
    <w:name w:val="Body Text Indent 3 Char"/>
    <w:basedOn w:val="52"/>
    <w:link w:val="39"/>
    <w:qFormat/>
    <w:locked/>
    <w:uiPriority w:val="99"/>
    <w:rPr>
      <w:rFonts w:eastAsia="宋体"/>
    </w:rPr>
  </w:style>
  <w:style w:type="character" w:customStyle="1" w:styleId="88">
    <w:name w:val="HTML Preformatted Char"/>
    <w:basedOn w:val="52"/>
    <w:link w:val="45"/>
    <w:qFormat/>
    <w:locked/>
    <w:uiPriority w:val="99"/>
    <w:rPr>
      <w:rFonts w:ascii="黑体" w:hAnsi="Courier New" w:eastAsia="黑体"/>
      <w:kern w:val="0"/>
      <w:sz w:val="20"/>
    </w:rPr>
  </w:style>
  <w:style w:type="character" w:customStyle="1" w:styleId="89">
    <w:name w:val="Comment Subject Char"/>
    <w:basedOn w:val="78"/>
    <w:link w:val="48"/>
    <w:semiHidden/>
    <w:qFormat/>
    <w:locked/>
    <w:uiPriority w:val="99"/>
    <w:rPr>
      <w:rFonts w:eastAsia="楷体_GB2312"/>
      <w:b/>
      <w:sz w:val="20"/>
    </w:rPr>
  </w:style>
  <w:style w:type="character" w:customStyle="1" w:styleId="90">
    <w:name w:val="grid"/>
    <w:basedOn w:val="52"/>
    <w:qFormat/>
    <w:uiPriority w:val="99"/>
    <w:rPr>
      <w:rFonts w:cs="Times New Roman"/>
    </w:rPr>
  </w:style>
  <w:style w:type="character" w:customStyle="1" w:styleId="91">
    <w:name w:val="hilite"/>
    <w:qFormat/>
    <w:uiPriority w:val="99"/>
    <w:rPr>
      <w:color w:val="FFFFFF"/>
      <w:shd w:val="clear" w:color="auto" w:fill="auto"/>
    </w:rPr>
  </w:style>
  <w:style w:type="character" w:customStyle="1" w:styleId="92">
    <w:name w:val="bds_nopic"/>
    <w:basedOn w:val="52"/>
    <w:qFormat/>
    <w:uiPriority w:val="99"/>
    <w:rPr>
      <w:rFonts w:cs="Times New Roman"/>
    </w:rPr>
  </w:style>
  <w:style w:type="character" w:customStyle="1" w:styleId="93">
    <w:name w:val="Normal Indent Char"/>
    <w:link w:val="2"/>
    <w:qFormat/>
    <w:locked/>
    <w:uiPriority w:val="99"/>
    <w:rPr>
      <w:rFonts w:eastAsia="楷体_GB2312"/>
    </w:rPr>
  </w:style>
  <w:style w:type="character" w:customStyle="1" w:styleId="94">
    <w:name w:val="bds_more4"/>
    <w:qFormat/>
    <w:uiPriority w:val="99"/>
    <w:rPr>
      <w:rFonts w:ascii="宋体" w:hAnsi="宋体" w:eastAsia="宋体"/>
    </w:rPr>
  </w:style>
  <w:style w:type="character" w:customStyle="1" w:styleId="95">
    <w:name w:val="批注文字 字符"/>
    <w:semiHidden/>
    <w:qFormat/>
    <w:uiPriority w:val="99"/>
    <w:rPr>
      <w:rFonts w:eastAsia="楷体_GB2312"/>
      <w:kern w:val="2"/>
      <w:sz w:val="26"/>
    </w:rPr>
  </w:style>
  <w:style w:type="character" w:customStyle="1" w:styleId="96">
    <w:name w:val="active"/>
    <w:qFormat/>
    <w:uiPriority w:val="99"/>
    <w:rPr>
      <w:color w:val="00FF00"/>
      <w:shd w:val="clear" w:color="auto" w:fill="000000"/>
    </w:rPr>
  </w:style>
  <w:style w:type="character" w:customStyle="1" w:styleId="97">
    <w:name w:val="other"/>
    <w:basedOn w:val="52"/>
    <w:qFormat/>
    <w:uiPriority w:val="99"/>
    <w:rPr>
      <w:rFonts w:cs="Times New Roman"/>
    </w:rPr>
  </w:style>
  <w:style w:type="character" w:customStyle="1" w:styleId="98">
    <w:name w:val="grid2"/>
    <w:basedOn w:val="52"/>
    <w:qFormat/>
    <w:uiPriority w:val="99"/>
    <w:rPr>
      <w:rFonts w:cs="Times New Roman"/>
    </w:rPr>
  </w:style>
  <w:style w:type="character" w:customStyle="1" w:styleId="99">
    <w:name w:val="active8"/>
    <w:qFormat/>
    <w:uiPriority w:val="99"/>
    <w:rPr>
      <w:color w:val="00FF00"/>
      <w:shd w:val="clear" w:color="auto" w:fill="000000"/>
    </w:rPr>
  </w:style>
  <w:style w:type="character" w:customStyle="1" w:styleId="100">
    <w:name w:val="hilite6"/>
    <w:qFormat/>
    <w:uiPriority w:val="99"/>
    <w:rPr>
      <w:color w:val="FFFFFF"/>
      <w:shd w:val="clear" w:color="auto" w:fill="auto"/>
    </w:rPr>
  </w:style>
  <w:style w:type="character" w:customStyle="1" w:styleId="101">
    <w:name w:val="bds_more6"/>
    <w:basedOn w:val="52"/>
    <w:qFormat/>
    <w:uiPriority w:val="99"/>
    <w:rPr>
      <w:rFonts w:cs="Times New Roman"/>
    </w:rPr>
  </w:style>
  <w:style w:type="character" w:customStyle="1" w:styleId="102">
    <w:name w:val="bds_more8"/>
    <w:qFormat/>
    <w:uiPriority w:val="99"/>
    <w:rPr>
      <w:rFonts w:ascii="宋体" w:hAnsi="宋体" w:eastAsia="宋体"/>
    </w:rPr>
  </w:style>
  <w:style w:type="character" w:customStyle="1" w:styleId="103">
    <w:name w:val="noused"/>
    <w:qFormat/>
    <w:uiPriority w:val="99"/>
    <w:rPr>
      <w:b/>
      <w:color w:val="FFFFFF"/>
      <w:sz w:val="21"/>
    </w:rPr>
  </w:style>
  <w:style w:type="character" w:customStyle="1" w:styleId="104">
    <w:name w:val="bds_nopic1"/>
    <w:basedOn w:val="52"/>
    <w:qFormat/>
    <w:uiPriority w:val="99"/>
    <w:rPr>
      <w:rFonts w:cs="Times New Roman"/>
    </w:rPr>
  </w:style>
  <w:style w:type="character" w:customStyle="1" w:styleId="105">
    <w:name w:val="bds_more7"/>
    <w:basedOn w:val="52"/>
    <w:qFormat/>
    <w:uiPriority w:val="99"/>
    <w:rPr>
      <w:rFonts w:cs="Times New Roman"/>
    </w:rPr>
  </w:style>
  <w:style w:type="character" w:customStyle="1" w:styleId="106">
    <w:name w:val="bds_more5"/>
    <w:basedOn w:val="52"/>
    <w:qFormat/>
    <w:uiPriority w:val="99"/>
    <w:rPr>
      <w:rFonts w:cs="Times New Roman"/>
    </w:rPr>
  </w:style>
  <w:style w:type="character" w:customStyle="1" w:styleId="107">
    <w:name w:val="bds_nopic2"/>
    <w:basedOn w:val="52"/>
    <w:qFormat/>
    <w:uiPriority w:val="99"/>
    <w:rPr>
      <w:rFonts w:cs="Times New Roman"/>
    </w:rPr>
  </w:style>
  <w:style w:type="character" w:customStyle="1" w:styleId="108">
    <w:name w:val="Char Char2"/>
    <w:qFormat/>
    <w:uiPriority w:val="99"/>
    <w:rPr>
      <w:rFonts w:ascii="宋体" w:hAnsi="宋体" w:eastAsia="楷体_GB2312"/>
      <w:b/>
      <w:kern w:val="2"/>
      <w:sz w:val="26"/>
      <w:lang w:val="en-US" w:eastAsia="zh-CN"/>
    </w:rPr>
  </w:style>
  <w:style w:type="character" w:customStyle="1" w:styleId="109">
    <w:name w:val="hover61"/>
    <w:qFormat/>
    <w:uiPriority w:val="99"/>
    <w:rPr>
      <w:shd w:val="clear" w:color="auto" w:fill="FF0000"/>
    </w:rPr>
  </w:style>
  <w:style w:type="character" w:customStyle="1" w:styleId="110">
    <w:name w:val="state"/>
    <w:qFormat/>
    <w:uiPriority w:val="99"/>
    <w:rPr>
      <w:b/>
      <w:color w:val="FFFFFF"/>
      <w:sz w:val="19"/>
    </w:rPr>
  </w:style>
  <w:style w:type="character" w:customStyle="1" w:styleId="111">
    <w:name w:val="Footer Char1"/>
    <w:link w:val="31"/>
    <w:qFormat/>
    <w:locked/>
    <w:uiPriority w:val="99"/>
    <w:rPr>
      <w:sz w:val="18"/>
    </w:rPr>
  </w:style>
  <w:style w:type="character" w:customStyle="1" w:styleId="112">
    <w:name w:val="页脚 字符1"/>
    <w:semiHidden/>
    <w:qFormat/>
    <w:uiPriority w:val="99"/>
    <w:rPr>
      <w:sz w:val="18"/>
    </w:rPr>
  </w:style>
  <w:style w:type="paragraph" w:customStyle="1" w:styleId="113">
    <w:name w:val="Char"/>
    <w:basedOn w:val="1"/>
    <w:qFormat/>
    <w:uiPriority w:val="99"/>
    <w:rPr>
      <w:rFonts w:ascii="Tahoma" w:hAnsi="Tahoma" w:eastAsia="宋体" w:cs="Tahoma"/>
    </w:rPr>
  </w:style>
  <w:style w:type="character" w:customStyle="1" w:styleId="114">
    <w:name w:val="Header Char1"/>
    <w:link w:val="32"/>
    <w:qFormat/>
    <w:locked/>
    <w:uiPriority w:val="99"/>
    <w:rPr>
      <w:sz w:val="18"/>
    </w:rPr>
  </w:style>
  <w:style w:type="character" w:customStyle="1" w:styleId="115">
    <w:name w:val="页眉 字符1"/>
    <w:semiHidden/>
    <w:qFormat/>
    <w:uiPriority w:val="99"/>
    <w:rPr>
      <w:sz w:val="18"/>
    </w:rPr>
  </w:style>
  <w:style w:type="paragraph" w:customStyle="1" w:styleId="116">
    <w:name w:val="Char Char1 Char Char Char Char"/>
    <w:basedOn w:val="15"/>
    <w:qFormat/>
    <w:uiPriority w:val="99"/>
    <w:pPr>
      <w:adjustRightInd w:val="0"/>
      <w:snapToGrid w:val="0"/>
      <w:spacing w:line="360" w:lineRule="auto"/>
    </w:pPr>
    <w:rPr>
      <w:rFonts w:ascii="Tahoma" w:hAnsi="Tahoma" w:eastAsia="宋体" w:cs="Tahoma"/>
      <w:sz w:val="24"/>
      <w:szCs w:val="24"/>
    </w:rPr>
  </w:style>
  <w:style w:type="paragraph" w:customStyle="1" w:styleId="117">
    <w:name w:val="图"/>
    <w:basedOn w:val="1"/>
    <w:qFormat/>
    <w:uiPriority w:val="99"/>
    <w:pPr>
      <w:keepNext/>
      <w:adjustRightInd w:val="0"/>
      <w:spacing w:before="60" w:after="60" w:line="300" w:lineRule="auto"/>
      <w:jc w:val="center"/>
      <w:textAlignment w:val="center"/>
    </w:pPr>
    <w:rPr>
      <w:rFonts w:eastAsia="宋体"/>
      <w:spacing w:val="20"/>
      <w:kern w:val="0"/>
    </w:rPr>
  </w:style>
  <w:style w:type="paragraph" w:customStyle="1" w:styleId="118">
    <w:name w:val="p15"/>
    <w:basedOn w:val="1"/>
    <w:qFormat/>
    <w:uiPriority w:val="99"/>
    <w:pPr>
      <w:widowControl/>
      <w:spacing w:before="100" w:beforeAutospacing="1" w:after="100" w:afterAutospacing="1"/>
      <w:jc w:val="left"/>
    </w:pPr>
    <w:rPr>
      <w:rFonts w:ascii="宋体" w:hAnsi="宋体" w:eastAsia="楷体_GB2312" w:cs="宋体"/>
      <w:kern w:val="0"/>
    </w:rPr>
  </w:style>
  <w:style w:type="paragraph" w:customStyle="1" w:styleId="119">
    <w:name w:val="Char1"/>
    <w:basedOn w:val="1"/>
    <w:qFormat/>
    <w:uiPriority w:val="99"/>
    <w:pPr>
      <w:widowControl/>
      <w:spacing w:after="160" w:line="240" w:lineRule="exact"/>
      <w:jc w:val="left"/>
    </w:pPr>
    <w:rPr>
      <w:rFonts w:ascii="Verdana" w:hAnsi="Verdana" w:eastAsia="宋体" w:cs="Verdana"/>
      <w:kern w:val="0"/>
      <w:sz w:val="21"/>
      <w:szCs w:val="21"/>
      <w:lang w:eastAsia="en-US"/>
    </w:rPr>
  </w:style>
  <w:style w:type="character" w:customStyle="1" w:styleId="120">
    <w:name w:val="Plain Text Char1"/>
    <w:link w:val="25"/>
    <w:qFormat/>
    <w:locked/>
    <w:uiPriority w:val="99"/>
    <w:rPr>
      <w:rFonts w:ascii="宋体" w:hAnsi="Courier New" w:eastAsia="宋体"/>
      <w:sz w:val="21"/>
    </w:rPr>
  </w:style>
  <w:style w:type="character" w:customStyle="1" w:styleId="121">
    <w:name w:val="纯文本 字符1"/>
    <w:semiHidden/>
    <w:qFormat/>
    <w:uiPriority w:val="99"/>
    <w:rPr>
      <w:rFonts w:ascii="等线" w:hAnsi="Courier New" w:eastAsia="等线"/>
    </w:rPr>
  </w:style>
  <w:style w:type="paragraph" w:styleId="122">
    <w:name w:val="List Paragraph"/>
    <w:basedOn w:val="1"/>
    <w:qFormat/>
    <w:uiPriority w:val="99"/>
    <w:pPr>
      <w:ind w:firstLine="420" w:firstLineChars="200"/>
    </w:pPr>
    <w:rPr>
      <w:rFonts w:eastAsia="宋体"/>
      <w:sz w:val="21"/>
      <w:szCs w:val="21"/>
    </w:rPr>
  </w:style>
  <w:style w:type="paragraph" w:customStyle="1" w:styleId="123">
    <w:name w:val="纯文本1"/>
    <w:basedOn w:val="1"/>
    <w:qFormat/>
    <w:uiPriority w:val="99"/>
    <w:pPr>
      <w:adjustRightInd w:val="0"/>
      <w:textAlignment w:val="baseline"/>
    </w:pPr>
    <w:rPr>
      <w:rFonts w:ascii="宋体" w:hAnsi="Courier New" w:eastAsia="楷体_GB2312" w:cs="宋体"/>
      <w:sz w:val="26"/>
      <w:szCs w:val="26"/>
    </w:rPr>
  </w:style>
  <w:style w:type="character" w:customStyle="1" w:styleId="124">
    <w:name w:val="Body Text Indent Char1"/>
    <w:link w:val="19"/>
    <w:qFormat/>
    <w:locked/>
    <w:uiPriority w:val="99"/>
    <w:rPr>
      <w:sz w:val="24"/>
    </w:rPr>
  </w:style>
  <w:style w:type="character" w:customStyle="1" w:styleId="125">
    <w:name w:val="正文文本缩进 字符1"/>
    <w:basedOn w:val="52"/>
    <w:semiHidden/>
    <w:qFormat/>
    <w:uiPriority w:val="99"/>
    <w:rPr>
      <w:rFonts w:cs="Times New Roman"/>
    </w:rPr>
  </w:style>
  <w:style w:type="paragraph" w:customStyle="1" w:styleId="126">
    <w:name w:val="纯文本11"/>
    <w:basedOn w:val="1"/>
    <w:qFormat/>
    <w:uiPriority w:val="99"/>
    <w:pPr>
      <w:adjustRightInd w:val="0"/>
      <w:textAlignment w:val="baseline"/>
    </w:pPr>
    <w:rPr>
      <w:rFonts w:ascii="宋体" w:hAnsi="Courier New" w:eastAsia="楷体_GB2312" w:cs="宋体"/>
      <w:sz w:val="28"/>
      <w:szCs w:val="28"/>
    </w:rPr>
  </w:style>
  <w:style w:type="table" w:customStyle="1" w:styleId="127">
    <w:name w:val="网格型1"/>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8">
    <w:name w:val="font01"/>
    <w:qFormat/>
    <w:uiPriority w:val="99"/>
    <w:rPr>
      <w:rFonts w:ascii="宋体" w:hAnsi="宋体" w:eastAsia="宋体"/>
      <w:b/>
      <w:color w:val="000000"/>
      <w:sz w:val="18"/>
      <w:u w:val="none"/>
      <w:vertAlign w:val="superscript"/>
    </w:rPr>
  </w:style>
  <w:style w:type="paragraph" w:customStyle="1" w:styleId="129">
    <w:name w:val="图例"/>
    <w:basedOn w:val="1"/>
    <w:qFormat/>
    <w:uiPriority w:val="99"/>
    <w:pPr>
      <w:spacing w:before="120" w:after="120" w:line="360" w:lineRule="auto"/>
      <w:jc w:val="center"/>
    </w:pPr>
    <w:rPr>
      <w:rFonts w:ascii="Calibri" w:hAnsi="Calibri" w:cs="Calibri"/>
      <w:b/>
      <w:bCs/>
      <w:sz w:val="21"/>
      <w:szCs w:val="21"/>
    </w:rPr>
  </w:style>
  <w:style w:type="paragraph" w:customStyle="1" w:styleId="130">
    <w:name w:val="Table Paragraph"/>
    <w:basedOn w:val="1"/>
    <w:qFormat/>
    <w:uiPriority w:val="99"/>
    <w:rPr>
      <w:rFonts w:ascii="微软雅黑" w:hAnsi="微软雅黑" w:eastAsia="微软雅黑" w:cs="微软雅黑"/>
      <w:sz w:val="21"/>
      <w:szCs w:val="21"/>
      <w:lang w:val="zh-CN"/>
    </w:rPr>
  </w:style>
  <w:style w:type="table" w:customStyle="1" w:styleId="131">
    <w:name w:val="网格型2"/>
    <w:qFormat/>
    <w:uiPriority w:val="99"/>
    <w:pPr>
      <w:widowControl w:val="0"/>
      <w:jc w:val="both"/>
    </w:pPr>
    <w:rPr>
      <w:rFonts w:ascii="Calibri" w:hAnsi="Calibri"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2">
    <w:name w:val="Char Char21"/>
    <w:qFormat/>
    <w:uiPriority w:val="99"/>
    <w:rPr>
      <w:rFonts w:ascii="宋体" w:hAnsi="宋体" w:eastAsia="楷体_GB2312"/>
      <w:b/>
      <w:kern w:val="2"/>
      <w:sz w:val="26"/>
      <w:lang w:val="en-US" w:eastAsia="zh-CN"/>
    </w:rPr>
  </w:style>
  <w:style w:type="paragraph" w:customStyle="1" w:styleId="133">
    <w:name w:val="Char Char1 Char Char Char Char1"/>
    <w:basedOn w:val="15"/>
    <w:qFormat/>
    <w:uiPriority w:val="99"/>
    <w:pPr>
      <w:adjustRightInd w:val="0"/>
      <w:snapToGrid w:val="0"/>
      <w:spacing w:line="360" w:lineRule="auto"/>
    </w:pPr>
    <w:rPr>
      <w:rFonts w:ascii="Tahoma" w:hAnsi="Tahoma" w:eastAsia="宋体"/>
      <w:kern w:val="2"/>
      <w:sz w:val="24"/>
      <w:szCs w:val="24"/>
    </w:rPr>
  </w:style>
  <w:style w:type="paragraph" w:customStyle="1" w:styleId="134">
    <w:name w:val="Char2"/>
    <w:basedOn w:val="1"/>
    <w:qFormat/>
    <w:uiPriority w:val="99"/>
    <w:pPr>
      <w:widowControl/>
      <w:spacing w:after="160" w:line="240" w:lineRule="exact"/>
      <w:jc w:val="left"/>
    </w:pPr>
    <w:rPr>
      <w:rFonts w:ascii="Verdana" w:hAnsi="Verdana" w:eastAsia="宋体"/>
      <w:kern w:val="0"/>
      <w:sz w:val="21"/>
      <w:szCs w:val="20"/>
      <w:lang w:eastAsia="en-US"/>
    </w:rPr>
  </w:style>
  <w:style w:type="paragraph" w:customStyle="1" w:styleId="135">
    <w:name w:val="纯文本2"/>
    <w:basedOn w:val="1"/>
    <w:qFormat/>
    <w:uiPriority w:val="99"/>
    <w:pPr>
      <w:adjustRightInd w:val="0"/>
      <w:textAlignment w:val="baseline"/>
    </w:pPr>
    <w:rPr>
      <w:rFonts w:ascii="宋体" w:hAnsi="Courier New" w:eastAsia="楷体_GB2312"/>
      <w:sz w:val="26"/>
      <w:szCs w:val="20"/>
    </w:rPr>
  </w:style>
  <w:style w:type="table" w:customStyle="1" w:styleId="136">
    <w:name w:val="网格型21"/>
    <w:qFormat/>
    <w:uiPriority w:val="99"/>
    <w:pPr>
      <w:widowControl w:val="0"/>
      <w:jc w:val="both"/>
    </w:pPr>
    <w:rPr>
      <w:rFonts w:ascii="Calibri" w:hAnsi="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7">
    <w:name w:val="网格型3"/>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8">
    <w:name w:val="font51"/>
    <w:basedOn w:val="52"/>
    <w:qFormat/>
    <w:uiPriority w:val="99"/>
    <w:rPr>
      <w:rFonts w:ascii="宋体" w:hAnsi="宋体" w:eastAsia="宋体" w:cs="宋体"/>
      <w:color w:val="000000"/>
      <w:sz w:val="24"/>
      <w:szCs w:val="24"/>
      <w:u w:val="none"/>
    </w:rPr>
  </w:style>
  <w:style w:type="character" w:customStyle="1" w:styleId="139">
    <w:name w:val="font31"/>
    <w:basedOn w:val="52"/>
    <w:qFormat/>
    <w:uiPriority w:val="99"/>
    <w:rPr>
      <w:rFonts w:ascii="Times New Roman" w:hAnsi="Times New Roman" w:cs="Times New Roman"/>
      <w:b/>
      <w:bCs/>
      <w:color w:val="000000"/>
      <w:sz w:val="24"/>
      <w:szCs w:val="24"/>
      <w:u w:val="none"/>
    </w:rPr>
  </w:style>
  <w:style w:type="character" w:customStyle="1" w:styleId="140">
    <w:name w:val="font41"/>
    <w:basedOn w:val="52"/>
    <w:qFormat/>
    <w:uiPriority w:val="99"/>
    <w:rPr>
      <w:rFonts w:ascii="宋体" w:hAnsi="宋体" w:eastAsia="宋体" w:cs="宋体"/>
      <w:b/>
      <w:bCs/>
      <w:color w:val="000000"/>
      <w:sz w:val="24"/>
      <w:szCs w:val="24"/>
      <w:u w:val="none"/>
    </w:rPr>
  </w:style>
  <w:style w:type="character" w:customStyle="1" w:styleId="141">
    <w:name w:val="font81"/>
    <w:basedOn w:val="52"/>
    <w:qFormat/>
    <w:uiPriority w:val="99"/>
    <w:rPr>
      <w:rFonts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ql</Company>
  <Pages>59</Pages>
  <Words>40455</Words>
  <Characters>41672</Characters>
  <Lines>0</Lines>
  <Paragraphs>0</Paragraphs>
  <TotalTime>7</TotalTime>
  <ScaleCrop>false</ScaleCrop>
  <LinksUpToDate>false</LinksUpToDate>
  <CharactersWithSpaces>42024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2021-07-06T11:45:00Z</dcterms:created>
  <dc:creator>戴 健秋</dc:creator>
  <cp:lastModifiedBy>凌寒</cp:lastModifiedBy>
  <cp:lastPrinted>2022-05-09T03:39:00Z</cp:lastPrinted>
  <dcterms:modified xsi:type="dcterms:W3CDTF">2022-05-12T01:32:05Z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8622ED04223A4DD29B6E343753D33E7C</vt:lpwstr>
  </property>
  <property fmtid="{D5CDD505-2E9C-101B-9397-08002B2CF9AE}" pid="4" name="commondata">
    <vt:lpwstr>eyJoZGlkIjoiZmZlOWQyZTFjYTZmZTI5Y2M4N2E2MGZjYWYwNDU2YWIifQ==</vt:lpwstr>
  </property>
</Properties>
</file>