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74B014">
      <w:pPr>
        <w:tabs>
          <w:tab w:val="left" w:pos="6300"/>
        </w:tabs>
        <w:snapToGrid w:val="0"/>
        <w:spacing w:line="300" w:lineRule="auto"/>
        <w:rPr>
          <w:rFonts w:cs="宋体"/>
          <w:b/>
          <w:bCs/>
          <w:color w:val="000000" w:themeColor="text1"/>
          <w:sz w:val="44"/>
          <w:szCs w:val="44"/>
        </w:rPr>
      </w:pPr>
    </w:p>
    <w:p w14:paraId="3F857C0C">
      <w:pPr>
        <w:pStyle w:val="2"/>
        <w:ind w:firstLine="480"/>
        <w:rPr>
          <w:rFonts w:hint="eastAsia" w:eastAsia="宋体"/>
          <w:color w:val="000000" w:themeColor="text1"/>
          <w:lang w:eastAsia="zh-CN"/>
        </w:rPr>
      </w:pPr>
      <w:r>
        <w:rPr>
          <w:rFonts w:hint="eastAsia" w:ascii="宋体" w:hAnsi="宋体"/>
          <w:b/>
          <w:color w:val="000000" w:themeColor="text1"/>
          <w:w w:val="80"/>
          <w:sz w:val="52"/>
          <w:szCs w:val="52"/>
          <w:lang w:eastAsia="zh-CN"/>
        </w:rPr>
        <w:t>崇川区区管道路及绿地文物资源调查项目</w:t>
      </w:r>
    </w:p>
    <w:p w14:paraId="7F55A4E2">
      <w:pPr>
        <w:tabs>
          <w:tab w:val="left" w:pos="6300"/>
        </w:tabs>
        <w:snapToGrid w:val="0"/>
        <w:spacing w:line="300" w:lineRule="auto"/>
        <w:jc w:val="center"/>
        <w:rPr>
          <w:rFonts w:ascii="宋体"/>
          <w:b/>
          <w:bCs/>
          <w:color w:val="000000" w:themeColor="text1"/>
          <w:w w:val="80"/>
          <w:sz w:val="48"/>
          <w:szCs w:val="48"/>
        </w:rPr>
      </w:pPr>
    </w:p>
    <w:p w14:paraId="3B2C47AE">
      <w:pPr>
        <w:pStyle w:val="2"/>
        <w:ind w:firstLine="480"/>
        <w:rPr>
          <w:color w:val="000000" w:themeColor="text1"/>
        </w:rPr>
      </w:pPr>
    </w:p>
    <w:p w14:paraId="1D4BB2F1">
      <w:pPr>
        <w:pStyle w:val="2"/>
        <w:ind w:firstLine="480"/>
        <w:rPr>
          <w:color w:val="000000" w:themeColor="text1"/>
        </w:rPr>
      </w:pPr>
    </w:p>
    <w:p w14:paraId="46AB26DF">
      <w:pPr>
        <w:pStyle w:val="2"/>
        <w:ind w:firstLine="480"/>
        <w:rPr>
          <w:color w:val="000000" w:themeColor="text1"/>
        </w:rPr>
      </w:pPr>
    </w:p>
    <w:p w14:paraId="45B71275">
      <w:pPr>
        <w:pStyle w:val="2"/>
        <w:ind w:firstLine="480"/>
        <w:rPr>
          <w:color w:val="000000" w:themeColor="text1"/>
        </w:rPr>
      </w:pPr>
    </w:p>
    <w:p w14:paraId="2C5D69FF">
      <w:pPr>
        <w:tabs>
          <w:tab w:val="left" w:pos="6300"/>
        </w:tabs>
        <w:snapToGrid w:val="0"/>
        <w:spacing w:line="300" w:lineRule="auto"/>
        <w:jc w:val="center"/>
        <w:rPr>
          <w:rFonts w:ascii="宋体"/>
          <w:b/>
          <w:bCs/>
          <w:color w:val="000000" w:themeColor="text1"/>
          <w:w w:val="80"/>
          <w:sz w:val="96"/>
          <w:szCs w:val="96"/>
        </w:rPr>
      </w:pPr>
      <w:r>
        <w:rPr>
          <w:rFonts w:hint="eastAsia" w:ascii="宋体" w:hAnsi="宋体" w:cs="宋体"/>
          <w:b/>
          <w:bCs/>
          <w:color w:val="000000" w:themeColor="text1"/>
          <w:w w:val="80"/>
          <w:sz w:val="96"/>
          <w:szCs w:val="96"/>
        </w:rPr>
        <w:t>政府采购</w:t>
      </w:r>
    </w:p>
    <w:p w14:paraId="593AC463">
      <w:pPr>
        <w:tabs>
          <w:tab w:val="left" w:pos="6300"/>
        </w:tabs>
        <w:snapToGrid w:val="0"/>
        <w:spacing w:line="300" w:lineRule="auto"/>
        <w:jc w:val="center"/>
        <w:rPr>
          <w:rFonts w:ascii="宋体"/>
          <w:b/>
          <w:bCs/>
          <w:color w:val="000000" w:themeColor="text1"/>
          <w:w w:val="80"/>
          <w:sz w:val="96"/>
          <w:szCs w:val="96"/>
        </w:rPr>
      </w:pPr>
      <w:r>
        <w:rPr>
          <w:rFonts w:hint="eastAsia" w:ascii="宋体" w:hAnsi="宋体" w:cs="宋体"/>
          <w:b/>
          <w:bCs/>
          <w:color w:val="000000" w:themeColor="text1"/>
          <w:w w:val="80"/>
          <w:sz w:val="96"/>
          <w:szCs w:val="96"/>
        </w:rPr>
        <w:t>竞争性磋商文件</w:t>
      </w:r>
    </w:p>
    <w:p w14:paraId="5EC8BB27">
      <w:pPr>
        <w:jc w:val="center"/>
        <w:rPr>
          <w:rFonts w:ascii="宋体"/>
          <w:b/>
          <w:bCs/>
          <w:color w:val="000000" w:themeColor="text1"/>
          <w:sz w:val="44"/>
          <w:szCs w:val="44"/>
        </w:rPr>
      </w:pPr>
    </w:p>
    <w:p w14:paraId="6031E238">
      <w:pPr>
        <w:spacing w:line="360" w:lineRule="auto"/>
        <w:jc w:val="center"/>
        <w:rPr>
          <w:rFonts w:ascii="宋体"/>
          <w:b/>
          <w:bCs/>
          <w:color w:val="000000" w:themeColor="text1"/>
          <w:sz w:val="44"/>
          <w:szCs w:val="44"/>
        </w:rPr>
      </w:pPr>
    </w:p>
    <w:p w14:paraId="7BFEE856">
      <w:pPr>
        <w:snapToGrid w:val="0"/>
        <w:spacing w:line="360" w:lineRule="auto"/>
        <w:rPr>
          <w:rFonts w:ascii="宋体"/>
          <w:b/>
          <w:bCs/>
          <w:color w:val="000000" w:themeColor="text1"/>
          <w:sz w:val="36"/>
          <w:szCs w:val="36"/>
        </w:rPr>
      </w:pPr>
    </w:p>
    <w:p w14:paraId="0D188359">
      <w:pPr>
        <w:snapToGrid w:val="0"/>
        <w:spacing w:line="360" w:lineRule="auto"/>
        <w:jc w:val="center"/>
        <w:rPr>
          <w:rFonts w:ascii="宋体"/>
          <w:b/>
          <w:bCs/>
          <w:color w:val="000000" w:themeColor="text1"/>
          <w:sz w:val="36"/>
          <w:szCs w:val="36"/>
        </w:rPr>
      </w:pPr>
    </w:p>
    <w:p w14:paraId="56A86DFF">
      <w:pPr>
        <w:snapToGrid w:val="0"/>
        <w:spacing w:line="360" w:lineRule="auto"/>
        <w:rPr>
          <w:rFonts w:ascii="宋体"/>
          <w:b/>
          <w:bCs/>
          <w:color w:val="000000" w:themeColor="text1"/>
          <w:sz w:val="36"/>
          <w:szCs w:val="36"/>
        </w:rPr>
      </w:pPr>
    </w:p>
    <w:p w14:paraId="1639D90F">
      <w:pPr>
        <w:snapToGrid w:val="0"/>
        <w:spacing w:line="360" w:lineRule="auto"/>
        <w:rPr>
          <w:rFonts w:ascii="宋体"/>
          <w:b/>
          <w:bCs/>
          <w:color w:val="000000" w:themeColor="text1"/>
          <w:sz w:val="36"/>
          <w:szCs w:val="36"/>
        </w:rPr>
      </w:pPr>
    </w:p>
    <w:p w14:paraId="119E5D78">
      <w:pPr>
        <w:ind w:left="840" w:leftChars="400"/>
        <w:rPr>
          <w:rFonts w:hint="eastAsia" w:ascii="宋体" w:hAnsi="宋体" w:eastAsia="宋体" w:cs="宋体"/>
          <w:b/>
          <w:snapToGrid w:val="0"/>
          <w:color w:val="000000" w:themeColor="text1"/>
          <w:kern w:val="0"/>
          <w:sz w:val="30"/>
          <w:szCs w:val="30"/>
          <w:lang w:eastAsia="zh-CN"/>
        </w:rPr>
      </w:pPr>
      <w:bookmarkStart w:id="0" w:name="_Toc521201596"/>
      <w:bookmarkStart w:id="1" w:name="_Toc94544827"/>
      <w:bookmarkStart w:id="2" w:name="_Toc11500279"/>
      <w:bookmarkStart w:id="3" w:name="_Toc94544743"/>
      <w:bookmarkStart w:id="4" w:name="_Toc11499583"/>
      <w:bookmarkStart w:id="5" w:name="_Toc12670502"/>
      <w:bookmarkStart w:id="6" w:name="_Toc94585339"/>
      <w:bookmarkStart w:id="7" w:name="_Toc8895738"/>
      <w:bookmarkStart w:id="8" w:name="_Toc521203417"/>
      <w:bookmarkStart w:id="9" w:name="_Toc11554638"/>
      <w:r>
        <w:rPr>
          <w:rFonts w:hint="eastAsia" w:ascii="宋体" w:hAnsi="宋体" w:cs="宋体"/>
          <w:b/>
          <w:snapToGrid w:val="0"/>
          <w:color w:val="000000" w:themeColor="text1"/>
          <w:kern w:val="0"/>
          <w:sz w:val="30"/>
          <w:szCs w:val="30"/>
        </w:rPr>
        <w:t xml:space="preserve">    采购单位：</w:t>
      </w:r>
      <w:r>
        <w:rPr>
          <w:rFonts w:hint="eastAsia" w:ascii="宋体" w:hAnsi="宋体" w:cs="宋体"/>
          <w:b/>
          <w:color w:val="000000" w:themeColor="text1"/>
          <w:sz w:val="30"/>
          <w:szCs w:val="30"/>
          <w:lang w:eastAsia="zh-CN"/>
        </w:rPr>
        <w:t>南通市崇川区城市工程建设管理中心</w:t>
      </w:r>
    </w:p>
    <w:p w14:paraId="3E3176EA">
      <w:pPr>
        <w:ind w:left="840" w:leftChars="400"/>
        <w:rPr>
          <w:rFonts w:hint="eastAsia" w:ascii="宋体" w:hAnsi="宋体" w:eastAsia="宋体" w:cs="宋体"/>
          <w:b/>
          <w:snapToGrid w:val="0"/>
          <w:color w:val="000000" w:themeColor="text1"/>
          <w:kern w:val="0"/>
          <w:sz w:val="30"/>
          <w:szCs w:val="30"/>
          <w:lang w:eastAsia="zh-CN"/>
        </w:rPr>
      </w:pPr>
      <w:r>
        <w:rPr>
          <w:rFonts w:hint="eastAsia" w:ascii="宋体" w:hAnsi="宋体" w:cs="宋体"/>
          <w:b/>
          <w:snapToGrid w:val="0"/>
          <w:color w:val="000000" w:themeColor="text1"/>
          <w:kern w:val="0"/>
          <w:sz w:val="30"/>
          <w:szCs w:val="30"/>
        </w:rPr>
        <w:t xml:space="preserve">    代理机构：</w:t>
      </w:r>
      <w:r>
        <w:rPr>
          <w:rFonts w:hint="eastAsia" w:ascii="宋体" w:hAnsi="宋体" w:cs="宋体"/>
          <w:b/>
          <w:snapToGrid w:val="0"/>
          <w:color w:val="000000" w:themeColor="text1"/>
          <w:kern w:val="0"/>
          <w:sz w:val="30"/>
          <w:szCs w:val="30"/>
          <w:lang w:eastAsia="zh-CN"/>
        </w:rPr>
        <w:t>江苏建诚工程咨询有限公司</w:t>
      </w:r>
    </w:p>
    <w:p w14:paraId="33559EBA">
      <w:pPr>
        <w:ind w:left="840" w:leftChars="400" w:firstLine="2397" w:firstLineChars="796"/>
        <w:rPr>
          <w:rFonts w:ascii="宋体" w:hAnsi="宋体" w:cs="宋体"/>
          <w:b/>
          <w:snapToGrid w:val="0"/>
          <w:color w:val="000000" w:themeColor="text1"/>
          <w:kern w:val="0"/>
          <w:sz w:val="30"/>
          <w:szCs w:val="30"/>
          <w:highlight w:val="none"/>
        </w:rPr>
        <w:sectPr>
          <w:headerReference r:id="rId5" w:type="first"/>
          <w:headerReference r:id="rId3" w:type="default"/>
          <w:headerReference r:id="rId4" w:type="even"/>
          <w:footerReference r:id="rId6" w:type="even"/>
          <w:type w:val="continuous"/>
          <w:pgSz w:w="11906" w:h="16838"/>
          <w:pgMar w:top="851" w:right="851" w:bottom="851" w:left="851" w:header="851" w:footer="454" w:gutter="0"/>
          <w:pgNumType w:start="1"/>
          <w:cols w:space="720" w:num="1"/>
          <w:titlePg/>
          <w:docGrid w:type="lines" w:linePitch="312" w:charSpace="0"/>
        </w:sectPr>
      </w:pPr>
      <w:r>
        <w:rPr>
          <w:rFonts w:hint="eastAsia" w:ascii="宋体" w:hAnsi="宋体" w:cs="宋体"/>
          <w:b/>
          <w:snapToGrid w:val="0"/>
          <w:color w:val="000000" w:themeColor="text1"/>
          <w:kern w:val="0"/>
          <w:sz w:val="30"/>
          <w:szCs w:val="30"/>
          <w:highlight w:val="none"/>
        </w:rPr>
        <w:t>二〇二</w:t>
      </w:r>
      <w:r>
        <w:rPr>
          <w:rFonts w:hint="eastAsia" w:ascii="宋体" w:hAnsi="宋体" w:cs="宋体"/>
          <w:b/>
          <w:snapToGrid w:val="0"/>
          <w:color w:val="000000" w:themeColor="text1"/>
          <w:kern w:val="0"/>
          <w:sz w:val="30"/>
          <w:szCs w:val="30"/>
          <w:highlight w:val="none"/>
          <w:lang w:val="en-US" w:eastAsia="zh-CN"/>
        </w:rPr>
        <w:t>五</w:t>
      </w:r>
      <w:r>
        <w:rPr>
          <w:rFonts w:hint="eastAsia" w:ascii="宋体" w:hAnsi="宋体" w:cs="宋体"/>
          <w:b/>
          <w:snapToGrid w:val="0"/>
          <w:color w:val="000000" w:themeColor="text1"/>
          <w:kern w:val="0"/>
          <w:sz w:val="30"/>
          <w:szCs w:val="30"/>
          <w:highlight w:val="none"/>
        </w:rPr>
        <w:t>年</w:t>
      </w:r>
      <w:r>
        <w:rPr>
          <w:rFonts w:hint="eastAsia" w:ascii="宋体" w:hAnsi="宋体" w:cs="宋体"/>
          <w:b/>
          <w:snapToGrid w:val="0"/>
          <w:color w:val="000000" w:themeColor="text1"/>
          <w:kern w:val="0"/>
          <w:sz w:val="30"/>
          <w:szCs w:val="30"/>
          <w:highlight w:val="none"/>
          <w:lang w:val="en-US" w:eastAsia="zh-CN"/>
        </w:rPr>
        <w:t>十二</w:t>
      </w:r>
      <w:r>
        <w:rPr>
          <w:rFonts w:hint="eastAsia" w:ascii="宋体" w:hAnsi="宋体" w:cs="宋体"/>
          <w:b/>
          <w:snapToGrid w:val="0"/>
          <w:color w:val="000000" w:themeColor="text1"/>
          <w:kern w:val="0"/>
          <w:sz w:val="30"/>
          <w:szCs w:val="30"/>
          <w:highlight w:val="none"/>
        </w:rPr>
        <w:t>月</w:t>
      </w:r>
      <w:r>
        <w:rPr>
          <w:rFonts w:hint="eastAsia" w:ascii="宋体" w:hAnsi="宋体" w:cs="宋体"/>
          <w:b/>
          <w:snapToGrid w:val="0"/>
          <w:color w:val="000000" w:themeColor="text1"/>
          <w:kern w:val="0"/>
          <w:sz w:val="30"/>
          <w:szCs w:val="30"/>
          <w:highlight w:val="none"/>
          <w:lang w:val="en-US" w:eastAsia="zh-CN"/>
        </w:rPr>
        <w:t>四</w:t>
      </w:r>
      <w:r>
        <w:rPr>
          <w:rFonts w:hint="eastAsia" w:ascii="宋体" w:hAnsi="宋体" w:cs="宋体"/>
          <w:b/>
          <w:snapToGrid w:val="0"/>
          <w:color w:val="000000" w:themeColor="text1"/>
          <w:kern w:val="0"/>
          <w:sz w:val="30"/>
          <w:szCs w:val="30"/>
          <w:highlight w:val="none"/>
        </w:rPr>
        <w:t>日</w:t>
      </w:r>
    </w:p>
    <w:p w14:paraId="50B1C224">
      <w:pPr>
        <w:adjustRightInd w:val="0"/>
        <w:snapToGrid w:val="0"/>
        <w:spacing w:line="360" w:lineRule="auto"/>
        <w:rPr>
          <w:rFonts w:ascii="宋体"/>
          <w:color w:val="000000" w:themeColor="text1"/>
          <w:w w:val="80"/>
          <w:sz w:val="32"/>
          <w:szCs w:val="32"/>
        </w:rPr>
      </w:pPr>
    </w:p>
    <w:p w14:paraId="585EFD28">
      <w:pPr>
        <w:pStyle w:val="26"/>
        <w:tabs>
          <w:tab w:val="left" w:pos="1050"/>
          <w:tab w:val="right" w:leader="dot" w:pos="9402"/>
        </w:tabs>
        <w:spacing w:line="960" w:lineRule="exact"/>
        <w:ind w:left="0" w:firstLine="3971" w:firstLineChars="950"/>
        <w:outlineLvl w:val="0"/>
        <w:rPr>
          <w:rFonts w:ascii="宋体"/>
          <w:b/>
          <w:bCs/>
          <w:i w:val="0"/>
          <w:iCs w:val="0"/>
          <w:color w:val="000000" w:themeColor="text1"/>
          <w:w w:val="80"/>
          <w:sz w:val="52"/>
          <w:szCs w:val="52"/>
        </w:rPr>
      </w:pPr>
      <w:r>
        <w:rPr>
          <w:rFonts w:hint="eastAsia" w:ascii="宋体" w:hAnsi="宋体" w:cs="宋体"/>
          <w:b/>
          <w:bCs/>
          <w:i w:val="0"/>
          <w:iCs w:val="0"/>
          <w:color w:val="000000" w:themeColor="text1"/>
          <w:w w:val="80"/>
          <w:sz w:val="52"/>
          <w:szCs w:val="52"/>
        </w:rPr>
        <w:t>目  录</w:t>
      </w:r>
    </w:p>
    <w:p w14:paraId="5A536A8E">
      <w:pPr>
        <w:spacing w:line="800" w:lineRule="exact"/>
        <w:jc w:val="center"/>
        <w:rPr>
          <w:rFonts w:ascii="宋体"/>
          <w:b/>
          <w:bCs/>
          <w:color w:val="000000" w:themeColor="text1"/>
          <w:sz w:val="52"/>
          <w:szCs w:val="52"/>
        </w:rPr>
      </w:pPr>
    </w:p>
    <w:p w14:paraId="531AAFB0">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第一章  竞争性磋商公告</w:t>
      </w:r>
    </w:p>
    <w:p w14:paraId="3FCE0C7F">
      <w:pPr>
        <w:rPr>
          <w:rFonts w:ascii="宋体"/>
          <w:color w:val="000000" w:themeColor="text1"/>
          <w:sz w:val="36"/>
          <w:szCs w:val="36"/>
        </w:rPr>
      </w:pPr>
    </w:p>
    <w:p w14:paraId="454D7ECB">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第二章  磋商供应商须知</w:t>
      </w:r>
    </w:p>
    <w:p w14:paraId="73C6F449">
      <w:pPr>
        <w:rPr>
          <w:rFonts w:ascii="宋体"/>
          <w:color w:val="000000" w:themeColor="text1"/>
          <w:sz w:val="36"/>
          <w:szCs w:val="36"/>
        </w:rPr>
      </w:pPr>
    </w:p>
    <w:p w14:paraId="5BE10AC3">
      <w:pPr>
        <w:pStyle w:val="26"/>
        <w:tabs>
          <w:tab w:val="left" w:pos="1050"/>
          <w:tab w:val="right" w:leader="dot" w:pos="9402"/>
        </w:tabs>
        <w:spacing w:line="520" w:lineRule="exact"/>
        <w:ind w:left="1"/>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第三章  项目需求</w:t>
      </w:r>
    </w:p>
    <w:p w14:paraId="69F88D6F">
      <w:pPr>
        <w:rPr>
          <w:rFonts w:ascii="宋体"/>
          <w:color w:val="000000" w:themeColor="text1"/>
          <w:sz w:val="36"/>
          <w:szCs w:val="36"/>
        </w:rPr>
      </w:pPr>
    </w:p>
    <w:p w14:paraId="4647C54F">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第四章  评审方法和程序</w:t>
      </w:r>
    </w:p>
    <w:p w14:paraId="4162C1F3">
      <w:pPr>
        <w:rPr>
          <w:rFonts w:ascii="宋体"/>
          <w:color w:val="000000" w:themeColor="text1"/>
          <w:sz w:val="36"/>
          <w:szCs w:val="36"/>
        </w:rPr>
      </w:pPr>
    </w:p>
    <w:p w14:paraId="308212A2">
      <w:pPr>
        <w:pStyle w:val="26"/>
        <w:numPr>
          <w:ilvl w:val="0"/>
          <w:numId w:val="2"/>
        </w:numPr>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 xml:space="preserve"> 合同主要条款</w:t>
      </w:r>
    </w:p>
    <w:p w14:paraId="361CE257">
      <w:pPr>
        <w:rPr>
          <w:rFonts w:ascii="宋体"/>
          <w:i/>
          <w:iCs/>
          <w:color w:val="000000" w:themeColor="text1"/>
          <w:w w:val="80"/>
          <w:sz w:val="36"/>
          <w:szCs w:val="36"/>
        </w:rPr>
      </w:pPr>
    </w:p>
    <w:p w14:paraId="56F4B993">
      <w:pPr>
        <w:pStyle w:val="26"/>
        <w:numPr>
          <w:ilvl w:val="0"/>
          <w:numId w:val="2"/>
        </w:numPr>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 xml:space="preserve"> 合同授予</w:t>
      </w:r>
    </w:p>
    <w:p w14:paraId="5173E48D">
      <w:pPr>
        <w:rPr>
          <w:rFonts w:ascii="宋体"/>
          <w:color w:val="000000" w:themeColor="text1"/>
          <w:sz w:val="36"/>
          <w:szCs w:val="36"/>
        </w:rPr>
      </w:pPr>
    </w:p>
    <w:p w14:paraId="776B825D">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第七章  质疑提出和处理</w:t>
      </w:r>
    </w:p>
    <w:p w14:paraId="74F85A9F">
      <w:pPr>
        <w:rPr>
          <w:rFonts w:ascii="宋体"/>
          <w:color w:val="000000" w:themeColor="text1"/>
          <w:sz w:val="36"/>
          <w:szCs w:val="36"/>
        </w:rPr>
      </w:pPr>
    </w:p>
    <w:p w14:paraId="1EA6AB25">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第八章  响应文件组成及格式</w:t>
      </w:r>
    </w:p>
    <w:p w14:paraId="749BF8B5">
      <w:pPr>
        <w:rPr>
          <w:rFonts w:ascii="宋体"/>
          <w:color w:val="000000" w:themeColor="text1"/>
          <w:sz w:val="36"/>
          <w:szCs w:val="36"/>
        </w:rPr>
      </w:pPr>
    </w:p>
    <w:p w14:paraId="146549F0">
      <w:pPr>
        <w:rPr>
          <w:rFonts w:ascii="宋体"/>
          <w:color w:val="000000" w:themeColor="text1"/>
          <w:sz w:val="36"/>
          <w:szCs w:val="36"/>
        </w:rPr>
      </w:pPr>
    </w:p>
    <w:p w14:paraId="3116C6C0">
      <w:pPr>
        <w:spacing w:line="480" w:lineRule="exact"/>
        <w:ind w:left="3145" w:leftChars="150" w:hanging="2830" w:hangingChars="800"/>
        <w:jc w:val="left"/>
        <w:rPr>
          <w:rFonts w:hint="eastAsia" w:ascii="宋体" w:hAnsi="宋体" w:cs="宋体"/>
          <w:b/>
          <w:bCs/>
          <w:color w:val="000000" w:themeColor="text1"/>
          <w:w w:val="80"/>
          <w:sz w:val="44"/>
          <w:szCs w:val="44"/>
        </w:rPr>
        <w:sectPr>
          <w:headerReference r:id="rId7" w:type="default"/>
          <w:footerReference r:id="rId8" w:type="default"/>
          <w:type w:val="continuous"/>
          <w:pgSz w:w="11906" w:h="16838"/>
          <w:pgMar w:top="1134" w:right="1134" w:bottom="1134" w:left="1225" w:header="851" w:footer="992" w:gutter="0"/>
          <w:pgNumType w:fmt="numberInDash"/>
          <w:cols w:space="720" w:num="1"/>
          <w:docGrid w:linePitch="312" w:charSpace="0"/>
        </w:sectPr>
      </w:pPr>
    </w:p>
    <w:p w14:paraId="5999DFED">
      <w:pPr>
        <w:spacing w:line="480" w:lineRule="exact"/>
        <w:ind w:left="3145" w:leftChars="150" w:hanging="2830" w:hangingChars="800"/>
        <w:jc w:val="left"/>
        <w:rPr>
          <w:rFonts w:ascii="宋体" w:hAnsi="宋体" w:cs="宋体"/>
          <w:b/>
          <w:bCs/>
          <w:color w:val="000000" w:themeColor="text1"/>
          <w:sz w:val="24"/>
          <w:szCs w:val="24"/>
        </w:rPr>
      </w:pPr>
      <w:r>
        <w:rPr>
          <w:rFonts w:hint="eastAsia" w:ascii="宋体" w:hAnsi="宋体" w:cs="宋体"/>
          <w:b/>
          <w:bCs/>
          <w:color w:val="000000" w:themeColor="text1"/>
          <w:w w:val="80"/>
          <w:sz w:val="44"/>
          <w:szCs w:val="44"/>
        </w:rPr>
        <w:t xml:space="preserve">           第一章  竞争性磋商公告</w:t>
      </w:r>
    </w:p>
    <w:p w14:paraId="37D29075">
      <w:pPr>
        <w:snapToGrid w:val="0"/>
        <w:spacing w:line="360" w:lineRule="auto"/>
        <w:rPr>
          <w:rFonts w:ascii="宋体"/>
          <w:b/>
          <w:bCs/>
          <w:color w:val="000000" w:themeColor="text1"/>
          <w:sz w:val="24"/>
          <w:szCs w:val="24"/>
        </w:rPr>
      </w:pPr>
      <w:r>
        <w:rPr>
          <w:rFonts w:hint="eastAsia" w:ascii="宋体" w:hAnsi="宋体" w:cs="宋体"/>
          <w:b/>
          <w:bCs/>
          <w:color w:val="000000" w:themeColor="text1"/>
          <w:sz w:val="24"/>
          <w:szCs w:val="24"/>
        </w:rPr>
        <w:t>尊敬的磋商供应商：</w:t>
      </w:r>
    </w:p>
    <w:p w14:paraId="03460292">
      <w:pPr>
        <w:snapToGrid w:val="0"/>
        <w:spacing w:line="360" w:lineRule="auto"/>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欢迎参加本采购项目的竞争性磋商。为了保证本次磋商项目顺利进行，请在制作响应文件之前，仔细阅读本竞争性磋商文件的各项条款，并按要求制作和递交响应文件。谢谢合作！</w:t>
      </w:r>
      <w:bookmarkEnd w:id="0"/>
      <w:bookmarkEnd w:id="1"/>
      <w:bookmarkEnd w:id="2"/>
      <w:bookmarkEnd w:id="3"/>
      <w:bookmarkEnd w:id="4"/>
      <w:bookmarkEnd w:id="5"/>
      <w:bookmarkEnd w:id="6"/>
      <w:bookmarkEnd w:id="7"/>
      <w:bookmarkEnd w:id="8"/>
      <w:bookmarkEnd w:id="9"/>
      <w:bookmarkStart w:id="10" w:name="_Toc11499584"/>
      <w:bookmarkStart w:id="11" w:name="_Toc94544744"/>
      <w:bookmarkStart w:id="12" w:name="_Toc521203418"/>
      <w:bookmarkStart w:id="13" w:name="_Toc11500280"/>
      <w:bookmarkStart w:id="14" w:name="_Toc8895739"/>
      <w:bookmarkStart w:id="15" w:name="_Toc11554639"/>
      <w:bookmarkStart w:id="16" w:name="_Toc94585340"/>
      <w:bookmarkStart w:id="17" w:name="_Toc521201597"/>
      <w:bookmarkStart w:id="18" w:name="_Toc12670503"/>
      <w:bookmarkStart w:id="19" w:name="_Toc94544828"/>
      <w:bookmarkStart w:id="20" w:name="_Toc363573854"/>
    </w:p>
    <w:p w14:paraId="592AA12B">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项目概况</w:t>
      </w:r>
    </w:p>
    <w:p w14:paraId="6D77A014">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u w:val="single"/>
          <w:lang w:eastAsia="zh-CN"/>
        </w:rPr>
        <w:t>崇川区区管道路及绿地文物资源调查项目</w:t>
      </w:r>
      <w:r>
        <w:rPr>
          <w:rFonts w:hint="eastAsia" w:ascii="仿宋" w:hAnsi="仿宋" w:eastAsia="仿宋"/>
          <w:color w:val="000000" w:themeColor="text1"/>
          <w:sz w:val="28"/>
          <w:szCs w:val="28"/>
        </w:rPr>
        <w:t>的潜在投标人应在</w:t>
      </w:r>
      <w:r>
        <w:rPr>
          <w:rFonts w:hint="eastAsia" w:ascii="仿宋" w:hAnsi="仿宋" w:eastAsia="仿宋"/>
          <w:color w:val="000000" w:themeColor="text1"/>
          <w:sz w:val="28"/>
          <w:szCs w:val="28"/>
          <w:u w:val="single"/>
        </w:rPr>
        <w:t>“崇川区人民政府网→公告公示”栏内</w:t>
      </w:r>
      <w:r>
        <w:rPr>
          <w:rFonts w:hint="eastAsia" w:ascii="仿宋" w:hAnsi="仿宋" w:eastAsia="仿宋"/>
          <w:color w:val="000000" w:themeColor="text1"/>
          <w:sz w:val="28"/>
          <w:szCs w:val="28"/>
        </w:rPr>
        <w:t>获取招标文件，并于</w:t>
      </w:r>
      <w:r>
        <w:rPr>
          <w:rFonts w:hint="eastAsia" w:ascii="仿宋" w:hAnsi="仿宋" w:eastAsia="仿宋"/>
          <w:color w:val="000000" w:themeColor="text1"/>
          <w:sz w:val="28"/>
          <w:szCs w:val="28"/>
          <w:highlight w:val="none"/>
          <w:u w:val="single"/>
          <w:lang w:eastAsia="zh-CN"/>
        </w:rPr>
        <w:t>2025年</w:t>
      </w:r>
      <w:r>
        <w:rPr>
          <w:rFonts w:hint="eastAsia" w:ascii="仿宋" w:hAnsi="仿宋" w:eastAsia="仿宋"/>
          <w:color w:val="000000" w:themeColor="text1"/>
          <w:sz w:val="28"/>
          <w:szCs w:val="28"/>
          <w:highlight w:val="none"/>
          <w:u w:val="single"/>
          <w:lang w:val="en-US" w:eastAsia="zh-CN"/>
        </w:rPr>
        <w:t>12</w:t>
      </w:r>
      <w:r>
        <w:rPr>
          <w:rFonts w:hint="eastAsia" w:ascii="仿宋" w:hAnsi="仿宋" w:eastAsia="仿宋"/>
          <w:bCs/>
          <w:color w:val="000000" w:themeColor="text1"/>
          <w:sz w:val="28"/>
          <w:szCs w:val="28"/>
          <w:highlight w:val="none"/>
          <w:u w:val="single"/>
        </w:rPr>
        <w:t>月</w:t>
      </w:r>
      <w:r>
        <w:rPr>
          <w:rFonts w:hint="eastAsia" w:ascii="仿宋" w:hAnsi="仿宋" w:eastAsia="仿宋"/>
          <w:bCs/>
          <w:color w:val="000000" w:themeColor="text1"/>
          <w:sz w:val="28"/>
          <w:szCs w:val="28"/>
          <w:highlight w:val="none"/>
          <w:u w:val="single"/>
          <w:lang w:val="en-US" w:eastAsia="zh-CN"/>
        </w:rPr>
        <w:t>16</w:t>
      </w:r>
      <w:r>
        <w:rPr>
          <w:rFonts w:hint="eastAsia" w:ascii="仿宋" w:hAnsi="仿宋" w:eastAsia="仿宋"/>
          <w:bCs/>
          <w:color w:val="000000" w:themeColor="text1"/>
          <w:sz w:val="28"/>
          <w:szCs w:val="28"/>
          <w:highlight w:val="none"/>
          <w:u w:val="single"/>
        </w:rPr>
        <w:t>日</w:t>
      </w:r>
      <w:r>
        <w:rPr>
          <w:rFonts w:hint="eastAsia" w:ascii="仿宋" w:hAnsi="仿宋" w:eastAsia="仿宋"/>
          <w:bCs/>
          <w:color w:val="000000" w:themeColor="text1"/>
          <w:sz w:val="28"/>
          <w:szCs w:val="28"/>
          <w:highlight w:val="none"/>
          <w:u w:val="single"/>
          <w:lang w:val="en-US" w:eastAsia="zh-CN"/>
        </w:rPr>
        <w:t>9时30分</w:t>
      </w:r>
      <w:r>
        <w:rPr>
          <w:rFonts w:hint="eastAsia" w:ascii="仿宋" w:hAnsi="仿宋" w:eastAsia="仿宋"/>
          <w:bCs/>
          <w:color w:val="000000" w:themeColor="text1"/>
          <w:sz w:val="28"/>
          <w:szCs w:val="28"/>
          <w:highlight w:val="none"/>
          <w:u w:val="single"/>
        </w:rPr>
        <w:t>（</w:t>
      </w:r>
      <w:r>
        <w:rPr>
          <w:rFonts w:hint="eastAsia" w:ascii="仿宋" w:hAnsi="仿宋" w:eastAsia="仿宋"/>
          <w:bCs/>
          <w:color w:val="000000" w:themeColor="text1"/>
          <w:sz w:val="28"/>
          <w:szCs w:val="28"/>
          <w:highlight w:val="none"/>
        </w:rPr>
        <w:t>北</w:t>
      </w:r>
      <w:r>
        <w:rPr>
          <w:rFonts w:hint="eastAsia" w:ascii="仿宋" w:hAnsi="仿宋" w:eastAsia="仿宋"/>
          <w:bCs/>
          <w:color w:val="000000" w:themeColor="text1"/>
          <w:sz w:val="28"/>
          <w:szCs w:val="28"/>
        </w:rPr>
        <w:t>京时间）前递交投标文件</w:t>
      </w:r>
      <w:r>
        <w:rPr>
          <w:rFonts w:hint="eastAsia" w:ascii="仿宋" w:hAnsi="仿宋" w:eastAsia="仿宋"/>
          <w:color w:val="000000" w:themeColor="text1"/>
          <w:sz w:val="28"/>
          <w:szCs w:val="28"/>
        </w:rPr>
        <w:t>。</w:t>
      </w:r>
    </w:p>
    <w:p w14:paraId="1CEE2093">
      <w:pPr>
        <w:rPr>
          <w:color w:val="000000" w:themeColor="text1"/>
          <w:sz w:val="28"/>
          <w:szCs w:val="28"/>
        </w:rPr>
      </w:pPr>
    </w:p>
    <w:p w14:paraId="0E59DED8">
      <w:pPr>
        <w:pStyle w:val="6"/>
        <w:spacing w:line="360" w:lineRule="auto"/>
        <w:rPr>
          <w:rFonts w:ascii="仿宋" w:hAnsi="仿宋" w:eastAsia="仿宋"/>
          <w:color w:val="000000" w:themeColor="text1"/>
          <w:sz w:val="28"/>
          <w:szCs w:val="28"/>
          <w:highlight w:val="yellow"/>
        </w:rPr>
      </w:pPr>
      <w:bookmarkStart w:id="21" w:name="_Toc35393790"/>
      <w:bookmarkStart w:id="22" w:name="_Toc28359002"/>
      <w:bookmarkStart w:id="23" w:name="_Toc35393621"/>
      <w:bookmarkStart w:id="24" w:name="_Toc28359079"/>
      <w:bookmarkStart w:id="25" w:name="_Hlk24379207"/>
      <w:r>
        <w:rPr>
          <w:rFonts w:hint="eastAsia" w:ascii="黑体" w:hAnsi="黑体" w:cs="宋体"/>
          <w:b w:val="0"/>
          <w:color w:val="000000" w:themeColor="text1"/>
          <w:sz w:val="28"/>
          <w:szCs w:val="28"/>
        </w:rPr>
        <w:t>一、项目基本情况</w:t>
      </w:r>
      <w:bookmarkEnd w:id="21"/>
      <w:bookmarkEnd w:id="22"/>
      <w:bookmarkEnd w:id="23"/>
      <w:bookmarkEnd w:id="24"/>
    </w:p>
    <w:p w14:paraId="5A774473">
      <w:pPr>
        <w:spacing w:line="360" w:lineRule="auto"/>
        <w:ind w:firstLine="840" w:firstLineChars="3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项目名称：</w:t>
      </w:r>
      <w:bookmarkEnd w:id="25"/>
      <w:r>
        <w:rPr>
          <w:rFonts w:hint="eastAsia" w:ascii="仿宋" w:hAnsi="仿宋" w:eastAsia="仿宋"/>
          <w:color w:val="000000" w:themeColor="text1"/>
          <w:sz w:val="28"/>
          <w:szCs w:val="28"/>
          <w:lang w:eastAsia="zh-CN"/>
        </w:rPr>
        <w:t>崇川区区管道路及绿地文物资源调查项目</w:t>
      </w:r>
    </w:p>
    <w:p w14:paraId="29AA1D30">
      <w:pPr>
        <w:spacing w:line="360" w:lineRule="auto"/>
        <w:ind w:firstLine="840" w:firstLineChars="300"/>
        <w:rPr>
          <w:rFonts w:ascii="仿宋" w:hAnsi="仿宋" w:eastAsia="仿宋"/>
          <w:color w:val="000000" w:themeColor="text1"/>
          <w:sz w:val="28"/>
          <w:szCs w:val="28"/>
          <w:highlight w:val="none"/>
        </w:rPr>
      </w:pPr>
      <w:r>
        <w:rPr>
          <w:rFonts w:hint="eastAsia" w:ascii="仿宋" w:hAnsi="仿宋" w:eastAsia="仿宋"/>
          <w:color w:val="000000" w:themeColor="text1"/>
          <w:sz w:val="28"/>
          <w:szCs w:val="28"/>
        </w:rPr>
        <w:t>预算金额：</w:t>
      </w:r>
      <w:r>
        <w:rPr>
          <w:rFonts w:hint="eastAsia" w:ascii="仿宋" w:hAnsi="仿宋" w:eastAsia="仿宋"/>
          <w:color w:val="000000" w:themeColor="text1"/>
          <w:sz w:val="28"/>
          <w:szCs w:val="28"/>
          <w:highlight w:val="none"/>
          <w:lang w:val="en-US" w:eastAsia="zh-CN"/>
        </w:rPr>
        <w:t>49.8</w:t>
      </w:r>
      <w:r>
        <w:rPr>
          <w:rFonts w:hint="eastAsia" w:ascii="仿宋" w:hAnsi="仿宋" w:eastAsia="仿宋"/>
          <w:color w:val="000000" w:themeColor="text1"/>
          <w:sz w:val="28"/>
          <w:szCs w:val="28"/>
          <w:highlight w:val="none"/>
        </w:rPr>
        <w:t>万元</w:t>
      </w:r>
    </w:p>
    <w:p w14:paraId="525953CB">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highlight w:val="none"/>
        </w:rPr>
        <w:t>最高限价：4.5元/</w:t>
      </w:r>
      <w:r>
        <w:rPr>
          <w:rFonts w:hint="eastAsia" w:ascii="宋体" w:hAnsi="宋体" w:eastAsia="宋体" w:cs="宋体"/>
          <w:color w:val="000000" w:themeColor="text1"/>
          <w:sz w:val="28"/>
          <w:szCs w:val="28"/>
          <w:highlight w:val="none"/>
        </w:rPr>
        <w:t>㎡</w:t>
      </w:r>
      <w:r>
        <w:rPr>
          <w:rFonts w:hint="eastAsia" w:ascii="仿宋" w:hAnsi="仿宋" w:eastAsia="仿宋"/>
          <w:color w:val="000000" w:themeColor="text1"/>
          <w:sz w:val="28"/>
          <w:szCs w:val="28"/>
          <w:highlight w:val="none"/>
        </w:rPr>
        <w:t>，</w:t>
      </w:r>
      <w:r>
        <w:rPr>
          <w:rFonts w:hint="eastAsia" w:ascii="仿宋" w:hAnsi="仿宋" w:eastAsia="仿宋"/>
          <w:color w:val="000000" w:themeColor="text1"/>
          <w:sz w:val="28"/>
          <w:szCs w:val="28"/>
        </w:rPr>
        <w:t>最终报价超过预算的为无效投标</w:t>
      </w:r>
    </w:p>
    <w:p w14:paraId="2D94BAAC">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采购需求：详见竞争性磋商文件第三章</w:t>
      </w:r>
    </w:p>
    <w:p w14:paraId="02DBABC3">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合同履行期限：详见</w:t>
      </w:r>
      <w:r>
        <w:rPr>
          <w:rFonts w:hint="eastAsia" w:ascii="仿宋" w:hAnsi="仿宋" w:eastAsia="仿宋"/>
          <w:color w:val="000000" w:themeColor="text1"/>
          <w:sz w:val="28"/>
          <w:szCs w:val="28"/>
          <w:lang w:val="en-US" w:eastAsia="zh-CN"/>
        </w:rPr>
        <w:t>磋商</w:t>
      </w:r>
      <w:r>
        <w:rPr>
          <w:rFonts w:hint="eastAsia" w:ascii="仿宋" w:hAnsi="仿宋" w:eastAsia="仿宋"/>
          <w:color w:val="000000" w:themeColor="text1"/>
          <w:sz w:val="28"/>
          <w:szCs w:val="28"/>
        </w:rPr>
        <w:t>文件</w:t>
      </w:r>
    </w:p>
    <w:p w14:paraId="58F9F564">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本项目不接受联合体投标。</w:t>
      </w:r>
    </w:p>
    <w:p w14:paraId="137662C5">
      <w:pPr>
        <w:pStyle w:val="6"/>
        <w:spacing w:line="360" w:lineRule="auto"/>
        <w:rPr>
          <w:rFonts w:ascii="黑体" w:hAnsi="黑体" w:cs="宋体"/>
          <w:b w:val="0"/>
          <w:color w:val="000000" w:themeColor="text1"/>
          <w:sz w:val="28"/>
          <w:szCs w:val="28"/>
        </w:rPr>
      </w:pPr>
      <w:bookmarkStart w:id="26" w:name="_Toc28359080"/>
      <w:bookmarkStart w:id="27" w:name="_Toc35393791"/>
      <w:bookmarkStart w:id="28" w:name="_Toc35393622"/>
      <w:bookmarkStart w:id="29" w:name="_Toc28359003"/>
      <w:r>
        <w:rPr>
          <w:rFonts w:hint="eastAsia" w:ascii="黑体" w:hAnsi="黑体" w:cs="宋体"/>
          <w:b w:val="0"/>
          <w:color w:val="000000" w:themeColor="text1"/>
          <w:sz w:val="28"/>
          <w:szCs w:val="28"/>
        </w:rPr>
        <w:t>二、申请人的资格要求：</w:t>
      </w:r>
      <w:bookmarkEnd w:id="26"/>
      <w:bookmarkEnd w:id="27"/>
      <w:bookmarkEnd w:id="28"/>
      <w:bookmarkEnd w:id="29"/>
    </w:p>
    <w:p w14:paraId="7DF50E83">
      <w:pPr>
        <w:spacing w:line="360" w:lineRule="auto"/>
        <w:ind w:firstLine="840" w:firstLineChars="300"/>
        <w:rPr>
          <w:rFonts w:ascii="仿宋" w:hAnsi="仿宋" w:eastAsia="仿宋"/>
          <w:color w:val="000000" w:themeColor="text1"/>
          <w:sz w:val="28"/>
          <w:szCs w:val="28"/>
        </w:rPr>
      </w:pPr>
      <w:r>
        <w:rPr>
          <w:rFonts w:ascii="仿宋" w:hAnsi="仿宋" w:eastAsia="仿宋"/>
          <w:color w:val="000000" w:themeColor="text1"/>
          <w:sz w:val="28"/>
          <w:szCs w:val="28"/>
        </w:rPr>
        <w:t>1.</w:t>
      </w:r>
      <w:r>
        <w:rPr>
          <w:rFonts w:hint="eastAsia" w:ascii="仿宋" w:hAnsi="仿宋" w:eastAsia="仿宋"/>
          <w:color w:val="000000" w:themeColor="text1"/>
          <w:sz w:val="28"/>
          <w:szCs w:val="28"/>
        </w:rPr>
        <w:t>满足《中华人民共和国政府采购法》第二十二条规定；</w:t>
      </w:r>
    </w:p>
    <w:p w14:paraId="5FC8B0F3">
      <w:pPr>
        <w:spacing w:line="360" w:lineRule="auto"/>
        <w:ind w:firstLine="840" w:firstLineChars="300"/>
        <w:rPr>
          <w:rFonts w:ascii="仿宋" w:hAnsi="仿宋" w:eastAsia="仿宋"/>
          <w:color w:val="000000" w:themeColor="text1"/>
          <w:sz w:val="28"/>
          <w:szCs w:val="28"/>
        </w:rPr>
      </w:pPr>
      <w:bookmarkStart w:id="30" w:name="_Toc28359004"/>
      <w:bookmarkStart w:id="31" w:name="_Toc28359081"/>
      <w:r>
        <w:rPr>
          <w:rFonts w:ascii="仿宋" w:hAnsi="仿宋" w:eastAsia="仿宋"/>
          <w:color w:val="000000" w:themeColor="text1"/>
          <w:sz w:val="28"/>
          <w:szCs w:val="28"/>
        </w:rPr>
        <w:t>2.</w:t>
      </w:r>
      <w:r>
        <w:rPr>
          <w:rFonts w:hint="eastAsia" w:ascii="仿宋" w:hAnsi="仿宋" w:eastAsia="仿宋"/>
          <w:color w:val="000000" w:themeColor="text1"/>
          <w:sz w:val="28"/>
          <w:szCs w:val="28"/>
        </w:rPr>
        <w:t>落实政府采购政策需满足的资格要求：详见竞争性磋商文件；</w:t>
      </w:r>
    </w:p>
    <w:p w14:paraId="4496F8B8">
      <w:pPr>
        <w:spacing w:line="360" w:lineRule="auto"/>
        <w:ind w:firstLine="840" w:firstLineChars="300"/>
        <w:rPr>
          <w:rFonts w:ascii="仿宋" w:hAnsi="仿宋" w:eastAsia="仿宋"/>
          <w:color w:val="000000" w:themeColor="text1"/>
          <w:sz w:val="28"/>
          <w:szCs w:val="28"/>
        </w:rPr>
      </w:pPr>
      <w:r>
        <w:rPr>
          <w:rFonts w:ascii="仿宋" w:hAnsi="仿宋" w:eastAsia="仿宋"/>
          <w:color w:val="000000" w:themeColor="text1"/>
          <w:sz w:val="28"/>
          <w:szCs w:val="28"/>
        </w:rPr>
        <w:t>3.</w:t>
      </w:r>
      <w:r>
        <w:rPr>
          <w:rFonts w:hint="eastAsia" w:ascii="仿宋" w:hAnsi="仿宋" w:eastAsia="仿宋"/>
          <w:color w:val="000000" w:themeColor="text1"/>
          <w:sz w:val="28"/>
          <w:szCs w:val="28"/>
        </w:rPr>
        <w:t>本项目的特定资格要求：详见竞争性磋商文件。</w:t>
      </w:r>
    </w:p>
    <w:p w14:paraId="6E0D9A75">
      <w:pPr>
        <w:pStyle w:val="6"/>
        <w:spacing w:line="360" w:lineRule="auto"/>
        <w:rPr>
          <w:rFonts w:ascii="黑体" w:cs="宋体"/>
          <w:b w:val="0"/>
          <w:color w:val="000000" w:themeColor="text1"/>
          <w:sz w:val="28"/>
          <w:szCs w:val="28"/>
        </w:rPr>
      </w:pPr>
      <w:bookmarkStart w:id="32" w:name="_Toc35393623"/>
      <w:bookmarkStart w:id="33" w:name="_Toc35393792"/>
      <w:r>
        <w:rPr>
          <w:rFonts w:hint="eastAsia" w:ascii="黑体" w:hAnsi="黑体" w:cs="宋体"/>
          <w:b w:val="0"/>
          <w:color w:val="000000" w:themeColor="text1"/>
          <w:sz w:val="28"/>
          <w:szCs w:val="28"/>
        </w:rPr>
        <w:t>三、获取招标文件</w:t>
      </w:r>
      <w:bookmarkEnd w:id="30"/>
      <w:bookmarkEnd w:id="31"/>
      <w:bookmarkEnd w:id="32"/>
      <w:bookmarkEnd w:id="33"/>
    </w:p>
    <w:p w14:paraId="1801BF19">
      <w:pPr>
        <w:spacing w:line="360" w:lineRule="auto"/>
        <w:ind w:firstLine="540"/>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rPr>
        <w:t>时间</w:t>
      </w:r>
      <w:r>
        <w:rPr>
          <w:rFonts w:hint="eastAsia" w:ascii="仿宋" w:hAnsi="仿宋" w:eastAsia="仿宋" w:cs="宋体"/>
          <w:color w:val="000000" w:themeColor="text1"/>
          <w:sz w:val="28"/>
          <w:szCs w:val="28"/>
          <w:highlight w:val="none"/>
        </w:rPr>
        <w:t>：</w:t>
      </w:r>
      <w:r>
        <w:rPr>
          <w:rFonts w:hint="eastAsia" w:ascii="仿宋" w:hAnsi="仿宋" w:eastAsia="仿宋" w:cs="宋体"/>
          <w:color w:val="000000" w:themeColor="text1"/>
          <w:sz w:val="28"/>
          <w:szCs w:val="28"/>
          <w:highlight w:val="none"/>
          <w:u w:val="single"/>
          <w:lang w:eastAsia="zh-CN"/>
        </w:rPr>
        <w:t>2025年</w:t>
      </w:r>
      <w:r>
        <w:rPr>
          <w:rFonts w:hint="eastAsia" w:ascii="仿宋" w:hAnsi="仿宋" w:eastAsia="仿宋" w:cs="宋体"/>
          <w:color w:val="000000" w:themeColor="text1"/>
          <w:sz w:val="28"/>
          <w:szCs w:val="28"/>
          <w:highlight w:val="none"/>
          <w:u w:val="single"/>
          <w:lang w:val="en-US" w:eastAsia="zh-CN"/>
        </w:rPr>
        <w:t>12</w:t>
      </w:r>
      <w:r>
        <w:rPr>
          <w:rFonts w:hint="eastAsia" w:ascii="仿宋" w:hAnsi="仿宋" w:eastAsia="仿宋" w:cs="宋体"/>
          <w:color w:val="000000" w:themeColor="text1"/>
          <w:sz w:val="28"/>
          <w:szCs w:val="28"/>
          <w:highlight w:val="none"/>
          <w:u w:val="single"/>
        </w:rPr>
        <w:t>月</w:t>
      </w:r>
      <w:r>
        <w:rPr>
          <w:rFonts w:hint="eastAsia" w:ascii="仿宋" w:hAnsi="仿宋" w:eastAsia="仿宋" w:cs="宋体"/>
          <w:color w:val="000000" w:themeColor="text1"/>
          <w:sz w:val="28"/>
          <w:szCs w:val="28"/>
          <w:highlight w:val="none"/>
          <w:u w:val="single"/>
          <w:lang w:val="en-US" w:eastAsia="zh-CN"/>
        </w:rPr>
        <w:t>4</w:t>
      </w:r>
      <w:r>
        <w:rPr>
          <w:rFonts w:hint="eastAsia" w:ascii="仿宋" w:hAnsi="仿宋" w:eastAsia="仿宋" w:cs="宋体"/>
          <w:color w:val="000000" w:themeColor="text1"/>
          <w:sz w:val="28"/>
          <w:szCs w:val="28"/>
          <w:highlight w:val="none"/>
          <w:u w:val="single"/>
        </w:rPr>
        <w:t>日</w:t>
      </w:r>
      <w:r>
        <w:rPr>
          <w:rFonts w:hint="eastAsia" w:ascii="仿宋" w:hAnsi="仿宋" w:eastAsia="仿宋" w:cs="宋体"/>
          <w:color w:val="000000" w:themeColor="text1"/>
          <w:sz w:val="28"/>
          <w:szCs w:val="28"/>
          <w:highlight w:val="none"/>
        </w:rPr>
        <w:t>至</w:t>
      </w:r>
      <w:r>
        <w:rPr>
          <w:rFonts w:hint="eastAsia" w:ascii="仿宋" w:hAnsi="仿宋" w:eastAsia="仿宋" w:cs="宋体"/>
          <w:color w:val="000000" w:themeColor="text1"/>
          <w:sz w:val="28"/>
          <w:szCs w:val="28"/>
          <w:highlight w:val="none"/>
          <w:u w:val="single"/>
          <w:lang w:eastAsia="zh-CN"/>
        </w:rPr>
        <w:t>2025</w:t>
      </w:r>
      <w:r>
        <w:rPr>
          <w:rFonts w:hint="eastAsia" w:ascii="仿宋" w:hAnsi="仿宋" w:eastAsia="仿宋" w:cs="宋体"/>
          <w:color w:val="000000" w:themeColor="text1"/>
          <w:sz w:val="28"/>
          <w:szCs w:val="28"/>
          <w:highlight w:val="none"/>
          <w:u w:val="single"/>
          <w:lang w:val="en-US" w:eastAsia="zh-CN"/>
        </w:rPr>
        <w:t>年12</w:t>
      </w:r>
      <w:r>
        <w:rPr>
          <w:rFonts w:hint="eastAsia" w:ascii="仿宋" w:hAnsi="仿宋" w:eastAsia="仿宋" w:cs="宋体"/>
          <w:color w:val="000000" w:themeColor="text1"/>
          <w:sz w:val="28"/>
          <w:szCs w:val="28"/>
          <w:highlight w:val="none"/>
          <w:u w:val="single"/>
        </w:rPr>
        <w:t>月</w:t>
      </w:r>
      <w:r>
        <w:rPr>
          <w:rFonts w:hint="eastAsia" w:ascii="仿宋" w:hAnsi="仿宋" w:eastAsia="仿宋" w:cs="宋体"/>
          <w:color w:val="000000" w:themeColor="text1"/>
          <w:sz w:val="28"/>
          <w:szCs w:val="28"/>
          <w:highlight w:val="none"/>
          <w:u w:val="single"/>
          <w:lang w:val="en-US" w:eastAsia="zh-CN"/>
        </w:rPr>
        <w:t>16</w:t>
      </w:r>
      <w:r>
        <w:rPr>
          <w:rFonts w:hint="eastAsia" w:ascii="仿宋" w:hAnsi="仿宋" w:eastAsia="仿宋" w:cs="宋体"/>
          <w:color w:val="000000" w:themeColor="text1"/>
          <w:sz w:val="28"/>
          <w:szCs w:val="28"/>
          <w:highlight w:val="none"/>
          <w:u w:val="single"/>
        </w:rPr>
        <w:t>日</w:t>
      </w:r>
      <w:r>
        <w:rPr>
          <w:rFonts w:hint="eastAsia" w:ascii="仿宋" w:hAnsi="仿宋" w:eastAsia="仿宋" w:cs="宋体"/>
          <w:iCs/>
          <w:color w:val="000000" w:themeColor="text1"/>
          <w:sz w:val="28"/>
          <w:szCs w:val="28"/>
          <w:highlight w:val="none"/>
          <w:u w:val="single"/>
          <w:lang w:val="en-US" w:eastAsia="zh-CN"/>
        </w:rPr>
        <w:t>9</w:t>
      </w:r>
      <w:r>
        <w:rPr>
          <w:rFonts w:hint="eastAsia" w:ascii="仿宋" w:hAnsi="仿宋" w:eastAsia="仿宋" w:cs="宋体"/>
          <w:iCs/>
          <w:color w:val="000000" w:themeColor="text1"/>
          <w:sz w:val="28"/>
          <w:szCs w:val="28"/>
          <w:highlight w:val="none"/>
          <w:u w:val="single"/>
        </w:rPr>
        <w:t>:30</w:t>
      </w:r>
    </w:p>
    <w:p w14:paraId="140A97CC">
      <w:pPr>
        <w:spacing w:line="360" w:lineRule="auto"/>
        <w:ind w:firstLine="540"/>
        <w:rPr>
          <w:rFonts w:ascii="仿宋" w:hAnsi="仿宋" w:eastAsia="仿宋" w:cs="宋体"/>
          <w:color w:val="000000" w:themeColor="text1"/>
          <w:sz w:val="28"/>
          <w:szCs w:val="28"/>
          <w:u w:val="single"/>
        </w:rPr>
      </w:pPr>
      <w:r>
        <w:rPr>
          <w:rFonts w:hint="eastAsia" w:ascii="仿宋" w:hAnsi="仿宋" w:eastAsia="仿宋" w:cs="宋体"/>
          <w:color w:val="000000" w:themeColor="text1"/>
          <w:sz w:val="28"/>
          <w:szCs w:val="28"/>
        </w:rPr>
        <w:t>地点：</w:t>
      </w:r>
      <w:r>
        <w:rPr>
          <w:rFonts w:hint="eastAsia" w:ascii="仿宋" w:hAnsi="仿宋" w:eastAsia="仿宋" w:cs="宋体"/>
          <w:color w:val="000000" w:themeColor="text1"/>
          <w:sz w:val="28"/>
          <w:szCs w:val="28"/>
          <w:u w:val="single"/>
        </w:rPr>
        <w:t>崇川区人民政府网“http://www.chongchuan.gov.cn/”</w:t>
      </w:r>
    </w:p>
    <w:p w14:paraId="4602BDE7">
      <w:pPr>
        <w:spacing w:line="360" w:lineRule="auto"/>
        <w:ind w:firstLine="540"/>
        <w:rPr>
          <w:rFonts w:ascii="仿宋" w:hAnsi="仿宋" w:eastAsia="仿宋" w:cs="宋体"/>
          <w:color w:val="000000" w:themeColor="text1"/>
          <w:sz w:val="28"/>
          <w:szCs w:val="28"/>
          <w:u w:val="single"/>
        </w:rPr>
      </w:pPr>
      <w:r>
        <w:rPr>
          <w:rFonts w:hint="eastAsia" w:ascii="仿宋" w:hAnsi="仿宋" w:eastAsia="仿宋" w:cs="宋体"/>
          <w:color w:val="000000" w:themeColor="text1"/>
          <w:sz w:val="28"/>
          <w:szCs w:val="28"/>
        </w:rPr>
        <w:t>方式：</w:t>
      </w:r>
      <w:r>
        <w:rPr>
          <w:rFonts w:hint="eastAsia" w:ascii="仿宋" w:hAnsi="仿宋" w:eastAsia="仿宋" w:cs="宋体"/>
          <w:color w:val="000000" w:themeColor="text1"/>
          <w:sz w:val="28"/>
          <w:szCs w:val="28"/>
          <w:u w:val="single"/>
        </w:rPr>
        <w:t>网上自行下载</w:t>
      </w:r>
    </w:p>
    <w:p w14:paraId="238F0C7E">
      <w:pPr>
        <w:pStyle w:val="6"/>
        <w:spacing w:line="240" w:lineRule="auto"/>
        <w:rPr>
          <w:rFonts w:ascii="黑体" w:cs="宋体"/>
          <w:b w:val="0"/>
          <w:color w:val="000000" w:themeColor="text1"/>
          <w:sz w:val="28"/>
          <w:szCs w:val="28"/>
        </w:rPr>
      </w:pPr>
      <w:bookmarkStart w:id="34" w:name="_Toc28359005"/>
      <w:bookmarkStart w:id="35" w:name="_Toc28359082"/>
      <w:bookmarkStart w:id="36" w:name="_Toc35393624"/>
      <w:bookmarkStart w:id="37" w:name="_Toc35393793"/>
      <w:r>
        <w:rPr>
          <w:rFonts w:hint="eastAsia" w:ascii="黑体" w:hAnsi="黑体" w:cs="宋体"/>
          <w:b w:val="0"/>
          <w:color w:val="000000" w:themeColor="text1"/>
          <w:sz w:val="28"/>
          <w:szCs w:val="28"/>
        </w:rPr>
        <w:t>四、提交投标文件</w:t>
      </w:r>
      <w:bookmarkEnd w:id="34"/>
      <w:bookmarkEnd w:id="35"/>
      <w:r>
        <w:rPr>
          <w:rFonts w:hint="eastAsia" w:ascii="黑体" w:hAnsi="黑体" w:cs="宋体"/>
          <w:b w:val="0"/>
          <w:color w:val="000000" w:themeColor="text1"/>
          <w:sz w:val="28"/>
          <w:szCs w:val="28"/>
        </w:rPr>
        <w:t>截止时间、开标时间和地点</w:t>
      </w:r>
      <w:bookmarkEnd w:id="36"/>
      <w:bookmarkEnd w:id="37"/>
    </w:p>
    <w:p w14:paraId="1A55F361">
      <w:pPr>
        <w:spacing w:line="240" w:lineRule="auto"/>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时间：</w:t>
      </w:r>
      <w:r>
        <w:rPr>
          <w:rFonts w:hint="eastAsia" w:ascii="仿宋" w:hAnsi="仿宋" w:eastAsia="仿宋"/>
          <w:b/>
          <w:bCs/>
          <w:color w:val="000000" w:themeColor="text1"/>
          <w:sz w:val="28"/>
          <w:szCs w:val="28"/>
          <w:highlight w:val="none"/>
          <w:lang w:eastAsia="zh-CN"/>
        </w:rPr>
        <w:t>2025年</w:t>
      </w:r>
      <w:r>
        <w:rPr>
          <w:rFonts w:hint="eastAsia" w:ascii="仿宋" w:hAnsi="仿宋" w:eastAsia="仿宋"/>
          <w:b/>
          <w:bCs/>
          <w:color w:val="000000" w:themeColor="text1"/>
          <w:sz w:val="28"/>
          <w:szCs w:val="28"/>
          <w:highlight w:val="none"/>
          <w:lang w:val="en-US" w:eastAsia="zh-CN"/>
        </w:rPr>
        <w:t>12</w:t>
      </w:r>
      <w:r>
        <w:rPr>
          <w:rFonts w:hint="eastAsia" w:ascii="仿宋" w:hAnsi="仿宋" w:eastAsia="仿宋"/>
          <w:b/>
          <w:bCs/>
          <w:color w:val="000000" w:themeColor="text1"/>
          <w:sz w:val="28"/>
          <w:szCs w:val="28"/>
          <w:highlight w:val="none"/>
        </w:rPr>
        <w:t>月</w:t>
      </w:r>
      <w:r>
        <w:rPr>
          <w:rFonts w:hint="eastAsia" w:ascii="仿宋" w:hAnsi="仿宋" w:eastAsia="仿宋"/>
          <w:b/>
          <w:bCs/>
          <w:color w:val="000000" w:themeColor="text1"/>
          <w:sz w:val="28"/>
          <w:szCs w:val="28"/>
          <w:highlight w:val="none"/>
          <w:lang w:val="en-US" w:eastAsia="zh-CN"/>
        </w:rPr>
        <w:t>16</w:t>
      </w:r>
      <w:r>
        <w:rPr>
          <w:rFonts w:hint="eastAsia" w:ascii="仿宋" w:hAnsi="仿宋" w:eastAsia="仿宋"/>
          <w:b/>
          <w:bCs/>
          <w:color w:val="000000" w:themeColor="text1"/>
          <w:sz w:val="28"/>
          <w:szCs w:val="28"/>
          <w:highlight w:val="none"/>
        </w:rPr>
        <w:t>日</w:t>
      </w:r>
      <w:r>
        <w:rPr>
          <w:rFonts w:hint="eastAsia" w:ascii="仿宋" w:hAnsi="仿宋" w:eastAsia="仿宋"/>
          <w:b/>
          <w:bCs/>
          <w:color w:val="000000" w:themeColor="text1"/>
          <w:sz w:val="28"/>
          <w:szCs w:val="28"/>
          <w:highlight w:val="none"/>
          <w:lang w:val="en-US" w:eastAsia="zh-CN"/>
        </w:rPr>
        <w:t>9</w:t>
      </w:r>
      <w:r>
        <w:rPr>
          <w:rFonts w:hint="eastAsia" w:ascii="仿宋" w:hAnsi="仿宋" w:eastAsia="仿宋"/>
          <w:b/>
          <w:bCs/>
          <w:color w:val="000000" w:themeColor="text1"/>
          <w:sz w:val="28"/>
          <w:szCs w:val="28"/>
          <w:highlight w:val="none"/>
        </w:rPr>
        <w:t>:30</w:t>
      </w:r>
      <w:r>
        <w:rPr>
          <w:rFonts w:hint="eastAsia" w:ascii="仿宋" w:hAnsi="仿宋" w:eastAsia="仿宋"/>
          <w:color w:val="000000" w:themeColor="text1"/>
          <w:sz w:val="28"/>
          <w:szCs w:val="28"/>
          <w:highlight w:val="none"/>
        </w:rPr>
        <w:t>（北京</w:t>
      </w:r>
      <w:r>
        <w:rPr>
          <w:rFonts w:hint="eastAsia" w:ascii="仿宋" w:hAnsi="仿宋" w:eastAsia="仿宋"/>
          <w:color w:val="000000" w:themeColor="text1"/>
          <w:sz w:val="28"/>
          <w:szCs w:val="28"/>
        </w:rPr>
        <w:t>时间）</w:t>
      </w:r>
    </w:p>
    <w:p w14:paraId="2B33E23A">
      <w:pPr>
        <w:spacing w:line="240" w:lineRule="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    地点：南通市崇川区城港路56号南通市崇川区城市工程建设管理中心404室</w:t>
      </w:r>
    </w:p>
    <w:p w14:paraId="6481985B">
      <w:pPr>
        <w:spacing w:line="240" w:lineRule="auto"/>
        <w:ind w:firstLine="560"/>
      </w:pPr>
      <w:r>
        <w:rPr>
          <w:rFonts w:hint="eastAsia" w:ascii="仿宋" w:hAnsi="仿宋" w:eastAsia="仿宋"/>
          <w:color w:val="000000" w:themeColor="text1"/>
          <w:sz w:val="28"/>
          <w:szCs w:val="28"/>
        </w:rPr>
        <w:t>特别提醒：开标地点停车位有限，请各潜在供应商合理选择交通工具，或提前到达开标地点。</w:t>
      </w:r>
    </w:p>
    <w:p w14:paraId="536FBBFB">
      <w:pPr>
        <w:pStyle w:val="6"/>
        <w:spacing w:line="240" w:lineRule="auto"/>
        <w:rPr>
          <w:rFonts w:ascii="黑体" w:cs="宋体"/>
          <w:b w:val="0"/>
          <w:color w:val="000000" w:themeColor="text1"/>
          <w:sz w:val="28"/>
          <w:szCs w:val="28"/>
        </w:rPr>
      </w:pPr>
      <w:bookmarkStart w:id="38" w:name="_Toc28359007"/>
      <w:bookmarkStart w:id="39" w:name="_Toc35393794"/>
      <w:bookmarkStart w:id="40" w:name="_Toc28359084"/>
      <w:bookmarkStart w:id="41" w:name="_Toc35393625"/>
      <w:r>
        <w:rPr>
          <w:rFonts w:hint="eastAsia" w:ascii="黑体" w:hAnsi="黑体" w:cs="宋体"/>
          <w:b w:val="0"/>
          <w:color w:val="000000" w:themeColor="text1"/>
          <w:sz w:val="28"/>
          <w:szCs w:val="28"/>
        </w:rPr>
        <w:t>五、公告期限</w:t>
      </w:r>
      <w:bookmarkEnd w:id="38"/>
      <w:bookmarkEnd w:id="39"/>
      <w:bookmarkEnd w:id="40"/>
      <w:bookmarkEnd w:id="41"/>
    </w:p>
    <w:p w14:paraId="471B0C90">
      <w:pPr>
        <w:spacing w:line="24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自本公告发布之日起3个工作日。</w:t>
      </w:r>
    </w:p>
    <w:p w14:paraId="243B4EED">
      <w:pPr>
        <w:pStyle w:val="6"/>
        <w:spacing w:line="240" w:lineRule="auto"/>
        <w:rPr>
          <w:rFonts w:ascii="黑体" w:cs="宋体"/>
          <w:b w:val="0"/>
          <w:color w:val="000000" w:themeColor="text1"/>
          <w:sz w:val="28"/>
          <w:szCs w:val="28"/>
        </w:rPr>
      </w:pPr>
      <w:bookmarkStart w:id="42" w:name="_Toc35393626"/>
      <w:bookmarkStart w:id="43" w:name="_Toc35393795"/>
      <w:r>
        <w:rPr>
          <w:rFonts w:hint="eastAsia" w:ascii="黑体" w:hAnsi="黑体" w:cs="宋体"/>
          <w:b w:val="0"/>
          <w:color w:val="000000" w:themeColor="text1"/>
          <w:sz w:val="28"/>
          <w:szCs w:val="28"/>
        </w:rPr>
        <w:t>六、其他补充事宜</w:t>
      </w:r>
      <w:bookmarkEnd w:id="42"/>
      <w:bookmarkEnd w:id="43"/>
    </w:p>
    <w:p w14:paraId="4F368C47">
      <w:pPr>
        <w:spacing w:line="360" w:lineRule="auto"/>
        <w:rPr>
          <w:rFonts w:ascii="仿宋" w:hAnsi="仿宋" w:eastAsia="仿宋"/>
          <w:color w:val="000000" w:themeColor="text1"/>
          <w:sz w:val="28"/>
          <w:szCs w:val="28"/>
        </w:rPr>
      </w:pPr>
      <w:bookmarkStart w:id="44" w:name="_Toc35393796"/>
      <w:bookmarkStart w:id="45" w:name="_Toc35393627"/>
      <w:bookmarkStart w:id="46" w:name="_Toc28359085"/>
      <w:bookmarkStart w:id="47" w:name="_Toc28359008"/>
      <w:r>
        <w:rPr>
          <w:rFonts w:hint="eastAsia" w:ascii="仿宋" w:hAnsi="仿宋" w:eastAsia="仿宋"/>
          <w:color w:val="000000" w:themeColor="text1"/>
          <w:sz w:val="28"/>
          <w:szCs w:val="28"/>
        </w:rPr>
        <w:t xml:space="preserve">    供应商应依照规定提交各类声明函、承诺函，不再同时提供原件备查或提供有关部门出具的相关证明文件。但</w:t>
      </w:r>
      <w:r>
        <w:rPr>
          <w:rFonts w:hint="eastAsia" w:ascii="仿宋" w:hAnsi="仿宋" w:eastAsia="仿宋"/>
          <w:color w:val="000000" w:themeColor="text1"/>
          <w:sz w:val="28"/>
          <w:szCs w:val="28"/>
          <w:lang w:eastAsia="zh-CN"/>
        </w:rPr>
        <w:t>成交</w:t>
      </w:r>
      <w:r>
        <w:rPr>
          <w:rFonts w:hint="eastAsia" w:ascii="仿宋" w:hAnsi="仿宋" w:eastAsia="仿宋"/>
          <w:color w:val="000000" w:themeColor="text1"/>
          <w:sz w:val="28"/>
          <w:szCs w:val="28"/>
        </w:rPr>
        <w:t>或成交供应商，应做好提交声明函、承诺函相应原件的核查准备；核查后发现虚假或违背承诺的，依照相关法律法规规定处理。</w:t>
      </w:r>
    </w:p>
    <w:p w14:paraId="6E82B515">
      <w:pPr>
        <w:pStyle w:val="6"/>
        <w:spacing w:line="240" w:lineRule="auto"/>
        <w:rPr>
          <w:rFonts w:ascii="黑体" w:cs="宋体"/>
          <w:b w:val="0"/>
          <w:color w:val="000000" w:themeColor="text1"/>
          <w:sz w:val="28"/>
          <w:szCs w:val="28"/>
        </w:rPr>
      </w:pPr>
      <w:r>
        <w:rPr>
          <w:rFonts w:hint="eastAsia" w:ascii="黑体" w:hAnsi="黑体" w:cs="宋体"/>
          <w:b w:val="0"/>
          <w:color w:val="000000" w:themeColor="text1"/>
          <w:sz w:val="28"/>
          <w:szCs w:val="28"/>
        </w:rPr>
        <w:t>七、对本次招标提出询问，请按以下方式联系。</w:t>
      </w:r>
      <w:bookmarkEnd w:id="44"/>
      <w:bookmarkEnd w:id="45"/>
      <w:bookmarkEnd w:id="46"/>
      <w:bookmarkEnd w:id="47"/>
    </w:p>
    <w:p w14:paraId="2846FB14">
      <w:pPr>
        <w:spacing w:line="360" w:lineRule="auto"/>
        <w:rPr>
          <w:rFonts w:ascii="仿宋" w:hAnsi="仿宋" w:eastAsia="仿宋"/>
          <w:color w:val="000000" w:themeColor="text1"/>
          <w:sz w:val="28"/>
          <w:szCs w:val="28"/>
        </w:rPr>
      </w:pPr>
      <w:r>
        <w:rPr>
          <w:rFonts w:hint="eastAsia" w:ascii="仿宋" w:hAnsi="仿宋" w:eastAsia="仿宋" w:cs="宋体"/>
          <w:color w:val="000000" w:themeColor="text1"/>
          <w:sz w:val="28"/>
          <w:szCs w:val="28"/>
        </w:rPr>
        <w:t>　　</w:t>
      </w:r>
      <w:r>
        <w:rPr>
          <w:rFonts w:hint="eastAsia" w:ascii="仿宋" w:hAnsi="仿宋" w:eastAsia="仿宋" w:cs="宋体"/>
          <w:color w:val="000000" w:themeColor="text1"/>
          <w:sz w:val="28"/>
          <w:szCs w:val="28"/>
          <w:lang w:val="en-US" w:eastAsia="zh-CN"/>
        </w:rPr>
        <w:t xml:space="preserve">  </w:t>
      </w:r>
      <w:r>
        <w:rPr>
          <w:rFonts w:ascii="仿宋" w:hAnsi="仿宋" w:eastAsia="仿宋"/>
          <w:color w:val="000000" w:themeColor="text1"/>
          <w:sz w:val="28"/>
          <w:szCs w:val="28"/>
        </w:rPr>
        <w:t>1</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采购人信息</w:t>
      </w:r>
    </w:p>
    <w:p w14:paraId="09EE506C">
      <w:pPr>
        <w:spacing w:line="360" w:lineRule="auto"/>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 xml:space="preserve">     名称：</w:t>
      </w:r>
      <w:r>
        <w:rPr>
          <w:rFonts w:hint="eastAsia" w:ascii="仿宋" w:hAnsi="仿宋" w:eastAsia="仿宋"/>
          <w:color w:val="000000" w:themeColor="text1"/>
          <w:sz w:val="28"/>
          <w:szCs w:val="28"/>
          <w:u w:val="single"/>
          <w:lang w:eastAsia="zh-CN"/>
        </w:rPr>
        <w:t>南通市崇川区城市工程建设管理中心</w:t>
      </w:r>
    </w:p>
    <w:p w14:paraId="70DF124F">
      <w:pPr>
        <w:spacing w:line="360" w:lineRule="auto"/>
        <w:rPr>
          <w:rFonts w:ascii="仿宋" w:hAnsi="仿宋" w:eastAsia="仿宋"/>
          <w:color w:val="000000" w:themeColor="text1"/>
          <w:sz w:val="28"/>
          <w:szCs w:val="28"/>
          <w:u w:val="single"/>
        </w:rPr>
      </w:pPr>
      <w:r>
        <w:rPr>
          <w:rFonts w:hint="eastAsia" w:ascii="仿宋" w:hAnsi="仿宋" w:eastAsia="仿宋"/>
          <w:color w:val="000000" w:themeColor="text1"/>
          <w:sz w:val="28"/>
          <w:szCs w:val="28"/>
        </w:rPr>
        <w:t xml:space="preserve">     地址：</w:t>
      </w:r>
      <w:r>
        <w:rPr>
          <w:rFonts w:hint="eastAsia" w:ascii="仿宋" w:hAnsi="仿宋" w:eastAsia="仿宋"/>
          <w:color w:val="000000" w:themeColor="text1"/>
          <w:sz w:val="28"/>
          <w:szCs w:val="28"/>
          <w:u w:val="single"/>
        </w:rPr>
        <w:t>南通市崇川区城港路56号</w:t>
      </w:r>
    </w:p>
    <w:p w14:paraId="5753515F">
      <w:pPr>
        <w:spacing w:line="360" w:lineRule="auto"/>
        <w:rPr>
          <w:rFonts w:hint="eastAsia" w:ascii="仿宋" w:hAnsi="仿宋" w:eastAsia="仿宋"/>
          <w:color w:val="000000" w:themeColor="text1"/>
          <w:sz w:val="28"/>
          <w:szCs w:val="28"/>
          <w:u w:val="single"/>
        </w:rPr>
      </w:pPr>
      <w:r>
        <w:rPr>
          <w:rFonts w:hint="eastAsia" w:ascii="仿宋" w:hAnsi="仿宋" w:eastAsia="仿宋"/>
          <w:color w:val="000000" w:themeColor="text1"/>
          <w:sz w:val="28"/>
          <w:szCs w:val="28"/>
        </w:rPr>
        <w:t xml:space="preserve">     联系方式：</w:t>
      </w:r>
      <w:bookmarkStart w:id="48" w:name="_Toc28359009"/>
      <w:bookmarkStart w:id="49" w:name="_Toc28359086"/>
      <w:r>
        <w:rPr>
          <w:rFonts w:hint="eastAsia" w:ascii="仿宋" w:hAnsi="仿宋" w:eastAsia="仿宋"/>
          <w:color w:val="000000" w:themeColor="text1"/>
          <w:sz w:val="28"/>
          <w:szCs w:val="28"/>
          <w:u w:val="single"/>
        </w:rPr>
        <w:t>0513-89106010</w:t>
      </w:r>
    </w:p>
    <w:p w14:paraId="51D17C9D">
      <w:pPr>
        <w:spacing w:line="360" w:lineRule="auto"/>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2</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采购代理机构信息</w:t>
      </w:r>
      <w:bookmarkEnd w:id="48"/>
      <w:bookmarkEnd w:id="49"/>
    </w:p>
    <w:p w14:paraId="6F9EB8FD">
      <w:pPr>
        <w:spacing w:line="360" w:lineRule="auto"/>
        <w:ind w:firstLine="840" w:firstLineChars="3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sz w:val="28"/>
          <w:szCs w:val="28"/>
          <w:u w:val="single"/>
          <w:lang w:eastAsia="zh-CN"/>
        </w:rPr>
        <w:t>江苏建诚工程咨询有限公司</w:t>
      </w:r>
    </w:p>
    <w:p w14:paraId="52177FCB">
      <w:pPr>
        <w:spacing w:line="360" w:lineRule="auto"/>
        <w:ind w:firstLine="840" w:firstLineChars="300"/>
        <w:rPr>
          <w:rFonts w:hint="eastAsia" w:ascii="仿宋" w:hAnsi="仿宋" w:eastAsia="仿宋"/>
          <w:color w:val="000000" w:themeColor="text1"/>
          <w:sz w:val="28"/>
          <w:szCs w:val="28"/>
          <w:u w:val="single"/>
        </w:rPr>
      </w:pPr>
      <w:r>
        <w:rPr>
          <w:rFonts w:hint="eastAsia" w:ascii="仿宋" w:hAnsi="仿宋" w:eastAsia="仿宋"/>
          <w:color w:val="000000" w:themeColor="text1"/>
          <w:sz w:val="28"/>
          <w:szCs w:val="28"/>
        </w:rPr>
        <w:t>地　址：</w:t>
      </w:r>
      <w:r>
        <w:rPr>
          <w:rFonts w:hint="eastAsia" w:ascii="仿宋" w:hAnsi="仿宋" w:eastAsia="仿宋"/>
          <w:color w:val="000000" w:themeColor="text1"/>
          <w:sz w:val="28"/>
          <w:szCs w:val="28"/>
          <w:u w:val="single"/>
        </w:rPr>
        <w:t>南通市崇川区崇川路58号产业技术研究院9幢601室</w:t>
      </w:r>
    </w:p>
    <w:p w14:paraId="346A2055">
      <w:pPr>
        <w:spacing w:line="360" w:lineRule="auto"/>
        <w:ind w:firstLine="840" w:firstLineChars="300"/>
        <w:rPr>
          <w:rFonts w:hint="eastAsia" w:ascii="仿宋" w:hAnsi="仿宋" w:eastAsia="仿宋"/>
          <w:color w:val="000000" w:themeColor="text1"/>
          <w:sz w:val="28"/>
          <w:szCs w:val="28"/>
          <w:u w:val="single"/>
          <w:lang w:val="en-US" w:eastAsia="zh-CN"/>
        </w:rPr>
      </w:pPr>
      <w:r>
        <w:rPr>
          <w:rFonts w:hint="eastAsia" w:ascii="仿宋" w:hAnsi="仿宋" w:eastAsia="仿宋"/>
          <w:color w:val="000000" w:themeColor="text1"/>
          <w:sz w:val="28"/>
          <w:szCs w:val="28"/>
        </w:rPr>
        <w:t>联系方式：</w:t>
      </w:r>
      <w:bookmarkStart w:id="50" w:name="_Toc28359010"/>
      <w:bookmarkStart w:id="51" w:name="_Toc28359087"/>
      <w:r>
        <w:rPr>
          <w:rFonts w:hint="eastAsia" w:ascii="仿宋" w:hAnsi="仿宋" w:eastAsia="仿宋"/>
          <w:color w:val="000000" w:themeColor="text1"/>
          <w:sz w:val="28"/>
          <w:szCs w:val="28"/>
          <w:u w:val="single"/>
          <w:lang w:val="en-US" w:eastAsia="zh-CN"/>
        </w:rPr>
        <w:t>13962984806</w:t>
      </w:r>
    </w:p>
    <w:p w14:paraId="2CB6F4CD">
      <w:pPr>
        <w:spacing w:line="360" w:lineRule="auto"/>
        <w:ind w:firstLine="840" w:firstLineChars="300"/>
        <w:rPr>
          <w:rFonts w:ascii="仿宋" w:hAnsi="仿宋" w:eastAsia="仿宋"/>
          <w:color w:val="000000" w:themeColor="text1"/>
          <w:sz w:val="28"/>
          <w:szCs w:val="28"/>
          <w:u w:val="single"/>
        </w:rPr>
      </w:pPr>
      <w:r>
        <w:rPr>
          <w:rFonts w:ascii="仿宋" w:hAnsi="仿宋" w:eastAsia="仿宋" w:cs="宋体"/>
          <w:color w:val="000000" w:themeColor="text1"/>
          <w:sz w:val="28"/>
          <w:szCs w:val="28"/>
        </w:rPr>
        <w:t>3</w:t>
      </w:r>
      <w:r>
        <w:rPr>
          <w:rFonts w:hint="eastAsia" w:ascii="仿宋" w:hAnsi="仿宋" w:eastAsia="仿宋" w:cs="宋体"/>
          <w:color w:val="000000" w:themeColor="text1"/>
          <w:sz w:val="28"/>
          <w:szCs w:val="28"/>
          <w:lang w:eastAsia="zh-CN"/>
        </w:rPr>
        <w:t>、</w:t>
      </w:r>
      <w:r>
        <w:rPr>
          <w:rFonts w:hint="eastAsia" w:ascii="仿宋" w:hAnsi="仿宋" w:eastAsia="仿宋" w:cs="宋体"/>
          <w:color w:val="000000" w:themeColor="text1"/>
          <w:sz w:val="28"/>
          <w:szCs w:val="28"/>
        </w:rPr>
        <w:t>项目联系方式</w:t>
      </w:r>
      <w:bookmarkEnd w:id="50"/>
      <w:bookmarkEnd w:id="51"/>
    </w:p>
    <w:p w14:paraId="37C04630">
      <w:pPr>
        <w:pStyle w:val="27"/>
        <w:spacing w:line="360" w:lineRule="auto"/>
        <w:ind w:firstLine="840" w:firstLineChars="3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项目联系人：</w:t>
      </w:r>
      <w:r>
        <w:rPr>
          <w:rFonts w:hint="eastAsia" w:ascii="仿宋" w:hAnsi="仿宋" w:eastAsia="仿宋"/>
          <w:color w:val="000000" w:themeColor="text1"/>
          <w:sz w:val="28"/>
          <w:szCs w:val="28"/>
          <w:u w:val="single"/>
          <w:lang w:val="en-US" w:eastAsia="zh-CN"/>
        </w:rPr>
        <w:t>孙霞</w:t>
      </w:r>
    </w:p>
    <w:p w14:paraId="48F64EE2">
      <w:pPr>
        <w:spacing w:line="360" w:lineRule="auto"/>
        <w:ind w:firstLine="840" w:firstLineChars="300"/>
        <w:rPr>
          <w:rFonts w:ascii="仿宋" w:hAnsi="仿宋" w:eastAsia="仿宋"/>
          <w:color w:val="000000" w:themeColor="text1"/>
          <w:sz w:val="28"/>
          <w:szCs w:val="28"/>
          <w:u w:val="single"/>
        </w:rPr>
      </w:pPr>
      <w:r>
        <w:rPr>
          <w:rFonts w:hint="eastAsia" w:ascii="仿宋" w:hAnsi="仿宋" w:eastAsia="仿宋"/>
          <w:color w:val="000000" w:themeColor="text1"/>
          <w:sz w:val="28"/>
          <w:szCs w:val="28"/>
        </w:rPr>
        <w:t>电　话：</w:t>
      </w:r>
      <w:r>
        <w:rPr>
          <w:rFonts w:hint="eastAsia" w:ascii="仿宋" w:hAnsi="仿宋" w:eastAsia="仿宋"/>
          <w:color w:val="000000" w:themeColor="text1"/>
          <w:sz w:val="28"/>
          <w:szCs w:val="28"/>
          <w:u w:val="single"/>
        </w:rPr>
        <w:t>13962984806</w:t>
      </w:r>
    </w:p>
    <w:p w14:paraId="537A8EDD">
      <w:pPr>
        <w:widowControl/>
        <w:jc w:val="left"/>
        <w:rPr>
          <w:rFonts w:ascii="仿宋" w:hAnsi="仿宋" w:eastAsia="仿宋"/>
          <w:color w:val="000000" w:themeColor="text1"/>
          <w:sz w:val="28"/>
          <w:szCs w:val="28"/>
        </w:rPr>
      </w:pPr>
    </w:p>
    <w:p w14:paraId="1F8BD6E6">
      <w:pPr>
        <w:spacing w:line="480" w:lineRule="exact"/>
        <w:jc w:val="left"/>
        <w:rPr>
          <w:rFonts w:ascii="宋体"/>
          <w:color w:val="000000" w:themeColor="text1"/>
          <w:w w:val="80"/>
        </w:rPr>
      </w:pPr>
      <w:r>
        <w:rPr>
          <w:rFonts w:hint="eastAsia" w:ascii="宋体" w:hAnsi="宋体" w:cs="宋体"/>
          <w:b/>
          <w:bCs/>
          <w:color w:val="000000" w:themeColor="text1"/>
          <w:w w:val="80"/>
          <w:sz w:val="44"/>
          <w:szCs w:val="44"/>
        </w:rPr>
        <w:t xml:space="preserve">                第二章</w:t>
      </w:r>
      <w:bookmarkEnd w:id="10"/>
      <w:bookmarkEnd w:id="11"/>
      <w:bookmarkEnd w:id="12"/>
      <w:bookmarkEnd w:id="13"/>
      <w:bookmarkEnd w:id="14"/>
      <w:bookmarkEnd w:id="15"/>
      <w:bookmarkEnd w:id="16"/>
      <w:bookmarkEnd w:id="17"/>
      <w:bookmarkEnd w:id="18"/>
      <w:bookmarkEnd w:id="19"/>
      <w:r>
        <w:rPr>
          <w:rFonts w:hint="eastAsia" w:ascii="宋体" w:hAnsi="宋体" w:cs="宋体"/>
          <w:b/>
          <w:bCs/>
          <w:color w:val="000000" w:themeColor="text1"/>
          <w:w w:val="80"/>
          <w:sz w:val="44"/>
          <w:szCs w:val="44"/>
        </w:rPr>
        <w:t xml:space="preserve">  磋商供应商须知</w:t>
      </w:r>
      <w:bookmarkEnd w:id="20"/>
    </w:p>
    <w:p w14:paraId="577154D3">
      <w:pPr>
        <w:snapToGrid w:val="0"/>
        <w:spacing w:line="480" w:lineRule="exact"/>
        <w:ind w:firstLine="482" w:firstLineChars="200"/>
        <w:outlineLvl w:val="1"/>
        <w:rPr>
          <w:rFonts w:ascii="宋体"/>
          <w:b/>
          <w:bCs/>
          <w:color w:val="000000" w:themeColor="text1"/>
          <w:sz w:val="24"/>
          <w:szCs w:val="24"/>
        </w:rPr>
      </w:pPr>
      <w:bookmarkStart w:id="52" w:name="_Toc521201598"/>
      <w:bookmarkStart w:id="53" w:name="_Toc12670504"/>
      <w:bookmarkStart w:id="54" w:name="_Toc11554640"/>
      <w:bookmarkStart w:id="55" w:name="_Toc11499585"/>
      <w:bookmarkStart w:id="56" w:name="_Toc94544745"/>
      <w:bookmarkStart w:id="57" w:name="_Toc521203419"/>
      <w:bookmarkStart w:id="58" w:name="_Toc94585341"/>
      <w:bookmarkStart w:id="59" w:name="_Toc11500281"/>
      <w:bookmarkStart w:id="60" w:name="_Toc94544871"/>
      <w:bookmarkStart w:id="61" w:name="_Toc8895740"/>
      <w:r>
        <w:rPr>
          <w:rFonts w:hint="eastAsia" w:ascii="宋体" w:hAnsi="宋体" w:cs="宋体"/>
          <w:b/>
          <w:bCs/>
          <w:color w:val="000000" w:themeColor="text1"/>
          <w:sz w:val="24"/>
          <w:szCs w:val="24"/>
        </w:rPr>
        <w:t>一、说明</w:t>
      </w:r>
    </w:p>
    <w:p w14:paraId="2882F4D3">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、本竞争性磋商文件仅适用于</w:t>
      </w:r>
      <w:r>
        <w:rPr>
          <w:rFonts w:hint="eastAsia" w:ascii="宋体" w:hAnsi="宋体" w:cs="宋体"/>
          <w:color w:val="000000" w:themeColor="text1"/>
          <w:sz w:val="24"/>
          <w:szCs w:val="24"/>
          <w:lang w:eastAsia="zh-CN"/>
        </w:rPr>
        <w:t>江苏建诚工程咨询有限公司</w:t>
      </w:r>
      <w:r>
        <w:rPr>
          <w:rFonts w:hint="eastAsia" w:ascii="宋体" w:hAnsi="宋体" w:cs="宋体"/>
          <w:color w:val="000000" w:themeColor="text1"/>
          <w:sz w:val="24"/>
          <w:szCs w:val="24"/>
        </w:rPr>
        <w:t>组织的竞争性磋商采购活动。</w:t>
      </w:r>
    </w:p>
    <w:p w14:paraId="48184B59">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、竞争性磋商活动及因本次磋商产生的合同受中国法律制约和保护。</w:t>
      </w:r>
    </w:p>
    <w:p w14:paraId="03BCAA87">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、竞争性磋商文件的解释权属于</w:t>
      </w:r>
      <w:r>
        <w:rPr>
          <w:rFonts w:hint="eastAsia" w:ascii="宋体" w:hAnsi="宋体" w:cs="宋体"/>
          <w:color w:val="000000" w:themeColor="text1"/>
          <w:sz w:val="24"/>
          <w:szCs w:val="24"/>
          <w:lang w:eastAsia="zh-CN"/>
        </w:rPr>
        <w:t>江苏建诚工程咨询有限公司</w:t>
      </w:r>
      <w:r>
        <w:rPr>
          <w:rFonts w:hint="eastAsia" w:ascii="宋体" w:hAnsi="宋体" w:cs="宋体"/>
          <w:color w:val="000000" w:themeColor="text1"/>
          <w:sz w:val="24"/>
          <w:szCs w:val="24"/>
        </w:rPr>
        <w:t>。</w:t>
      </w:r>
    </w:p>
    <w:p w14:paraId="0528A2D9">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w:t>
      </w:r>
      <w:r>
        <w:rPr>
          <w:rFonts w:hint="eastAsia" w:ascii="宋体" w:hAnsi="宋体"/>
          <w:color w:val="000000" w:themeColor="text1"/>
          <w:sz w:val="24"/>
        </w:rPr>
        <w:t>投标供应商在知道或应当知道本项目招标公告及招标文件中的所有内容：如内容或页码短缺、资格要求和技术参数出现倾向性或排他性等表述的，应在本项目招标公告期限及期限届满之日后提出询问或以书面实名制形式提出质疑；未提出询问、质疑或是未在规定期间内提出询问、质疑的，视作供应商接受本项目招标公告及招标</w:t>
      </w:r>
      <w:r>
        <w:rPr>
          <w:rFonts w:hint="eastAsia" w:ascii="宋体" w:hAnsi="宋体" w:cs="宋体"/>
          <w:color w:val="000000" w:themeColor="text1"/>
          <w:sz w:val="24"/>
        </w:rPr>
        <w:t>文件中的全部内容；投标供应商不得在招标活动期间及招标结束后针对本项目招标公告及招标文件中的所有内容提出质疑、投诉。</w:t>
      </w:r>
      <w:r>
        <w:rPr>
          <w:rFonts w:hint="eastAsia" w:ascii="宋体" w:hAnsi="宋体" w:cs="宋体"/>
          <w:b/>
          <w:bCs/>
          <w:color w:val="000000" w:themeColor="text1"/>
          <w:sz w:val="24"/>
        </w:rPr>
        <w:t>非书面形式的不作为日后质疑提出的依据</w:t>
      </w:r>
      <w:r>
        <w:rPr>
          <w:rFonts w:hint="eastAsia" w:ascii="宋体" w:hAnsi="宋体"/>
          <w:b/>
          <w:bCs/>
          <w:color w:val="000000" w:themeColor="text1"/>
          <w:sz w:val="24"/>
        </w:rPr>
        <w:t>。</w:t>
      </w:r>
    </w:p>
    <w:p w14:paraId="6D1ED781">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7E2830D3">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二、磋商文件的澄清、修改、答疑</w:t>
      </w:r>
    </w:p>
    <w:p w14:paraId="228ABD6B">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、代理机构有权对发出的磋商文件进行必要的澄清、修改或补充。</w:t>
      </w:r>
    </w:p>
    <w:p w14:paraId="6658B5ED">
      <w:pPr>
        <w:snapToGrid w:val="0"/>
        <w:spacing w:line="480" w:lineRule="exact"/>
        <w:ind w:firstLine="480" w:firstLineChars="200"/>
        <w:jc w:val="left"/>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、磋商文件的澄清、修改、补充等内容均以书面明确的形式发布，并以南通市崇川区人民政府网发布的信息为准。</w:t>
      </w:r>
    </w:p>
    <w:p w14:paraId="407CD0CE">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、代理机构对磋商文件的澄清、修改将构成磋商文件的一部分，对响应磋商的供应商具有约束力。</w:t>
      </w:r>
    </w:p>
    <w:p w14:paraId="2286F2D4">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补充说明、澄清或修改的内容可能影响到竞争性磋商响应文件编制的，采购代理机构将在首次提交竞争性磋商响应文件截止日5天前，发布补充说明、澄清或修改公告。不足5日的，应当顺延首次提交竞争性磋商响应文件截止之日。</w:t>
      </w:r>
    </w:p>
    <w:p w14:paraId="10C61D75">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、除非代理机构以书面的形式对磋商文件作出澄清、修改及补充，供应商对涉及磋商文件的任何推论、理解和结论所造成的结果，均由供应商自负。</w:t>
      </w:r>
    </w:p>
    <w:p w14:paraId="6C5005B1">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、采购单位视情组织答疑会。如有产生答疑且对磋商文件内容有修改，代理机构将按照本须知有关规定，以补充通知（公告）的方式发出。</w:t>
      </w:r>
    </w:p>
    <w:p w14:paraId="57BA1084">
      <w:pPr>
        <w:snapToGrid w:val="0"/>
        <w:spacing w:line="48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三、响应文件的编制及装订</w:t>
      </w:r>
    </w:p>
    <w:p w14:paraId="1F01ED73">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供应商按磋商文件要求编写响应文件，并牢固装订成册。响应文件均需采用</w:t>
      </w:r>
      <w:r>
        <w:rPr>
          <w:rFonts w:ascii="宋体" w:hAnsi="宋体" w:cs="宋体"/>
          <w:color w:val="000000" w:themeColor="text1"/>
          <w:sz w:val="24"/>
          <w:szCs w:val="24"/>
        </w:rPr>
        <w:t>A4</w:t>
      </w:r>
      <w:r>
        <w:rPr>
          <w:rFonts w:hint="eastAsia" w:ascii="宋体" w:hAnsi="宋体" w:cs="宋体"/>
          <w:color w:val="000000" w:themeColor="text1"/>
          <w:sz w:val="24"/>
          <w:szCs w:val="24"/>
        </w:rPr>
        <w:t>纸（图纸等除外），不允许使用活页夹、拉杆夹、文件夹、塑料方便式书脊（插入式或穿孔式）装订。响应文件不得行间插字、涂改、增删，如修改错漏处，须经响应文件签署人签字并加盖公章。</w:t>
      </w:r>
    </w:p>
    <w:p w14:paraId="0FBA1BF1">
      <w:pPr>
        <w:snapToGrid w:val="0"/>
        <w:spacing w:line="360" w:lineRule="auto"/>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四、响应文件的份数和签署</w:t>
      </w:r>
    </w:p>
    <w:p w14:paraId="2517234B">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、响应文件由：</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1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①</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资格审查文件、</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2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②</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技术响应文件、</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3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③</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商务报价响应文件，共</w:t>
      </w:r>
      <w:r>
        <w:rPr>
          <w:rFonts w:ascii="宋体" w:hAnsi="宋体" w:cs="宋体"/>
          <w:color w:val="000000" w:themeColor="text1"/>
          <w:sz w:val="24"/>
          <w:szCs w:val="24"/>
        </w:rPr>
        <w:t>3</w:t>
      </w:r>
      <w:r>
        <w:rPr>
          <w:rFonts w:hint="eastAsia" w:ascii="宋体" w:hAnsi="宋体" w:cs="宋体"/>
          <w:color w:val="000000" w:themeColor="text1"/>
          <w:sz w:val="24"/>
          <w:szCs w:val="24"/>
        </w:rPr>
        <w:t>部分组成（以下由文件序号代称）。</w:t>
      </w:r>
    </w:p>
    <w:p w14:paraId="2AB3B2A0">
      <w:pPr>
        <w:snapToGrid w:val="0"/>
        <w:spacing w:line="360" w:lineRule="auto"/>
        <w:ind w:firstLine="480" w:firstLineChars="200"/>
        <w:rPr>
          <w:rFonts w:ascii="宋体"/>
          <w:color w:val="000000" w:themeColor="text1"/>
          <w:sz w:val="24"/>
          <w:szCs w:val="24"/>
          <w:u w:val="single"/>
        </w:rPr>
      </w:pPr>
      <w:r>
        <w:rPr>
          <w:rFonts w:ascii="宋体" w:hAnsi="宋体" w:cs="宋体"/>
          <w:color w:val="000000" w:themeColor="text1"/>
          <w:sz w:val="24"/>
          <w:szCs w:val="24"/>
        </w:rPr>
        <w:t>2</w:t>
      </w:r>
      <w:r>
        <w:rPr>
          <w:rFonts w:hint="eastAsia" w:ascii="宋体" w:hAnsi="宋体" w:cs="宋体"/>
          <w:color w:val="000000" w:themeColor="text1"/>
          <w:sz w:val="24"/>
          <w:szCs w:val="24"/>
        </w:rPr>
        <w:t>、响应文件均为一式叁份，其中“正本”壹份和“副本”贰份。</w:t>
      </w:r>
    </w:p>
    <w:p w14:paraId="7E1529DC">
      <w:pPr>
        <w:snapToGrid w:val="0"/>
        <w:spacing w:line="360" w:lineRule="auto"/>
        <w:ind w:firstLine="470" w:firstLineChars="196"/>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、在每份响应文件上要明确标注项目名称、对应的响应文件名称、供应商的全称、日期、“正本”、“副本”字样。“正本”和“副本”若有差异，概以“正本”为准。</w:t>
      </w:r>
    </w:p>
    <w:p w14:paraId="393E5A57">
      <w:pPr>
        <w:snapToGrid w:val="0"/>
        <w:spacing w:line="360" w:lineRule="auto"/>
        <w:ind w:firstLine="470" w:firstLineChars="196"/>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、供应商可将响应文件正副本统一密封或分别密封，如正本和副本分别密封的，应在封袋上标明正、副本字样。</w:t>
      </w:r>
    </w:p>
    <w:p w14:paraId="325E6EB8">
      <w:pPr>
        <w:snapToGrid w:val="0"/>
        <w:spacing w:line="360" w:lineRule="auto"/>
        <w:ind w:firstLine="470" w:firstLineChars="196"/>
        <w:rPr>
          <w:rFonts w:ascii="宋体" w:hAnsi="宋体" w:cs="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、响应文件中的所有“正本”，其正文内容</w:t>
      </w:r>
    </w:p>
    <w:p w14:paraId="7412D8F1">
      <w:pPr>
        <w:snapToGrid w:val="0"/>
        <w:spacing w:line="360" w:lineRule="auto"/>
        <w:ind w:firstLine="470" w:firstLineChars="196"/>
        <w:rPr>
          <w:rFonts w:ascii="宋体"/>
          <w:color w:val="000000" w:themeColor="text1"/>
          <w:sz w:val="24"/>
          <w:szCs w:val="24"/>
        </w:rPr>
      </w:pPr>
      <w:r>
        <w:rPr>
          <w:rFonts w:hint="eastAsia" w:ascii="宋体" w:hAnsi="宋体" w:cs="宋体"/>
          <w:color w:val="000000" w:themeColor="text1"/>
          <w:sz w:val="24"/>
          <w:szCs w:val="24"/>
        </w:rPr>
        <w:t>须按磋商文件要求由供应商法定代表人或被授权人签字（或盖章）并加盖单位公章。“副本”可复印，但须加盖单位公章。</w:t>
      </w:r>
    </w:p>
    <w:p w14:paraId="278A25CC">
      <w:pPr>
        <w:snapToGrid w:val="0"/>
        <w:spacing w:line="360" w:lineRule="auto"/>
        <w:ind w:firstLine="472" w:firstLineChars="196"/>
        <w:rPr>
          <w:rFonts w:ascii="宋体"/>
          <w:b/>
          <w:bCs/>
          <w:color w:val="000000" w:themeColor="text1"/>
          <w:sz w:val="24"/>
          <w:szCs w:val="24"/>
        </w:rPr>
      </w:pPr>
      <w:r>
        <w:rPr>
          <w:rFonts w:hint="eastAsia" w:ascii="宋体" w:hAnsi="宋体" w:cs="宋体"/>
          <w:b/>
          <w:bCs/>
          <w:color w:val="000000" w:themeColor="text1"/>
          <w:sz w:val="24"/>
          <w:szCs w:val="24"/>
        </w:rPr>
        <w:t>五、响应文件的密封及标记</w:t>
      </w:r>
    </w:p>
    <w:p w14:paraId="0B87067A">
      <w:pPr>
        <w:snapToGrid w:val="0"/>
        <w:spacing w:line="360" w:lineRule="auto"/>
        <w:ind w:firstLine="480" w:firstLineChars="200"/>
        <w:rPr>
          <w:rFonts w:ascii="宋体"/>
          <w:color w:val="000000" w:themeColor="text1"/>
          <w:sz w:val="24"/>
          <w:szCs w:val="24"/>
          <w:u w:val="single"/>
        </w:rPr>
      </w:pPr>
      <w:r>
        <w:rPr>
          <w:rFonts w:ascii="宋体" w:hAnsi="宋体" w:cs="宋体"/>
          <w:color w:val="000000" w:themeColor="text1"/>
          <w:sz w:val="24"/>
          <w:szCs w:val="24"/>
        </w:rPr>
        <w:t>1</w:t>
      </w:r>
      <w:r>
        <w:rPr>
          <w:rFonts w:hint="eastAsia" w:ascii="宋体" w:hAnsi="宋体" w:cs="宋体"/>
          <w:color w:val="000000" w:themeColor="text1"/>
          <w:sz w:val="24"/>
          <w:szCs w:val="24"/>
        </w:rPr>
        <w:t>、供应商须将本项目响应文件：</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1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①</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2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②</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、③</w:t>
      </w:r>
      <w:r>
        <w:rPr>
          <w:rFonts w:hint="eastAsia" w:ascii="宋体" w:hAnsi="宋体" w:cs="宋体"/>
          <w:b/>
          <w:bCs/>
          <w:color w:val="000000" w:themeColor="text1"/>
          <w:sz w:val="24"/>
          <w:szCs w:val="24"/>
        </w:rPr>
        <w:t>单独密封</w:t>
      </w:r>
      <w:r>
        <w:rPr>
          <w:rFonts w:hint="eastAsia" w:ascii="宋体" w:hAnsi="宋体" w:cs="宋体"/>
          <w:color w:val="000000" w:themeColor="text1"/>
          <w:sz w:val="24"/>
          <w:szCs w:val="24"/>
        </w:rPr>
        <w:t>。</w:t>
      </w:r>
    </w:p>
    <w:p w14:paraId="4781EE70">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、密封后，应在每一密封的响应文件上明确标注磋商项目名称、响应文件各自对应的名称、供应商的全称及日期。</w:t>
      </w:r>
    </w:p>
    <w:p w14:paraId="097428D2">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、在边缝处加盖供应商公章或骑缝签字。</w:t>
      </w:r>
    </w:p>
    <w:p w14:paraId="7AA934DD">
      <w:pPr>
        <w:snapToGrid w:val="0"/>
        <w:spacing w:line="360" w:lineRule="auto"/>
        <w:ind w:firstLine="472" w:firstLineChars="196"/>
        <w:rPr>
          <w:rFonts w:ascii="宋体" w:hAnsi="宋体" w:cs="宋体"/>
          <w:color w:val="000000" w:themeColor="text1"/>
          <w:sz w:val="24"/>
          <w:szCs w:val="24"/>
        </w:rPr>
      </w:pPr>
      <w:r>
        <w:rPr>
          <w:rFonts w:hint="eastAsia" w:ascii="宋体" w:hAnsi="宋体" w:cs="宋体"/>
          <w:b/>
          <w:bCs/>
          <w:color w:val="000000" w:themeColor="text1"/>
          <w:sz w:val="24"/>
          <w:szCs w:val="24"/>
        </w:rPr>
        <w:t>【特别提醒】</w:t>
      </w:r>
      <w:r>
        <w:rPr>
          <w:rFonts w:hint="eastAsia" w:ascii="宋体" w:hAnsi="宋体" w:cs="宋体"/>
          <w:color w:val="000000" w:themeColor="text1"/>
          <w:sz w:val="24"/>
          <w:szCs w:val="24"/>
        </w:rPr>
        <w:t>响应文件中的</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1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①</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和</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2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②</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的“正本”或“副本”中，均不得含有商务报价响应文件中报价表（报价单）内的任何项目价格，否则作无效投标处理。</w:t>
      </w:r>
    </w:p>
    <w:p w14:paraId="02687380">
      <w:pPr>
        <w:snapToGrid w:val="0"/>
        <w:spacing w:line="360" w:lineRule="auto"/>
        <w:ind w:firstLine="472" w:firstLineChars="196"/>
        <w:rPr>
          <w:rFonts w:ascii="宋体" w:hAnsi="宋体" w:cs="宋体"/>
          <w:b/>
          <w:color w:val="000000" w:themeColor="text1"/>
          <w:sz w:val="24"/>
          <w:szCs w:val="24"/>
        </w:rPr>
      </w:pPr>
      <w:r>
        <w:rPr>
          <w:rFonts w:hint="eastAsia" w:ascii="宋体" w:hAnsi="宋体" w:cs="宋体"/>
          <w:b/>
          <w:color w:val="000000" w:themeColor="text1"/>
          <w:sz w:val="24"/>
          <w:szCs w:val="24"/>
        </w:rPr>
        <w:t>六、</w:t>
      </w:r>
      <w:r>
        <w:rPr>
          <w:rFonts w:ascii="宋体" w:hAnsi="宋体" w:cs="宋体"/>
          <w:b/>
          <w:color w:val="000000" w:themeColor="text1"/>
          <w:sz w:val="24"/>
          <w:szCs w:val="24"/>
        </w:rPr>
        <w:t>递交时间</w:t>
      </w:r>
    </w:p>
    <w:p w14:paraId="04087897">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w:t>
      </w:r>
      <w:r>
        <w:rPr>
          <w:rFonts w:ascii="宋体" w:hAnsi="宋体" w:cs="宋体"/>
          <w:color w:val="000000" w:themeColor="text1"/>
          <w:sz w:val="24"/>
          <w:szCs w:val="24"/>
        </w:rPr>
        <w:t>供应商须在规定的投标文件接收截止时间前送达指定地点。供应商送达投标文件，即视为已投标参加政府采购活动。</w:t>
      </w:r>
    </w:p>
    <w:p w14:paraId="35572F81">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政府采购信用管理暂行办法》第九条的规定，将被列作一般失信行为。</w:t>
      </w:r>
    </w:p>
    <w:p w14:paraId="5492645E">
      <w:pPr>
        <w:snapToGrid w:val="0"/>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七、投标文件的有效期</w:t>
      </w:r>
    </w:p>
    <w:p w14:paraId="0ED434BE">
      <w:pPr>
        <w:snapToGrid w:val="0"/>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1、从投标文件接收截止之日算起，</w:t>
      </w:r>
      <w:r>
        <w:rPr>
          <w:rFonts w:hint="eastAsia" w:ascii="宋体" w:hAnsi="宋体" w:cs="宋体"/>
          <w:b/>
          <w:color w:val="000000" w:themeColor="text1"/>
          <w:sz w:val="24"/>
        </w:rPr>
        <w:t>45</w:t>
      </w:r>
      <w:r>
        <w:rPr>
          <w:rFonts w:hint="eastAsia" w:ascii="宋体" w:hAnsi="宋体" w:cs="宋体"/>
          <w:color w:val="000000" w:themeColor="text1"/>
          <w:sz w:val="24"/>
        </w:rPr>
        <w:t>个“日历天”内投标书应保持有效。有效期短于这个规定期限的，投标将被拒绝。</w:t>
      </w:r>
    </w:p>
    <w:p w14:paraId="71264AC0">
      <w:pPr>
        <w:snapToGrid w:val="0"/>
        <w:spacing w:line="460" w:lineRule="exact"/>
        <w:ind w:firstLine="470" w:firstLineChars="196"/>
        <w:outlineLvl w:val="1"/>
        <w:rPr>
          <w:rFonts w:ascii="宋体" w:hAnsi="宋体" w:cs="宋体"/>
          <w:b/>
          <w:color w:val="000000" w:themeColor="text1"/>
          <w:sz w:val="24"/>
        </w:rPr>
      </w:pPr>
      <w:r>
        <w:rPr>
          <w:rFonts w:hint="eastAsia" w:ascii="宋体" w:hAnsi="宋体" w:cs="宋体"/>
          <w:color w:val="000000" w:themeColor="text1"/>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6EE37FBB">
      <w:pPr>
        <w:snapToGrid w:val="0"/>
        <w:spacing w:line="360" w:lineRule="auto"/>
        <w:ind w:firstLine="496" w:firstLineChars="206"/>
        <w:outlineLvl w:val="1"/>
        <w:rPr>
          <w:rFonts w:ascii="宋体"/>
          <w:b/>
          <w:bCs/>
          <w:color w:val="000000" w:themeColor="text1"/>
          <w:sz w:val="24"/>
          <w:szCs w:val="24"/>
        </w:rPr>
      </w:pPr>
      <w:r>
        <w:rPr>
          <w:rFonts w:hint="eastAsia" w:ascii="宋体" w:hAnsi="宋体" w:cs="宋体"/>
          <w:b/>
          <w:bCs/>
          <w:color w:val="000000" w:themeColor="text1"/>
          <w:sz w:val="24"/>
          <w:szCs w:val="24"/>
        </w:rPr>
        <w:t>八、磋商报价</w:t>
      </w:r>
    </w:p>
    <w:p w14:paraId="101BEF86">
      <w:pPr>
        <w:snapToGrid w:val="0"/>
        <w:spacing w:line="360" w:lineRule="auto"/>
        <w:ind w:firstLine="494" w:firstLineChars="206"/>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、本项目不接受任何有选择的报价。</w:t>
      </w:r>
    </w:p>
    <w:p w14:paraId="5085820A">
      <w:pPr>
        <w:snapToGrid w:val="0"/>
        <w:spacing w:line="360" w:lineRule="auto"/>
        <w:ind w:firstLine="494" w:firstLineChars="206"/>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、磋商报价均以人民币为报价的币种。</w:t>
      </w:r>
    </w:p>
    <w:p w14:paraId="5B5F0651">
      <w:pPr>
        <w:snapToGrid w:val="0"/>
        <w:spacing w:line="360" w:lineRule="auto"/>
        <w:ind w:firstLine="494" w:firstLineChars="206"/>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、磋商报价表必须加盖单位公章且必须经法定代表人或被授权人签字或盖章。报价表中的大写金额与小写金额、总价金额与按单价汇总金额，若有差异，将执行财政部公布第</w:t>
      </w:r>
      <w:r>
        <w:rPr>
          <w:rFonts w:ascii="宋体" w:hAnsi="宋体" w:cs="宋体"/>
          <w:color w:val="000000" w:themeColor="text1"/>
          <w:sz w:val="24"/>
          <w:szCs w:val="24"/>
        </w:rPr>
        <w:t>87</w:t>
      </w:r>
      <w:r>
        <w:rPr>
          <w:rFonts w:hint="eastAsia" w:ascii="宋体" w:hAnsi="宋体" w:cs="宋体"/>
          <w:color w:val="000000" w:themeColor="text1"/>
          <w:sz w:val="24"/>
          <w:szCs w:val="24"/>
        </w:rPr>
        <w:t>号令《政府采购货物和服务招标投标管理办法》第</w:t>
      </w:r>
      <w:r>
        <w:rPr>
          <w:rFonts w:ascii="宋体" w:hAnsi="宋体" w:cs="宋体"/>
          <w:color w:val="000000" w:themeColor="text1"/>
          <w:sz w:val="24"/>
          <w:szCs w:val="24"/>
        </w:rPr>
        <w:t>59</w:t>
      </w:r>
      <w:r>
        <w:rPr>
          <w:rFonts w:hint="eastAsia" w:ascii="宋体" w:hAnsi="宋体" w:cs="宋体"/>
          <w:color w:val="000000" w:themeColor="text1"/>
          <w:sz w:val="24"/>
          <w:szCs w:val="24"/>
        </w:rPr>
        <w:t>条的规定。</w:t>
      </w:r>
    </w:p>
    <w:p w14:paraId="7F691745">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、报价应包含下列费用：</w:t>
      </w:r>
    </w:p>
    <w:p w14:paraId="39ADB0B6">
      <w:pPr>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w:t>
      </w:r>
      <w:r>
        <w:rPr>
          <w:rFonts w:hint="eastAsia" w:ascii="宋体" w:hAnsi="宋体" w:cs="宋体"/>
          <w:color w:val="000000" w:themeColor="text1"/>
          <w:sz w:val="24"/>
          <w:szCs w:val="24"/>
        </w:rPr>
        <w:t>磋商报价（以人民币计价）为项目成果</w:t>
      </w:r>
      <w:r>
        <w:rPr>
          <w:rFonts w:hint="eastAsia" w:ascii="宋体" w:hAnsi="宋体" w:cs="宋体"/>
          <w:color w:val="000000" w:themeColor="text1"/>
          <w:sz w:val="24"/>
          <w:szCs w:val="24"/>
          <w:highlight w:val="none"/>
        </w:rPr>
        <w:t>通过江苏省文物局</w:t>
      </w:r>
      <w:r>
        <w:rPr>
          <w:rFonts w:hint="eastAsia" w:ascii="宋体" w:hAnsi="宋体" w:cs="宋体"/>
          <w:color w:val="000000" w:themeColor="text1"/>
          <w:sz w:val="24"/>
          <w:szCs w:val="24"/>
        </w:rPr>
        <w:t>结项验收的全部价格，包含本项目所有人员的工资福利及社保、核查费、分析费、材料费、车辆费、报告编制费、管理费、专家评审费、利润、税金及合同实施过程中的不可预见等所有费用，即完成本</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项目的所有费用。</w:t>
      </w:r>
    </w:p>
    <w:p w14:paraId="2B49EC39">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5、除非因特殊原因并经买卖双方协商同意，成交的供应商（以下称成交人）不得再要求追加任何费用。同时，除非合同条款中另有规定，否则，成交人的成交价在合同实施期间不因市场变化因素而变动。</w:t>
      </w:r>
    </w:p>
    <w:p w14:paraId="217F59D4">
      <w:pPr>
        <w:snapToGrid w:val="0"/>
        <w:spacing w:line="360" w:lineRule="auto"/>
        <w:ind w:firstLine="496" w:firstLineChars="206"/>
        <w:outlineLvl w:val="1"/>
        <w:rPr>
          <w:rFonts w:ascii="宋体" w:hAnsi="宋体" w:cs="宋体"/>
          <w:b/>
          <w:bCs/>
          <w:color w:val="000000" w:themeColor="text1"/>
          <w:sz w:val="24"/>
          <w:szCs w:val="24"/>
        </w:rPr>
      </w:pPr>
      <w:r>
        <w:rPr>
          <w:rFonts w:hint="eastAsia" w:ascii="宋体" w:hAnsi="宋体" w:cs="宋体"/>
          <w:b/>
          <w:bCs/>
          <w:color w:val="000000" w:themeColor="text1"/>
          <w:sz w:val="24"/>
          <w:szCs w:val="24"/>
        </w:rPr>
        <w:t>九、项目</w:t>
      </w:r>
      <w:r>
        <w:rPr>
          <w:rFonts w:hint="eastAsia" w:ascii="宋体" w:hAnsi="宋体" w:cs="宋体"/>
          <w:b/>
          <w:bCs/>
          <w:color w:val="000000" w:themeColor="text1"/>
          <w:sz w:val="24"/>
          <w:szCs w:val="24"/>
          <w:lang w:val="en-US" w:eastAsia="zh-CN"/>
        </w:rPr>
        <w:t>涉及到</w:t>
      </w:r>
      <w:r>
        <w:rPr>
          <w:rFonts w:hint="eastAsia" w:ascii="宋体" w:hAnsi="宋体" w:cs="宋体"/>
          <w:b/>
          <w:bCs/>
          <w:color w:val="000000" w:themeColor="text1"/>
          <w:sz w:val="24"/>
          <w:szCs w:val="24"/>
        </w:rPr>
        <w:t>的现场勘察</w:t>
      </w:r>
    </w:p>
    <w:p w14:paraId="13E34ED5">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1、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14:paraId="7DEE9D87">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2、采购人向供应商提供有关现场的资料和数据，是采购人现有的并认为能使供应商</w:t>
      </w:r>
      <w:r>
        <w:rPr>
          <w:rFonts w:hint="eastAsia" w:ascii="宋体" w:hAnsi="宋体" w:cs="宋体"/>
          <w:color w:val="000000" w:themeColor="text1"/>
          <w:sz w:val="24"/>
          <w:szCs w:val="24"/>
          <w:lang w:val="en-US" w:eastAsia="zh-CN"/>
        </w:rPr>
        <w:t>可</w:t>
      </w:r>
      <w:r>
        <w:rPr>
          <w:rFonts w:hint="eastAsia" w:ascii="宋体" w:hAnsi="宋体" w:cs="宋体"/>
          <w:color w:val="000000" w:themeColor="text1"/>
          <w:sz w:val="24"/>
          <w:szCs w:val="24"/>
        </w:rPr>
        <w:t>利用的资料。采购人对供应商由此而做出的推论、理解和结论概不负责。</w:t>
      </w:r>
    </w:p>
    <w:p w14:paraId="60509627">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3、潜在供应商为响应项目而勘察现场，但不得因此使采购人承担有关的责任和蒙受损失。供应商须承担勘察现场而带来的一切责任及风险。</w:t>
      </w:r>
    </w:p>
    <w:p w14:paraId="6A7DA206">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4、供应商应在现场勘察时，熟悉现场及周围交通道路等情况，以获得一切可能影响磋商响应内容的直接资料。供应商成交后，不得以不完全了解现场情况为理由而向采购人提出任何索赔的要求，对此采购人不承担任何责任，并且将不</w:t>
      </w:r>
      <w:r>
        <w:rPr>
          <w:rFonts w:hint="eastAsia" w:ascii="宋体" w:hAnsi="宋体" w:cs="宋体"/>
          <w:color w:val="000000" w:themeColor="text1"/>
          <w:sz w:val="24"/>
          <w:szCs w:val="24"/>
          <w:lang w:val="en-US" w:eastAsia="zh-CN"/>
        </w:rPr>
        <w:t>作</w:t>
      </w:r>
      <w:r>
        <w:rPr>
          <w:rFonts w:hint="eastAsia" w:ascii="宋体" w:hAnsi="宋体" w:cs="宋体"/>
          <w:color w:val="000000" w:themeColor="text1"/>
          <w:sz w:val="24"/>
          <w:szCs w:val="24"/>
        </w:rPr>
        <w:t>任何答复。</w:t>
      </w:r>
    </w:p>
    <w:p w14:paraId="59B5E3FD">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十、联合体参与磋商</w:t>
      </w:r>
    </w:p>
    <w:p w14:paraId="4B6218C2">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不接受任何形式的联合体参与本项目的竞争性磋商。</w:t>
      </w:r>
    </w:p>
    <w:p w14:paraId="530A6AC2">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w:t>
      </w:r>
      <w:r>
        <w:rPr>
          <w:rFonts w:hint="eastAsia" w:ascii="宋体" w:hAnsi="宋体" w:cs="宋体"/>
          <w:b/>
          <w:color w:val="000000" w:themeColor="text1"/>
          <w:sz w:val="24"/>
          <w:szCs w:val="24"/>
          <w:lang w:val="en-US" w:eastAsia="zh-CN"/>
        </w:rPr>
        <w:t>一</w:t>
      </w:r>
      <w:r>
        <w:rPr>
          <w:rFonts w:hint="eastAsia" w:ascii="宋体" w:hAnsi="宋体" w:cs="宋体"/>
          <w:b/>
          <w:color w:val="000000" w:themeColor="text1"/>
          <w:sz w:val="24"/>
          <w:szCs w:val="24"/>
        </w:rPr>
        <w:t>、响应文件及磋商费用</w:t>
      </w:r>
    </w:p>
    <w:p w14:paraId="37143609">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1、磋商程序顺利进行后，除供应商的原件可退回外，其余所有的响应文件都将作为档案保存，不论成交与否，代理机构均不退回（未拆封的除外）。</w:t>
      </w:r>
    </w:p>
    <w:p w14:paraId="2371D6AF">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2、无论磋商过程和结果如何，参加项目磋商的供应商自行承担与本次项目磋商有关的全部费用。</w:t>
      </w:r>
    </w:p>
    <w:p w14:paraId="47833A8B">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w:t>
      </w:r>
      <w:r>
        <w:rPr>
          <w:rFonts w:hint="eastAsia" w:ascii="宋体" w:hAnsi="宋体" w:cs="宋体"/>
          <w:b/>
          <w:bCs w:val="0"/>
          <w:color w:val="000000" w:themeColor="text1"/>
          <w:sz w:val="24"/>
          <w:szCs w:val="24"/>
          <w:lang w:val="en-US" w:eastAsia="zh-CN"/>
        </w:rPr>
        <w:t>二</w:t>
      </w:r>
      <w:r>
        <w:rPr>
          <w:rFonts w:hint="eastAsia" w:ascii="宋体" w:hAnsi="宋体" w:cs="宋体"/>
          <w:b/>
          <w:color w:val="000000" w:themeColor="text1"/>
          <w:sz w:val="24"/>
          <w:szCs w:val="24"/>
        </w:rPr>
        <w:t>、履约保证金</w:t>
      </w:r>
    </w:p>
    <w:p w14:paraId="0AFAEE8D">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1、本项目成交后的履约保证</w:t>
      </w:r>
      <w:r>
        <w:rPr>
          <w:rFonts w:hint="eastAsia" w:ascii="宋体" w:hAnsi="宋体" w:cs="宋体"/>
          <w:color w:val="000000" w:themeColor="text1"/>
          <w:sz w:val="24"/>
          <w:szCs w:val="24"/>
          <w:highlight w:val="none"/>
        </w:rPr>
        <w:t>金为</w:t>
      </w:r>
      <w:r>
        <w:rPr>
          <w:rFonts w:hint="eastAsia" w:ascii="宋体" w:hAnsi="宋体" w:cs="宋体"/>
          <w:b/>
          <w:bCs/>
          <w:color w:val="000000" w:themeColor="text1"/>
          <w:sz w:val="24"/>
          <w:szCs w:val="24"/>
          <w:highlight w:val="none"/>
          <w:lang w:val="en-US" w:eastAsia="zh-CN"/>
        </w:rPr>
        <w:t>贰万元</w:t>
      </w:r>
      <w:r>
        <w:rPr>
          <w:rFonts w:hint="eastAsia" w:ascii="宋体" w:hAnsi="宋体" w:cs="宋体"/>
          <w:b/>
          <w:bCs/>
          <w:color w:val="000000" w:themeColor="text1"/>
          <w:sz w:val="24"/>
          <w:szCs w:val="24"/>
          <w:highlight w:val="none"/>
        </w:rPr>
        <w:t>。</w:t>
      </w:r>
      <w:r>
        <w:rPr>
          <w:rFonts w:hint="eastAsia" w:ascii="宋体" w:hAnsi="宋体" w:cs="宋体"/>
          <w:color w:val="000000" w:themeColor="text1"/>
          <w:sz w:val="24"/>
          <w:szCs w:val="24"/>
          <w:highlight w:val="none"/>
        </w:rPr>
        <w:t xml:space="preserve"> </w:t>
      </w:r>
    </w:p>
    <w:p w14:paraId="42FD978A">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 xml:space="preserve">2、成交供应商的履约保证金须在成交通知书发出3个工作日内汇入采购人账户，成交供应商凭成交通知书、履约保证金缴纳凭证在成交通知书发出后15日内与采购人签订合同。超期或未有协商，则视为自动放弃成交资格。  </w:t>
      </w:r>
    </w:p>
    <w:p w14:paraId="7363D4E8">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3、成交供应商在按要求保质保量的完成该项目并通过验收后，采购人凭成交供应商提交的申请，一次性无息退还该合同项目的履约保证金。</w:t>
      </w:r>
    </w:p>
    <w:p w14:paraId="27E32284">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4、由于成交供应商原因，在签订合同后出现不按合同履行的情况，采购人有权将履约保证金作为违约金，全额不予退还，同时采购人亦有权终止合同，成交供应商还须承担相应的法律赔偿责任。</w:t>
      </w:r>
    </w:p>
    <w:p w14:paraId="0D0D526C">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w:t>
      </w:r>
      <w:r>
        <w:rPr>
          <w:rFonts w:hint="eastAsia" w:ascii="宋体" w:hAnsi="宋体" w:cs="宋体"/>
          <w:b/>
          <w:color w:val="000000" w:themeColor="text1"/>
          <w:sz w:val="24"/>
          <w:szCs w:val="24"/>
          <w:lang w:val="en-US" w:eastAsia="zh-CN"/>
        </w:rPr>
        <w:t>三</w:t>
      </w:r>
      <w:r>
        <w:rPr>
          <w:rFonts w:hint="eastAsia" w:ascii="宋体" w:hAnsi="宋体" w:cs="宋体"/>
          <w:b/>
          <w:color w:val="000000" w:themeColor="text1"/>
          <w:sz w:val="24"/>
          <w:szCs w:val="24"/>
        </w:rPr>
        <w:t>、未尽事宜</w:t>
      </w:r>
    </w:p>
    <w:p w14:paraId="588A3F62">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按《中华人民共和国政府采购法》、《政府采购竞争性磋商采购方式管理暂行办法》及其他有关法律法规的规定执行。</w:t>
      </w:r>
    </w:p>
    <w:p w14:paraId="76E4FC91">
      <w:pPr>
        <w:spacing w:line="360" w:lineRule="auto"/>
        <w:rPr>
          <w:rFonts w:ascii="宋体" w:hAnsi="宋体" w:cs="宋体"/>
          <w:color w:val="000000" w:themeColor="text1"/>
          <w:sz w:val="24"/>
          <w:szCs w:val="24"/>
        </w:rPr>
        <w:sectPr>
          <w:footerReference r:id="rId9" w:type="default"/>
          <w:pgSz w:w="11906" w:h="16838"/>
          <w:pgMar w:top="1134" w:right="1134" w:bottom="1134" w:left="1225" w:header="851" w:footer="992" w:gutter="0"/>
          <w:pgNumType w:fmt="decimal" w:start="1"/>
          <w:cols w:space="720" w:num="1"/>
          <w:docGrid w:linePitch="312" w:charSpace="0"/>
        </w:sectPr>
      </w:pPr>
      <w:bookmarkStart w:id="62" w:name="_Toc363573855"/>
    </w:p>
    <w:bookmarkEnd w:id="52"/>
    <w:bookmarkEnd w:id="53"/>
    <w:bookmarkEnd w:id="54"/>
    <w:bookmarkEnd w:id="55"/>
    <w:bookmarkEnd w:id="56"/>
    <w:bookmarkEnd w:id="57"/>
    <w:bookmarkEnd w:id="58"/>
    <w:bookmarkEnd w:id="59"/>
    <w:bookmarkEnd w:id="60"/>
    <w:bookmarkEnd w:id="61"/>
    <w:bookmarkEnd w:id="62"/>
    <w:p w14:paraId="4C068EB6">
      <w:pPr>
        <w:spacing w:line="360" w:lineRule="auto"/>
        <w:jc w:val="center"/>
        <w:rPr>
          <w:rFonts w:ascii="宋体" w:hAnsi="宋体" w:cs="宋体"/>
          <w:color w:val="000000" w:themeColor="text1"/>
          <w:sz w:val="24"/>
          <w:szCs w:val="24"/>
        </w:rPr>
      </w:pPr>
      <w:bookmarkStart w:id="63" w:name="_Toc521203420"/>
      <w:bookmarkStart w:id="64" w:name="_Toc363573856"/>
      <w:bookmarkStart w:id="65" w:name="_Toc94544872"/>
      <w:bookmarkStart w:id="66" w:name="_Toc94544746"/>
      <w:bookmarkStart w:id="67" w:name="_Toc12670505"/>
      <w:bookmarkStart w:id="68" w:name="_Toc11499586"/>
      <w:bookmarkStart w:id="69" w:name="_Toc13803483"/>
      <w:bookmarkStart w:id="70" w:name="_Toc11500282"/>
      <w:bookmarkStart w:id="71" w:name="_Toc8895741"/>
      <w:bookmarkStart w:id="72" w:name="_Toc94585342"/>
      <w:bookmarkStart w:id="73" w:name="_Toc521201599"/>
      <w:bookmarkStart w:id="74" w:name="_Toc11554641"/>
      <w:r>
        <w:rPr>
          <w:rFonts w:hint="eastAsia" w:ascii="宋体" w:hAnsi="宋体" w:cs="宋体"/>
          <w:b/>
          <w:bCs/>
          <w:color w:val="000000" w:themeColor="text1"/>
          <w:w w:val="80"/>
          <w:sz w:val="44"/>
          <w:szCs w:val="44"/>
        </w:rPr>
        <w:t>第三章  项目需求</w:t>
      </w:r>
    </w:p>
    <w:bookmarkEnd w:id="63"/>
    <w:bookmarkEnd w:id="64"/>
    <w:bookmarkEnd w:id="65"/>
    <w:bookmarkEnd w:id="66"/>
    <w:bookmarkEnd w:id="67"/>
    <w:bookmarkEnd w:id="68"/>
    <w:bookmarkEnd w:id="69"/>
    <w:bookmarkEnd w:id="70"/>
    <w:bookmarkEnd w:id="71"/>
    <w:bookmarkEnd w:id="72"/>
    <w:bookmarkEnd w:id="73"/>
    <w:bookmarkEnd w:id="74"/>
    <w:p w14:paraId="0B3F9799">
      <w:pPr>
        <w:spacing w:line="440" w:lineRule="exact"/>
        <w:ind w:firstLine="482" w:firstLineChars="200"/>
        <w:outlineLvl w:val="1"/>
        <w:rPr>
          <w:rFonts w:ascii="宋体" w:hAnsi="宋体" w:cs="宋体"/>
          <w:b/>
          <w:bCs/>
          <w:color w:val="000000" w:themeColor="text1"/>
          <w:sz w:val="24"/>
          <w:szCs w:val="24"/>
        </w:rPr>
      </w:pPr>
      <w:bookmarkStart w:id="75" w:name="_Toc11554642"/>
      <w:bookmarkStart w:id="76" w:name="_Toc94544873"/>
      <w:bookmarkStart w:id="77" w:name="_Toc11500283"/>
      <w:bookmarkStart w:id="78" w:name="_Toc94544747"/>
      <w:bookmarkStart w:id="79" w:name="_Toc11499587"/>
      <w:bookmarkStart w:id="80" w:name="_Toc13803484"/>
      <w:bookmarkStart w:id="81" w:name="_Toc12670506"/>
      <w:bookmarkStart w:id="82" w:name="_Toc8895742"/>
      <w:r>
        <w:rPr>
          <w:rFonts w:hint="eastAsia" w:ascii="宋体" w:hAnsi="宋体" w:cs="宋体"/>
          <w:b/>
          <w:bCs/>
          <w:color w:val="000000" w:themeColor="text1"/>
          <w:sz w:val="24"/>
          <w:szCs w:val="24"/>
        </w:rPr>
        <w:t>一、</w:t>
      </w:r>
      <w:r>
        <w:rPr>
          <w:rFonts w:hint="eastAsia" w:ascii="宋体" w:hAnsi="宋体" w:cs="宋体"/>
          <w:b/>
          <w:bCs/>
          <w:color w:val="000000" w:themeColor="text1"/>
          <w:kern w:val="0"/>
          <w:sz w:val="24"/>
          <w:szCs w:val="24"/>
          <w:lang w:val="zh-CN"/>
        </w:rPr>
        <w:t>项目概况</w:t>
      </w:r>
    </w:p>
    <w:p w14:paraId="14F06B5F">
      <w:pPr>
        <w:spacing w:line="440" w:lineRule="exact"/>
        <w:ind w:firstLine="480" w:firstLineChars="200"/>
        <w:rPr>
          <w:rFonts w:hint="eastAsia" w:ascii="宋体" w:hAnsi="宋体" w:cs="宋体"/>
          <w:color w:val="000000" w:themeColor="text1"/>
          <w:kern w:val="0"/>
          <w:sz w:val="24"/>
          <w:szCs w:val="24"/>
          <w:lang w:val="zh-CN"/>
        </w:rPr>
      </w:pPr>
      <w:r>
        <w:rPr>
          <w:rFonts w:hint="eastAsia" w:ascii="宋体" w:hAnsi="宋体" w:cs="宋体"/>
          <w:color w:val="000000" w:themeColor="text1"/>
          <w:kern w:val="0"/>
          <w:sz w:val="24"/>
          <w:szCs w:val="24"/>
          <w:lang w:val="zh-CN"/>
        </w:rPr>
        <w:t>1、项目名称：崇川区区管道路及绿地文物资源调查项目</w:t>
      </w:r>
    </w:p>
    <w:p w14:paraId="06804ACD">
      <w:pPr>
        <w:spacing w:line="440" w:lineRule="exact"/>
        <w:ind w:firstLine="480" w:firstLineChars="200"/>
        <w:rPr>
          <w:rFonts w:ascii="宋体" w:hAnsi="宋体" w:cs="宋体"/>
          <w:b/>
          <w:bCs/>
          <w:color w:val="000000" w:themeColor="text1"/>
          <w:sz w:val="24"/>
          <w:szCs w:val="24"/>
        </w:rPr>
      </w:pPr>
      <w:r>
        <w:rPr>
          <w:rFonts w:hint="eastAsia" w:ascii="宋体" w:hAnsi="宋体" w:cs="宋体"/>
          <w:color w:val="000000" w:themeColor="text1"/>
          <w:kern w:val="0"/>
          <w:sz w:val="24"/>
          <w:szCs w:val="24"/>
          <w:lang w:val="zh-CN"/>
        </w:rPr>
        <w:t>2、项目地点：南通市崇川区</w:t>
      </w:r>
    </w:p>
    <w:p w14:paraId="27264FA4">
      <w:pPr>
        <w:spacing w:line="440" w:lineRule="exact"/>
        <w:ind w:firstLine="482" w:firstLineChars="200"/>
        <w:outlineLvl w:val="1"/>
        <w:rPr>
          <w:rFonts w:ascii="宋体" w:hAnsi="宋体" w:cs="宋体"/>
          <w:b/>
          <w:bCs/>
          <w:color w:val="000000" w:themeColor="text1"/>
          <w:kern w:val="0"/>
          <w:sz w:val="24"/>
          <w:szCs w:val="24"/>
          <w:lang w:val="zh-CN"/>
        </w:rPr>
      </w:pPr>
      <w:r>
        <w:rPr>
          <w:rFonts w:hint="eastAsia" w:ascii="宋体" w:hAnsi="宋体" w:cs="宋体"/>
          <w:b/>
          <w:bCs/>
          <w:color w:val="000000" w:themeColor="text1"/>
          <w:kern w:val="0"/>
          <w:sz w:val="24"/>
          <w:szCs w:val="24"/>
          <w:lang w:val="zh-CN"/>
        </w:rPr>
        <w:t>二、项目主体要求</w:t>
      </w:r>
    </w:p>
    <w:p w14:paraId="7B574E91">
      <w:pPr>
        <w:pStyle w:val="2"/>
        <w:spacing w:after="0" w:line="440" w:lineRule="exact"/>
        <w:ind w:firstLine="480"/>
        <w:rPr>
          <w:rFonts w:ascii="宋体" w:hAnsi="宋体" w:cs="宋体"/>
          <w:color w:val="000000" w:themeColor="text1"/>
        </w:rPr>
      </w:pPr>
      <w:r>
        <w:rPr>
          <w:rFonts w:hint="eastAsia" w:ascii="宋体" w:hAnsi="宋体" w:cs="宋体"/>
          <w:color w:val="000000" w:themeColor="text1"/>
        </w:rPr>
        <w:t>1、总体要求及主要目标</w:t>
      </w:r>
    </w:p>
    <w:p w14:paraId="5B005142">
      <w:pPr>
        <w:pStyle w:val="204"/>
        <w:spacing w:line="440" w:lineRule="exact"/>
        <w:ind w:firstLine="48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对集秀路</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惠农路</w:t>
      </w:r>
      <w:r>
        <w:rPr>
          <w:rFonts w:hint="eastAsia" w:ascii="宋体" w:hAnsi="宋体" w:cs="宋体"/>
          <w:color w:val="000000" w:themeColor="text1"/>
          <w:sz w:val="24"/>
          <w:szCs w:val="24"/>
          <w:highlight w:val="none"/>
        </w:rPr>
        <w:t>等区管道路及绿地文物资源进行</w:t>
      </w:r>
      <w:r>
        <w:rPr>
          <w:rFonts w:hint="eastAsia" w:ascii="宋体" w:hAnsi="宋体" w:cs="宋体"/>
          <w:color w:val="000000" w:themeColor="text1"/>
          <w:sz w:val="24"/>
          <w:szCs w:val="24"/>
          <w:highlight w:val="none"/>
          <w:lang w:eastAsia="zh-CN"/>
        </w:rPr>
        <w:t>调查</w:t>
      </w:r>
      <w:r>
        <w:rPr>
          <w:rFonts w:hint="eastAsia" w:ascii="宋体" w:hAnsi="宋体" w:cs="宋体"/>
          <w:color w:val="000000" w:themeColor="text1"/>
          <w:sz w:val="24"/>
          <w:szCs w:val="24"/>
          <w:highlight w:val="none"/>
        </w:rPr>
        <w:t>。通过文物资源调查，明确</w:t>
      </w:r>
      <w:r>
        <w:rPr>
          <w:rFonts w:hint="eastAsia" w:ascii="宋体" w:hAnsi="宋体" w:cs="宋体"/>
          <w:color w:val="000000" w:themeColor="text1"/>
          <w:sz w:val="24"/>
          <w:szCs w:val="24"/>
          <w:highlight w:val="none"/>
          <w:lang w:eastAsia="zh-CN"/>
        </w:rPr>
        <w:t>调查</w:t>
      </w:r>
      <w:r>
        <w:rPr>
          <w:rFonts w:hint="eastAsia" w:ascii="宋体" w:hAnsi="宋体" w:cs="宋体"/>
          <w:color w:val="000000" w:themeColor="text1"/>
          <w:sz w:val="24"/>
          <w:szCs w:val="24"/>
          <w:highlight w:val="none"/>
        </w:rPr>
        <w:t>区域内文物资源情况，提出保护建议和要求，形成文物资源</w:t>
      </w:r>
      <w:r>
        <w:rPr>
          <w:rFonts w:hint="eastAsia" w:ascii="宋体" w:hAnsi="宋体" w:cs="宋体"/>
          <w:color w:val="000000" w:themeColor="text1"/>
          <w:sz w:val="24"/>
          <w:szCs w:val="24"/>
          <w:highlight w:val="none"/>
          <w:lang w:eastAsia="zh-CN"/>
        </w:rPr>
        <w:t>调查</w:t>
      </w:r>
      <w:r>
        <w:rPr>
          <w:rFonts w:hint="eastAsia" w:ascii="宋体" w:hAnsi="宋体" w:cs="宋体"/>
          <w:color w:val="000000" w:themeColor="text1"/>
          <w:sz w:val="24"/>
          <w:szCs w:val="24"/>
          <w:highlight w:val="none"/>
        </w:rPr>
        <w:t>意见。</w:t>
      </w:r>
    </w:p>
    <w:p w14:paraId="1D2B48FC">
      <w:pPr>
        <w:pStyle w:val="2"/>
        <w:spacing w:after="0" w:line="440" w:lineRule="exact"/>
        <w:ind w:firstLine="480"/>
        <w:rPr>
          <w:rFonts w:ascii="宋体" w:hAnsi="宋体" w:cs="宋体"/>
          <w:color w:val="000000" w:themeColor="text1"/>
          <w:highlight w:val="none"/>
        </w:rPr>
      </w:pPr>
      <w:r>
        <w:rPr>
          <w:rFonts w:hint="eastAsia" w:ascii="宋体" w:hAnsi="宋体" w:cs="宋体"/>
          <w:color w:val="000000" w:themeColor="text1"/>
          <w:highlight w:val="none"/>
        </w:rPr>
        <w:t>2、区域</w:t>
      </w:r>
      <w:r>
        <w:rPr>
          <w:rFonts w:hint="eastAsia" w:ascii="宋体" w:hAnsi="宋体" w:cs="宋体"/>
          <w:color w:val="000000" w:themeColor="text1"/>
          <w:highlight w:val="none"/>
          <w:lang w:eastAsia="zh-CN"/>
        </w:rPr>
        <w:t>调查</w:t>
      </w:r>
      <w:r>
        <w:rPr>
          <w:rFonts w:hint="eastAsia" w:ascii="宋体" w:hAnsi="宋体" w:cs="宋体"/>
          <w:color w:val="000000" w:themeColor="text1"/>
          <w:highlight w:val="none"/>
        </w:rPr>
        <w:t>范围</w:t>
      </w:r>
    </w:p>
    <w:p w14:paraId="614BB3A4">
      <w:pPr>
        <w:pStyle w:val="2"/>
        <w:spacing w:after="0" w:line="440" w:lineRule="exact"/>
        <w:ind w:firstLine="480"/>
        <w:rPr>
          <w:highlight w:val="none"/>
        </w:rPr>
      </w:pPr>
      <w:r>
        <w:rPr>
          <w:rFonts w:hint="eastAsia" w:ascii="宋体" w:hAnsi="宋体" w:cs="宋体"/>
          <w:color w:val="000000" w:themeColor="text1"/>
          <w:highlight w:val="none"/>
        </w:rPr>
        <w:t>本次</w:t>
      </w:r>
      <w:r>
        <w:rPr>
          <w:rFonts w:hint="eastAsia" w:ascii="宋体" w:hAnsi="宋体" w:cs="宋体"/>
          <w:color w:val="000000" w:themeColor="text1"/>
          <w:highlight w:val="none"/>
          <w:lang w:eastAsia="zh-CN"/>
        </w:rPr>
        <w:t>调查</w:t>
      </w:r>
      <w:r>
        <w:rPr>
          <w:rFonts w:hint="eastAsia" w:ascii="宋体" w:hAnsi="宋体" w:cs="宋体"/>
          <w:color w:val="000000" w:themeColor="text1"/>
          <w:highlight w:val="none"/>
          <w:lang w:val="en-US" w:eastAsia="zh-CN"/>
        </w:rPr>
        <w:t>范围</w:t>
      </w:r>
      <w:r>
        <w:rPr>
          <w:rFonts w:hint="eastAsia" w:ascii="宋体" w:hAnsi="宋体" w:cs="宋体"/>
          <w:color w:val="000000" w:themeColor="text1"/>
          <w:highlight w:val="none"/>
        </w:rPr>
        <w:t>江苏省南通市</w:t>
      </w:r>
      <w:r>
        <w:rPr>
          <w:rFonts w:hint="eastAsia" w:ascii="宋体" w:hAnsi="宋体" w:cs="宋体"/>
          <w:color w:val="000000" w:themeColor="text1"/>
          <w:highlight w:val="none"/>
          <w:lang w:val="en-US" w:eastAsia="zh-CN"/>
        </w:rPr>
        <w:t>崇川区</w:t>
      </w:r>
      <w:r>
        <w:rPr>
          <w:rFonts w:hint="eastAsia" w:ascii="宋体" w:hAnsi="宋体" w:cs="宋体"/>
          <w:color w:val="000000" w:themeColor="text1"/>
          <w:sz w:val="24"/>
          <w:szCs w:val="24"/>
          <w:highlight w:val="none"/>
        </w:rPr>
        <w:t>集秀路</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惠农路</w:t>
      </w:r>
      <w:r>
        <w:rPr>
          <w:rFonts w:hint="eastAsia" w:ascii="宋体" w:hAnsi="宋体" w:cs="宋体"/>
          <w:color w:val="000000" w:themeColor="text1"/>
          <w:sz w:val="24"/>
          <w:szCs w:val="24"/>
          <w:highlight w:val="none"/>
        </w:rPr>
        <w:t>等</w:t>
      </w:r>
      <w:r>
        <w:rPr>
          <w:rFonts w:hint="eastAsia" w:ascii="宋体" w:hAnsi="宋体" w:cs="宋体"/>
          <w:color w:val="000000" w:themeColor="text1"/>
          <w:kern w:val="0"/>
          <w:sz w:val="24"/>
          <w:szCs w:val="24"/>
          <w:highlight w:val="none"/>
          <w:lang w:val="zh-CN"/>
        </w:rPr>
        <w:t>区管道路及绿地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以采购人委托为准</w:t>
      </w:r>
      <w:r>
        <w:rPr>
          <w:rFonts w:hint="eastAsia" w:ascii="宋体" w:hAnsi="宋体" w:cs="宋体"/>
          <w:color w:val="000000" w:themeColor="text1"/>
          <w:highlight w:val="none"/>
        </w:rPr>
        <w:t>。</w:t>
      </w:r>
    </w:p>
    <w:p w14:paraId="0B6DC4E5">
      <w:pPr>
        <w:pStyle w:val="204"/>
        <w:numPr>
          <w:ilvl w:val="0"/>
          <w:numId w:val="3"/>
        </w:numPr>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工作内容及实施计划</w:t>
      </w:r>
    </w:p>
    <w:p w14:paraId="6C16FD2D">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单位应制订科学合理的</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工作方案，按相关规定编制经费预算，</w:t>
      </w:r>
      <w:r>
        <w:rPr>
          <w:rFonts w:hint="eastAsia" w:ascii="宋体" w:hAnsi="宋体" w:cs="宋体"/>
          <w:color w:val="000000" w:themeColor="text1"/>
          <w:sz w:val="24"/>
          <w:szCs w:val="24"/>
          <w:highlight w:val="none"/>
        </w:rPr>
        <w:t>报省文物局备案。</w:t>
      </w:r>
      <w:r>
        <w:rPr>
          <w:rFonts w:hint="eastAsia" w:ascii="宋体" w:hAnsi="宋体" w:cs="宋体"/>
          <w:color w:val="000000" w:themeColor="text1"/>
          <w:sz w:val="24"/>
          <w:szCs w:val="24"/>
          <w:highlight w:val="none"/>
          <w:lang w:eastAsia="zh-CN"/>
        </w:rPr>
        <w:t>调查</w:t>
      </w:r>
      <w:r>
        <w:rPr>
          <w:rFonts w:hint="eastAsia" w:ascii="宋体" w:hAnsi="宋体" w:cs="宋体"/>
          <w:color w:val="000000" w:themeColor="text1"/>
          <w:sz w:val="24"/>
          <w:szCs w:val="24"/>
          <w:highlight w:val="none"/>
        </w:rPr>
        <w:t>工作的实施应采取考古区域系统调查、普通区域考古勘探和重点区域考古勘探相结合的方式，摸清</w:t>
      </w:r>
      <w:r>
        <w:rPr>
          <w:rFonts w:hint="eastAsia" w:ascii="宋体" w:hAnsi="宋体" w:cs="宋体"/>
          <w:color w:val="000000" w:themeColor="text1"/>
          <w:sz w:val="24"/>
          <w:szCs w:val="24"/>
          <w:highlight w:val="none"/>
          <w:lang w:eastAsia="zh-CN"/>
        </w:rPr>
        <w:t>调查</w:t>
      </w:r>
      <w:r>
        <w:rPr>
          <w:rFonts w:hint="eastAsia" w:ascii="宋体" w:hAnsi="宋体" w:cs="宋体"/>
          <w:color w:val="000000" w:themeColor="text1"/>
          <w:sz w:val="24"/>
          <w:szCs w:val="24"/>
          <w:highlight w:val="none"/>
        </w:rPr>
        <w:t>区域地下文物的分布情况、文化面貌和内涵，</w:t>
      </w:r>
      <w:r>
        <w:rPr>
          <w:rFonts w:hint="eastAsia" w:ascii="宋体" w:hAnsi="宋体" w:cs="宋体"/>
          <w:color w:val="000000" w:themeColor="text1"/>
          <w:sz w:val="24"/>
          <w:szCs w:val="24"/>
        </w:rPr>
        <w:t>全面</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地上不可移动文物的保存状况、历史文化价值，提出具体保护要求。</w:t>
      </w:r>
    </w:p>
    <w:p w14:paraId="3B93CFC3">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3.1查阅相关的历史文献、地方志、三普材料、文物保护单位资料、古地图等，并加以梳理，了解该区域历史变迁，通过这些资料对</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区域可能存在地上、地下古遗址、古建筑、古桥梁、古沉船、古墓葬等遗存，更加科学地对</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区域范围内的地上地下文物资源开展全面系统的调查勘探，对</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区域存在的文物提供合理的保护方案及下一步工作计划。</w:t>
      </w:r>
    </w:p>
    <w:p w14:paraId="3167B92A">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3.2组建专业队伍，继续考古调查，走访属地文物主管部门业务人员、当地研究历史学者及百姓等，了解历史文化遗迹。对地面有文物保护单位及历史遗迹，对其现状进行工作</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、对文物利用进行</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、同时对文物进行价值分析，并提出地面文物下一步保护建议和规划保障。</w:t>
      </w:r>
    </w:p>
    <w:p w14:paraId="08625C54">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3.3根据前期调查工作，有疑似地下文物遗迹的区域划定勘探范围，进行普通勘探，弄清地下遗迹的范围、时代等。</w:t>
      </w:r>
    </w:p>
    <w:p w14:paraId="6D65E722">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3.4对发现的有遗迹区域，提出重点勘探计划。</w:t>
      </w:r>
    </w:p>
    <w:p w14:paraId="383303B7">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3.5对地面文物及地下发现的遗迹进行资料整理，并加以研究；提出下一步工作计划及方案。</w:t>
      </w:r>
    </w:p>
    <w:p w14:paraId="58AA1BB5">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3.6完成考古调查、勘探及</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报告，形成</w:t>
      </w:r>
      <w:r>
        <w:rPr>
          <w:rFonts w:hint="eastAsia" w:ascii="宋体" w:hAnsi="宋体" w:cs="宋体"/>
          <w:color w:val="000000" w:themeColor="text1"/>
          <w:sz w:val="24"/>
          <w:szCs w:val="24"/>
          <w:lang w:eastAsia="zh-CN"/>
        </w:rPr>
        <w:t>文物资源调查成果报告</w:t>
      </w:r>
      <w:r>
        <w:rPr>
          <w:rFonts w:hint="eastAsia" w:ascii="宋体" w:hAnsi="宋体" w:cs="宋体"/>
          <w:color w:val="000000" w:themeColor="text1"/>
          <w:sz w:val="24"/>
          <w:szCs w:val="24"/>
        </w:rPr>
        <w:t>。</w:t>
      </w:r>
    </w:p>
    <w:p w14:paraId="44718749">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3.7邀请省局组织专家进行报告评审，并通过省文物局结项验收。</w:t>
      </w:r>
    </w:p>
    <w:p w14:paraId="583AA4CF">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4、研究方法</w:t>
      </w:r>
    </w:p>
    <w:p w14:paraId="68462B4B">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4.1文献研究与实地调研相结合。通过查阅相关文献，以及对</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区域进行实地考古调查、勘探，寻求一种理论与实践相结合的研究方法。</w:t>
      </w:r>
    </w:p>
    <w:p w14:paraId="2A08F34D">
      <w:pPr>
        <w:pStyle w:val="204"/>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4.2多学科研究方法。区域文物</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涉及的其他学科内容相当广泛，本课题项目试图综合运用考古学、文化遗产学、水利工程学、历史学、文化学、建筑学、景观设计学和城市规划等多学科知识对课题内容进行初步探求。</w:t>
      </w:r>
    </w:p>
    <w:p w14:paraId="52B7D425">
      <w:pPr>
        <w:spacing w:line="360" w:lineRule="auto"/>
        <w:outlineLvl w:val="2"/>
        <w:rPr>
          <w:rFonts w:ascii="宋体" w:hAnsi="宋体" w:cs="宋体"/>
          <w:color w:val="000000" w:themeColor="text1"/>
          <w:sz w:val="24"/>
          <w:szCs w:val="24"/>
        </w:rPr>
      </w:pPr>
      <w:r>
        <w:rPr>
          <w:rFonts w:hint="eastAsia" w:ascii="宋体" w:hAnsi="宋体" w:cs="宋体"/>
          <w:b/>
          <w:color w:val="000000" w:themeColor="text1"/>
          <w:sz w:val="24"/>
          <w:szCs w:val="24"/>
        </w:rPr>
        <w:t>三、成果要求</w:t>
      </w:r>
    </w:p>
    <w:p w14:paraId="3321269F">
      <w:pPr>
        <w:pStyle w:val="2"/>
        <w:spacing w:after="0" w:line="360" w:lineRule="auto"/>
        <w:ind w:firstLine="480" w:firstLineChars="200"/>
        <w:rPr>
          <w:rFonts w:ascii="宋体" w:hAnsi="宋体" w:cs="宋体"/>
          <w:bCs/>
          <w:color w:val="000000" w:themeColor="text1"/>
        </w:rPr>
      </w:pPr>
      <w:r>
        <w:rPr>
          <w:rFonts w:hint="eastAsia" w:ascii="宋体" w:hAnsi="宋体" w:cs="宋体"/>
          <w:color w:val="000000" w:themeColor="text1"/>
        </w:rPr>
        <w:t>1、</w:t>
      </w:r>
      <w:r>
        <w:rPr>
          <w:rFonts w:hint="eastAsia" w:ascii="宋体" w:hAnsi="宋体" w:cs="宋体"/>
          <w:bCs/>
          <w:color w:val="000000" w:themeColor="text1"/>
        </w:rPr>
        <w:t>通过省文物局组织的专家评审并通过省文物局结项验收。</w:t>
      </w:r>
    </w:p>
    <w:p w14:paraId="14CBBB0B">
      <w:pPr>
        <w:pStyle w:val="2"/>
        <w:spacing w:after="0" w:line="360" w:lineRule="auto"/>
        <w:ind w:firstLine="480" w:firstLineChars="200"/>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eastAsia="zh-CN"/>
        </w:rPr>
        <w:t>文物资源调查成果报告</w:t>
      </w:r>
      <w:r>
        <w:rPr>
          <w:rFonts w:hint="eastAsia" w:ascii="宋体" w:hAnsi="宋体" w:cs="宋体"/>
          <w:color w:val="000000" w:themeColor="text1"/>
        </w:rPr>
        <w:t>全本6套、简本20套以及电子版。</w:t>
      </w:r>
    </w:p>
    <w:p w14:paraId="230FE715">
      <w:pPr>
        <w:spacing w:line="360" w:lineRule="auto"/>
        <w:outlineLvl w:val="2"/>
        <w:rPr>
          <w:rFonts w:ascii="宋体" w:hAnsi="宋体" w:cs="宋体"/>
          <w:b/>
          <w:color w:val="000000" w:themeColor="text1"/>
          <w:sz w:val="24"/>
          <w:szCs w:val="24"/>
        </w:rPr>
      </w:pPr>
      <w:r>
        <w:rPr>
          <w:rFonts w:hint="eastAsia" w:ascii="宋体" w:hAnsi="宋体" w:cs="宋体"/>
          <w:b/>
          <w:color w:val="000000" w:themeColor="text1"/>
          <w:sz w:val="24"/>
          <w:szCs w:val="24"/>
        </w:rPr>
        <w:t>四、进度要求与付款方式</w:t>
      </w:r>
    </w:p>
    <w:p w14:paraId="58F29200">
      <w:pPr>
        <w:pStyle w:val="21"/>
        <w:spacing w:line="360" w:lineRule="auto"/>
        <w:ind w:firstLine="480" w:firstLineChars="200"/>
        <w:rPr>
          <w:rFonts w:ascii="宋体" w:hAnsi="宋体" w:cs="宋体"/>
          <w:color w:val="000000" w:themeColor="text1"/>
          <w:kern w:val="0"/>
        </w:rPr>
      </w:pPr>
      <w:r>
        <w:rPr>
          <w:rFonts w:hint="eastAsia" w:ascii="宋体" w:hAnsi="宋体" w:cs="宋体"/>
          <w:color w:val="000000" w:themeColor="text1"/>
        </w:rPr>
        <w:t>1、合同签订</w:t>
      </w:r>
      <w:r>
        <w:rPr>
          <w:rFonts w:hint="eastAsia" w:ascii="宋体" w:hAnsi="宋体" w:cs="宋体"/>
          <w:color w:val="000000" w:themeColor="text1"/>
          <w:highlight w:val="none"/>
        </w:rPr>
        <w:t>之日起</w:t>
      </w:r>
      <w:r>
        <w:rPr>
          <w:rFonts w:hint="eastAsia" w:ascii="宋体" w:hAnsi="宋体" w:cs="宋体"/>
          <w:b/>
          <w:bCs/>
          <w:color w:val="000000" w:themeColor="text1"/>
          <w:highlight w:val="none"/>
          <w:lang w:eastAsia="zh-CN"/>
        </w:rPr>
        <w:t>20个工作日</w:t>
      </w:r>
      <w:r>
        <w:rPr>
          <w:rFonts w:hint="eastAsia" w:ascii="宋体" w:hAnsi="宋体" w:cs="宋体"/>
          <w:color w:val="000000" w:themeColor="text1"/>
          <w:highlight w:val="none"/>
        </w:rPr>
        <w:t>内提</w:t>
      </w:r>
      <w:r>
        <w:rPr>
          <w:rFonts w:hint="eastAsia" w:ascii="宋体" w:hAnsi="宋体" w:cs="宋体"/>
          <w:color w:val="000000" w:themeColor="text1"/>
        </w:rPr>
        <w:t>交</w:t>
      </w:r>
      <w:r>
        <w:rPr>
          <w:rFonts w:hint="eastAsia" w:ascii="宋体" w:hAnsi="宋体" w:cs="宋体"/>
          <w:color w:val="000000" w:themeColor="text1"/>
          <w:kern w:val="0"/>
          <w:lang w:eastAsia="zh-CN"/>
        </w:rPr>
        <w:t>文物资源调查成果报告</w:t>
      </w:r>
      <w:r>
        <w:rPr>
          <w:rFonts w:hint="eastAsia" w:ascii="宋体" w:hAnsi="宋体" w:cs="宋体"/>
          <w:color w:val="000000" w:themeColor="text1"/>
          <w:kern w:val="0"/>
        </w:rPr>
        <w:t>。</w:t>
      </w:r>
    </w:p>
    <w:p w14:paraId="4A2B821B">
      <w:pPr>
        <w:pStyle w:val="21"/>
        <w:spacing w:line="360" w:lineRule="auto"/>
        <w:ind w:firstLine="480" w:firstLineChars="200"/>
        <w:rPr>
          <w:rFonts w:hint="eastAsia" w:ascii="宋体" w:hAnsi="宋体" w:cs="宋体"/>
          <w:b/>
          <w:bCs/>
          <w:color w:val="000000" w:themeColor="text1"/>
          <w:kern w:val="0"/>
          <w:highlight w:val="cyan"/>
        </w:rPr>
      </w:pPr>
      <w:r>
        <w:rPr>
          <w:rFonts w:hint="eastAsia" w:ascii="宋体" w:hAnsi="宋体" w:cs="宋体"/>
          <w:color w:val="000000" w:themeColor="text1"/>
          <w:kern w:val="0"/>
        </w:rPr>
        <w:t>2、</w:t>
      </w:r>
      <w:r>
        <w:rPr>
          <w:rFonts w:hint="eastAsia" w:ascii="宋体" w:hAnsi="宋体" w:cs="宋体"/>
          <w:b/>
          <w:bCs/>
          <w:color w:val="000000" w:themeColor="text1"/>
        </w:rPr>
        <w:t>提交报告且通过江苏省文物局的结项验收一次性支付相应地块项目的全部费用。</w:t>
      </w:r>
    </w:p>
    <w:p w14:paraId="0DDA6369">
      <w:pPr>
        <w:spacing w:line="360" w:lineRule="auto"/>
        <w:rPr>
          <w:rFonts w:ascii="宋体" w:hAnsi="宋体" w:cs="宋体"/>
          <w:color w:val="000000" w:themeColor="text1"/>
          <w:sz w:val="24"/>
          <w:szCs w:val="24"/>
        </w:rPr>
      </w:pPr>
    </w:p>
    <w:p w14:paraId="35C949C4">
      <w:pPr>
        <w:spacing w:line="360" w:lineRule="auto"/>
        <w:ind w:firstLine="883" w:firstLineChars="200"/>
        <w:jc w:val="left"/>
        <w:rPr>
          <w:color w:val="000000" w:themeColor="text1"/>
        </w:rPr>
      </w:pPr>
      <w:r>
        <w:rPr>
          <w:rFonts w:ascii="宋体" w:hAnsi="宋体" w:cs="宋体"/>
          <w:b/>
          <w:iCs/>
          <w:color w:val="000000" w:themeColor="text1"/>
          <w:sz w:val="44"/>
          <w:szCs w:val="44"/>
        </w:rPr>
        <w:br w:type="page"/>
      </w:r>
    </w:p>
    <w:p w14:paraId="441CBF97">
      <w:pPr>
        <w:spacing w:line="460" w:lineRule="exact"/>
        <w:jc w:val="center"/>
        <w:rPr>
          <w:rFonts w:ascii="宋体"/>
          <w:color w:val="000000" w:themeColor="text1"/>
          <w:kern w:val="0"/>
          <w:sz w:val="32"/>
          <w:szCs w:val="32"/>
        </w:rPr>
      </w:pPr>
      <w:r>
        <w:rPr>
          <w:rFonts w:hint="eastAsia" w:ascii="宋体" w:hAnsi="宋体" w:cs="宋体"/>
          <w:b/>
          <w:bCs/>
          <w:color w:val="000000" w:themeColor="text1"/>
          <w:w w:val="80"/>
          <w:sz w:val="44"/>
          <w:szCs w:val="44"/>
        </w:rPr>
        <w:t>第四章</w:t>
      </w:r>
      <w:bookmarkStart w:id="83" w:name="_Toc85627670"/>
      <w:bookmarkStart w:id="84" w:name="_Toc37322565"/>
      <w:bookmarkStart w:id="85" w:name="_Toc43217893"/>
      <w:bookmarkStart w:id="86" w:name="_Toc182848996"/>
      <w:bookmarkStart w:id="87" w:name="_Toc38121794"/>
      <w:r>
        <w:rPr>
          <w:rFonts w:hint="eastAsia" w:ascii="宋体" w:hAnsi="宋体" w:cs="宋体"/>
          <w:b/>
          <w:bCs/>
          <w:color w:val="000000" w:themeColor="text1"/>
          <w:w w:val="80"/>
          <w:sz w:val="44"/>
          <w:szCs w:val="44"/>
        </w:rPr>
        <w:t xml:space="preserve">  评审方法和程序</w:t>
      </w:r>
    </w:p>
    <w:bookmarkEnd w:id="83"/>
    <w:bookmarkEnd w:id="84"/>
    <w:bookmarkEnd w:id="85"/>
    <w:bookmarkEnd w:id="86"/>
    <w:bookmarkEnd w:id="87"/>
    <w:p w14:paraId="7E662C30">
      <w:pPr>
        <w:snapToGrid w:val="0"/>
        <w:spacing w:line="480" w:lineRule="exact"/>
        <w:ind w:firstLine="482" w:firstLineChars="200"/>
        <w:outlineLvl w:val="1"/>
        <w:rPr>
          <w:rFonts w:ascii="宋体"/>
          <w:b/>
          <w:bCs/>
          <w:color w:val="000000" w:themeColor="text1"/>
          <w:sz w:val="24"/>
          <w:szCs w:val="24"/>
        </w:rPr>
      </w:pPr>
      <w:bookmarkStart w:id="88" w:name="_Toc363573857"/>
      <w:bookmarkEnd w:id="88"/>
      <w:r>
        <w:rPr>
          <w:rFonts w:hint="eastAsia" w:ascii="宋体" w:hAnsi="宋体" w:cs="宋体"/>
          <w:b/>
          <w:bCs/>
          <w:color w:val="000000" w:themeColor="text1"/>
          <w:sz w:val="24"/>
          <w:szCs w:val="24"/>
        </w:rPr>
        <w:t>一、代理机构组织磋商</w:t>
      </w:r>
    </w:p>
    <w:p w14:paraId="2B82A105">
      <w:pPr>
        <w:snapToGrid w:val="0"/>
        <w:spacing w:line="460" w:lineRule="exact"/>
        <w:ind w:firstLine="480"/>
        <w:rPr>
          <w:rFonts w:ascii="宋体"/>
          <w:b/>
          <w:bCs/>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、本次竞争性磋商依据相关法规成立竞争性磋商小组。竞争性磋商小组由采购人代表和评审专家共计3人及以上单数组成，其中评审专家人数不得少于竞争性磋商小组成员总数的2/3。</w:t>
      </w:r>
      <w:r>
        <w:rPr>
          <w:rFonts w:hint="eastAsia" w:ascii="宋体" w:hAnsi="宋体" w:cs="宋体"/>
          <w:b/>
          <w:bCs/>
          <w:color w:val="000000" w:themeColor="text1"/>
          <w:sz w:val="24"/>
          <w:szCs w:val="24"/>
        </w:rPr>
        <w:t>本项目竞争性磋商小组评审专家共3人。</w:t>
      </w:r>
    </w:p>
    <w:p w14:paraId="230636B7">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采用竞争性磋商方式的政府采购项目，评审专家应当从政府采购评审专家库内相关专业的专家名单中随机抽取。情况特殊、通过随机方式难以确定合适的评审专家的，经主管预算单位同意，可以自行选定评审专家。</w:t>
      </w:r>
    </w:p>
    <w:p w14:paraId="268468A0">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、磋商小组的职责：</w:t>
      </w:r>
    </w:p>
    <w:p w14:paraId="6883F605">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）磋商小组成员应当按照客观、公正、审慎的原则，根据磋商文件规定的评审程序、评审方法和评审标准进行独立评审。</w:t>
      </w:r>
    </w:p>
    <w:p w14:paraId="5F5A130F">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）磋商小组成员应当遵守评审工作纪律，不得泄露评审情况和评审中获悉的商业秘密，对个人的评审意见承担法律责任。</w:t>
      </w:r>
    </w:p>
    <w:p w14:paraId="48B6DF49">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）磋商小组成员在评审过程中发现供应商有行贿、提供虚假材料或者串通等违法行为的，应当及时向财政部门报告</w:t>
      </w:r>
      <w:r>
        <w:rPr>
          <w:rFonts w:ascii="宋体" w:cs="宋体"/>
          <w:color w:val="000000" w:themeColor="text1"/>
          <w:sz w:val="24"/>
          <w:szCs w:val="24"/>
        </w:rPr>
        <w:t>,</w:t>
      </w:r>
      <w:r>
        <w:rPr>
          <w:rFonts w:hint="eastAsia" w:ascii="宋体" w:hAnsi="宋体" w:cs="宋体"/>
          <w:color w:val="000000" w:themeColor="text1"/>
          <w:sz w:val="24"/>
          <w:szCs w:val="24"/>
        </w:rPr>
        <w:t>并建议将其列入政府采购黑名单。</w:t>
      </w:r>
    </w:p>
    <w:p w14:paraId="1246BF2F">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）磋商小组成员在评审过程中受到非法干涉的，应当及时向财政、监察等部门举报。</w:t>
      </w:r>
    </w:p>
    <w:p w14:paraId="66BF5A94">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5</w:t>
      </w:r>
      <w:r>
        <w:rPr>
          <w:rFonts w:hint="eastAsia" w:ascii="宋体" w:hAnsi="宋体" w:cs="宋体"/>
          <w:color w:val="000000" w:themeColor="text1"/>
          <w:sz w:val="24"/>
          <w:szCs w:val="24"/>
        </w:rPr>
        <w:t>）答复供应商提出的质疑及财政部门的投诉处理和监督检查工作。</w:t>
      </w:r>
    </w:p>
    <w:p w14:paraId="665911F3">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、评审有关记录由磋商小组成员签名，存档备查。</w:t>
      </w:r>
    </w:p>
    <w:p w14:paraId="4DDF63DB">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、供应商的法定代表人或被授权人须持身份证准时参加磋商开标会。</w:t>
      </w:r>
    </w:p>
    <w:p w14:paraId="17194DD8">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二、磋商的原则及方法</w:t>
      </w:r>
    </w:p>
    <w:p w14:paraId="3C3DABA6">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、磋商小组依据《中华人民共和国政府采购法》、《政府采购竞争性磋商采购方式管理暂行办法》以及有关政府采购的相关法规，遵循“公开、公平、公正、择优、信用”的原则进行磋商评审。</w:t>
      </w:r>
    </w:p>
    <w:p w14:paraId="4A02A339">
      <w:pPr>
        <w:snapToGrid w:val="0"/>
        <w:spacing w:line="480" w:lineRule="exact"/>
        <w:ind w:firstLine="484" w:firstLineChars="202"/>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、磋商小组将按照竞争性磋商文件的规定，独立对每个进入打分程序的有效投标供应商的响应文件的技术部分以打分的形式进行</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和评价。技术分是所有评委打分的算术平均值（计算结果均四舍五入保留两位小数）。</w:t>
      </w:r>
    </w:p>
    <w:p w14:paraId="7685B820">
      <w:pPr>
        <w:snapToGrid w:val="0"/>
        <w:spacing w:line="480" w:lineRule="exact"/>
        <w:ind w:firstLine="484" w:firstLineChars="202"/>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F7FAB20">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、磋商小组所有成员可以集中与单一供应商分别进行磋商，并给予所有参加磋商的供应商平等的磋商机会。</w:t>
      </w:r>
    </w:p>
    <w:p w14:paraId="7D5A15F2">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14:paraId="69EDE466">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、对磋商文件作出的实质性变动是磋商文件的有效组成部分，磋商小组应当及时以书面形式同时通知所有参加磋商的供应商。</w:t>
      </w:r>
    </w:p>
    <w:p w14:paraId="23E552EB">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7</w:t>
      </w:r>
      <w:r>
        <w:rPr>
          <w:rFonts w:hint="eastAsia" w:ascii="宋体" w:hAnsi="宋体" w:cs="宋体"/>
          <w:color w:val="000000" w:themeColor="text1"/>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14:paraId="2B2C9300">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8</w:t>
      </w:r>
      <w:r>
        <w:rPr>
          <w:rFonts w:hint="eastAsia" w:ascii="宋体" w:hAnsi="宋体" w:cs="宋体"/>
          <w:color w:val="000000" w:themeColor="text1"/>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14:paraId="3E3997AA">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9</w:t>
      </w:r>
      <w:r>
        <w:rPr>
          <w:rFonts w:hint="eastAsia" w:ascii="宋体" w:hAnsi="宋体" w:cs="宋体"/>
          <w:color w:val="000000" w:themeColor="text1"/>
          <w:sz w:val="24"/>
          <w:szCs w:val="24"/>
        </w:rPr>
        <w:t>、除非在磋商中磋商小组对采购单位需求内容作了调整增加，或对采购内容作了实质性变更，否则</w:t>
      </w:r>
      <w:r>
        <w:rPr>
          <w:rFonts w:hint="eastAsia" w:ascii="宋体" w:hAnsi="宋体" w:cs="宋体"/>
          <w:bCs/>
          <w:color w:val="000000" w:themeColor="text1"/>
          <w:sz w:val="24"/>
          <w:szCs w:val="24"/>
        </w:rPr>
        <w:t>采购单位不接受供应商高于自己前一轮的磋商报价</w:t>
      </w:r>
      <w:r>
        <w:rPr>
          <w:rFonts w:hint="eastAsia" w:ascii="宋体" w:hAnsi="宋体" w:cs="宋体"/>
          <w:color w:val="000000" w:themeColor="text1"/>
          <w:sz w:val="24"/>
          <w:szCs w:val="24"/>
        </w:rPr>
        <w:t>。</w:t>
      </w:r>
    </w:p>
    <w:p w14:paraId="31EF215A">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ascii="宋体" w:cs="宋体"/>
          <w:color w:val="000000" w:themeColor="text1"/>
          <w:sz w:val="24"/>
          <w:szCs w:val="24"/>
        </w:rPr>
        <w:t>0</w:t>
      </w:r>
      <w:r>
        <w:rPr>
          <w:rFonts w:hint="eastAsia" w:ascii="宋体" w:hAnsi="宋体" w:cs="宋体"/>
          <w:color w:val="000000" w:themeColor="text1"/>
          <w:sz w:val="24"/>
          <w:szCs w:val="24"/>
        </w:rPr>
        <w:t>、对于在磋商顺利开始后至最终报价前，根据磋商情况退出磋商的供应商，须以书面形式说明退出磋商的原因，经磋商小组同意可以退出磋商。</w:t>
      </w:r>
    </w:p>
    <w:p w14:paraId="3CFD7C69">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11</w:t>
      </w:r>
      <w:r>
        <w:rPr>
          <w:rFonts w:hint="eastAsia" w:ascii="宋体" w:hAnsi="宋体" w:cs="宋体"/>
          <w:color w:val="000000" w:themeColor="text1"/>
          <w:sz w:val="24"/>
          <w:szCs w:val="24"/>
        </w:rPr>
        <w:t>、在磋商中，磋商的任何一方不得透露与磋商有关的其他响应磋商的供应商的技术资料、价格及其他信息。</w:t>
      </w:r>
    </w:p>
    <w:p w14:paraId="37107E43">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12</w:t>
      </w:r>
      <w:r>
        <w:rPr>
          <w:rFonts w:hint="eastAsia" w:ascii="宋体" w:hAnsi="宋体" w:cs="宋体"/>
          <w:color w:val="000000" w:themeColor="text1"/>
          <w:sz w:val="24"/>
          <w:szCs w:val="24"/>
        </w:rPr>
        <w:t>、凡两家或以上公司同一法定代表人或其中一家公司为另一家公司单一最大股东的，不能同时参与同一采购项目相同标段的磋商采购活动，一经发现，将视同串标处理。</w:t>
      </w:r>
    </w:p>
    <w:p w14:paraId="5C473C5E">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13</w:t>
      </w:r>
      <w:r>
        <w:rPr>
          <w:rFonts w:hint="eastAsia" w:ascii="宋体" w:hAnsi="宋体" w:cs="宋体"/>
          <w:color w:val="000000" w:themeColor="text1"/>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65AF545B">
      <w:pPr>
        <w:snapToGrid w:val="0"/>
        <w:spacing w:line="480" w:lineRule="exact"/>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三、评审步骤</w:t>
      </w:r>
    </w:p>
    <w:p w14:paraId="44C26B1E">
      <w:pPr>
        <w:snapToGrid w:val="0"/>
        <w:spacing w:line="480" w:lineRule="exact"/>
        <w:ind w:firstLine="482" w:firstLineChars="200"/>
        <w:rPr>
          <w:rFonts w:ascii="宋体"/>
          <w:b/>
          <w:bCs/>
          <w:color w:val="000000" w:themeColor="text1"/>
          <w:sz w:val="24"/>
          <w:szCs w:val="24"/>
          <w:lang w:val="zh-CN"/>
        </w:rPr>
      </w:pPr>
      <w:r>
        <w:rPr>
          <w:rFonts w:ascii="宋体" w:hAnsi="宋体" w:cs="宋体"/>
          <w:b/>
          <w:bCs/>
          <w:color w:val="000000" w:themeColor="text1"/>
          <w:sz w:val="24"/>
          <w:szCs w:val="24"/>
          <w:lang w:val="zh-CN"/>
        </w:rPr>
        <w:t>1</w:t>
      </w:r>
      <w:r>
        <w:rPr>
          <w:rFonts w:hint="eastAsia" w:ascii="宋体" w:hAnsi="宋体" w:cs="宋体"/>
          <w:b/>
          <w:bCs/>
          <w:color w:val="000000" w:themeColor="text1"/>
          <w:sz w:val="24"/>
          <w:szCs w:val="24"/>
          <w:lang w:val="zh-CN"/>
        </w:rPr>
        <w:t>、评审步骤规定：</w:t>
      </w:r>
    </w:p>
    <w:p w14:paraId="6747A113">
      <w:pPr>
        <w:snapToGrid w:val="0"/>
        <w:spacing w:line="480" w:lineRule="exact"/>
        <w:ind w:firstLine="482" w:firstLineChars="200"/>
        <w:rPr>
          <w:rFonts w:ascii="宋体"/>
          <w:b/>
          <w:bCs/>
          <w:color w:val="000000" w:themeColor="text1"/>
          <w:sz w:val="24"/>
          <w:szCs w:val="24"/>
          <w:lang w:val="zh-CN"/>
        </w:rPr>
      </w:pPr>
      <w:r>
        <w:rPr>
          <w:rFonts w:hint="eastAsia" w:ascii="宋体" w:hAnsi="宋体" w:cs="宋体"/>
          <w:b/>
          <w:bCs/>
          <w:color w:val="000000" w:themeColor="text1"/>
          <w:sz w:val="24"/>
          <w:szCs w:val="24"/>
          <w:lang w:val="zh-CN"/>
        </w:rPr>
        <w:t>本次资格审查采用资格后审，各供应商资格审查通过后方能进入技术标的开标。先开技术标，技术标打分结束后再开商务标。</w:t>
      </w:r>
    </w:p>
    <w:p w14:paraId="7F977945">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第一阶段：</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对每个供应商的资格进行审查。</w:t>
      </w:r>
    </w:p>
    <w:p w14:paraId="2D16F824">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第二阶段：</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对每个符合资格要求的供应商的技术标进行</w:t>
      </w:r>
      <w:r>
        <w:rPr>
          <w:rFonts w:hint="eastAsia" w:ascii="宋体" w:hAnsi="宋体" w:cs="宋体"/>
          <w:color w:val="000000" w:themeColor="text1"/>
          <w:sz w:val="24"/>
          <w:szCs w:val="24"/>
        </w:rPr>
        <w:t>评审</w:t>
      </w:r>
      <w:r>
        <w:rPr>
          <w:rFonts w:hint="eastAsia" w:ascii="宋体" w:hAnsi="宋体" w:cs="宋体"/>
          <w:color w:val="000000" w:themeColor="text1"/>
          <w:sz w:val="24"/>
          <w:szCs w:val="24"/>
          <w:lang w:val="zh-CN"/>
        </w:rPr>
        <w:t>。主要审查技术标提交的内容是否齐全，技术方案及项目实施是否完全满足采购文件的要求。</w:t>
      </w:r>
      <w:r>
        <w:rPr>
          <w:rFonts w:hint="eastAsia" w:ascii="宋体" w:hAnsi="宋体" w:cs="宋体"/>
          <w:color w:val="000000" w:themeColor="text1"/>
          <w:sz w:val="24"/>
          <w:szCs w:val="24"/>
        </w:rPr>
        <w:t>磋商小组严格按照磋商文件的要求、条件、评分标准，对供应商所提供货物或服务的先进性、可靠性、售后服务承诺、质量保证承诺等实质性响应内容进行比较。</w:t>
      </w:r>
    </w:p>
    <w:p w14:paraId="75C0A63A">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第三阶段：以供应商价格标文件内的</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报价（即首次报价）为基础，</w:t>
      </w:r>
      <w:r>
        <w:rPr>
          <w:rFonts w:hint="eastAsia" w:ascii="宋体" w:hAnsi="宋体" w:cs="宋体"/>
          <w:color w:val="000000" w:themeColor="text1"/>
          <w:sz w:val="24"/>
          <w:szCs w:val="24"/>
        </w:rPr>
        <w:t>磋商小组与</w:t>
      </w:r>
      <w:r>
        <w:rPr>
          <w:rFonts w:hint="eastAsia" w:ascii="宋体" w:hAnsi="宋体" w:cs="宋体"/>
          <w:color w:val="000000" w:themeColor="text1"/>
          <w:sz w:val="24"/>
          <w:szCs w:val="24"/>
          <w:lang w:val="zh-CN"/>
        </w:rPr>
        <w:t>供应商可以分别进行</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：内容主要是对</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响应文件中的项目方案的澄清、修正、补充、确认以及价格调整等。如</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内容导致</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文件有实质性变动的，</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应当以书面形式通知所有供应商。</w:t>
      </w:r>
    </w:p>
    <w:p w14:paraId="52A8F3EE">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第四阶段：</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明确各供应商符合并满足磋商文件要求，并能完全响应</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内容后，要求其现场集体给出最终报价，同时最终报价中可包括但不限于如最终澄清方案、有关优惠承诺等。</w:t>
      </w:r>
    </w:p>
    <w:p w14:paraId="307FDDE5">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第五阶段：</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对供应商的最终报价进行评议和比较，在实质性响应</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文件，技术标和价格标部分都能满足</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文件的前提下，</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将校核后的各供应商的报价从低到高排序（</w:t>
      </w:r>
      <w:r>
        <w:rPr>
          <w:rFonts w:hint="eastAsia" w:ascii="宋体" w:hAnsi="宋体" w:cs="宋体"/>
          <w:color w:val="000000" w:themeColor="text1"/>
          <w:sz w:val="24"/>
          <w:szCs w:val="24"/>
        </w:rPr>
        <w:t>明显低于成本的，且供应商不能合理说明或者不能提供相关证明材料的报价除外）</w:t>
      </w:r>
      <w:r>
        <w:rPr>
          <w:rFonts w:hint="eastAsia" w:ascii="宋体" w:hAnsi="宋体" w:cs="宋体"/>
          <w:color w:val="000000" w:themeColor="text1"/>
          <w:sz w:val="24"/>
          <w:szCs w:val="24"/>
          <w:lang w:val="zh-CN"/>
        </w:rPr>
        <w:t>。</w:t>
      </w:r>
    </w:p>
    <w:p w14:paraId="3B20BEE5">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lang w:val="zh-CN"/>
        </w:rPr>
        <w:t>2</w:t>
      </w:r>
      <w:r>
        <w:rPr>
          <w:rFonts w:hint="eastAsia" w:ascii="宋体" w:hAnsi="宋体" w:cs="宋体"/>
          <w:color w:val="000000" w:themeColor="text1"/>
          <w:sz w:val="24"/>
          <w:szCs w:val="24"/>
          <w:lang w:val="zh-CN"/>
        </w:rPr>
        <w:t>、在</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过程中，供应商提交的澄清文件和最终报价文件，由供应商法定代表人或被授权人签字盖章后生效，供应商受其约束。</w:t>
      </w:r>
    </w:p>
    <w:p w14:paraId="1BB6E17C">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四、磋商评定结果的方法</w:t>
      </w:r>
    </w:p>
    <w:p w14:paraId="125AEBDE">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w:t>
      </w:r>
      <w:r>
        <w:rPr>
          <w:rFonts w:hint="eastAsia" w:ascii="宋体" w:hAnsi="宋体" w:cs="宋体"/>
          <w:b/>
          <w:bCs/>
          <w:color w:val="000000" w:themeColor="text1"/>
          <w:sz w:val="24"/>
          <w:szCs w:val="24"/>
          <w:u w:val="single"/>
        </w:rPr>
        <w:t>经磋商确定最终采购需求和提交最后报价的供应商后，</w:t>
      </w:r>
      <w:r>
        <w:rPr>
          <w:rFonts w:hint="eastAsia" w:ascii="宋体" w:hAnsi="宋体" w:cs="宋体"/>
          <w:color w:val="000000" w:themeColor="text1"/>
          <w:sz w:val="24"/>
          <w:szCs w:val="24"/>
        </w:rPr>
        <w:t>由磋商小组采用综合评分法</w:t>
      </w:r>
      <w:r>
        <w:rPr>
          <w:rFonts w:hint="eastAsia" w:ascii="宋体" w:hAnsi="宋体" w:cs="宋体"/>
          <w:b/>
          <w:bCs/>
          <w:color w:val="000000" w:themeColor="text1"/>
          <w:sz w:val="24"/>
          <w:szCs w:val="24"/>
          <w:u w:val="single"/>
        </w:rPr>
        <w:t>对提交最后报价的供应商的响应文件和最后报价</w:t>
      </w:r>
      <w:r>
        <w:rPr>
          <w:rFonts w:hint="eastAsia" w:ascii="宋体" w:hAnsi="宋体" w:cs="宋体"/>
          <w:color w:val="000000" w:themeColor="text1"/>
          <w:sz w:val="24"/>
          <w:szCs w:val="24"/>
        </w:rPr>
        <w:t>进行综合评分。</w:t>
      </w:r>
    </w:p>
    <w:p w14:paraId="598B7C11">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时，磋商小组各成员应当独立对每个有效响应的文件进行评价、打分，然后汇总每个供应商每项评分因素的得分（计算结果均四舍五入保留两位小数</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w:t>
      </w:r>
    </w:p>
    <w:p w14:paraId="1B07E69D">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、本次项目磋商的技术</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和商务报价</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总分值为</w:t>
      </w:r>
      <w:r>
        <w:rPr>
          <w:rFonts w:ascii="宋体" w:hAnsi="宋体" w:cs="宋体"/>
          <w:color w:val="000000" w:themeColor="text1"/>
          <w:sz w:val="24"/>
          <w:szCs w:val="24"/>
        </w:rPr>
        <w:t>100</w:t>
      </w:r>
      <w:r>
        <w:rPr>
          <w:rFonts w:hint="eastAsia" w:ascii="宋体" w:hAnsi="宋体" w:cs="宋体"/>
          <w:color w:val="000000" w:themeColor="text1"/>
          <w:sz w:val="24"/>
          <w:szCs w:val="24"/>
        </w:rPr>
        <w:t>分。两部分</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因素比重如下：</w:t>
      </w:r>
    </w:p>
    <w:p w14:paraId="4DEC3A73">
      <w:pPr>
        <w:snapToGrid w:val="0"/>
        <w:spacing w:line="480" w:lineRule="exact"/>
        <w:ind w:firstLine="480" w:firstLineChars="200"/>
        <w:rPr>
          <w:rFonts w:ascii="宋体"/>
          <w:color w:val="000000" w:themeColor="text1"/>
          <w:kern w:val="0"/>
          <w:sz w:val="24"/>
          <w:szCs w:val="24"/>
        </w:rPr>
      </w:pPr>
      <w:r>
        <w:rPr>
          <w:rFonts w:hint="eastAsia" w:ascii="宋体" w:hAnsi="宋体" w:cs="宋体"/>
          <w:color w:val="000000" w:themeColor="text1"/>
          <w:kern w:val="0"/>
          <w:sz w:val="24"/>
          <w:szCs w:val="24"/>
        </w:rPr>
        <w:t>技术响应文件分值占总分值的比重为</w:t>
      </w:r>
      <w:r>
        <w:rPr>
          <w:rFonts w:hint="eastAsia" w:ascii="宋体" w:hAnsi="宋体" w:cs="宋体"/>
          <w:color w:val="000000" w:themeColor="text1"/>
          <w:kern w:val="0"/>
          <w:sz w:val="24"/>
          <w:szCs w:val="24"/>
          <w:u w:val="single"/>
        </w:rPr>
        <w:t>7</w:t>
      </w:r>
      <w:r>
        <w:rPr>
          <w:rFonts w:ascii="宋体" w:hAnsi="宋体" w:cs="宋体"/>
          <w:color w:val="000000" w:themeColor="text1"/>
          <w:kern w:val="0"/>
          <w:sz w:val="24"/>
          <w:szCs w:val="24"/>
          <w:u w:val="single"/>
        </w:rPr>
        <w:t>0%</w:t>
      </w:r>
      <w:r>
        <w:rPr>
          <w:rFonts w:hint="eastAsia" w:ascii="宋体" w:hAnsi="宋体" w:cs="宋体"/>
          <w:color w:val="000000" w:themeColor="text1"/>
          <w:kern w:val="0"/>
          <w:sz w:val="24"/>
          <w:szCs w:val="24"/>
          <w:u w:val="single"/>
        </w:rPr>
        <w:t>（权重）</w:t>
      </w:r>
      <w:r>
        <w:rPr>
          <w:rFonts w:hint="eastAsia" w:ascii="宋体" w:hAnsi="宋体" w:cs="宋体"/>
          <w:color w:val="000000" w:themeColor="text1"/>
          <w:kern w:val="0"/>
          <w:sz w:val="24"/>
          <w:szCs w:val="24"/>
        </w:rPr>
        <w:t>（四舍五入保留两位小数）；</w:t>
      </w:r>
    </w:p>
    <w:p w14:paraId="0F757931">
      <w:pPr>
        <w:snapToGrid w:val="0"/>
        <w:spacing w:line="480" w:lineRule="exact"/>
        <w:ind w:firstLine="480" w:firstLineChars="200"/>
        <w:rPr>
          <w:rFonts w:ascii="宋体"/>
          <w:color w:val="000000" w:themeColor="text1"/>
          <w:kern w:val="0"/>
          <w:sz w:val="24"/>
          <w:szCs w:val="24"/>
        </w:rPr>
      </w:pPr>
      <w:r>
        <w:rPr>
          <w:rFonts w:hint="eastAsia" w:ascii="宋体" w:hAnsi="宋体" w:cs="宋体"/>
          <w:color w:val="000000" w:themeColor="text1"/>
          <w:kern w:val="0"/>
          <w:sz w:val="24"/>
          <w:szCs w:val="24"/>
        </w:rPr>
        <w:t>商务报价响应文件分值占总分值的比重为</w:t>
      </w:r>
      <w:r>
        <w:rPr>
          <w:rFonts w:hint="eastAsia" w:ascii="宋体" w:hAnsi="宋体" w:cs="宋体"/>
          <w:color w:val="000000" w:themeColor="text1"/>
          <w:kern w:val="0"/>
          <w:sz w:val="24"/>
          <w:szCs w:val="24"/>
          <w:u w:val="single"/>
        </w:rPr>
        <w:t>3</w:t>
      </w:r>
      <w:r>
        <w:rPr>
          <w:rFonts w:ascii="宋体" w:hAnsi="宋体" w:cs="宋体"/>
          <w:color w:val="000000" w:themeColor="text1"/>
          <w:kern w:val="0"/>
          <w:sz w:val="24"/>
          <w:szCs w:val="24"/>
          <w:u w:val="single"/>
        </w:rPr>
        <w:t>0%</w:t>
      </w:r>
      <w:r>
        <w:rPr>
          <w:rFonts w:hint="eastAsia" w:ascii="宋体" w:hAnsi="宋体" w:cs="宋体"/>
          <w:color w:val="000000" w:themeColor="text1"/>
          <w:kern w:val="0"/>
          <w:sz w:val="24"/>
          <w:szCs w:val="24"/>
          <w:u w:val="single"/>
        </w:rPr>
        <w:t>（权重）</w:t>
      </w:r>
      <w:r>
        <w:rPr>
          <w:rFonts w:hint="eastAsia" w:ascii="宋体" w:hAnsi="宋体" w:cs="宋体"/>
          <w:color w:val="000000" w:themeColor="text1"/>
          <w:kern w:val="0"/>
          <w:sz w:val="24"/>
          <w:szCs w:val="24"/>
        </w:rPr>
        <w:t>（四舍五入保留两位小数）。</w:t>
      </w:r>
    </w:p>
    <w:p w14:paraId="46036D16">
      <w:pPr>
        <w:snapToGrid w:val="0"/>
        <w:spacing w:line="480" w:lineRule="exact"/>
        <w:ind w:firstLine="480" w:firstLineChars="200"/>
        <w:rPr>
          <w:rFonts w:ascii="宋体"/>
          <w:dstrike/>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、技术</w:t>
      </w:r>
      <w:r>
        <w:rPr>
          <w:rFonts w:hint="eastAsia" w:ascii="宋体" w:hAnsi="宋体" w:cs="宋体"/>
          <w:color w:val="000000" w:themeColor="text1"/>
          <w:kern w:val="0"/>
          <w:sz w:val="24"/>
          <w:szCs w:val="24"/>
        </w:rPr>
        <w:t>响应文件分值为所有评委打分的算术平均值，计算</w:t>
      </w:r>
      <w:r>
        <w:rPr>
          <w:rFonts w:hint="eastAsia" w:ascii="宋体" w:hAnsi="宋体" w:cs="宋体"/>
          <w:color w:val="000000" w:themeColor="text1"/>
          <w:sz w:val="24"/>
          <w:szCs w:val="24"/>
        </w:rPr>
        <w:t>结果均四舍五入保留两位小数。</w:t>
      </w:r>
    </w:p>
    <w:p w14:paraId="61ABC24C">
      <w:pPr>
        <w:snapToGrid w:val="0"/>
        <w:spacing w:line="480" w:lineRule="exact"/>
        <w:ind w:firstLine="480" w:firstLineChars="200"/>
        <w:rPr>
          <w:color w:val="000000" w:themeColor="text1"/>
        </w:rPr>
      </w:pPr>
      <w:r>
        <w:rPr>
          <w:rFonts w:ascii="宋体" w:hAnsi="宋体" w:cs="宋体"/>
          <w:color w:val="000000" w:themeColor="text1"/>
          <w:sz w:val="24"/>
          <w:szCs w:val="24"/>
        </w:rPr>
        <w:t>5</w:t>
      </w:r>
      <w:r>
        <w:rPr>
          <w:rFonts w:hint="eastAsia" w:ascii="宋体" w:hAnsi="宋体" w:cs="宋体"/>
          <w:color w:val="000000" w:themeColor="text1"/>
          <w:sz w:val="24"/>
          <w:szCs w:val="24"/>
        </w:rPr>
        <w:t>、商务报价</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分值统一采用低价优先法计算直接取得，与技术</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分值相加为供应商的综合得分（四舍五入保留两位小数）。</w:t>
      </w:r>
    </w:p>
    <w:p w14:paraId="497F1508">
      <w:pPr>
        <w:snapToGrid w:val="0"/>
        <w:spacing w:line="480" w:lineRule="exact"/>
        <w:ind w:firstLine="460" w:firstLineChars="192"/>
        <w:rPr>
          <w:rFonts w:ascii="宋体"/>
          <w:color w:val="000000" w:themeColor="text1"/>
          <w:kern w:val="0"/>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综合得分最高的供应商推荐为项目预成交供应商并出具评审磋商报告。</w:t>
      </w:r>
    </w:p>
    <w:p w14:paraId="59F84DB8">
      <w:pPr>
        <w:snapToGrid w:val="0"/>
        <w:spacing w:line="480" w:lineRule="exact"/>
        <w:ind w:firstLine="480" w:firstLineChars="200"/>
        <w:outlineLvl w:val="1"/>
        <w:rPr>
          <w:rFonts w:ascii="宋体"/>
          <w:color w:val="000000" w:themeColor="text1"/>
          <w:sz w:val="24"/>
          <w:szCs w:val="24"/>
        </w:rPr>
      </w:pPr>
      <w:r>
        <w:rPr>
          <w:rFonts w:ascii="宋体" w:hAnsi="宋体" w:cs="宋体"/>
          <w:color w:val="000000" w:themeColor="text1"/>
          <w:sz w:val="24"/>
          <w:szCs w:val="24"/>
        </w:rPr>
        <w:t>7</w:t>
      </w:r>
      <w:r>
        <w:rPr>
          <w:rFonts w:hint="eastAsia" w:ascii="宋体" w:hAnsi="宋体" w:cs="宋体"/>
          <w:color w:val="000000" w:themeColor="text1"/>
          <w:sz w:val="24"/>
          <w:szCs w:val="24"/>
        </w:rPr>
        <w:t>、确定成交候选人的特殊情况处理：</w:t>
      </w:r>
    </w:p>
    <w:p w14:paraId="1B93D6FC">
      <w:pPr>
        <w:snapToGrid w:val="0"/>
        <w:spacing w:line="480" w:lineRule="exact"/>
        <w:ind w:firstLine="480" w:firstLineChars="200"/>
        <w:outlineLvl w:val="1"/>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）若总分相同，则按最终技术磋商响应评审得分高者优先</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w:t>
      </w:r>
    </w:p>
    <w:p w14:paraId="1A31132F">
      <w:pPr>
        <w:snapToGrid w:val="0"/>
        <w:spacing w:line="480" w:lineRule="exact"/>
        <w:ind w:firstLine="480" w:firstLineChars="200"/>
        <w:outlineLvl w:val="1"/>
        <w:rPr>
          <w:rFonts w:ascii="宋体"/>
          <w:dstrike/>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）若总分且最终报价得分相同，则采取现场抽签的方式确定（由供应商按递交响应文件签到顺序号抽签确定）。</w:t>
      </w:r>
    </w:p>
    <w:p w14:paraId="4A2DCE6B">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8</w:t>
      </w:r>
      <w:r>
        <w:rPr>
          <w:rFonts w:hint="eastAsia" w:ascii="宋体" w:hAnsi="宋体" w:cs="宋体"/>
          <w:color w:val="000000" w:themeColor="text1"/>
          <w:sz w:val="24"/>
          <w:szCs w:val="24"/>
        </w:rPr>
        <w:t>、磋商评审时，评委对评审的细则若有争议，由磋商小组集体讨论确定，并对未尽情况有最终解释权。</w:t>
      </w:r>
    </w:p>
    <w:p w14:paraId="73BD8EFF">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9</w:t>
      </w:r>
      <w:r>
        <w:rPr>
          <w:rFonts w:hint="eastAsia" w:ascii="宋体" w:hAnsi="宋体" w:cs="宋体"/>
          <w:color w:val="000000" w:themeColor="text1"/>
          <w:sz w:val="24"/>
          <w:szCs w:val="24"/>
        </w:rPr>
        <w:t>、对落标的供应商不做落标原因的解释。</w:t>
      </w:r>
    </w:p>
    <w:p w14:paraId="77487244">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五、综合评分评审标准</w:t>
      </w:r>
    </w:p>
    <w:bookmarkEnd w:id="75"/>
    <w:bookmarkEnd w:id="76"/>
    <w:bookmarkEnd w:id="77"/>
    <w:bookmarkEnd w:id="78"/>
    <w:bookmarkEnd w:id="79"/>
    <w:bookmarkEnd w:id="80"/>
    <w:bookmarkEnd w:id="81"/>
    <w:bookmarkEnd w:id="82"/>
    <w:p w14:paraId="301DB52F">
      <w:pPr>
        <w:widowControl/>
        <w:numPr>
          <w:ilvl w:val="0"/>
          <w:numId w:val="4"/>
        </w:numPr>
        <w:snapToGrid w:val="0"/>
        <w:spacing w:line="480" w:lineRule="exact"/>
        <w:ind w:firstLine="482" w:firstLineChars="200"/>
        <w:jc w:val="left"/>
        <w:rPr>
          <w:rFonts w:ascii="宋体" w:hAnsi="宋体" w:cs="宋体"/>
          <w:b/>
          <w:bCs/>
          <w:color w:val="000000" w:themeColor="text1"/>
          <w:kern w:val="0"/>
          <w:sz w:val="24"/>
          <w:szCs w:val="24"/>
        </w:rPr>
      </w:pPr>
      <w:bookmarkStart w:id="89" w:name="_Toc94585343"/>
      <w:bookmarkStart w:id="90" w:name="_Toc363573858"/>
      <w:r>
        <w:rPr>
          <w:rFonts w:hint="eastAsia" w:ascii="宋体" w:hAnsi="宋体" w:cs="宋体"/>
          <w:b/>
          <w:color w:val="000000" w:themeColor="text1"/>
          <w:sz w:val="24"/>
          <w:szCs w:val="24"/>
        </w:rPr>
        <w:t>技术标评分</w:t>
      </w:r>
      <w:r>
        <w:rPr>
          <w:rFonts w:hint="eastAsia" w:ascii="宋体" w:hAnsi="宋体" w:cs="宋体"/>
          <w:b/>
          <w:bCs/>
          <w:color w:val="000000" w:themeColor="text1"/>
          <w:kern w:val="0"/>
          <w:sz w:val="24"/>
          <w:szCs w:val="24"/>
        </w:rPr>
        <w:t xml:space="preserve">（70分） </w:t>
      </w:r>
    </w:p>
    <w:tbl>
      <w:tblPr>
        <w:tblStyle w:val="53"/>
        <w:tblW w:w="966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22"/>
        <w:gridCol w:w="783"/>
        <w:gridCol w:w="6835"/>
      </w:tblGrid>
      <w:tr w14:paraId="30C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AD1BF7B">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序号</w:t>
            </w:r>
          </w:p>
        </w:tc>
        <w:tc>
          <w:tcPr>
            <w:tcW w:w="1322" w:type="dxa"/>
            <w:vAlign w:val="center"/>
          </w:tcPr>
          <w:p w14:paraId="0EFD7C89">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评审项目</w:t>
            </w:r>
          </w:p>
        </w:tc>
        <w:tc>
          <w:tcPr>
            <w:tcW w:w="783" w:type="dxa"/>
            <w:vAlign w:val="center"/>
          </w:tcPr>
          <w:p w14:paraId="26AAB3B9">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最高得分</w:t>
            </w:r>
          </w:p>
        </w:tc>
        <w:tc>
          <w:tcPr>
            <w:tcW w:w="6835" w:type="dxa"/>
            <w:vAlign w:val="center"/>
          </w:tcPr>
          <w:p w14:paraId="7279BA05">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技术评审因素及评分规定</w:t>
            </w:r>
          </w:p>
        </w:tc>
      </w:tr>
      <w:tr w14:paraId="31B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30E1C75">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1</w:t>
            </w:r>
          </w:p>
        </w:tc>
        <w:tc>
          <w:tcPr>
            <w:tcW w:w="1322" w:type="dxa"/>
            <w:vAlign w:val="center"/>
          </w:tcPr>
          <w:p w14:paraId="462AABC7">
            <w:pPr>
              <w:pStyle w:val="27"/>
              <w:tabs>
                <w:tab w:val="left" w:pos="2610"/>
              </w:tabs>
              <w:spacing w:line="360" w:lineRule="auto"/>
              <w:jc w:val="center"/>
              <w:rPr>
                <w:rFonts w:hAnsi="宋体"/>
                <w:color w:val="000000" w:themeColor="text1"/>
                <w:sz w:val="24"/>
                <w:szCs w:val="24"/>
              </w:rPr>
            </w:pPr>
            <w:r>
              <w:rPr>
                <w:rFonts w:hint="eastAsia" w:ascii="仿宋_GB2312" w:hAnsi="仿宋_GB2312" w:eastAsia="仿宋_GB2312" w:cs="仿宋_GB2312"/>
                <w:b/>
                <w:bCs/>
                <w:color w:val="000000" w:themeColor="text1"/>
                <w:sz w:val="24"/>
                <w:szCs w:val="24"/>
              </w:rPr>
              <w:t>项目负责人</w:t>
            </w:r>
          </w:p>
        </w:tc>
        <w:tc>
          <w:tcPr>
            <w:tcW w:w="783" w:type="dxa"/>
            <w:vAlign w:val="center"/>
          </w:tcPr>
          <w:p w14:paraId="49B9AADC">
            <w:pPr>
              <w:pStyle w:val="27"/>
              <w:tabs>
                <w:tab w:val="left" w:pos="2610"/>
              </w:tabs>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30</w:t>
            </w:r>
          </w:p>
        </w:tc>
        <w:tc>
          <w:tcPr>
            <w:tcW w:w="6835" w:type="dxa"/>
            <w:vAlign w:val="center"/>
          </w:tcPr>
          <w:p w14:paraId="13C39EB8">
            <w:pPr>
              <w:autoSpaceDE w:val="0"/>
              <w:autoSpaceDN w:val="0"/>
              <w:adjustRightInd w:val="0"/>
              <w:spacing w:line="360" w:lineRule="auto"/>
              <w:rPr>
                <w:rFonts w:cs="仿宋_GB2312"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（1）</w:t>
            </w:r>
            <w:r>
              <w:rPr>
                <w:rFonts w:hint="eastAsia" w:cs="仿宋_GB2312" w:asciiTheme="minorEastAsia" w:hAnsiTheme="minorEastAsia" w:eastAsiaTheme="minorEastAsia"/>
                <w:color w:val="000000" w:themeColor="text1"/>
                <w:sz w:val="24"/>
                <w:szCs w:val="24"/>
              </w:rPr>
              <w:t>项目负责人具有国家文物局颁发的考古发掘项目负责人（领队）资格得3分；项目负责人具有本科及以上考古学学历学位得2分；具有副高级及以上文物博物馆专业技术职务得2分；具有从事考古发掘及文物工作10年及以上的经历得3分，具有从事考古发掘及文物工作5年（含）-10年的经历得1分。（提供有效证书等证明材料复印件加盖公章）</w:t>
            </w:r>
          </w:p>
          <w:p w14:paraId="119AD1E8">
            <w:pPr>
              <w:pStyle w:val="21"/>
              <w:spacing w:line="360" w:lineRule="auto"/>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w:t>
            </w:r>
            <w:r>
              <w:rPr>
                <w:rFonts w:hint="eastAsia" w:cs="仿宋_GB2312" w:asciiTheme="minorEastAsia" w:hAnsiTheme="minorEastAsia" w:eastAsiaTheme="minorEastAsia"/>
                <w:color w:val="000000" w:themeColor="text1"/>
              </w:rPr>
              <w:t>项目负责人曾经主持过文物资源</w:t>
            </w:r>
            <w:r>
              <w:rPr>
                <w:rFonts w:hint="eastAsia" w:cs="仿宋_GB2312" w:asciiTheme="minorEastAsia" w:hAnsiTheme="minorEastAsia" w:eastAsiaTheme="minorEastAsia"/>
                <w:color w:val="000000" w:themeColor="text1"/>
                <w:lang w:eastAsia="zh-CN"/>
              </w:rPr>
              <w:t>调查</w:t>
            </w:r>
            <w:r>
              <w:rPr>
                <w:rFonts w:hint="eastAsia" w:cs="仿宋_GB2312" w:asciiTheme="minorEastAsia" w:hAnsiTheme="minorEastAsia" w:eastAsiaTheme="minorEastAsia"/>
                <w:color w:val="000000" w:themeColor="text1"/>
              </w:rPr>
              <w:t>项目，并获得省文物局组织的专家结项验收者，</w:t>
            </w:r>
            <w:r>
              <w:rPr>
                <w:rFonts w:hint="eastAsia" w:cs="仿宋_GB2312" w:asciiTheme="minorEastAsia" w:hAnsiTheme="minorEastAsia" w:eastAsiaTheme="minorEastAsia"/>
                <w:bCs/>
                <w:color w:val="000000" w:themeColor="text1"/>
              </w:rPr>
              <w:t>每一项得5分</w:t>
            </w:r>
            <w:r>
              <w:rPr>
                <w:rFonts w:hint="eastAsia" w:cs="仿宋_GB2312" w:asciiTheme="minorEastAsia" w:hAnsiTheme="minorEastAsia" w:eastAsiaTheme="minorEastAsia"/>
                <w:color w:val="000000" w:themeColor="text1"/>
              </w:rPr>
              <w:t>。最高20分（提供有效证明材料复印件加盖公章）。</w:t>
            </w:r>
          </w:p>
        </w:tc>
      </w:tr>
      <w:tr w14:paraId="539E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3D10E17">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2</w:t>
            </w:r>
          </w:p>
        </w:tc>
        <w:tc>
          <w:tcPr>
            <w:tcW w:w="1322" w:type="dxa"/>
            <w:vAlign w:val="center"/>
          </w:tcPr>
          <w:p w14:paraId="5F9DDF4E">
            <w:pPr>
              <w:pStyle w:val="27"/>
              <w:tabs>
                <w:tab w:val="left" w:pos="2610"/>
              </w:tabs>
              <w:spacing w:line="360" w:lineRule="auto"/>
              <w:jc w:val="left"/>
              <w:rPr>
                <w:rFonts w:hint="eastAsia" w:ascii="仿宋_GB2312" w:hAnsi="仿宋_GB2312" w:eastAsia="仿宋_GB2312" w:cs="仿宋_GB2312"/>
                <w:b w:val="0"/>
                <w:bCs w:val="0"/>
                <w:color w:val="000000" w:themeColor="text1"/>
                <w:kern w:val="0"/>
                <w:sz w:val="24"/>
                <w:szCs w:val="24"/>
                <w:highlight w:val="none"/>
                <w:lang w:val="en-US" w:eastAsia="zh-CN"/>
              </w:rPr>
            </w:pPr>
            <w:r>
              <w:rPr>
                <w:rFonts w:hint="eastAsia" w:ascii="仿宋_GB2312" w:hAnsi="仿宋_GB2312" w:eastAsia="仿宋_GB2312" w:cs="仿宋_GB2312"/>
                <w:b/>
                <w:bCs/>
                <w:color w:val="000000" w:themeColor="text1"/>
                <w:kern w:val="0"/>
                <w:sz w:val="24"/>
                <w:szCs w:val="24"/>
              </w:rPr>
              <w:t>技术方案及难点对策</w:t>
            </w:r>
            <w:r>
              <w:rPr>
                <w:rFonts w:hint="eastAsia" w:ascii="仿宋_GB2312" w:hAnsi="仿宋_GB2312" w:eastAsia="仿宋_GB2312" w:cs="仿宋_GB2312"/>
                <w:b/>
                <w:bCs/>
                <w:color w:val="000000" w:themeColor="text1"/>
                <w:kern w:val="0"/>
                <w:sz w:val="24"/>
                <w:szCs w:val="24"/>
                <w:lang w:eastAsia="zh-CN"/>
              </w:rPr>
              <w:t>（</w:t>
            </w:r>
            <w:r>
              <w:rPr>
                <w:rFonts w:hint="eastAsia" w:ascii="仿宋_GB2312" w:hAnsi="仿宋_GB2312" w:eastAsia="仿宋_GB2312" w:cs="仿宋_GB2312"/>
                <w:b w:val="0"/>
                <w:bCs w:val="0"/>
                <w:color w:val="000000" w:themeColor="text1"/>
                <w:kern w:val="0"/>
                <w:sz w:val="24"/>
                <w:szCs w:val="24"/>
                <w:highlight w:val="none"/>
                <w:lang w:val="en-US" w:eastAsia="zh-CN"/>
              </w:rPr>
              <w:t>请以集秀路</w:t>
            </w:r>
          </w:p>
          <w:p w14:paraId="672F87FC">
            <w:pPr>
              <w:pStyle w:val="27"/>
              <w:tabs>
                <w:tab w:val="left" w:pos="2610"/>
              </w:tabs>
              <w:spacing w:line="360" w:lineRule="auto"/>
              <w:jc w:val="left"/>
              <w:rPr>
                <w:rFonts w:hint="eastAsia" w:hAnsi="宋体" w:eastAsia="仿宋_GB2312"/>
                <w:color w:val="000000" w:themeColor="text1"/>
                <w:sz w:val="24"/>
                <w:szCs w:val="24"/>
                <w:lang w:eastAsia="zh-CN"/>
              </w:rPr>
            </w:pPr>
            <w:r>
              <w:rPr>
                <w:rFonts w:hint="eastAsia" w:ascii="仿宋_GB2312" w:hAnsi="仿宋_GB2312" w:eastAsia="仿宋_GB2312" w:cs="仿宋_GB2312"/>
                <w:b w:val="0"/>
                <w:bCs w:val="0"/>
                <w:color w:val="000000" w:themeColor="text1"/>
                <w:kern w:val="0"/>
                <w:sz w:val="24"/>
                <w:szCs w:val="24"/>
                <w:highlight w:val="none"/>
                <w:lang w:val="en-US" w:eastAsia="zh-CN"/>
              </w:rPr>
              <w:t>（天生路一树西路）约15600</w:t>
            </w:r>
            <w:r>
              <w:rPr>
                <w:rFonts w:hint="eastAsia" w:ascii="宋体" w:hAnsi="宋体" w:eastAsia="宋体" w:cs="宋体"/>
                <w:b w:val="0"/>
                <w:bCs w:val="0"/>
                <w:color w:val="auto"/>
                <w:szCs w:val="21"/>
                <w:highlight w:val="none"/>
              </w:rPr>
              <w:t>㎡</w:t>
            </w:r>
            <w:r>
              <w:rPr>
                <w:rFonts w:hint="eastAsia" w:ascii="仿宋_GB2312" w:hAnsi="仿宋_GB2312" w:eastAsia="仿宋_GB2312" w:cs="仿宋_GB2312"/>
                <w:b w:val="0"/>
                <w:bCs w:val="0"/>
                <w:color w:val="000000" w:themeColor="text1"/>
                <w:kern w:val="0"/>
                <w:sz w:val="24"/>
                <w:szCs w:val="24"/>
                <w:highlight w:val="none"/>
                <w:lang w:val="en-US" w:eastAsia="zh-CN"/>
              </w:rPr>
              <w:t>、惠农路（集秀路-长泰路）约5460㎡为例，根据实际情况编写</w:t>
            </w:r>
            <w:r>
              <w:rPr>
                <w:rFonts w:hint="eastAsia" w:ascii="仿宋_GB2312" w:hAnsi="仿宋_GB2312" w:eastAsia="仿宋_GB2312" w:cs="仿宋_GB2312"/>
                <w:b w:val="0"/>
                <w:bCs w:val="0"/>
                <w:color w:val="000000" w:themeColor="text1"/>
                <w:kern w:val="0"/>
                <w:sz w:val="24"/>
                <w:szCs w:val="24"/>
                <w:highlight w:val="none"/>
                <w:lang w:eastAsia="zh-CN"/>
              </w:rPr>
              <w:t>）</w:t>
            </w:r>
          </w:p>
        </w:tc>
        <w:tc>
          <w:tcPr>
            <w:tcW w:w="783" w:type="dxa"/>
            <w:vAlign w:val="center"/>
          </w:tcPr>
          <w:p w14:paraId="382DF504">
            <w:pPr>
              <w:pStyle w:val="27"/>
              <w:tabs>
                <w:tab w:val="left" w:pos="2610"/>
              </w:tabs>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40</w:t>
            </w:r>
          </w:p>
        </w:tc>
        <w:tc>
          <w:tcPr>
            <w:tcW w:w="6835" w:type="dxa"/>
            <w:vAlign w:val="center"/>
          </w:tcPr>
          <w:p w14:paraId="3BAEA8C0">
            <w:pPr>
              <w:pStyle w:val="21"/>
              <w:numPr>
                <w:ilvl w:val="0"/>
                <w:numId w:val="5"/>
              </w:numPr>
              <w:spacing w:line="360" w:lineRule="auto"/>
              <w:rPr>
                <w:rFonts w:cs="宋体" w:asciiTheme="minorEastAsia" w:hAnsiTheme="minorEastAsia" w:eastAsiaTheme="minorEastAsia"/>
                <w:color w:val="000000" w:themeColor="text1"/>
              </w:rPr>
            </w:pPr>
            <w:r>
              <w:rPr>
                <w:rFonts w:hint="eastAsia" w:cs="仿宋_GB2312" w:asciiTheme="minorEastAsia" w:hAnsiTheme="minorEastAsia" w:eastAsiaTheme="minorEastAsia"/>
                <w:color w:val="000000" w:themeColor="text1"/>
                <w:kern w:val="0"/>
              </w:rPr>
              <w:t>供应商需提供详细的项目总体服务实施方案，方案科学性、合理性、实施性、连续性很强得8-10分，方案科学性、合理性、实施性、连续性较强得4-7分，方案科学性、合理性、实施性、连续性一般的得1-3分，不提供不得分。</w:t>
            </w:r>
          </w:p>
          <w:p w14:paraId="7F7BC33D">
            <w:pPr>
              <w:pStyle w:val="21"/>
              <w:spacing w:line="360" w:lineRule="auto"/>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w:t>
            </w:r>
            <w:r>
              <w:rPr>
                <w:rFonts w:hint="eastAsia" w:cs="仿宋_GB2312" w:asciiTheme="minorEastAsia" w:hAnsiTheme="minorEastAsia" w:eastAsiaTheme="minorEastAsia"/>
                <w:color w:val="000000" w:themeColor="text1"/>
                <w:kern w:val="0"/>
              </w:rPr>
              <w:t>供应商对该项目是否了解充分、对相关规范性文件掌握是否详实全面，由供应商进行出面阐述，十分充分、全面得8-10分，比较充分、全面得4-7分，不太充分、全面得1-3分，不提供不得分。</w:t>
            </w:r>
          </w:p>
          <w:p w14:paraId="07D94DFC">
            <w:pPr>
              <w:pStyle w:val="21"/>
              <w:spacing w:line="360" w:lineRule="auto"/>
              <w:rPr>
                <w:rFonts w:cs="仿宋_GB2312"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w:t>
            </w:r>
            <w:r>
              <w:rPr>
                <w:rFonts w:hint="eastAsia" w:cs="仿宋_GB2312" w:asciiTheme="minorEastAsia" w:hAnsiTheme="minorEastAsia" w:eastAsiaTheme="minorEastAsia"/>
                <w:color w:val="000000" w:themeColor="text1"/>
                <w:kern w:val="0"/>
              </w:rPr>
              <w:t>供应商针对该项目的重点难点进行系统分析，并给出重点难点解决对策。十分准确、科学得8-10分，比较准确、科学得4-7分，不太准确、科学得1-3分，不提供不得分。</w:t>
            </w:r>
          </w:p>
          <w:p w14:paraId="66CD8306">
            <w:pPr>
              <w:pStyle w:val="21"/>
              <w:spacing w:line="360" w:lineRule="auto"/>
              <w:rPr>
                <w:rFonts w:cs="仿宋_GB2312" w:asciiTheme="minorEastAsia" w:hAnsiTheme="minorEastAsia" w:eastAsiaTheme="minorEastAsia"/>
                <w:color w:val="000000" w:themeColor="text1"/>
              </w:rPr>
            </w:pPr>
            <w:r>
              <w:rPr>
                <w:rFonts w:hint="eastAsia" w:cs="仿宋_GB2312" w:asciiTheme="minorEastAsia" w:hAnsiTheme="minorEastAsia" w:eastAsiaTheme="minorEastAsia"/>
                <w:color w:val="000000" w:themeColor="text1"/>
              </w:rPr>
              <w:t>（4）供应商提供详细的管理规章制度，制度十分齐全、清晰、突出得8-10分，比较齐全、清晰、突出得4-7分，不太齐全、清晰、突出得1-3分，不提供不得分。</w:t>
            </w:r>
          </w:p>
        </w:tc>
      </w:tr>
      <w:tr w14:paraId="2AD2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gridSpan w:val="2"/>
            <w:vAlign w:val="center"/>
          </w:tcPr>
          <w:p w14:paraId="51269F59">
            <w:pPr>
              <w:pStyle w:val="27"/>
              <w:tabs>
                <w:tab w:val="left" w:pos="2610"/>
              </w:tabs>
              <w:spacing w:line="360" w:lineRule="auto"/>
              <w:jc w:val="center"/>
              <w:rPr>
                <w:rFonts w:hAnsi="宋体"/>
                <w:color w:val="000000" w:themeColor="text1"/>
                <w:sz w:val="24"/>
                <w:szCs w:val="24"/>
              </w:rPr>
            </w:pPr>
            <w:r>
              <w:rPr>
                <w:rFonts w:hint="eastAsia" w:hAnsi="宋体"/>
                <w:color w:val="000000" w:themeColor="text1"/>
                <w:sz w:val="24"/>
                <w:szCs w:val="24"/>
              </w:rPr>
              <w:t>合计</w:t>
            </w:r>
          </w:p>
        </w:tc>
        <w:tc>
          <w:tcPr>
            <w:tcW w:w="783" w:type="dxa"/>
            <w:vAlign w:val="center"/>
          </w:tcPr>
          <w:p w14:paraId="719BD511">
            <w:pPr>
              <w:pStyle w:val="27"/>
              <w:tabs>
                <w:tab w:val="left" w:pos="2610"/>
              </w:tabs>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70</w:t>
            </w:r>
          </w:p>
        </w:tc>
        <w:tc>
          <w:tcPr>
            <w:tcW w:w="6835" w:type="dxa"/>
            <w:vAlign w:val="center"/>
          </w:tcPr>
          <w:p w14:paraId="5732DFAB">
            <w:pPr>
              <w:pStyle w:val="27"/>
              <w:tabs>
                <w:tab w:val="left" w:pos="2610"/>
              </w:tabs>
              <w:spacing w:line="360" w:lineRule="auto"/>
              <w:rPr>
                <w:rFonts w:asciiTheme="minorEastAsia" w:hAnsiTheme="minorEastAsia" w:eastAsiaTheme="minorEastAsia"/>
                <w:color w:val="000000" w:themeColor="text1"/>
                <w:sz w:val="24"/>
                <w:szCs w:val="24"/>
              </w:rPr>
            </w:pPr>
          </w:p>
        </w:tc>
      </w:tr>
    </w:tbl>
    <w:p w14:paraId="342E00F8">
      <w:pPr>
        <w:snapToGrid w:val="0"/>
        <w:spacing w:line="480" w:lineRule="exact"/>
        <w:contextualSpacing/>
        <w:outlineLvl w:val="1"/>
        <w:rPr>
          <w:rFonts w:ascii="宋体" w:hAnsi="宋体" w:cs="宋体"/>
          <w:color w:val="000000" w:themeColor="text1"/>
          <w:sz w:val="24"/>
          <w:szCs w:val="24"/>
        </w:rPr>
      </w:pPr>
      <w:r>
        <w:rPr>
          <w:rFonts w:hint="eastAsia" w:ascii="宋体" w:hAnsi="宋体" w:cs="宋体"/>
          <w:color w:val="000000" w:themeColor="text1"/>
          <w:sz w:val="24"/>
          <w:szCs w:val="24"/>
        </w:rPr>
        <w:t>注：1、供应商应按上表要求提供相关证明文件并加盖公章。</w:t>
      </w:r>
    </w:p>
    <w:p w14:paraId="40317ED8">
      <w:pPr>
        <w:snapToGrid w:val="0"/>
        <w:spacing w:line="480" w:lineRule="exact"/>
        <w:ind w:firstLine="480" w:firstLineChars="200"/>
        <w:contextualSpacing/>
        <w:outlineLvl w:val="1"/>
        <w:rPr>
          <w:rFonts w:ascii="宋体" w:hAnsi="宋体" w:cs="宋体"/>
          <w:b/>
          <w:bCs/>
          <w:color w:val="000000" w:themeColor="text1"/>
          <w:sz w:val="24"/>
          <w:szCs w:val="24"/>
        </w:rPr>
      </w:pPr>
      <w:r>
        <w:rPr>
          <w:rFonts w:hint="eastAsia" w:ascii="宋体" w:hAnsi="宋体" w:cs="宋体"/>
          <w:color w:val="000000" w:themeColor="text1"/>
          <w:sz w:val="24"/>
          <w:szCs w:val="24"/>
        </w:rPr>
        <w:t>2、以上打分项设得分上限，评委依据招标文件载明的方法评分，评分四舍五入精确到小数点后两位。供应商应按上表要求提供相关证明文件并加盖公章。</w:t>
      </w:r>
    </w:p>
    <w:p w14:paraId="4D802A16">
      <w:pPr>
        <w:snapToGrid w:val="0"/>
        <w:spacing w:line="480" w:lineRule="exact"/>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（二）商务报价响应评分：（30分）</w:t>
      </w:r>
    </w:p>
    <w:p w14:paraId="632C58B5">
      <w:pPr>
        <w:snapToGrid w:val="0"/>
        <w:spacing w:line="480" w:lineRule="exact"/>
        <w:ind w:firstLine="570"/>
        <w:rPr>
          <w:rFonts w:ascii="宋体" w:hAnsi="宋体" w:cs="宋体"/>
          <w:b/>
          <w:color w:val="000000" w:themeColor="text1"/>
          <w:sz w:val="24"/>
          <w:szCs w:val="24"/>
        </w:rPr>
      </w:pPr>
      <w:r>
        <w:rPr>
          <w:rFonts w:hint="eastAsia" w:ascii="宋体" w:hAnsi="宋体" w:cs="宋体"/>
          <w:color w:val="000000" w:themeColor="text1"/>
          <w:sz w:val="24"/>
          <w:szCs w:val="24"/>
        </w:rPr>
        <w:t>1、</w:t>
      </w:r>
      <w:r>
        <w:rPr>
          <w:rFonts w:hint="eastAsia" w:ascii="宋体" w:hAnsi="宋体" w:cs="宋体"/>
          <w:b/>
          <w:color w:val="000000" w:themeColor="text1"/>
          <w:sz w:val="24"/>
          <w:szCs w:val="24"/>
        </w:rPr>
        <w:t>本次项目最高限价为</w:t>
      </w:r>
      <w:r>
        <w:rPr>
          <w:rFonts w:hint="eastAsia" w:ascii="宋体" w:hAnsi="宋体" w:cs="宋体"/>
          <w:b/>
          <w:color w:val="000000" w:themeColor="text1"/>
          <w:sz w:val="24"/>
          <w:szCs w:val="24"/>
          <w:lang w:val="en-US" w:eastAsia="zh-CN"/>
        </w:rPr>
        <w:t>4.5元/</w:t>
      </w:r>
      <w:r>
        <w:rPr>
          <w:rFonts w:hint="eastAsia" w:ascii="宋体" w:hAnsi="宋体" w:eastAsia="宋体" w:cs="宋体"/>
          <w:b/>
          <w:color w:val="000000" w:themeColor="text1"/>
          <w:sz w:val="24"/>
          <w:szCs w:val="24"/>
          <w:lang w:val="en-US" w:eastAsia="zh-CN"/>
        </w:rPr>
        <w:t>㎡</w:t>
      </w:r>
      <w:r>
        <w:rPr>
          <w:rFonts w:hint="eastAsia" w:ascii="宋体" w:hAnsi="宋体" w:cs="宋体"/>
          <w:b/>
          <w:color w:val="000000" w:themeColor="text1"/>
          <w:sz w:val="24"/>
          <w:szCs w:val="24"/>
        </w:rPr>
        <w:t>。超过限价作无效投标处理。</w:t>
      </w:r>
    </w:p>
    <w:p w14:paraId="7E87DCEA">
      <w:pPr>
        <w:snapToGrid w:val="0"/>
        <w:spacing w:line="480" w:lineRule="exact"/>
        <w:ind w:firstLine="570"/>
        <w:rPr>
          <w:rFonts w:ascii="宋体" w:hAnsi="宋体" w:cs="宋体"/>
          <w:color w:val="000000" w:themeColor="text1"/>
          <w:sz w:val="24"/>
          <w:szCs w:val="24"/>
        </w:rPr>
      </w:pPr>
      <w:r>
        <w:rPr>
          <w:rFonts w:hint="eastAsia" w:ascii="宋体" w:hAnsi="宋体" w:cs="宋体"/>
          <w:color w:val="000000" w:themeColor="text1"/>
          <w:sz w:val="24"/>
          <w:szCs w:val="24"/>
        </w:rPr>
        <w:t>2、满足招标文件要求且投标报价最低的报价为评标基准价，其商务标得分为满分。</w:t>
      </w:r>
    </w:p>
    <w:p w14:paraId="1C1D614C">
      <w:pPr>
        <w:snapToGrid w:val="0"/>
        <w:spacing w:line="480" w:lineRule="exact"/>
        <w:ind w:firstLine="570"/>
        <w:rPr>
          <w:rFonts w:ascii="宋体" w:hAnsi="宋体" w:cs="宋体"/>
          <w:color w:val="000000" w:themeColor="text1"/>
          <w:sz w:val="24"/>
          <w:szCs w:val="24"/>
        </w:rPr>
      </w:pPr>
      <w:r>
        <w:rPr>
          <w:rFonts w:hint="eastAsia" w:ascii="宋体" w:hAnsi="宋体" w:cs="宋体"/>
          <w:color w:val="000000" w:themeColor="text1"/>
          <w:sz w:val="24"/>
          <w:szCs w:val="24"/>
        </w:rPr>
        <w:t>3、其他投标供应商的商务标得分分别按照下列公式计算：</w:t>
      </w:r>
    </w:p>
    <w:p w14:paraId="5A36FE58">
      <w:pPr>
        <w:snapToGrid w:val="0"/>
        <w:spacing w:line="480" w:lineRule="exact"/>
        <w:ind w:firstLine="570"/>
        <w:rPr>
          <w:rFonts w:ascii="宋体" w:hAnsi="宋体" w:cs="宋体"/>
          <w:color w:val="000000" w:themeColor="text1"/>
          <w:sz w:val="24"/>
          <w:szCs w:val="24"/>
        </w:rPr>
      </w:pPr>
      <w:r>
        <w:rPr>
          <w:rFonts w:hint="eastAsia" w:ascii="宋体" w:hAnsi="宋体" w:cs="宋体"/>
          <w:color w:val="000000" w:themeColor="text1"/>
          <w:sz w:val="24"/>
          <w:szCs w:val="24"/>
        </w:rPr>
        <w:t xml:space="preserve">   商务标得分 =（评标基准价/投标报价）×30%×100</w:t>
      </w:r>
    </w:p>
    <w:p w14:paraId="1B77E53F">
      <w:pPr>
        <w:snapToGrid w:val="0"/>
        <w:spacing w:line="480" w:lineRule="exact"/>
        <w:ind w:firstLine="482" w:firstLineChars="200"/>
        <w:rPr>
          <w:rFonts w:ascii="宋体" w:hAnsi="宋体"/>
          <w:b/>
          <w:bCs/>
          <w:color w:val="000000" w:themeColor="text1"/>
          <w:sz w:val="24"/>
          <w:szCs w:val="24"/>
        </w:rPr>
      </w:pPr>
      <w:r>
        <w:rPr>
          <w:rFonts w:hint="eastAsia" w:ascii="宋体" w:hAnsi="宋体" w:cs="宋体"/>
          <w:b/>
          <w:bCs/>
          <w:color w:val="000000" w:themeColor="text1"/>
          <w:sz w:val="24"/>
          <w:szCs w:val="24"/>
        </w:rPr>
        <w:t xml:space="preserve"> 4、</w:t>
      </w:r>
      <w:r>
        <w:rPr>
          <w:rFonts w:ascii="宋体" w:hAnsi="宋体"/>
          <w:b/>
          <w:bCs/>
          <w:color w:val="000000" w:themeColor="text1"/>
          <w:sz w:val="24"/>
          <w:szCs w:val="24"/>
        </w:rPr>
        <w:t>政府采购政策</w:t>
      </w:r>
    </w:p>
    <w:p w14:paraId="3C681D87">
      <w:pPr>
        <w:snapToGrid w:val="0"/>
        <w:spacing w:line="480" w:lineRule="exact"/>
        <w:ind w:firstLine="480" w:firstLineChars="200"/>
        <w:rPr>
          <w:rFonts w:ascii="宋体" w:hAnsi="宋体" w:cs="宋体"/>
          <w:color w:val="000000" w:themeColor="text1"/>
          <w:sz w:val="24"/>
          <w:szCs w:val="24"/>
        </w:rPr>
      </w:pPr>
      <w:bookmarkStart w:id="91" w:name="_Hlk69391943"/>
      <w:r>
        <w:rPr>
          <w:rFonts w:hint="eastAsia" w:ascii="宋体" w:hAnsi="宋体" w:cs="宋体"/>
          <w:color w:val="000000" w:themeColor="text1"/>
          <w:sz w:val="24"/>
          <w:szCs w:val="24"/>
        </w:rPr>
        <w:t>4.</w:t>
      </w:r>
      <w:r>
        <w:rPr>
          <w:rFonts w:ascii="宋体" w:hAnsi="宋体" w:cs="宋体"/>
          <w:color w:val="000000" w:themeColor="text1"/>
          <w:sz w:val="24"/>
          <w:szCs w:val="24"/>
        </w:rPr>
        <w:t>1</w:t>
      </w:r>
      <w:r>
        <w:rPr>
          <w:rFonts w:hint="eastAsia" w:ascii="宋体" w:hAnsi="宋体" w:cs="宋体"/>
          <w:color w:val="000000" w:themeColor="text1"/>
          <w:sz w:val="24"/>
          <w:szCs w:val="24"/>
        </w:rPr>
        <w:t>针对中小微型企业的采购政策</w:t>
      </w:r>
    </w:p>
    <w:p w14:paraId="7BDA2837">
      <w:pPr>
        <w:spacing w:line="360" w:lineRule="auto"/>
        <w:ind w:firstLine="480" w:firstLineChars="200"/>
        <w:rPr>
          <w:rFonts w:cs="宋体"/>
          <w:color w:val="000000" w:themeColor="text1"/>
          <w:sz w:val="24"/>
          <w:u w:val="single"/>
        </w:rPr>
      </w:pPr>
      <w:r>
        <w:rPr>
          <w:rFonts w:hint="eastAsia" w:cs="宋体"/>
          <w:color w:val="000000" w:themeColor="text1"/>
          <w:sz w:val="24"/>
        </w:rPr>
        <w:t>（1）根据《政府采购促进中小企业发展管理办法》（财库﹝2020﹞46 号）的第四条，</w:t>
      </w:r>
      <w:r>
        <w:rPr>
          <w:rFonts w:hint="eastAsia" w:cs="宋体"/>
          <w:b/>
          <w:bCs/>
          <w:color w:val="000000" w:themeColor="text1"/>
          <w:sz w:val="24"/>
        </w:rPr>
        <w:t>本次采购项目属</w:t>
      </w:r>
      <w:r>
        <w:rPr>
          <w:rFonts w:hint="eastAsia" w:cs="宋体"/>
          <w:b/>
          <w:bCs/>
          <w:color w:val="000000" w:themeColor="text1"/>
          <w:sz w:val="24"/>
          <w:u w:val="single"/>
        </w:rPr>
        <w:t>于其他未列明</w:t>
      </w:r>
      <w:r>
        <w:rPr>
          <w:rFonts w:hint="eastAsia"/>
          <w:b/>
          <w:bCs/>
          <w:color w:val="000000" w:themeColor="text1"/>
          <w:sz w:val="24"/>
          <w:u w:val="single"/>
        </w:rPr>
        <w:t>行业</w:t>
      </w:r>
      <w:r>
        <w:rPr>
          <w:rFonts w:hint="eastAsia" w:cs="宋体"/>
          <w:b/>
          <w:bCs/>
          <w:color w:val="000000" w:themeColor="text1"/>
          <w:sz w:val="24"/>
          <w:u w:val="single"/>
        </w:rPr>
        <w:t>项目，其投标单位提供的</w:t>
      </w:r>
      <w:r>
        <w:rPr>
          <w:rFonts w:hint="eastAsia"/>
          <w:b/>
          <w:bCs/>
          <w:color w:val="000000" w:themeColor="text1"/>
          <w:sz w:val="24"/>
          <w:u w:val="single"/>
        </w:rPr>
        <w:t>从业人员或营业收入</w:t>
      </w:r>
      <w:r>
        <w:rPr>
          <w:rFonts w:hint="eastAsia" w:cs="宋体"/>
          <w:b/>
          <w:bCs/>
          <w:color w:val="000000" w:themeColor="text1"/>
          <w:sz w:val="24"/>
          <w:u w:val="single"/>
        </w:rPr>
        <w:t>符合：工信部联企业〔2011〕300号《关于印发中小企业划型标准规定的通知》中的中小企业的划型标准规定的，将享受中小企业扶持政策。</w:t>
      </w:r>
    </w:p>
    <w:p w14:paraId="0624E3F7">
      <w:pPr>
        <w:spacing w:line="360" w:lineRule="auto"/>
        <w:ind w:firstLine="480" w:firstLineChars="200"/>
        <w:rPr>
          <w:rFonts w:cs="宋体"/>
          <w:color w:val="000000" w:themeColor="text1"/>
          <w:sz w:val="24"/>
          <w:u w:val="single"/>
        </w:rPr>
      </w:pPr>
      <w:r>
        <w:rPr>
          <w:rFonts w:hint="eastAsia" w:cs="宋体"/>
          <w:color w:val="000000" w:themeColor="text1"/>
          <w:sz w:val="24"/>
          <w:u w:val="single"/>
        </w:rPr>
        <w:t>（</w:t>
      </w:r>
      <w:r>
        <w:rPr>
          <w:rFonts w:cs="宋体"/>
          <w:color w:val="000000" w:themeColor="text1"/>
          <w:sz w:val="24"/>
          <w:u w:val="single"/>
        </w:rPr>
        <w:t>2</w:t>
      </w:r>
      <w:r>
        <w:rPr>
          <w:rFonts w:hint="eastAsia" w:cs="宋体"/>
          <w:color w:val="000000" w:themeColor="text1"/>
          <w:sz w:val="24"/>
          <w:u w:val="single"/>
        </w:rPr>
        <w:t>）根据《政府采购促进中小企业发展管理办法》（财库﹝2020﹞46 号）的第四条规定，</w:t>
      </w:r>
      <w:r>
        <w:rPr>
          <w:rFonts w:hint="eastAsia" w:cs="宋体"/>
          <w:bCs/>
          <w:color w:val="000000" w:themeColor="text1"/>
          <w:sz w:val="24"/>
          <w:u w:val="single"/>
        </w:rPr>
        <w:t>投标单位符合中小企划型标准的</w:t>
      </w:r>
      <w:r>
        <w:rPr>
          <w:rFonts w:hint="eastAsia" w:cs="宋体"/>
          <w:color w:val="000000" w:themeColor="text1"/>
          <w:sz w:val="24"/>
          <w:u w:val="single"/>
        </w:rPr>
        <w:t>，</w:t>
      </w:r>
      <w:bookmarkStart w:id="92" w:name="_Hlk68620663"/>
      <w:r>
        <w:rPr>
          <w:rFonts w:hint="eastAsia" w:cs="宋体"/>
          <w:color w:val="000000" w:themeColor="text1"/>
          <w:sz w:val="24"/>
          <w:u w:val="single"/>
        </w:rPr>
        <w:t>该投标报价将给予评审时的价格调整，具体方法如下</w:t>
      </w:r>
      <w:bookmarkEnd w:id="92"/>
      <w:r>
        <w:rPr>
          <w:rFonts w:hint="eastAsia" w:cs="宋体"/>
          <w:color w:val="000000" w:themeColor="text1"/>
          <w:sz w:val="24"/>
          <w:u w:val="single"/>
        </w:rPr>
        <w:t>：</w:t>
      </w:r>
    </w:p>
    <w:p w14:paraId="24776089">
      <w:pPr>
        <w:spacing w:line="360" w:lineRule="auto"/>
        <w:ind w:firstLine="480" w:firstLineChars="200"/>
        <w:rPr>
          <w:color w:val="000000" w:themeColor="text1"/>
          <w:sz w:val="24"/>
        </w:rPr>
      </w:pPr>
      <w:bookmarkStart w:id="93" w:name="_Hlk68620722"/>
      <w:r>
        <w:rPr>
          <w:rFonts w:hint="eastAsia" w:ascii="宋体" w:hAnsi="宋体" w:cs="宋体"/>
          <w:color w:val="000000" w:themeColor="text1"/>
          <w:sz w:val="24"/>
          <w:u w:val="single"/>
        </w:rPr>
        <w:t>①</w:t>
      </w:r>
      <w:r>
        <w:rPr>
          <w:color w:val="000000" w:themeColor="text1"/>
          <w:sz w:val="24"/>
          <w:u w:val="single"/>
        </w:rPr>
        <w:t>对</w:t>
      </w:r>
      <w:r>
        <w:rPr>
          <w:rFonts w:hint="eastAsia"/>
          <w:color w:val="000000" w:themeColor="text1"/>
          <w:sz w:val="24"/>
          <w:u w:val="single"/>
        </w:rPr>
        <w:t>符合要求的投标单位的投标报价</w:t>
      </w:r>
      <w:r>
        <w:rPr>
          <w:color w:val="000000" w:themeColor="text1"/>
          <w:sz w:val="24"/>
          <w:u w:val="single"/>
        </w:rPr>
        <w:t>给予</w:t>
      </w:r>
      <w:r>
        <w:rPr>
          <w:rFonts w:hint="eastAsia"/>
          <w:color w:val="000000" w:themeColor="text1"/>
          <w:sz w:val="24"/>
          <w:u w:val="single"/>
          <w:lang w:val="en-US" w:eastAsia="zh-CN"/>
        </w:rPr>
        <w:t>10</w:t>
      </w:r>
      <w:r>
        <w:rPr>
          <w:color w:val="000000" w:themeColor="text1"/>
          <w:sz w:val="24"/>
          <w:u w:val="single"/>
        </w:rPr>
        <w:t>%</w:t>
      </w:r>
      <w:r>
        <w:rPr>
          <w:color w:val="000000" w:themeColor="text1"/>
          <w:sz w:val="24"/>
        </w:rPr>
        <w:t>的扣除价格，用扣除后的价格参与</w:t>
      </w:r>
      <w:r>
        <w:rPr>
          <w:rFonts w:hint="eastAsia" w:cs="宋体"/>
          <w:color w:val="000000" w:themeColor="text1"/>
          <w:sz w:val="24"/>
        </w:rPr>
        <w:t>投标报价的评分，如果</w:t>
      </w:r>
      <w:r>
        <w:rPr>
          <w:rFonts w:hint="eastAsia" w:cs="宋体"/>
          <w:color w:val="000000" w:themeColor="text1"/>
          <w:sz w:val="24"/>
          <w:lang w:eastAsia="zh-CN"/>
        </w:rPr>
        <w:t>成交</w:t>
      </w:r>
      <w:r>
        <w:rPr>
          <w:rFonts w:hint="eastAsia" w:cs="宋体"/>
          <w:color w:val="000000" w:themeColor="text1"/>
          <w:sz w:val="24"/>
        </w:rPr>
        <w:t>，则以其投标报价作为</w:t>
      </w:r>
      <w:r>
        <w:rPr>
          <w:rFonts w:hint="eastAsia" w:cs="宋体"/>
          <w:color w:val="000000" w:themeColor="text1"/>
          <w:sz w:val="24"/>
          <w:lang w:eastAsia="zh-CN"/>
        </w:rPr>
        <w:t>成交</w:t>
      </w:r>
      <w:r>
        <w:rPr>
          <w:rFonts w:hint="eastAsia" w:cs="宋体"/>
          <w:color w:val="000000" w:themeColor="text1"/>
          <w:sz w:val="24"/>
        </w:rPr>
        <w:t>价。</w:t>
      </w:r>
    </w:p>
    <w:p w14:paraId="6E51960E">
      <w:pPr>
        <w:spacing w:line="360" w:lineRule="auto"/>
        <w:ind w:firstLine="480" w:firstLineChars="200"/>
        <w:rPr>
          <w:color w:val="000000" w:themeColor="text1"/>
          <w:sz w:val="24"/>
        </w:rPr>
      </w:pPr>
      <w:r>
        <w:rPr>
          <w:rFonts w:hint="eastAsia" w:ascii="宋体" w:hAnsi="宋体" w:cs="宋体"/>
          <w:color w:val="000000" w:themeColor="text1"/>
          <w:sz w:val="24"/>
        </w:rPr>
        <w:t>②</w:t>
      </w:r>
      <w:r>
        <w:rPr>
          <w:rFonts w:hint="eastAsia"/>
          <w:color w:val="000000" w:themeColor="text1"/>
          <w:sz w:val="24"/>
        </w:rPr>
        <w:t>参加本次政府采购活动，符合要求的投标单位</w:t>
      </w:r>
      <w:r>
        <w:rPr>
          <w:color w:val="000000" w:themeColor="text1"/>
          <w:sz w:val="24"/>
        </w:rPr>
        <w:t>须严格按</w:t>
      </w:r>
      <w:r>
        <w:rPr>
          <w:rFonts w:hint="eastAsia"/>
          <w:color w:val="000000" w:themeColor="text1"/>
          <w:sz w:val="24"/>
        </w:rPr>
        <w:t>《政府采购促进中小企业发展管理办法》（财库﹝2020﹞46 号）</w:t>
      </w:r>
      <w:r>
        <w:rPr>
          <w:color w:val="000000" w:themeColor="text1"/>
          <w:sz w:val="24"/>
        </w:rPr>
        <w:t>的</w:t>
      </w:r>
      <w:r>
        <w:rPr>
          <w:rFonts w:hint="eastAsia"/>
          <w:color w:val="000000" w:themeColor="text1"/>
          <w:sz w:val="24"/>
        </w:rPr>
        <w:t>文件要求，出具</w:t>
      </w:r>
      <w:r>
        <w:rPr>
          <w:color w:val="000000" w:themeColor="text1"/>
          <w:sz w:val="24"/>
        </w:rPr>
        <w:t>填报“中小企业声明函”</w:t>
      </w:r>
      <w:bookmarkStart w:id="94" w:name="_Hlk69663234"/>
      <w:r>
        <w:rPr>
          <w:b/>
          <w:bCs/>
          <w:color w:val="000000" w:themeColor="text1"/>
          <w:sz w:val="24"/>
          <w:u w:val="thick"/>
        </w:rPr>
        <w:t>（格式见第八章）</w:t>
      </w:r>
      <w:bookmarkEnd w:id="94"/>
      <w:r>
        <w:rPr>
          <w:rFonts w:hint="eastAsia"/>
          <w:color w:val="000000" w:themeColor="text1"/>
          <w:sz w:val="24"/>
        </w:rPr>
        <w:t>；</w:t>
      </w:r>
    </w:p>
    <w:bookmarkEnd w:id="93"/>
    <w:p w14:paraId="28A7B612">
      <w:pPr>
        <w:snapToGrid w:val="0"/>
        <w:spacing w:line="360" w:lineRule="auto"/>
        <w:ind w:firstLine="480" w:firstLineChars="200"/>
        <w:rPr>
          <w:color w:val="000000" w:themeColor="text1"/>
          <w:sz w:val="24"/>
        </w:rPr>
      </w:pPr>
      <w:r>
        <w:rPr>
          <w:rFonts w:hint="eastAsia"/>
          <w:color w:val="000000" w:themeColor="text1"/>
          <w:sz w:val="24"/>
        </w:rPr>
        <w:t>（3）</w:t>
      </w:r>
      <w:r>
        <w:rPr>
          <w:rFonts w:hint="eastAsia" w:cs="宋体"/>
          <w:b/>
          <w:bCs/>
          <w:color w:val="000000" w:themeColor="text1"/>
          <w:sz w:val="24"/>
          <w:u w:val="thick"/>
        </w:rPr>
        <w:t>不符合上述要求的投标单位，无须提供“中小企业声明函”</w:t>
      </w:r>
      <w:r>
        <w:rPr>
          <w:rFonts w:hint="eastAsia"/>
          <w:color w:val="000000" w:themeColor="text1"/>
          <w:sz w:val="24"/>
        </w:rPr>
        <w:t>。</w:t>
      </w:r>
    </w:p>
    <w:p w14:paraId="652D9724">
      <w:pPr>
        <w:snapToGrid w:val="0"/>
        <w:spacing w:line="360" w:lineRule="auto"/>
        <w:ind w:firstLine="482" w:firstLineChars="200"/>
        <w:outlineLvl w:val="3"/>
        <w:rPr>
          <w:b/>
          <w:bCs/>
          <w:color w:val="000000" w:themeColor="text1"/>
          <w:sz w:val="24"/>
        </w:rPr>
      </w:pPr>
      <w:r>
        <w:rPr>
          <w:rFonts w:hint="eastAsia"/>
          <w:b/>
          <w:bCs/>
          <w:color w:val="000000" w:themeColor="text1"/>
          <w:sz w:val="24"/>
        </w:rPr>
        <w:t>4.</w:t>
      </w:r>
      <w:r>
        <w:rPr>
          <w:b/>
          <w:bCs/>
          <w:color w:val="000000" w:themeColor="text1"/>
          <w:sz w:val="24"/>
        </w:rPr>
        <w:t>2</w:t>
      </w:r>
      <w:r>
        <w:rPr>
          <w:rFonts w:hint="eastAsia"/>
          <w:b/>
          <w:bCs/>
          <w:color w:val="000000" w:themeColor="text1"/>
          <w:sz w:val="24"/>
        </w:rPr>
        <w:t>针对残疾人福利性单位的采购政策</w:t>
      </w:r>
      <w:bookmarkStart w:id="95" w:name="_Hlk69857671"/>
    </w:p>
    <w:p w14:paraId="6F9ADCC4">
      <w:pPr>
        <w:snapToGrid w:val="0"/>
        <w:spacing w:line="360" w:lineRule="auto"/>
        <w:ind w:firstLine="480" w:firstLineChars="200"/>
        <w:outlineLvl w:val="3"/>
        <w:rPr>
          <w:color w:val="000000" w:themeColor="text1"/>
          <w:sz w:val="24"/>
        </w:rPr>
      </w:pPr>
      <w:r>
        <w:rPr>
          <w:rFonts w:hint="eastAsia"/>
          <w:color w:val="000000" w:themeColor="text1"/>
          <w:sz w:val="24"/>
        </w:rPr>
        <w:t>（1）享受政府采购支持政策的残疾人福利性单位应当同时满足以下条件：</w:t>
      </w:r>
    </w:p>
    <w:p w14:paraId="7DB82415">
      <w:pPr>
        <w:snapToGrid w:val="0"/>
        <w:spacing w:line="360" w:lineRule="auto"/>
        <w:ind w:firstLine="480" w:firstLineChars="200"/>
        <w:outlineLvl w:val="3"/>
        <w:rPr>
          <w:b/>
          <w:bCs/>
          <w:color w:val="000000" w:themeColor="text1"/>
          <w:sz w:val="24"/>
        </w:rPr>
      </w:pPr>
      <w:r>
        <w:rPr>
          <w:rFonts w:hint="eastAsia"/>
          <w:color w:val="000000" w:themeColor="text1"/>
          <w:sz w:val="24"/>
        </w:rPr>
        <w:t>①安置的残疾人占本单位在职职工人数的比例不低于25%（含25%），并且安置的残疾人人数不少于10人（含10人）；</w:t>
      </w:r>
    </w:p>
    <w:p w14:paraId="0ECE7858">
      <w:pPr>
        <w:spacing w:line="360" w:lineRule="auto"/>
        <w:ind w:firstLine="480" w:firstLineChars="200"/>
        <w:rPr>
          <w:color w:val="000000" w:themeColor="text1"/>
          <w:sz w:val="24"/>
        </w:rPr>
      </w:pPr>
      <w:r>
        <w:rPr>
          <w:rFonts w:hint="eastAsia"/>
          <w:color w:val="000000" w:themeColor="text1"/>
          <w:sz w:val="24"/>
        </w:rPr>
        <w:t>②依法与安置的每位残疾人签订了一年以上（含一年）的劳动合同或服务协议；</w:t>
      </w:r>
    </w:p>
    <w:p w14:paraId="64FABEE3">
      <w:pPr>
        <w:spacing w:line="360" w:lineRule="auto"/>
        <w:ind w:firstLine="480" w:firstLineChars="200"/>
        <w:rPr>
          <w:color w:val="000000" w:themeColor="text1"/>
          <w:sz w:val="24"/>
        </w:rPr>
      </w:pPr>
      <w:r>
        <w:rPr>
          <w:rFonts w:hint="eastAsia"/>
          <w:color w:val="000000" w:themeColor="text1"/>
          <w:sz w:val="24"/>
        </w:rPr>
        <w:t>③为安置的每位残疾人按月足额缴纳了基本养老保险、基本医疗保险、失业保险、工伤保险和生育保险等社会保险费；</w:t>
      </w:r>
    </w:p>
    <w:p w14:paraId="7FE23993">
      <w:pPr>
        <w:spacing w:line="360" w:lineRule="auto"/>
        <w:ind w:firstLine="480" w:firstLineChars="200"/>
        <w:rPr>
          <w:color w:val="000000" w:themeColor="text1"/>
          <w:sz w:val="24"/>
        </w:rPr>
      </w:pPr>
      <w:r>
        <w:rPr>
          <w:rFonts w:hint="eastAsia"/>
          <w:color w:val="000000" w:themeColor="text1"/>
          <w:sz w:val="24"/>
        </w:rPr>
        <w:t>④通过银行等金融机构向安置的每位残疾人，按月支付了不低于单位所在区县适用的经省级人民政府批准的月最低工资标准的工资；</w:t>
      </w:r>
    </w:p>
    <w:p w14:paraId="5C4344F6">
      <w:pPr>
        <w:spacing w:line="360" w:lineRule="auto"/>
        <w:ind w:firstLine="480" w:firstLineChars="200"/>
        <w:rPr>
          <w:color w:val="000000" w:themeColor="text1"/>
          <w:sz w:val="24"/>
        </w:rPr>
      </w:pPr>
      <w:r>
        <w:rPr>
          <w:rFonts w:hint="eastAsia"/>
          <w:color w:val="000000" w:themeColor="text1"/>
          <w:sz w:val="24"/>
        </w:rPr>
        <w:t>⑤提供本单位制造的货物、承担的工程或者服务（以下简称产品），或者提供其他残疾人福利性单位制造的货物（不包括使用非残疾人福利性单位注册商标的货物）。</w:t>
      </w:r>
    </w:p>
    <w:p w14:paraId="5CE2D0A7">
      <w:pPr>
        <w:spacing w:line="360" w:lineRule="auto"/>
        <w:ind w:firstLine="480" w:firstLineChars="200"/>
        <w:rPr>
          <w:color w:val="000000" w:themeColor="text1"/>
          <w:sz w:val="24"/>
        </w:rPr>
      </w:pPr>
      <w:r>
        <w:rPr>
          <w:rFonts w:hint="eastAsia"/>
          <w:color w:val="000000" w:themeColor="text1"/>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95D5043">
      <w:pPr>
        <w:spacing w:line="360" w:lineRule="auto"/>
        <w:ind w:firstLine="480" w:firstLineChars="200"/>
        <w:rPr>
          <w:color w:val="000000" w:themeColor="text1"/>
          <w:sz w:val="24"/>
        </w:rPr>
      </w:pPr>
      <w:r>
        <w:rPr>
          <w:rFonts w:hint="eastAsia"/>
          <w:color w:val="000000" w:themeColor="text1"/>
          <w:sz w:val="24"/>
        </w:rPr>
        <w:t>（2）根据《关于促进残疾人就业政府采购政策的通知》（财库〔2017〕141号），符合条件的残疾人福利性单位在参加政府采购活动时，应当提供《残疾人福利性单位声明函》</w:t>
      </w:r>
      <w:r>
        <w:rPr>
          <w:b/>
          <w:bCs/>
          <w:color w:val="000000" w:themeColor="text1"/>
          <w:sz w:val="24"/>
        </w:rPr>
        <w:t>（</w:t>
      </w:r>
      <w:r>
        <w:rPr>
          <w:b/>
          <w:bCs/>
          <w:color w:val="000000" w:themeColor="text1"/>
          <w:sz w:val="24"/>
          <w:u w:val="thick"/>
        </w:rPr>
        <w:t>格式见第八章</w:t>
      </w:r>
      <w:r>
        <w:rPr>
          <w:b/>
          <w:bCs/>
          <w:color w:val="000000" w:themeColor="text1"/>
          <w:sz w:val="24"/>
        </w:rPr>
        <w:t>）</w:t>
      </w:r>
      <w:r>
        <w:rPr>
          <w:rFonts w:hint="eastAsia"/>
          <w:color w:val="000000" w:themeColor="text1"/>
          <w:sz w:val="24"/>
        </w:rPr>
        <w:t>，并对声明的真实性负责。</w:t>
      </w:r>
    </w:p>
    <w:p w14:paraId="728AED92">
      <w:pPr>
        <w:spacing w:line="360" w:lineRule="auto"/>
        <w:ind w:firstLine="480" w:firstLineChars="200"/>
        <w:rPr>
          <w:color w:val="000000" w:themeColor="text1"/>
          <w:sz w:val="24"/>
        </w:rPr>
      </w:pPr>
      <w:r>
        <w:rPr>
          <w:rFonts w:hint="eastAsia"/>
          <w:color w:val="000000" w:themeColor="text1"/>
          <w:sz w:val="24"/>
        </w:rPr>
        <w:t>（</w:t>
      </w:r>
      <w:r>
        <w:rPr>
          <w:color w:val="000000" w:themeColor="text1"/>
          <w:sz w:val="24"/>
        </w:rPr>
        <w:t>3</w:t>
      </w:r>
      <w:r>
        <w:rPr>
          <w:rFonts w:hint="eastAsia"/>
          <w:color w:val="000000" w:themeColor="text1"/>
          <w:sz w:val="24"/>
        </w:rPr>
        <w:t>）残疾人福利性单位视同小型、微型企业，享受政府采购促进中小企业发展的政府采购政策。符合要求的供应商</w:t>
      </w:r>
      <w:bookmarkStart w:id="96" w:name="_Hlk69252353"/>
      <w:r>
        <w:rPr>
          <w:rFonts w:hint="eastAsia"/>
          <w:color w:val="000000" w:themeColor="text1"/>
          <w:sz w:val="24"/>
        </w:rPr>
        <w:t>报价将给予</w:t>
      </w:r>
      <w:r>
        <w:rPr>
          <w:rFonts w:hint="eastAsia"/>
          <w:color w:val="000000" w:themeColor="text1"/>
          <w:sz w:val="24"/>
          <w:lang w:val="en-US" w:eastAsia="zh-CN"/>
        </w:rPr>
        <w:t>10</w:t>
      </w:r>
      <w:r>
        <w:rPr>
          <w:rFonts w:hint="eastAsia"/>
          <w:color w:val="000000" w:themeColor="text1"/>
          <w:sz w:val="24"/>
        </w:rPr>
        <w:t>%的价格扣除，用扣除后的价格参与投标报价</w:t>
      </w:r>
      <w:bookmarkEnd w:id="96"/>
      <w:r>
        <w:rPr>
          <w:rFonts w:hint="eastAsia"/>
          <w:color w:val="000000" w:themeColor="text1"/>
          <w:sz w:val="24"/>
        </w:rPr>
        <w:t>的评审，如果成交，则以其原投标报价作为成交价。</w:t>
      </w:r>
    </w:p>
    <w:p w14:paraId="4F95450A">
      <w:pPr>
        <w:spacing w:line="360" w:lineRule="auto"/>
        <w:ind w:firstLine="480" w:firstLineChars="200"/>
        <w:rPr>
          <w:color w:val="000000" w:themeColor="text1"/>
          <w:sz w:val="24"/>
        </w:rPr>
      </w:pPr>
      <w:r>
        <w:rPr>
          <w:rFonts w:hint="eastAsia"/>
          <w:color w:val="000000" w:themeColor="text1"/>
          <w:sz w:val="24"/>
        </w:rPr>
        <w:t>（4）残疾人福利性单位属于小型、微型企业的，不重复享受政策。</w:t>
      </w:r>
    </w:p>
    <w:p w14:paraId="6EDA93A3">
      <w:pPr>
        <w:snapToGrid w:val="0"/>
        <w:spacing w:line="360" w:lineRule="auto"/>
        <w:ind w:firstLine="480" w:firstLineChars="200"/>
        <w:rPr>
          <w:color w:val="000000" w:themeColor="text1"/>
          <w:sz w:val="24"/>
        </w:rPr>
      </w:pPr>
      <w:bookmarkStart w:id="97" w:name="_Hlk69391666"/>
      <w:r>
        <w:rPr>
          <w:rFonts w:hint="eastAsia"/>
          <w:color w:val="000000" w:themeColor="text1"/>
          <w:sz w:val="24"/>
        </w:rPr>
        <w:t>（</w:t>
      </w:r>
      <w:r>
        <w:rPr>
          <w:color w:val="000000" w:themeColor="text1"/>
          <w:sz w:val="24"/>
        </w:rPr>
        <w:t>5</w:t>
      </w:r>
      <w:r>
        <w:rPr>
          <w:rFonts w:hint="eastAsia"/>
          <w:color w:val="000000" w:themeColor="text1"/>
          <w:sz w:val="24"/>
        </w:rPr>
        <w:t>）</w:t>
      </w:r>
      <w:r>
        <w:rPr>
          <w:rFonts w:hint="eastAsia" w:cs="宋体"/>
          <w:b/>
          <w:bCs/>
          <w:color w:val="000000" w:themeColor="text1"/>
          <w:sz w:val="24"/>
          <w:u w:val="thick"/>
        </w:rPr>
        <w:t>不符合上述要求的投标单位，无须提供“残疾人福利性单位声明函”</w:t>
      </w:r>
      <w:bookmarkEnd w:id="95"/>
      <w:r>
        <w:rPr>
          <w:rFonts w:hint="eastAsia"/>
          <w:color w:val="000000" w:themeColor="text1"/>
          <w:sz w:val="24"/>
        </w:rPr>
        <w:t>。</w:t>
      </w:r>
      <w:bookmarkEnd w:id="97"/>
    </w:p>
    <w:p w14:paraId="197F14DB">
      <w:pPr>
        <w:snapToGrid w:val="0"/>
        <w:spacing w:line="360" w:lineRule="auto"/>
        <w:ind w:firstLine="482" w:firstLineChars="200"/>
        <w:outlineLvl w:val="3"/>
        <w:rPr>
          <w:b/>
          <w:bCs/>
          <w:color w:val="000000" w:themeColor="text1"/>
          <w:sz w:val="24"/>
        </w:rPr>
      </w:pPr>
      <w:r>
        <w:rPr>
          <w:rFonts w:hint="eastAsia"/>
          <w:b/>
          <w:bCs/>
          <w:color w:val="000000" w:themeColor="text1"/>
          <w:sz w:val="24"/>
        </w:rPr>
        <w:t>4.</w:t>
      </w:r>
      <w:r>
        <w:rPr>
          <w:b/>
          <w:bCs/>
          <w:color w:val="000000" w:themeColor="text1"/>
          <w:sz w:val="24"/>
        </w:rPr>
        <w:t>3</w:t>
      </w:r>
      <w:r>
        <w:rPr>
          <w:rFonts w:hint="eastAsia"/>
          <w:b/>
          <w:bCs/>
          <w:color w:val="000000" w:themeColor="text1"/>
          <w:sz w:val="24"/>
        </w:rPr>
        <w:t>针对监狱企业的采购政策</w:t>
      </w:r>
    </w:p>
    <w:p w14:paraId="166BB727">
      <w:pPr>
        <w:snapToGrid w:val="0"/>
        <w:spacing w:line="360" w:lineRule="auto"/>
        <w:ind w:firstLine="480" w:firstLineChars="200"/>
        <w:outlineLvl w:val="3"/>
        <w:rPr>
          <w:b/>
          <w:bCs/>
          <w:color w:val="000000" w:themeColor="text1"/>
          <w:sz w:val="24"/>
        </w:rPr>
      </w:pPr>
      <w:r>
        <w:rPr>
          <w:rFonts w:hint="eastAsia"/>
          <w:color w:val="000000" w:themeColor="text1"/>
          <w:sz w:val="24"/>
        </w:rPr>
        <w:t>（1）</w:t>
      </w:r>
      <w:bookmarkStart w:id="98" w:name="_Hlk69519404"/>
      <w:r>
        <w:rPr>
          <w:rFonts w:hint="eastAsia"/>
          <w:color w:val="000000" w:themeColor="text1"/>
          <w:sz w:val="24"/>
        </w:rPr>
        <w:t>根据《财政部司法部关于政府采购支持监狱企业发展有关问题的通知》（财库〔2014〕68号），监狱企业参加政府采购活动时，应当提供由省级以上监狱管理局、戒毒管理局（含新疆生产建设兵团）出具的，投标单位属于监狱企业的证明文件</w:t>
      </w:r>
      <w:bookmarkEnd w:id="98"/>
      <w:r>
        <w:rPr>
          <w:rFonts w:hint="eastAsia"/>
          <w:b/>
          <w:bCs/>
          <w:color w:val="000000" w:themeColor="text1"/>
          <w:sz w:val="24"/>
        </w:rPr>
        <w:t>（</w:t>
      </w:r>
      <w:r>
        <w:rPr>
          <w:rFonts w:hint="eastAsia"/>
          <w:b/>
          <w:bCs/>
          <w:color w:val="000000" w:themeColor="text1"/>
          <w:sz w:val="24"/>
          <w:u w:val="thick"/>
        </w:rPr>
        <w:t>注：无格式，请自拟。</w:t>
      </w:r>
      <w:r>
        <w:rPr>
          <w:rFonts w:hint="eastAsia"/>
          <w:b/>
          <w:bCs/>
          <w:color w:val="000000" w:themeColor="text1"/>
          <w:sz w:val="24"/>
        </w:rPr>
        <w:t>）</w:t>
      </w:r>
      <w:r>
        <w:rPr>
          <w:rFonts w:hint="eastAsia"/>
          <w:color w:val="000000" w:themeColor="text1"/>
          <w:sz w:val="24"/>
        </w:rPr>
        <w:t>。</w:t>
      </w:r>
      <w:bookmarkStart w:id="99" w:name="_Hlk69249023"/>
    </w:p>
    <w:p w14:paraId="3DE03541">
      <w:pPr>
        <w:snapToGrid w:val="0"/>
        <w:spacing w:line="360" w:lineRule="auto"/>
        <w:ind w:firstLine="480" w:firstLineChars="200"/>
        <w:outlineLvl w:val="3"/>
        <w:rPr>
          <w:b/>
          <w:bCs/>
          <w:color w:val="000000" w:themeColor="text1"/>
          <w:sz w:val="24"/>
        </w:rPr>
      </w:pPr>
      <w:r>
        <w:rPr>
          <w:rFonts w:hint="eastAsia"/>
          <w:color w:val="000000" w:themeColor="text1"/>
          <w:sz w:val="24"/>
        </w:rPr>
        <w:t>（2）监狱企业视同小型、微型企业，享受政府采购促进中小企业发展的政府采购政策。符合要求的供应商报价将给予</w:t>
      </w:r>
      <w:r>
        <w:rPr>
          <w:rFonts w:hint="eastAsia"/>
          <w:color w:val="000000" w:themeColor="text1"/>
          <w:sz w:val="24"/>
          <w:lang w:val="en-US" w:eastAsia="zh-CN"/>
        </w:rPr>
        <w:t>10</w:t>
      </w:r>
      <w:r>
        <w:rPr>
          <w:rFonts w:hint="eastAsia"/>
          <w:color w:val="000000" w:themeColor="text1"/>
          <w:sz w:val="24"/>
        </w:rPr>
        <w:t>%的价格扣除，用扣除后的价格参与投标报价的评审，如果</w:t>
      </w:r>
      <w:r>
        <w:rPr>
          <w:rFonts w:hint="eastAsia"/>
          <w:color w:val="000000" w:themeColor="text1"/>
          <w:sz w:val="24"/>
          <w:lang w:eastAsia="zh-CN"/>
        </w:rPr>
        <w:t>成交</w:t>
      </w:r>
      <w:r>
        <w:rPr>
          <w:rFonts w:hint="eastAsia"/>
          <w:color w:val="000000" w:themeColor="text1"/>
          <w:sz w:val="24"/>
        </w:rPr>
        <w:t>，则以其原投标报价作为</w:t>
      </w:r>
      <w:r>
        <w:rPr>
          <w:rFonts w:hint="eastAsia"/>
          <w:color w:val="000000" w:themeColor="text1"/>
          <w:sz w:val="24"/>
          <w:lang w:eastAsia="zh-CN"/>
        </w:rPr>
        <w:t>成交</w:t>
      </w:r>
      <w:r>
        <w:rPr>
          <w:rFonts w:hint="eastAsia"/>
          <w:color w:val="000000" w:themeColor="text1"/>
          <w:sz w:val="24"/>
        </w:rPr>
        <w:t>价。</w:t>
      </w:r>
    </w:p>
    <w:p w14:paraId="11CCBFE3">
      <w:pPr>
        <w:snapToGrid w:val="0"/>
        <w:spacing w:line="360" w:lineRule="auto"/>
        <w:ind w:firstLine="480" w:firstLineChars="200"/>
        <w:outlineLvl w:val="3"/>
        <w:rPr>
          <w:b/>
          <w:bCs/>
          <w:color w:val="000000" w:themeColor="text1"/>
          <w:sz w:val="24"/>
        </w:rPr>
      </w:pPr>
      <w:r>
        <w:rPr>
          <w:rFonts w:hint="eastAsia"/>
          <w:color w:val="000000" w:themeColor="text1"/>
          <w:sz w:val="24"/>
        </w:rPr>
        <w:t>（</w:t>
      </w:r>
      <w:r>
        <w:rPr>
          <w:color w:val="000000" w:themeColor="text1"/>
          <w:sz w:val="24"/>
        </w:rPr>
        <w:t>3</w:t>
      </w:r>
      <w:r>
        <w:rPr>
          <w:rFonts w:hint="eastAsia"/>
          <w:color w:val="000000" w:themeColor="text1"/>
          <w:sz w:val="24"/>
        </w:rPr>
        <w:t>）</w:t>
      </w:r>
      <w:r>
        <w:rPr>
          <w:rFonts w:hint="eastAsia" w:cs="宋体"/>
          <w:b/>
          <w:bCs/>
          <w:color w:val="000000" w:themeColor="text1"/>
          <w:sz w:val="24"/>
          <w:u w:val="thick"/>
        </w:rPr>
        <w:t>不符合上述要求的投标单位，无须提供“监狱企业的证明文件”</w:t>
      </w:r>
      <w:r>
        <w:rPr>
          <w:rFonts w:hint="eastAsia"/>
          <w:color w:val="000000" w:themeColor="text1"/>
          <w:sz w:val="24"/>
        </w:rPr>
        <w:t>。</w:t>
      </w:r>
    </w:p>
    <w:bookmarkEnd w:id="99"/>
    <w:p w14:paraId="56E44227">
      <w:pPr>
        <w:snapToGrid w:val="0"/>
        <w:spacing w:line="360" w:lineRule="auto"/>
        <w:ind w:firstLine="482" w:firstLineChars="200"/>
        <w:outlineLvl w:val="3"/>
        <w:rPr>
          <w:rFonts w:hint="eastAsia"/>
          <w:b/>
          <w:bCs/>
          <w:color w:val="000000" w:themeColor="text1"/>
          <w:sz w:val="24"/>
        </w:rPr>
      </w:pPr>
      <w:r>
        <w:rPr>
          <w:rFonts w:hint="eastAsia"/>
          <w:b/>
          <w:bCs/>
          <w:color w:val="000000" w:themeColor="text1"/>
          <w:sz w:val="24"/>
        </w:rPr>
        <w:t>4.4针对</w:t>
      </w:r>
      <w:bookmarkStart w:id="100" w:name="_Hlk69558865"/>
      <w:r>
        <w:rPr>
          <w:rFonts w:hint="eastAsia"/>
          <w:b/>
          <w:bCs/>
          <w:color w:val="000000" w:themeColor="text1"/>
          <w:sz w:val="24"/>
        </w:rPr>
        <w:t>绿色采购的采购政策</w:t>
      </w:r>
      <w:bookmarkEnd w:id="100"/>
      <w:r>
        <w:rPr>
          <w:rFonts w:hint="eastAsia"/>
          <w:b/>
          <w:bCs/>
          <w:color w:val="000000" w:themeColor="text1"/>
          <w:sz w:val="24"/>
        </w:rPr>
        <w:t>（本项目不涉及此项）</w:t>
      </w:r>
      <w:bookmarkEnd w:id="91"/>
    </w:p>
    <w:p w14:paraId="4E6819BE">
      <w:pPr>
        <w:snapToGrid w:val="0"/>
        <w:spacing w:line="360" w:lineRule="auto"/>
        <w:ind w:firstLine="482" w:firstLineChars="200"/>
        <w:outlineLvl w:val="3"/>
        <w:rPr>
          <w:rFonts w:ascii="宋体"/>
          <w:b/>
          <w:bCs/>
          <w:color w:val="000000" w:themeColor="text1"/>
          <w:sz w:val="24"/>
          <w:szCs w:val="24"/>
        </w:rPr>
      </w:pPr>
      <w:r>
        <w:rPr>
          <w:rFonts w:hint="eastAsia" w:ascii="宋体" w:hAnsi="宋体" w:cs="宋体"/>
          <w:b/>
          <w:bCs/>
          <w:color w:val="000000" w:themeColor="text1"/>
          <w:sz w:val="24"/>
          <w:szCs w:val="24"/>
        </w:rPr>
        <w:t>六、出现下列情形之一的，作无效响应处理</w:t>
      </w:r>
    </w:p>
    <w:p w14:paraId="1FED9752">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、响应文件未按磋商文件要求装订、密封、签署、盖章及主要资料不齐全的；</w:t>
      </w:r>
    </w:p>
    <w:p w14:paraId="6A5CF48D">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、响应文件的资料有虚报或者谎报的；</w:t>
      </w:r>
    </w:p>
    <w:p w14:paraId="403CA6C4">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、响应文件中资格审查文件及技术响应文件出现磋商报价的内容；</w:t>
      </w:r>
    </w:p>
    <w:p w14:paraId="15B7AD9B">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、不具备磋商文件规定的资格要求的；</w:t>
      </w:r>
    </w:p>
    <w:p w14:paraId="7BC51C98">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、响应文件有重大漏项或重大不合理的；</w:t>
      </w:r>
    </w:p>
    <w:p w14:paraId="77F175A5">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、项目技术、方案不满足项目需求中的要求，有重大偏离或保留的；</w:t>
      </w:r>
    </w:p>
    <w:p w14:paraId="3ACC5BD3">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7</w:t>
      </w:r>
      <w:r>
        <w:rPr>
          <w:rFonts w:hint="eastAsia" w:ascii="宋体" w:hAnsi="宋体" w:cs="宋体"/>
          <w:color w:val="000000" w:themeColor="text1"/>
          <w:sz w:val="24"/>
          <w:szCs w:val="24"/>
        </w:rPr>
        <w:t>、磋商响应报价超出项目预算的；</w:t>
      </w:r>
    </w:p>
    <w:p w14:paraId="3585F593">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8</w:t>
      </w:r>
      <w:r>
        <w:rPr>
          <w:rFonts w:hint="eastAsia" w:ascii="宋体" w:hAnsi="宋体" w:cs="宋体"/>
          <w:color w:val="000000" w:themeColor="text1"/>
          <w:sz w:val="24"/>
          <w:szCs w:val="24"/>
        </w:rPr>
        <w:t>、被认定为低于成本报价磋商竞标的；</w:t>
      </w:r>
    </w:p>
    <w:p w14:paraId="5A74DB39">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9</w:t>
      </w:r>
      <w:r>
        <w:rPr>
          <w:rFonts w:hint="eastAsia" w:ascii="宋体" w:hAnsi="宋体" w:cs="宋体"/>
          <w:color w:val="000000" w:themeColor="text1"/>
          <w:sz w:val="24"/>
          <w:szCs w:val="24"/>
        </w:rPr>
        <w:t>、供应商的磋商报价高于自己前一轮的；</w:t>
      </w:r>
    </w:p>
    <w:p w14:paraId="6EFAA27F">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10</w:t>
      </w:r>
      <w:r>
        <w:rPr>
          <w:rFonts w:hint="eastAsia" w:ascii="宋体" w:hAnsi="宋体" w:cs="宋体"/>
          <w:color w:val="000000" w:themeColor="text1"/>
          <w:sz w:val="24"/>
          <w:szCs w:val="24"/>
        </w:rPr>
        <w:t>、不符合法律、法规和磋商文件中规定的其他实质性响应要求的；</w:t>
      </w:r>
    </w:p>
    <w:p w14:paraId="67BB41BD">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1、磋商小组依据法律法规可以认定为无效投标的其他情况。</w:t>
      </w:r>
    </w:p>
    <w:p w14:paraId="2B48B4F1">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七、出现下列情形之一的，作废标处理</w:t>
      </w:r>
    </w:p>
    <w:p w14:paraId="0A675385">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、供应商的报价均超出了采购预算，采购单位不能支付的；</w:t>
      </w:r>
    </w:p>
    <w:p w14:paraId="4F537A9C">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、因情况变化，不再符合规定的竞争性磋商采购方式所适用情形的；</w:t>
      </w:r>
    </w:p>
    <w:p w14:paraId="36FBA28B">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、出现影响采购公正的违法、违规行为的；</w:t>
      </w:r>
    </w:p>
    <w:p w14:paraId="6AEA7158">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、因重大变故，采购任务取消的；</w:t>
      </w:r>
      <w:r>
        <w:rPr>
          <w:rFonts w:ascii="宋体"/>
          <w:color w:val="000000" w:themeColor="text1"/>
          <w:sz w:val="24"/>
          <w:szCs w:val="24"/>
        </w:rPr>
        <w:tab/>
      </w:r>
    </w:p>
    <w:p w14:paraId="2399D2D9">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、符合资格条件或者对招标文件作实质响应的投标供应商不足</w:t>
      </w:r>
      <w:r>
        <w:rPr>
          <w:rFonts w:ascii="宋体" w:hAnsi="宋体" w:cs="宋体"/>
          <w:color w:val="000000" w:themeColor="text1"/>
          <w:sz w:val="24"/>
          <w:szCs w:val="24"/>
        </w:rPr>
        <w:t>3</w:t>
      </w:r>
      <w:r>
        <w:rPr>
          <w:rFonts w:hint="eastAsia" w:ascii="宋体" w:hAnsi="宋体" w:cs="宋体"/>
          <w:color w:val="000000" w:themeColor="text1"/>
          <w:sz w:val="24"/>
          <w:szCs w:val="24"/>
        </w:rPr>
        <w:t>家的；</w:t>
      </w:r>
    </w:p>
    <w:p w14:paraId="449A1E46">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、磋商小组依据法律法规可以认定为废标的其他情况。</w:t>
      </w:r>
    </w:p>
    <w:p w14:paraId="47D2C9E5">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八、成交通知</w:t>
      </w:r>
    </w:p>
    <w:p w14:paraId="797184EC">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1、开标结束后，采购人自</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人确定之日起2个工作日内在指定媒体上公告</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结果。</w:t>
      </w:r>
    </w:p>
    <w:p w14:paraId="6C6962F4">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公告期限为1个工作日，期限结束后向</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人发出《</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通知书》。</w:t>
      </w:r>
    </w:p>
    <w:p w14:paraId="74FEBDAD">
      <w:pPr>
        <w:snapToGrid w:val="0"/>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通知书》一经发出，即具有法律效力。采购人、</w:t>
      </w: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人依法承担法律责任。</w:t>
      </w:r>
    </w:p>
    <w:p w14:paraId="68DBD47B">
      <w:pPr>
        <w:snapToGrid w:val="0"/>
        <w:spacing w:line="480" w:lineRule="exact"/>
        <w:ind w:firstLine="480" w:firstLineChars="200"/>
        <w:jc w:val="left"/>
        <w:rPr>
          <w:rFonts w:ascii="宋体" w:hAnsi="宋体" w:cs="宋体"/>
          <w:color w:val="000000" w:themeColor="text1"/>
          <w:sz w:val="24"/>
          <w:szCs w:val="24"/>
        </w:rPr>
      </w:pPr>
    </w:p>
    <w:p w14:paraId="6E68282B">
      <w:pPr>
        <w:snapToGrid w:val="0"/>
        <w:spacing w:line="480" w:lineRule="exact"/>
        <w:ind w:firstLine="480" w:firstLineChars="200"/>
        <w:jc w:val="left"/>
        <w:rPr>
          <w:rFonts w:ascii="宋体" w:hAnsi="宋体" w:cs="宋体"/>
          <w:color w:val="000000" w:themeColor="text1"/>
          <w:sz w:val="24"/>
          <w:szCs w:val="24"/>
        </w:rPr>
      </w:pPr>
    </w:p>
    <w:p w14:paraId="1657F1F7">
      <w:pPr>
        <w:snapToGrid w:val="0"/>
        <w:spacing w:line="480" w:lineRule="exact"/>
        <w:ind w:firstLine="480" w:firstLineChars="200"/>
        <w:jc w:val="left"/>
        <w:rPr>
          <w:rFonts w:ascii="宋体" w:hAnsi="宋体" w:cs="宋体"/>
          <w:color w:val="000000" w:themeColor="text1"/>
          <w:sz w:val="24"/>
          <w:szCs w:val="24"/>
        </w:rPr>
      </w:pPr>
    </w:p>
    <w:p w14:paraId="68A7951A">
      <w:pPr>
        <w:snapToGrid w:val="0"/>
        <w:spacing w:line="480" w:lineRule="exact"/>
        <w:ind w:firstLine="480" w:firstLineChars="200"/>
        <w:jc w:val="left"/>
        <w:rPr>
          <w:rFonts w:ascii="宋体" w:hAnsi="宋体" w:cs="宋体"/>
          <w:color w:val="000000" w:themeColor="text1"/>
          <w:sz w:val="24"/>
          <w:szCs w:val="24"/>
        </w:rPr>
      </w:pPr>
    </w:p>
    <w:p w14:paraId="63D0A1A4">
      <w:pPr>
        <w:pStyle w:val="2"/>
        <w:ind w:firstLine="480"/>
        <w:rPr>
          <w:color w:val="000000" w:themeColor="text1"/>
        </w:rPr>
      </w:pPr>
    </w:p>
    <w:p w14:paraId="1EE33231">
      <w:pPr>
        <w:pStyle w:val="2"/>
        <w:ind w:firstLine="480"/>
        <w:rPr>
          <w:color w:val="000000" w:themeColor="text1"/>
        </w:rPr>
      </w:pPr>
    </w:p>
    <w:p w14:paraId="3B3C88E7">
      <w:pPr>
        <w:pStyle w:val="2"/>
        <w:ind w:firstLine="480"/>
        <w:rPr>
          <w:color w:val="000000" w:themeColor="text1"/>
        </w:rPr>
      </w:pPr>
    </w:p>
    <w:p w14:paraId="59B04996">
      <w:pPr>
        <w:pStyle w:val="2"/>
        <w:ind w:firstLine="480"/>
        <w:rPr>
          <w:color w:val="000000" w:themeColor="text1"/>
        </w:rPr>
      </w:pPr>
    </w:p>
    <w:p w14:paraId="6AC3C3F7">
      <w:pPr>
        <w:pStyle w:val="2"/>
        <w:ind w:firstLine="480"/>
        <w:rPr>
          <w:color w:val="000000" w:themeColor="text1"/>
        </w:rPr>
      </w:pPr>
    </w:p>
    <w:p w14:paraId="7052FE50">
      <w:pPr>
        <w:pStyle w:val="2"/>
        <w:ind w:firstLine="480"/>
        <w:rPr>
          <w:color w:val="000000" w:themeColor="text1"/>
        </w:rPr>
      </w:pPr>
    </w:p>
    <w:p w14:paraId="3320A034">
      <w:pPr>
        <w:pStyle w:val="2"/>
        <w:ind w:firstLine="480"/>
        <w:rPr>
          <w:color w:val="000000" w:themeColor="text1"/>
        </w:rPr>
      </w:pPr>
    </w:p>
    <w:p w14:paraId="73945349">
      <w:pPr>
        <w:pStyle w:val="2"/>
        <w:ind w:firstLine="480"/>
        <w:rPr>
          <w:color w:val="000000" w:themeColor="text1"/>
        </w:rPr>
      </w:pPr>
    </w:p>
    <w:p w14:paraId="3AE5D309">
      <w:pPr>
        <w:pStyle w:val="2"/>
        <w:ind w:firstLine="480"/>
        <w:rPr>
          <w:color w:val="000000" w:themeColor="text1"/>
        </w:rPr>
      </w:pPr>
    </w:p>
    <w:p w14:paraId="1F8121CF">
      <w:pPr>
        <w:pStyle w:val="2"/>
        <w:ind w:firstLine="480"/>
        <w:rPr>
          <w:color w:val="000000" w:themeColor="text1"/>
        </w:rPr>
      </w:pPr>
    </w:p>
    <w:p w14:paraId="6982B827">
      <w:pPr>
        <w:pStyle w:val="2"/>
        <w:ind w:firstLine="480"/>
        <w:rPr>
          <w:color w:val="000000" w:themeColor="text1"/>
        </w:rPr>
      </w:pPr>
    </w:p>
    <w:p w14:paraId="36DAD7AB">
      <w:pPr>
        <w:pStyle w:val="2"/>
        <w:ind w:firstLine="480"/>
        <w:rPr>
          <w:color w:val="000000" w:themeColor="text1"/>
        </w:rPr>
      </w:pPr>
    </w:p>
    <w:p w14:paraId="2B5FD30F">
      <w:pPr>
        <w:pStyle w:val="2"/>
        <w:ind w:firstLine="480"/>
        <w:rPr>
          <w:color w:val="000000" w:themeColor="text1"/>
        </w:rPr>
      </w:pPr>
    </w:p>
    <w:p w14:paraId="4D53B116">
      <w:pPr>
        <w:pStyle w:val="2"/>
        <w:ind w:firstLine="480"/>
        <w:rPr>
          <w:color w:val="000000" w:themeColor="text1"/>
        </w:rPr>
      </w:pPr>
    </w:p>
    <w:p w14:paraId="411DF449">
      <w:pPr>
        <w:pStyle w:val="2"/>
        <w:ind w:firstLine="480"/>
        <w:rPr>
          <w:color w:val="000000" w:themeColor="text1"/>
        </w:rPr>
      </w:pPr>
    </w:p>
    <w:p w14:paraId="520A566A">
      <w:pPr>
        <w:pStyle w:val="2"/>
        <w:ind w:firstLine="480"/>
        <w:rPr>
          <w:color w:val="000000" w:themeColor="text1"/>
        </w:rPr>
      </w:pPr>
    </w:p>
    <w:p w14:paraId="32032A79">
      <w:pPr>
        <w:pStyle w:val="2"/>
        <w:ind w:firstLine="480"/>
        <w:rPr>
          <w:color w:val="000000" w:themeColor="text1"/>
        </w:rPr>
      </w:pPr>
    </w:p>
    <w:p w14:paraId="49FF651E">
      <w:pPr>
        <w:pStyle w:val="2"/>
        <w:ind w:firstLine="480"/>
        <w:rPr>
          <w:color w:val="000000" w:themeColor="text1"/>
        </w:rPr>
      </w:pPr>
    </w:p>
    <w:p w14:paraId="3F00A9D4">
      <w:pPr>
        <w:pStyle w:val="2"/>
        <w:ind w:firstLine="480"/>
        <w:rPr>
          <w:color w:val="000000" w:themeColor="text1"/>
        </w:rPr>
      </w:pPr>
    </w:p>
    <w:p w14:paraId="3527323F">
      <w:pPr>
        <w:pStyle w:val="2"/>
        <w:ind w:firstLine="480"/>
        <w:rPr>
          <w:color w:val="000000" w:themeColor="text1"/>
        </w:rPr>
      </w:pPr>
    </w:p>
    <w:p w14:paraId="6685CA14">
      <w:pPr>
        <w:pStyle w:val="2"/>
        <w:ind w:firstLine="480"/>
        <w:rPr>
          <w:color w:val="000000" w:themeColor="text1"/>
        </w:rPr>
      </w:pPr>
    </w:p>
    <w:p w14:paraId="11F35229">
      <w:pPr>
        <w:pStyle w:val="2"/>
        <w:ind w:firstLine="480"/>
        <w:rPr>
          <w:color w:val="000000" w:themeColor="text1"/>
        </w:rPr>
      </w:pPr>
    </w:p>
    <w:p w14:paraId="496A09D6">
      <w:pPr>
        <w:pStyle w:val="2"/>
        <w:ind w:firstLine="480"/>
        <w:rPr>
          <w:color w:val="000000" w:themeColor="text1"/>
        </w:rPr>
      </w:pPr>
    </w:p>
    <w:bookmarkEnd w:id="89"/>
    <w:bookmarkEnd w:id="90"/>
    <w:p w14:paraId="29B125C5">
      <w:pPr>
        <w:snapToGrid w:val="0"/>
        <w:spacing w:line="480" w:lineRule="exact"/>
        <w:jc w:val="center"/>
        <w:rPr>
          <w:rFonts w:ascii="宋体" w:hAnsi="宋体" w:cs="宋体"/>
          <w:color w:val="000000" w:themeColor="text1"/>
          <w:kern w:val="0"/>
          <w:sz w:val="24"/>
          <w:szCs w:val="24"/>
        </w:rPr>
      </w:pPr>
      <w:r>
        <w:rPr>
          <w:rFonts w:hint="eastAsia" w:ascii="宋体" w:hAnsi="宋体" w:cs="宋体"/>
          <w:b/>
          <w:bCs/>
          <w:color w:val="000000" w:themeColor="text1"/>
          <w:w w:val="80"/>
          <w:sz w:val="44"/>
          <w:szCs w:val="44"/>
        </w:rPr>
        <w:t>第五章  合同主要条款</w:t>
      </w:r>
    </w:p>
    <w:p w14:paraId="58376D97">
      <w:pPr>
        <w:snapToGrid w:val="0"/>
        <w:spacing w:line="520" w:lineRule="exact"/>
        <w:rPr>
          <w:rFonts w:ascii="宋体" w:hAnsi="宋体" w:cs="宋体"/>
          <w:color w:val="000000" w:themeColor="text1"/>
          <w:sz w:val="24"/>
          <w:szCs w:val="24"/>
        </w:rPr>
      </w:pPr>
      <w:r>
        <w:rPr>
          <w:rFonts w:hint="eastAsia" w:ascii="宋体" w:hAnsi="宋体" w:cs="宋体"/>
          <w:color w:val="000000" w:themeColor="text1"/>
          <w:sz w:val="24"/>
          <w:szCs w:val="24"/>
        </w:rPr>
        <w:t>采购单位（或称甲方）：</w:t>
      </w:r>
    </w:p>
    <w:p w14:paraId="12640958">
      <w:pPr>
        <w:snapToGrid w:val="0"/>
        <w:spacing w:line="520" w:lineRule="exact"/>
        <w:rPr>
          <w:rFonts w:ascii="宋体" w:hAnsi="宋体" w:cs="宋体"/>
          <w:color w:val="000000" w:themeColor="text1"/>
          <w:sz w:val="24"/>
          <w:szCs w:val="24"/>
        </w:rPr>
      </w:pPr>
      <w:r>
        <w:rPr>
          <w:rFonts w:hint="eastAsia" w:ascii="宋体" w:hAnsi="宋体" w:cs="宋体"/>
          <w:color w:val="000000" w:themeColor="text1"/>
          <w:sz w:val="24"/>
          <w:szCs w:val="24"/>
          <w:lang w:eastAsia="zh-CN"/>
        </w:rPr>
        <w:t>成交</w:t>
      </w:r>
      <w:r>
        <w:rPr>
          <w:rFonts w:hint="eastAsia" w:ascii="宋体" w:hAnsi="宋体" w:cs="宋体"/>
          <w:color w:val="000000" w:themeColor="text1"/>
          <w:sz w:val="24"/>
          <w:szCs w:val="24"/>
        </w:rPr>
        <w:t>服务商（或称乙方）：</w:t>
      </w:r>
    </w:p>
    <w:p w14:paraId="7155EEE3">
      <w:pPr>
        <w:snapToGrid w:val="0"/>
        <w:spacing w:line="520" w:lineRule="exact"/>
        <w:rPr>
          <w:rFonts w:ascii="宋体" w:hAnsi="宋体" w:cs="宋体"/>
          <w:color w:val="000000" w:themeColor="text1"/>
          <w:sz w:val="24"/>
          <w:szCs w:val="24"/>
        </w:rPr>
      </w:pPr>
      <w:r>
        <w:rPr>
          <w:rFonts w:hint="eastAsia" w:ascii="宋体" w:hAnsi="宋体" w:cs="宋体"/>
          <w:color w:val="000000" w:themeColor="text1"/>
          <w:sz w:val="24"/>
          <w:szCs w:val="24"/>
        </w:rPr>
        <w:t>签订时间： 年 月 日</w:t>
      </w:r>
    </w:p>
    <w:p w14:paraId="4A7642E6">
      <w:pPr>
        <w:snapToGrid w:val="0"/>
        <w:spacing w:line="520" w:lineRule="exact"/>
        <w:rPr>
          <w:rFonts w:ascii="宋体" w:hAnsi="宋体" w:cs="宋体"/>
          <w:color w:val="000000" w:themeColor="text1"/>
          <w:sz w:val="24"/>
          <w:szCs w:val="24"/>
        </w:rPr>
      </w:pPr>
      <w:r>
        <w:rPr>
          <w:rFonts w:hint="eastAsia" w:ascii="宋体" w:hAnsi="宋体" w:cs="宋体"/>
          <w:color w:val="000000" w:themeColor="text1"/>
          <w:sz w:val="24"/>
          <w:szCs w:val="24"/>
        </w:rPr>
        <w:t>签订地点：</w:t>
      </w:r>
    </w:p>
    <w:p w14:paraId="72C90F6A">
      <w:pPr>
        <w:snapToGrid w:val="0"/>
        <w:spacing w:line="520" w:lineRule="exact"/>
        <w:ind w:firstLine="484" w:firstLineChars="202"/>
        <w:rPr>
          <w:rFonts w:ascii="宋体" w:hAnsi="宋体" w:cs="宋体"/>
          <w:color w:val="000000" w:themeColor="text1"/>
          <w:sz w:val="24"/>
          <w:szCs w:val="24"/>
        </w:rPr>
      </w:pPr>
      <w:r>
        <w:rPr>
          <w:rFonts w:hint="eastAsia" w:ascii="宋体" w:hAnsi="宋体" w:cs="宋体"/>
          <w:color w:val="000000" w:themeColor="text1"/>
          <w:kern w:val="0"/>
          <w:sz w:val="24"/>
          <w:lang w:val="zh-CN"/>
        </w:rPr>
        <w:t xml:space="preserve">根据《政府采购法》、《民法典》、其他有关法律、行政法规及 </w:t>
      </w:r>
      <w:r>
        <w:rPr>
          <w:rFonts w:hint="eastAsia" w:ascii="宋体" w:hAnsi="宋体" w:cs="宋体"/>
          <w:color w:val="000000" w:themeColor="text1"/>
          <w:sz w:val="24"/>
          <w:szCs w:val="24"/>
          <w:u w:val="single"/>
        </w:rPr>
        <w:t xml:space="preserve"> 年  月 日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u w:val="single"/>
        </w:rPr>
        <w:t>项目</w:t>
      </w:r>
      <w:r>
        <w:rPr>
          <w:rFonts w:hint="eastAsia" w:ascii="宋体" w:hAnsi="宋体" w:cs="宋体"/>
          <w:color w:val="000000" w:themeColor="text1"/>
          <w:sz w:val="24"/>
          <w:szCs w:val="24"/>
        </w:rPr>
        <w:t>的采购结果、招标文件及相应文件，经双方协商一致，签订本合同。</w:t>
      </w:r>
    </w:p>
    <w:p w14:paraId="04B0FCD3">
      <w:pPr>
        <w:snapToGrid w:val="0"/>
        <w:spacing w:line="52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一、服务内容</w:t>
      </w:r>
    </w:p>
    <w:p w14:paraId="29F525F5">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负责甲方委托的</w:t>
      </w:r>
      <w:r>
        <w:rPr>
          <w:rFonts w:hint="eastAsia" w:ascii="宋体" w:hAnsi="宋体" w:cs="宋体"/>
          <w:color w:val="000000" w:themeColor="text1"/>
          <w:kern w:val="0"/>
          <w:sz w:val="24"/>
          <w:lang w:val="zh-CN"/>
        </w:rPr>
        <w:t>崇川区区管道路及绿地文物资源调查，</w:t>
      </w:r>
      <w:r>
        <w:rPr>
          <w:rFonts w:hint="eastAsia" w:ascii="宋体" w:hAnsi="宋体" w:cs="宋体"/>
          <w:color w:val="000000" w:themeColor="text1"/>
          <w:sz w:val="24"/>
          <w:szCs w:val="24"/>
        </w:rPr>
        <w:t>通过省文物局组织的专家评审并通过省文物局结项验收。</w:t>
      </w:r>
    </w:p>
    <w:p w14:paraId="7B60F2DE">
      <w:pPr>
        <w:snapToGrid w:val="0"/>
        <w:spacing w:line="48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二、服务费用</w:t>
      </w:r>
    </w:p>
    <w:p w14:paraId="1F04AA15">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本项目服务费用共计为人民币（含税）</w:t>
      </w:r>
      <w:r>
        <w:rPr>
          <w:rFonts w:hint="eastAsia" w:ascii="宋体" w:hAnsi="宋体" w:cs="宋体"/>
          <w:color w:val="000000" w:themeColor="text1"/>
          <w:sz w:val="24"/>
          <w:szCs w:val="24"/>
          <w:u w:val="single"/>
        </w:rPr>
        <w:t>大写      元</w:t>
      </w:r>
      <w:r>
        <w:rPr>
          <w:rFonts w:hint="eastAsia" w:ascii="宋体" w:hAnsi="宋体" w:cs="宋体"/>
          <w:color w:val="000000" w:themeColor="text1"/>
          <w:sz w:val="24"/>
          <w:szCs w:val="24"/>
          <w:u w:val="single"/>
          <w:lang w:val="en-US" w:eastAsia="zh-CN"/>
        </w:rPr>
        <w:t>/平方米</w:t>
      </w:r>
      <w:r>
        <w:rPr>
          <w:rFonts w:hint="eastAsia" w:ascii="宋体" w:hAnsi="宋体" w:cs="宋体"/>
          <w:color w:val="000000" w:themeColor="text1"/>
          <w:sz w:val="24"/>
          <w:szCs w:val="24"/>
          <w:u w:val="single"/>
        </w:rPr>
        <w:t>（小写：￥    元</w:t>
      </w:r>
      <w:r>
        <w:rPr>
          <w:rFonts w:hint="eastAsia" w:ascii="宋体" w:hAnsi="宋体" w:cs="宋体"/>
          <w:color w:val="000000" w:themeColor="text1"/>
          <w:sz w:val="24"/>
          <w:szCs w:val="24"/>
          <w:u w:val="single"/>
          <w:lang w:val="en-US" w:eastAsia="zh-CN"/>
        </w:rPr>
        <w:t>/㎡</w:t>
      </w:r>
      <w:r>
        <w:rPr>
          <w:rFonts w:hint="eastAsia" w:ascii="宋体" w:hAnsi="宋体" w:cs="宋体"/>
          <w:color w:val="000000" w:themeColor="text1"/>
          <w:sz w:val="24"/>
          <w:szCs w:val="24"/>
          <w:u w:val="single"/>
        </w:rPr>
        <w:t>）</w:t>
      </w:r>
      <w:r>
        <w:rPr>
          <w:rFonts w:hint="eastAsia" w:ascii="宋体" w:hAnsi="宋体" w:cs="宋体"/>
          <w:color w:val="000000" w:themeColor="text1"/>
          <w:sz w:val="24"/>
          <w:szCs w:val="24"/>
        </w:rPr>
        <w:t>，应包含为项目</w:t>
      </w:r>
      <w:r>
        <w:rPr>
          <w:rFonts w:ascii="宋体" w:hAnsi="宋体" w:cs="宋体"/>
          <w:color w:val="000000" w:themeColor="text1"/>
          <w:sz w:val="24"/>
          <w:szCs w:val="24"/>
        </w:rPr>
        <w:t>成果通过</w:t>
      </w:r>
      <w:r>
        <w:rPr>
          <w:rFonts w:hint="eastAsia" w:ascii="宋体" w:hAnsi="宋体" w:cs="宋体"/>
          <w:color w:val="000000" w:themeColor="text1"/>
          <w:sz w:val="24"/>
          <w:szCs w:val="24"/>
        </w:rPr>
        <w:t>江苏省文物局结项验收的全部价格，包含本项目所有人员的工资福利及社保、核查费、分析费、材料费、车辆费、报告编制费、管理费、专家评审费、利润、税金及合同实施过程中的不可预见等所有费用，即完成本</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项目的所有费用。</w:t>
      </w:r>
    </w:p>
    <w:p w14:paraId="1D0B1C93">
      <w:pPr>
        <w:snapToGrid w:val="0"/>
        <w:spacing w:line="48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三、工作内容及实施计划</w:t>
      </w:r>
    </w:p>
    <w:p w14:paraId="6E0A06DF">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单位应制订科学合理的工作方案，按相关规定编制经费预算，报</w:t>
      </w:r>
      <w:r>
        <w:rPr>
          <w:rFonts w:hint="eastAsia" w:ascii="宋体" w:hAnsi="宋体" w:cs="宋体"/>
          <w:color w:val="000000" w:themeColor="text1"/>
          <w:sz w:val="24"/>
          <w:szCs w:val="24"/>
          <w:highlight w:val="none"/>
        </w:rPr>
        <w:t>省文物局备案</w:t>
      </w:r>
      <w:r>
        <w:rPr>
          <w:rFonts w:hint="eastAsia" w:ascii="宋体" w:hAnsi="宋体" w:cs="宋体"/>
          <w:color w:val="000000" w:themeColor="text1"/>
          <w:sz w:val="24"/>
          <w:szCs w:val="24"/>
        </w:rPr>
        <w:t>。</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工作的实施应采取考古区域系统调查、普通区域考古勘探和重点区域考古勘探相结合的方式，摸清</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区域地下文物的分布情况、文化面貌和内涵，全面</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地上不可移动文物的保存状况、历史文化价值，提出具体保护要求。</w:t>
      </w:r>
    </w:p>
    <w:p w14:paraId="5AD9FEAB">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 xml:space="preserve"> 查阅相关的历史文献、地方志、三普材料、文物保护单位资料、古地图等，并加以梳理，了解该区域历史变迁，通过这些资料对</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区域可能存在地上、地下古遗址、古建筑、古桥梁、古沉船、古墓葬等</w:t>
      </w:r>
      <w:r>
        <w:rPr>
          <w:rFonts w:ascii="宋体" w:hAnsi="宋体" w:cs="宋体"/>
          <w:color w:val="000000" w:themeColor="text1"/>
          <w:sz w:val="24"/>
          <w:szCs w:val="24"/>
        </w:rPr>
        <w:t>遗存，更加科学地对</w:t>
      </w:r>
      <w:r>
        <w:rPr>
          <w:rFonts w:hint="eastAsia" w:ascii="宋体" w:hAnsi="宋体" w:cs="宋体"/>
          <w:color w:val="000000" w:themeColor="text1"/>
          <w:sz w:val="24"/>
          <w:szCs w:val="24"/>
          <w:lang w:eastAsia="zh-CN"/>
        </w:rPr>
        <w:t>调查</w:t>
      </w:r>
      <w:r>
        <w:rPr>
          <w:rFonts w:ascii="宋体" w:hAnsi="宋体" w:cs="宋体"/>
          <w:color w:val="000000" w:themeColor="text1"/>
          <w:sz w:val="24"/>
          <w:szCs w:val="24"/>
        </w:rPr>
        <w:t>区域范围内的地上地下文物资源开展全面系统的调查勘探，对</w:t>
      </w:r>
      <w:r>
        <w:rPr>
          <w:rFonts w:hint="eastAsia" w:ascii="宋体" w:hAnsi="宋体" w:cs="宋体"/>
          <w:color w:val="000000" w:themeColor="text1"/>
          <w:sz w:val="24"/>
          <w:szCs w:val="24"/>
          <w:lang w:eastAsia="zh-CN"/>
        </w:rPr>
        <w:t>调查</w:t>
      </w:r>
      <w:r>
        <w:rPr>
          <w:rFonts w:ascii="宋体" w:hAnsi="宋体" w:cs="宋体"/>
          <w:color w:val="000000" w:themeColor="text1"/>
          <w:sz w:val="24"/>
          <w:szCs w:val="24"/>
        </w:rPr>
        <w:t>区域存在的文物提供合理的保护方案及下一步工作计划</w:t>
      </w:r>
      <w:r>
        <w:rPr>
          <w:rFonts w:hint="eastAsia" w:ascii="宋体" w:hAnsi="宋体" w:cs="宋体"/>
          <w:color w:val="000000" w:themeColor="text1"/>
          <w:sz w:val="24"/>
          <w:szCs w:val="24"/>
        </w:rPr>
        <w:t>。</w:t>
      </w:r>
    </w:p>
    <w:p w14:paraId="7351A990">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 xml:space="preserve"> 组建专业队伍，继续考古调查，走访属地文物主管部门业务人员、当地研究历史学者及百姓等，了解历史文化遗迹。对地面有文物保护单位及历史遗迹，对其现状进行工作</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、对文物利用进行</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、同时对文物进行价值分析，并提出地面文物下一步保护建议和规划保障。</w:t>
      </w:r>
    </w:p>
    <w:p w14:paraId="7A16DAA8">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3、</w:t>
      </w:r>
      <w:r>
        <w:rPr>
          <w:rFonts w:hint="eastAsia" w:ascii="宋体" w:hAnsi="宋体" w:cs="宋体"/>
          <w:color w:val="000000" w:themeColor="text1"/>
          <w:sz w:val="24"/>
          <w:szCs w:val="24"/>
        </w:rPr>
        <w:t xml:space="preserve"> 根据前期调查工作，对待</w:t>
      </w:r>
      <w:r>
        <w:rPr>
          <w:rFonts w:hint="eastAsia" w:ascii="宋体" w:hAnsi="宋体" w:cs="宋体"/>
          <w:color w:val="000000" w:themeColor="text1"/>
          <w:sz w:val="24"/>
          <w:szCs w:val="24"/>
          <w:lang w:val="en-US" w:eastAsia="zh-CN"/>
        </w:rPr>
        <w:t>建设道路、绿地</w:t>
      </w:r>
      <w:r>
        <w:rPr>
          <w:rFonts w:hint="eastAsia" w:ascii="宋体" w:hAnsi="宋体" w:cs="宋体"/>
          <w:color w:val="000000" w:themeColor="text1"/>
          <w:sz w:val="24"/>
          <w:szCs w:val="24"/>
        </w:rPr>
        <w:t>，有疑似地下文物遗迹的区域划定勘探范围，进行普通勘探，弄清地下遗迹的范围、时代等。</w:t>
      </w:r>
    </w:p>
    <w:p w14:paraId="1F936088">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 xml:space="preserve"> 对发现的有遗迹区域，提出重点勘探计划。</w:t>
      </w:r>
    </w:p>
    <w:p w14:paraId="573BE066">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对地面文物及地下发现的遗迹进行资料整理，并加以研究；提出下一步工作计划及方案。</w:t>
      </w:r>
    </w:p>
    <w:p w14:paraId="78840122">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完成考古调查、勘探及</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报告，形成</w:t>
      </w:r>
      <w:r>
        <w:rPr>
          <w:rFonts w:hint="eastAsia" w:ascii="宋体" w:hAnsi="宋体" w:cs="宋体"/>
          <w:color w:val="000000" w:themeColor="text1"/>
          <w:sz w:val="24"/>
          <w:szCs w:val="24"/>
          <w:lang w:eastAsia="zh-CN"/>
        </w:rPr>
        <w:t>文物资源调查成果报告</w:t>
      </w:r>
      <w:r>
        <w:rPr>
          <w:rFonts w:hint="eastAsia" w:ascii="宋体" w:hAnsi="宋体" w:cs="宋体"/>
          <w:color w:val="000000" w:themeColor="text1"/>
          <w:sz w:val="24"/>
          <w:szCs w:val="24"/>
        </w:rPr>
        <w:t>。</w:t>
      </w:r>
    </w:p>
    <w:p w14:paraId="31C57739">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7、</w:t>
      </w:r>
      <w:r>
        <w:rPr>
          <w:rFonts w:hint="eastAsia" w:ascii="宋体" w:hAnsi="宋体" w:cs="宋体"/>
          <w:color w:val="000000" w:themeColor="text1"/>
          <w:sz w:val="24"/>
          <w:szCs w:val="24"/>
        </w:rPr>
        <w:t xml:space="preserve"> 配合省局组织专家进行报告评审，并通过省文物局结项验收。</w:t>
      </w:r>
    </w:p>
    <w:p w14:paraId="2CF2284A">
      <w:pPr>
        <w:snapToGrid w:val="0"/>
        <w:spacing w:line="48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四、研究方法</w:t>
      </w:r>
    </w:p>
    <w:p w14:paraId="4D7E2EDD">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 xml:space="preserve"> 文献研究与实地调研相结合。通过查阅相关文献，以及对</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区域进行实地考古调查、勘探，寻求一种理论与实践相结合的研究方法。</w:t>
      </w:r>
    </w:p>
    <w:p w14:paraId="2B037DBA">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 xml:space="preserve"> 多学科研究方法。区域文物</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涉及的其他学科内容相当广泛，本课题项目试图综合运用考古学、文化遗产学、水利工程学、历史学、文化学、建筑学、景观设计学和城市规划等多学科知识对课题内容进行初步探求。</w:t>
      </w:r>
    </w:p>
    <w:p w14:paraId="6945F2DD">
      <w:pPr>
        <w:spacing w:line="440" w:lineRule="exact"/>
        <w:ind w:firstLine="482" w:firstLineChars="200"/>
        <w:outlineLvl w:val="2"/>
        <w:rPr>
          <w:rFonts w:ascii="宋体" w:hAnsi="宋体" w:cs="宋体"/>
          <w:b/>
          <w:bCs/>
          <w:color w:val="000000" w:themeColor="text1"/>
          <w:sz w:val="24"/>
          <w:szCs w:val="24"/>
        </w:rPr>
      </w:pPr>
      <w:r>
        <w:rPr>
          <w:rFonts w:hint="eastAsia" w:ascii="宋体" w:hAnsi="宋体" w:cs="宋体"/>
          <w:b/>
          <w:bCs/>
          <w:color w:val="000000" w:themeColor="text1"/>
          <w:sz w:val="24"/>
          <w:szCs w:val="24"/>
        </w:rPr>
        <w:t>五、成果要求</w:t>
      </w:r>
    </w:p>
    <w:p w14:paraId="35E137F5">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项目最终提交成果资料应包括：1、通过省文物局组织的专家评审并通过省文物局结项验收。2</w:t>
      </w:r>
      <w:r>
        <w:rPr>
          <w:rFonts w:hint="eastAsia" w:ascii="宋体" w:hAnsi="宋体" w:cs="宋体"/>
          <w:color w:val="000000" w:themeColor="text1"/>
          <w:sz w:val="24"/>
          <w:szCs w:val="24"/>
          <w:lang w:eastAsia="zh-CN"/>
        </w:rPr>
        <w:t>、文物资源调查成果报告</w:t>
      </w:r>
      <w:r>
        <w:rPr>
          <w:rFonts w:hint="eastAsia" w:ascii="宋体" w:hAnsi="宋体" w:cs="宋体"/>
          <w:color w:val="000000" w:themeColor="text1"/>
          <w:sz w:val="24"/>
          <w:szCs w:val="24"/>
        </w:rPr>
        <w:t>全本6套、简本20套以及电子版；并需对使用该成果的相关行政主管部门进行人员培训。</w:t>
      </w:r>
    </w:p>
    <w:p w14:paraId="114BFA1C">
      <w:pPr>
        <w:snapToGrid w:val="0"/>
        <w:spacing w:line="48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六、进度要求</w:t>
      </w:r>
    </w:p>
    <w:p w14:paraId="34961F09">
      <w:pPr>
        <w:snapToGrid w:val="0"/>
        <w:spacing w:line="48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任务交办后20个工作日内提交文物资源调查成果报告；</w:t>
      </w:r>
    </w:p>
    <w:p w14:paraId="7C71B333">
      <w:pPr>
        <w:snapToGrid w:val="0"/>
        <w:spacing w:line="480" w:lineRule="exact"/>
        <w:ind w:firstLine="482" w:firstLineChars="200"/>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七、服务地点：</w:t>
      </w:r>
      <w:r>
        <w:rPr>
          <w:rFonts w:hint="eastAsia" w:ascii="宋体" w:hAnsi="宋体" w:cs="宋体"/>
          <w:color w:val="000000" w:themeColor="text1"/>
          <w:sz w:val="24"/>
          <w:szCs w:val="24"/>
          <w:highlight w:val="none"/>
        </w:rPr>
        <w:t>甲方指定地点。</w:t>
      </w:r>
    </w:p>
    <w:p w14:paraId="5AEB55FB">
      <w:pPr>
        <w:snapToGrid w:val="0"/>
        <w:spacing w:line="480" w:lineRule="exact"/>
        <w:ind w:firstLine="482" w:firstLineChars="200"/>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八、付款方式</w:t>
      </w:r>
    </w:p>
    <w:p w14:paraId="7D434CEB">
      <w:pPr>
        <w:snapToGrid w:val="0"/>
        <w:spacing w:line="480" w:lineRule="exact"/>
        <w:ind w:firstLine="480" w:firstLineChars="200"/>
        <w:rPr>
          <w:rFonts w:hint="eastAsia" w:ascii="宋体" w:hAnsi="宋体" w:cs="宋体"/>
          <w:color w:val="000000" w:themeColor="text1"/>
          <w:sz w:val="24"/>
          <w:szCs w:val="24"/>
          <w:highlight w:val="none"/>
          <w:lang w:eastAsia="zh-CN"/>
        </w:rPr>
      </w:pPr>
      <w:r>
        <w:rPr>
          <w:rFonts w:hint="eastAsia" w:ascii="宋体" w:hAnsi="宋体" w:cs="宋体"/>
          <w:color w:val="000000" w:themeColor="text1"/>
          <w:sz w:val="24"/>
          <w:szCs w:val="24"/>
          <w:highlight w:val="none"/>
          <w:lang w:eastAsia="zh-CN"/>
        </w:rPr>
        <w:t>提交报告且通过江苏省文物局的结项验收一次性支付相应地块项目的全部费用。</w:t>
      </w:r>
    </w:p>
    <w:p w14:paraId="419B1234">
      <w:pPr>
        <w:snapToGrid w:val="0"/>
        <w:spacing w:line="480" w:lineRule="exact"/>
        <w:ind w:firstLine="480" w:firstLineChars="200"/>
        <w:rPr>
          <w:color w:val="000000" w:themeColor="text1"/>
        </w:rPr>
      </w:pPr>
      <w:r>
        <w:rPr>
          <w:rFonts w:hint="eastAsia" w:ascii="宋体" w:hAnsi="宋体" w:cs="宋体"/>
          <w:color w:val="000000" w:themeColor="text1"/>
          <w:sz w:val="24"/>
          <w:szCs w:val="24"/>
          <w:lang w:eastAsia="zh-CN"/>
        </w:rPr>
        <w:t>甲方支付相应款项前，乙方需提供经甲方认可的等额发票，乙方延迟提供的，甲方有权延付款项。</w:t>
      </w:r>
    </w:p>
    <w:p w14:paraId="45A63B86">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九、 知识产权归属</w:t>
      </w:r>
    </w:p>
    <w:p w14:paraId="423CF7BE">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甲方拥有原始数据以及处理后数据的知识产权。</w:t>
      </w:r>
    </w:p>
    <w:p w14:paraId="18BF88BD">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十、 保密</w:t>
      </w:r>
    </w:p>
    <w:p w14:paraId="259C61DD">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乙方保守国家机密，不得泄漏采购单位所提供的属国家秘密的信息和数据；未经采购单位允许，不得使用或者以其它方式给任何第三方提供本项目的相关信息或数据。</w:t>
      </w:r>
    </w:p>
    <w:p w14:paraId="0922631F">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十一、服务承诺</w:t>
      </w:r>
    </w:p>
    <w:p w14:paraId="5D9F45F6">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为确保服务质量及与甲方沟通联络，乙方设置项目主管，负责对本项目的服务范围、服务质量的检查监督及与甲方日常业务联系。</w:t>
      </w:r>
    </w:p>
    <w:p w14:paraId="12717260">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乙方须主动接受采购单位的指导、检查、监督及协调。</w:t>
      </w:r>
    </w:p>
    <w:p w14:paraId="0306EAD9">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乙方制定并履行现场服务承诺，在项目建设期间按照项目进展及时完善文物资源区域</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报告的补充、变更等手续。</w:t>
      </w:r>
    </w:p>
    <w:p w14:paraId="73F45D8E">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十二、 甲方责任</w:t>
      </w:r>
    </w:p>
    <w:p w14:paraId="3B0EDB51">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 xml:space="preserve">1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甲方负责对前期的编制工作进行总体管理、协调和监督，对提交的成果报告或资料收集成果文件组织专家评审、验收或协调上报政府有关部门。有对编制工作进行过程控制、中间检查的责任与权利。</w:t>
      </w:r>
    </w:p>
    <w:p w14:paraId="08786524">
      <w:pPr>
        <w:widowControl/>
        <w:spacing w:line="440" w:lineRule="exact"/>
        <w:ind w:firstLine="482" w:firstLineChars="201"/>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2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甲方应即时向乙方提供整个区域的地形图、</w:t>
      </w:r>
      <w:r>
        <w:rPr>
          <w:rFonts w:hint="eastAsia" w:ascii="宋体" w:hAnsi="宋体" w:cs="宋体"/>
          <w:color w:val="000000" w:themeColor="text1"/>
          <w:sz w:val="24"/>
          <w:szCs w:val="24"/>
          <w:lang w:eastAsia="zh-CN"/>
        </w:rPr>
        <w:t>调查</w:t>
      </w:r>
      <w:r>
        <w:rPr>
          <w:rFonts w:hint="eastAsia" w:ascii="宋体" w:hAnsi="宋体" w:cs="宋体"/>
          <w:color w:val="000000" w:themeColor="text1"/>
          <w:sz w:val="24"/>
          <w:szCs w:val="24"/>
        </w:rPr>
        <w:t>区域的红线图、</w:t>
      </w:r>
      <w:r>
        <w:rPr>
          <w:rFonts w:hint="eastAsia" w:ascii="宋体" w:hAnsi="宋体" w:cs="宋体"/>
          <w:color w:val="000000" w:themeColor="text1"/>
          <w:kern w:val="0"/>
          <w:sz w:val="24"/>
          <w:szCs w:val="24"/>
        </w:rPr>
        <w:t>地下隐蔽设施图、</w:t>
      </w:r>
      <w:r>
        <w:rPr>
          <w:rFonts w:hint="eastAsia" w:ascii="宋体" w:hAnsi="宋体" w:cs="宋体"/>
          <w:color w:val="000000" w:themeColor="text1"/>
          <w:sz w:val="24"/>
          <w:szCs w:val="24"/>
        </w:rPr>
        <w:t>坐标控制点位置及其三维数据等信息。</w:t>
      </w:r>
    </w:p>
    <w:p w14:paraId="4A3BD4B6">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kern w:val="0"/>
          <w:sz w:val="24"/>
          <w:szCs w:val="24"/>
        </w:rPr>
        <w:t>3</w:t>
      </w:r>
      <w:r>
        <w:rPr>
          <w:rFonts w:hint="eastAsia" w:ascii="宋体" w:hAnsi="宋体" w:cs="宋体"/>
          <w:color w:val="000000" w:themeColor="text1"/>
          <w:kern w:val="0"/>
          <w:sz w:val="24"/>
          <w:szCs w:val="24"/>
          <w:lang w:eastAsia="zh-CN"/>
        </w:rPr>
        <w:t>、</w:t>
      </w:r>
      <w:r>
        <w:rPr>
          <w:rFonts w:hint="eastAsia" w:ascii="宋体" w:hAnsi="宋体" w:cs="宋体"/>
          <w:color w:val="000000" w:themeColor="text1"/>
          <w:sz w:val="24"/>
          <w:szCs w:val="24"/>
        </w:rPr>
        <w:t>对于乙方提交的需甲方作出答复的重要情况和事宜，甲方应在一个合理时间内作出决定或批准。</w:t>
      </w:r>
    </w:p>
    <w:p w14:paraId="2744004B">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 xml:space="preserve"> 甲方应履行按合同第二条规定应付合同价款的支付义务。</w:t>
      </w:r>
    </w:p>
    <w:p w14:paraId="7178BBA2">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十三、 乙方责任</w:t>
      </w:r>
    </w:p>
    <w:p w14:paraId="4B21D67A">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 xml:space="preserve"> 乙方应按照合同及其附件的要求，负责收集</w:t>
      </w:r>
      <w:r>
        <w:rPr>
          <w:rFonts w:hint="eastAsia" w:ascii="宋体" w:hAnsi="宋体" w:cs="宋体"/>
          <w:color w:val="000000" w:themeColor="text1"/>
          <w:kern w:val="0"/>
          <w:sz w:val="24"/>
          <w:szCs w:val="24"/>
        </w:rPr>
        <w:t>文物资源区域</w:t>
      </w:r>
      <w:r>
        <w:rPr>
          <w:rFonts w:hint="eastAsia" w:ascii="宋体" w:hAnsi="宋体" w:cs="宋体"/>
          <w:color w:val="000000" w:themeColor="text1"/>
          <w:kern w:val="0"/>
          <w:sz w:val="24"/>
          <w:szCs w:val="24"/>
          <w:lang w:eastAsia="zh-CN"/>
        </w:rPr>
        <w:t>调查</w:t>
      </w:r>
      <w:r>
        <w:rPr>
          <w:rFonts w:hint="eastAsia" w:ascii="宋体" w:hAnsi="宋体" w:cs="宋体"/>
          <w:color w:val="000000" w:themeColor="text1"/>
          <w:kern w:val="0"/>
          <w:sz w:val="24"/>
          <w:szCs w:val="24"/>
        </w:rPr>
        <w:t>报告项目</w:t>
      </w:r>
      <w:r>
        <w:rPr>
          <w:rFonts w:hint="eastAsia" w:ascii="宋体" w:hAnsi="宋体" w:cs="宋体"/>
          <w:color w:val="000000" w:themeColor="text1"/>
          <w:sz w:val="24"/>
          <w:szCs w:val="24"/>
        </w:rPr>
        <w:t>所需资料、数据及信息，同时接受甲方有关指令和管理，按计划、按时、按质、按量并根据甲方的要求或提供的资料对项目改进完善并提交完整的项目成果，以合理、谨慎、努力和有效的方式提供约定的服务。</w:t>
      </w:r>
    </w:p>
    <w:p w14:paraId="5157DE14">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 xml:space="preserve">2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乙方应该参照有关工作惯例，以科学的态度进行严肃、认真的研究，达到招标文件的规定和要求，以其一贯的水准在所有的专业知识和能力方面向甲方提供最好的服务。</w:t>
      </w:r>
    </w:p>
    <w:p w14:paraId="6D737EA9">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 xml:space="preserve">3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乙方应保证提交的项目成果和提供的服务符合中华人民共和国法律和国际公约或惯例；乙方应保证甲方在使用和应用合同项下的项目成果时，免于承担第三方提出的侵犯其专利权、著作权、其他知识产权的索赔。</w:t>
      </w:r>
    </w:p>
    <w:p w14:paraId="41B0E848">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 xml:space="preserve">4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乙方的项目组成员在完成项目过程中和提供有关服务时的行为或不作为产生的一切责任由乙方承担。</w:t>
      </w:r>
    </w:p>
    <w:p w14:paraId="4363FF3B">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5</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 xml:space="preserve"> 承担在合同约定的研究范围内，如因乙方原因导致成果报告或资料收集成果文件未通过专家审查，自行返工修改，并承担因此所造成的全部损失；并对因返工给甲方带来的损失进行赔偿。甲方有权在未付服务费中进行相应扣减。</w:t>
      </w:r>
    </w:p>
    <w:p w14:paraId="02C19F05">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 xml:space="preserve">6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按甲方要求提交全部书面文件和电子文件，并按甲方制定的档案归档要求对项目成果进行移交和归档。</w:t>
      </w:r>
    </w:p>
    <w:p w14:paraId="2932D096">
      <w:pPr>
        <w:snapToGrid w:val="0"/>
        <w:spacing w:line="44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 xml:space="preserve">7 </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未经甲方书面同意，乙方不得转让合同中规定的义务。</w:t>
      </w:r>
    </w:p>
    <w:p w14:paraId="6E810B4C">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十四、违约责任</w:t>
      </w:r>
    </w:p>
    <w:p w14:paraId="30749A63">
      <w:pPr>
        <w:spacing w:line="440" w:lineRule="exact"/>
        <w:ind w:firstLine="480"/>
        <w:rPr>
          <w:rFonts w:ascii="宋体" w:hAnsi="宋体" w:cs="宋体"/>
          <w:color w:val="000000" w:themeColor="text1"/>
          <w:sz w:val="24"/>
          <w:szCs w:val="24"/>
          <w:highlight w:val="none"/>
        </w:rPr>
      </w:pPr>
      <w:r>
        <w:rPr>
          <w:rFonts w:hint="eastAsia" w:ascii="宋体" w:hAnsi="宋体" w:cs="宋体"/>
          <w:color w:val="000000" w:themeColor="text1"/>
          <w:sz w:val="24"/>
          <w:szCs w:val="24"/>
        </w:rPr>
        <w:t>1</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根据合同约定，乙方未能及时提供成果，或提供的成果经反复要求仍无法达到要求，从而影响到合同进展的</w:t>
      </w:r>
      <w:r>
        <w:rPr>
          <w:rFonts w:hint="eastAsia" w:ascii="宋体" w:hAnsi="宋体" w:cs="宋体"/>
          <w:color w:val="000000" w:themeColor="text1"/>
          <w:sz w:val="24"/>
          <w:szCs w:val="24"/>
          <w:highlight w:val="none"/>
        </w:rPr>
        <w:t>，乙方按照相应地块服务费的10%支付违约金。</w:t>
      </w:r>
    </w:p>
    <w:p w14:paraId="293C7959">
      <w:pPr>
        <w:spacing w:line="440" w:lineRule="exact"/>
        <w:ind w:firstLine="48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rPr>
        <w:t>根据合同约定，需要乙方派人员参与会议或活动，乙方未能及时派人员参加的，每发生一次，乙方按照1000元/次支付甲方违约金。</w:t>
      </w:r>
    </w:p>
    <w:p w14:paraId="15E3635D">
      <w:pPr>
        <w:spacing w:line="440" w:lineRule="exact"/>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其他违约事项，违约方应当按《中国人民共和国民法典》第三百五十七条、第三百五十九条、第三百六十条及第三百六十二条规定，承担违约责任，违约方赔偿履约方损失，违约金或者损失赔偿额由双方共同约定。</w:t>
      </w:r>
    </w:p>
    <w:p w14:paraId="4DCD7E78">
      <w:pPr>
        <w:snapToGrid w:val="0"/>
        <w:spacing w:line="440" w:lineRule="exact"/>
        <w:ind w:firstLine="487" w:firstLineChars="202"/>
        <w:rPr>
          <w:rFonts w:hint="eastAsia" w:ascii="宋体" w:hAnsi="宋体" w:eastAsia="宋体" w:cs="宋体"/>
          <w:b/>
          <w:color w:val="000000" w:themeColor="text1"/>
          <w:sz w:val="24"/>
          <w:szCs w:val="24"/>
          <w:lang w:eastAsia="zh-CN"/>
        </w:rPr>
      </w:pPr>
      <w:r>
        <w:rPr>
          <w:rFonts w:hint="eastAsia" w:ascii="宋体" w:hAnsi="宋体" w:cs="宋体"/>
          <w:b/>
          <w:color w:val="000000" w:themeColor="text1"/>
          <w:sz w:val="24"/>
          <w:szCs w:val="24"/>
        </w:rPr>
        <w:t>十五、合同</w:t>
      </w:r>
      <w:r>
        <w:rPr>
          <w:rFonts w:hint="eastAsia" w:ascii="宋体" w:hAnsi="宋体" w:cs="宋体"/>
          <w:b/>
          <w:color w:val="000000" w:themeColor="text1"/>
          <w:sz w:val="24"/>
          <w:szCs w:val="24"/>
          <w:lang w:val="en-US" w:eastAsia="zh-CN"/>
        </w:rPr>
        <w:t>期限</w:t>
      </w:r>
    </w:p>
    <w:p w14:paraId="7B950F9C">
      <w:pPr>
        <w:pStyle w:val="27"/>
        <w:spacing w:line="440" w:lineRule="exact"/>
        <w:ind w:firstLine="480" w:firstLineChars="200"/>
        <w:rPr>
          <w:rFonts w:hAnsi="宋体"/>
          <w:color w:val="000000" w:themeColor="text1"/>
          <w:sz w:val="24"/>
          <w:szCs w:val="24"/>
        </w:rPr>
      </w:pPr>
      <w:r>
        <w:rPr>
          <w:rFonts w:hint="eastAsia" w:hAnsi="宋体"/>
          <w:color w:val="000000" w:themeColor="text1"/>
          <w:sz w:val="24"/>
          <w:szCs w:val="24"/>
        </w:rPr>
        <w:t>本合同在甲乙双方签字盖章后即生效</w:t>
      </w:r>
      <w:r>
        <w:rPr>
          <w:rFonts w:hint="eastAsia" w:hAnsi="宋体"/>
          <w:color w:val="000000" w:themeColor="text1"/>
          <w:sz w:val="24"/>
          <w:szCs w:val="24"/>
          <w:lang w:eastAsia="zh-CN"/>
        </w:rPr>
        <w:t>，</w:t>
      </w:r>
      <w:r>
        <w:rPr>
          <w:rFonts w:hint="eastAsia" w:hAnsi="宋体"/>
          <w:color w:val="000000" w:themeColor="text1"/>
          <w:sz w:val="24"/>
          <w:szCs w:val="24"/>
          <w:lang w:val="en-US" w:eastAsia="zh-CN"/>
        </w:rPr>
        <w:t>自本合同签订之日起一年或费用达49.8万即止</w:t>
      </w:r>
      <w:r>
        <w:rPr>
          <w:rFonts w:hint="eastAsia" w:hAnsi="宋体"/>
          <w:color w:val="000000" w:themeColor="text1"/>
          <w:sz w:val="24"/>
          <w:szCs w:val="24"/>
        </w:rPr>
        <w:t xml:space="preserve">。  </w:t>
      </w:r>
    </w:p>
    <w:p w14:paraId="05B717D8">
      <w:pPr>
        <w:snapToGrid w:val="0"/>
        <w:spacing w:line="440" w:lineRule="exact"/>
        <w:ind w:firstLine="487" w:firstLineChars="202"/>
        <w:rPr>
          <w:rFonts w:ascii="宋体" w:hAnsi="宋体" w:cs="宋体"/>
          <w:b/>
          <w:color w:val="000000" w:themeColor="text1"/>
          <w:sz w:val="24"/>
          <w:szCs w:val="24"/>
        </w:rPr>
      </w:pPr>
      <w:r>
        <w:rPr>
          <w:rFonts w:hint="eastAsia" w:ascii="宋体" w:hAnsi="宋体" w:cs="宋体"/>
          <w:b/>
          <w:color w:val="000000" w:themeColor="text1"/>
          <w:sz w:val="24"/>
          <w:szCs w:val="24"/>
        </w:rPr>
        <w:t>十六、争议的解决</w:t>
      </w:r>
    </w:p>
    <w:p w14:paraId="7AB8362C">
      <w:pPr>
        <w:pStyle w:val="27"/>
        <w:spacing w:line="440" w:lineRule="exact"/>
        <w:ind w:firstLine="480" w:firstLineChars="200"/>
        <w:rPr>
          <w:rFonts w:hAnsi="宋体"/>
          <w:color w:val="000000" w:themeColor="text1"/>
          <w:sz w:val="24"/>
          <w:szCs w:val="24"/>
        </w:rPr>
      </w:pPr>
      <w:r>
        <w:rPr>
          <w:rFonts w:hint="eastAsia" w:hAnsi="宋体"/>
          <w:color w:val="000000" w:themeColor="text1"/>
          <w:sz w:val="24"/>
          <w:szCs w:val="24"/>
        </w:rPr>
        <w:t>甲乙双方因合同发生争议，应在采购人的主持下进行调解，协商不成，任何一方可以向南通仲裁委员会申请仲裁解决。</w:t>
      </w:r>
    </w:p>
    <w:p w14:paraId="011647D1">
      <w:pPr>
        <w:pStyle w:val="27"/>
        <w:spacing w:line="440" w:lineRule="exact"/>
        <w:ind w:firstLine="482" w:firstLineChars="200"/>
        <w:rPr>
          <w:rFonts w:hAnsi="宋体"/>
          <w:b/>
          <w:color w:val="000000" w:themeColor="text1"/>
          <w:sz w:val="24"/>
          <w:szCs w:val="24"/>
        </w:rPr>
      </w:pPr>
      <w:r>
        <w:rPr>
          <w:rFonts w:hint="eastAsia" w:hAnsi="宋体"/>
          <w:b/>
          <w:color w:val="000000" w:themeColor="text1"/>
          <w:sz w:val="24"/>
          <w:szCs w:val="24"/>
        </w:rPr>
        <w:t>十七、 附则</w:t>
      </w:r>
    </w:p>
    <w:p w14:paraId="3242A9B4">
      <w:pPr>
        <w:pStyle w:val="27"/>
        <w:spacing w:line="440" w:lineRule="exact"/>
        <w:ind w:firstLine="480" w:firstLineChars="200"/>
        <w:rPr>
          <w:rFonts w:hAnsi="宋体"/>
          <w:color w:val="000000" w:themeColor="text1"/>
          <w:sz w:val="24"/>
          <w:szCs w:val="24"/>
          <w:highlight w:val="none"/>
        </w:rPr>
      </w:pPr>
      <w:r>
        <w:rPr>
          <w:rFonts w:hint="eastAsia" w:hAnsi="宋体"/>
          <w:color w:val="000000" w:themeColor="text1"/>
          <w:sz w:val="24"/>
          <w:szCs w:val="24"/>
        </w:rPr>
        <w:t>1</w:t>
      </w:r>
      <w:r>
        <w:rPr>
          <w:rFonts w:hint="eastAsia" w:hAnsi="宋体"/>
          <w:color w:val="000000" w:themeColor="text1"/>
          <w:sz w:val="24"/>
          <w:szCs w:val="24"/>
          <w:lang w:eastAsia="zh-CN"/>
        </w:rPr>
        <w:t>、</w:t>
      </w:r>
      <w:r>
        <w:rPr>
          <w:rFonts w:hint="eastAsia" w:hAnsi="宋体"/>
          <w:color w:val="000000" w:themeColor="text1"/>
          <w:sz w:val="24"/>
          <w:szCs w:val="24"/>
        </w:rPr>
        <w:t>合同份数</w:t>
      </w:r>
      <w:r>
        <w:rPr>
          <w:rFonts w:hint="eastAsia" w:hAnsi="宋体"/>
          <w:color w:val="000000" w:themeColor="text1"/>
          <w:sz w:val="24"/>
          <w:szCs w:val="24"/>
          <w:highlight w:val="none"/>
        </w:rPr>
        <w:t>：本合同一式</w:t>
      </w:r>
      <w:r>
        <w:rPr>
          <w:rFonts w:hint="eastAsia" w:hAnsi="宋体"/>
          <w:color w:val="000000" w:themeColor="text1"/>
          <w:sz w:val="24"/>
          <w:szCs w:val="24"/>
          <w:highlight w:val="none"/>
          <w:lang w:val="en-US" w:eastAsia="zh-CN"/>
        </w:rPr>
        <w:t>陆</w:t>
      </w:r>
      <w:r>
        <w:rPr>
          <w:rFonts w:hint="eastAsia" w:hAnsi="宋体"/>
          <w:color w:val="000000" w:themeColor="text1"/>
          <w:sz w:val="24"/>
          <w:szCs w:val="24"/>
          <w:highlight w:val="none"/>
        </w:rPr>
        <w:t>份</w:t>
      </w:r>
      <w:bookmarkStart w:id="105" w:name="_GoBack"/>
      <w:bookmarkEnd w:id="105"/>
      <w:r>
        <w:rPr>
          <w:rFonts w:hint="eastAsia" w:hAnsi="宋体"/>
          <w:color w:val="000000" w:themeColor="text1"/>
          <w:sz w:val="24"/>
          <w:szCs w:val="24"/>
          <w:highlight w:val="none"/>
        </w:rPr>
        <w:t>，采购单位、成交供应商各</w:t>
      </w:r>
      <w:r>
        <w:rPr>
          <w:rFonts w:hint="eastAsia" w:hAnsi="宋体"/>
          <w:color w:val="000000" w:themeColor="text1"/>
          <w:sz w:val="24"/>
          <w:szCs w:val="24"/>
          <w:highlight w:val="none"/>
          <w:lang w:val="en-US" w:eastAsia="zh-CN"/>
        </w:rPr>
        <w:t>叁</w:t>
      </w:r>
      <w:r>
        <w:rPr>
          <w:rFonts w:hint="eastAsia" w:hAnsi="宋体"/>
          <w:color w:val="000000" w:themeColor="text1"/>
          <w:sz w:val="24"/>
          <w:szCs w:val="24"/>
          <w:highlight w:val="none"/>
        </w:rPr>
        <w:t>份。</w:t>
      </w:r>
    </w:p>
    <w:p w14:paraId="6706EA36">
      <w:pPr>
        <w:pStyle w:val="27"/>
        <w:spacing w:line="440" w:lineRule="exact"/>
        <w:ind w:firstLine="480" w:firstLineChars="200"/>
        <w:rPr>
          <w:rFonts w:hAnsi="宋体"/>
          <w:color w:val="000000" w:themeColor="text1"/>
          <w:sz w:val="24"/>
          <w:szCs w:val="24"/>
        </w:rPr>
      </w:pPr>
      <w:r>
        <w:rPr>
          <w:rFonts w:hint="eastAsia" w:hAnsi="宋体"/>
          <w:color w:val="000000" w:themeColor="text1"/>
          <w:sz w:val="24"/>
          <w:szCs w:val="24"/>
        </w:rPr>
        <w:t>2</w:t>
      </w:r>
      <w:r>
        <w:rPr>
          <w:rFonts w:hint="eastAsia" w:hAnsi="宋体"/>
          <w:color w:val="000000" w:themeColor="text1"/>
          <w:sz w:val="24"/>
          <w:szCs w:val="24"/>
          <w:lang w:eastAsia="zh-CN"/>
        </w:rPr>
        <w:t>、</w:t>
      </w:r>
      <w:r>
        <w:rPr>
          <w:rFonts w:hint="eastAsia" w:hAnsi="宋体"/>
          <w:color w:val="000000" w:themeColor="text1"/>
          <w:sz w:val="24"/>
          <w:szCs w:val="24"/>
        </w:rPr>
        <w:t>本合同文件使用中文书写、解释和说明。</w:t>
      </w:r>
    </w:p>
    <w:p w14:paraId="58E5E806">
      <w:pPr>
        <w:pStyle w:val="27"/>
        <w:spacing w:line="440" w:lineRule="exact"/>
        <w:ind w:firstLine="480" w:firstLineChars="200"/>
        <w:rPr>
          <w:rFonts w:hAnsi="宋体"/>
          <w:color w:val="000000" w:themeColor="text1"/>
          <w:sz w:val="24"/>
          <w:szCs w:val="24"/>
        </w:rPr>
      </w:pPr>
      <w:r>
        <w:rPr>
          <w:rFonts w:hint="eastAsia" w:hAnsi="宋体"/>
          <w:color w:val="000000" w:themeColor="text1"/>
          <w:sz w:val="24"/>
          <w:szCs w:val="24"/>
        </w:rPr>
        <w:t>3</w:t>
      </w:r>
      <w:r>
        <w:rPr>
          <w:rFonts w:hint="eastAsia" w:hAnsi="宋体"/>
          <w:color w:val="000000" w:themeColor="text1"/>
          <w:sz w:val="24"/>
          <w:szCs w:val="24"/>
          <w:lang w:eastAsia="zh-CN"/>
        </w:rPr>
        <w:t>、</w:t>
      </w:r>
      <w:r>
        <w:rPr>
          <w:rFonts w:hint="eastAsia" w:hAnsi="宋体"/>
          <w:color w:val="000000" w:themeColor="text1"/>
          <w:sz w:val="24"/>
          <w:szCs w:val="24"/>
        </w:rPr>
        <w:t>本合同履行过程中产生的纪要、协议以及成交通知书、采购响应文件和采购文件为本合同的附件，与合同具有同等效力。</w:t>
      </w:r>
    </w:p>
    <w:p w14:paraId="34C6ED67">
      <w:pPr>
        <w:pStyle w:val="27"/>
        <w:spacing w:line="440" w:lineRule="exact"/>
        <w:ind w:firstLine="480" w:firstLineChars="200"/>
        <w:rPr>
          <w:rFonts w:hAnsi="宋体"/>
          <w:color w:val="000000" w:themeColor="text1"/>
          <w:sz w:val="24"/>
          <w:szCs w:val="24"/>
        </w:rPr>
      </w:pPr>
      <w:r>
        <w:rPr>
          <w:rFonts w:hint="eastAsia" w:hAnsi="宋体"/>
          <w:color w:val="000000" w:themeColor="text1"/>
          <w:sz w:val="24"/>
          <w:szCs w:val="24"/>
        </w:rPr>
        <w:t>4</w:t>
      </w:r>
      <w:r>
        <w:rPr>
          <w:rFonts w:hint="eastAsia" w:hAnsi="宋体"/>
          <w:color w:val="000000" w:themeColor="text1"/>
          <w:sz w:val="24"/>
          <w:szCs w:val="24"/>
          <w:lang w:eastAsia="zh-CN"/>
        </w:rPr>
        <w:t>、</w:t>
      </w:r>
      <w:r>
        <w:rPr>
          <w:rFonts w:hint="eastAsia" w:hAnsi="宋体"/>
          <w:color w:val="000000" w:themeColor="text1"/>
          <w:sz w:val="24"/>
          <w:szCs w:val="24"/>
        </w:rPr>
        <w:t>未尽事宜</w:t>
      </w:r>
    </w:p>
    <w:p w14:paraId="48B18F30">
      <w:pPr>
        <w:pStyle w:val="27"/>
        <w:spacing w:line="440" w:lineRule="exact"/>
        <w:ind w:firstLine="480" w:firstLineChars="200"/>
        <w:rPr>
          <w:rFonts w:hAnsi="宋体"/>
          <w:color w:val="000000" w:themeColor="text1"/>
          <w:sz w:val="24"/>
          <w:szCs w:val="24"/>
        </w:rPr>
      </w:pPr>
      <w:r>
        <w:rPr>
          <w:rFonts w:hint="eastAsia" w:hAnsi="宋体"/>
          <w:color w:val="000000" w:themeColor="text1"/>
          <w:sz w:val="24"/>
          <w:szCs w:val="24"/>
        </w:rPr>
        <w:t>本合同未尽事宜应按照《中华人民共和国民法典》、《中华人民共和国产品质量法》、《中华人民共和国政府采购法》及其相关配套法律法规之规定解释。</w:t>
      </w:r>
    </w:p>
    <w:p w14:paraId="38E6A3F8">
      <w:pPr>
        <w:pStyle w:val="21"/>
        <w:spacing w:line="440" w:lineRule="exact"/>
        <w:ind w:firstLine="480" w:firstLineChars="200"/>
        <w:rPr>
          <w:rFonts w:ascii="宋体" w:hAnsi="宋体" w:cs="宋体"/>
          <w:color w:val="000000" w:themeColor="text1"/>
          <w:kern w:val="0"/>
        </w:rPr>
      </w:pPr>
    </w:p>
    <w:p w14:paraId="72133604">
      <w:pPr>
        <w:pStyle w:val="21"/>
        <w:spacing w:line="520" w:lineRule="exact"/>
        <w:ind w:firstLine="480" w:firstLineChars="200"/>
        <w:rPr>
          <w:rFonts w:ascii="宋体" w:hAnsi="宋体" w:cs="宋体"/>
          <w:color w:val="000000" w:themeColor="text1"/>
          <w:kern w:val="0"/>
        </w:rPr>
      </w:pPr>
    </w:p>
    <w:p w14:paraId="6E76276E">
      <w:pPr>
        <w:snapToGrid w:val="0"/>
        <w:spacing w:line="52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甲方：                                      乙方：</w:t>
      </w:r>
    </w:p>
    <w:p w14:paraId="76338513">
      <w:pPr>
        <w:snapToGrid w:val="0"/>
        <w:spacing w:line="52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法定代表人（授权代表）：                    法定代表人（授权代表）：</w:t>
      </w:r>
    </w:p>
    <w:p w14:paraId="274477AC">
      <w:pPr>
        <w:snapToGrid w:val="0"/>
        <w:spacing w:line="520" w:lineRule="exact"/>
        <w:ind w:firstLine="484" w:firstLineChars="202"/>
        <w:rPr>
          <w:rFonts w:ascii="宋体" w:hAnsi="宋体" w:cs="宋体"/>
          <w:color w:val="000000" w:themeColor="text1"/>
          <w:sz w:val="24"/>
          <w:szCs w:val="24"/>
        </w:rPr>
      </w:pPr>
      <w:r>
        <w:rPr>
          <w:rFonts w:hint="eastAsia" w:ascii="宋体" w:hAnsi="宋体" w:cs="宋体"/>
          <w:color w:val="000000" w:themeColor="text1"/>
          <w:sz w:val="24"/>
          <w:szCs w:val="24"/>
        </w:rPr>
        <w:t>签约日期：                                  签约日期：</w:t>
      </w:r>
    </w:p>
    <w:p w14:paraId="7C74210B">
      <w:pPr>
        <w:pStyle w:val="26"/>
        <w:tabs>
          <w:tab w:val="left" w:pos="1050"/>
          <w:tab w:val="right" w:leader="dot" w:pos="9402"/>
        </w:tabs>
        <w:spacing w:line="520" w:lineRule="exact"/>
        <w:ind w:left="0"/>
        <w:jc w:val="center"/>
        <w:outlineLvl w:val="0"/>
        <w:rPr>
          <w:rFonts w:ascii="宋体" w:hAnsi="宋体" w:cs="宋体"/>
          <w:b/>
          <w:bCs/>
          <w:i w:val="0"/>
          <w:iCs w:val="0"/>
          <w:color w:val="000000" w:themeColor="text1"/>
          <w:w w:val="80"/>
          <w:sz w:val="44"/>
          <w:szCs w:val="44"/>
        </w:rPr>
      </w:pPr>
    </w:p>
    <w:p w14:paraId="4E4E7955">
      <w:pPr>
        <w:pStyle w:val="26"/>
        <w:tabs>
          <w:tab w:val="left" w:pos="1050"/>
          <w:tab w:val="right" w:leader="dot" w:pos="9402"/>
        </w:tabs>
        <w:spacing w:line="520" w:lineRule="exact"/>
        <w:ind w:left="0"/>
        <w:jc w:val="center"/>
        <w:outlineLvl w:val="0"/>
        <w:rPr>
          <w:rFonts w:ascii="宋体" w:hAnsi="宋体" w:cs="宋体"/>
          <w:b/>
          <w:bCs/>
          <w:i w:val="0"/>
          <w:iCs w:val="0"/>
          <w:color w:val="000000" w:themeColor="text1"/>
          <w:w w:val="80"/>
          <w:sz w:val="44"/>
          <w:szCs w:val="44"/>
        </w:rPr>
      </w:pPr>
    </w:p>
    <w:p w14:paraId="3F7D677D">
      <w:pPr>
        <w:rPr>
          <w:color w:val="000000" w:themeColor="text1"/>
        </w:rPr>
      </w:pPr>
    </w:p>
    <w:p w14:paraId="64AF1F04">
      <w:pPr>
        <w:pStyle w:val="2"/>
        <w:ind w:firstLine="480"/>
        <w:rPr>
          <w:color w:val="000000" w:themeColor="text1"/>
        </w:rPr>
      </w:pPr>
    </w:p>
    <w:p w14:paraId="6126B150">
      <w:pPr>
        <w:pStyle w:val="26"/>
        <w:tabs>
          <w:tab w:val="left" w:pos="1050"/>
          <w:tab w:val="right" w:leader="dot" w:pos="9402"/>
        </w:tabs>
        <w:spacing w:line="520" w:lineRule="exact"/>
        <w:ind w:left="0"/>
        <w:jc w:val="center"/>
        <w:outlineLvl w:val="0"/>
        <w:rPr>
          <w:rFonts w:ascii="宋体"/>
          <w:b/>
          <w:bCs/>
          <w:i w:val="0"/>
          <w:iCs w:val="0"/>
          <w:color w:val="000000" w:themeColor="text1"/>
          <w:w w:val="80"/>
          <w:sz w:val="44"/>
          <w:szCs w:val="44"/>
        </w:rPr>
      </w:pPr>
      <w:r>
        <w:rPr>
          <w:rFonts w:hint="eastAsia" w:ascii="宋体" w:hAnsi="宋体" w:cs="宋体"/>
          <w:b/>
          <w:bCs/>
          <w:i w:val="0"/>
          <w:iCs w:val="0"/>
          <w:color w:val="000000" w:themeColor="text1"/>
          <w:w w:val="80"/>
          <w:sz w:val="44"/>
          <w:szCs w:val="44"/>
        </w:rPr>
        <w:t>第六章  合同授予</w:t>
      </w:r>
    </w:p>
    <w:p w14:paraId="0219DB5B">
      <w:pPr>
        <w:snapToGrid w:val="0"/>
        <w:spacing w:line="480" w:lineRule="exact"/>
        <w:ind w:firstLine="494" w:firstLineChars="206"/>
        <w:outlineLvl w:val="1"/>
        <w:rPr>
          <w:rFonts w:ascii="宋体" w:hAnsi="宋体"/>
          <w:color w:val="000000" w:themeColor="text1"/>
          <w:sz w:val="24"/>
        </w:rPr>
      </w:pPr>
      <w:r>
        <w:rPr>
          <w:rFonts w:hint="eastAsia" w:ascii="宋体" w:hAnsi="宋体" w:cs="宋体"/>
          <w:color w:val="000000" w:themeColor="text1"/>
          <w:sz w:val="24"/>
          <w:szCs w:val="24"/>
        </w:rPr>
        <w:t>一、</w:t>
      </w:r>
      <w:r>
        <w:rPr>
          <w:rFonts w:hint="eastAsia" w:ascii="宋体" w:hAnsi="宋体"/>
          <w:bCs/>
          <w:color w:val="000000" w:themeColor="text1"/>
          <w:sz w:val="24"/>
          <w:szCs w:val="24"/>
        </w:rPr>
        <w:t>自成交通知书发出之日起15日内，成交供应商凭“成交通知书”及已经汇至采购人账上的“履约保证金”凭证与采购人签订合同</w:t>
      </w:r>
      <w:r>
        <w:rPr>
          <w:rFonts w:hint="eastAsia" w:ascii="宋体" w:hAnsi="宋体"/>
          <w:bCs/>
          <w:color w:val="000000" w:themeColor="text1"/>
          <w:sz w:val="24"/>
          <w:szCs w:val="24"/>
          <w:highlight w:val="none"/>
        </w:rPr>
        <w:t>。</w:t>
      </w:r>
      <w:r>
        <w:rPr>
          <w:rFonts w:hint="eastAsia" w:ascii="宋体" w:hAnsi="宋体"/>
          <w:color w:val="000000" w:themeColor="text1"/>
          <w:sz w:val="24"/>
          <w:highlight w:val="none"/>
        </w:rPr>
        <w:t>本合同一式</w:t>
      </w:r>
      <w:r>
        <w:rPr>
          <w:rFonts w:hint="eastAsia" w:ascii="宋体" w:hAnsi="宋体"/>
          <w:color w:val="000000" w:themeColor="text1"/>
          <w:sz w:val="24"/>
          <w:highlight w:val="none"/>
          <w:lang w:val="en-US" w:eastAsia="zh-CN"/>
        </w:rPr>
        <w:t>陆</w:t>
      </w:r>
      <w:r>
        <w:rPr>
          <w:rFonts w:hint="eastAsia" w:ascii="宋体" w:hAnsi="宋体"/>
          <w:color w:val="000000" w:themeColor="text1"/>
          <w:sz w:val="24"/>
          <w:highlight w:val="none"/>
        </w:rPr>
        <w:t>份，采购单位、成交供应商各</w:t>
      </w:r>
      <w:r>
        <w:rPr>
          <w:rFonts w:hint="eastAsia" w:ascii="宋体" w:hAnsi="宋体"/>
          <w:color w:val="000000" w:themeColor="text1"/>
          <w:sz w:val="24"/>
          <w:highlight w:val="none"/>
          <w:lang w:val="en-US" w:eastAsia="zh-CN"/>
        </w:rPr>
        <w:t>叁</w:t>
      </w:r>
      <w:r>
        <w:rPr>
          <w:rFonts w:hint="eastAsia" w:ascii="宋体" w:hAnsi="宋体"/>
          <w:color w:val="000000" w:themeColor="text1"/>
          <w:sz w:val="24"/>
          <w:highlight w:val="none"/>
        </w:rPr>
        <w:t>份。</w:t>
      </w:r>
      <w:r>
        <w:rPr>
          <w:rFonts w:ascii="宋体" w:hAnsi="宋体"/>
          <w:color w:val="000000" w:themeColor="text1"/>
          <w:sz w:val="24"/>
        </w:rPr>
        <w:t>采购人不得向</w:t>
      </w:r>
      <w:r>
        <w:rPr>
          <w:rFonts w:hint="eastAsia" w:ascii="宋体" w:hAnsi="宋体"/>
          <w:color w:val="000000" w:themeColor="text1"/>
          <w:sz w:val="24"/>
          <w:lang w:eastAsia="zh-CN"/>
        </w:rPr>
        <w:t>成交</w:t>
      </w:r>
      <w:r>
        <w:rPr>
          <w:rFonts w:ascii="宋体" w:hAnsi="宋体"/>
          <w:color w:val="000000" w:themeColor="text1"/>
          <w:sz w:val="24"/>
        </w:rPr>
        <w:t>供应商提出不合理的要求作为签订合同的条件，不得与</w:t>
      </w:r>
      <w:r>
        <w:rPr>
          <w:rFonts w:hint="eastAsia" w:ascii="宋体" w:hAnsi="宋体"/>
          <w:color w:val="000000" w:themeColor="text1"/>
          <w:sz w:val="24"/>
          <w:lang w:eastAsia="zh-CN"/>
        </w:rPr>
        <w:t>成交</w:t>
      </w:r>
      <w:r>
        <w:rPr>
          <w:rFonts w:ascii="宋体" w:hAnsi="宋体"/>
          <w:color w:val="000000" w:themeColor="text1"/>
          <w:sz w:val="24"/>
        </w:rPr>
        <w:t>供应商私下订立背离采购文件实质性内容的协议。</w:t>
      </w:r>
    </w:p>
    <w:p w14:paraId="4D31B49A">
      <w:pPr>
        <w:snapToGrid w:val="0"/>
        <w:spacing w:line="480" w:lineRule="exact"/>
        <w:ind w:firstLine="494" w:firstLineChars="206"/>
        <w:outlineLvl w:val="1"/>
        <w:rPr>
          <w:rFonts w:ascii="宋体"/>
          <w:color w:val="000000" w:themeColor="text1"/>
          <w:sz w:val="24"/>
          <w:szCs w:val="24"/>
        </w:rPr>
      </w:pPr>
      <w:r>
        <w:rPr>
          <w:rFonts w:hint="eastAsia" w:ascii="宋体" w:hAnsi="宋体" w:cs="宋体"/>
          <w:color w:val="000000" w:themeColor="text1"/>
          <w:sz w:val="24"/>
          <w:szCs w:val="24"/>
        </w:rPr>
        <w:t>二、采购单位按合同约定积极配合成交人履约，成交人履约到位后，请以书面形式向采购单位提出验收申请，采购单位接到申请后原则上在</w:t>
      </w:r>
      <w:r>
        <w:rPr>
          <w:rFonts w:ascii="宋体" w:hAnsi="宋体" w:cs="宋体"/>
          <w:color w:val="000000" w:themeColor="text1"/>
          <w:sz w:val="24"/>
          <w:szCs w:val="24"/>
        </w:rPr>
        <w:t>5</w:t>
      </w:r>
      <w:r>
        <w:rPr>
          <w:rFonts w:hint="eastAsia" w:ascii="宋体" w:hAnsi="宋体" w:cs="宋体"/>
          <w:color w:val="000000" w:themeColor="text1"/>
          <w:sz w:val="24"/>
          <w:szCs w:val="24"/>
        </w:rPr>
        <w:t>个工作日内及时组织相关专业技术人员，必要时邀请质检等部门共同参与验收，并出具验收报告，验收合格的原则上</w:t>
      </w:r>
      <w:r>
        <w:rPr>
          <w:rFonts w:ascii="宋体" w:hAnsi="宋体" w:cs="宋体"/>
          <w:color w:val="000000" w:themeColor="text1"/>
          <w:sz w:val="24"/>
          <w:szCs w:val="24"/>
        </w:rPr>
        <w:t>5</w:t>
      </w:r>
      <w:r>
        <w:rPr>
          <w:rFonts w:hint="eastAsia" w:ascii="宋体" w:hAnsi="宋体" w:cs="宋体"/>
          <w:color w:val="000000" w:themeColor="text1"/>
          <w:sz w:val="24"/>
          <w:szCs w:val="24"/>
        </w:rPr>
        <w:t>个工作日内支付相应款项。</w:t>
      </w:r>
    </w:p>
    <w:p w14:paraId="661DBA1D">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E1E5976">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36490E67">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五、不响应付款方式的，视同响应文件无效，按无效响应文件处理。</w:t>
      </w:r>
    </w:p>
    <w:p w14:paraId="5F78B6EB">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六、付款方式详见磋商文件第五章。</w:t>
      </w:r>
    </w:p>
    <w:p w14:paraId="188D73DF">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七、以上项目款的支付不计息。</w:t>
      </w:r>
    </w:p>
    <w:p w14:paraId="0F333FB9">
      <w:pPr>
        <w:snapToGrid w:val="0"/>
        <w:spacing w:line="480" w:lineRule="exact"/>
        <w:ind w:firstLine="573"/>
        <w:jc w:val="center"/>
        <w:rPr>
          <w:rFonts w:ascii="宋体"/>
          <w:color w:val="000000" w:themeColor="text1"/>
          <w:sz w:val="24"/>
          <w:szCs w:val="24"/>
        </w:rPr>
      </w:pPr>
      <w:r>
        <w:rPr>
          <w:rFonts w:ascii="宋体"/>
          <w:b/>
          <w:bCs/>
          <w:i/>
          <w:iCs/>
          <w:color w:val="000000" w:themeColor="text1"/>
          <w:kern w:val="44"/>
          <w:sz w:val="44"/>
          <w:szCs w:val="44"/>
        </w:rPr>
        <w:br w:type="page"/>
      </w:r>
      <w:r>
        <w:rPr>
          <w:rFonts w:hint="eastAsia" w:ascii="宋体" w:hAnsi="宋体" w:cs="宋体"/>
          <w:b/>
          <w:bCs/>
          <w:color w:val="000000" w:themeColor="text1"/>
          <w:w w:val="80"/>
          <w:kern w:val="44"/>
          <w:sz w:val="44"/>
          <w:szCs w:val="44"/>
        </w:rPr>
        <w:t>第七章  质疑提出和处理</w:t>
      </w:r>
    </w:p>
    <w:p w14:paraId="74BE3A73">
      <w:pPr>
        <w:adjustRightInd w:val="0"/>
        <w:snapToGrid w:val="0"/>
        <w:spacing w:line="500" w:lineRule="exact"/>
        <w:ind w:firstLine="480" w:firstLineChars="200"/>
        <w:contextualSpacing/>
        <w:rPr>
          <w:rFonts w:ascii="宋体" w:hAnsi="宋体"/>
          <w:color w:val="000000" w:themeColor="text1"/>
          <w:sz w:val="24"/>
        </w:rPr>
      </w:pPr>
      <w:bookmarkStart w:id="101" w:name="_Toc363573860"/>
      <w:r>
        <w:rPr>
          <w:rFonts w:hint="eastAsia" w:ascii="宋体" w:hAnsi="宋体"/>
          <w:color w:val="000000" w:themeColor="text1"/>
          <w:sz w:val="24"/>
        </w:rPr>
        <w:t>格式请在崇川区人民政府网</w:t>
      </w:r>
      <w:r>
        <w:rPr>
          <w:rFonts w:ascii="宋体" w:hAnsi="宋体"/>
          <w:color w:val="000000" w:themeColor="text1"/>
          <w:sz w:val="24"/>
        </w:rPr>
        <w:t>http://www.chongchuan.gov.cn/ “</w:t>
      </w:r>
      <w:r>
        <w:rPr>
          <w:rFonts w:hint="eastAsia" w:ascii="宋体" w:hAnsi="宋体"/>
          <w:color w:val="000000" w:themeColor="text1"/>
          <w:sz w:val="24"/>
        </w:rPr>
        <w:t>政府采购与工程招标--</w:t>
      </w:r>
      <w:r>
        <w:rPr>
          <w:rFonts w:ascii="宋体" w:hAnsi="宋体"/>
          <w:color w:val="000000" w:themeColor="text1"/>
          <w:sz w:val="24"/>
        </w:rPr>
        <w:t>下载中心--质疑函</w:t>
      </w:r>
      <w:r>
        <w:rPr>
          <w:rFonts w:hint="eastAsia" w:ascii="宋体" w:hAnsi="宋体"/>
          <w:color w:val="000000" w:themeColor="text1"/>
          <w:sz w:val="24"/>
        </w:rPr>
        <w:t>”下载。</w:t>
      </w:r>
    </w:p>
    <w:p w14:paraId="6CA0FD57">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一、质疑的提出</w:t>
      </w:r>
    </w:p>
    <w:p w14:paraId="141AB039">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1、质疑人必须是直接参加本次投标活动的当事人。</w:t>
      </w:r>
    </w:p>
    <w:p w14:paraId="41A01342">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2、下载招标文件的供应商应根据第二章“投标供应商须知”中第一条第4款的约定提出；响应文件接收截止后，供应商未进行投标登记的，不能就响应文件接收截止后的招投标过程、</w:t>
      </w:r>
      <w:r>
        <w:rPr>
          <w:rFonts w:hint="eastAsia" w:ascii="宋体" w:hAnsi="宋体"/>
          <w:color w:val="000000" w:themeColor="text1"/>
          <w:sz w:val="24"/>
          <w:lang w:eastAsia="zh-CN"/>
        </w:rPr>
        <w:t>成交</w:t>
      </w:r>
      <w:r>
        <w:rPr>
          <w:rFonts w:ascii="宋体" w:hAnsi="宋体"/>
          <w:color w:val="000000" w:themeColor="text1"/>
          <w:sz w:val="24"/>
        </w:rPr>
        <w:t>结果提出质疑；在投标过程中，凡主持人或评标小组明确提出须由供应商确认的事项，供应商当场无异议的，事后不得提出质疑。</w:t>
      </w:r>
    </w:p>
    <w:p w14:paraId="2ECE50AB">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26352C7F">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7EA6B9A">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对不能提供相关佐证材料的、涉及商业秘密的、非书面形式的、非送达的、匿名的《质疑函》将不予受理。</w:t>
      </w:r>
    </w:p>
    <w:p w14:paraId="30CE3585">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相关佐证材料要具备客观性、关联性、合法性，无法查实的（如宣传册、媒体报道、猜测、推理等）不能作为佐证材料。</w:t>
      </w:r>
    </w:p>
    <w:p w14:paraId="37A2DFBE">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采购人或代理机构不负责搜集相关佐证材料等工作。</w:t>
      </w:r>
    </w:p>
    <w:p w14:paraId="0D80D928">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二、《质疑函》的受理和回复</w:t>
      </w:r>
    </w:p>
    <w:p w14:paraId="096E7D1D">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1、《质疑函》须由质疑人的法定代表人</w:t>
      </w:r>
      <w:r>
        <w:rPr>
          <w:rFonts w:hint="eastAsia" w:ascii="宋体" w:hAnsi="宋体"/>
          <w:color w:val="000000" w:themeColor="text1"/>
          <w:sz w:val="24"/>
        </w:rPr>
        <w:t>（</w:t>
      </w:r>
      <w:r>
        <w:rPr>
          <w:rFonts w:ascii="宋体" w:hAnsi="宋体"/>
          <w:color w:val="000000" w:themeColor="text1"/>
          <w:sz w:val="24"/>
        </w:rPr>
        <w:t>或</w:t>
      </w:r>
      <w:r>
        <w:rPr>
          <w:rFonts w:hint="eastAsia" w:ascii="宋体" w:hAnsi="宋体"/>
          <w:color w:val="000000" w:themeColor="text1"/>
          <w:sz w:val="24"/>
        </w:rPr>
        <w:t>负责人）</w:t>
      </w:r>
      <w:r>
        <w:rPr>
          <w:rFonts w:ascii="宋体" w:hAnsi="宋体"/>
          <w:color w:val="000000" w:themeColor="text1"/>
          <w:sz w:val="24"/>
        </w:rPr>
        <w:t>或参加本次投标授权人送达采购人和代理机构。</w:t>
      </w:r>
    </w:p>
    <w:p w14:paraId="4F2D7507">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0DAC14FB">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3、对不符合提出质疑要求的，出具《质疑退回通知书》并提出相关补充材料要求，质疑人未在规定的时间内提供补充佐证材料的，视同放弃质疑。</w:t>
      </w:r>
    </w:p>
    <w:p w14:paraId="422FDBF7">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4、采购单位、代理机构负责将质疑人提出的质疑相关材料提供给相关专家或评标小组审核，并将审核意见回复质疑人。</w:t>
      </w:r>
    </w:p>
    <w:p w14:paraId="4B4B7CDC">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2C0801D">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5、因质疑情况复杂，组织论证或审查时间较长的，采购单位、代理机构以书面形式通知质疑人，可适当延长质疑回复处理时间。</w:t>
      </w:r>
    </w:p>
    <w:p w14:paraId="3BB7B3B4">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三、质疑处理</w:t>
      </w:r>
    </w:p>
    <w:p w14:paraId="69A0FA0C">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1、质疑成立的处理。采购单位或代理机构终止采购，并建议有关部门给相关当事人予以处理。</w:t>
      </w:r>
    </w:p>
    <w:p w14:paraId="10193157">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2、质疑不成立的处理。</w:t>
      </w:r>
    </w:p>
    <w:p w14:paraId="6FE6012D">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1）质疑人书面《申请撤回质疑函》的，不作违约处理。</w:t>
      </w:r>
    </w:p>
    <w:p w14:paraId="5B82F9B7">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2）质疑人在规定的时间内不配合进行质疑调查处理的，按自动撤回《质疑函》处理。</w:t>
      </w:r>
    </w:p>
    <w:p w14:paraId="708AA712">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3）质疑人不按《质疑函》格式就提出质疑的，作违约处理。同时，视情列入不良供应商名单。</w:t>
      </w:r>
    </w:p>
    <w:p w14:paraId="21D4DDCD">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4）质疑人虽提供了相关佐证材料，但不能证明其质疑成立的，采购单位或代理机构请质疑人补充相关佐证材料，仍不能证明其质疑成立的，作违约处理。并将其列入不良供应商名单。</w:t>
      </w:r>
    </w:p>
    <w:p w14:paraId="00E84A66">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5）质疑人不能提供相关佐证材料的，采购单位、代理机构已指出，质疑人仍然坚持提出质疑的，作违约处理。同时，列入不良供应商名单。</w:t>
      </w:r>
    </w:p>
    <w:p w14:paraId="35568BB6">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2B9338E2">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7）质疑人承担使用虚假材料或恶意方式质疑的法律责任。</w:t>
      </w:r>
    </w:p>
    <w:p w14:paraId="1FF2D80D">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四、无佐证材料的举报作违约处理。供应商不得进行不提供相关佐证材料（含无法查实的如宣传册、媒体报道、猜测、推理等）向有关部门的举报，否则作违约处理。同时对其在1至3年内禁入由采购人组织的政府采购活动的违约处理。</w:t>
      </w:r>
    </w:p>
    <w:p w14:paraId="4DFB9BC9">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五、投诉不成立的作违约处理。供应商进行质疑后，采购人回复质疑不成立，供应商仍进行投诉的，并最终投诉不成立的，作违约处理。采购人有权对其在1至3年内禁入由采购人组织的政府采购活动的违约处理。</w:t>
      </w:r>
    </w:p>
    <w:p w14:paraId="293ED95A">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六、《质疑函》、《质疑回复函》，质疑、举报、投诉不成立的等相关情况，视情在南通政府采购网、省、国家级等相关媒体予以披露。并建议相关政府采购机构对该供应商同步实施1至3年内禁入。</w:t>
      </w:r>
    </w:p>
    <w:p w14:paraId="4A284D40">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七、质疑供应商对采购人或代理机构的答复不满意或者采购人或代理机构未在规定的时间内作出答复的，可以在答复期满后15个工作日内向</w:t>
      </w:r>
      <w:r>
        <w:rPr>
          <w:rFonts w:hint="eastAsia" w:ascii="宋体" w:hAnsi="宋体"/>
          <w:color w:val="000000" w:themeColor="text1"/>
          <w:sz w:val="24"/>
        </w:rPr>
        <w:t>崇川</w:t>
      </w:r>
      <w:r>
        <w:rPr>
          <w:rFonts w:ascii="宋体" w:hAnsi="宋体"/>
          <w:color w:val="000000" w:themeColor="text1"/>
          <w:sz w:val="24"/>
        </w:rPr>
        <w:t>区政府采购监督管理部门投诉。</w:t>
      </w:r>
    </w:p>
    <w:p w14:paraId="1EB14EA0">
      <w:pPr>
        <w:pStyle w:val="5"/>
        <w:keepNext w:val="0"/>
        <w:keepLines w:val="0"/>
        <w:numPr>
          <w:ilvl w:val="0"/>
          <w:numId w:val="0"/>
        </w:numPr>
        <w:snapToGrid w:val="0"/>
        <w:spacing w:before="0" w:afterLines="50" w:line="520" w:lineRule="exact"/>
        <w:ind w:left="420"/>
        <w:jc w:val="center"/>
        <w:rPr>
          <w:rFonts w:ascii="宋体" w:cs="Times New Roman"/>
          <w:color w:val="000000" w:themeColor="text1"/>
        </w:rPr>
      </w:pPr>
      <w:r>
        <w:rPr>
          <w:rFonts w:ascii="宋体" w:hAnsi="宋体" w:cs="宋体"/>
          <w:bCs w:val="0"/>
          <w:color w:val="000000" w:themeColor="text1"/>
          <w:w w:val="80"/>
          <w:sz w:val="24"/>
          <w:szCs w:val="21"/>
        </w:rPr>
        <w:br w:type="page"/>
      </w:r>
      <w:r>
        <w:rPr>
          <w:rFonts w:hint="eastAsia" w:ascii="宋体" w:hAnsi="宋体" w:cs="宋体"/>
          <w:color w:val="000000" w:themeColor="text1"/>
          <w:w w:val="80"/>
        </w:rPr>
        <w:t>第八章  响应文件组成及格式</w:t>
      </w:r>
      <w:bookmarkEnd w:id="101"/>
    </w:p>
    <w:p w14:paraId="433FAB76">
      <w:pPr>
        <w:widowControl/>
        <w:snapToGrid w:val="0"/>
        <w:spacing w:line="360" w:lineRule="auto"/>
        <w:ind w:firstLine="472" w:firstLineChars="196"/>
        <w:jc w:val="left"/>
        <w:rPr>
          <w:rFonts w:ascii="宋体"/>
          <w:b/>
          <w:bCs/>
          <w:color w:val="000000" w:themeColor="text1"/>
          <w:sz w:val="24"/>
          <w:szCs w:val="24"/>
        </w:rPr>
      </w:pPr>
      <w:r>
        <w:rPr>
          <w:rFonts w:hint="eastAsia" w:ascii="宋体" w:hAnsi="宋体" w:cs="宋体"/>
          <w:b/>
          <w:bCs/>
          <w:color w:val="000000" w:themeColor="text1"/>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14:paraId="56504EA1">
      <w:pPr>
        <w:widowControl/>
        <w:snapToGrid w:val="0"/>
        <w:spacing w:line="360" w:lineRule="auto"/>
        <w:ind w:firstLine="472" w:firstLineChars="196"/>
        <w:jc w:val="left"/>
        <w:rPr>
          <w:rFonts w:ascii="宋体"/>
          <w:b/>
          <w:bCs/>
          <w:color w:val="000000" w:themeColor="text1"/>
          <w:sz w:val="24"/>
          <w:szCs w:val="24"/>
        </w:rPr>
      </w:pPr>
      <w:r>
        <w:rPr>
          <w:rFonts w:hint="eastAsia" w:ascii="宋体" w:hAnsi="宋体" w:cs="宋体"/>
          <w:b/>
          <w:bCs/>
          <w:color w:val="000000" w:themeColor="text1"/>
          <w:sz w:val="24"/>
          <w:szCs w:val="24"/>
        </w:rPr>
        <w:t>一、资格审查文件</w:t>
      </w:r>
      <w:r>
        <w:rPr>
          <w:rFonts w:hint="eastAsia" w:ascii="宋体" w:hAnsi="宋体" w:cs="宋体"/>
          <w:b/>
          <w:bCs/>
          <w:color w:val="000000" w:themeColor="text1"/>
          <w:sz w:val="24"/>
          <w:szCs w:val="24"/>
          <w:lang w:val="zh-CN"/>
        </w:rPr>
        <w:t>（</w:t>
      </w:r>
      <w:r>
        <w:rPr>
          <w:rFonts w:hint="eastAsia" w:ascii="宋体" w:hAnsi="宋体" w:cs="宋体"/>
          <w:b/>
          <w:bCs/>
          <w:color w:val="000000" w:themeColor="text1"/>
          <w:sz w:val="24"/>
          <w:szCs w:val="24"/>
        </w:rPr>
        <w:t>单独密封</w:t>
      </w:r>
      <w:r>
        <w:rPr>
          <w:rFonts w:hint="eastAsia" w:ascii="宋体" w:hAnsi="宋体" w:cs="宋体"/>
          <w:b/>
          <w:bCs/>
          <w:color w:val="000000" w:themeColor="text1"/>
          <w:sz w:val="24"/>
          <w:szCs w:val="24"/>
          <w:lang w:val="zh-CN"/>
        </w:rPr>
        <w:t>）</w:t>
      </w:r>
    </w:p>
    <w:p w14:paraId="4324B1F8">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1、供应商应具备独立法人资格，供应商为企业单位的，需提供供应商有效的营业执照（副本）复印件、税务登记证（副本）复印件，或三证合一的营业执照（副本）复印件；供应商为事业单位的，则需提供事业单位法人证书复印件。</w:t>
      </w:r>
    </w:p>
    <w:p w14:paraId="7490F15F">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2、供应商须具有考古发掘资质证书。（提供有效的证书复印件并加盖公章）</w:t>
      </w:r>
    </w:p>
    <w:p w14:paraId="4607F3EC">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3、供应商法定代表人参加投标的，必须提供法定代表人身份证明及法定代表人本人身份证复印件；非法定代表人参加投标的，必须提供法定代表人签字或盖章的授权委托书及法定代表人、被授权人的两人身份证的复印件。（格式参见第八章）</w:t>
      </w:r>
    </w:p>
    <w:p w14:paraId="1ED00FD1">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4、供应商须提供参与本次项目政府采购活动前三年内，在经营活动中没有重大违法记录的书面《无重大违法记录声明函》。（格式参见第八章）</w:t>
      </w:r>
    </w:p>
    <w:p w14:paraId="3F504A0F">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5、供应商须提供资格文件声明函。（格式参见第八章）</w:t>
      </w:r>
    </w:p>
    <w:p w14:paraId="15B339DF">
      <w:pPr>
        <w:widowControl/>
        <w:snapToGrid w:val="0"/>
        <w:spacing w:line="360" w:lineRule="auto"/>
        <w:ind w:firstLine="470" w:firstLineChars="196"/>
        <w:jc w:val="left"/>
        <w:rPr>
          <w:rFonts w:ascii="宋体"/>
          <w:color w:val="000000" w:themeColor="text1"/>
          <w:sz w:val="24"/>
          <w:szCs w:val="24"/>
        </w:rPr>
      </w:pPr>
      <w:r>
        <w:rPr>
          <w:rFonts w:hint="eastAsia" w:ascii="宋体" w:hAnsi="宋体" w:cs="宋体"/>
          <w:color w:val="000000" w:themeColor="text1"/>
          <w:sz w:val="24"/>
          <w:szCs w:val="24"/>
        </w:rPr>
        <w:t>注：以上材料如为复印件均需加盖单位公章。</w:t>
      </w:r>
    </w:p>
    <w:p w14:paraId="644C0258">
      <w:pPr>
        <w:widowControl/>
        <w:snapToGrid w:val="0"/>
        <w:spacing w:line="360" w:lineRule="auto"/>
        <w:ind w:firstLine="472" w:firstLineChars="196"/>
        <w:jc w:val="left"/>
        <w:rPr>
          <w:rFonts w:ascii="宋体" w:hAnsi="宋体" w:cs="宋体"/>
          <w:b/>
          <w:bCs/>
          <w:color w:val="000000" w:themeColor="text1"/>
          <w:sz w:val="24"/>
          <w:szCs w:val="24"/>
        </w:rPr>
      </w:pPr>
      <w:r>
        <w:rPr>
          <w:rFonts w:hint="eastAsia" w:ascii="宋体" w:hAnsi="宋体" w:cs="宋体"/>
          <w:b/>
          <w:bCs/>
          <w:color w:val="000000" w:themeColor="text1"/>
          <w:sz w:val="24"/>
          <w:szCs w:val="24"/>
        </w:rPr>
        <w:t>二、技术响应文件（单独密封）：</w:t>
      </w:r>
    </w:p>
    <w:p w14:paraId="62725321">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1、竞争性磋商响应函（格式参见第八章）。</w:t>
      </w:r>
    </w:p>
    <w:p w14:paraId="52FCFD7D">
      <w:pPr>
        <w:pStyle w:val="2"/>
        <w:ind w:firstLine="480"/>
        <w:rPr>
          <w:color w:val="000000" w:themeColor="text1"/>
        </w:rPr>
      </w:pPr>
      <w:r>
        <w:rPr>
          <w:rFonts w:hint="eastAsia"/>
          <w:color w:val="000000" w:themeColor="text1"/>
        </w:rPr>
        <w:t xml:space="preserve"> 2、现场勘察承诺函</w:t>
      </w:r>
      <w:r>
        <w:rPr>
          <w:rFonts w:hint="eastAsia" w:ascii="宋体" w:hAnsi="宋体"/>
          <w:color w:val="000000" w:themeColor="text1"/>
        </w:rPr>
        <w:t>（格式参见第八章）</w:t>
      </w:r>
      <w:r>
        <w:rPr>
          <w:rFonts w:hint="eastAsia"/>
          <w:color w:val="000000" w:themeColor="text1"/>
        </w:rPr>
        <w:t>。</w:t>
      </w:r>
    </w:p>
    <w:p w14:paraId="3194B7EF">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3、评审评分项技术响应评分中所涉及的事项需提供的所有资料。</w:t>
      </w:r>
    </w:p>
    <w:p w14:paraId="52DED10C">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4、评审评分项中未涉及的事项，投标人认为需要提交的其他资料。</w:t>
      </w:r>
    </w:p>
    <w:p w14:paraId="07129DC3">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5、磋商文件项目需求中要求提供的其他材料。</w:t>
      </w:r>
    </w:p>
    <w:p w14:paraId="7C7B4AD2">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注：为方便评委评审，请投标供应商按评审评分项中所涉及的事项顺序进行编制，可以补充相关材料。</w:t>
      </w:r>
    </w:p>
    <w:p w14:paraId="33FA9263">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特别提醒：“资格审查文件”所须提供的材料（须加盖投标供应商公章）按招标文件要求装订，密封，递交。</w:t>
      </w:r>
    </w:p>
    <w:p w14:paraId="0CE6CF67">
      <w:pPr>
        <w:widowControl/>
        <w:snapToGrid w:val="0"/>
        <w:spacing w:line="360" w:lineRule="auto"/>
        <w:ind w:firstLine="472" w:firstLineChars="196"/>
        <w:jc w:val="left"/>
        <w:rPr>
          <w:rFonts w:ascii="宋体"/>
          <w:b/>
          <w:bCs/>
          <w:color w:val="000000" w:themeColor="text1"/>
          <w:sz w:val="24"/>
          <w:szCs w:val="24"/>
        </w:rPr>
      </w:pPr>
      <w:r>
        <w:rPr>
          <w:rFonts w:hint="eastAsia" w:ascii="宋体" w:hAnsi="宋体" w:cs="宋体"/>
          <w:b/>
          <w:bCs/>
          <w:color w:val="000000" w:themeColor="text1"/>
          <w:sz w:val="24"/>
          <w:szCs w:val="24"/>
        </w:rPr>
        <w:t>三、商务报价响应文件（单独密封）</w:t>
      </w:r>
    </w:p>
    <w:p w14:paraId="0ED64647">
      <w:pPr>
        <w:widowControl/>
        <w:snapToGrid w:val="0"/>
        <w:spacing w:line="360" w:lineRule="auto"/>
        <w:ind w:firstLine="470" w:firstLineChars="196"/>
        <w:jc w:val="left"/>
        <w:rPr>
          <w:rFonts w:cs="宋体"/>
          <w:color w:val="000000" w:themeColor="text1"/>
          <w:sz w:val="24"/>
          <w:szCs w:val="24"/>
        </w:rPr>
      </w:pPr>
      <w:r>
        <w:rPr>
          <w:rFonts w:cs="宋体"/>
          <w:color w:val="000000" w:themeColor="text1"/>
          <w:sz w:val="24"/>
          <w:szCs w:val="24"/>
        </w:rPr>
        <w:t>1</w:t>
      </w:r>
      <w:r>
        <w:rPr>
          <w:rFonts w:hint="eastAsia" w:cs="宋体"/>
          <w:color w:val="000000" w:themeColor="text1"/>
          <w:sz w:val="24"/>
          <w:szCs w:val="24"/>
        </w:rPr>
        <w:t>、磋商响应报价表（首次）。（格式参见第八章）</w:t>
      </w:r>
    </w:p>
    <w:p w14:paraId="4CD70BC8">
      <w:pPr>
        <w:widowControl/>
        <w:snapToGrid w:val="0"/>
        <w:spacing w:line="360" w:lineRule="auto"/>
        <w:ind w:firstLine="470" w:firstLineChars="196"/>
        <w:jc w:val="left"/>
        <w:rPr>
          <w:rFonts w:cs="宋体"/>
          <w:color w:val="000000" w:themeColor="text1"/>
          <w:sz w:val="24"/>
          <w:szCs w:val="24"/>
        </w:rPr>
      </w:pPr>
      <w:r>
        <w:rPr>
          <w:rFonts w:cs="宋体"/>
          <w:color w:val="000000" w:themeColor="text1"/>
          <w:sz w:val="24"/>
          <w:szCs w:val="24"/>
        </w:rPr>
        <w:t>2</w:t>
      </w:r>
      <w:r>
        <w:rPr>
          <w:rFonts w:hint="eastAsia" w:cs="宋体"/>
          <w:color w:val="000000" w:themeColor="text1"/>
          <w:sz w:val="24"/>
          <w:szCs w:val="24"/>
        </w:rPr>
        <w:t>、磋商响应报价明细表。（格式自拟）</w:t>
      </w:r>
    </w:p>
    <w:p w14:paraId="7E32DE22">
      <w:pPr>
        <w:widowControl/>
        <w:snapToGrid w:val="0"/>
        <w:spacing w:line="360" w:lineRule="auto"/>
        <w:ind w:firstLine="470" w:firstLineChars="196"/>
        <w:jc w:val="left"/>
        <w:rPr>
          <w:rFonts w:cs="宋体"/>
          <w:color w:val="000000" w:themeColor="text1"/>
          <w:sz w:val="24"/>
          <w:szCs w:val="24"/>
        </w:rPr>
      </w:pPr>
      <w:r>
        <w:rPr>
          <w:rFonts w:hint="eastAsia" w:cs="宋体"/>
          <w:color w:val="000000" w:themeColor="text1"/>
          <w:sz w:val="24"/>
          <w:szCs w:val="24"/>
        </w:rPr>
        <w:t>3、中小企业声明函（格式参见第八章，如符合小型和微型企业的需提供）。</w:t>
      </w:r>
    </w:p>
    <w:p w14:paraId="1BB2AF70">
      <w:pPr>
        <w:widowControl/>
        <w:snapToGrid w:val="0"/>
        <w:spacing w:line="360" w:lineRule="auto"/>
        <w:ind w:firstLine="470" w:firstLineChars="196"/>
        <w:jc w:val="left"/>
        <w:rPr>
          <w:rFonts w:cs="宋体"/>
          <w:color w:val="000000" w:themeColor="text1"/>
          <w:sz w:val="24"/>
          <w:szCs w:val="24"/>
        </w:rPr>
      </w:pPr>
      <w:r>
        <w:rPr>
          <w:rFonts w:hint="eastAsia" w:cs="宋体"/>
          <w:color w:val="000000" w:themeColor="text1"/>
          <w:sz w:val="24"/>
          <w:szCs w:val="24"/>
        </w:rPr>
        <w:t>4、残疾人福利性单位声明函（格式参加第八章，如涉有，则提供）</w:t>
      </w:r>
    </w:p>
    <w:p w14:paraId="6D02741D">
      <w:pPr>
        <w:widowControl/>
        <w:snapToGrid w:val="0"/>
        <w:spacing w:line="360" w:lineRule="auto"/>
        <w:ind w:firstLine="470" w:firstLineChars="196"/>
        <w:jc w:val="left"/>
        <w:rPr>
          <w:rFonts w:cs="宋体"/>
          <w:color w:val="000000" w:themeColor="text1"/>
          <w:sz w:val="24"/>
          <w:szCs w:val="24"/>
        </w:rPr>
      </w:pPr>
      <w:r>
        <w:rPr>
          <w:rFonts w:hint="eastAsia" w:cs="宋体"/>
          <w:color w:val="000000" w:themeColor="text1"/>
          <w:sz w:val="24"/>
          <w:szCs w:val="24"/>
        </w:rPr>
        <w:t>5、监狱企业的证明（格式自拟）</w:t>
      </w:r>
    </w:p>
    <w:p w14:paraId="55BC0D0F">
      <w:pPr>
        <w:widowControl/>
        <w:snapToGrid w:val="0"/>
        <w:spacing w:line="360" w:lineRule="auto"/>
        <w:jc w:val="left"/>
        <w:rPr>
          <w:rFonts w:ascii="宋体" w:hAnsi="宋体" w:cs="宋体"/>
          <w:b/>
          <w:bCs/>
          <w:color w:val="000000" w:themeColor="text1"/>
          <w:sz w:val="28"/>
          <w:szCs w:val="28"/>
        </w:rPr>
      </w:pPr>
    </w:p>
    <w:p w14:paraId="0E14C650">
      <w:pPr>
        <w:widowControl/>
        <w:snapToGrid w:val="0"/>
        <w:spacing w:line="360" w:lineRule="auto"/>
        <w:jc w:val="left"/>
        <w:rPr>
          <w:rFonts w:ascii="宋体" w:hAnsi="宋体" w:cs="宋体"/>
          <w:b/>
          <w:bCs/>
          <w:color w:val="000000" w:themeColor="text1"/>
          <w:sz w:val="28"/>
          <w:szCs w:val="28"/>
        </w:rPr>
      </w:pPr>
    </w:p>
    <w:p w14:paraId="593536E4">
      <w:pPr>
        <w:widowControl/>
        <w:snapToGrid w:val="0"/>
        <w:spacing w:line="360" w:lineRule="auto"/>
        <w:jc w:val="left"/>
        <w:rPr>
          <w:rFonts w:ascii="宋体" w:hAnsi="宋体" w:cs="宋体"/>
          <w:b/>
          <w:bCs/>
          <w:color w:val="000000" w:themeColor="text1"/>
          <w:sz w:val="28"/>
          <w:szCs w:val="28"/>
        </w:rPr>
      </w:pPr>
    </w:p>
    <w:p w14:paraId="069FF99E">
      <w:pPr>
        <w:widowControl/>
        <w:snapToGrid w:val="0"/>
        <w:spacing w:line="360" w:lineRule="auto"/>
        <w:jc w:val="left"/>
        <w:rPr>
          <w:rFonts w:ascii="宋体" w:hAnsi="宋体" w:cs="宋体"/>
          <w:b/>
          <w:bCs/>
          <w:color w:val="000000" w:themeColor="text1"/>
          <w:sz w:val="28"/>
          <w:szCs w:val="28"/>
        </w:rPr>
      </w:pPr>
    </w:p>
    <w:p w14:paraId="2402EB14">
      <w:pPr>
        <w:pStyle w:val="2"/>
        <w:ind w:firstLine="480"/>
        <w:rPr>
          <w:color w:val="000000" w:themeColor="text1"/>
        </w:rPr>
      </w:pPr>
    </w:p>
    <w:p w14:paraId="058FAEE5">
      <w:pPr>
        <w:pStyle w:val="2"/>
        <w:ind w:firstLine="480"/>
        <w:rPr>
          <w:color w:val="000000" w:themeColor="text1"/>
        </w:rPr>
      </w:pPr>
    </w:p>
    <w:p w14:paraId="49143A0C">
      <w:pPr>
        <w:pStyle w:val="2"/>
        <w:ind w:firstLine="480"/>
        <w:rPr>
          <w:color w:val="000000" w:themeColor="text1"/>
        </w:rPr>
      </w:pPr>
    </w:p>
    <w:p w14:paraId="204C1C4F">
      <w:pPr>
        <w:pStyle w:val="2"/>
        <w:ind w:firstLine="480"/>
        <w:rPr>
          <w:color w:val="000000" w:themeColor="text1"/>
        </w:rPr>
      </w:pPr>
    </w:p>
    <w:p w14:paraId="04B1FC27">
      <w:pPr>
        <w:pStyle w:val="2"/>
        <w:ind w:firstLine="480"/>
        <w:rPr>
          <w:color w:val="000000" w:themeColor="text1"/>
        </w:rPr>
      </w:pPr>
    </w:p>
    <w:p w14:paraId="091C89C6">
      <w:pPr>
        <w:pStyle w:val="2"/>
        <w:ind w:firstLine="480"/>
        <w:rPr>
          <w:color w:val="000000" w:themeColor="text1"/>
        </w:rPr>
      </w:pPr>
    </w:p>
    <w:p w14:paraId="0A69917B">
      <w:pPr>
        <w:pStyle w:val="2"/>
        <w:ind w:firstLine="480"/>
        <w:rPr>
          <w:color w:val="000000" w:themeColor="text1"/>
        </w:rPr>
      </w:pPr>
    </w:p>
    <w:p w14:paraId="45D194EB">
      <w:pPr>
        <w:pStyle w:val="2"/>
        <w:ind w:firstLine="480"/>
        <w:rPr>
          <w:color w:val="000000" w:themeColor="text1"/>
        </w:rPr>
      </w:pPr>
    </w:p>
    <w:p w14:paraId="68653B45">
      <w:pPr>
        <w:pStyle w:val="2"/>
        <w:ind w:firstLine="480"/>
        <w:rPr>
          <w:color w:val="000000" w:themeColor="text1"/>
        </w:rPr>
      </w:pPr>
    </w:p>
    <w:p w14:paraId="1BF75ECB">
      <w:pPr>
        <w:pStyle w:val="2"/>
        <w:ind w:firstLine="480"/>
        <w:rPr>
          <w:color w:val="000000" w:themeColor="text1"/>
        </w:rPr>
      </w:pPr>
    </w:p>
    <w:p w14:paraId="65516ABB">
      <w:pPr>
        <w:pStyle w:val="2"/>
        <w:ind w:firstLine="480"/>
        <w:rPr>
          <w:color w:val="000000" w:themeColor="text1"/>
        </w:rPr>
      </w:pPr>
    </w:p>
    <w:p w14:paraId="6489C20C">
      <w:pPr>
        <w:pStyle w:val="2"/>
        <w:ind w:firstLine="480"/>
        <w:rPr>
          <w:color w:val="000000" w:themeColor="text1"/>
        </w:rPr>
      </w:pPr>
    </w:p>
    <w:p w14:paraId="645C135C">
      <w:pPr>
        <w:pStyle w:val="2"/>
        <w:ind w:firstLine="480"/>
        <w:rPr>
          <w:color w:val="000000" w:themeColor="text1"/>
        </w:rPr>
      </w:pPr>
    </w:p>
    <w:p w14:paraId="363DAC2E">
      <w:pPr>
        <w:pStyle w:val="2"/>
        <w:ind w:firstLine="480"/>
        <w:rPr>
          <w:color w:val="000000" w:themeColor="text1"/>
        </w:rPr>
      </w:pPr>
    </w:p>
    <w:p w14:paraId="31B43FC2">
      <w:pPr>
        <w:pStyle w:val="2"/>
        <w:ind w:firstLine="480"/>
        <w:rPr>
          <w:color w:val="000000" w:themeColor="text1"/>
        </w:rPr>
      </w:pPr>
    </w:p>
    <w:p w14:paraId="57F1A276">
      <w:pPr>
        <w:pStyle w:val="2"/>
        <w:ind w:firstLine="480"/>
        <w:rPr>
          <w:color w:val="000000" w:themeColor="text1"/>
        </w:rPr>
      </w:pPr>
    </w:p>
    <w:p w14:paraId="6B724BEB">
      <w:pPr>
        <w:pStyle w:val="2"/>
        <w:ind w:firstLine="480"/>
        <w:rPr>
          <w:color w:val="000000" w:themeColor="text1"/>
        </w:rPr>
      </w:pPr>
    </w:p>
    <w:p w14:paraId="60840B38">
      <w:pPr>
        <w:pStyle w:val="2"/>
        <w:ind w:firstLine="480"/>
        <w:rPr>
          <w:color w:val="000000" w:themeColor="text1"/>
        </w:rPr>
      </w:pPr>
    </w:p>
    <w:p w14:paraId="57BE1DFA">
      <w:pPr>
        <w:pStyle w:val="2"/>
        <w:ind w:firstLine="480"/>
        <w:rPr>
          <w:color w:val="000000" w:themeColor="text1"/>
        </w:rPr>
      </w:pPr>
    </w:p>
    <w:p w14:paraId="2323618C">
      <w:pPr>
        <w:pStyle w:val="2"/>
        <w:ind w:firstLine="480"/>
        <w:rPr>
          <w:color w:val="000000" w:themeColor="text1"/>
        </w:rPr>
      </w:pPr>
    </w:p>
    <w:p w14:paraId="430D962D">
      <w:pPr>
        <w:pStyle w:val="2"/>
        <w:ind w:firstLine="480"/>
        <w:rPr>
          <w:color w:val="000000" w:themeColor="text1"/>
        </w:rPr>
      </w:pPr>
    </w:p>
    <w:p w14:paraId="2A5F1E93">
      <w:pPr>
        <w:pStyle w:val="2"/>
        <w:ind w:firstLine="480"/>
        <w:rPr>
          <w:color w:val="000000" w:themeColor="text1"/>
        </w:rPr>
      </w:pPr>
    </w:p>
    <w:p w14:paraId="1D94C14A">
      <w:pPr>
        <w:pStyle w:val="2"/>
        <w:ind w:firstLine="480"/>
        <w:rPr>
          <w:color w:val="000000" w:themeColor="text1"/>
        </w:rPr>
      </w:pPr>
    </w:p>
    <w:p w14:paraId="7575FB40">
      <w:pPr>
        <w:widowControl/>
        <w:snapToGrid w:val="0"/>
        <w:spacing w:line="360" w:lineRule="auto"/>
        <w:jc w:val="left"/>
        <w:rPr>
          <w:rFonts w:ascii="宋体"/>
          <w:b/>
          <w:bCs/>
          <w:color w:val="000000" w:themeColor="text1"/>
          <w:sz w:val="28"/>
          <w:szCs w:val="28"/>
        </w:rPr>
      </w:pPr>
      <w:r>
        <w:rPr>
          <w:rFonts w:hint="eastAsia" w:ascii="宋体" w:hAnsi="宋体" w:cs="宋体"/>
          <w:b/>
          <w:bCs/>
          <w:color w:val="000000" w:themeColor="text1"/>
          <w:sz w:val="28"/>
          <w:szCs w:val="28"/>
        </w:rPr>
        <w:t>附件：</w:t>
      </w:r>
    </w:p>
    <w:p w14:paraId="26E8F257">
      <w:pPr>
        <w:snapToGrid w:val="0"/>
        <w:spacing w:line="520" w:lineRule="exact"/>
        <w:jc w:val="center"/>
        <w:outlineLvl w:val="3"/>
        <w:rPr>
          <w:rFonts w:ascii="宋体"/>
          <w:b/>
          <w:bCs/>
          <w:color w:val="000000" w:themeColor="text1"/>
          <w:sz w:val="28"/>
          <w:szCs w:val="28"/>
        </w:rPr>
      </w:pPr>
      <w:r>
        <w:rPr>
          <w:rFonts w:ascii="宋体" w:hAnsi="宋体" w:cs="宋体"/>
          <w:b/>
          <w:bCs/>
          <w:color w:val="000000" w:themeColor="text1"/>
          <w:sz w:val="28"/>
          <w:szCs w:val="28"/>
        </w:rPr>
        <w:t>1</w:t>
      </w:r>
      <w:r>
        <w:rPr>
          <w:rFonts w:hint="eastAsia" w:ascii="宋体" w:hAnsi="宋体" w:cs="宋体"/>
          <w:b/>
          <w:bCs/>
          <w:color w:val="000000" w:themeColor="text1"/>
          <w:sz w:val="28"/>
          <w:szCs w:val="28"/>
        </w:rPr>
        <w:t>、法定代表人身份证明</w:t>
      </w:r>
    </w:p>
    <w:p w14:paraId="24B43B9B">
      <w:pPr>
        <w:snapToGrid w:val="0"/>
        <w:spacing w:line="520" w:lineRule="exact"/>
        <w:jc w:val="center"/>
        <w:rPr>
          <w:rFonts w:ascii="宋体"/>
          <w:color w:val="000000" w:themeColor="text1"/>
          <w:sz w:val="24"/>
          <w:szCs w:val="24"/>
        </w:rPr>
      </w:pPr>
      <w:r>
        <w:rPr>
          <w:rFonts w:hint="eastAsia" w:ascii="宋体" w:hAnsi="宋体" w:cs="宋体"/>
          <w:color w:val="000000" w:themeColor="text1"/>
          <w:sz w:val="24"/>
          <w:szCs w:val="24"/>
        </w:rPr>
        <w:t>（如法定代表人参加磋商，须出示此证明）</w:t>
      </w:r>
    </w:p>
    <w:p w14:paraId="38B21493">
      <w:pPr>
        <w:snapToGrid w:val="0"/>
        <w:spacing w:line="520" w:lineRule="exact"/>
        <w:jc w:val="center"/>
        <w:rPr>
          <w:rFonts w:ascii="宋体"/>
          <w:color w:val="000000" w:themeColor="text1"/>
          <w:sz w:val="24"/>
          <w:szCs w:val="24"/>
        </w:rPr>
      </w:pPr>
    </w:p>
    <w:p w14:paraId="298A0EB2">
      <w:pPr>
        <w:snapToGrid w:val="0"/>
        <w:spacing w:line="520" w:lineRule="exact"/>
        <w:rPr>
          <w:rFonts w:ascii="宋体"/>
          <w:color w:val="000000" w:themeColor="text1"/>
          <w:sz w:val="24"/>
          <w:szCs w:val="24"/>
          <w:u w:val="single"/>
        </w:rPr>
      </w:pPr>
      <w:r>
        <w:rPr>
          <w:rFonts w:hint="eastAsia" w:ascii="宋体" w:hAnsi="宋体" w:cs="宋体"/>
          <w:snapToGrid w:val="0"/>
          <w:color w:val="000000" w:themeColor="text1"/>
          <w:kern w:val="0"/>
          <w:sz w:val="24"/>
          <w:szCs w:val="24"/>
          <w:u w:val="single"/>
          <w:lang w:eastAsia="zh-CN"/>
        </w:rPr>
        <w:t>南通市崇川区城市工程建设管理中心</w:t>
      </w:r>
      <w:r>
        <w:rPr>
          <w:rFonts w:hint="eastAsia" w:ascii="宋体" w:hAnsi="宋体" w:cs="宋体"/>
          <w:color w:val="000000" w:themeColor="text1"/>
          <w:sz w:val="24"/>
          <w:szCs w:val="24"/>
          <w:u w:val="single"/>
        </w:rPr>
        <w:t>：</w:t>
      </w:r>
    </w:p>
    <w:p w14:paraId="242B5B32">
      <w:pPr>
        <w:snapToGrid w:val="0"/>
        <w:spacing w:line="52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我公司法定代表人</w:t>
      </w:r>
      <w:r>
        <w:rPr>
          <w:rFonts w:hint="eastAsia" w:ascii="宋体" w:hAnsi="宋体" w:cs="宋体"/>
          <w:color w:val="000000" w:themeColor="text1"/>
          <w:sz w:val="24"/>
          <w:szCs w:val="24"/>
          <w:u w:val="single"/>
        </w:rPr>
        <w:t>　　　</w:t>
      </w:r>
      <w:r>
        <w:rPr>
          <w:rFonts w:hint="eastAsia" w:ascii="宋体" w:hAnsi="宋体" w:cs="宋体"/>
          <w:color w:val="000000" w:themeColor="text1"/>
          <w:sz w:val="24"/>
          <w:szCs w:val="24"/>
        </w:rPr>
        <w:t>参加贵单位组织的</w:t>
      </w:r>
      <w:r>
        <w:rPr>
          <w:rFonts w:hint="eastAsia" w:ascii="宋体" w:hAnsi="宋体" w:cs="宋体"/>
          <w:color w:val="000000" w:themeColor="text1"/>
          <w:sz w:val="24"/>
          <w:szCs w:val="24"/>
          <w:u w:val="single"/>
        </w:rPr>
        <w:t>（竞争性磋商项目名称</w:t>
      </w:r>
      <w:r>
        <w:rPr>
          <w:rFonts w:ascii="宋体" w:hAnsi="宋体" w:cs="宋体"/>
          <w:color w:val="000000" w:themeColor="text1"/>
          <w:sz w:val="24"/>
          <w:szCs w:val="24"/>
          <w:u w:val="single"/>
        </w:rPr>
        <w:t>)</w:t>
      </w:r>
      <w:r>
        <w:rPr>
          <w:rFonts w:hint="eastAsia" w:ascii="宋体" w:hAnsi="宋体" w:cs="宋体"/>
          <w:color w:val="000000" w:themeColor="text1"/>
          <w:sz w:val="24"/>
          <w:szCs w:val="24"/>
        </w:rPr>
        <w:t>项目的磋商活动，全权代表我公司处理竞争性磋商的有关事宜。</w:t>
      </w:r>
    </w:p>
    <w:p w14:paraId="4B20D06C">
      <w:pPr>
        <w:snapToGrid w:val="0"/>
        <w:spacing w:line="520" w:lineRule="exact"/>
        <w:rPr>
          <w:rFonts w:ascii="宋体"/>
          <w:color w:val="000000" w:themeColor="text1"/>
          <w:sz w:val="24"/>
          <w:szCs w:val="24"/>
        </w:rPr>
      </w:pPr>
    </w:p>
    <w:p w14:paraId="32AE4ED6">
      <w:pPr>
        <w:snapToGrid w:val="0"/>
        <w:spacing w:line="520" w:lineRule="exact"/>
        <w:rPr>
          <w:rFonts w:ascii="宋体"/>
          <w:color w:val="000000" w:themeColor="text1"/>
          <w:sz w:val="24"/>
          <w:szCs w:val="24"/>
        </w:rPr>
      </w:pPr>
      <w:r>
        <w:rPr>
          <w:rFonts w:hint="eastAsia" w:ascii="宋体" w:hAnsi="宋体" w:cs="宋体"/>
          <w:color w:val="000000" w:themeColor="text1"/>
          <w:sz w:val="24"/>
          <w:szCs w:val="24"/>
        </w:rPr>
        <w:t>附：法定代表人情况：</w:t>
      </w:r>
    </w:p>
    <w:p w14:paraId="6023EA8D">
      <w:pPr>
        <w:snapToGrid w:val="0"/>
        <w:spacing w:line="520" w:lineRule="exact"/>
        <w:rPr>
          <w:rFonts w:ascii="宋体"/>
          <w:color w:val="000000" w:themeColor="text1"/>
          <w:sz w:val="24"/>
          <w:szCs w:val="24"/>
          <w:u w:val="single"/>
        </w:rPr>
      </w:pPr>
      <w:r>
        <w:rPr>
          <w:rFonts w:hint="eastAsia" w:ascii="宋体" w:hAnsi="宋体" w:cs="宋体"/>
          <w:color w:val="000000" w:themeColor="text1"/>
          <w:sz w:val="24"/>
          <w:szCs w:val="24"/>
        </w:rPr>
        <w:t>姓名：              性别：                 年龄：                       职务：</w:t>
      </w:r>
    </w:p>
    <w:p w14:paraId="0AF69244">
      <w:pPr>
        <w:snapToGrid w:val="0"/>
        <w:spacing w:line="520" w:lineRule="exact"/>
        <w:rPr>
          <w:rFonts w:ascii="宋体"/>
          <w:color w:val="000000" w:themeColor="text1"/>
          <w:sz w:val="24"/>
          <w:szCs w:val="24"/>
        </w:rPr>
      </w:pPr>
      <w:r>
        <w:rPr>
          <w:rFonts w:hint="eastAsia" w:ascii="宋体" w:hAnsi="宋体" w:cs="宋体"/>
          <w:color w:val="000000" w:themeColor="text1"/>
          <w:sz w:val="24"/>
          <w:szCs w:val="24"/>
        </w:rPr>
        <w:t>身份证号码：</w:t>
      </w:r>
    </w:p>
    <w:p w14:paraId="0207C5C9">
      <w:pPr>
        <w:snapToGrid w:val="0"/>
        <w:spacing w:line="520" w:lineRule="exact"/>
        <w:rPr>
          <w:rFonts w:ascii="宋体"/>
          <w:color w:val="000000" w:themeColor="text1"/>
          <w:sz w:val="24"/>
          <w:szCs w:val="24"/>
        </w:rPr>
      </w:pPr>
      <w:r>
        <w:rPr>
          <w:rFonts w:hint="eastAsia" w:ascii="宋体" w:hAnsi="宋体" w:cs="宋体"/>
          <w:color w:val="000000" w:themeColor="text1"/>
          <w:sz w:val="24"/>
          <w:szCs w:val="24"/>
        </w:rPr>
        <w:t>手机：                              传真：</w:t>
      </w:r>
    </w:p>
    <w:p w14:paraId="1F618E1B">
      <w:pPr>
        <w:snapToGrid w:val="0"/>
        <w:spacing w:line="520" w:lineRule="exact"/>
        <w:rPr>
          <w:rFonts w:ascii="宋体"/>
          <w:color w:val="000000" w:themeColor="text1"/>
          <w:sz w:val="24"/>
          <w:szCs w:val="24"/>
        </w:rPr>
      </w:pPr>
      <w:r>
        <w:rPr>
          <w:rFonts w:ascii="宋体"/>
          <w:color w:val="000000" w:themeColor="text1"/>
          <w:sz w:val="24"/>
          <w:szCs w:val="24"/>
        </w:rPr>
        <w:t> </w:t>
      </w:r>
    </w:p>
    <w:p w14:paraId="1EF4AABA">
      <w:pPr>
        <w:snapToGrid w:val="0"/>
        <w:spacing w:line="520" w:lineRule="exact"/>
        <w:rPr>
          <w:rFonts w:ascii="宋体"/>
          <w:color w:val="000000" w:themeColor="text1"/>
          <w:sz w:val="24"/>
          <w:szCs w:val="24"/>
        </w:rPr>
      </w:pPr>
    </w:p>
    <w:p w14:paraId="362D0433">
      <w:pPr>
        <w:snapToGrid w:val="0"/>
        <w:spacing w:line="520" w:lineRule="exact"/>
        <w:rPr>
          <w:rFonts w:ascii="宋体"/>
          <w:color w:val="000000" w:themeColor="text1"/>
          <w:sz w:val="24"/>
          <w:szCs w:val="24"/>
        </w:rPr>
      </w:pPr>
      <w:r>
        <w:rPr>
          <w:rFonts w:hint="eastAsia" w:ascii="宋体" w:hAnsi="宋体" w:cs="宋体"/>
          <w:color w:val="000000" w:themeColor="text1"/>
          <w:sz w:val="24"/>
          <w:szCs w:val="24"/>
        </w:rPr>
        <w:t>单位名称（公章）                     法定代表人（签字或盖章）</w:t>
      </w:r>
    </w:p>
    <w:p w14:paraId="4C508D58">
      <w:pPr>
        <w:snapToGrid w:val="0"/>
        <w:spacing w:line="520" w:lineRule="exact"/>
        <w:ind w:firstLine="1200" w:firstLineChars="500"/>
        <w:rPr>
          <w:rFonts w:ascii="宋体"/>
          <w:color w:val="000000" w:themeColor="text1"/>
          <w:sz w:val="24"/>
          <w:szCs w:val="24"/>
        </w:rPr>
      </w:pPr>
      <w:r>
        <w:rPr>
          <w:rFonts w:hint="eastAsia" w:ascii="宋体" w:hAnsi="宋体" w:cs="宋体"/>
          <w:color w:val="000000" w:themeColor="text1"/>
          <w:sz w:val="24"/>
          <w:szCs w:val="24"/>
        </w:rPr>
        <w:t>年    月   日                年    月   日</w:t>
      </w:r>
    </w:p>
    <w:p w14:paraId="06BCAD21">
      <w:pPr>
        <w:snapToGrid w:val="0"/>
        <w:spacing w:line="520" w:lineRule="exact"/>
        <w:rPr>
          <w:rFonts w:ascii="宋体"/>
          <w:color w:val="000000" w:themeColor="text1"/>
          <w:sz w:val="24"/>
          <w:szCs w:val="24"/>
        </w:rPr>
      </w:pPr>
    </w:p>
    <w:p w14:paraId="43CA4D6D">
      <w:pPr>
        <w:snapToGrid w:val="0"/>
        <w:spacing w:line="520" w:lineRule="exact"/>
        <w:jc w:val="center"/>
        <w:rPr>
          <w:rFonts w:ascii="宋体"/>
          <w:b/>
          <w:bCs/>
          <w:color w:val="000000" w:themeColor="text1"/>
          <w:sz w:val="24"/>
          <w:szCs w:val="24"/>
        </w:rPr>
      </w:pPr>
      <w:r>
        <w:rPr>
          <w:rFonts w:hint="eastAsia" w:ascii="宋体" w:hAnsi="宋体" w:cs="宋体"/>
          <w:b/>
          <w:bCs/>
          <w:color w:val="000000" w:themeColor="text1"/>
          <w:sz w:val="24"/>
          <w:szCs w:val="24"/>
        </w:rPr>
        <w:t>法定代表人身份证复印件</w:t>
      </w:r>
    </w:p>
    <w:p w14:paraId="57486D2B">
      <w:pPr>
        <w:snapToGrid w:val="0"/>
        <w:spacing w:line="520" w:lineRule="exact"/>
        <w:rPr>
          <w:rFonts w:ascii="宋体"/>
          <w:color w:val="000000" w:themeColor="text1"/>
          <w:sz w:val="24"/>
          <w:szCs w:val="24"/>
        </w:rPr>
      </w:pPr>
    </w:p>
    <w:p w14:paraId="690A4B28">
      <w:pPr>
        <w:snapToGrid w:val="0"/>
        <w:spacing w:line="520" w:lineRule="exact"/>
        <w:ind w:firstLine="3360" w:firstLineChars="1400"/>
        <w:rPr>
          <w:rFonts w:ascii="宋体" w:hAnsi="宋体" w:cs="宋体"/>
          <w:color w:val="000000" w:themeColor="text1"/>
          <w:sz w:val="24"/>
          <w:szCs w:val="24"/>
        </w:rPr>
      </w:pPr>
    </w:p>
    <w:p w14:paraId="3A1B282A">
      <w:pPr>
        <w:snapToGrid w:val="0"/>
        <w:spacing w:line="520" w:lineRule="exact"/>
        <w:ind w:firstLine="3360" w:firstLineChars="1400"/>
        <w:rPr>
          <w:rFonts w:ascii="宋体" w:hAnsi="宋体" w:cs="宋体"/>
          <w:color w:val="000000" w:themeColor="text1"/>
          <w:sz w:val="24"/>
          <w:szCs w:val="24"/>
        </w:rPr>
      </w:pPr>
      <w:r>
        <w:rPr>
          <w:rFonts w:hint="eastAsia" w:ascii="宋体" w:hAnsi="宋体" w:cs="宋体"/>
          <w:color w:val="000000" w:themeColor="text1"/>
          <w:sz w:val="24"/>
          <w:szCs w:val="24"/>
        </w:rPr>
        <w:t>（粘贴此处）</w:t>
      </w:r>
    </w:p>
    <w:p w14:paraId="125C2E1D">
      <w:pPr>
        <w:pStyle w:val="2"/>
        <w:ind w:firstLine="480"/>
        <w:rPr>
          <w:color w:val="000000" w:themeColor="text1"/>
        </w:rPr>
      </w:pPr>
    </w:p>
    <w:p w14:paraId="3E7BEAF8">
      <w:pPr>
        <w:snapToGrid w:val="0"/>
        <w:spacing w:line="520" w:lineRule="exact"/>
        <w:ind w:firstLine="482" w:firstLineChars="200"/>
        <w:rPr>
          <w:rFonts w:ascii="宋体"/>
          <w:b/>
          <w:bCs/>
          <w:color w:val="000000" w:themeColor="text1"/>
          <w:sz w:val="24"/>
          <w:szCs w:val="24"/>
        </w:rPr>
      </w:pPr>
    </w:p>
    <w:p w14:paraId="3CF0FD0D">
      <w:pPr>
        <w:snapToGrid w:val="0"/>
        <w:spacing w:line="520" w:lineRule="exact"/>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注</w:t>
      </w:r>
      <w:r>
        <w:rPr>
          <w:rFonts w:ascii="宋体" w:hAnsi="宋体" w:cs="宋体"/>
          <w:b/>
          <w:bCs/>
          <w:color w:val="000000" w:themeColor="text1"/>
          <w:sz w:val="24"/>
          <w:szCs w:val="24"/>
        </w:rPr>
        <w:t>:</w:t>
      </w:r>
      <w:r>
        <w:rPr>
          <w:rFonts w:hint="eastAsia" w:ascii="宋体" w:hAnsi="宋体" w:cs="宋体"/>
          <w:b/>
          <w:bCs/>
          <w:color w:val="000000" w:themeColor="text1"/>
          <w:sz w:val="24"/>
          <w:szCs w:val="24"/>
        </w:rPr>
        <w:t>参加磋商时法定代表人将身份证原件带至磋商现场备查。</w:t>
      </w:r>
    </w:p>
    <w:p w14:paraId="6AA0E213">
      <w:pPr>
        <w:snapToGrid w:val="0"/>
        <w:spacing w:line="520" w:lineRule="exact"/>
        <w:jc w:val="center"/>
        <w:outlineLvl w:val="3"/>
        <w:rPr>
          <w:rFonts w:ascii="宋体"/>
          <w:b/>
          <w:bCs/>
          <w:color w:val="000000" w:themeColor="text1"/>
          <w:sz w:val="28"/>
          <w:szCs w:val="28"/>
        </w:rPr>
      </w:pPr>
      <w:r>
        <w:rPr>
          <w:rFonts w:ascii="宋体"/>
          <w:b/>
          <w:bCs/>
          <w:color w:val="000000" w:themeColor="text1"/>
          <w:sz w:val="24"/>
          <w:szCs w:val="24"/>
        </w:rPr>
        <w:br w:type="page"/>
      </w:r>
      <w:r>
        <w:rPr>
          <w:rFonts w:ascii="宋体" w:hAnsi="宋体" w:cs="宋体"/>
          <w:b/>
          <w:bCs/>
          <w:color w:val="000000" w:themeColor="text1"/>
          <w:sz w:val="28"/>
          <w:szCs w:val="28"/>
        </w:rPr>
        <w:t>2</w:t>
      </w:r>
      <w:r>
        <w:rPr>
          <w:rFonts w:hint="eastAsia" w:ascii="宋体" w:hAnsi="宋体" w:cs="宋体"/>
          <w:b/>
          <w:bCs/>
          <w:color w:val="000000" w:themeColor="text1"/>
          <w:sz w:val="28"/>
          <w:szCs w:val="28"/>
        </w:rPr>
        <w:t>、授权委托书</w:t>
      </w:r>
    </w:p>
    <w:p w14:paraId="49828A6A">
      <w:pPr>
        <w:snapToGrid w:val="0"/>
        <w:spacing w:line="520" w:lineRule="exact"/>
        <w:jc w:val="center"/>
        <w:rPr>
          <w:rFonts w:ascii="宋体"/>
          <w:color w:val="000000" w:themeColor="text1"/>
          <w:sz w:val="24"/>
          <w:szCs w:val="24"/>
        </w:rPr>
      </w:pPr>
      <w:r>
        <w:rPr>
          <w:rFonts w:hint="eastAsia" w:ascii="宋体" w:hAnsi="宋体" w:cs="宋体"/>
          <w:color w:val="000000" w:themeColor="text1"/>
          <w:sz w:val="24"/>
          <w:szCs w:val="24"/>
        </w:rPr>
        <w:t>（如被授权人参加磋商，须出示此证明）</w:t>
      </w:r>
    </w:p>
    <w:p w14:paraId="4A23783C">
      <w:pPr>
        <w:snapToGrid w:val="0"/>
        <w:spacing w:line="520" w:lineRule="exact"/>
        <w:jc w:val="center"/>
        <w:rPr>
          <w:rFonts w:ascii="宋体"/>
          <w:color w:val="000000" w:themeColor="text1"/>
          <w:sz w:val="24"/>
          <w:szCs w:val="24"/>
        </w:rPr>
      </w:pPr>
    </w:p>
    <w:p w14:paraId="42C74095">
      <w:pPr>
        <w:snapToGrid w:val="0"/>
        <w:spacing w:line="480" w:lineRule="exact"/>
        <w:rPr>
          <w:rFonts w:ascii="宋体"/>
          <w:color w:val="000000" w:themeColor="text1"/>
          <w:sz w:val="24"/>
          <w:szCs w:val="24"/>
          <w:u w:val="single"/>
        </w:rPr>
      </w:pPr>
      <w:r>
        <w:rPr>
          <w:rFonts w:hint="eastAsia" w:ascii="宋体" w:hAnsi="宋体" w:cs="宋体"/>
          <w:color w:val="000000" w:themeColor="text1"/>
          <w:sz w:val="24"/>
          <w:szCs w:val="24"/>
          <w:u w:val="single"/>
          <w:lang w:eastAsia="zh-CN"/>
        </w:rPr>
        <w:t>南通市崇川区城市工程建设管理中心</w:t>
      </w:r>
      <w:r>
        <w:rPr>
          <w:rFonts w:hint="eastAsia" w:ascii="宋体" w:hAnsi="宋体" w:cs="宋体"/>
          <w:color w:val="000000" w:themeColor="text1"/>
          <w:sz w:val="24"/>
          <w:szCs w:val="24"/>
          <w:u w:val="single"/>
        </w:rPr>
        <w:t>：</w:t>
      </w:r>
    </w:p>
    <w:p w14:paraId="6B313966">
      <w:pPr>
        <w:snapToGrid w:val="0"/>
        <w:spacing w:line="480" w:lineRule="exact"/>
        <w:ind w:firstLine="480" w:firstLineChars="200"/>
        <w:rPr>
          <w:rFonts w:hAnsi="宋体"/>
          <w:color w:val="000000" w:themeColor="text1"/>
          <w:sz w:val="24"/>
          <w:szCs w:val="24"/>
        </w:rPr>
      </w:pPr>
      <w:r>
        <w:rPr>
          <w:rFonts w:hint="eastAsia" w:hAnsi="宋体" w:cs="宋体"/>
          <w:color w:val="000000" w:themeColor="text1"/>
          <w:sz w:val="24"/>
          <w:szCs w:val="24"/>
        </w:rPr>
        <w:t>兹授权</w:t>
      </w:r>
      <w:r>
        <w:rPr>
          <w:rFonts w:hint="eastAsia" w:hAnsi="宋体" w:cs="宋体"/>
          <w:color w:val="000000" w:themeColor="text1"/>
          <w:sz w:val="24"/>
          <w:szCs w:val="24"/>
          <w:u w:val="single"/>
        </w:rPr>
        <w:t>（</w:t>
      </w:r>
      <w:r>
        <w:rPr>
          <w:rFonts w:hint="eastAsia" w:hAnsi="宋体" w:cs="宋体"/>
          <w:color w:val="000000" w:themeColor="text1"/>
          <w:sz w:val="24"/>
          <w:szCs w:val="24"/>
        </w:rPr>
        <w:t>被授权人的姓名）代表我公司参加</w:t>
      </w:r>
      <w:r>
        <w:rPr>
          <w:rFonts w:hint="eastAsia" w:hAnsi="宋体" w:cs="宋体"/>
          <w:color w:val="000000" w:themeColor="text1"/>
          <w:sz w:val="24"/>
          <w:szCs w:val="24"/>
          <w:u w:val="single"/>
        </w:rPr>
        <w:t>（</w:t>
      </w:r>
      <w:r>
        <w:rPr>
          <w:rFonts w:hint="eastAsia" w:ascii="宋体" w:hAnsi="宋体" w:cs="宋体"/>
          <w:color w:val="000000" w:themeColor="text1"/>
          <w:sz w:val="24"/>
          <w:szCs w:val="24"/>
          <w:u w:val="single"/>
        </w:rPr>
        <w:t xml:space="preserve">竞争性磋商项目名称 </w:t>
      </w:r>
      <w:r>
        <w:rPr>
          <w:rFonts w:hAnsi="宋体"/>
          <w:color w:val="000000" w:themeColor="text1"/>
          <w:sz w:val="24"/>
          <w:szCs w:val="24"/>
          <w:u w:val="single"/>
        </w:rPr>
        <w:t>)</w:t>
      </w:r>
      <w:r>
        <w:rPr>
          <w:rFonts w:hint="eastAsia" w:hAnsi="宋体" w:cs="宋体"/>
          <w:color w:val="000000" w:themeColor="text1"/>
          <w:sz w:val="24"/>
          <w:szCs w:val="24"/>
        </w:rPr>
        <w:t>项目的政府采购活动，全权处理一切与该项目招标有关的事务。其在办理上述事宜过程中所签署的所有文件我公司均予以承认。</w:t>
      </w:r>
    </w:p>
    <w:p w14:paraId="50E0AD49">
      <w:pPr>
        <w:pStyle w:val="27"/>
        <w:adjustRightInd w:val="0"/>
        <w:snapToGrid w:val="0"/>
        <w:spacing w:line="500" w:lineRule="exact"/>
        <w:ind w:firstLine="480" w:firstLineChars="200"/>
        <w:jc w:val="left"/>
        <w:rPr>
          <w:rFonts w:hAnsi="宋体" w:cs="Times New Roman"/>
          <w:color w:val="000000" w:themeColor="text1"/>
          <w:sz w:val="24"/>
          <w:szCs w:val="24"/>
        </w:rPr>
      </w:pPr>
    </w:p>
    <w:p w14:paraId="71051307">
      <w:pPr>
        <w:pStyle w:val="27"/>
        <w:adjustRightInd w:val="0"/>
        <w:snapToGrid w:val="0"/>
        <w:spacing w:line="500" w:lineRule="exact"/>
        <w:ind w:firstLine="480" w:firstLineChars="200"/>
        <w:jc w:val="left"/>
        <w:rPr>
          <w:rFonts w:hAnsi="宋体" w:cs="Times New Roman"/>
          <w:color w:val="000000" w:themeColor="text1"/>
          <w:sz w:val="24"/>
          <w:szCs w:val="24"/>
        </w:rPr>
      </w:pPr>
      <w:r>
        <w:rPr>
          <w:rFonts w:hint="eastAsia" w:hAnsi="宋体"/>
          <w:color w:val="000000" w:themeColor="text1"/>
          <w:sz w:val="24"/>
          <w:szCs w:val="24"/>
        </w:rPr>
        <w:t>被授权人无转委托权，特此委托。</w:t>
      </w:r>
    </w:p>
    <w:p w14:paraId="7527D931">
      <w:pPr>
        <w:pStyle w:val="27"/>
        <w:adjustRightInd w:val="0"/>
        <w:snapToGrid w:val="0"/>
        <w:spacing w:line="500" w:lineRule="exact"/>
        <w:ind w:firstLine="480" w:firstLineChars="200"/>
        <w:jc w:val="left"/>
        <w:rPr>
          <w:rFonts w:hAnsi="宋体" w:cs="Times New Roman"/>
          <w:color w:val="000000" w:themeColor="text1"/>
          <w:sz w:val="24"/>
          <w:szCs w:val="24"/>
        </w:rPr>
      </w:pPr>
    </w:p>
    <w:p w14:paraId="56A84EB4">
      <w:pPr>
        <w:spacing w:line="480" w:lineRule="exact"/>
        <w:rPr>
          <w:rFonts w:hAnsi="宋体"/>
          <w:color w:val="000000" w:themeColor="text1"/>
          <w:sz w:val="24"/>
          <w:szCs w:val="24"/>
        </w:rPr>
      </w:pPr>
      <w:r>
        <w:rPr>
          <w:rFonts w:hint="eastAsia" w:hAnsi="宋体" w:cs="宋体"/>
          <w:color w:val="000000" w:themeColor="text1"/>
          <w:sz w:val="24"/>
          <w:szCs w:val="24"/>
        </w:rPr>
        <w:t>附：被授权人情况：</w:t>
      </w:r>
    </w:p>
    <w:p w14:paraId="63FEC29B">
      <w:pPr>
        <w:spacing w:line="480" w:lineRule="exact"/>
        <w:rPr>
          <w:rFonts w:hAnsi="宋体"/>
          <w:color w:val="000000" w:themeColor="text1"/>
          <w:sz w:val="24"/>
          <w:szCs w:val="24"/>
          <w:u w:val="single"/>
        </w:rPr>
      </w:pPr>
      <w:r>
        <w:rPr>
          <w:rFonts w:hint="eastAsia" w:hAnsi="宋体" w:cs="宋体"/>
          <w:color w:val="000000" w:themeColor="text1"/>
          <w:sz w:val="24"/>
          <w:szCs w:val="24"/>
        </w:rPr>
        <w:t>姓名：      性别：      年龄：          职务：</w:t>
      </w:r>
    </w:p>
    <w:p w14:paraId="4A4CD7AD">
      <w:pPr>
        <w:spacing w:line="480" w:lineRule="exact"/>
        <w:rPr>
          <w:rFonts w:hAnsi="宋体"/>
          <w:color w:val="000000" w:themeColor="text1"/>
          <w:sz w:val="24"/>
          <w:szCs w:val="24"/>
        </w:rPr>
      </w:pPr>
      <w:r>
        <w:rPr>
          <w:rFonts w:hint="eastAsia" w:hAnsi="宋体" w:cs="宋体"/>
          <w:color w:val="000000" w:themeColor="text1"/>
          <w:sz w:val="24"/>
          <w:szCs w:val="24"/>
        </w:rPr>
        <w:t>身份证号码：</w:t>
      </w:r>
    </w:p>
    <w:p w14:paraId="25E04EC5">
      <w:pPr>
        <w:spacing w:line="480" w:lineRule="exact"/>
        <w:rPr>
          <w:rFonts w:hAnsi="宋体"/>
          <w:color w:val="000000" w:themeColor="text1"/>
          <w:sz w:val="24"/>
          <w:szCs w:val="24"/>
        </w:rPr>
      </w:pPr>
      <w:r>
        <w:rPr>
          <w:rFonts w:hint="eastAsia" w:hAnsi="宋体" w:cs="宋体"/>
          <w:color w:val="000000" w:themeColor="text1"/>
          <w:sz w:val="24"/>
          <w:szCs w:val="24"/>
        </w:rPr>
        <w:t>手机：                传真：</w:t>
      </w:r>
    </w:p>
    <w:p w14:paraId="024AD762">
      <w:pPr>
        <w:spacing w:line="480" w:lineRule="exact"/>
        <w:rPr>
          <w:rFonts w:hAnsi="宋体"/>
          <w:color w:val="000000" w:themeColor="text1"/>
          <w:sz w:val="24"/>
          <w:szCs w:val="24"/>
        </w:rPr>
      </w:pPr>
      <w:r>
        <w:rPr>
          <w:rFonts w:hint="eastAsia" w:hAnsi="宋体" w:cs="宋体"/>
          <w:color w:val="000000" w:themeColor="text1"/>
          <w:sz w:val="24"/>
          <w:szCs w:val="24"/>
        </w:rPr>
        <w:t>单位名称（公章）                      法定代表人（签字或盖章）</w:t>
      </w:r>
    </w:p>
    <w:p w14:paraId="6B2A6213">
      <w:pPr>
        <w:spacing w:line="480" w:lineRule="exact"/>
        <w:ind w:firstLine="1200" w:firstLineChars="500"/>
        <w:rPr>
          <w:rFonts w:hAnsi="宋体"/>
          <w:color w:val="000000" w:themeColor="text1"/>
          <w:sz w:val="24"/>
          <w:szCs w:val="24"/>
        </w:rPr>
      </w:pPr>
      <w:r>
        <w:rPr>
          <w:rFonts w:hint="eastAsia" w:hAnsi="宋体" w:cs="宋体"/>
          <w:color w:val="000000" w:themeColor="text1"/>
          <w:sz w:val="24"/>
          <w:szCs w:val="24"/>
        </w:rPr>
        <w:t>年  月  日                       年   月   日</w:t>
      </w:r>
    </w:p>
    <w:p w14:paraId="3F2E3A75">
      <w:pPr>
        <w:spacing w:line="480" w:lineRule="exact"/>
        <w:rPr>
          <w:rFonts w:hAnsi="宋体"/>
          <w:color w:val="000000" w:themeColor="text1"/>
          <w:sz w:val="24"/>
          <w:szCs w:val="24"/>
        </w:rPr>
      </w:pPr>
    </w:p>
    <w:p w14:paraId="061156F6">
      <w:pPr>
        <w:snapToGrid w:val="0"/>
        <w:spacing w:line="520" w:lineRule="exact"/>
        <w:ind w:firstLine="2479" w:firstLineChars="1029"/>
        <w:rPr>
          <w:rFonts w:ascii="宋体"/>
          <w:b/>
          <w:bCs/>
          <w:color w:val="000000" w:themeColor="text1"/>
          <w:sz w:val="24"/>
          <w:szCs w:val="24"/>
        </w:rPr>
      </w:pPr>
      <w:r>
        <w:rPr>
          <w:rFonts w:hint="eastAsia" w:ascii="宋体" w:hAnsi="宋体" w:cs="宋体"/>
          <w:b/>
          <w:bCs/>
          <w:color w:val="000000" w:themeColor="text1"/>
          <w:sz w:val="24"/>
          <w:szCs w:val="24"/>
        </w:rPr>
        <w:t>法定代表人身份证复印件</w:t>
      </w:r>
    </w:p>
    <w:p w14:paraId="4898C507">
      <w:pPr>
        <w:snapToGrid w:val="0"/>
        <w:spacing w:line="520" w:lineRule="exact"/>
        <w:rPr>
          <w:rFonts w:ascii="宋体"/>
          <w:color w:val="000000" w:themeColor="text1"/>
          <w:sz w:val="24"/>
          <w:szCs w:val="24"/>
        </w:rPr>
      </w:pPr>
    </w:p>
    <w:p w14:paraId="67FFAD9D">
      <w:pPr>
        <w:snapToGrid w:val="0"/>
        <w:spacing w:line="520" w:lineRule="exact"/>
        <w:ind w:firstLine="2997" w:firstLineChars="1244"/>
        <w:rPr>
          <w:rFonts w:ascii="宋体"/>
          <w:b/>
          <w:bCs/>
          <w:color w:val="000000" w:themeColor="text1"/>
          <w:sz w:val="24"/>
          <w:szCs w:val="24"/>
        </w:rPr>
      </w:pPr>
      <w:r>
        <w:rPr>
          <w:rFonts w:hint="eastAsia" w:ascii="宋体" w:hAnsi="宋体" w:cs="宋体"/>
          <w:b/>
          <w:bCs/>
          <w:color w:val="000000" w:themeColor="text1"/>
          <w:sz w:val="24"/>
          <w:szCs w:val="24"/>
        </w:rPr>
        <w:t>（粘贴此处）</w:t>
      </w:r>
    </w:p>
    <w:p w14:paraId="7CEFF12D">
      <w:pPr>
        <w:spacing w:line="480" w:lineRule="exact"/>
        <w:rPr>
          <w:rFonts w:hAnsi="宋体"/>
          <w:color w:val="000000" w:themeColor="text1"/>
          <w:sz w:val="24"/>
          <w:szCs w:val="24"/>
        </w:rPr>
      </w:pPr>
    </w:p>
    <w:p w14:paraId="1CA9990E">
      <w:pPr>
        <w:spacing w:line="480" w:lineRule="exact"/>
        <w:rPr>
          <w:rFonts w:hAnsi="宋体"/>
          <w:color w:val="000000" w:themeColor="text1"/>
          <w:sz w:val="24"/>
          <w:szCs w:val="24"/>
        </w:rPr>
      </w:pPr>
    </w:p>
    <w:p w14:paraId="47331E6D">
      <w:pPr>
        <w:spacing w:line="480" w:lineRule="exact"/>
        <w:ind w:firstLine="2479" w:firstLineChars="1029"/>
        <w:rPr>
          <w:rFonts w:hAnsi="宋体"/>
          <w:b/>
          <w:bCs/>
          <w:color w:val="000000" w:themeColor="text1"/>
          <w:sz w:val="24"/>
          <w:szCs w:val="24"/>
        </w:rPr>
      </w:pPr>
      <w:r>
        <w:rPr>
          <w:rFonts w:hint="eastAsia" w:hAnsi="宋体" w:cs="宋体"/>
          <w:b/>
          <w:bCs/>
          <w:color w:val="000000" w:themeColor="text1"/>
          <w:sz w:val="24"/>
          <w:szCs w:val="24"/>
        </w:rPr>
        <w:t>被授权人身份证复印件</w:t>
      </w:r>
    </w:p>
    <w:p w14:paraId="69B4418E">
      <w:pPr>
        <w:spacing w:line="480" w:lineRule="exact"/>
        <w:rPr>
          <w:rFonts w:hAnsi="宋体"/>
          <w:color w:val="000000" w:themeColor="text1"/>
          <w:sz w:val="24"/>
          <w:szCs w:val="24"/>
        </w:rPr>
      </w:pPr>
    </w:p>
    <w:p w14:paraId="35166838">
      <w:pPr>
        <w:spacing w:line="480" w:lineRule="exact"/>
        <w:ind w:firstLine="3115" w:firstLineChars="1293"/>
        <w:rPr>
          <w:rFonts w:hAnsi="宋体"/>
          <w:b/>
          <w:bCs/>
          <w:color w:val="000000" w:themeColor="text1"/>
          <w:sz w:val="24"/>
          <w:szCs w:val="24"/>
        </w:rPr>
      </w:pPr>
      <w:r>
        <w:rPr>
          <w:rFonts w:hint="eastAsia" w:hAnsi="宋体" w:cs="宋体"/>
          <w:b/>
          <w:bCs/>
          <w:color w:val="000000" w:themeColor="text1"/>
          <w:sz w:val="24"/>
          <w:szCs w:val="24"/>
        </w:rPr>
        <w:t>（粘贴此处）</w:t>
      </w:r>
    </w:p>
    <w:p w14:paraId="771FA612">
      <w:pPr>
        <w:pStyle w:val="2"/>
        <w:ind w:firstLine="480"/>
        <w:rPr>
          <w:rFonts w:cs="Times New Roman"/>
          <w:color w:val="000000" w:themeColor="text1"/>
        </w:rPr>
      </w:pPr>
    </w:p>
    <w:p w14:paraId="7BC5D9D0">
      <w:pPr>
        <w:spacing w:line="480" w:lineRule="exact"/>
        <w:ind w:firstLine="482" w:firstLineChars="200"/>
        <w:rPr>
          <w:rFonts w:hAnsi="宋体"/>
          <w:b/>
          <w:bCs/>
          <w:color w:val="000000" w:themeColor="text1"/>
          <w:sz w:val="24"/>
          <w:szCs w:val="24"/>
        </w:rPr>
      </w:pPr>
      <w:r>
        <w:rPr>
          <w:rFonts w:hint="eastAsia" w:hAnsi="宋体" w:cs="宋体"/>
          <w:b/>
          <w:bCs/>
          <w:color w:val="000000" w:themeColor="text1"/>
          <w:sz w:val="24"/>
          <w:szCs w:val="24"/>
        </w:rPr>
        <w:t>注</w:t>
      </w:r>
      <w:r>
        <w:rPr>
          <w:rFonts w:hAnsi="宋体"/>
          <w:b/>
          <w:bCs/>
          <w:color w:val="000000" w:themeColor="text1"/>
          <w:sz w:val="24"/>
          <w:szCs w:val="24"/>
        </w:rPr>
        <w:t>:</w:t>
      </w:r>
      <w:r>
        <w:rPr>
          <w:rFonts w:hint="eastAsia" w:hAnsi="宋体" w:cs="宋体"/>
          <w:b/>
          <w:bCs/>
          <w:color w:val="000000" w:themeColor="text1"/>
          <w:sz w:val="24"/>
          <w:szCs w:val="24"/>
        </w:rPr>
        <w:t>参加磋商时被授权人将身份证原件带至磋商现场备查。</w:t>
      </w:r>
    </w:p>
    <w:p w14:paraId="268CE18C">
      <w:pPr>
        <w:snapToGrid w:val="0"/>
        <w:spacing w:line="520" w:lineRule="exact"/>
        <w:jc w:val="center"/>
        <w:outlineLvl w:val="3"/>
        <w:rPr>
          <w:rFonts w:ascii="宋体"/>
          <w:b/>
          <w:bCs/>
          <w:color w:val="000000" w:themeColor="text1"/>
          <w:sz w:val="28"/>
          <w:szCs w:val="28"/>
        </w:rPr>
      </w:pPr>
    </w:p>
    <w:p w14:paraId="039F9F11">
      <w:pPr>
        <w:spacing w:line="360" w:lineRule="auto"/>
        <w:jc w:val="center"/>
        <w:rPr>
          <w:rFonts w:ascii="宋体"/>
          <w:b/>
          <w:bCs/>
          <w:color w:val="000000" w:themeColor="text1"/>
          <w:sz w:val="28"/>
          <w:szCs w:val="28"/>
        </w:rPr>
      </w:pPr>
      <w:r>
        <w:rPr>
          <w:color w:val="000000" w:themeColor="text1"/>
        </w:rPr>
        <w:br w:type="page"/>
      </w:r>
      <w:r>
        <w:rPr>
          <w:rFonts w:ascii="宋体" w:hAnsi="宋体" w:cs="宋体"/>
          <w:b/>
          <w:bCs/>
          <w:color w:val="000000" w:themeColor="text1"/>
          <w:sz w:val="28"/>
          <w:szCs w:val="28"/>
        </w:rPr>
        <w:t>3</w:t>
      </w:r>
      <w:r>
        <w:rPr>
          <w:rFonts w:hint="eastAsia" w:ascii="宋体" w:hAnsi="宋体" w:cs="宋体"/>
          <w:b/>
          <w:bCs/>
          <w:color w:val="000000" w:themeColor="text1"/>
          <w:sz w:val="28"/>
          <w:szCs w:val="28"/>
        </w:rPr>
        <w:t>、无重大违法记录声明</w:t>
      </w:r>
    </w:p>
    <w:p w14:paraId="7DA0202E">
      <w:pPr>
        <w:spacing w:line="360" w:lineRule="auto"/>
        <w:rPr>
          <w:rFonts w:ascii="宋体"/>
          <w:b/>
          <w:bCs/>
          <w:color w:val="000000" w:themeColor="text1"/>
          <w:sz w:val="28"/>
          <w:szCs w:val="28"/>
        </w:rPr>
      </w:pPr>
      <w:r>
        <w:rPr>
          <w:rFonts w:hint="eastAsia" w:ascii="宋体" w:hAnsi="宋体" w:cs="宋体"/>
          <w:color w:val="000000" w:themeColor="text1"/>
          <w:sz w:val="24"/>
          <w:szCs w:val="24"/>
          <w:u w:val="single"/>
          <w:lang w:eastAsia="zh-CN"/>
        </w:rPr>
        <w:t>南通市崇川区城市工程建设管理中心</w:t>
      </w:r>
      <w:r>
        <w:rPr>
          <w:rFonts w:hint="eastAsia" w:ascii="宋体" w:hAnsi="宋体" w:cs="宋体"/>
          <w:color w:val="000000" w:themeColor="text1"/>
          <w:sz w:val="24"/>
          <w:szCs w:val="24"/>
          <w:u w:val="single"/>
        </w:rPr>
        <w:t>：</w:t>
      </w:r>
    </w:p>
    <w:p w14:paraId="474EC1C6">
      <w:pPr>
        <w:spacing w:line="56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我单位（供应商名称）郑重声明：</w:t>
      </w:r>
    </w:p>
    <w:p w14:paraId="6F89D658">
      <w:pPr>
        <w:spacing w:line="56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参加政府采购活动前</w:t>
      </w:r>
      <w:r>
        <w:rPr>
          <w:rFonts w:ascii="宋体" w:hAnsi="宋体" w:cs="宋体"/>
          <w:color w:val="000000" w:themeColor="text1"/>
          <w:sz w:val="24"/>
          <w:szCs w:val="24"/>
        </w:rPr>
        <w:t>3</w:t>
      </w:r>
      <w:r>
        <w:rPr>
          <w:rFonts w:hint="eastAsia" w:ascii="宋体" w:hAnsi="宋体" w:cs="宋体"/>
          <w:color w:val="000000" w:themeColor="text1"/>
          <w:sz w:val="24"/>
          <w:szCs w:val="24"/>
        </w:rPr>
        <w:t>年内在经营活动中（在下划线上如实填写：有或没有）重大违法记录。</w:t>
      </w:r>
    </w:p>
    <w:p w14:paraId="0E228E2C">
      <w:pPr>
        <w:spacing w:line="560" w:lineRule="exact"/>
        <w:ind w:firstLine="480"/>
        <w:rPr>
          <w:rFonts w:ascii="宋体"/>
          <w:color w:val="000000" w:themeColor="text1"/>
          <w:sz w:val="24"/>
          <w:szCs w:val="24"/>
        </w:rPr>
      </w:pPr>
      <w:r>
        <w:rPr>
          <w:rFonts w:hint="eastAsia" w:ascii="宋体" w:hAnsi="宋体" w:cs="宋体"/>
          <w:color w:val="000000" w:themeColor="text1"/>
          <w:sz w:val="24"/>
          <w:szCs w:val="24"/>
        </w:rPr>
        <w:t>（说明：政府采购法第二十二条第一款第五项所称重大违法记录，是指供应商因违法经营受到刑事处罚或者责令停产停业、吊销许可证或者执照、较大数额罚款等行政处罚。）</w:t>
      </w:r>
    </w:p>
    <w:p w14:paraId="72BDC637">
      <w:pPr>
        <w:spacing w:line="420" w:lineRule="exact"/>
        <w:rPr>
          <w:rFonts w:ascii="宋体"/>
          <w:color w:val="000000" w:themeColor="text1"/>
          <w:sz w:val="24"/>
          <w:szCs w:val="24"/>
        </w:rPr>
      </w:pPr>
    </w:p>
    <w:p w14:paraId="6D429784">
      <w:pPr>
        <w:spacing w:line="420" w:lineRule="exact"/>
        <w:ind w:firstLine="6360" w:firstLineChars="2650"/>
        <w:rPr>
          <w:rFonts w:ascii="宋体"/>
          <w:color w:val="000000" w:themeColor="text1"/>
          <w:sz w:val="24"/>
          <w:szCs w:val="24"/>
        </w:rPr>
      </w:pPr>
      <w:r>
        <w:rPr>
          <w:rFonts w:hint="eastAsia" w:ascii="宋体" w:hAnsi="宋体" w:cs="宋体"/>
          <w:color w:val="000000" w:themeColor="text1"/>
          <w:sz w:val="24"/>
          <w:szCs w:val="24"/>
        </w:rPr>
        <w:t>声明人：（公章）</w:t>
      </w:r>
    </w:p>
    <w:p w14:paraId="4C33EF03">
      <w:pPr>
        <w:spacing w:line="420" w:lineRule="exact"/>
        <w:jc w:val="right"/>
        <w:rPr>
          <w:rFonts w:ascii="宋体"/>
          <w:color w:val="000000" w:themeColor="text1"/>
          <w:sz w:val="24"/>
          <w:szCs w:val="24"/>
        </w:rPr>
      </w:pPr>
      <w:r>
        <w:rPr>
          <w:rFonts w:hint="eastAsia" w:ascii="宋体" w:hAnsi="宋体" w:cs="宋体"/>
          <w:color w:val="000000" w:themeColor="text1"/>
          <w:sz w:val="24"/>
          <w:szCs w:val="24"/>
        </w:rPr>
        <w:t>年月日</w:t>
      </w:r>
    </w:p>
    <w:p w14:paraId="5B07C534">
      <w:pPr>
        <w:snapToGrid w:val="0"/>
        <w:spacing w:line="360" w:lineRule="auto"/>
        <w:jc w:val="center"/>
        <w:outlineLvl w:val="4"/>
        <w:rPr>
          <w:rFonts w:ascii="宋体"/>
          <w:b/>
          <w:bCs/>
          <w:color w:val="000000" w:themeColor="text1"/>
          <w:sz w:val="28"/>
          <w:szCs w:val="28"/>
        </w:rPr>
      </w:pPr>
      <w:r>
        <w:rPr>
          <w:rFonts w:ascii="宋体"/>
          <w:b/>
          <w:bCs/>
          <w:color w:val="000000" w:themeColor="text1"/>
          <w:sz w:val="28"/>
          <w:szCs w:val="28"/>
        </w:rPr>
        <w:br w:type="page"/>
      </w:r>
    </w:p>
    <w:p w14:paraId="1ACEADEC">
      <w:pPr>
        <w:spacing w:line="360" w:lineRule="auto"/>
        <w:jc w:val="center"/>
        <w:rPr>
          <w:rFonts w:ascii="宋体"/>
          <w:b/>
          <w:bCs/>
          <w:color w:val="000000" w:themeColor="text1"/>
          <w:sz w:val="28"/>
          <w:szCs w:val="28"/>
        </w:rPr>
      </w:pPr>
      <w:r>
        <w:rPr>
          <w:rFonts w:ascii="宋体" w:hAnsi="宋体" w:cs="宋体"/>
          <w:b/>
          <w:bCs/>
          <w:color w:val="000000" w:themeColor="text1"/>
          <w:sz w:val="28"/>
          <w:szCs w:val="28"/>
        </w:rPr>
        <w:t>4</w:t>
      </w:r>
      <w:r>
        <w:rPr>
          <w:rFonts w:hint="eastAsia" w:ascii="宋体" w:hAnsi="宋体" w:cs="宋体"/>
          <w:b/>
          <w:bCs/>
          <w:color w:val="000000" w:themeColor="text1"/>
          <w:sz w:val="28"/>
          <w:szCs w:val="28"/>
        </w:rPr>
        <w:t>、关于资格文件的声明函</w:t>
      </w:r>
    </w:p>
    <w:p w14:paraId="5A49FFC4">
      <w:pPr>
        <w:snapToGrid w:val="0"/>
        <w:spacing w:line="360" w:lineRule="auto"/>
        <w:rPr>
          <w:rFonts w:ascii="宋体"/>
          <w:color w:val="000000" w:themeColor="text1"/>
          <w:sz w:val="24"/>
          <w:szCs w:val="24"/>
          <w:u w:val="single"/>
        </w:rPr>
      </w:pPr>
    </w:p>
    <w:p w14:paraId="1E019754">
      <w:pPr>
        <w:snapToGrid w:val="0"/>
        <w:spacing w:line="360" w:lineRule="auto"/>
        <w:rPr>
          <w:rFonts w:ascii="宋体"/>
          <w:color w:val="000000" w:themeColor="text1"/>
          <w:sz w:val="24"/>
          <w:szCs w:val="24"/>
          <w:u w:val="single"/>
        </w:rPr>
      </w:pPr>
    </w:p>
    <w:p w14:paraId="2B4B2305">
      <w:pPr>
        <w:snapToGrid w:val="0"/>
        <w:spacing w:line="360" w:lineRule="auto"/>
        <w:rPr>
          <w:rFonts w:ascii="宋体"/>
          <w:color w:val="000000" w:themeColor="text1"/>
          <w:sz w:val="24"/>
          <w:szCs w:val="24"/>
          <w:u w:val="single"/>
        </w:rPr>
      </w:pPr>
      <w:r>
        <w:rPr>
          <w:rFonts w:hint="eastAsia" w:ascii="宋体" w:hAnsi="宋体" w:cs="宋体"/>
          <w:color w:val="000000" w:themeColor="text1"/>
          <w:sz w:val="24"/>
          <w:szCs w:val="24"/>
          <w:u w:val="single"/>
          <w:lang w:eastAsia="zh-CN"/>
        </w:rPr>
        <w:t>南通市崇川区城市工程建设管理中心</w:t>
      </w:r>
      <w:r>
        <w:rPr>
          <w:rFonts w:hint="eastAsia" w:ascii="宋体" w:hAnsi="宋体" w:cs="宋体"/>
          <w:color w:val="000000" w:themeColor="text1"/>
          <w:sz w:val="24"/>
          <w:szCs w:val="24"/>
          <w:u w:val="single"/>
        </w:rPr>
        <w:t>：</w:t>
      </w:r>
    </w:p>
    <w:p w14:paraId="71B37B90">
      <w:pPr>
        <w:overflowPunct w:val="0"/>
        <w:adjustRightInd w:val="0"/>
        <w:spacing w:line="360" w:lineRule="auto"/>
        <w:ind w:firstLine="660"/>
        <w:jc w:val="left"/>
        <w:textAlignment w:val="baseline"/>
        <w:rPr>
          <w:rFonts w:ascii="宋体"/>
          <w:color w:val="000000" w:themeColor="text1"/>
          <w:sz w:val="24"/>
          <w:szCs w:val="24"/>
        </w:rPr>
      </w:pPr>
      <w:r>
        <w:rPr>
          <w:rFonts w:hint="eastAsia" w:ascii="宋体" w:hAnsi="宋体" w:cs="宋体"/>
          <w:color w:val="000000" w:themeColor="text1"/>
          <w:sz w:val="24"/>
          <w:szCs w:val="24"/>
        </w:rPr>
        <w:t>本公司愿就由贵单位组织实施的</w:t>
      </w:r>
      <w:r>
        <w:rPr>
          <w:rFonts w:hint="eastAsia" w:ascii="宋体" w:hAnsi="宋体" w:cs="宋体"/>
          <w:color w:val="000000" w:themeColor="text1"/>
          <w:sz w:val="24"/>
          <w:szCs w:val="24"/>
          <w:u w:val="single"/>
        </w:rPr>
        <w:t>（项目名称</w:t>
      </w:r>
      <w:r>
        <w:rPr>
          <w:rFonts w:ascii="宋体" w:hAnsi="宋体" w:cs="宋体"/>
          <w:color w:val="000000" w:themeColor="text1"/>
          <w:sz w:val="24"/>
          <w:szCs w:val="24"/>
          <w:u w:val="single"/>
        </w:rPr>
        <w:t>)</w:t>
      </w:r>
      <w:r>
        <w:rPr>
          <w:rFonts w:hint="eastAsia" w:ascii="宋体" w:hAnsi="宋体" w:cs="宋体"/>
          <w:color w:val="000000" w:themeColor="text1"/>
          <w:sz w:val="24"/>
          <w:szCs w:val="24"/>
        </w:rPr>
        <w:t>的活动参与磋商。本公司所提交的磋商文件中所有关于资格的文件、证明和陈述均是真实的、准确的。若与真实情况不符，本公司愿意承担由此而产生的一切后果。</w:t>
      </w:r>
    </w:p>
    <w:p w14:paraId="55B09E1F">
      <w:pPr>
        <w:overflowPunct w:val="0"/>
        <w:adjustRightInd w:val="0"/>
        <w:spacing w:line="360" w:lineRule="auto"/>
        <w:ind w:firstLine="420"/>
        <w:jc w:val="left"/>
        <w:textAlignment w:val="baseline"/>
        <w:rPr>
          <w:rFonts w:ascii="宋体"/>
          <w:color w:val="000000" w:themeColor="text1"/>
          <w:sz w:val="24"/>
          <w:szCs w:val="24"/>
        </w:rPr>
      </w:pPr>
    </w:p>
    <w:p w14:paraId="21A25AE0">
      <w:pPr>
        <w:overflowPunct w:val="0"/>
        <w:adjustRightInd w:val="0"/>
        <w:spacing w:line="360" w:lineRule="auto"/>
        <w:ind w:firstLine="420"/>
        <w:jc w:val="left"/>
        <w:textAlignment w:val="baseline"/>
        <w:rPr>
          <w:rFonts w:ascii="宋体"/>
          <w:color w:val="000000" w:themeColor="text1"/>
          <w:sz w:val="24"/>
          <w:szCs w:val="24"/>
        </w:rPr>
      </w:pPr>
    </w:p>
    <w:p w14:paraId="40E90522">
      <w:pPr>
        <w:snapToGrid w:val="0"/>
        <w:spacing w:line="520" w:lineRule="exact"/>
        <w:jc w:val="right"/>
        <w:rPr>
          <w:rFonts w:ascii="宋体"/>
          <w:color w:val="000000" w:themeColor="text1"/>
          <w:sz w:val="24"/>
          <w:szCs w:val="24"/>
        </w:rPr>
      </w:pPr>
      <w:r>
        <w:rPr>
          <w:rFonts w:hint="eastAsia" w:ascii="宋体" w:hAnsi="宋体" w:cs="宋体"/>
          <w:color w:val="000000" w:themeColor="text1"/>
          <w:sz w:val="24"/>
          <w:szCs w:val="24"/>
        </w:rPr>
        <w:t>竞争性磋商响应单位：（加盖公章）</w:t>
      </w:r>
    </w:p>
    <w:p w14:paraId="3F316744">
      <w:pPr>
        <w:snapToGrid w:val="0"/>
        <w:spacing w:line="520" w:lineRule="exact"/>
        <w:ind w:firstLine="2400" w:firstLineChars="1000"/>
        <w:jc w:val="right"/>
        <w:rPr>
          <w:rFonts w:ascii="宋体"/>
          <w:color w:val="000000" w:themeColor="text1"/>
          <w:sz w:val="24"/>
          <w:szCs w:val="24"/>
        </w:rPr>
      </w:pPr>
      <w:r>
        <w:rPr>
          <w:rFonts w:hint="eastAsia" w:ascii="宋体" w:hAnsi="宋体" w:cs="宋体"/>
          <w:color w:val="000000" w:themeColor="text1"/>
          <w:sz w:val="24"/>
          <w:szCs w:val="24"/>
        </w:rPr>
        <w:t>法定代表人或被授权人：（签字或盖章）</w:t>
      </w:r>
    </w:p>
    <w:p w14:paraId="2C5C0D41">
      <w:pPr>
        <w:snapToGrid w:val="0"/>
        <w:spacing w:line="520" w:lineRule="exact"/>
        <w:ind w:right="120"/>
        <w:jc w:val="right"/>
        <w:rPr>
          <w:rFonts w:ascii="宋体"/>
          <w:color w:val="000000" w:themeColor="text1"/>
          <w:sz w:val="24"/>
          <w:szCs w:val="24"/>
        </w:rPr>
      </w:pPr>
      <w:r>
        <w:rPr>
          <w:rFonts w:hint="eastAsia" w:ascii="宋体" w:hAnsi="宋体" w:cs="宋体"/>
          <w:color w:val="000000" w:themeColor="text1"/>
          <w:sz w:val="24"/>
          <w:szCs w:val="24"/>
        </w:rPr>
        <w:t>年  月  日</w:t>
      </w:r>
    </w:p>
    <w:p w14:paraId="709499E4">
      <w:pPr>
        <w:snapToGrid w:val="0"/>
        <w:spacing w:line="520" w:lineRule="exact"/>
        <w:jc w:val="center"/>
        <w:outlineLvl w:val="3"/>
        <w:rPr>
          <w:rFonts w:ascii="宋体"/>
          <w:b/>
          <w:bCs/>
          <w:color w:val="000000" w:themeColor="text1"/>
          <w:sz w:val="28"/>
          <w:szCs w:val="28"/>
        </w:rPr>
      </w:pPr>
    </w:p>
    <w:p w14:paraId="6B81459E">
      <w:pPr>
        <w:snapToGrid w:val="0"/>
        <w:spacing w:line="520" w:lineRule="exact"/>
        <w:jc w:val="center"/>
        <w:outlineLvl w:val="3"/>
        <w:rPr>
          <w:rFonts w:ascii="宋体"/>
          <w:b/>
          <w:bCs/>
          <w:color w:val="000000" w:themeColor="text1"/>
          <w:sz w:val="28"/>
          <w:szCs w:val="28"/>
        </w:rPr>
      </w:pPr>
    </w:p>
    <w:p w14:paraId="074F3FFF">
      <w:pPr>
        <w:snapToGrid w:val="0"/>
        <w:spacing w:line="520" w:lineRule="exact"/>
        <w:jc w:val="center"/>
        <w:outlineLvl w:val="3"/>
        <w:rPr>
          <w:rFonts w:ascii="宋体"/>
          <w:b/>
          <w:bCs/>
          <w:color w:val="000000" w:themeColor="text1"/>
          <w:sz w:val="28"/>
          <w:szCs w:val="28"/>
        </w:rPr>
      </w:pPr>
    </w:p>
    <w:p w14:paraId="337A85C2">
      <w:pPr>
        <w:spacing w:line="360" w:lineRule="auto"/>
        <w:rPr>
          <w:rFonts w:ascii="宋体"/>
          <w:b/>
          <w:bCs/>
          <w:color w:val="000000" w:themeColor="text1"/>
          <w:sz w:val="30"/>
          <w:szCs w:val="30"/>
        </w:rPr>
      </w:pPr>
    </w:p>
    <w:p w14:paraId="7A641C8B">
      <w:pPr>
        <w:pStyle w:val="8"/>
        <w:rPr>
          <w:rFonts w:ascii="宋体"/>
          <w:color w:val="000000" w:themeColor="text1"/>
          <w:sz w:val="30"/>
          <w:szCs w:val="30"/>
        </w:rPr>
      </w:pPr>
    </w:p>
    <w:p w14:paraId="50B6C542">
      <w:pPr>
        <w:rPr>
          <w:rFonts w:ascii="宋体"/>
          <w:b/>
          <w:bCs/>
          <w:color w:val="000000" w:themeColor="text1"/>
          <w:sz w:val="30"/>
          <w:szCs w:val="30"/>
        </w:rPr>
      </w:pPr>
    </w:p>
    <w:p w14:paraId="58CF333F">
      <w:pPr>
        <w:pStyle w:val="8"/>
        <w:rPr>
          <w:rFonts w:ascii="宋体"/>
          <w:color w:val="000000" w:themeColor="text1"/>
          <w:sz w:val="30"/>
          <w:szCs w:val="30"/>
        </w:rPr>
      </w:pPr>
    </w:p>
    <w:p w14:paraId="063CF98B">
      <w:pPr>
        <w:pStyle w:val="8"/>
        <w:rPr>
          <w:rFonts w:ascii="宋体"/>
          <w:color w:val="000000" w:themeColor="text1"/>
          <w:sz w:val="30"/>
          <w:szCs w:val="30"/>
        </w:rPr>
      </w:pPr>
    </w:p>
    <w:p w14:paraId="258FA149">
      <w:pPr>
        <w:rPr>
          <w:rFonts w:ascii="宋体"/>
          <w:b/>
          <w:bCs/>
          <w:color w:val="000000" w:themeColor="text1"/>
          <w:sz w:val="30"/>
          <w:szCs w:val="30"/>
        </w:rPr>
      </w:pPr>
    </w:p>
    <w:p w14:paraId="04C828EF">
      <w:pPr>
        <w:spacing w:line="360" w:lineRule="auto"/>
        <w:jc w:val="center"/>
        <w:rPr>
          <w:rFonts w:ascii="宋体" w:hAnsi="宋体" w:cs="宋体"/>
          <w:b/>
          <w:bCs/>
          <w:color w:val="000000" w:themeColor="text1"/>
          <w:sz w:val="28"/>
          <w:szCs w:val="28"/>
        </w:rPr>
      </w:pPr>
    </w:p>
    <w:p w14:paraId="79233C75">
      <w:pPr>
        <w:spacing w:line="360" w:lineRule="auto"/>
        <w:jc w:val="center"/>
        <w:rPr>
          <w:rFonts w:ascii="宋体" w:hAnsi="宋体" w:cs="宋体"/>
          <w:b/>
          <w:bCs/>
          <w:color w:val="000000" w:themeColor="text1"/>
          <w:sz w:val="28"/>
          <w:szCs w:val="28"/>
        </w:rPr>
      </w:pPr>
    </w:p>
    <w:p w14:paraId="2ADDC38C">
      <w:pPr>
        <w:snapToGrid w:val="0"/>
        <w:spacing w:line="520" w:lineRule="exact"/>
        <w:ind w:firstLine="562" w:firstLineChars="200"/>
        <w:jc w:val="center"/>
        <w:rPr>
          <w:rFonts w:ascii="宋体"/>
          <w:b/>
          <w:bCs/>
          <w:color w:val="000000" w:themeColor="text1"/>
          <w:sz w:val="28"/>
          <w:szCs w:val="28"/>
        </w:rPr>
      </w:pPr>
      <w:r>
        <w:rPr>
          <w:rFonts w:hint="eastAsia" w:ascii="宋体" w:hAnsi="宋体" w:cs="宋体"/>
          <w:b/>
          <w:bCs/>
          <w:color w:val="000000" w:themeColor="text1"/>
          <w:sz w:val="28"/>
          <w:szCs w:val="28"/>
        </w:rPr>
        <w:t>5、竞争性磋商响应函（格式不得变动）</w:t>
      </w:r>
    </w:p>
    <w:p w14:paraId="1B55F1BD">
      <w:pPr>
        <w:snapToGrid w:val="0"/>
        <w:spacing w:line="520" w:lineRule="exact"/>
        <w:rPr>
          <w:rFonts w:ascii="宋体"/>
          <w:color w:val="000000" w:themeColor="text1"/>
          <w:sz w:val="24"/>
          <w:szCs w:val="24"/>
          <w:u w:val="single"/>
        </w:rPr>
      </w:pPr>
    </w:p>
    <w:p w14:paraId="259E5E25">
      <w:pPr>
        <w:snapToGrid w:val="0"/>
        <w:spacing w:line="520" w:lineRule="exact"/>
        <w:rPr>
          <w:rFonts w:ascii="宋体"/>
          <w:color w:val="000000" w:themeColor="text1"/>
          <w:sz w:val="24"/>
          <w:szCs w:val="24"/>
          <w:u w:val="single"/>
        </w:rPr>
      </w:pPr>
      <w:r>
        <w:rPr>
          <w:rFonts w:hint="eastAsia" w:ascii="宋体" w:hAnsi="宋体" w:cs="宋体"/>
          <w:color w:val="000000" w:themeColor="text1"/>
          <w:sz w:val="24"/>
          <w:szCs w:val="24"/>
          <w:u w:val="single"/>
          <w:lang w:eastAsia="zh-CN"/>
        </w:rPr>
        <w:t>南通市崇川区城市工程建设管理中心</w:t>
      </w:r>
      <w:r>
        <w:rPr>
          <w:rFonts w:hint="eastAsia" w:ascii="宋体" w:hAnsi="宋体" w:cs="宋体"/>
          <w:color w:val="000000" w:themeColor="text1"/>
          <w:sz w:val="24"/>
          <w:szCs w:val="24"/>
          <w:u w:val="single"/>
        </w:rPr>
        <w:t>：</w:t>
      </w:r>
    </w:p>
    <w:p w14:paraId="07D5203F">
      <w:pPr>
        <w:snapToGrid w:val="0"/>
        <w:spacing w:line="52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依据贵单位委托代理机构组织的</w:t>
      </w:r>
      <w:r>
        <w:rPr>
          <w:rFonts w:hint="eastAsia" w:ascii="宋体" w:hAnsi="宋体" w:cs="宋体"/>
          <w:color w:val="000000" w:themeColor="text1"/>
          <w:sz w:val="24"/>
          <w:szCs w:val="24"/>
          <w:u w:val="single"/>
        </w:rPr>
        <w:t>（磋商项目名称</w:t>
      </w:r>
      <w:r>
        <w:rPr>
          <w:rFonts w:ascii="宋体" w:hAnsi="宋体" w:cs="宋体"/>
          <w:color w:val="000000" w:themeColor="text1"/>
          <w:sz w:val="24"/>
          <w:szCs w:val="24"/>
          <w:u w:val="single"/>
        </w:rPr>
        <w:t>)</w:t>
      </w:r>
      <w:r>
        <w:rPr>
          <w:rFonts w:hint="eastAsia" w:ascii="宋体" w:hAnsi="宋体" w:cs="宋体"/>
          <w:color w:val="000000" w:themeColor="text1"/>
          <w:sz w:val="24"/>
          <w:szCs w:val="24"/>
        </w:rPr>
        <w:t>项目竞争性磋商的邀请，我方授权</w:t>
      </w:r>
      <w:r>
        <w:rPr>
          <w:rFonts w:hint="eastAsia" w:ascii="宋体" w:hAnsi="宋体" w:cs="宋体"/>
          <w:color w:val="000000" w:themeColor="text1"/>
          <w:sz w:val="24"/>
          <w:szCs w:val="24"/>
          <w:u w:val="single"/>
        </w:rPr>
        <w:t>（姓名）（职务）</w:t>
      </w:r>
      <w:r>
        <w:rPr>
          <w:rFonts w:hint="eastAsia" w:ascii="宋体" w:hAnsi="宋体" w:cs="宋体"/>
          <w:color w:val="000000" w:themeColor="text1"/>
          <w:sz w:val="24"/>
          <w:szCs w:val="24"/>
        </w:rPr>
        <w:t>为全权代表参加该项目的磋商工作，全权处理本次竞争性磋商的有关事宜。同时，我公司声明如下：</w:t>
      </w:r>
    </w:p>
    <w:p w14:paraId="2679D0F2">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、同意并接受竞争性磋商文件的各项要求，遵守竞争性磋商文件中的各项规定，按竞争性磋商文件的要求提供报价。</w:t>
      </w:r>
    </w:p>
    <w:p w14:paraId="2B50AAC0">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7A63EBFA">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、我公司已毫无保留地向贵方提供一切所需的证明材料。</w:t>
      </w:r>
    </w:p>
    <w:p w14:paraId="7DFA34F5">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、我公司承诺在本次磋商响应中提供的一切文件，无论是原件还是复印件均真实有效，绝无任何虚假、伪造和夸大的成份。否则，愿承担相应的后果和法律责任。</w:t>
      </w:r>
    </w:p>
    <w:p w14:paraId="38000AFC">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、一旦成交，我方承诺无正当理由拒绝签订合同的，贵方有权取消我公司的成交资格。</w:t>
      </w:r>
    </w:p>
    <w:p w14:paraId="7A76DDE9">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一旦成交，我方将根据竞争性磋商文件的规定，严格履行合同规定的责任和义务，并保证在竞争性磋商文件中规定的时间期限内完成合同项目。</w:t>
      </w:r>
    </w:p>
    <w:p w14:paraId="3F1B1229">
      <w:pPr>
        <w:snapToGrid w:val="0"/>
        <w:spacing w:line="520" w:lineRule="exact"/>
        <w:ind w:firstLine="480" w:firstLineChars="200"/>
        <w:rPr>
          <w:rFonts w:ascii="宋体"/>
          <w:color w:val="000000" w:themeColor="text1"/>
          <w:sz w:val="24"/>
          <w:szCs w:val="24"/>
        </w:rPr>
      </w:pPr>
    </w:p>
    <w:p w14:paraId="205AE224">
      <w:pPr>
        <w:pStyle w:val="2"/>
        <w:ind w:firstLine="480"/>
        <w:rPr>
          <w:color w:val="000000" w:themeColor="text1"/>
        </w:rPr>
      </w:pPr>
    </w:p>
    <w:p w14:paraId="305D97AA">
      <w:pPr>
        <w:snapToGrid w:val="0"/>
        <w:spacing w:line="520" w:lineRule="exact"/>
        <w:jc w:val="right"/>
        <w:rPr>
          <w:rFonts w:ascii="宋体"/>
          <w:color w:val="000000" w:themeColor="text1"/>
          <w:sz w:val="24"/>
          <w:szCs w:val="24"/>
        </w:rPr>
      </w:pPr>
      <w:r>
        <w:rPr>
          <w:rFonts w:hint="eastAsia" w:ascii="宋体" w:hAnsi="宋体" w:cs="宋体"/>
          <w:color w:val="000000" w:themeColor="text1"/>
          <w:sz w:val="24"/>
          <w:szCs w:val="24"/>
        </w:rPr>
        <w:t>竞争性磋商响应单位：（加盖公章）</w:t>
      </w:r>
    </w:p>
    <w:p w14:paraId="7F055358">
      <w:pPr>
        <w:snapToGrid w:val="0"/>
        <w:spacing w:line="520" w:lineRule="exact"/>
        <w:ind w:firstLine="2400" w:firstLineChars="1000"/>
        <w:jc w:val="right"/>
        <w:rPr>
          <w:rFonts w:ascii="宋体"/>
          <w:color w:val="000000" w:themeColor="text1"/>
          <w:sz w:val="24"/>
          <w:szCs w:val="24"/>
        </w:rPr>
      </w:pPr>
      <w:r>
        <w:rPr>
          <w:rFonts w:hint="eastAsia" w:ascii="宋体" w:hAnsi="宋体" w:cs="宋体"/>
          <w:color w:val="000000" w:themeColor="text1"/>
          <w:sz w:val="24"/>
          <w:szCs w:val="24"/>
        </w:rPr>
        <w:t>法定代表人或被授权人：（签字或盖章）</w:t>
      </w:r>
    </w:p>
    <w:p w14:paraId="2690E043">
      <w:pPr>
        <w:snapToGrid w:val="0"/>
        <w:spacing w:line="520" w:lineRule="exact"/>
        <w:jc w:val="right"/>
        <w:outlineLvl w:val="4"/>
        <w:rPr>
          <w:rFonts w:ascii="宋体" w:hAnsi="宋体" w:cs="宋体"/>
          <w:color w:val="000000" w:themeColor="text1"/>
          <w:sz w:val="24"/>
          <w:szCs w:val="24"/>
        </w:rPr>
      </w:pPr>
      <w:r>
        <w:rPr>
          <w:rFonts w:hint="eastAsia" w:ascii="宋体" w:hAnsi="宋体" w:cs="宋体"/>
          <w:color w:val="000000" w:themeColor="text1"/>
          <w:sz w:val="24"/>
          <w:szCs w:val="24"/>
        </w:rPr>
        <w:t xml:space="preserve"> 年    月    日</w:t>
      </w:r>
    </w:p>
    <w:p w14:paraId="40C6F4C3">
      <w:pPr>
        <w:pStyle w:val="2"/>
        <w:ind w:firstLine="480"/>
        <w:rPr>
          <w:color w:val="000000" w:themeColor="text1"/>
        </w:rPr>
      </w:pPr>
    </w:p>
    <w:p w14:paraId="3F037713">
      <w:pPr>
        <w:pStyle w:val="2"/>
        <w:ind w:firstLine="480"/>
        <w:rPr>
          <w:color w:val="000000" w:themeColor="text1"/>
        </w:rPr>
      </w:pPr>
    </w:p>
    <w:p w14:paraId="7BC9127D">
      <w:pPr>
        <w:pStyle w:val="2"/>
        <w:ind w:firstLine="480"/>
        <w:rPr>
          <w:color w:val="000000" w:themeColor="text1"/>
        </w:rPr>
      </w:pPr>
    </w:p>
    <w:p w14:paraId="14DA7106">
      <w:pPr>
        <w:pStyle w:val="21"/>
        <w:rPr>
          <w:rFonts w:ascii="宋体" w:hAnsi="宋体" w:cs="宋体"/>
          <w:b/>
          <w:color w:val="000000" w:themeColor="text1"/>
          <w:sz w:val="28"/>
          <w:szCs w:val="28"/>
        </w:rPr>
      </w:pPr>
    </w:p>
    <w:p w14:paraId="6F7549FC">
      <w:pPr>
        <w:spacing w:line="480" w:lineRule="exact"/>
        <w:ind w:left="420" w:leftChars="200"/>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6、现场勘察承诺函</w:t>
      </w:r>
    </w:p>
    <w:p w14:paraId="17B4B1FF">
      <w:pPr>
        <w:pStyle w:val="21"/>
        <w:ind w:left="420" w:leftChars="200"/>
        <w:rPr>
          <w:color w:val="000000" w:themeColor="text1"/>
        </w:rPr>
      </w:pPr>
    </w:p>
    <w:p w14:paraId="05E01898">
      <w:pPr>
        <w:snapToGrid w:val="0"/>
        <w:spacing w:line="360" w:lineRule="auto"/>
        <w:rPr>
          <w:rFonts w:ascii="宋体" w:hAnsi="宋体"/>
          <w:bCs/>
          <w:color w:val="000000" w:themeColor="text1"/>
          <w:sz w:val="24"/>
          <w:szCs w:val="24"/>
          <w:u w:val="single"/>
        </w:rPr>
      </w:pPr>
      <w:r>
        <w:rPr>
          <w:rFonts w:hint="eastAsia" w:ascii="宋体" w:hAnsi="宋体" w:cs="宋体"/>
          <w:color w:val="000000" w:themeColor="text1"/>
          <w:sz w:val="24"/>
          <w:szCs w:val="24"/>
          <w:u w:val="single"/>
        </w:rPr>
        <w:t>南通市崇川区城市工程建设管理中心：</w:t>
      </w:r>
    </w:p>
    <w:p w14:paraId="539FC506">
      <w:pPr>
        <w:overflowPunct w:val="0"/>
        <w:adjustRightInd w:val="0"/>
        <w:spacing w:line="360" w:lineRule="auto"/>
        <w:ind w:firstLine="660"/>
        <w:jc w:val="left"/>
        <w:textAlignment w:val="baseline"/>
        <w:rPr>
          <w:rFonts w:ascii="宋体" w:hAnsi="宋体" w:cs="宋体"/>
          <w:color w:val="000000" w:themeColor="text1"/>
          <w:sz w:val="24"/>
          <w:szCs w:val="24"/>
          <w:u w:val="single"/>
        </w:rPr>
      </w:pPr>
      <w:r>
        <w:rPr>
          <w:rFonts w:hint="eastAsia" w:ascii="宋体" w:hAnsi="宋体" w:cs="宋体"/>
          <w:color w:val="000000" w:themeColor="text1"/>
          <w:sz w:val="24"/>
          <w:szCs w:val="24"/>
        </w:rPr>
        <w:t>依据贵单位项目招标文件的要求。我方已于</w:t>
      </w:r>
      <w:r>
        <w:rPr>
          <w:rFonts w:hint="eastAsia" w:ascii="宋体" w:hAnsi="宋体" w:cs="宋体"/>
          <w:color w:val="000000" w:themeColor="text1"/>
          <w:sz w:val="24"/>
          <w:szCs w:val="24"/>
          <w:u w:val="single"/>
        </w:rPr>
        <w:t xml:space="preserve">    年    月   日</w:t>
      </w:r>
      <w:r>
        <w:rPr>
          <w:rFonts w:hint="eastAsia" w:ascii="宋体" w:hAnsi="宋体" w:cs="宋体"/>
          <w:color w:val="000000" w:themeColor="text1"/>
          <w:sz w:val="24"/>
          <w:szCs w:val="24"/>
        </w:rPr>
        <w:t>对该项目进行了现场勘察，现就现场勘察情况作如下承诺：</w:t>
      </w:r>
    </w:p>
    <w:p w14:paraId="6BD59C5A">
      <w:pPr>
        <w:overflowPunct w:val="0"/>
        <w:adjustRightInd w:val="0"/>
        <w:spacing w:line="360" w:lineRule="auto"/>
        <w:ind w:firstLine="66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1、经现场勘察，我方已熟悉与该项目相关的环境、现场周围交通道路等所有情况。</w:t>
      </w:r>
    </w:p>
    <w:p w14:paraId="7D2CCA42">
      <w:pPr>
        <w:overflowPunct w:val="0"/>
        <w:adjustRightInd w:val="0"/>
        <w:spacing w:line="360" w:lineRule="auto"/>
        <w:ind w:firstLine="66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2、我方承诺自行承担本次现场勘察所发生的所有费用并承担勘察现场的相关责任和风险。</w:t>
      </w:r>
    </w:p>
    <w:p w14:paraId="26AB5127">
      <w:pPr>
        <w:overflowPunct w:val="0"/>
        <w:adjustRightInd w:val="0"/>
        <w:spacing w:line="360" w:lineRule="auto"/>
        <w:ind w:firstLine="66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3、我方承诺在任何情况下均不以不完全了解现场情况为理由而向采购单位提出任何索赔的要求。</w:t>
      </w:r>
    </w:p>
    <w:p w14:paraId="60BEC96E">
      <w:pPr>
        <w:overflowPunct w:val="0"/>
        <w:adjustRightInd w:val="0"/>
        <w:spacing w:line="360" w:lineRule="auto"/>
        <w:ind w:firstLine="660"/>
        <w:jc w:val="left"/>
        <w:textAlignment w:val="baseline"/>
        <w:rPr>
          <w:rFonts w:ascii="宋体" w:hAnsi="宋体" w:cs="宋体"/>
          <w:color w:val="000000" w:themeColor="text1"/>
          <w:sz w:val="24"/>
          <w:szCs w:val="24"/>
        </w:rPr>
      </w:pPr>
    </w:p>
    <w:p w14:paraId="5EB4C3E8">
      <w:pPr>
        <w:overflowPunct w:val="0"/>
        <w:adjustRightInd w:val="0"/>
        <w:spacing w:line="360" w:lineRule="auto"/>
        <w:ind w:firstLine="660"/>
        <w:jc w:val="left"/>
        <w:textAlignment w:val="baseline"/>
        <w:rPr>
          <w:rFonts w:ascii="宋体" w:hAnsi="宋体" w:cs="宋体"/>
          <w:color w:val="000000" w:themeColor="text1"/>
          <w:sz w:val="24"/>
          <w:szCs w:val="24"/>
        </w:rPr>
      </w:pPr>
    </w:p>
    <w:p w14:paraId="1768A70C">
      <w:pPr>
        <w:overflowPunct w:val="0"/>
        <w:adjustRightInd w:val="0"/>
        <w:spacing w:line="360" w:lineRule="auto"/>
        <w:ind w:firstLine="66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竞争性磋商响应单位：（加盖公章）</w:t>
      </w:r>
    </w:p>
    <w:p w14:paraId="1203A156">
      <w:pPr>
        <w:overflowPunct w:val="0"/>
        <w:adjustRightInd w:val="0"/>
        <w:spacing w:line="360" w:lineRule="auto"/>
        <w:ind w:firstLine="66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法定代表人或授权委托人：（签字或盖章）</w:t>
      </w:r>
    </w:p>
    <w:p w14:paraId="332E1394">
      <w:pPr>
        <w:overflowPunct w:val="0"/>
        <w:adjustRightInd w:val="0"/>
        <w:spacing w:line="360" w:lineRule="auto"/>
        <w:ind w:firstLine="660"/>
        <w:jc w:val="left"/>
        <w:textAlignment w:val="baseline"/>
        <w:rPr>
          <w:rFonts w:ascii="宋体" w:hAnsi="宋体" w:cs="宋体"/>
          <w:color w:val="000000" w:themeColor="text1"/>
          <w:sz w:val="24"/>
          <w:szCs w:val="24"/>
        </w:rPr>
      </w:pPr>
    </w:p>
    <w:p w14:paraId="13D095B0">
      <w:pPr>
        <w:overflowPunct w:val="0"/>
        <w:adjustRightInd w:val="0"/>
        <w:spacing w:line="360" w:lineRule="auto"/>
        <w:ind w:firstLine="600" w:firstLineChars="25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 xml:space="preserve">年  月  日 </w:t>
      </w:r>
    </w:p>
    <w:p w14:paraId="0370A429">
      <w:pPr>
        <w:overflowPunct w:val="0"/>
        <w:adjustRightInd w:val="0"/>
        <w:spacing w:line="360" w:lineRule="auto"/>
        <w:ind w:firstLine="600" w:firstLineChars="250"/>
        <w:jc w:val="left"/>
        <w:textAlignment w:val="baseline"/>
        <w:rPr>
          <w:rFonts w:ascii="宋体" w:hAnsi="宋体" w:cs="宋体"/>
          <w:color w:val="000000" w:themeColor="text1"/>
          <w:sz w:val="24"/>
          <w:szCs w:val="24"/>
        </w:rPr>
      </w:pPr>
    </w:p>
    <w:p w14:paraId="2BE7A5EB">
      <w:pPr>
        <w:pStyle w:val="2"/>
        <w:ind w:firstLine="562"/>
        <w:rPr>
          <w:color w:val="000000" w:themeColor="text1"/>
        </w:rPr>
      </w:pPr>
      <w:bookmarkStart w:id="102" w:name="_Toc425960671"/>
      <w:r>
        <w:rPr>
          <w:rFonts w:ascii="宋体"/>
          <w:b/>
          <w:bCs/>
          <w:color w:val="000000" w:themeColor="text1"/>
          <w:sz w:val="28"/>
          <w:szCs w:val="28"/>
        </w:rPr>
        <w:br w:type="page"/>
      </w:r>
      <w:bookmarkEnd w:id="102"/>
    </w:p>
    <w:p w14:paraId="3942E5FA">
      <w:pPr>
        <w:snapToGrid w:val="0"/>
        <w:spacing w:line="520" w:lineRule="exact"/>
        <w:jc w:val="center"/>
        <w:outlineLvl w:val="3"/>
        <w:rPr>
          <w:rFonts w:ascii="宋体" w:hAnsi="宋体" w:cs="宋体"/>
          <w:b/>
          <w:color w:val="000000" w:themeColor="text1"/>
          <w:sz w:val="28"/>
          <w:szCs w:val="28"/>
        </w:rPr>
      </w:pPr>
      <w:r>
        <w:rPr>
          <w:rFonts w:hint="eastAsia" w:ascii="宋体" w:hAnsi="宋体" w:cs="宋体"/>
          <w:b/>
          <w:bCs/>
          <w:color w:val="000000" w:themeColor="text1"/>
          <w:sz w:val="28"/>
          <w:szCs w:val="28"/>
        </w:rPr>
        <w:t>7、</w:t>
      </w:r>
      <w:r>
        <w:rPr>
          <w:rFonts w:hint="eastAsia" w:ascii="宋体" w:hAnsi="宋体" w:cs="宋体"/>
          <w:b/>
          <w:color w:val="000000" w:themeColor="text1"/>
          <w:sz w:val="28"/>
          <w:szCs w:val="28"/>
        </w:rPr>
        <w:t>磋商响应报价表</w:t>
      </w:r>
    </w:p>
    <w:p w14:paraId="0743628A">
      <w:pPr>
        <w:spacing w:line="480" w:lineRule="exact"/>
        <w:rPr>
          <w:rFonts w:hAnsi="宋体" w:cs="宋体"/>
          <w:b/>
          <w:bCs/>
          <w:color w:val="000000" w:themeColor="text1"/>
          <w:sz w:val="28"/>
          <w:szCs w:val="28"/>
        </w:rPr>
      </w:pPr>
    </w:p>
    <w:tbl>
      <w:tblPr>
        <w:tblStyle w:val="5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777"/>
      </w:tblGrid>
      <w:tr w14:paraId="6F2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14:paraId="37AE4F20">
            <w:pPr>
              <w:spacing w:line="480" w:lineRule="exact"/>
              <w:jc w:val="center"/>
              <w:rPr>
                <w:rFonts w:hAnsi="宋体" w:cs="宋体"/>
                <w:color w:val="000000" w:themeColor="text1"/>
                <w:sz w:val="24"/>
                <w:szCs w:val="20"/>
              </w:rPr>
            </w:pPr>
            <w:r>
              <w:rPr>
                <w:rFonts w:hint="eastAsia" w:hAnsi="宋体" w:cs="宋体"/>
                <w:color w:val="000000" w:themeColor="text1"/>
                <w:sz w:val="24"/>
                <w:szCs w:val="20"/>
              </w:rPr>
              <w:t>项目名称</w:t>
            </w:r>
          </w:p>
        </w:tc>
        <w:tc>
          <w:tcPr>
            <w:tcW w:w="7777" w:type="dxa"/>
            <w:vAlign w:val="center"/>
          </w:tcPr>
          <w:p w14:paraId="295F0E5B">
            <w:pPr>
              <w:spacing w:line="480" w:lineRule="exact"/>
              <w:jc w:val="center"/>
              <w:rPr>
                <w:rFonts w:hAnsi="宋体" w:cs="宋体"/>
                <w:color w:val="000000" w:themeColor="text1"/>
                <w:sz w:val="24"/>
                <w:szCs w:val="20"/>
              </w:rPr>
            </w:pPr>
          </w:p>
        </w:tc>
      </w:tr>
      <w:tr w14:paraId="08C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70" w:type="dxa"/>
            <w:vAlign w:val="center"/>
          </w:tcPr>
          <w:p w14:paraId="4ADE429C">
            <w:pPr>
              <w:spacing w:line="480" w:lineRule="exact"/>
              <w:jc w:val="center"/>
              <w:rPr>
                <w:rFonts w:hAnsi="宋体" w:cs="宋体"/>
                <w:color w:val="000000" w:themeColor="text1"/>
                <w:sz w:val="24"/>
                <w:szCs w:val="20"/>
              </w:rPr>
            </w:pPr>
            <w:r>
              <w:rPr>
                <w:rFonts w:hint="eastAsia" w:hAnsi="宋体" w:cs="宋体"/>
                <w:color w:val="000000" w:themeColor="text1"/>
                <w:sz w:val="24"/>
                <w:szCs w:val="20"/>
              </w:rPr>
              <w:t>磋商报价（首次）</w:t>
            </w:r>
          </w:p>
        </w:tc>
        <w:tc>
          <w:tcPr>
            <w:tcW w:w="7777" w:type="dxa"/>
            <w:vAlign w:val="center"/>
          </w:tcPr>
          <w:p w14:paraId="67EE7B81">
            <w:pPr>
              <w:spacing w:line="480" w:lineRule="exact"/>
              <w:rPr>
                <w:rFonts w:hAnsi="宋体" w:cs="宋体"/>
                <w:color w:val="000000" w:themeColor="text1"/>
                <w:sz w:val="24"/>
                <w:szCs w:val="20"/>
                <w:u w:val="single"/>
              </w:rPr>
            </w:pPr>
            <w:r>
              <w:rPr>
                <w:rFonts w:hAnsi="宋体" w:cs="宋体"/>
                <w:color w:val="000000" w:themeColor="text1"/>
                <w:sz w:val="24"/>
                <w:szCs w:val="20"/>
              </w:rPr>
              <w:t>¥</w:t>
            </w:r>
            <w:r>
              <w:rPr>
                <w:rFonts w:hint="eastAsia" w:hAnsi="宋体" w:cs="宋体"/>
                <w:color w:val="000000" w:themeColor="text1"/>
                <w:sz w:val="24"/>
                <w:szCs w:val="20"/>
              </w:rPr>
              <w:t xml:space="preserve">         元</w:t>
            </w:r>
            <w:r>
              <w:rPr>
                <w:rFonts w:hint="eastAsia" w:hAnsi="宋体" w:cs="宋体"/>
                <w:color w:val="000000" w:themeColor="text1"/>
                <w:sz w:val="24"/>
                <w:szCs w:val="20"/>
                <w:lang w:val="en-US" w:eastAsia="zh-CN"/>
              </w:rPr>
              <w:t>/</w:t>
            </w:r>
            <w:r>
              <w:rPr>
                <w:rFonts w:hint="eastAsia" w:ascii="宋体" w:hAnsi="宋体" w:eastAsia="宋体" w:cs="宋体"/>
                <w:color w:val="000000" w:themeColor="text1"/>
                <w:sz w:val="24"/>
                <w:szCs w:val="20"/>
                <w:lang w:val="en-US" w:eastAsia="zh-CN"/>
              </w:rPr>
              <w:t>㎡</w:t>
            </w:r>
            <w:r>
              <w:rPr>
                <w:rFonts w:hint="eastAsia" w:hAnsi="宋体" w:cs="宋体"/>
                <w:color w:val="000000" w:themeColor="text1"/>
                <w:sz w:val="24"/>
                <w:szCs w:val="20"/>
              </w:rPr>
              <w:t>，人民币大写：</w:t>
            </w:r>
            <w:r>
              <w:rPr>
                <w:rFonts w:hint="eastAsia" w:hAnsi="宋体" w:cs="宋体"/>
                <w:color w:val="000000" w:themeColor="text1"/>
                <w:sz w:val="24"/>
                <w:szCs w:val="20"/>
                <w:lang w:val="en-US" w:eastAsia="zh-CN"/>
              </w:rPr>
              <w:t xml:space="preserve">                  </w:t>
            </w:r>
          </w:p>
        </w:tc>
      </w:tr>
      <w:tr w14:paraId="3AB3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14:paraId="264C53B3">
            <w:pPr>
              <w:spacing w:line="480" w:lineRule="exact"/>
              <w:jc w:val="center"/>
              <w:rPr>
                <w:rFonts w:hAnsi="宋体" w:cs="宋体"/>
                <w:color w:val="000000" w:themeColor="text1"/>
                <w:sz w:val="24"/>
                <w:szCs w:val="20"/>
              </w:rPr>
            </w:pPr>
            <w:r>
              <w:rPr>
                <w:rFonts w:hint="eastAsia" w:hAnsi="宋体" w:cs="宋体"/>
                <w:bCs/>
                <w:color w:val="000000" w:themeColor="text1"/>
                <w:sz w:val="24"/>
                <w:szCs w:val="20"/>
              </w:rPr>
              <w:t>服务期</w:t>
            </w:r>
          </w:p>
        </w:tc>
        <w:tc>
          <w:tcPr>
            <w:tcW w:w="7777" w:type="dxa"/>
            <w:vAlign w:val="center"/>
          </w:tcPr>
          <w:p w14:paraId="1B4D876D">
            <w:pPr>
              <w:spacing w:line="480" w:lineRule="exact"/>
              <w:rPr>
                <w:rFonts w:ascii="宋体" w:hAnsi="宋体" w:cs="宋体"/>
                <w:color w:val="000000" w:themeColor="text1"/>
                <w:kern w:val="0"/>
                <w:sz w:val="24"/>
                <w:szCs w:val="20"/>
                <w:lang w:val="zh-CN"/>
              </w:rPr>
            </w:pPr>
          </w:p>
        </w:tc>
      </w:tr>
      <w:tr w14:paraId="0000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14:paraId="7C3D13E4">
            <w:pPr>
              <w:spacing w:line="480" w:lineRule="exact"/>
              <w:jc w:val="center"/>
              <w:rPr>
                <w:rFonts w:hint="eastAsia" w:hAnsi="宋体" w:cs="宋体"/>
                <w:bCs/>
                <w:color w:val="FF0000"/>
                <w:sz w:val="24"/>
                <w:szCs w:val="20"/>
              </w:rPr>
            </w:pPr>
            <w:r>
              <w:rPr>
                <w:rFonts w:hint="eastAsia" w:hAnsi="宋体" w:cs="宋体"/>
                <w:color w:val="FF0000"/>
                <w:sz w:val="24"/>
                <w:szCs w:val="20"/>
              </w:rPr>
              <w:t>磋商报价（</w:t>
            </w:r>
            <w:r>
              <w:rPr>
                <w:rFonts w:hint="eastAsia" w:hAnsi="宋体" w:cs="宋体"/>
                <w:color w:val="FF0000"/>
                <w:sz w:val="24"/>
                <w:szCs w:val="20"/>
                <w:u w:val="single"/>
                <w:lang w:val="en-US" w:eastAsia="zh-CN"/>
              </w:rPr>
              <w:t xml:space="preserve">    </w:t>
            </w:r>
            <w:r>
              <w:rPr>
                <w:rFonts w:hint="eastAsia" w:hAnsi="宋体" w:cs="宋体"/>
                <w:color w:val="FF0000"/>
                <w:sz w:val="24"/>
                <w:szCs w:val="20"/>
              </w:rPr>
              <w:t>次）</w:t>
            </w:r>
          </w:p>
        </w:tc>
        <w:tc>
          <w:tcPr>
            <w:tcW w:w="7777" w:type="dxa"/>
            <w:vAlign w:val="center"/>
          </w:tcPr>
          <w:p w14:paraId="5FBA138A">
            <w:pPr>
              <w:spacing w:line="480" w:lineRule="exact"/>
              <w:rPr>
                <w:rFonts w:ascii="宋体" w:hAnsi="宋体" w:cs="宋体"/>
                <w:color w:val="FF0000"/>
                <w:kern w:val="0"/>
                <w:sz w:val="24"/>
                <w:szCs w:val="20"/>
                <w:lang w:val="zh-CN"/>
              </w:rPr>
            </w:pPr>
            <w:r>
              <w:rPr>
                <w:rFonts w:hAnsi="宋体" w:cs="宋体"/>
                <w:color w:val="FF0000"/>
                <w:sz w:val="24"/>
                <w:szCs w:val="20"/>
              </w:rPr>
              <w:t>¥</w:t>
            </w:r>
            <w:r>
              <w:rPr>
                <w:rFonts w:hint="eastAsia" w:hAnsi="宋体" w:cs="宋体"/>
                <w:color w:val="FF0000"/>
                <w:sz w:val="24"/>
                <w:szCs w:val="20"/>
              </w:rPr>
              <w:t xml:space="preserve">         元/㎡，人民币大写：</w:t>
            </w:r>
          </w:p>
        </w:tc>
      </w:tr>
      <w:tr w14:paraId="7450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14:paraId="285B6F7D">
            <w:pPr>
              <w:spacing w:line="480" w:lineRule="exact"/>
              <w:jc w:val="center"/>
              <w:rPr>
                <w:rFonts w:hint="eastAsia" w:hAnsi="宋体" w:cs="宋体"/>
                <w:bCs/>
                <w:color w:val="FF0000"/>
                <w:sz w:val="24"/>
                <w:szCs w:val="20"/>
              </w:rPr>
            </w:pPr>
            <w:r>
              <w:rPr>
                <w:rFonts w:hint="eastAsia" w:hAnsi="宋体" w:cs="宋体"/>
                <w:color w:val="FF0000"/>
                <w:sz w:val="24"/>
                <w:szCs w:val="20"/>
              </w:rPr>
              <w:t>磋商报价（</w:t>
            </w:r>
            <w:r>
              <w:rPr>
                <w:rFonts w:hint="eastAsia" w:hAnsi="宋体" w:cs="宋体"/>
                <w:color w:val="FF0000"/>
                <w:sz w:val="24"/>
                <w:szCs w:val="20"/>
                <w:u w:val="single"/>
                <w:lang w:val="en-US" w:eastAsia="zh-CN"/>
              </w:rPr>
              <w:t xml:space="preserve">    </w:t>
            </w:r>
            <w:r>
              <w:rPr>
                <w:rFonts w:hint="eastAsia" w:hAnsi="宋体" w:cs="宋体"/>
                <w:color w:val="FF0000"/>
                <w:sz w:val="24"/>
                <w:szCs w:val="20"/>
              </w:rPr>
              <w:t>次）</w:t>
            </w:r>
          </w:p>
        </w:tc>
        <w:tc>
          <w:tcPr>
            <w:tcW w:w="7777" w:type="dxa"/>
            <w:vAlign w:val="center"/>
          </w:tcPr>
          <w:p w14:paraId="6C0ECEC0">
            <w:pPr>
              <w:spacing w:line="480" w:lineRule="exact"/>
              <w:rPr>
                <w:rFonts w:ascii="宋体" w:hAnsi="宋体" w:cs="宋体"/>
                <w:color w:val="FF0000"/>
                <w:kern w:val="0"/>
                <w:sz w:val="24"/>
                <w:szCs w:val="20"/>
                <w:lang w:val="zh-CN"/>
              </w:rPr>
            </w:pPr>
            <w:r>
              <w:rPr>
                <w:rFonts w:hAnsi="宋体" w:cs="宋体"/>
                <w:color w:val="FF0000"/>
                <w:sz w:val="24"/>
                <w:szCs w:val="20"/>
              </w:rPr>
              <w:t>¥</w:t>
            </w:r>
            <w:r>
              <w:rPr>
                <w:rFonts w:hint="eastAsia" w:hAnsi="宋体" w:cs="宋体"/>
                <w:color w:val="FF0000"/>
                <w:sz w:val="24"/>
                <w:szCs w:val="20"/>
              </w:rPr>
              <w:t xml:space="preserve">         元/㎡，人民币大写：</w:t>
            </w:r>
          </w:p>
        </w:tc>
      </w:tr>
    </w:tbl>
    <w:p w14:paraId="6B4458F1">
      <w:pPr>
        <w:spacing w:line="480" w:lineRule="exact"/>
        <w:ind w:firstLine="4800" w:firstLineChars="2000"/>
        <w:rPr>
          <w:rFonts w:hAnsi="宋体" w:cs="宋体"/>
          <w:color w:val="000000" w:themeColor="text1"/>
          <w:sz w:val="24"/>
          <w:szCs w:val="20"/>
        </w:rPr>
      </w:pPr>
    </w:p>
    <w:p w14:paraId="5B6B4F24">
      <w:pPr>
        <w:tabs>
          <w:tab w:val="left" w:pos="5665"/>
          <w:tab w:val="right" w:pos="8360"/>
        </w:tabs>
        <w:spacing w:line="360" w:lineRule="auto"/>
        <w:ind w:right="42"/>
        <w:jc w:val="left"/>
        <w:rPr>
          <w:rFonts w:ascii="宋体" w:hAnsi="宋体" w:cs="宋体"/>
          <w:color w:val="000000" w:themeColor="text1"/>
          <w:sz w:val="24"/>
          <w:szCs w:val="24"/>
          <w:u w:val="single"/>
        </w:rPr>
      </w:pPr>
      <w:r>
        <w:rPr>
          <w:rFonts w:hint="eastAsia" w:ascii="宋体" w:hAnsi="宋体" w:cs="宋体"/>
          <w:color w:val="000000" w:themeColor="text1"/>
          <w:sz w:val="24"/>
          <w:szCs w:val="24"/>
        </w:rPr>
        <w:t>竞争性磋商响应单位（公章)：</w:t>
      </w:r>
    </w:p>
    <w:p w14:paraId="12883608">
      <w:pPr>
        <w:spacing w:line="360" w:lineRule="auto"/>
        <w:rPr>
          <w:rFonts w:hAnsi="宋体" w:cs="宋体"/>
          <w:color w:val="000000" w:themeColor="text1"/>
          <w:sz w:val="24"/>
          <w:szCs w:val="20"/>
          <w:u w:val="single"/>
        </w:rPr>
      </w:pPr>
      <w:r>
        <w:rPr>
          <w:rFonts w:hint="eastAsia" w:hAnsi="宋体" w:cs="宋体"/>
          <w:color w:val="000000" w:themeColor="text1"/>
          <w:sz w:val="24"/>
          <w:szCs w:val="20"/>
        </w:rPr>
        <w:t>法定代表人或</w:t>
      </w:r>
      <w:r>
        <w:rPr>
          <w:rFonts w:hint="eastAsia" w:hAnsi="宋体" w:cs="仿宋_GB2312"/>
          <w:color w:val="000000" w:themeColor="text1"/>
          <w:sz w:val="24"/>
          <w:szCs w:val="20"/>
        </w:rPr>
        <w:t>被授权人（签字或盖章）</w:t>
      </w:r>
      <w:r>
        <w:rPr>
          <w:rFonts w:hint="eastAsia" w:hAnsi="宋体" w:cs="宋体"/>
          <w:color w:val="000000" w:themeColor="text1"/>
          <w:sz w:val="24"/>
          <w:szCs w:val="20"/>
        </w:rPr>
        <w:t>：</w:t>
      </w:r>
    </w:p>
    <w:p w14:paraId="25AACD2F">
      <w:pPr>
        <w:spacing w:line="360" w:lineRule="auto"/>
        <w:rPr>
          <w:rFonts w:hAnsi="宋体" w:cs="宋体"/>
          <w:color w:val="000000" w:themeColor="text1"/>
          <w:sz w:val="24"/>
          <w:szCs w:val="20"/>
        </w:rPr>
      </w:pPr>
      <w:r>
        <w:rPr>
          <w:rFonts w:hint="eastAsia" w:hAnsi="宋体" w:cs="宋体"/>
          <w:color w:val="000000" w:themeColor="text1"/>
          <w:sz w:val="24"/>
          <w:szCs w:val="20"/>
        </w:rPr>
        <w:t>日    期：   年   月   日</w:t>
      </w:r>
    </w:p>
    <w:p w14:paraId="137AE125">
      <w:pPr>
        <w:spacing w:line="480" w:lineRule="exact"/>
        <w:rPr>
          <w:rFonts w:hAnsi="宋体" w:cs="宋体"/>
          <w:color w:val="000000" w:themeColor="text1"/>
          <w:sz w:val="24"/>
          <w:szCs w:val="20"/>
        </w:rPr>
      </w:pPr>
    </w:p>
    <w:p w14:paraId="24D7E6F7">
      <w:pPr>
        <w:snapToGrid w:val="0"/>
        <w:spacing w:line="480" w:lineRule="exact"/>
        <w:rPr>
          <w:rFonts w:ascii="宋体" w:hAnsi="宋体"/>
          <w:b/>
          <w:color w:val="000000" w:themeColor="text1"/>
          <w:sz w:val="24"/>
          <w:szCs w:val="20"/>
        </w:rPr>
      </w:pPr>
      <w:r>
        <w:rPr>
          <w:rFonts w:hint="eastAsia" w:ascii="宋体" w:hAnsi="宋体"/>
          <w:b/>
          <w:color w:val="000000" w:themeColor="text1"/>
          <w:sz w:val="24"/>
          <w:szCs w:val="20"/>
        </w:rPr>
        <w:t>注：1、</w:t>
      </w:r>
      <w:r>
        <w:rPr>
          <w:rFonts w:ascii="宋体" w:hAnsi="宋体"/>
          <w:b/>
          <w:color w:val="000000" w:themeColor="text1"/>
          <w:sz w:val="24"/>
          <w:szCs w:val="20"/>
        </w:rPr>
        <w:t>本表</w:t>
      </w:r>
      <w:r>
        <w:rPr>
          <w:rFonts w:hint="eastAsia" w:ascii="宋体" w:hAnsi="宋体"/>
          <w:b/>
          <w:color w:val="000000" w:themeColor="text1"/>
          <w:sz w:val="24"/>
          <w:szCs w:val="20"/>
        </w:rPr>
        <w:t>为格式表</w:t>
      </w:r>
      <w:r>
        <w:rPr>
          <w:rFonts w:ascii="宋体" w:hAnsi="宋体"/>
          <w:b/>
          <w:color w:val="000000" w:themeColor="text1"/>
          <w:sz w:val="24"/>
          <w:szCs w:val="20"/>
        </w:rPr>
        <w:t>，</w:t>
      </w:r>
      <w:r>
        <w:rPr>
          <w:rFonts w:hint="eastAsia" w:ascii="宋体" w:hAnsi="宋体"/>
          <w:b/>
          <w:color w:val="000000" w:themeColor="text1"/>
          <w:sz w:val="24"/>
          <w:szCs w:val="20"/>
        </w:rPr>
        <w:t>不得自行改动，必须提供</w:t>
      </w:r>
      <w:r>
        <w:rPr>
          <w:rFonts w:ascii="宋体" w:hAnsi="宋体"/>
          <w:b/>
          <w:color w:val="000000" w:themeColor="text1"/>
          <w:sz w:val="24"/>
          <w:szCs w:val="20"/>
        </w:rPr>
        <w:t>。</w:t>
      </w:r>
    </w:p>
    <w:p w14:paraId="3CF791EC">
      <w:pPr>
        <w:snapToGrid w:val="0"/>
        <w:spacing w:line="520" w:lineRule="exact"/>
        <w:ind w:firstLine="482" w:firstLineChars="200"/>
        <w:rPr>
          <w:rFonts w:ascii="宋体" w:hAnsi="宋体"/>
          <w:color w:val="000000" w:themeColor="text1"/>
          <w:sz w:val="24"/>
          <w:szCs w:val="24"/>
        </w:rPr>
      </w:pPr>
      <w:r>
        <w:rPr>
          <w:rFonts w:hint="eastAsia" w:ascii="宋体" w:hAnsi="宋体"/>
          <w:b/>
          <w:color w:val="000000" w:themeColor="text1"/>
          <w:sz w:val="24"/>
          <w:szCs w:val="20"/>
        </w:rPr>
        <w:t>2、磋商报价（以人民币计价）应包括为项目成果通过</w:t>
      </w:r>
      <w:r>
        <w:rPr>
          <w:rFonts w:hint="eastAsia" w:ascii="宋体" w:hAnsi="宋体"/>
          <w:b/>
          <w:color w:val="000000" w:themeColor="text1"/>
          <w:sz w:val="24"/>
          <w:szCs w:val="20"/>
          <w:highlight w:val="none"/>
        </w:rPr>
        <w:t>江苏省文物局结</w:t>
      </w:r>
      <w:r>
        <w:rPr>
          <w:rFonts w:hint="eastAsia" w:ascii="宋体" w:hAnsi="宋体"/>
          <w:b/>
          <w:color w:val="000000" w:themeColor="text1"/>
          <w:sz w:val="24"/>
          <w:szCs w:val="20"/>
        </w:rPr>
        <w:t>项验收的全部价格，包含本项目所有人员的工资福利及社保、核查费、分析费、材料费、车辆费、报告编制费、管理费、专家评审费、利润、税金及合同实施过程中的不可预见等所有费用，即完成本</w:t>
      </w:r>
      <w:r>
        <w:rPr>
          <w:rFonts w:hint="eastAsia" w:ascii="宋体" w:hAnsi="宋体"/>
          <w:b/>
          <w:color w:val="000000" w:themeColor="text1"/>
          <w:sz w:val="24"/>
          <w:szCs w:val="20"/>
          <w:lang w:eastAsia="zh-CN"/>
        </w:rPr>
        <w:t>调查</w:t>
      </w:r>
      <w:r>
        <w:rPr>
          <w:rFonts w:hint="eastAsia" w:ascii="宋体" w:hAnsi="宋体"/>
          <w:b/>
          <w:color w:val="000000" w:themeColor="text1"/>
          <w:sz w:val="24"/>
          <w:szCs w:val="20"/>
        </w:rPr>
        <w:t>项目的所有费用。</w:t>
      </w:r>
    </w:p>
    <w:p w14:paraId="1778291B">
      <w:pPr>
        <w:snapToGrid w:val="0"/>
        <w:spacing w:line="520" w:lineRule="exact"/>
        <w:ind w:firstLine="482" w:firstLineChars="200"/>
        <w:rPr>
          <w:rFonts w:ascii="宋体" w:hAnsi="宋体" w:cs="宋体"/>
          <w:color w:val="000000" w:themeColor="text1"/>
          <w:sz w:val="24"/>
          <w:szCs w:val="20"/>
        </w:rPr>
      </w:pPr>
      <w:r>
        <w:rPr>
          <w:rFonts w:hint="eastAsia" w:ascii="宋体" w:hAnsi="宋体"/>
          <w:b/>
          <w:color w:val="000000" w:themeColor="text1"/>
          <w:sz w:val="24"/>
          <w:szCs w:val="20"/>
        </w:rPr>
        <w:t>3、响应文件密封提交时只需填写磋商响应报价表</w:t>
      </w:r>
      <w:r>
        <w:rPr>
          <w:rFonts w:hint="eastAsia" w:ascii="宋体" w:hAnsi="宋体"/>
          <w:b/>
          <w:color w:val="000000" w:themeColor="text1"/>
          <w:sz w:val="24"/>
          <w:szCs w:val="20"/>
          <w:lang w:eastAsia="zh-CN"/>
        </w:rPr>
        <w:t>（</w:t>
      </w:r>
      <w:r>
        <w:rPr>
          <w:rFonts w:hint="eastAsia" w:ascii="宋体" w:hAnsi="宋体"/>
          <w:b/>
          <w:color w:val="000000" w:themeColor="text1"/>
          <w:sz w:val="24"/>
          <w:szCs w:val="20"/>
          <w:lang w:val="en-US" w:eastAsia="zh-CN"/>
        </w:rPr>
        <w:t>首次</w:t>
      </w:r>
      <w:r>
        <w:rPr>
          <w:rFonts w:hint="eastAsia" w:ascii="宋体" w:hAnsi="宋体"/>
          <w:b/>
          <w:color w:val="000000" w:themeColor="text1"/>
          <w:sz w:val="24"/>
          <w:szCs w:val="20"/>
          <w:lang w:eastAsia="zh-CN"/>
        </w:rPr>
        <w:t>）</w:t>
      </w:r>
      <w:r>
        <w:rPr>
          <w:rFonts w:hint="eastAsia" w:ascii="宋体" w:hAnsi="宋体"/>
          <w:b/>
          <w:color w:val="000000" w:themeColor="text1"/>
          <w:sz w:val="24"/>
          <w:szCs w:val="20"/>
        </w:rPr>
        <w:t>的报价。</w:t>
      </w:r>
      <w:r>
        <w:rPr>
          <w:rFonts w:hint="eastAsia" w:ascii="宋体" w:hAnsi="宋体"/>
          <w:b/>
          <w:color w:val="000000" w:themeColor="text1"/>
          <w:sz w:val="24"/>
        </w:rPr>
        <w:t>第二次及之后报价</w:t>
      </w:r>
      <w:r>
        <w:rPr>
          <w:rFonts w:hint="eastAsia" w:ascii="宋体" w:hAnsi="宋体"/>
          <w:b/>
          <w:color w:val="000000" w:themeColor="text1"/>
          <w:sz w:val="24"/>
          <w:lang w:val="en-US" w:eastAsia="zh-CN"/>
        </w:rPr>
        <w:t>磋商现场填写</w:t>
      </w:r>
      <w:r>
        <w:rPr>
          <w:rFonts w:hint="eastAsia" w:ascii="宋体" w:hAnsi="宋体"/>
          <w:b/>
          <w:color w:val="000000" w:themeColor="text1"/>
          <w:sz w:val="24"/>
        </w:rPr>
        <w:t>。</w:t>
      </w:r>
    </w:p>
    <w:p w14:paraId="74A6AE3F">
      <w:pPr>
        <w:snapToGrid w:val="0"/>
        <w:spacing w:line="520" w:lineRule="exact"/>
        <w:jc w:val="center"/>
        <w:outlineLvl w:val="4"/>
        <w:rPr>
          <w:rFonts w:ascii="宋体"/>
          <w:color w:val="000000" w:themeColor="text1"/>
          <w:sz w:val="24"/>
          <w:szCs w:val="24"/>
        </w:rPr>
      </w:pPr>
    </w:p>
    <w:p w14:paraId="4C17943E">
      <w:pPr>
        <w:pStyle w:val="2"/>
        <w:ind w:firstLine="482"/>
        <w:rPr>
          <w:b/>
          <w:bCs/>
          <w:color w:val="000000" w:themeColor="text1"/>
        </w:rPr>
      </w:pPr>
    </w:p>
    <w:p w14:paraId="14090B41">
      <w:pPr>
        <w:pStyle w:val="2"/>
        <w:ind w:firstLine="482"/>
        <w:rPr>
          <w:b/>
          <w:bCs/>
          <w:color w:val="000000" w:themeColor="text1"/>
        </w:rPr>
      </w:pPr>
    </w:p>
    <w:p w14:paraId="030E4735">
      <w:pPr>
        <w:pStyle w:val="2"/>
        <w:ind w:firstLine="482"/>
        <w:rPr>
          <w:b/>
          <w:bCs/>
          <w:color w:val="000000" w:themeColor="text1"/>
        </w:rPr>
      </w:pPr>
    </w:p>
    <w:p w14:paraId="50BDE77C">
      <w:pPr>
        <w:pStyle w:val="2"/>
        <w:ind w:firstLine="482"/>
        <w:rPr>
          <w:b/>
          <w:bCs/>
          <w:color w:val="000000" w:themeColor="text1"/>
        </w:rPr>
      </w:pPr>
    </w:p>
    <w:p w14:paraId="032A638C">
      <w:pPr>
        <w:pStyle w:val="2"/>
        <w:ind w:firstLine="482"/>
        <w:rPr>
          <w:b/>
          <w:bCs/>
          <w:color w:val="000000" w:themeColor="text1"/>
        </w:rPr>
      </w:pPr>
    </w:p>
    <w:p w14:paraId="544DDFC5">
      <w:pPr>
        <w:snapToGrid w:val="0"/>
        <w:spacing w:line="520" w:lineRule="exact"/>
        <w:jc w:val="center"/>
        <w:outlineLvl w:val="3"/>
        <w:rPr>
          <w:rFonts w:ascii="宋体" w:hAnsi="宋体" w:cs="宋体"/>
          <w:b/>
          <w:color w:val="000000" w:themeColor="text1"/>
          <w:sz w:val="28"/>
          <w:szCs w:val="28"/>
        </w:rPr>
      </w:pPr>
      <w:r>
        <w:rPr>
          <w:rFonts w:hint="eastAsia" w:ascii="宋体" w:hAnsi="宋体" w:cs="宋体"/>
          <w:b/>
          <w:color w:val="000000" w:themeColor="text1"/>
          <w:sz w:val="28"/>
          <w:szCs w:val="28"/>
        </w:rPr>
        <w:t>8、中小企业声明函（服务）</w:t>
      </w:r>
    </w:p>
    <w:p w14:paraId="724DD95E">
      <w:pPr>
        <w:autoSpaceDE w:val="0"/>
        <w:autoSpaceDN w:val="0"/>
        <w:spacing w:line="52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u w:val="single"/>
        </w:rPr>
        <w:t>（单位名称）</w:t>
      </w:r>
      <w:r>
        <w:rPr>
          <w:rFonts w:hint="eastAsia" w:ascii="宋体" w:hAnsi="宋体" w:cs="宋体"/>
          <w:color w:val="000000" w:themeColor="text1"/>
          <w:kern w:val="0"/>
          <w:sz w:val="24"/>
          <w:szCs w:val="24"/>
        </w:rPr>
        <w:t>的</w:t>
      </w:r>
      <w:r>
        <w:rPr>
          <w:rFonts w:hint="eastAsia" w:ascii="宋体" w:hAnsi="宋体" w:cs="宋体"/>
          <w:color w:val="000000" w:themeColor="text1"/>
          <w:kern w:val="0"/>
          <w:sz w:val="24"/>
          <w:szCs w:val="24"/>
          <w:u w:val="single"/>
        </w:rPr>
        <w:t>（项目名称）</w:t>
      </w:r>
      <w:r>
        <w:rPr>
          <w:rFonts w:hint="eastAsia" w:ascii="宋体" w:hAnsi="宋体" w:cs="宋体"/>
          <w:color w:val="000000" w:themeColor="text1"/>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1F19821">
      <w:pPr>
        <w:autoSpaceDE w:val="0"/>
        <w:autoSpaceDN w:val="0"/>
        <w:spacing w:line="520" w:lineRule="exact"/>
        <w:ind w:firstLine="480" w:firstLineChars="200"/>
        <w:rPr>
          <w:color w:val="000000" w:themeColor="text1"/>
          <w:szCs w:val="24"/>
        </w:rPr>
      </w:pPr>
      <w:r>
        <w:rPr>
          <w:rFonts w:hint="eastAsia" w:ascii="宋体" w:hAnsi="宋体" w:cs="宋体"/>
          <w:color w:val="000000" w:themeColor="text1"/>
          <w:kern w:val="0"/>
          <w:sz w:val="24"/>
          <w:szCs w:val="24"/>
        </w:rPr>
        <w:t xml:space="preserve">1、 </w:t>
      </w:r>
      <w:r>
        <w:rPr>
          <w:rFonts w:hint="eastAsia" w:ascii="宋体" w:hAnsi="宋体" w:cs="宋体"/>
          <w:color w:val="000000" w:themeColor="text1"/>
          <w:kern w:val="0"/>
          <w:sz w:val="24"/>
          <w:szCs w:val="24"/>
          <w:u w:val="single"/>
        </w:rPr>
        <w:t xml:space="preserve">（标的名称） </w:t>
      </w:r>
      <w:r>
        <w:rPr>
          <w:rFonts w:hint="eastAsia" w:ascii="宋体" w:hAnsi="宋体" w:cs="宋体"/>
          <w:color w:val="000000" w:themeColor="text1"/>
          <w:kern w:val="0"/>
          <w:sz w:val="24"/>
          <w:szCs w:val="24"/>
        </w:rPr>
        <w:t>，属于</w:t>
      </w:r>
      <w:r>
        <w:rPr>
          <w:rFonts w:hint="eastAsia" w:ascii="宋体" w:hAnsi="宋体" w:cs="宋体"/>
          <w:color w:val="000000" w:themeColor="text1"/>
          <w:kern w:val="0"/>
          <w:sz w:val="24"/>
          <w:szCs w:val="24"/>
          <w:u w:val="single"/>
        </w:rPr>
        <w:t>（采购文件中明确的所属行业）</w:t>
      </w:r>
      <w:r>
        <w:rPr>
          <w:rFonts w:hint="eastAsia" w:ascii="宋体" w:hAnsi="宋体" w:cs="宋体"/>
          <w:color w:val="000000" w:themeColor="text1"/>
          <w:kern w:val="0"/>
          <w:sz w:val="24"/>
          <w:szCs w:val="24"/>
        </w:rPr>
        <w:t>； 承建（承接）企业为</w:t>
      </w:r>
      <w:r>
        <w:rPr>
          <w:rFonts w:hint="eastAsia" w:ascii="宋体" w:hAnsi="宋体" w:cs="宋体"/>
          <w:color w:val="000000" w:themeColor="text1"/>
          <w:kern w:val="0"/>
          <w:sz w:val="24"/>
          <w:szCs w:val="24"/>
          <w:u w:val="single"/>
        </w:rPr>
        <w:t>（企业名称）</w:t>
      </w:r>
      <w:r>
        <w:rPr>
          <w:rFonts w:hint="eastAsia" w:ascii="宋体" w:hAnsi="宋体" w:cs="宋体"/>
          <w:color w:val="000000" w:themeColor="text1"/>
          <w:kern w:val="0"/>
          <w:sz w:val="24"/>
          <w:szCs w:val="24"/>
        </w:rPr>
        <w:t>，从业人员人，营业收入为万元，资产总额为万元，属于</w:t>
      </w:r>
      <w:r>
        <w:rPr>
          <w:rFonts w:hint="eastAsia" w:ascii="宋体" w:hAnsi="宋体" w:cs="宋体"/>
          <w:color w:val="000000" w:themeColor="text1"/>
          <w:kern w:val="0"/>
          <w:sz w:val="24"/>
          <w:szCs w:val="24"/>
          <w:u w:val="single"/>
        </w:rPr>
        <w:t>（中型企业、小型企业、微型企业）</w:t>
      </w:r>
      <w:r>
        <w:rPr>
          <w:rFonts w:hint="eastAsia" w:ascii="宋体" w:hAnsi="宋体" w:cs="宋体"/>
          <w:color w:val="000000" w:themeColor="text1"/>
          <w:kern w:val="0"/>
          <w:sz w:val="24"/>
          <w:szCs w:val="24"/>
        </w:rPr>
        <w:t>；</w:t>
      </w:r>
    </w:p>
    <w:p w14:paraId="02305B84">
      <w:pPr>
        <w:autoSpaceDE w:val="0"/>
        <w:autoSpaceDN w:val="0"/>
        <w:spacing w:line="52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2. </w:t>
      </w:r>
      <w:r>
        <w:rPr>
          <w:rFonts w:hint="eastAsia" w:ascii="宋体" w:hAnsi="宋体" w:cs="宋体"/>
          <w:color w:val="000000" w:themeColor="text1"/>
          <w:kern w:val="0"/>
          <w:sz w:val="24"/>
          <w:szCs w:val="24"/>
          <w:u w:val="single"/>
        </w:rPr>
        <w:t>（标的名称）</w:t>
      </w:r>
      <w:r>
        <w:rPr>
          <w:rFonts w:hint="eastAsia" w:ascii="宋体" w:hAnsi="宋体" w:cs="宋体"/>
          <w:color w:val="000000" w:themeColor="text1"/>
          <w:kern w:val="0"/>
          <w:sz w:val="24"/>
          <w:szCs w:val="24"/>
        </w:rPr>
        <w:t xml:space="preserve"> ，属于</w:t>
      </w:r>
      <w:r>
        <w:rPr>
          <w:rFonts w:hint="eastAsia" w:ascii="宋体" w:hAnsi="宋体" w:cs="宋体"/>
          <w:color w:val="000000" w:themeColor="text1"/>
          <w:kern w:val="0"/>
          <w:sz w:val="24"/>
          <w:szCs w:val="24"/>
          <w:u w:val="single"/>
        </w:rPr>
        <w:t>（采购文件中明确的所属行业）</w:t>
      </w:r>
      <w:r>
        <w:rPr>
          <w:rFonts w:hint="eastAsia" w:ascii="宋体" w:hAnsi="宋体" w:cs="宋体"/>
          <w:color w:val="000000" w:themeColor="text1"/>
          <w:kern w:val="0"/>
          <w:sz w:val="24"/>
          <w:szCs w:val="24"/>
        </w:rPr>
        <w:t>；承建（承接）企业为</w:t>
      </w:r>
      <w:r>
        <w:rPr>
          <w:rFonts w:hint="eastAsia" w:ascii="宋体" w:hAnsi="宋体" w:cs="宋体"/>
          <w:color w:val="000000" w:themeColor="text1"/>
          <w:kern w:val="0"/>
          <w:sz w:val="24"/>
          <w:szCs w:val="24"/>
          <w:u w:val="single"/>
        </w:rPr>
        <w:t>（企业名称）</w:t>
      </w:r>
      <w:r>
        <w:rPr>
          <w:rFonts w:hint="eastAsia" w:ascii="宋体" w:hAnsi="宋体" w:cs="宋体"/>
          <w:color w:val="000000" w:themeColor="text1"/>
          <w:kern w:val="0"/>
          <w:sz w:val="24"/>
          <w:szCs w:val="24"/>
        </w:rPr>
        <w:t>，从业人员人，营业收入为万元，资产总额为万元，属于</w:t>
      </w:r>
      <w:r>
        <w:rPr>
          <w:rFonts w:hint="eastAsia" w:ascii="宋体" w:hAnsi="宋体" w:cs="宋体"/>
          <w:color w:val="000000" w:themeColor="text1"/>
          <w:kern w:val="0"/>
          <w:sz w:val="24"/>
          <w:szCs w:val="24"/>
          <w:u w:val="single"/>
        </w:rPr>
        <w:t>（中型企业、小型企业、微型企业）</w:t>
      </w:r>
      <w:r>
        <w:rPr>
          <w:rFonts w:hint="eastAsia" w:ascii="宋体" w:hAnsi="宋体" w:cs="宋体"/>
          <w:color w:val="000000" w:themeColor="text1"/>
          <w:kern w:val="0"/>
          <w:sz w:val="24"/>
          <w:szCs w:val="24"/>
        </w:rPr>
        <w:t xml:space="preserve">； </w:t>
      </w:r>
    </w:p>
    <w:p w14:paraId="7DA8B483">
      <w:pPr>
        <w:autoSpaceDE w:val="0"/>
        <w:autoSpaceDN w:val="0"/>
        <w:spacing w:line="52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w:t>
      </w:r>
    </w:p>
    <w:p w14:paraId="64A8C396">
      <w:pPr>
        <w:autoSpaceDE w:val="0"/>
        <w:autoSpaceDN w:val="0"/>
        <w:spacing w:line="52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以上企业，不属于大企业的分支机构，不存在控股股东为大企业的情形，也不存在与大企业的负责人为同一人的情形。</w:t>
      </w:r>
    </w:p>
    <w:p w14:paraId="2F1D8070">
      <w:pPr>
        <w:autoSpaceDE w:val="0"/>
        <w:autoSpaceDN w:val="0"/>
        <w:spacing w:line="52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本企业对上述声明内容的真实性负责。如有虚假，将依法承担相应责任。</w:t>
      </w:r>
    </w:p>
    <w:p w14:paraId="611C57E0">
      <w:pPr>
        <w:autoSpaceDE w:val="0"/>
        <w:autoSpaceDN w:val="0"/>
        <w:spacing w:line="520" w:lineRule="exact"/>
        <w:ind w:firstLine="480" w:firstLineChars="200"/>
        <w:rPr>
          <w:rFonts w:ascii="宋体" w:hAnsi="宋体" w:cs="宋体"/>
          <w:color w:val="000000" w:themeColor="text1"/>
          <w:kern w:val="0"/>
          <w:sz w:val="24"/>
          <w:szCs w:val="24"/>
        </w:rPr>
      </w:pPr>
    </w:p>
    <w:p w14:paraId="24B09C6A">
      <w:pPr>
        <w:autoSpaceDE w:val="0"/>
        <w:autoSpaceDN w:val="0"/>
        <w:spacing w:line="520" w:lineRule="exact"/>
        <w:ind w:firstLine="5280" w:firstLineChars="2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企业名称（盖章）： </w:t>
      </w:r>
    </w:p>
    <w:p w14:paraId="6DB07893">
      <w:pPr>
        <w:autoSpaceDE w:val="0"/>
        <w:autoSpaceDN w:val="0"/>
        <w:spacing w:line="520" w:lineRule="exact"/>
        <w:ind w:firstLine="6720" w:firstLineChars="2800"/>
        <w:rPr>
          <w:color w:val="000000" w:themeColor="text1"/>
          <w:szCs w:val="24"/>
        </w:rPr>
      </w:pPr>
      <w:r>
        <w:rPr>
          <w:rFonts w:hint="eastAsia" w:ascii="宋体" w:hAnsi="宋体" w:cs="宋体"/>
          <w:color w:val="000000" w:themeColor="text1"/>
          <w:kern w:val="0"/>
          <w:sz w:val="24"/>
          <w:szCs w:val="24"/>
        </w:rPr>
        <w:t>日 期：</w:t>
      </w:r>
    </w:p>
    <w:p w14:paraId="4B770289">
      <w:pPr>
        <w:snapToGrid w:val="0"/>
        <w:ind w:firstLine="494" w:firstLineChars="206"/>
        <w:rPr>
          <w:rFonts w:ascii="宋体" w:hAnsi="宋体"/>
          <w:color w:val="000000" w:themeColor="text1"/>
          <w:sz w:val="24"/>
          <w:szCs w:val="24"/>
        </w:rPr>
      </w:pPr>
      <w:r>
        <w:rPr>
          <w:rFonts w:ascii="宋体" w:hAnsi="宋体"/>
          <w:color w:val="000000" w:themeColor="text1"/>
          <w:sz w:val="24"/>
          <w:szCs w:val="24"/>
        </w:rPr>
        <w:t>注：</w:t>
      </w:r>
    </w:p>
    <w:p w14:paraId="055789DF">
      <w:pPr>
        <w:snapToGrid w:val="0"/>
        <w:ind w:firstLine="494" w:firstLineChars="206"/>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中小企业划分标准以“工信部联企业〔2011〕300号通知中的《中小企业划型标准</w:t>
      </w:r>
      <w:r>
        <w:rPr>
          <w:rFonts w:hint="eastAsia" w:ascii="宋体" w:hAnsi="宋体"/>
          <w:color w:val="000000" w:themeColor="text1"/>
          <w:sz w:val="24"/>
          <w:szCs w:val="24"/>
        </w:rPr>
        <w:t>规定》为准。</w:t>
      </w:r>
    </w:p>
    <w:p w14:paraId="3E9BBEFD">
      <w:pPr>
        <w:snapToGrid w:val="0"/>
        <w:ind w:firstLine="494" w:firstLineChars="206"/>
        <w:rPr>
          <w:rFonts w:ascii="宋体" w:hAnsi="宋体"/>
          <w:color w:val="000000" w:themeColor="text1"/>
          <w:sz w:val="24"/>
          <w:szCs w:val="24"/>
        </w:rPr>
      </w:pPr>
      <w:r>
        <w:rPr>
          <w:rFonts w:hint="eastAsia" w:ascii="宋体" w:hAnsi="宋体"/>
          <w:color w:val="000000" w:themeColor="text1"/>
          <w:sz w:val="24"/>
          <w:szCs w:val="24"/>
        </w:rPr>
        <w:t>（2）原件密封在“价格标响应文件”包内提供。未提供则不能按文件享受10%的价格扣除。</w:t>
      </w:r>
    </w:p>
    <w:p w14:paraId="5E0B6520">
      <w:pPr>
        <w:snapToGrid w:val="0"/>
        <w:ind w:firstLine="494" w:firstLineChars="206"/>
        <w:rPr>
          <w:rFonts w:ascii="宋体" w:hAnsi="宋体"/>
          <w:color w:val="000000" w:themeColor="text1"/>
          <w:sz w:val="24"/>
          <w:szCs w:val="24"/>
        </w:rPr>
      </w:pPr>
      <w:r>
        <w:rPr>
          <w:rFonts w:hint="eastAsia" w:ascii="宋体" w:hAnsi="宋体"/>
          <w:color w:val="000000" w:themeColor="text1"/>
          <w:sz w:val="24"/>
          <w:szCs w:val="24"/>
        </w:rPr>
        <w:t>（3）从业人员、营业收入、资产总额填报上一年度数据，无上一年度数据的新成立企业可不填报。</w:t>
      </w:r>
    </w:p>
    <w:p w14:paraId="65E266B9">
      <w:pPr>
        <w:snapToGrid w:val="0"/>
        <w:spacing w:line="520" w:lineRule="exact"/>
        <w:rPr>
          <w:rFonts w:ascii="宋体" w:hAnsi="宋体" w:cs="宋体"/>
          <w:b/>
          <w:color w:val="000000" w:themeColor="text1"/>
          <w:sz w:val="24"/>
          <w:szCs w:val="24"/>
        </w:rPr>
      </w:pPr>
    </w:p>
    <w:p w14:paraId="4E177199">
      <w:pPr>
        <w:snapToGrid w:val="0"/>
        <w:spacing w:line="520" w:lineRule="exact"/>
        <w:jc w:val="left"/>
        <w:rPr>
          <w:rFonts w:ascii="宋体" w:hAnsi="宋体"/>
          <w:color w:val="000000" w:themeColor="text1"/>
        </w:rPr>
      </w:pPr>
    </w:p>
    <w:p w14:paraId="6CB9089A">
      <w:pPr>
        <w:snapToGrid w:val="0"/>
        <w:spacing w:beforeLines="100" w:afterLines="100" w:line="420" w:lineRule="exact"/>
        <w:jc w:val="center"/>
        <w:rPr>
          <w:rFonts w:cs="宋体"/>
          <w:b/>
          <w:bCs/>
          <w:color w:val="000000" w:themeColor="text1"/>
          <w:sz w:val="28"/>
          <w:szCs w:val="28"/>
        </w:rPr>
      </w:pPr>
    </w:p>
    <w:p w14:paraId="50393CEA">
      <w:pPr>
        <w:snapToGrid w:val="0"/>
        <w:spacing w:beforeLines="100" w:afterLines="100" w:line="420" w:lineRule="exact"/>
        <w:jc w:val="center"/>
        <w:rPr>
          <w:b/>
          <w:color w:val="000000" w:themeColor="text1"/>
          <w:sz w:val="24"/>
          <w:szCs w:val="24"/>
        </w:rPr>
      </w:pPr>
      <w:r>
        <w:rPr>
          <w:rFonts w:hint="eastAsia" w:cs="宋体"/>
          <w:b/>
          <w:bCs/>
          <w:color w:val="000000" w:themeColor="text1"/>
          <w:sz w:val="28"/>
          <w:szCs w:val="28"/>
        </w:rPr>
        <w:t>9、</w:t>
      </w:r>
      <w:bookmarkStart w:id="103" w:name="OLE_LINK13"/>
      <w:bookmarkStart w:id="104" w:name="OLE_LINK14"/>
      <w:r>
        <w:rPr>
          <w:rFonts w:hint="eastAsia" w:cs="宋体"/>
          <w:b/>
          <w:bCs/>
          <w:color w:val="000000" w:themeColor="text1"/>
          <w:sz w:val="28"/>
          <w:szCs w:val="28"/>
        </w:rPr>
        <w:t>残疾人福利性单位声明函</w:t>
      </w:r>
    </w:p>
    <w:bookmarkEnd w:id="103"/>
    <w:bookmarkEnd w:id="104"/>
    <w:p w14:paraId="1E71D081">
      <w:pPr>
        <w:snapToGrid w:val="0"/>
        <w:spacing w:line="420" w:lineRule="exact"/>
        <w:ind w:firstLine="566" w:firstLineChars="236"/>
        <w:rPr>
          <w:color w:val="000000" w:themeColor="text1"/>
          <w:sz w:val="24"/>
          <w:szCs w:val="24"/>
        </w:rPr>
      </w:pPr>
      <w:r>
        <w:rPr>
          <w:rFonts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中国残疾人联合会关于促进残疾人就业政府采购政策的通知》（财库〔2017〕141号）的规定，本单位为符合条件的残疾人福利性单位，且本单位参加采购活动，提供本单位制造的</w:t>
      </w:r>
      <w:r>
        <w:rPr>
          <w:rFonts w:hint="eastAsia"/>
          <w:color w:val="000000" w:themeColor="text1"/>
          <w:sz w:val="24"/>
          <w:szCs w:val="24"/>
          <w:u w:val="single"/>
        </w:rPr>
        <w:t xml:space="preserve">全部货物 </w:t>
      </w:r>
      <w:r>
        <w:rPr>
          <w:rFonts w:hint="eastAsia"/>
          <w:color w:val="000000" w:themeColor="text1"/>
          <w:sz w:val="24"/>
          <w:szCs w:val="24"/>
        </w:rPr>
        <w:t>，或者提供其他残疾人福利性单位制造的</w:t>
      </w:r>
      <w:r>
        <w:rPr>
          <w:rFonts w:hint="eastAsia"/>
          <w:color w:val="000000" w:themeColor="text1"/>
          <w:sz w:val="24"/>
          <w:szCs w:val="24"/>
          <w:u w:val="single"/>
        </w:rPr>
        <w:t xml:space="preserve">全部货物（不包括使用非残疾人福利性单位注册商标的货物） </w:t>
      </w:r>
      <w:r>
        <w:rPr>
          <w:rFonts w:hint="eastAsia"/>
          <w:color w:val="000000" w:themeColor="text1"/>
          <w:sz w:val="24"/>
          <w:szCs w:val="24"/>
        </w:rPr>
        <w:t>。</w:t>
      </w:r>
    </w:p>
    <w:p w14:paraId="7A185314">
      <w:pPr>
        <w:snapToGrid w:val="0"/>
        <w:spacing w:line="420" w:lineRule="exact"/>
        <w:ind w:firstLine="566" w:firstLineChars="236"/>
        <w:rPr>
          <w:color w:val="000000" w:themeColor="text1"/>
          <w:sz w:val="24"/>
          <w:szCs w:val="24"/>
        </w:rPr>
      </w:pPr>
      <w:r>
        <w:rPr>
          <w:rFonts w:hint="eastAsia"/>
          <w:color w:val="000000" w:themeColor="text1"/>
          <w:sz w:val="24"/>
          <w:szCs w:val="24"/>
        </w:rPr>
        <w:t>本单位对上述声明的真实性负责。如有虚假，将依法承担相应责任。</w:t>
      </w:r>
    </w:p>
    <w:p w14:paraId="3D869077">
      <w:pPr>
        <w:snapToGrid w:val="0"/>
        <w:spacing w:line="420" w:lineRule="exact"/>
        <w:rPr>
          <w:color w:val="000000" w:themeColor="text1"/>
          <w:sz w:val="24"/>
          <w:szCs w:val="24"/>
        </w:rPr>
      </w:pPr>
    </w:p>
    <w:p w14:paraId="6EC9B457">
      <w:pPr>
        <w:snapToGrid w:val="0"/>
        <w:spacing w:line="420" w:lineRule="exact"/>
        <w:rPr>
          <w:color w:val="000000" w:themeColor="text1"/>
          <w:sz w:val="24"/>
          <w:szCs w:val="24"/>
        </w:rPr>
      </w:pPr>
    </w:p>
    <w:p w14:paraId="6B8A4B30">
      <w:pPr>
        <w:kinsoku w:val="0"/>
        <w:topLinePunct/>
        <w:snapToGrid w:val="0"/>
        <w:spacing w:line="500" w:lineRule="exact"/>
        <w:ind w:firstLine="5160" w:firstLineChars="2150"/>
        <w:jc w:val="left"/>
        <w:rPr>
          <w:rFonts w:ascii="宋体" w:hAnsi="宋体" w:cs="宋体"/>
          <w:color w:val="000000" w:themeColor="text1"/>
          <w:sz w:val="24"/>
          <w:szCs w:val="24"/>
        </w:rPr>
      </w:pPr>
      <w:r>
        <w:rPr>
          <w:rFonts w:ascii="宋体" w:hAnsi="宋体"/>
          <w:color w:val="000000" w:themeColor="text1"/>
          <w:sz w:val="24"/>
          <w:szCs w:val="24"/>
        </w:rPr>
        <w:t>投标供应商：（盖章）</w:t>
      </w:r>
    </w:p>
    <w:p w14:paraId="03157532">
      <w:pPr>
        <w:kinsoku w:val="0"/>
        <w:topLinePunct/>
        <w:snapToGrid w:val="0"/>
        <w:spacing w:line="500" w:lineRule="exact"/>
        <w:ind w:firstLine="4080" w:firstLineChars="1700"/>
        <w:jc w:val="left"/>
        <w:rPr>
          <w:rFonts w:ascii="宋体" w:hAnsi="宋体" w:cs="宋体"/>
          <w:color w:val="000000" w:themeColor="text1"/>
          <w:sz w:val="24"/>
          <w:szCs w:val="24"/>
        </w:rPr>
      </w:pPr>
      <w:r>
        <w:rPr>
          <w:rFonts w:ascii="宋体" w:hAnsi="宋体" w:cs="宋体"/>
          <w:color w:val="000000" w:themeColor="text1"/>
          <w:sz w:val="24"/>
          <w:szCs w:val="24"/>
        </w:rPr>
        <w:t>法定代表人或被授权人（签字或盖章）：</w:t>
      </w:r>
    </w:p>
    <w:p w14:paraId="69DCD090">
      <w:pPr>
        <w:kinsoku w:val="0"/>
        <w:topLinePunct/>
        <w:snapToGrid w:val="0"/>
        <w:spacing w:line="500" w:lineRule="exact"/>
        <w:ind w:firstLine="5880" w:firstLineChars="2450"/>
        <w:jc w:val="left"/>
        <w:rPr>
          <w:rFonts w:ascii="宋体" w:hAnsi="宋体" w:cs="宋体"/>
          <w:color w:val="000000" w:themeColor="text1"/>
          <w:sz w:val="24"/>
          <w:szCs w:val="24"/>
        </w:rPr>
      </w:pPr>
      <w:r>
        <w:rPr>
          <w:rFonts w:ascii="宋体" w:hAnsi="宋体" w:cs="宋体"/>
          <w:color w:val="000000" w:themeColor="text1"/>
          <w:sz w:val="24"/>
          <w:szCs w:val="24"/>
        </w:rPr>
        <w:t>日期：</w:t>
      </w:r>
    </w:p>
    <w:p w14:paraId="3402506E">
      <w:pPr>
        <w:spacing w:after="120"/>
        <w:ind w:left="420" w:leftChars="200" w:firstLine="400" w:firstLineChars="200"/>
        <w:rPr>
          <w:color w:val="000000" w:themeColor="text1"/>
          <w:kern w:val="0"/>
          <w:sz w:val="20"/>
          <w:szCs w:val="20"/>
        </w:rPr>
      </w:pPr>
    </w:p>
    <w:p w14:paraId="5F183602">
      <w:pPr>
        <w:spacing w:after="120"/>
        <w:ind w:left="420" w:leftChars="200" w:firstLine="400" w:firstLineChars="200"/>
        <w:rPr>
          <w:color w:val="000000" w:themeColor="text1"/>
          <w:kern w:val="0"/>
          <w:sz w:val="20"/>
          <w:szCs w:val="20"/>
        </w:rPr>
      </w:pPr>
    </w:p>
    <w:p w14:paraId="1DFFE992">
      <w:pPr>
        <w:spacing w:after="120"/>
        <w:ind w:left="420" w:leftChars="200" w:firstLine="400" w:firstLineChars="200"/>
        <w:rPr>
          <w:color w:val="000000" w:themeColor="text1"/>
          <w:kern w:val="0"/>
          <w:sz w:val="20"/>
          <w:szCs w:val="20"/>
        </w:rPr>
      </w:pPr>
    </w:p>
    <w:p w14:paraId="542A52DF">
      <w:pPr>
        <w:spacing w:after="120"/>
        <w:ind w:left="420" w:leftChars="200" w:firstLine="400" w:firstLineChars="200"/>
        <w:rPr>
          <w:color w:val="000000" w:themeColor="text1"/>
          <w:kern w:val="0"/>
          <w:sz w:val="20"/>
          <w:szCs w:val="20"/>
        </w:rPr>
      </w:pPr>
    </w:p>
    <w:p w14:paraId="176B951B">
      <w:pPr>
        <w:spacing w:after="120"/>
        <w:ind w:left="420" w:leftChars="200" w:firstLine="400" w:firstLineChars="200"/>
        <w:rPr>
          <w:color w:val="000000" w:themeColor="text1"/>
          <w:kern w:val="0"/>
          <w:sz w:val="20"/>
          <w:szCs w:val="20"/>
        </w:rPr>
      </w:pPr>
    </w:p>
    <w:p w14:paraId="5DC54986">
      <w:pPr>
        <w:spacing w:after="120"/>
        <w:ind w:left="420" w:leftChars="200" w:firstLine="400" w:firstLineChars="200"/>
        <w:rPr>
          <w:color w:val="000000" w:themeColor="text1"/>
          <w:kern w:val="0"/>
          <w:sz w:val="20"/>
          <w:szCs w:val="20"/>
        </w:rPr>
      </w:pPr>
    </w:p>
    <w:p w14:paraId="1EF57B17">
      <w:pPr>
        <w:spacing w:after="120"/>
        <w:ind w:left="420" w:leftChars="200" w:firstLine="400" w:firstLineChars="200"/>
        <w:rPr>
          <w:color w:val="000000" w:themeColor="text1"/>
          <w:kern w:val="0"/>
          <w:sz w:val="20"/>
          <w:szCs w:val="20"/>
        </w:rPr>
      </w:pPr>
    </w:p>
    <w:p w14:paraId="1E9C8D1B">
      <w:pPr>
        <w:spacing w:after="120"/>
        <w:ind w:left="420" w:leftChars="200" w:firstLine="400" w:firstLineChars="200"/>
        <w:rPr>
          <w:color w:val="000000" w:themeColor="text1"/>
          <w:kern w:val="0"/>
          <w:sz w:val="20"/>
          <w:szCs w:val="20"/>
        </w:rPr>
      </w:pPr>
    </w:p>
    <w:p w14:paraId="6A8DEC9B">
      <w:pPr>
        <w:spacing w:after="120"/>
        <w:ind w:left="420" w:leftChars="200" w:firstLine="400" w:firstLineChars="200"/>
        <w:rPr>
          <w:color w:val="000000" w:themeColor="text1"/>
          <w:kern w:val="0"/>
          <w:sz w:val="20"/>
          <w:szCs w:val="20"/>
        </w:rPr>
      </w:pPr>
    </w:p>
    <w:p w14:paraId="325D31DE">
      <w:pPr>
        <w:spacing w:after="120"/>
        <w:ind w:left="420" w:leftChars="200" w:firstLine="400" w:firstLineChars="200"/>
        <w:rPr>
          <w:color w:val="000000" w:themeColor="text1"/>
          <w:kern w:val="0"/>
          <w:sz w:val="20"/>
          <w:szCs w:val="20"/>
        </w:rPr>
      </w:pPr>
    </w:p>
    <w:p w14:paraId="7293C240">
      <w:pPr>
        <w:spacing w:after="120"/>
        <w:ind w:left="420" w:leftChars="200" w:firstLine="400" w:firstLineChars="200"/>
        <w:rPr>
          <w:color w:val="000000" w:themeColor="text1"/>
          <w:kern w:val="0"/>
          <w:sz w:val="20"/>
          <w:szCs w:val="20"/>
        </w:rPr>
      </w:pPr>
    </w:p>
    <w:p w14:paraId="5E31F300">
      <w:pPr>
        <w:spacing w:after="120"/>
        <w:ind w:left="420" w:leftChars="200" w:firstLine="400" w:firstLineChars="200"/>
        <w:rPr>
          <w:color w:val="000000" w:themeColor="text1"/>
          <w:kern w:val="0"/>
          <w:sz w:val="20"/>
          <w:szCs w:val="20"/>
        </w:rPr>
      </w:pPr>
    </w:p>
    <w:p w14:paraId="0732C323">
      <w:pPr>
        <w:spacing w:after="120"/>
        <w:ind w:left="420" w:leftChars="200" w:firstLine="400" w:firstLineChars="200"/>
        <w:rPr>
          <w:color w:val="000000" w:themeColor="text1"/>
          <w:kern w:val="0"/>
          <w:sz w:val="20"/>
          <w:szCs w:val="20"/>
        </w:rPr>
      </w:pPr>
    </w:p>
    <w:p w14:paraId="50D8DD41">
      <w:pPr>
        <w:spacing w:after="120"/>
        <w:ind w:left="420" w:leftChars="200" w:firstLine="400" w:firstLineChars="200"/>
        <w:rPr>
          <w:color w:val="000000" w:themeColor="text1"/>
          <w:kern w:val="0"/>
          <w:sz w:val="20"/>
          <w:szCs w:val="20"/>
        </w:rPr>
      </w:pPr>
    </w:p>
    <w:p w14:paraId="2C7640E6">
      <w:pPr>
        <w:spacing w:after="120"/>
        <w:ind w:left="420" w:leftChars="200" w:firstLine="400" w:firstLineChars="200"/>
        <w:rPr>
          <w:color w:val="000000" w:themeColor="text1"/>
          <w:kern w:val="0"/>
          <w:sz w:val="20"/>
          <w:szCs w:val="20"/>
        </w:rPr>
      </w:pPr>
    </w:p>
    <w:p w14:paraId="59F86A7A">
      <w:pPr>
        <w:spacing w:after="120"/>
        <w:ind w:left="420" w:leftChars="200" w:firstLine="400" w:firstLineChars="200"/>
        <w:rPr>
          <w:color w:val="000000" w:themeColor="text1"/>
          <w:kern w:val="0"/>
          <w:sz w:val="20"/>
          <w:szCs w:val="20"/>
        </w:rPr>
      </w:pPr>
    </w:p>
    <w:p w14:paraId="5461D32B">
      <w:pPr>
        <w:spacing w:after="120"/>
        <w:ind w:left="420" w:leftChars="200" w:firstLine="400" w:firstLineChars="200"/>
        <w:rPr>
          <w:color w:val="000000" w:themeColor="text1"/>
          <w:kern w:val="0"/>
          <w:sz w:val="20"/>
          <w:szCs w:val="20"/>
        </w:rPr>
      </w:pPr>
    </w:p>
    <w:p w14:paraId="4E164D5B">
      <w:pPr>
        <w:spacing w:after="120"/>
        <w:ind w:left="420" w:leftChars="200" w:firstLine="400" w:firstLineChars="200"/>
        <w:rPr>
          <w:color w:val="000000" w:themeColor="text1"/>
          <w:kern w:val="0"/>
          <w:sz w:val="20"/>
          <w:szCs w:val="20"/>
        </w:rPr>
      </w:pPr>
    </w:p>
    <w:p w14:paraId="23FF816F">
      <w:pPr>
        <w:pStyle w:val="2"/>
        <w:ind w:firstLine="480"/>
        <w:rPr>
          <w:color w:val="000000" w:themeColor="text1"/>
        </w:rPr>
      </w:pPr>
    </w:p>
    <w:p w14:paraId="27AEF845">
      <w:pPr>
        <w:spacing w:after="120"/>
        <w:ind w:left="420" w:leftChars="200" w:firstLine="400" w:firstLineChars="200"/>
        <w:rPr>
          <w:color w:val="000000" w:themeColor="text1"/>
          <w:kern w:val="0"/>
          <w:sz w:val="20"/>
          <w:szCs w:val="20"/>
        </w:rPr>
      </w:pPr>
    </w:p>
    <w:p w14:paraId="7F5CFFBE">
      <w:pPr>
        <w:snapToGrid w:val="0"/>
        <w:spacing w:beforeLines="100" w:afterLines="100" w:line="420" w:lineRule="exact"/>
        <w:jc w:val="center"/>
        <w:rPr>
          <w:rFonts w:cs="宋体"/>
          <w:b/>
          <w:bCs/>
          <w:color w:val="000000" w:themeColor="text1"/>
          <w:sz w:val="28"/>
          <w:szCs w:val="28"/>
        </w:rPr>
      </w:pPr>
      <w:r>
        <w:rPr>
          <w:rFonts w:hint="eastAsia" w:cs="宋体"/>
          <w:b/>
          <w:bCs/>
          <w:color w:val="000000" w:themeColor="text1"/>
          <w:sz w:val="28"/>
          <w:szCs w:val="28"/>
        </w:rPr>
        <w:t>10、监狱企业的证明（如涉有，则提供）</w:t>
      </w:r>
    </w:p>
    <w:p w14:paraId="37727FA5">
      <w:pPr>
        <w:snapToGrid w:val="0"/>
        <w:spacing w:line="420" w:lineRule="exact"/>
        <w:ind w:firstLine="424" w:firstLineChars="177"/>
        <w:rPr>
          <w:color w:val="000000" w:themeColor="text1"/>
          <w:sz w:val="24"/>
          <w:szCs w:val="24"/>
        </w:rPr>
      </w:pPr>
      <w:r>
        <w:rPr>
          <w:rFonts w:hint="eastAsia"/>
          <w:color w:val="000000" w:themeColor="text1"/>
          <w:sz w:val="24"/>
          <w:szCs w:val="24"/>
        </w:rPr>
        <w:t>（格式自拟）</w:t>
      </w:r>
    </w:p>
    <w:p w14:paraId="616DB7F2">
      <w:pPr>
        <w:snapToGrid w:val="0"/>
        <w:spacing w:line="420" w:lineRule="exact"/>
        <w:ind w:firstLine="566" w:firstLineChars="236"/>
        <w:rPr>
          <w:color w:val="000000" w:themeColor="text1"/>
          <w:sz w:val="24"/>
          <w:szCs w:val="24"/>
        </w:rPr>
      </w:pPr>
      <w:r>
        <w:rPr>
          <w:rFonts w:hint="eastAsia"/>
          <w:color w:val="000000" w:themeColor="text1"/>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FDD51E6">
      <w:pPr>
        <w:spacing w:after="120"/>
        <w:rPr>
          <w:color w:val="000000" w:themeColor="text1"/>
          <w:kern w:val="0"/>
          <w:sz w:val="20"/>
          <w:szCs w:val="20"/>
        </w:rPr>
      </w:pPr>
    </w:p>
    <w:p w14:paraId="61ED5C10">
      <w:pPr>
        <w:spacing w:after="120"/>
        <w:rPr>
          <w:color w:val="000000" w:themeColor="text1"/>
          <w:kern w:val="0"/>
          <w:sz w:val="20"/>
          <w:szCs w:val="20"/>
        </w:rPr>
      </w:pPr>
    </w:p>
    <w:p w14:paraId="772BC6CD">
      <w:pPr>
        <w:spacing w:after="120"/>
        <w:rPr>
          <w:color w:val="000000" w:themeColor="text1"/>
          <w:kern w:val="0"/>
          <w:sz w:val="20"/>
          <w:szCs w:val="20"/>
        </w:rPr>
      </w:pPr>
    </w:p>
    <w:p w14:paraId="24164027">
      <w:pPr>
        <w:spacing w:after="120"/>
        <w:rPr>
          <w:color w:val="000000" w:themeColor="text1"/>
          <w:kern w:val="0"/>
          <w:sz w:val="20"/>
          <w:szCs w:val="20"/>
        </w:rPr>
      </w:pPr>
    </w:p>
    <w:p w14:paraId="2F119328">
      <w:pPr>
        <w:spacing w:after="120"/>
        <w:rPr>
          <w:color w:val="000000" w:themeColor="text1"/>
          <w:kern w:val="0"/>
          <w:sz w:val="20"/>
          <w:szCs w:val="20"/>
        </w:rPr>
      </w:pPr>
    </w:p>
    <w:p w14:paraId="0F838D83">
      <w:pPr>
        <w:spacing w:after="120"/>
        <w:rPr>
          <w:color w:val="000000" w:themeColor="text1"/>
          <w:kern w:val="0"/>
          <w:sz w:val="20"/>
          <w:szCs w:val="20"/>
        </w:rPr>
      </w:pPr>
    </w:p>
    <w:p w14:paraId="0DE6B8A5">
      <w:pPr>
        <w:spacing w:after="120"/>
        <w:rPr>
          <w:color w:val="000000" w:themeColor="text1"/>
          <w:kern w:val="0"/>
          <w:sz w:val="20"/>
          <w:szCs w:val="20"/>
        </w:rPr>
      </w:pPr>
    </w:p>
    <w:p w14:paraId="5D3B61A1">
      <w:pPr>
        <w:spacing w:after="120"/>
        <w:rPr>
          <w:color w:val="000000" w:themeColor="text1"/>
          <w:kern w:val="0"/>
          <w:sz w:val="20"/>
          <w:szCs w:val="20"/>
        </w:rPr>
      </w:pPr>
    </w:p>
    <w:p w14:paraId="7B5F53CE">
      <w:pPr>
        <w:spacing w:after="120"/>
        <w:rPr>
          <w:color w:val="000000" w:themeColor="text1"/>
          <w:kern w:val="0"/>
          <w:sz w:val="20"/>
          <w:szCs w:val="20"/>
        </w:rPr>
      </w:pPr>
    </w:p>
    <w:p w14:paraId="3F915851">
      <w:pPr>
        <w:spacing w:after="120"/>
        <w:rPr>
          <w:color w:val="000000" w:themeColor="text1"/>
          <w:kern w:val="0"/>
          <w:sz w:val="20"/>
          <w:szCs w:val="20"/>
        </w:rPr>
      </w:pPr>
    </w:p>
    <w:p w14:paraId="62EE2CB8">
      <w:pPr>
        <w:spacing w:after="120"/>
        <w:rPr>
          <w:color w:val="000000" w:themeColor="text1"/>
          <w:kern w:val="0"/>
          <w:sz w:val="20"/>
          <w:szCs w:val="20"/>
        </w:rPr>
      </w:pPr>
    </w:p>
    <w:p w14:paraId="52CADB53">
      <w:pPr>
        <w:spacing w:after="120"/>
        <w:rPr>
          <w:color w:val="000000" w:themeColor="text1"/>
          <w:kern w:val="0"/>
          <w:sz w:val="20"/>
          <w:szCs w:val="20"/>
        </w:rPr>
      </w:pPr>
    </w:p>
    <w:p w14:paraId="035D1ABD">
      <w:pPr>
        <w:spacing w:after="120"/>
        <w:rPr>
          <w:color w:val="000000" w:themeColor="text1"/>
          <w:kern w:val="0"/>
          <w:sz w:val="20"/>
          <w:szCs w:val="20"/>
        </w:rPr>
      </w:pPr>
    </w:p>
    <w:p w14:paraId="25603A7C">
      <w:pPr>
        <w:spacing w:after="120"/>
        <w:rPr>
          <w:color w:val="000000" w:themeColor="text1"/>
          <w:kern w:val="0"/>
          <w:sz w:val="20"/>
          <w:szCs w:val="20"/>
        </w:rPr>
      </w:pPr>
    </w:p>
    <w:p w14:paraId="761084AE">
      <w:pPr>
        <w:spacing w:after="120"/>
        <w:rPr>
          <w:color w:val="000000" w:themeColor="text1"/>
          <w:kern w:val="0"/>
          <w:sz w:val="20"/>
          <w:szCs w:val="20"/>
        </w:rPr>
      </w:pPr>
    </w:p>
    <w:p w14:paraId="51A79C4C">
      <w:pPr>
        <w:spacing w:after="120"/>
        <w:rPr>
          <w:color w:val="000000" w:themeColor="text1"/>
          <w:kern w:val="0"/>
          <w:sz w:val="20"/>
          <w:szCs w:val="20"/>
        </w:rPr>
      </w:pPr>
    </w:p>
    <w:p w14:paraId="1913A5D8">
      <w:pPr>
        <w:spacing w:after="120"/>
        <w:rPr>
          <w:color w:val="000000" w:themeColor="text1"/>
          <w:kern w:val="0"/>
          <w:sz w:val="20"/>
          <w:szCs w:val="20"/>
        </w:rPr>
      </w:pPr>
    </w:p>
    <w:p w14:paraId="06EA34E0">
      <w:pPr>
        <w:spacing w:after="120"/>
        <w:rPr>
          <w:color w:val="000000" w:themeColor="text1"/>
          <w:kern w:val="0"/>
          <w:sz w:val="20"/>
          <w:szCs w:val="20"/>
        </w:rPr>
      </w:pPr>
    </w:p>
    <w:p w14:paraId="4FADBC4D">
      <w:pPr>
        <w:spacing w:after="120"/>
        <w:rPr>
          <w:color w:val="000000" w:themeColor="text1"/>
          <w:kern w:val="0"/>
          <w:sz w:val="20"/>
          <w:szCs w:val="20"/>
        </w:rPr>
      </w:pPr>
    </w:p>
    <w:p w14:paraId="540B28DD">
      <w:pPr>
        <w:spacing w:after="120"/>
        <w:rPr>
          <w:color w:val="000000" w:themeColor="text1"/>
          <w:kern w:val="0"/>
          <w:sz w:val="20"/>
          <w:szCs w:val="20"/>
        </w:rPr>
      </w:pPr>
    </w:p>
    <w:p w14:paraId="72A231F0">
      <w:pPr>
        <w:spacing w:after="120"/>
        <w:rPr>
          <w:color w:val="000000" w:themeColor="text1"/>
          <w:kern w:val="0"/>
          <w:sz w:val="20"/>
          <w:szCs w:val="20"/>
        </w:rPr>
      </w:pPr>
    </w:p>
    <w:p w14:paraId="1E1AD6AB">
      <w:pPr>
        <w:spacing w:after="120"/>
        <w:rPr>
          <w:color w:val="000000" w:themeColor="text1"/>
          <w:kern w:val="0"/>
          <w:sz w:val="20"/>
          <w:szCs w:val="20"/>
        </w:rPr>
      </w:pPr>
    </w:p>
    <w:p w14:paraId="79450001">
      <w:pPr>
        <w:spacing w:after="120"/>
        <w:rPr>
          <w:color w:val="000000" w:themeColor="text1"/>
          <w:kern w:val="0"/>
          <w:sz w:val="20"/>
          <w:szCs w:val="20"/>
        </w:rPr>
      </w:pPr>
    </w:p>
    <w:p w14:paraId="6FC83374">
      <w:pPr>
        <w:spacing w:after="120"/>
        <w:rPr>
          <w:color w:val="000000" w:themeColor="text1"/>
          <w:kern w:val="0"/>
          <w:sz w:val="20"/>
          <w:szCs w:val="20"/>
        </w:rPr>
      </w:pPr>
    </w:p>
    <w:p w14:paraId="0D1E0E85">
      <w:pPr>
        <w:spacing w:after="120"/>
        <w:rPr>
          <w:color w:val="000000" w:themeColor="text1"/>
          <w:kern w:val="0"/>
          <w:sz w:val="20"/>
          <w:szCs w:val="20"/>
        </w:rPr>
      </w:pPr>
    </w:p>
    <w:p w14:paraId="6C178920">
      <w:pPr>
        <w:spacing w:after="120"/>
        <w:rPr>
          <w:color w:val="000000" w:themeColor="text1"/>
          <w:kern w:val="0"/>
          <w:sz w:val="20"/>
          <w:szCs w:val="20"/>
        </w:rPr>
      </w:pPr>
    </w:p>
    <w:p w14:paraId="0766F3D0">
      <w:pPr>
        <w:spacing w:after="120"/>
        <w:rPr>
          <w:color w:val="000000" w:themeColor="text1"/>
          <w:kern w:val="0"/>
          <w:sz w:val="20"/>
          <w:szCs w:val="20"/>
        </w:rPr>
      </w:pPr>
    </w:p>
    <w:sectPr>
      <w:pgSz w:w="11906" w:h="16838"/>
      <w:pgMar w:top="1270" w:right="1417" w:bottom="127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2ACF">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8DE41">
    <w:pPr>
      <w:pStyle w:val="33"/>
      <w:jc w:val="center"/>
      <w:rPr>
        <w:rFonts w:cs="Times New Roman"/>
      </w:rPr>
    </w:pPr>
  </w:p>
  <w:p w14:paraId="4133B58B">
    <w:pPr>
      <w:pStyle w:val="33"/>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772">
    <w:pPr>
      <w:pStyle w:val="33"/>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924A2">
                          <w:pPr>
                            <w:pStyle w:val="3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37E924A2">
                    <w:pPr>
                      <w:pStyle w:val="33"/>
                    </w:pPr>
                    <w:r>
                      <w:fldChar w:fldCharType="begin"/>
                    </w:r>
                    <w:r>
                      <w:instrText xml:space="preserve"> PAGE  \* MERGEFORMAT </w:instrText>
                    </w:r>
                    <w:r>
                      <w:fldChar w:fldCharType="separate"/>
                    </w:r>
                    <w:r>
                      <w:t>3</w:t>
                    </w:r>
                    <w:r>
                      <w:fldChar w:fldCharType="end"/>
                    </w:r>
                  </w:p>
                </w:txbxContent>
              </v:textbox>
            </v:shape>
          </w:pict>
        </mc:Fallback>
      </mc:AlternateContent>
    </w:r>
  </w:p>
  <w:p w14:paraId="21862C62">
    <w:pPr>
      <w:pStyle w:val="3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E496">
    <w:pPr>
      <w:shd w:val="clear" w:color="auto" w:fill="FFFFFF"/>
      <w:spacing w:line="560" w:lineRule="exact"/>
      <w:rPr>
        <w:rFonts w:ascii="宋体" w:hAnsi="宋体"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151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8B57">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A99B">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13151"/>
    <w:multiLevelType w:val="singleLevel"/>
    <w:tmpl w:val="83D13151"/>
    <w:lvl w:ilvl="0" w:tentative="0">
      <w:start w:val="1"/>
      <w:numFmt w:val="decimal"/>
      <w:suff w:val="nothing"/>
      <w:lvlText w:val="（%1）"/>
      <w:lvlJc w:val="left"/>
    </w:lvl>
  </w:abstractNum>
  <w:abstractNum w:abstractNumId="1">
    <w:nsid w:val="A7F4FAC4"/>
    <w:multiLevelType w:val="singleLevel"/>
    <w:tmpl w:val="A7F4FAC4"/>
    <w:lvl w:ilvl="0" w:tentative="0">
      <w:start w:val="1"/>
      <w:numFmt w:val="chineseCounting"/>
      <w:suff w:val="nothing"/>
      <w:lvlText w:val="（%1）"/>
      <w:lvlJc w:val="left"/>
      <w:rPr>
        <w:rFonts w:hint="eastAsia"/>
      </w:rPr>
    </w:lvl>
  </w:abstractNum>
  <w:abstractNum w:abstractNumId="2">
    <w:nsid w:val="FD411D6E"/>
    <w:multiLevelType w:val="singleLevel"/>
    <w:tmpl w:val="FD411D6E"/>
    <w:lvl w:ilvl="0" w:tentative="0">
      <w:start w:val="3"/>
      <w:numFmt w:val="decimal"/>
      <w:suff w:val="nothing"/>
      <w:lvlText w:val="%1、"/>
      <w:lvlJc w:val="left"/>
    </w:lvl>
  </w:abstractNum>
  <w:abstractNum w:abstractNumId="3">
    <w:nsid w:val="0000003D"/>
    <w:multiLevelType w:val="multilevel"/>
    <w:tmpl w:val="0000003D"/>
    <w:lvl w:ilvl="0" w:tentative="0">
      <w:start w:val="1"/>
      <w:numFmt w:val="chineseCountingThousand"/>
      <w:pStyle w:val="5"/>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572AE91F"/>
    <w:multiLevelType w:val="singleLevel"/>
    <w:tmpl w:val="572AE91F"/>
    <w:lvl w:ilvl="0" w:tentative="0">
      <w:start w:val="5"/>
      <w:numFmt w:val="chineseCounting"/>
      <w:suff w:val="space"/>
      <w:lvlText w:val="第%1章"/>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4"/>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Yjk5ZDQ5YjAwOWJmZjdiOGFlZDhjYzQ1YWExZTUifQ=="/>
  </w:docVars>
  <w:rsids>
    <w:rsidRoot w:val="00172A27"/>
    <w:rsid w:val="000008E1"/>
    <w:rsid w:val="000058C1"/>
    <w:rsid w:val="00005F7A"/>
    <w:rsid w:val="00006ABE"/>
    <w:rsid w:val="00007F59"/>
    <w:rsid w:val="0001029F"/>
    <w:rsid w:val="000102D4"/>
    <w:rsid w:val="00016294"/>
    <w:rsid w:val="00021EFF"/>
    <w:rsid w:val="00021FBC"/>
    <w:rsid w:val="00021FC4"/>
    <w:rsid w:val="00023F8C"/>
    <w:rsid w:val="000243F7"/>
    <w:rsid w:val="0002545F"/>
    <w:rsid w:val="000266BD"/>
    <w:rsid w:val="00026B68"/>
    <w:rsid w:val="00034047"/>
    <w:rsid w:val="0003602F"/>
    <w:rsid w:val="000361E7"/>
    <w:rsid w:val="00037B25"/>
    <w:rsid w:val="00037B3B"/>
    <w:rsid w:val="0004431A"/>
    <w:rsid w:val="00050BBD"/>
    <w:rsid w:val="00054028"/>
    <w:rsid w:val="00056E5D"/>
    <w:rsid w:val="0005762B"/>
    <w:rsid w:val="000606F5"/>
    <w:rsid w:val="00062482"/>
    <w:rsid w:val="00063304"/>
    <w:rsid w:val="000643A3"/>
    <w:rsid w:val="000655FD"/>
    <w:rsid w:val="00065E68"/>
    <w:rsid w:val="00066618"/>
    <w:rsid w:val="00071345"/>
    <w:rsid w:val="00071716"/>
    <w:rsid w:val="0007488A"/>
    <w:rsid w:val="00074B89"/>
    <w:rsid w:val="00074C43"/>
    <w:rsid w:val="00082D50"/>
    <w:rsid w:val="00083910"/>
    <w:rsid w:val="00084E31"/>
    <w:rsid w:val="00085F8A"/>
    <w:rsid w:val="00090781"/>
    <w:rsid w:val="000939C5"/>
    <w:rsid w:val="00094062"/>
    <w:rsid w:val="000978C3"/>
    <w:rsid w:val="00097CA4"/>
    <w:rsid w:val="000A08E5"/>
    <w:rsid w:val="000A2C95"/>
    <w:rsid w:val="000A2F79"/>
    <w:rsid w:val="000A710B"/>
    <w:rsid w:val="000B2047"/>
    <w:rsid w:val="000B2801"/>
    <w:rsid w:val="000B38FB"/>
    <w:rsid w:val="000B4A07"/>
    <w:rsid w:val="000C3E5E"/>
    <w:rsid w:val="000C4679"/>
    <w:rsid w:val="000C7EA1"/>
    <w:rsid w:val="000D121D"/>
    <w:rsid w:val="000D204D"/>
    <w:rsid w:val="000D2216"/>
    <w:rsid w:val="000D2C01"/>
    <w:rsid w:val="000D4C32"/>
    <w:rsid w:val="000D694F"/>
    <w:rsid w:val="000D6E50"/>
    <w:rsid w:val="000E66F3"/>
    <w:rsid w:val="000F1902"/>
    <w:rsid w:val="000F2407"/>
    <w:rsid w:val="000F3446"/>
    <w:rsid w:val="000F59FF"/>
    <w:rsid w:val="00100AF9"/>
    <w:rsid w:val="00100FE7"/>
    <w:rsid w:val="001020F7"/>
    <w:rsid w:val="00103D77"/>
    <w:rsid w:val="00105BBC"/>
    <w:rsid w:val="001062B6"/>
    <w:rsid w:val="00110BA5"/>
    <w:rsid w:val="0011354B"/>
    <w:rsid w:val="00113EAD"/>
    <w:rsid w:val="0011474C"/>
    <w:rsid w:val="00120CE9"/>
    <w:rsid w:val="00123BD5"/>
    <w:rsid w:val="00125073"/>
    <w:rsid w:val="001256F9"/>
    <w:rsid w:val="001258B9"/>
    <w:rsid w:val="00127592"/>
    <w:rsid w:val="0013050F"/>
    <w:rsid w:val="0013239E"/>
    <w:rsid w:val="00132A4A"/>
    <w:rsid w:val="00133CBD"/>
    <w:rsid w:val="00135173"/>
    <w:rsid w:val="00136FE5"/>
    <w:rsid w:val="001419C0"/>
    <w:rsid w:val="00141EA3"/>
    <w:rsid w:val="0014374E"/>
    <w:rsid w:val="001505CF"/>
    <w:rsid w:val="00150875"/>
    <w:rsid w:val="00150D75"/>
    <w:rsid w:val="001528E4"/>
    <w:rsid w:val="00157327"/>
    <w:rsid w:val="0016373B"/>
    <w:rsid w:val="001663EB"/>
    <w:rsid w:val="00172A27"/>
    <w:rsid w:val="00175CB6"/>
    <w:rsid w:val="00181ECB"/>
    <w:rsid w:val="0018394A"/>
    <w:rsid w:val="00186A58"/>
    <w:rsid w:val="00190C21"/>
    <w:rsid w:val="001929F3"/>
    <w:rsid w:val="00192AB4"/>
    <w:rsid w:val="001976BE"/>
    <w:rsid w:val="001A0983"/>
    <w:rsid w:val="001A7854"/>
    <w:rsid w:val="001B0894"/>
    <w:rsid w:val="001B271D"/>
    <w:rsid w:val="001B4D1C"/>
    <w:rsid w:val="001B4E47"/>
    <w:rsid w:val="001B56E3"/>
    <w:rsid w:val="001B5775"/>
    <w:rsid w:val="001B6B02"/>
    <w:rsid w:val="001B70ED"/>
    <w:rsid w:val="001C216A"/>
    <w:rsid w:val="001C2231"/>
    <w:rsid w:val="001C6469"/>
    <w:rsid w:val="001C74A4"/>
    <w:rsid w:val="001D0AEE"/>
    <w:rsid w:val="001D1E4A"/>
    <w:rsid w:val="001D60DD"/>
    <w:rsid w:val="001E2662"/>
    <w:rsid w:val="001E3534"/>
    <w:rsid w:val="001E48AB"/>
    <w:rsid w:val="001F4880"/>
    <w:rsid w:val="001F5047"/>
    <w:rsid w:val="001F5A4B"/>
    <w:rsid w:val="001F650B"/>
    <w:rsid w:val="001F69A4"/>
    <w:rsid w:val="00200061"/>
    <w:rsid w:val="00201B85"/>
    <w:rsid w:val="00206420"/>
    <w:rsid w:val="00206AF1"/>
    <w:rsid w:val="002070D5"/>
    <w:rsid w:val="00207784"/>
    <w:rsid w:val="00207F85"/>
    <w:rsid w:val="002100AE"/>
    <w:rsid w:val="00211E09"/>
    <w:rsid w:val="00220D1F"/>
    <w:rsid w:val="00223466"/>
    <w:rsid w:val="00224F5F"/>
    <w:rsid w:val="00225670"/>
    <w:rsid w:val="002257D7"/>
    <w:rsid w:val="00225DFC"/>
    <w:rsid w:val="00231148"/>
    <w:rsid w:val="002315E8"/>
    <w:rsid w:val="00235015"/>
    <w:rsid w:val="00236425"/>
    <w:rsid w:val="00237122"/>
    <w:rsid w:val="00240EF7"/>
    <w:rsid w:val="002416D0"/>
    <w:rsid w:val="00245B72"/>
    <w:rsid w:val="002465F4"/>
    <w:rsid w:val="00246AE7"/>
    <w:rsid w:val="0024703E"/>
    <w:rsid w:val="00247445"/>
    <w:rsid w:val="002509ED"/>
    <w:rsid w:val="00253F6B"/>
    <w:rsid w:val="00255AB0"/>
    <w:rsid w:val="00260193"/>
    <w:rsid w:val="00260CD4"/>
    <w:rsid w:val="002611FD"/>
    <w:rsid w:val="00261BC6"/>
    <w:rsid w:val="00262D6D"/>
    <w:rsid w:val="00265658"/>
    <w:rsid w:val="002656FE"/>
    <w:rsid w:val="00266DB4"/>
    <w:rsid w:val="00266F2F"/>
    <w:rsid w:val="0026722D"/>
    <w:rsid w:val="00271E05"/>
    <w:rsid w:val="002743B2"/>
    <w:rsid w:val="00275DE2"/>
    <w:rsid w:val="002818BB"/>
    <w:rsid w:val="00282F3A"/>
    <w:rsid w:val="00284E6A"/>
    <w:rsid w:val="00287542"/>
    <w:rsid w:val="002879D0"/>
    <w:rsid w:val="00291332"/>
    <w:rsid w:val="00291738"/>
    <w:rsid w:val="0029796E"/>
    <w:rsid w:val="00297FE6"/>
    <w:rsid w:val="002A09EE"/>
    <w:rsid w:val="002A1CB7"/>
    <w:rsid w:val="002A1F8F"/>
    <w:rsid w:val="002A2D12"/>
    <w:rsid w:val="002A2F7D"/>
    <w:rsid w:val="002A4CE4"/>
    <w:rsid w:val="002A71EE"/>
    <w:rsid w:val="002A7980"/>
    <w:rsid w:val="002B7251"/>
    <w:rsid w:val="002B77A5"/>
    <w:rsid w:val="002B7CFD"/>
    <w:rsid w:val="002C2290"/>
    <w:rsid w:val="002C3237"/>
    <w:rsid w:val="002C5470"/>
    <w:rsid w:val="002C617F"/>
    <w:rsid w:val="002C71C8"/>
    <w:rsid w:val="002D0F15"/>
    <w:rsid w:val="002D7709"/>
    <w:rsid w:val="002D7C8B"/>
    <w:rsid w:val="002E0741"/>
    <w:rsid w:val="002E214B"/>
    <w:rsid w:val="002E385C"/>
    <w:rsid w:val="002E5876"/>
    <w:rsid w:val="002E5B21"/>
    <w:rsid w:val="002E62B0"/>
    <w:rsid w:val="002F2C1A"/>
    <w:rsid w:val="002F2F03"/>
    <w:rsid w:val="002F3519"/>
    <w:rsid w:val="002F677F"/>
    <w:rsid w:val="0030187C"/>
    <w:rsid w:val="00303A7A"/>
    <w:rsid w:val="00305B2D"/>
    <w:rsid w:val="00306E19"/>
    <w:rsid w:val="0030764B"/>
    <w:rsid w:val="00307ADC"/>
    <w:rsid w:val="003101C1"/>
    <w:rsid w:val="00314C22"/>
    <w:rsid w:val="00314EA0"/>
    <w:rsid w:val="003175A8"/>
    <w:rsid w:val="0032064F"/>
    <w:rsid w:val="003311BA"/>
    <w:rsid w:val="00331BE9"/>
    <w:rsid w:val="00331CB7"/>
    <w:rsid w:val="00332927"/>
    <w:rsid w:val="003339B0"/>
    <w:rsid w:val="00335723"/>
    <w:rsid w:val="003358D8"/>
    <w:rsid w:val="00337545"/>
    <w:rsid w:val="003428D6"/>
    <w:rsid w:val="00343431"/>
    <w:rsid w:val="00343F86"/>
    <w:rsid w:val="00346D58"/>
    <w:rsid w:val="00346FA1"/>
    <w:rsid w:val="00347DEF"/>
    <w:rsid w:val="00350C1C"/>
    <w:rsid w:val="00355DBE"/>
    <w:rsid w:val="00356CA9"/>
    <w:rsid w:val="003643E9"/>
    <w:rsid w:val="00366D9E"/>
    <w:rsid w:val="00366DF2"/>
    <w:rsid w:val="00370706"/>
    <w:rsid w:val="00370AC4"/>
    <w:rsid w:val="00372BAE"/>
    <w:rsid w:val="00373EA2"/>
    <w:rsid w:val="003740F9"/>
    <w:rsid w:val="00374DDC"/>
    <w:rsid w:val="003776B3"/>
    <w:rsid w:val="003817E3"/>
    <w:rsid w:val="00381EBE"/>
    <w:rsid w:val="0038506A"/>
    <w:rsid w:val="003858EF"/>
    <w:rsid w:val="0038623A"/>
    <w:rsid w:val="00396574"/>
    <w:rsid w:val="003967B3"/>
    <w:rsid w:val="00397129"/>
    <w:rsid w:val="003975A5"/>
    <w:rsid w:val="0039790E"/>
    <w:rsid w:val="00397C9B"/>
    <w:rsid w:val="003A01C6"/>
    <w:rsid w:val="003A3BAC"/>
    <w:rsid w:val="003A5164"/>
    <w:rsid w:val="003A5379"/>
    <w:rsid w:val="003A57BD"/>
    <w:rsid w:val="003B5138"/>
    <w:rsid w:val="003C0C28"/>
    <w:rsid w:val="003C1F8E"/>
    <w:rsid w:val="003C286E"/>
    <w:rsid w:val="003D0A3A"/>
    <w:rsid w:val="003D5966"/>
    <w:rsid w:val="003D6CB7"/>
    <w:rsid w:val="003D77DF"/>
    <w:rsid w:val="003E3312"/>
    <w:rsid w:val="003E5F57"/>
    <w:rsid w:val="003E6CA3"/>
    <w:rsid w:val="003E764B"/>
    <w:rsid w:val="003E7713"/>
    <w:rsid w:val="003F4B46"/>
    <w:rsid w:val="004002F3"/>
    <w:rsid w:val="004011B9"/>
    <w:rsid w:val="00403824"/>
    <w:rsid w:val="004050BB"/>
    <w:rsid w:val="004059F8"/>
    <w:rsid w:val="004064B2"/>
    <w:rsid w:val="00407C91"/>
    <w:rsid w:val="00411773"/>
    <w:rsid w:val="004136C9"/>
    <w:rsid w:val="004161DA"/>
    <w:rsid w:val="00416484"/>
    <w:rsid w:val="00417B98"/>
    <w:rsid w:val="00420773"/>
    <w:rsid w:val="00425FD6"/>
    <w:rsid w:val="004279C7"/>
    <w:rsid w:val="0043369C"/>
    <w:rsid w:val="00433D36"/>
    <w:rsid w:val="0043477C"/>
    <w:rsid w:val="00434E35"/>
    <w:rsid w:val="00437C76"/>
    <w:rsid w:val="00447C56"/>
    <w:rsid w:val="00451E6C"/>
    <w:rsid w:val="00453C4A"/>
    <w:rsid w:val="00453D73"/>
    <w:rsid w:val="00453E65"/>
    <w:rsid w:val="004561B2"/>
    <w:rsid w:val="0045785B"/>
    <w:rsid w:val="004623F7"/>
    <w:rsid w:val="0046356E"/>
    <w:rsid w:val="004719DC"/>
    <w:rsid w:val="004721E5"/>
    <w:rsid w:val="004736DD"/>
    <w:rsid w:val="004754BC"/>
    <w:rsid w:val="0048159E"/>
    <w:rsid w:val="004817D8"/>
    <w:rsid w:val="004820DF"/>
    <w:rsid w:val="00482A61"/>
    <w:rsid w:val="00490AC6"/>
    <w:rsid w:val="00490D12"/>
    <w:rsid w:val="00491943"/>
    <w:rsid w:val="0049332D"/>
    <w:rsid w:val="00493E82"/>
    <w:rsid w:val="00496D73"/>
    <w:rsid w:val="004A1BF1"/>
    <w:rsid w:val="004A377D"/>
    <w:rsid w:val="004A405A"/>
    <w:rsid w:val="004A56DD"/>
    <w:rsid w:val="004A5934"/>
    <w:rsid w:val="004A7F32"/>
    <w:rsid w:val="004B1233"/>
    <w:rsid w:val="004B208A"/>
    <w:rsid w:val="004B67DE"/>
    <w:rsid w:val="004B7D94"/>
    <w:rsid w:val="004C05C3"/>
    <w:rsid w:val="004C06BA"/>
    <w:rsid w:val="004C0AB3"/>
    <w:rsid w:val="004C0D0F"/>
    <w:rsid w:val="004C20BA"/>
    <w:rsid w:val="004C2A62"/>
    <w:rsid w:val="004C420A"/>
    <w:rsid w:val="004C434E"/>
    <w:rsid w:val="004C639B"/>
    <w:rsid w:val="004D00F8"/>
    <w:rsid w:val="004D097D"/>
    <w:rsid w:val="004D110E"/>
    <w:rsid w:val="004E6211"/>
    <w:rsid w:val="004E704E"/>
    <w:rsid w:val="004F364D"/>
    <w:rsid w:val="004F534F"/>
    <w:rsid w:val="004F6D64"/>
    <w:rsid w:val="004F7AFA"/>
    <w:rsid w:val="00503EBC"/>
    <w:rsid w:val="00504311"/>
    <w:rsid w:val="00510574"/>
    <w:rsid w:val="00510919"/>
    <w:rsid w:val="00511A8D"/>
    <w:rsid w:val="005129D6"/>
    <w:rsid w:val="00513F04"/>
    <w:rsid w:val="00514F19"/>
    <w:rsid w:val="005164FD"/>
    <w:rsid w:val="0051662D"/>
    <w:rsid w:val="005177C6"/>
    <w:rsid w:val="005212FD"/>
    <w:rsid w:val="00524448"/>
    <w:rsid w:val="00526435"/>
    <w:rsid w:val="005300E8"/>
    <w:rsid w:val="00531DCB"/>
    <w:rsid w:val="00532531"/>
    <w:rsid w:val="00532C54"/>
    <w:rsid w:val="0053747E"/>
    <w:rsid w:val="0053785D"/>
    <w:rsid w:val="00537AF6"/>
    <w:rsid w:val="00537DF0"/>
    <w:rsid w:val="00540647"/>
    <w:rsid w:val="00540E45"/>
    <w:rsid w:val="00547813"/>
    <w:rsid w:val="005478BE"/>
    <w:rsid w:val="005506EF"/>
    <w:rsid w:val="00551D57"/>
    <w:rsid w:val="005520FF"/>
    <w:rsid w:val="0055332A"/>
    <w:rsid w:val="005542D7"/>
    <w:rsid w:val="00555558"/>
    <w:rsid w:val="00556AF7"/>
    <w:rsid w:val="00560E05"/>
    <w:rsid w:val="0056421D"/>
    <w:rsid w:val="00565752"/>
    <w:rsid w:val="005658DD"/>
    <w:rsid w:val="00567762"/>
    <w:rsid w:val="00570C05"/>
    <w:rsid w:val="00573D1A"/>
    <w:rsid w:val="00574C7B"/>
    <w:rsid w:val="00575CC1"/>
    <w:rsid w:val="00575F45"/>
    <w:rsid w:val="00576BA1"/>
    <w:rsid w:val="005804A2"/>
    <w:rsid w:val="00580A48"/>
    <w:rsid w:val="005823FB"/>
    <w:rsid w:val="005843B8"/>
    <w:rsid w:val="00585154"/>
    <w:rsid w:val="00591060"/>
    <w:rsid w:val="0059320F"/>
    <w:rsid w:val="00594010"/>
    <w:rsid w:val="00594BBE"/>
    <w:rsid w:val="005955DC"/>
    <w:rsid w:val="00595FA9"/>
    <w:rsid w:val="005972C3"/>
    <w:rsid w:val="005A52A9"/>
    <w:rsid w:val="005A673F"/>
    <w:rsid w:val="005A68E8"/>
    <w:rsid w:val="005B1057"/>
    <w:rsid w:val="005B21DF"/>
    <w:rsid w:val="005B2218"/>
    <w:rsid w:val="005B308C"/>
    <w:rsid w:val="005B63E4"/>
    <w:rsid w:val="005C0614"/>
    <w:rsid w:val="005C0967"/>
    <w:rsid w:val="005C0F29"/>
    <w:rsid w:val="005C176A"/>
    <w:rsid w:val="005C2B69"/>
    <w:rsid w:val="005D4622"/>
    <w:rsid w:val="005D60C9"/>
    <w:rsid w:val="005E1FC2"/>
    <w:rsid w:val="005E5EDB"/>
    <w:rsid w:val="005E70E4"/>
    <w:rsid w:val="005E7AE6"/>
    <w:rsid w:val="005F1612"/>
    <w:rsid w:val="005F23F4"/>
    <w:rsid w:val="005F44E9"/>
    <w:rsid w:val="00600D08"/>
    <w:rsid w:val="006031BC"/>
    <w:rsid w:val="00603887"/>
    <w:rsid w:val="0060566C"/>
    <w:rsid w:val="00610073"/>
    <w:rsid w:val="00612A25"/>
    <w:rsid w:val="00612E25"/>
    <w:rsid w:val="00622E32"/>
    <w:rsid w:val="006231DE"/>
    <w:rsid w:val="00623ACE"/>
    <w:rsid w:val="00624133"/>
    <w:rsid w:val="00624E4B"/>
    <w:rsid w:val="006263B4"/>
    <w:rsid w:val="00626C16"/>
    <w:rsid w:val="00627EC6"/>
    <w:rsid w:val="00630B33"/>
    <w:rsid w:val="00635629"/>
    <w:rsid w:val="00636961"/>
    <w:rsid w:val="0064036E"/>
    <w:rsid w:val="00640665"/>
    <w:rsid w:val="006432F4"/>
    <w:rsid w:val="0065025F"/>
    <w:rsid w:val="0065063B"/>
    <w:rsid w:val="0065066E"/>
    <w:rsid w:val="006532BB"/>
    <w:rsid w:val="006533D1"/>
    <w:rsid w:val="00662669"/>
    <w:rsid w:val="00662D7B"/>
    <w:rsid w:val="0066442C"/>
    <w:rsid w:val="00670595"/>
    <w:rsid w:val="006724B4"/>
    <w:rsid w:val="00674238"/>
    <w:rsid w:val="00676826"/>
    <w:rsid w:val="00677BFF"/>
    <w:rsid w:val="00681F0C"/>
    <w:rsid w:val="0068305C"/>
    <w:rsid w:val="006857B3"/>
    <w:rsid w:val="00685AC6"/>
    <w:rsid w:val="00685DB2"/>
    <w:rsid w:val="006869E9"/>
    <w:rsid w:val="00691A51"/>
    <w:rsid w:val="00695F5C"/>
    <w:rsid w:val="006A01B3"/>
    <w:rsid w:val="006A2399"/>
    <w:rsid w:val="006A3276"/>
    <w:rsid w:val="006A454F"/>
    <w:rsid w:val="006A4FF1"/>
    <w:rsid w:val="006B137D"/>
    <w:rsid w:val="006B302A"/>
    <w:rsid w:val="006B5A48"/>
    <w:rsid w:val="006B7CBA"/>
    <w:rsid w:val="006C0AE2"/>
    <w:rsid w:val="006C0B0E"/>
    <w:rsid w:val="006C2924"/>
    <w:rsid w:val="006C4232"/>
    <w:rsid w:val="006D2963"/>
    <w:rsid w:val="006D485E"/>
    <w:rsid w:val="006D4923"/>
    <w:rsid w:val="006D56FF"/>
    <w:rsid w:val="006D69F6"/>
    <w:rsid w:val="006D7FE1"/>
    <w:rsid w:val="006E0C07"/>
    <w:rsid w:val="006F005C"/>
    <w:rsid w:val="006F1BC8"/>
    <w:rsid w:val="006F27A5"/>
    <w:rsid w:val="006F6D7E"/>
    <w:rsid w:val="006F7773"/>
    <w:rsid w:val="006F7D2C"/>
    <w:rsid w:val="00700877"/>
    <w:rsid w:val="00707BF4"/>
    <w:rsid w:val="00710FDC"/>
    <w:rsid w:val="00711087"/>
    <w:rsid w:val="00711337"/>
    <w:rsid w:val="00711C49"/>
    <w:rsid w:val="00714731"/>
    <w:rsid w:val="00714E2E"/>
    <w:rsid w:val="00714F75"/>
    <w:rsid w:val="00715679"/>
    <w:rsid w:val="00723639"/>
    <w:rsid w:val="007243DF"/>
    <w:rsid w:val="007255B0"/>
    <w:rsid w:val="00730BEA"/>
    <w:rsid w:val="0073114F"/>
    <w:rsid w:val="00731507"/>
    <w:rsid w:val="007319A3"/>
    <w:rsid w:val="0073343E"/>
    <w:rsid w:val="00737082"/>
    <w:rsid w:val="00741F4C"/>
    <w:rsid w:val="00745F77"/>
    <w:rsid w:val="00751575"/>
    <w:rsid w:val="00752A41"/>
    <w:rsid w:val="00753B5F"/>
    <w:rsid w:val="00754034"/>
    <w:rsid w:val="00754434"/>
    <w:rsid w:val="00755BF0"/>
    <w:rsid w:val="00756C6B"/>
    <w:rsid w:val="0076084E"/>
    <w:rsid w:val="00760FB3"/>
    <w:rsid w:val="007630ED"/>
    <w:rsid w:val="00763D48"/>
    <w:rsid w:val="007643DF"/>
    <w:rsid w:val="007646D6"/>
    <w:rsid w:val="00766DBF"/>
    <w:rsid w:val="007707B5"/>
    <w:rsid w:val="0077231F"/>
    <w:rsid w:val="0077585D"/>
    <w:rsid w:val="007801C6"/>
    <w:rsid w:val="00782093"/>
    <w:rsid w:val="00787753"/>
    <w:rsid w:val="00787FF9"/>
    <w:rsid w:val="007907A9"/>
    <w:rsid w:val="0079111A"/>
    <w:rsid w:val="007912A4"/>
    <w:rsid w:val="00791ABB"/>
    <w:rsid w:val="00793083"/>
    <w:rsid w:val="00795CE4"/>
    <w:rsid w:val="00795E3E"/>
    <w:rsid w:val="00797254"/>
    <w:rsid w:val="007978F4"/>
    <w:rsid w:val="00797C10"/>
    <w:rsid w:val="007A29CA"/>
    <w:rsid w:val="007A3F59"/>
    <w:rsid w:val="007A40A5"/>
    <w:rsid w:val="007A46CB"/>
    <w:rsid w:val="007A4F32"/>
    <w:rsid w:val="007A5123"/>
    <w:rsid w:val="007A57DE"/>
    <w:rsid w:val="007A775F"/>
    <w:rsid w:val="007B52DA"/>
    <w:rsid w:val="007B606D"/>
    <w:rsid w:val="007C195A"/>
    <w:rsid w:val="007C22C0"/>
    <w:rsid w:val="007C49FB"/>
    <w:rsid w:val="007C4F71"/>
    <w:rsid w:val="007C5728"/>
    <w:rsid w:val="007C7791"/>
    <w:rsid w:val="007D0055"/>
    <w:rsid w:val="007D017C"/>
    <w:rsid w:val="007D288E"/>
    <w:rsid w:val="007D6568"/>
    <w:rsid w:val="007D7EAD"/>
    <w:rsid w:val="007E5AE8"/>
    <w:rsid w:val="007F08B4"/>
    <w:rsid w:val="007F2F43"/>
    <w:rsid w:val="007F5D32"/>
    <w:rsid w:val="007F621E"/>
    <w:rsid w:val="007F6B3A"/>
    <w:rsid w:val="007F7318"/>
    <w:rsid w:val="00803D57"/>
    <w:rsid w:val="0080404F"/>
    <w:rsid w:val="0080429F"/>
    <w:rsid w:val="00813985"/>
    <w:rsid w:val="00813D21"/>
    <w:rsid w:val="00821F15"/>
    <w:rsid w:val="00822664"/>
    <w:rsid w:val="0082294F"/>
    <w:rsid w:val="00824DCB"/>
    <w:rsid w:val="0082509F"/>
    <w:rsid w:val="00833A03"/>
    <w:rsid w:val="00834A43"/>
    <w:rsid w:val="008364E9"/>
    <w:rsid w:val="00840AA8"/>
    <w:rsid w:val="00840B3E"/>
    <w:rsid w:val="0084159C"/>
    <w:rsid w:val="0084730D"/>
    <w:rsid w:val="00850261"/>
    <w:rsid w:val="00850986"/>
    <w:rsid w:val="00851DD2"/>
    <w:rsid w:val="00856C37"/>
    <w:rsid w:val="008614A0"/>
    <w:rsid w:val="00861850"/>
    <w:rsid w:val="008619E5"/>
    <w:rsid w:val="008673FE"/>
    <w:rsid w:val="00873C20"/>
    <w:rsid w:val="0087425F"/>
    <w:rsid w:val="0087464C"/>
    <w:rsid w:val="00874679"/>
    <w:rsid w:val="00876464"/>
    <w:rsid w:val="00881374"/>
    <w:rsid w:val="00881ADC"/>
    <w:rsid w:val="008836C9"/>
    <w:rsid w:val="00885115"/>
    <w:rsid w:val="0088637C"/>
    <w:rsid w:val="00886A80"/>
    <w:rsid w:val="00886E32"/>
    <w:rsid w:val="00890DD9"/>
    <w:rsid w:val="00896233"/>
    <w:rsid w:val="008A1DDD"/>
    <w:rsid w:val="008A1F9B"/>
    <w:rsid w:val="008A5FAC"/>
    <w:rsid w:val="008A671F"/>
    <w:rsid w:val="008A7716"/>
    <w:rsid w:val="008A77DF"/>
    <w:rsid w:val="008B198C"/>
    <w:rsid w:val="008B2B0B"/>
    <w:rsid w:val="008B51B0"/>
    <w:rsid w:val="008B597C"/>
    <w:rsid w:val="008B5E27"/>
    <w:rsid w:val="008B6147"/>
    <w:rsid w:val="008B75F1"/>
    <w:rsid w:val="008C0A97"/>
    <w:rsid w:val="008C27C3"/>
    <w:rsid w:val="008C49C4"/>
    <w:rsid w:val="008C69DF"/>
    <w:rsid w:val="008C69E4"/>
    <w:rsid w:val="008C6B0A"/>
    <w:rsid w:val="008D1214"/>
    <w:rsid w:val="008D1A0F"/>
    <w:rsid w:val="008D1D53"/>
    <w:rsid w:val="008D2D0E"/>
    <w:rsid w:val="008D42AF"/>
    <w:rsid w:val="008D55D5"/>
    <w:rsid w:val="008D722A"/>
    <w:rsid w:val="008E14D6"/>
    <w:rsid w:val="008E185D"/>
    <w:rsid w:val="008E1AF7"/>
    <w:rsid w:val="008E3424"/>
    <w:rsid w:val="008E6999"/>
    <w:rsid w:val="008F017F"/>
    <w:rsid w:val="008F2292"/>
    <w:rsid w:val="008F2F67"/>
    <w:rsid w:val="008F37FA"/>
    <w:rsid w:val="008F444E"/>
    <w:rsid w:val="008F44CB"/>
    <w:rsid w:val="008F4CB3"/>
    <w:rsid w:val="008F71E7"/>
    <w:rsid w:val="008F7D03"/>
    <w:rsid w:val="00900E85"/>
    <w:rsid w:val="0090226B"/>
    <w:rsid w:val="00904C43"/>
    <w:rsid w:val="00904DBC"/>
    <w:rsid w:val="0090587E"/>
    <w:rsid w:val="00907FB5"/>
    <w:rsid w:val="00907FE3"/>
    <w:rsid w:val="0091265E"/>
    <w:rsid w:val="009142DA"/>
    <w:rsid w:val="009148D6"/>
    <w:rsid w:val="00915AFC"/>
    <w:rsid w:val="0091600B"/>
    <w:rsid w:val="009230B6"/>
    <w:rsid w:val="009232FF"/>
    <w:rsid w:val="00931165"/>
    <w:rsid w:val="009312EF"/>
    <w:rsid w:val="009343B3"/>
    <w:rsid w:val="00934E93"/>
    <w:rsid w:val="009350AF"/>
    <w:rsid w:val="009353D7"/>
    <w:rsid w:val="009401C4"/>
    <w:rsid w:val="009416CA"/>
    <w:rsid w:val="00941DBD"/>
    <w:rsid w:val="009433B0"/>
    <w:rsid w:val="00943CEB"/>
    <w:rsid w:val="00947DE2"/>
    <w:rsid w:val="009505B0"/>
    <w:rsid w:val="009533E2"/>
    <w:rsid w:val="00955ADB"/>
    <w:rsid w:val="00962E18"/>
    <w:rsid w:val="009710E0"/>
    <w:rsid w:val="009716AF"/>
    <w:rsid w:val="00971C84"/>
    <w:rsid w:val="009722BC"/>
    <w:rsid w:val="0097298E"/>
    <w:rsid w:val="00974EFA"/>
    <w:rsid w:val="00983BA5"/>
    <w:rsid w:val="00985679"/>
    <w:rsid w:val="00986B8F"/>
    <w:rsid w:val="00992988"/>
    <w:rsid w:val="00994A91"/>
    <w:rsid w:val="00995678"/>
    <w:rsid w:val="0099735D"/>
    <w:rsid w:val="009A1807"/>
    <w:rsid w:val="009A2180"/>
    <w:rsid w:val="009A28C8"/>
    <w:rsid w:val="009A3F9E"/>
    <w:rsid w:val="009A52DD"/>
    <w:rsid w:val="009A5E11"/>
    <w:rsid w:val="009A6682"/>
    <w:rsid w:val="009B38B9"/>
    <w:rsid w:val="009B38DD"/>
    <w:rsid w:val="009B4041"/>
    <w:rsid w:val="009B4FA1"/>
    <w:rsid w:val="009C2BE5"/>
    <w:rsid w:val="009C4FC2"/>
    <w:rsid w:val="009C5B7D"/>
    <w:rsid w:val="009C67DC"/>
    <w:rsid w:val="009D1230"/>
    <w:rsid w:val="009D25CB"/>
    <w:rsid w:val="009D6EB4"/>
    <w:rsid w:val="009D7486"/>
    <w:rsid w:val="009D7A77"/>
    <w:rsid w:val="009E0065"/>
    <w:rsid w:val="009E5581"/>
    <w:rsid w:val="009E61A2"/>
    <w:rsid w:val="009E736C"/>
    <w:rsid w:val="009F2972"/>
    <w:rsid w:val="009F2FD8"/>
    <w:rsid w:val="009F30E6"/>
    <w:rsid w:val="009F6E7B"/>
    <w:rsid w:val="009F7311"/>
    <w:rsid w:val="00A030B3"/>
    <w:rsid w:val="00A03A53"/>
    <w:rsid w:val="00A04558"/>
    <w:rsid w:val="00A1005B"/>
    <w:rsid w:val="00A13F6A"/>
    <w:rsid w:val="00A142BC"/>
    <w:rsid w:val="00A171CD"/>
    <w:rsid w:val="00A17A38"/>
    <w:rsid w:val="00A21807"/>
    <w:rsid w:val="00A21916"/>
    <w:rsid w:val="00A22747"/>
    <w:rsid w:val="00A242D4"/>
    <w:rsid w:val="00A2752B"/>
    <w:rsid w:val="00A30720"/>
    <w:rsid w:val="00A351B8"/>
    <w:rsid w:val="00A357CF"/>
    <w:rsid w:val="00A359A2"/>
    <w:rsid w:val="00A368BE"/>
    <w:rsid w:val="00A40656"/>
    <w:rsid w:val="00A442F4"/>
    <w:rsid w:val="00A46D18"/>
    <w:rsid w:val="00A5270F"/>
    <w:rsid w:val="00A63A3E"/>
    <w:rsid w:val="00A63CBA"/>
    <w:rsid w:val="00A642C4"/>
    <w:rsid w:val="00A652DA"/>
    <w:rsid w:val="00A7282B"/>
    <w:rsid w:val="00A759AF"/>
    <w:rsid w:val="00A80E18"/>
    <w:rsid w:val="00A81B7C"/>
    <w:rsid w:val="00A825A6"/>
    <w:rsid w:val="00A82D72"/>
    <w:rsid w:val="00A84548"/>
    <w:rsid w:val="00A86365"/>
    <w:rsid w:val="00A9252B"/>
    <w:rsid w:val="00A92EBE"/>
    <w:rsid w:val="00A9516B"/>
    <w:rsid w:val="00A95AEB"/>
    <w:rsid w:val="00AA16ED"/>
    <w:rsid w:val="00AA2853"/>
    <w:rsid w:val="00AA36C7"/>
    <w:rsid w:val="00AA3E27"/>
    <w:rsid w:val="00AA495E"/>
    <w:rsid w:val="00AA6934"/>
    <w:rsid w:val="00AA6E9D"/>
    <w:rsid w:val="00AA779D"/>
    <w:rsid w:val="00AA7BA4"/>
    <w:rsid w:val="00AB0C2C"/>
    <w:rsid w:val="00AB1078"/>
    <w:rsid w:val="00AB1346"/>
    <w:rsid w:val="00AB26DB"/>
    <w:rsid w:val="00AC234E"/>
    <w:rsid w:val="00AC4838"/>
    <w:rsid w:val="00AC50C2"/>
    <w:rsid w:val="00AC5EF7"/>
    <w:rsid w:val="00AC6885"/>
    <w:rsid w:val="00AD02A2"/>
    <w:rsid w:val="00AD0813"/>
    <w:rsid w:val="00AD24EF"/>
    <w:rsid w:val="00AD5A93"/>
    <w:rsid w:val="00AE024C"/>
    <w:rsid w:val="00AE371D"/>
    <w:rsid w:val="00AE39AB"/>
    <w:rsid w:val="00AE584F"/>
    <w:rsid w:val="00AE63C3"/>
    <w:rsid w:val="00AE736A"/>
    <w:rsid w:val="00AE7CFC"/>
    <w:rsid w:val="00AF291F"/>
    <w:rsid w:val="00AF2FEE"/>
    <w:rsid w:val="00AF4129"/>
    <w:rsid w:val="00AF45C5"/>
    <w:rsid w:val="00AF6489"/>
    <w:rsid w:val="00AF7A9F"/>
    <w:rsid w:val="00B01D34"/>
    <w:rsid w:val="00B03609"/>
    <w:rsid w:val="00B03831"/>
    <w:rsid w:val="00B03DBB"/>
    <w:rsid w:val="00B04254"/>
    <w:rsid w:val="00B05449"/>
    <w:rsid w:val="00B05903"/>
    <w:rsid w:val="00B06150"/>
    <w:rsid w:val="00B06E17"/>
    <w:rsid w:val="00B10648"/>
    <w:rsid w:val="00B116B8"/>
    <w:rsid w:val="00B12C04"/>
    <w:rsid w:val="00B15007"/>
    <w:rsid w:val="00B16DE7"/>
    <w:rsid w:val="00B179CD"/>
    <w:rsid w:val="00B225D7"/>
    <w:rsid w:val="00B238D3"/>
    <w:rsid w:val="00B24177"/>
    <w:rsid w:val="00B24DA4"/>
    <w:rsid w:val="00B2612F"/>
    <w:rsid w:val="00B27BD7"/>
    <w:rsid w:val="00B30D05"/>
    <w:rsid w:val="00B327DB"/>
    <w:rsid w:val="00B357A3"/>
    <w:rsid w:val="00B41871"/>
    <w:rsid w:val="00B4336F"/>
    <w:rsid w:val="00B4522D"/>
    <w:rsid w:val="00B457FA"/>
    <w:rsid w:val="00B4598F"/>
    <w:rsid w:val="00B46BF7"/>
    <w:rsid w:val="00B500A0"/>
    <w:rsid w:val="00B50E29"/>
    <w:rsid w:val="00B51E97"/>
    <w:rsid w:val="00B5327F"/>
    <w:rsid w:val="00B565FE"/>
    <w:rsid w:val="00B57C66"/>
    <w:rsid w:val="00B60458"/>
    <w:rsid w:val="00B61888"/>
    <w:rsid w:val="00B61DC3"/>
    <w:rsid w:val="00B633C4"/>
    <w:rsid w:val="00B67AEA"/>
    <w:rsid w:val="00B702BE"/>
    <w:rsid w:val="00B72C66"/>
    <w:rsid w:val="00B73C62"/>
    <w:rsid w:val="00B83C32"/>
    <w:rsid w:val="00B85816"/>
    <w:rsid w:val="00B875C0"/>
    <w:rsid w:val="00B90608"/>
    <w:rsid w:val="00B9166F"/>
    <w:rsid w:val="00B920AD"/>
    <w:rsid w:val="00B94C8E"/>
    <w:rsid w:val="00B966AC"/>
    <w:rsid w:val="00BA1064"/>
    <w:rsid w:val="00BA19B6"/>
    <w:rsid w:val="00BA485C"/>
    <w:rsid w:val="00BA48FC"/>
    <w:rsid w:val="00BA4C75"/>
    <w:rsid w:val="00BA5B51"/>
    <w:rsid w:val="00BA6979"/>
    <w:rsid w:val="00BA790D"/>
    <w:rsid w:val="00BB279B"/>
    <w:rsid w:val="00BB4323"/>
    <w:rsid w:val="00BB452C"/>
    <w:rsid w:val="00BB4532"/>
    <w:rsid w:val="00BB4A21"/>
    <w:rsid w:val="00BB650B"/>
    <w:rsid w:val="00BB6BFB"/>
    <w:rsid w:val="00BC1816"/>
    <w:rsid w:val="00BC58A4"/>
    <w:rsid w:val="00BC781E"/>
    <w:rsid w:val="00BD0C5A"/>
    <w:rsid w:val="00BD1973"/>
    <w:rsid w:val="00BD358F"/>
    <w:rsid w:val="00BD4809"/>
    <w:rsid w:val="00BD5E5C"/>
    <w:rsid w:val="00BD5F32"/>
    <w:rsid w:val="00BD774B"/>
    <w:rsid w:val="00BE437C"/>
    <w:rsid w:val="00BE5949"/>
    <w:rsid w:val="00BF0241"/>
    <w:rsid w:val="00BF3055"/>
    <w:rsid w:val="00BF3693"/>
    <w:rsid w:val="00BF3E3E"/>
    <w:rsid w:val="00C01D39"/>
    <w:rsid w:val="00C05C52"/>
    <w:rsid w:val="00C05E82"/>
    <w:rsid w:val="00C06C84"/>
    <w:rsid w:val="00C103CD"/>
    <w:rsid w:val="00C1253A"/>
    <w:rsid w:val="00C12544"/>
    <w:rsid w:val="00C12799"/>
    <w:rsid w:val="00C152D0"/>
    <w:rsid w:val="00C213E5"/>
    <w:rsid w:val="00C23244"/>
    <w:rsid w:val="00C24CCA"/>
    <w:rsid w:val="00C25C9B"/>
    <w:rsid w:val="00C261AB"/>
    <w:rsid w:val="00C26417"/>
    <w:rsid w:val="00C26F81"/>
    <w:rsid w:val="00C32303"/>
    <w:rsid w:val="00C323FD"/>
    <w:rsid w:val="00C36220"/>
    <w:rsid w:val="00C362DF"/>
    <w:rsid w:val="00C42BB6"/>
    <w:rsid w:val="00C5050E"/>
    <w:rsid w:val="00C5077E"/>
    <w:rsid w:val="00C5169C"/>
    <w:rsid w:val="00C537C1"/>
    <w:rsid w:val="00C5650E"/>
    <w:rsid w:val="00C601D5"/>
    <w:rsid w:val="00C60DC9"/>
    <w:rsid w:val="00C623F7"/>
    <w:rsid w:val="00C63034"/>
    <w:rsid w:val="00C6413D"/>
    <w:rsid w:val="00C65ACA"/>
    <w:rsid w:val="00C66C45"/>
    <w:rsid w:val="00C67F24"/>
    <w:rsid w:val="00C716A7"/>
    <w:rsid w:val="00C73F67"/>
    <w:rsid w:val="00C75E74"/>
    <w:rsid w:val="00C77802"/>
    <w:rsid w:val="00C81801"/>
    <w:rsid w:val="00C81CBC"/>
    <w:rsid w:val="00C83130"/>
    <w:rsid w:val="00C85850"/>
    <w:rsid w:val="00C86011"/>
    <w:rsid w:val="00C8675F"/>
    <w:rsid w:val="00C91194"/>
    <w:rsid w:val="00C92B10"/>
    <w:rsid w:val="00C94724"/>
    <w:rsid w:val="00C953DF"/>
    <w:rsid w:val="00C966DF"/>
    <w:rsid w:val="00C97E68"/>
    <w:rsid w:val="00CA21BE"/>
    <w:rsid w:val="00CA27FF"/>
    <w:rsid w:val="00CA3DB6"/>
    <w:rsid w:val="00CA478F"/>
    <w:rsid w:val="00CA56B5"/>
    <w:rsid w:val="00CA5DFF"/>
    <w:rsid w:val="00CA7956"/>
    <w:rsid w:val="00CB670E"/>
    <w:rsid w:val="00CB677B"/>
    <w:rsid w:val="00CB6841"/>
    <w:rsid w:val="00CB6E94"/>
    <w:rsid w:val="00CB74DE"/>
    <w:rsid w:val="00CC0D30"/>
    <w:rsid w:val="00CC22FF"/>
    <w:rsid w:val="00CC6901"/>
    <w:rsid w:val="00CC7E4B"/>
    <w:rsid w:val="00CD078C"/>
    <w:rsid w:val="00CD27BA"/>
    <w:rsid w:val="00CD2C75"/>
    <w:rsid w:val="00CD5DE2"/>
    <w:rsid w:val="00CD6C97"/>
    <w:rsid w:val="00CD7B18"/>
    <w:rsid w:val="00CE64D2"/>
    <w:rsid w:val="00CF055B"/>
    <w:rsid w:val="00CF2864"/>
    <w:rsid w:val="00CF53AC"/>
    <w:rsid w:val="00D0546B"/>
    <w:rsid w:val="00D11D6B"/>
    <w:rsid w:val="00D12B9D"/>
    <w:rsid w:val="00D135A1"/>
    <w:rsid w:val="00D14282"/>
    <w:rsid w:val="00D144D7"/>
    <w:rsid w:val="00D20604"/>
    <w:rsid w:val="00D21EB2"/>
    <w:rsid w:val="00D22B47"/>
    <w:rsid w:val="00D243D9"/>
    <w:rsid w:val="00D24484"/>
    <w:rsid w:val="00D26DA3"/>
    <w:rsid w:val="00D320AF"/>
    <w:rsid w:val="00D32226"/>
    <w:rsid w:val="00D3542F"/>
    <w:rsid w:val="00D35FDD"/>
    <w:rsid w:val="00D37314"/>
    <w:rsid w:val="00D3784D"/>
    <w:rsid w:val="00D4173E"/>
    <w:rsid w:val="00D41B42"/>
    <w:rsid w:val="00D41C70"/>
    <w:rsid w:val="00D42027"/>
    <w:rsid w:val="00D43876"/>
    <w:rsid w:val="00D43F36"/>
    <w:rsid w:val="00D44ADF"/>
    <w:rsid w:val="00D469C2"/>
    <w:rsid w:val="00D46DD3"/>
    <w:rsid w:val="00D4720E"/>
    <w:rsid w:val="00D52242"/>
    <w:rsid w:val="00D54CBA"/>
    <w:rsid w:val="00D60E7B"/>
    <w:rsid w:val="00D61BD2"/>
    <w:rsid w:val="00D63D15"/>
    <w:rsid w:val="00D6701F"/>
    <w:rsid w:val="00D700E9"/>
    <w:rsid w:val="00D70C0A"/>
    <w:rsid w:val="00D70E57"/>
    <w:rsid w:val="00D710A9"/>
    <w:rsid w:val="00D72AC8"/>
    <w:rsid w:val="00D74E19"/>
    <w:rsid w:val="00D7524C"/>
    <w:rsid w:val="00D76F95"/>
    <w:rsid w:val="00D771EC"/>
    <w:rsid w:val="00D77551"/>
    <w:rsid w:val="00D80D27"/>
    <w:rsid w:val="00D845E8"/>
    <w:rsid w:val="00D86845"/>
    <w:rsid w:val="00D870B0"/>
    <w:rsid w:val="00D8769F"/>
    <w:rsid w:val="00D87B3C"/>
    <w:rsid w:val="00D91AA6"/>
    <w:rsid w:val="00D97119"/>
    <w:rsid w:val="00DA7DD8"/>
    <w:rsid w:val="00DB118B"/>
    <w:rsid w:val="00DB201F"/>
    <w:rsid w:val="00DB5E21"/>
    <w:rsid w:val="00DB6033"/>
    <w:rsid w:val="00DC44D1"/>
    <w:rsid w:val="00DC7E3B"/>
    <w:rsid w:val="00DD2172"/>
    <w:rsid w:val="00DD34C6"/>
    <w:rsid w:val="00DD4A5B"/>
    <w:rsid w:val="00DD67D4"/>
    <w:rsid w:val="00DD6EF5"/>
    <w:rsid w:val="00DE5AF6"/>
    <w:rsid w:val="00DE7267"/>
    <w:rsid w:val="00DF0FAE"/>
    <w:rsid w:val="00DF1835"/>
    <w:rsid w:val="00DF4EF0"/>
    <w:rsid w:val="00DF55D2"/>
    <w:rsid w:val="00E001C4"/>
    <w:rsid w:val="00E030A0"/>
    <w:rsid w:val="00E03483"/>
    <w:rsid w:val="00E05C21"/>
    <w:rsid w:val="00E0728A"/>
    <w:rsid w:val="00E07812"/>
    <w:rsid w:val="00E130A4"/>
    <w:rsid w:val="00E14859"/>
    <w:rsid w:val="00E15262"/>
    <w:rsid w:val="00E164B1"/>
    <w:rsid w:val="00E16B3D"/>
    <w:rsid w:val="00E17513"/>
    <w:rsid w:val="00E176AA"/>
    <w:rsid w:val="00E20385"/>
    <w:rsid w:val="00E23638"/>
    <w:rsid w:val="00E25058"/>
    <w:rsid w:val="00E250F3"/>
    <w:rsid w:val="00E27CA3"/>
    <w:rsid w:val="00E314D7"/>
    <w:rsid w:val="00E34192"/>
    <w:rsid w:val="00E36E77"/>
    <w:rsid w:val="00E37062"/>
    <w:rsid w:val="00E4046A"/>
    <w:rsid w:val="00E41148"/>
    <w:rsid w:val="00E41524"/>
    <w:rsid w:val="00E4217E"/>
    <w:rsid w:val="00E42471"/>
    <w:rsid w:val="00E425C8"/>
    <w:rsid w:val="00E46EF8"/>
    <w:rsid w:val="00E512A9"/>
    <w:rsid w:val="00E52F6B"/>
    <w:rsid w:val="00E57D8C"/>
    <w:rsid w:val="00E60871"/>
    <w:rsid w:val="00E62907"/>
    <w:rsid w:val="00E64374"/>
    <w:rsid w:val="00E66AB7"/>
    <w:rsid w:val="00E676A4"/>
    <w:rsid w:val="00E701DC"/>
    <w:rsid w:val="00E710E9"/>
    <w:rsid w:val="00E71856"/>
    <w:rsid w:val="00E727FE"/>
    <w:rsid w:val="00E740E0"/>
    <w:rsid w:val="00E742E3"/>
    <w:rsid w:val="00E756ED"/>
    <w:rsid w:val="00E7633B"/>
    <w:rsid w:val="00E80144"/>
    <w:rsid w:val="00E9041A"/>
    <w:rsid w:val="00E924DA"/>
    <w:rsid w:val="00E92E17"/>
    <w:rsid w:val="00E933DA"/>
    <w:rsid w:val="00E938A8"/>
    <w:rsid w:val="00E95E1D"/>
    <w:rsid w:val="00EA0A9A"/>
    <w:rsid w:val="00EA0EC2"/>
    <w:rsid w:val="00EA3CD4"/>
    <w:rsid w:val="00EA63B3"/>
    <w:rsid w:val="00EB12B2"/>
    <w:rsid w:val="00EB2718"/>
    <w:rsid w:val="00EB3463"/>
    <w:rsid w:val="00EB39FF"/>
    <w:rsid w:val="00EB5721"/>
    <w:rsid w:val="00EB5991"/>
    <w:rsid w:val="00EB6278"/>
    <w:rsid w:val="00EC0C97"/>
    <w:rsid w:val="00EC1BED"/>
    <w:rsid w:val="00EC2467"/>
    <w:rsid w:val="00EC37EB"/>
    <w:rsid w:val="00EC51EF"/>
    <w:rsid w:val="00EC737F"/>
    <w:rsid w:val="00ED01B4"/>
    <w:rsid w:val="00ED188F"/>
    <w:rsid w:val="00ED3A14"/>
    <w:rsid w:val="00ED3F32"/>
    <w:rsid w:val="00ED4562"/>
    <w:rsid w:val="00ED5294"/>
    <w:rsid w:val="00ED546B"/>
    <w:rsid w:val="00ED608D"/>
    <w:rsid w:val="00ED628B"/>
    <w:rsid w:val="00ED7E54"/>
    <w:rsid w:val="00EE106C"/>
    <w:rsid w:val="00EE2482"/>
    <w:rsid w:val="00EE32BD"/>
    <w:rsid w:val="00EE45D1"/>
    <w:rsid w:val="00EF0372"/>
    <w:rsid w:val="00EF1A7E"/>
    <w:rsid w:val="00EF1CBE"/>
    <w:rsid w:val="00EF3CDD"/>
    <w:rsid w:val="00EF45CE"/>
    <w:rsid w:val="00EF52E6"/>
    <w:rsid w:val="00EF7497"/>
    <w:rsid w:val="00F00F8B"/>
    <w:rsid w:val="00F01049"/>
    <w:rsid w:val="00F0241B"/>
    <w:rsid w:val="00F0310F"/>
    <w:rsid w:val="00F036E6"/>
    <w:rsid w:val="00F1040B"/>
    <w:rsid w:val="00F12464"/>
    <w:rsid w:val="00F14957"/>
    <w:rsid w:val="00F15D6B"/>
    <w:rsid w:val="00F2684D"/>
    <w:rsid w:val="00F26C14"/>
    <w:rsid w:val="00F30AAD"/>
    <w:rsid w:val="00F32E6D"/>
    <w:rsid w:val="00F3334D"/>
    <w:rsid w:val="00F41266"/>
    <w:rsid w:val="00F41A32"/>
    <w:rsid w:val="00F434F1"/>
    <w:rsid w:val="00F43EF7"/>
    <w:rsid w:val="00F44F96"/>
    <w:rsid w:val="00F46A91"/>
    <w:rsid w:val="00F476C8"/>
    <w:rsid w:val="00F507CC"/>
    <w:rsid w:val="00F5176C"/>
    <w:rsid w:val="00F51E56"/>
    <w:rsid w:val="00F54722"/>
    <w:rsid w:val="00F56C9F"/>
    <w:rsid w:val="00F56E6A"/>
    <w:rsid w:val="00F60841"/>
    <w:rsid w:val="00F63553"/>
    <w:rsid w:val="00F6527E"/>
    <w:rsid w:val="00F655F3"/>
    <w:rsid w:val="00F65D8D"/>
    <w:rsid w:val="00F6723F"/>
    <w:rsid w:val="00F6731F"/>
    <w:rsid w:val="00F676A6"/>
    <w:rsid w:val="00F67B1A"/>
    <w:rsid w:val="00F73122"/>
    <w:rsid w:val="00F73D87"/>
    <w:rsid w:val="00F744A3"/>
    <w:rsid w:val="00F74508"/>
    <w:rsid w:val="00F75679"/>
    <w:rsid w:val="00F76605"/>
    <w:rsid w:val="00F810FD"/>
    <w:rsid w:val="00F822FA"/>
    <w:rsid w:val="00F9005F"/>
    <w:rsid w:val="00F905CA"/>
    <w:rsid w:val="00F90D04"/>
    <w:rsid w:val="00F92C22"/>
    <w:rsid w:val="00F93466"/>
    <w:rsid w:val="00F968D0"/>
    <w:rsid w:val="00FA0372"/>
    <w:rsid w:val="00FA097E"/>
    <w:rsid w:val="00FA393F"/>
    <w:rsid w:val="00FA3DB1"/>
    <w:rsid w:val="00FA539F"/>
    <w:rsid w:val="00FA5B7C"/>
    <w:rsid w:val="00FA5EFA"/>
    <w:rsid w:val="00FA6B4A"/>
    <w:rsid w:val="00FA7BE9"/>
    <w:rsid w:val="00FB1A1C"/>
    <w:rsid w:val="00FB32E7"/>
    <w:rsid w:val="00FB5ADA"/>
    <w:rsid w:val="00FC0A61"/>
    <w:rsid w:val="00FC3BE8"/>
    <w:rsid w:val="00FC4364"/>
    <w:rsid w:val="00FC5E7F"/>
    <w:rsid w:val="00FD7D46"/>
    <w:rsid w:val="00FF4CF3"/>
    <w:rsid w:val="00FF537D"/>
    <w:rsid w:val="00FF55C1"/>
    <w:rsid w:val="01274F14"/>
    <w:rsid w:val="01303A9E"/>
    <w:rsid w:val="01371C15"/>
    <w:rsid w:val="01383FD0"/>
    <w:rsid w:val="01451617"/>
    <w:rsid w:val="0190158D"/>
    <w:rsid w:val="01B10594"/>
    <w:rsid w:val="01B77047"/>
    <w:rsid w:val="01D47292"/>
    <w:rsid w:val="0203063D"/>
    <w:rsid w:val="02043122"/>
    <w:rsid w:val="02055635"/>
    <w:rsid w:val="021D14BB"/>
    <w:rsid w:val="02346456"/>
    <w:rsid w:val="024E269D"/>
    <w:rsid w:val="02500CB9"/>
    <w:rsid w:val="02685279"/>
    <w:rsid w:val="02916327"/>
    <w:rsid w:val="029F57DD"/>
    <w:rsid w:val="02BA4887"/>
    <w:rsid w:val="02D2459A"/>
    <w:rsid w:val="02D738A3"/>
    <w:rsid w:val="02EB37DD"/>
    <w:rsid w:val="03093CAB"/>
    <w:rsid w:val="034464B8"/>
    <w:rsid w:val="036576B8"/>
    <w:rsid w:val="03923A7C"/>
    <w:rsid w:val="039B3411"/>
    <w:rsid w:val="03C1157F"/>
    <w:rsid w:val="03C71EFB"/>
    <w:rsid w:val="03CB3B35"/>
    <w:rsid w:val="03D735B0"/>
    <w:rsid w:val="03FA6CDF"/>
    <w:rsid w:val="040D6EAF"/>
    <w:rsid w:val="04365FFA"/>
    <w:rsid w:val="04494A43"/>
    <w:rsid w:val="046C0356"/>
    <w:rsid w:val="046D244C"/>
    <w:rsid w:val="046F1BE2"/>
    <w:rsid w:val="04822D08"/>
    <w:rsid w:val="04B74E45"/>
    <w:rsid w:val="04C851F1"/>
    <w:rsid w:val="04DA0A29"/>
    <w:rsid w:val="04FB048C"/>
    <w:rsid w:val="05140AB9"/>
    <w:rsid w:val="052C29BF"/>
    <w:rsid w:val="05337A63"/>
    <w:rsid w:val="055C5785"/>
    <w:rsid w:val="05994427"/>
    <w:rsid w:val="05BD5BD1"/>
    <w:rsid w:val="05CF395D"/>
    <w:rsid w:val="05F06637"/>
    <w:rsid w:val="0605445A"/>
    <w:rsid w:val="064A35D0"/>
    <w:rsid w:val="06517EE9"/>
    <w:rsid w:val="06672355"/>
    <w:rsid w:val="06BE41E6"/>
    <w:rsid w:val="06C55EEB"/>
    <w:rsid w:val="06F772FB"/>
    <w:rsid w:val="07004918"/>
    <w:rsid w:val="070B6221"/>
    <w:rsid w:val="070C0852"/>
    <w:rsid w:val="073D5377"/>
    <w:rsid w:val="075E2DBC"/>
    <w:rsid w:val="07654B87"/>
    <w:rsid w:val="07BA720E"/>
    <w:rsid w:val="07CB7156"/>
    <w:rsid w:val="07DD2CBE"/>
    <w:rsid w:val="07E13B30"/>
    <w:rsid w:val="07EE2CA7"/>
    <w:rsid w:val="080C3671"/>
    <w:rsid w:val="081F2D4C"/>
    <w:rsid w:val="084E2ACF"/>
    <w:rsid w:val="084F19C0"/>
    <w:rsid w:val="08635040"/>
    <w:rsid w:val="08B2562B"/>
    <w:rsid w:val="08B5584D"/>
    <w:rsid w:val="08CB2A51"/>
    <w:rsid w:val="08EA502F"/>
    <w:rsid w:val="09190838"/>
    <w:rsid w:val="09274740"/>
    <w:rsid w:val="095C7B83"/>
    <w:rsid w:val="098F731B"/>
    <w:rsid w:val="0996625D"/>
    <w:rsid w:val="09DE2A70"/>
    <w:rsid w:val="0A1F4EA7"/>
    <w:rsid w:val="0A6872D6"/>
    <w:rsid w:val="0ABF0DA2"/>
    <w:rsid w:val="0ACE0B6C"/>
    <w:rsid w:val="0AE57F7F"/>
    <w:rsid w:val="0AEE6792"/>
    <w:rsid w:val="0BE64801"/>
    <w:rsid w:val="0C413A10"/>
    <w:rsid w:val="0C7965AF"/>
    <w:rsid w:val="0C8E3524"/>
    <w:rsid w:val="0C95751F"/>
    <w:rsid w:val="0CAF6938"/>
    <w:rsid w:val="0CB32330"/>
    <w:rsid w:val="0CD6654D"/>
    <w:rsid w:val="0CDA3C0B"/>
    <w:rsid w:val="0CE85B65"/>
    <w:rsid w:val="0D540907"/>
    <w:rsid w:val="0D63355E"/>
    <w:rsid w:val="0D6402AD"/>
    <w:rsid w:val="0D6E00F5"/>
    <w:rsid w:val="0D74780D"/>
    <w:rsid w:val="0D7F6C2B"/>
    <w:rsid w:val="0DDE1633"/>
    <w:rsid w:val="0DE27351"/>
    <w:rsid w:val="0E133FA6"/>
    <w:rsid w:val="0E195228"/>
    <w:rsid w:val="0E2217A8"/>
    <w:rsid w:val="0E5869D1"/>
    <w:rsid w:val="0E925E78"/>
    <w:rsid w:val="0E9F7BFE"/>
    <w:rsid w:val="0EA20C5D"/>
    <w:rsid w:val="0EA54211"/>
    <w:rsid w:val="0EB36468"/>
    <w:rsid w:val="0EDB759D"/>
    <w:rsid w:val="0EF445E2"/>
    <w:rsid w:val="0F361774"/>
    <w:rsid w:val="0F3B7D92"/>
    <w:rsid w:val="0F5903DB"/>
    <w:rsid w:val="0F66630C"/>
    <w:rsid w:val="0FA100B6"/>
    <w:rsid w:val="0FCB5DCA"/>
    <w:rsid w:val="0FEB18E2"/>
    <w:rsid w:val="0FF10449"/>
    <w:rsid w:val="1026641D"/>
    <w:rsid w:val="103709CC"/>
    <w:rsid w:val="10485433"/>
    <w:rsid w:val="104C2911"/>
    <w:rsid w:val="10503ABF"/>
    <w:rsid w:val="107B6F12"/>
    <w:rsid w:val="1117568C"/>
    <w:rsid w:val="11536B10"/>
    <w:rsid w:val="11604A5C"/>
    <w:rsid w:val="1176169D"/>
    <w:rsid w:val="117C68E7"/>
    <w:rsid w:val="117F775D"/>
    <w:rsid w:val="118263A1"/>
    <w:rsid w:val="119603EC"/>
    <w:rsid w:val="11A331FA"/>
    <w:rsid w:val="11FD780F"/>
    <w:rsid w:val="120038A1"/>
    <w:rsid w:val="124D4083"/>
    <w:rsid w:val="12701BF6"/>
    <w:rsid w:val="1290435F"/>
    <w:rsid w:val="12DE47E6"/>
    <w:rsid w:val="12E50430"/>
    <w:rsid w:val="12F639E2"/>
    <w:rsid w:val="130855B9"/>
    <w:rsid w:val="133612ED"/>
    <w:rsid w:val="133D1517"/>
    <w:rsid w:val="136532E8"/>
    <w:rsid w:val="139C09D1"/>
    <w:rsid w:val="13AF6952"/>
    <w:rsid w:val="13CC1FE7"/>
    <w:rsid w:val="13D21B4C"/>
    <w:rsid w:val="14C02D74"/>
    <w:rsid w:val="14D251DA"/>
    <w:rsid w:val="14DD340D"/>
    <w:rsid w:val="14E05FAD"/>
    <w:rsid w:val="152764B7"/>
    <w:rsid w:val="153F673C"/>
    <w:rsid w:val="155913AC"/>
    <w:rsid w:val="156001F5"/>
    <w:rsid w:val="15695ACC"/>
    <w:rsid w:val="157E7401"/>
    <w:rsid w:val="15A75E57"/>
    <w:rsid w:val="1614567C"/>
    <w:rsid w:val="16271ECD"/>
    <w:rsid w:val="16A76302"/>
    <w:rsid w:val="16C521B5"/>
    <w:rsid w:val="16F3593D"/>
    <w:rsid w:val="16F60411"/>
    <w:rsid w:val="16FB18E9"/>
    <w:rsid w:val="172C0E92"/>
    <w:rsid w:val="173A3666"/>
    <w:rsid w:val="17405D8B"/>
    <w:rsid w:val="17482177"/>
    <w:rsid w:val="17803F5E"/>
    <w:rsid w:val="17870C00"/>
    <w:rsid w:val="17DF684D"/>
    <w:rsid w:val="17EA21AF"/>
    <w:rsid w:val="17F31E94"/>
    <w:rsid w:val="181736F0"/>
    <w:rsid w:val="18301873"/>
    <w:rsid w:val="185D59F5"/>
    <w:rsid w:val="18652B97"/>
    <w:rsid w:val="18D24826"/>
    <w:rsid w:val="190E2A9B"/>
    <w:rsid w:val="1930763A"/>
    <w:rsid w:val="193564B7"/>
    <w:rsid w:val="195902EB"/>
    <w:rsid w:val="198F35F7"/>
    <w:rsid w:val="199667D2"/>
    <w:rsid w:val="19A61286"/>
    <w:rsid w:val="19C63AD7"/>
    <w:rsid w:val="19E94399"/>
    <w:rsid w:val="19EC5D5F"/>
    <w:rsid w:val="19EF6331"/>
    <w:rsid w:val="1A0D5537"/>
    <w:rsid w:val="1A270BAD"/>
    <w:rsid w:val="1A3D7707"/>
    <w:rsid w:val="1A7868CC"/>
    <w:rsid w:val="1AA40BC5"/>
    <w:rsid w:val="1AA52927"/>
    <w:rsid w:val="1AFC093E"/>
    <w:rsid w:val="1B7156DA"/>
    <w:rsid w:val="1B751D18"/>
    <w:rsid w:val="1B837689"/>
    <w:rsid w:val="1BA35581"/>
    <w:rsid w:val="1BBC1B6B"/>
    <w:rsid w:val="1BC27D98"/>
    <w:rsid w:val="1BE54206"/>
    <w:rsid w:val="1C1224F7"/>
    <w:rsid w:val="1C215860"/>
    <w:rsid w:val="1C3B088A"/>
    <w:rsid w:val="1C841734"/>
    <w:rsid w:val="1CBB088F"/>
    <w:rsid w:val="1CD120FF"/>
    <w:rsid w:val="1CDF6B41"/>
    <w:rsid w:val="1CFF1291"/>
    <w:rsid w:val="1D2C2003"/>
    <w:rsid w:val="1D2F3F5E"/>
    <w:rsid w:val="1D42447D"/>
    <w:rsid w:val="1D52110B"/>
    <w:rsid w:val="1D6920D8"/>
    <w:rsid w:val="1D955C17"/>
    <w:rsid w:val="1DC50F72"/>
    <w:rsid w:val="1DD22C2E"/>
    <w:rsid w:val="1DF127C5"/>
    <w:rsid w:val="1EA43D4B"/>
    <w:rsid w:val="1EA669B3"/>
    <w:rsid w:val="1EB55847"/>
    <w:rsid w:val="1ECB6CF3"/>
    <w:rsid w:val="1ED63936"/>
    <w:rsid w:val="1ED8671A"/>
    <w:rsid w:val="1EE82E44"/>
    <w:rsid w:val="1F095BCD"/>
    <w:rsid w:val="1F324176"/>
    <w:rsid w:val="1F3839D1"/>
    <w:rsid w:val="1FB35C2A"/>
    <w:rsid w:val="1FB7392F"/>
    <w:rsid w:val="1FC843CF"/>
    <w:rsid w:val="1FDB0E74"/>
    <w:rsid w:val="200A7C06"/>
    <w:rsid w:val="20143EA9"/>
    <w:rsid w:val="20443B05"/>
    <w:rsid w:val="20497839"/>
    <w:rsid w:val="205325C3"/>
    <w:rsid w:val="20540405"/>
    <w:rsid w:val="20544497"/>
    <w:rsid w:val="20AB7349"/>
    <w:rsid w:val="20B11C5C"/>
    <w:rsid w:val="20BE2EDB"/>
    <w:rsid w:val="20DC1B4D"/>
    <w:rsid w:val="20E75FEA"/>
    <w:rsid w:val="21386BBD"/>
    <w:rsid w:val="219A49A8"/>
    <w:rsid w:val="21BE7C5E"/>
    <w:rsid w:val="21CA74E9"/>
    <w:rsid w:val="21DE261D"/>
    <w:rsid w:val="21E54A6A"/>
    <w:rsid w:val="21EC2BAB"/>
    <w:rsid w:val="21F22C88"/>
    <w:rsid w:val="22050A5A"/>
    <w:rsid w:val="221F410B"/>
    <w:rsid w:val="223F0805"/>
    <w:rsid w:val="227B1864"/>
    <w:rsid w:val="22A60EB5"/>
    <w:rsid w:val="22AD47A1"/>
    <w:rsid w:val="22D23494"/>
    <w:rsid w:val="22D81D21"/>
    <w:rsid w:val="230F0A4B"/>
    <w:rsid w:val="2316369E"/>
    <w:rsid w:val="23165F69"/>
    <w:rsid w:val="238263F4"/>
    <w:rsid w:val="23A520A0"/>
    <w:rsid w:val="23A7421A"/>
    <w:rsid w:val="23AF4937"/>
    <w:rsid w:val="24011960"/>
    <w:rsid w:val="2403579C"/>
    <w:rsid w:val="24054A11"/>
    <w:rsid w:val="241137D9"/>
    <w:rsid w:val="241F2D91"/>
    <w:rsid w:val="24213779"/>
    <w:rsid w:val="243004B4"/>
    <w:rsid w:val="245A05CA"/>
    <w:rsid w:val="24B66F7B"/>
    <w:rsid w:val="24B95CB1"/>
    <w:rsid w:val="25101C98"/>
    <w:rsid w:val="25197286"/>
    <w:rsid w:val="25333CE6"/>
    <w:rsid w:val="253759E6"/>
    <w:rsid w:val="2549427F"/>
    <w:rsid w:val="25971BFA"/>
    <w:rsid w:val="25974A42"/>
    <w:rsid w:val="25E037D0"/>
    <w:rsid w:val="25E21071"/>
    <w:rsid w:val="25F20E6F"/>
    <w:rsid w:val="262808E1"/>
    <w:rsid w:val="26767663"/>
    <w:rsid w:val="267D5E31"/>
    <w:rsid w:val="268C368D"/>
    <w:rsid w:val="26B92AA7"/>
    <w:rsid w:val="26C84F0B"/>
    <w:rsid w:val="27251824"/>
    <w:rsid w:val="2734087F"/>
    <w:rsid w:val="273F2C97"/>
    <w:rsid w:val="27577C63"/>
    <w:rsid w:val="276A2C01"/>
    <w:rsid w:val="276F2C9F"/>
    <w:rsid w:val="277F4EC2"/>
    <w:rsid w:val="279F2C36"/>
    <w:rsid w:val="27D37914"/>
    <w:rsid w:val="280765CC"/>
    <w:rsid w:val="28453812"/>
    <w:rsid w:val="28B270ED"/>
    <w:rsid w:val="28EC1885"/>
    <w:rsid w:val="29056374"/>
    <w:rsid w:val="29212C84"/>
    <w:rsid w:val="2933177B"/>
    <w:rsid w:val="2974095E"/>
    <w:rsid w:val="297A4E27"/>
    <w:rsid w:val="2990151A"/>
    <w:rsid w:val="29927401"/>
    <w:rsid w:val="299B6946"/>
    <w:rsid w:val="29B72D5D"/>
    <w:rsid w:val="29C04EC5"/>
    <w:rsid w:val="29D04E30"/>
    <w:rsid w:val="29D05C89"/>
    <w:rsid w:val="29DE1E4D"/>
    <w:rsid w:val="29E45A39"/>
    <w:rsid w:val="29F8414A"/>
    <w:rsid w:val="2A0A7696"/>
    <w:rsid w:val="2A0D0F0C"/>
    <w:rsid w:val="2A176C00"/>
    <w:rsid w:val="2A6B1D80"/>
    <w:rsid w:val="2A6C52BE"/>
    <w:rsid w:val="2A7523C5"/>
    <w:rsid w:val="2A9152D8"/>
    <w:rsid w:val="2A9361B7"/>
    <w:rsid w:val="2ABE485F"/>
    <w:rsid w:val="2AD757E4"/>
    <w:rsid w:val="2ADB6EB7"/>
    <w:rsid w:val="2AF63BC4"/>
    <w:rsid w:val="2AFB54C5"/>
    <w:rsid w:val="2B055F8A"/>
    <w:rsid w:val="2B0C03A4"/>
    <w:rsid w:val="2B200651"/>
    <w:rsid w:val="2B366A9C"/>
    <w:rsid w:val="2B3841A3"/>
    <w:rsid w:val="2B5533FF"/>
    <w:rsid w:val="2B6F658C"/>
    <w:rsid w:val="2B916B5A"/>
    <w:rsid w:val="2B984EBF"/>
    <w:rsid w:val="2BA92106"/>
    <w:rsid w:val="2BA95982"/>
    <w:rsid w:val="2BC30F6C"/>
    <w:rsid w:val="2C24329E"/>
    <w:rsid w:val="2C4D32D2"/>
    <w:rsid w:val="2D2C14B2"/>
    <w:rsid w:val="2D511017"/>
    <w:rsid w:val="2D6A2633"/>
    <w:rsid w:val="2DA67B66"/>
    <w:rsid w:val="2DF53CD5"/>
    <w:rsid w:val="2DFD7CDE"/>
    <w:rsid w:val="2E081BC5"/>
    <w:rsid w:val="2E4F1AC3"/>
    <w:rsid w:val="2E630CFC"/>
    <w:rsid w:val="2E8818C4"/>
    <w:rsid w:val="2E922D73"/>
    <w:rsid w:val="2EBA1864"/>
    <w:rsid w:val="2EF22E53"/>
    <w:rsid w:val="2F0A6734"/>
    <w:rsid w:val="2F3D79D9"/>
    <w:rsid w:val="2F4219B8"/>
    <w:rsid w:val="2FA37B1F"/>
    <w:rsid w:val="2FC36919"/>
    <w:rsid w:val="2FC935F5"/>
    <w:rsid w:val="2FF015B7"/>
    <w:rsid w:val="30007053"/>
    <w:rsid w:val="3019494D"/>
    <w:rsid w:val="302F5F5A"/>
    <w:rsid w:val="305C6B22"/>
    <w:rsid w:val="30D50139"/>
    <w:rsid w:val="30DC39E3"/>
    <w:rsid w:val="30E74DA6"/>
    <w:rsid w:val="30EC34E0"/>
    <w:rsid w:val="31034DAD"/>
    <w:rsid w:val="310569C5"/>
    <w:rsid w:val="31073E1B"/>
    <w:rsid w:val="31172A76"/>
    <w:rsid w:val="313B4967"/>
    <w:rsid w:val="31687C82"/>
    <w:rsid w:val="31711248"/>
    <w:rsid w:val="31841167"/>
    <w:rsid w:val="31962F66"/>
    <w:rsid w:val="31CA7A2C"/>
    <w:rsid w:val="321B3FBC"/>
    <w:rsid w:val="32484C4E"/>
    <w:rsid w:val="32605D06"/>
    <w:rsid w:val="3268669D"/>
    <w:rsid w:val="327B4598"/>
    <w:rsid w:val="32D22945"/>
    <w:rsid w:val="32E90B44"/>
    <w:rsid w:val="332D5B09"/>
    <w:rsid w:val="334F183A"/>
    <w:rsid w:val="33A43C30"/>
    <w:rsid w:val="33CE2C57"/>
    <w:rsid w:val="33DE6B77"/>
    <w:rsid w:val="33EC512B"/>
    <w:rsid w:val="34084B56"/>
    <w:rsid w:val="341C101E"/>
    <w:rsid w:val="345A0F89"/>
    <w:rsid w:val="346F43F1"/>
    <w:rsid w:val="347D281C"/>
    <w:rsid w:val="34AD3E0C"/>
    <w:rsid w:val="351A3781"/>
    <w:rsid w:val="352668B5"/>
    <w:rsid w:val="35441A8C"/>
    <w:rsid w:val="355A3D41"/>
    <w:rsid w:val="35691819"/>
    <w:rsid w:val="356E22DF"/>
    <w:rsid w:val="35A90671"/>
    <w:rsid w:val="35B55342"/>
    <w:rsid w:val="35B771BD"/>
    <w:rsid w:val="361A47EC"/>
    <w:rsid w:val="363E4C54"/>
    <w:rsid w:val="364D7488"/>
    <w:rsid w:val="366018F2"/>
    <w:rsid w:val="36741E16"/>
    <w:rsid w:val="36820D01"/>
    <w:rsid w:val="36BB3867"/>
    <w:rsid w:val="36D654B6"/>
    <w:rsid w:val="36DB7437"/>
    <w:rsid w:val="36DD32BF"/>
    <w:rsid w:val="36F061F6"/>
    <w:rsid w:val="36F4501D"/>
    <w:rsid w:val="370C7272"/>
    <w:rsid w:val="371A26C2"/>
    <w:rsid w:val="371E4419"/>
    <w:rsid w:val="372F21F8"/>
    <w:rsid w:val="37450A23"/>
    <w:rsid w:val="37482467"/>
    <w:rsid w:val="375A10AE"/>
    <w:rsid w:val="375F18CE"/>
    <w:rsid w:val="376D3A14"/>
    <w:rsid w:val="377543D4"/>
    <w:rsid w:val="379E050A"/>
    <w:rsid w:val="37A227C0"/>
    <w:rsid w:val="37CE64E6"/>
    <w:rsid w:val="37D746BF"/>
    <w:rsid w:val="37FE1083"/>
    <w:rsid w:val="380A70E0"/>
    <w:rsid w:val="38112289"/>
    <w:rsid w:val="381350F2"/>
    <w:rsid w:val="381439C0"/>
    <w:rsid w:val="382C54C9"/>
    <w:rsid w:val="383E466C"/>
    <w:rsid w:val="388B689C"/>
    <w:rsid w:val="389567FE"/>
    <w:rsid w:val="389B0595"/>
    <w:rsid w:val="38A47140"/>
    <w:rsid w:val="38C61181"/>
    <w:rsid w:val="38CB5333"/>
    <w:rsid w:val="38F80946"/>
    <w:rsid w:val="39197560"/>
    <w:rsid w:val="39792D8B"/>
    <w:rsid w:val="39875A90"/>
    <w:rsid w:val="398D4DD4"/>
    <w:rsid w:val="39A53523"/>
    <w:rsid w:val="39A75360"/>
    <w:rsid w:val="39AA5533"/>
    <w:rsid w:val="39C661B5"/>
    <w:rsid w:val="39D06816"/>
    <w:rsid w:val="3A1A0FD7"/>
    <w:rsid w:val="3A1E7F36"/>
    <w:rsid w:val="3A4D391B"/>
    <w:rsid w:val="3A500759"/>
    <w:rsid w:val="3A6570A1"/>
    <w:rsid w:val="3A715723"/>
    <w:rsid w:val="3A883352"/>
    <w:rsid w:val="3A98285C"/>
    <w:rsid w:val="3A9D4CDC"/>
    <w:rsid w:val="3AAA3DD3"/>
    <w:rsid w:val="3AAC37D2"/>
    <w:rsid w:val="3AB16AFD"/>
    <w:rsid w:val="3ABD3CF2"/>
    <w:rsid w:val="3AC75382"/>
    <w:rsid w:val="3AD23706"/>
    <w:rsid w:val="3AD54D74"/>
    <w:rsid w:val="3ADF1772"/>
    <w:rsid w:val="3AE83617"/>
    <w:rsid w:val="3B0A451D"/>
    <w:rsid w:val="3BF12A86"/>
    <w:rsid w:val="3C06611D"/>
    <w:rsid w:val="3C3805E4"/>
    <w:rsid w:val="3C522355"/>
    <w:rsid w:val="3CBF0BAF"/>
    <w:rsid w:val="3D056DE5"/>
    <w:rsid w:val="3D150381"/>
    <w:rsid w:val="3D242DC0"/>
    <w:rsid w:val="3D3357D0"/>
    <w:rsid w:val="3D444D9B"/>
    <w:rsid w:val="3D603B0C"/>
    <w:rsid w:val="3D9A53D2"/>
    <w:rsid w:val="3D9E2DAE"/>
    <w:rsid w:val="3DA82763"/>
    <w:rsid w:val="3DB71261"/>
    <w:rsid w:val="3DC2371B"/>
    <w:rsid w:val="3E542901"/>
    <w:rsid w:val="3EA568D2"/>
    <w:rsid w:val="3EAB60E2"/>
    <w:rsid w:val="3EB24A80"/>
    <w:rsid w:val="3EF344A0"/>
    <w:rsid w:val="3F0C5499"/>
    <w:rsid w:val="3F266B61"/>
    <w:rsid w:val="3F27052D"/>
    <w:rsid w:val="3F271710"/>
    <w:rsid w:val="3F564F2E"/>
    <w:rsid w:val="3F5A618E"/>
    <w:rsid w:val="3FA24FD3"/>
    <w:rsid w:val="3FF62CB9"/>
    <w:rsid w:val="403C0BE5"/>
    <w:rsid w:val="404E7F56"/>
    <w:rsid w:val="406538E2"/>
    <w:rsid w:val="409F41D0"/>
    <w:rsid w:val="40BA1A5B"/>
    <w:rsid w:val="40C1354A"/>
    <w:rsid w:val="40E6513A"/>
    <w:rsid w:val="41277CAD"/>
    <w:rsid w:val="41326E0A"/>
    <w:rsid w:val="415415D9"/>
    <w:rsid w:val="417254CB"/>
    <w:rsid w:val="4178276D"/>
    <w:rsid w:val="418A329E"/>
    <w:rsid w:val="41DE7B28"/>
    <w:rsid w:val="42122E0A"/>
    <w:rsid w:val="421C406A"/>
    <w:rsid w:val="421C69ED"/>
    <w:rsid w:val="423D3A47"/>
    <w:rsid w:val="423F7E57"/>
    <w:rsid w:val="42643AB6"/>
    <w:rsid w:val="428B61F9"/>
    <w:rsid w:val="42921C04"/>
    <w:rsid w:val="42DA32D0"/>
    <w:rsid w:val="42F13672"/>
    <w:rsid w:val="42FC2482"/>
    <w:rsid w:val="433112AC"/>
    <w:rsid w:val="434E0C0A"/>
    <w:rsid w:val="438D6152"/>
    <w:rsid w:val="43A96596"/>
    <w:rsid w:val="43C54EEF"/>
    <w:rsid w:val="443B1E1A"/>
    <w:rsid w:val="44647509"/>
    <w:rsid w:val="447B0E62"/>
    <w:rsid w:val="44824F4E"/>
    <w:rsid w:val="449A0FC3"/>
    <w:rsid w:val="44A17A7E"/>
    <w:rsid w:val="44DE5380"/>
    <w:rsid w:val="44EE06E7"/>
    <w:rsid w:val="44FD341A"/>
    <w:rsid w:val="453C2484"/>
    <w:rsid w:val="453D6989"/>
    <w:rsid w:val="454B049A"/>
    <w:rsid w:val="454B5BFF"/>
    <w:rsid w:val="454F1AA1"/>
    <w:rsid w:val="457C2700"/>
    <w:rsid w:val="45A45B97"/>
    <w:rsid w:val="45B97B84"/>
    <w:rsid w:val="45BA70B1"/>
    <w:rsid w:val="45EA2CE8"/>
    <w:rsid w:val="45F74EDF"/>
    <w:rsid w:val="4600059B"/>
    <w:rsid w:val="4601718F"/>
    <w:rsid w:val="461818D0"/>
    <w:rsid w:val="462D006C"/>
    <w:rsid w:val="46350AC6"/>
    <w:rsid w:val="46444F36"/>
    <w:rsid w:val="46565007"/>
    <w:rsid w:val="46762442"/>
    <w:rsid w:val="46AB5174"/>
    <w:rsid w:val="46B700F8"/>
    <w:rsid w:val="46BB04BA"/>
    <w:rsid w:val="46BB44BC"/>
    <w:rsid w:val="47131FCF"/>
    <w:rsid w:val="471D6532"/>
    <w:rsid w:val="473946A4"/>
    <w:rsid w:val="47510996"/>
    <w:rsid w:val="47570AD2"/>
    <w:rsid w:val="47580314"/>
    <w:rsid w:val="476726EC"/>
    <w:rsid w:val="477132E0"/>
    <w:rsid w:val="4787520B"/>
    <w:rsid w:val="47F21740"/>
    <w:rsid w:val="47F24947"/>
    <w:rsid w:val="4804144A"/>
    <w:rsid w:val="4811419D"/>
    <w:rsid w:val="48460E87"/>
    <w:rsid w:val="486A7361"/>
    <w:rsid w:val="48C05E0B"/>
    <w:rsid w:val="48C75671"/>
    <w:rsid w:val="48C93CA5"/>
    <w:rsid w:val="49043FAA"/>
    <w:rsid w:val="490671E3"/>
    <w:rsid w:val="490A3296"/>
    <w:rsid w:val="490E1280"/>
    <w:rsid w:val="4922407A"/>
    <w:rsid w:val="492C50AE"/>
    <w:rsid w:val="49455406"/>
    <w:rsid w:val="497B7D9F"/>
    <w:rsid w:val="498E6CD6"/>
    <w:rsid w:val="499C042D"/>
    <w:rsid w:val="49BD25AC"/>
    <w:rsid w:val="49C93F25"/>
    <w:rsid w:val="49D14B65"/>
    <w:rsid w:val="4A356A70"/>
    <w:rsid w:val="4A705EE3"/>
    <w:rsid w:val="4A765F57"/>
    <w:rsid w:val="4A801D75"/>
    <w:rsid w:val="4A803067"/>
    <w:rsid w:val="4A9B7E42"/>
    <w:rsid w:val="4AB74840"/>
    <w:rsid w:val="4AD728D0"/>
    <w:rsid w:val="4ADF597A"/>
    <w:rsid w:val="4AE30D8B"/>
    <w:rsid w:val="4AE435DD"/>
    <w:rsid w:val="4B2D7D43"/>
    <w:rsid w:val="4B3423C3"/>
    <w:rsid w:val="4B4B074F"/>
    <w:rsid w:val="4B91508D"/>
    <w:rsid w:val="4B982FB8"/>
    <w:rsid w:val="4C436FEA"/>
    <w:rsid w:val="4C437B4B"/>
    <w:rsid w:val="4C450FB8"/>
    <w:rsid w:val="4C490E3B"/>
    <w:rsid w:val="4C620ECA"/>
    <w:rsid w:val="4C747E14"/>
    <w:rsid w:val="4C7A7C24"/>
    <w:rsid w:val="4CA84AAD"/>
    <w:rsid w:val="4CAC0E3F"/>
    <w:rsid w:val="4D11734C"/>
    <w:rsid w:val="4D1D1FC4"/>
    <w:rsid w:val="4D2B53D3"/>
    <w:rsid w:val="4D6566C5"/>
    <w:rsid w:val="4D807BBE"/>
    <w:rsid w:val="4D82577A"/>
    <w:rsid w:val="4DD92163"/>
    <w:rsid w:val="4DEA0304"/>
    <w:rsid w:val="4E01515D"/>
    <w:rsid w:val="4E405991"/>
    <w:rsid w:val="4E574CEE"/>
    <w:rsid w:val="4E644A95"/>
    <w:rsid w:val="4E656BC0"/>
    <w:rsid w:val="4E65774D"/>
    <w:rsid w:val="4E733AD0"/>
    <w:rsid w:val="4EB761A4"/>
    <w:rsid w:val="4EB81A53"/>
    <w:rsid w:val="4EFD61BB"/>
    <w:rsid w:val="4F0023CD"/>
    <w:rsid w:val="4F056DE1"/>
    <w:rsid w:val="4F1503F5"/>
    <w:rsid w:val="4F19757E"/>
    <w:rsid w:val="4F223D03"/>
    <w:rsid w:val="4F804961"/>
    <w:rsid w:val="4FBA158C"/>
    <w:rsid w:val="4FC869E6"/>
    <w:rsid w:val="4FCB101C"/>
    <w:rsid w:val="4FEA6667"/>
    <w:rsid w:val="4FF22CC7"/>
    <w:rsid w:val="501927B6"/>
    <w:rsid w:val="504C1550"/>
    <w:rsid w:val="50602A1B"/>
    <w:rsid w:val="50612797"/>
    <w:rsid w:val="508012C5"/>
    <w:rsid w:val="508D0C8F"/>
    <w:rsid w:val="50AF56A8"/>
    <w:rsid w:val="50BB53A5"/>
    <w:rsid w:val="50C07CFF"/>
    <w:rsid w:val="50E70B9B"/>
    <w:rsid w:val="50FB1272"/>
    <w:rsid w:val="51174AAA"/>
    <w:rsid w:val="51441EA0"/>
    <w:rsid w:val="51C54E50"/>
    <w:rsid w:val="51C60647"/>
    <w:rsid w:val="51DE290C"/>
    <w:rsid w:val="51E40954"/>
    <w:rsid w:val="51F34C81"/>
    <w:rsid w:val="521356D1"/>
    <w:rsid w:val="52494AC3"/>
    <w:rsid w:val="525C1589"/>
    <w:rsid w:val="5261088D"/>
    <w:rsid w:val="52853569"/>
    <w:rsid w:val="529161F4"/>
    <w:rsid w:val="52B14270"/>
    <w:rsid w:val="530E392B"/>
    <w:rsid w:val="533521CD"/>
    <w:rsid w:val="53494392"/>
    <w:rsid w:val="535809C3"/>
    <w:rsid w:val="540E0C70"/>
    <w:rsid w:val="547B4505"/>
    <w:rsid w:val="548E6390"/>
    <w:rsid w:val="549A30CD"/>
    <w:rsid w:val="54A0008E"/>
    <w:rsid w:val="54C51393"/>
    <w:rsid w:val="54D9333A"/>
    <w:rsid w:val="54DC0E83"/>
    <w:rsid w:val="54ED6EEB"/>
    <w:rsid w:val="55107489"/>
    <w:rsid w:val="552B174F"/>
    <w:rsid w:val="55357959"/>
    <w:rsid w:val="553810A9"/>
    <w:rsid w:val="554B7A82"/>
    <w:rsid w:val="555A6CF3"/>
    <w:rsid w:val="55966BD2"/>
    <w:rsid w:val="56584454"/>
    <w:rsid w:val="56973D5D"/>
    <w:rsid w:val="56B23CA6"/>
    <w:rsid w:val="56E34FD3"/>
    <w:rsid w:val="573072C4"/>
    <w:rsid w:val="57471187"/>
    <w:rsid w:val="576F023D"/>
    <w:rsid w:val="577B6EE4"/>
    <w:rsid w:val="57AC5A21"/>
    <w:rsid w:val="57D2146B"/>
    <w:rsid w:val="57EF1F3E"/>
    <w:rsid w:val="58120D81"/>
    <w:rsid w:val="581C0CA5"/>
    <w:rsid w:val="5827231B"/>
    <w:rsid w:val="584E2F27"/>
    <w:rsid w:val="5886355F"/>
    <w:rsid w:val="58891F15"/>
    <w:rsid w:val="58A35601"/>
    <w:rsid w:val="58FC1D80"/>
    <w:rsid w:val="58FF0F72"/>
    <w:rsid w:val="591C62AA"/>
    <w:rsid w:val="593C1AF7"/>
    <w:rsid w:val="59451C35"/>
    <w:rsid w:val="594F2B99"/>
    <w:rsid w:val="59DD23FD"/>
    <w:rsid w:val="59E24A9F"/>
    <w:rsid w:val="5A442C38"/>
    <w:rsid w:val="5A4968FF"/>
    <w:rsid w:val="5A737CDB"/>
    <w:rsid w:val="5AC4179D"/>
    <w:rsid w:val="5B761405"/>
    <w:rsid w:val="5BED7197"/>
    <w:rsid w:val="5BF8521E"/>
    <w:rsid w:val="5BFB6E5B"/>
    <w:rsid w:val="5C1B1303"/>
    <w:rsid w:val="5C202048"/>
    <w:rsid w:val="5C241BA9"/>
    <w:rsid w:val="5C2453F7"/>
    <w:rsid w:val="5C3F26AF"/>
    <w:rsid w:val="5C4D09E5"/>
    <w:rsid w:val="5C502BEC"/>
    <w:rsid w:val="5C745F16"/>
    <w:rsid w:val="5C86016C"/>
    <w:rsid w:val="5C8E357B"/>
    <w:rsid w:val="5CF26FEF"/>
    <w:rsid w:val="5D0852CE"/>
    <w:rsid w:val="5D16385F"/>
    <w:rsid w:val="5D2928D3"/>
    <w:rsid w:val="5D502207"/>
    <w:rsid w:val="5D723140"/>
    <w:rsid w:val="5DBD180F"/>
    <w:rsid w:val="5DC4184E"/>
    <w:rsid w:val="5DC44A0C"/>
    <w:rsid w:val="5DE75DAB"/>
    <w:rsid w:val="5DE8326C"/>
    <w:rsid w:val="5DFF1BDB"/>
    <w:rsid w:val="5E0369A2"/>
    <w:rsid w:val="5E1C522E"/>
    <w:rsid w:val="5E3B5015"/>
    <w:rsid w:val="5E87543F"/>
    <w:rsid w:val="5E92385E"/>
    <w:rsid w:val="5EA97EF5"/>
    <w:rsid w:val="5ECD71E6"/>
    <w:rsid w:val="5ECF201B"/>
    <w:rsid w:val="5EDA7CAB"/>
    <w:rsid w:val="5EE501EE"/>
    <w:rsid w:val="5EFC42F5"/>
    <w:rsid w:val="5F4315E3"/>
    <w:rsid w:val="5F520023"/>
    <w:rsid w:val="5F850F8C"/>
    <w:rsid w:val="5FB172F1"/>
    <w:rsid w:val="5FD80599"/>
    <w:rsid w:val="5FFB11ED"/>
    <w:rsid w:val="60001DC2"/>
    <w:rsid w:val="60380678"/>
    <w:rsid w:val="605D60B2"/>
    <w:rsid w:val="60604FB9"/>
    <w:rsid w:val="60861F3E"/>
    <w:rsid w:val="609540A8"/>
    <w:rsid w:val="60B33EB4"/>
    <w:rsid w:val="60F21D80"/>
    <w:rsid w:val="610300C4"/>
    <w:rsid w:val="611A335C"/>
    <w:rsid w:val="61216701"/>
    <w:rsid w:val="612B1527"/>
    <w:rsid w:val="61502392"/>
    <w:rsid w:val="61627966"/>
    <w:rsid w:val="61C94E86"/>
    <w:rsid w:val="621161DC"/>
    <w:rsid w:val="623A393B"/>
    <w:rsid w:val="623B781D"/>
    <w:rsid w:val="626B5F89"/>
    <w:rsid w:val="627B32D8"/>
    <w:rsid w:val="62B90CFD"/>
    <w:rsid w:val="62C26E43"/>
    <w:rsid w:val="62E37FAA"/>
    <w:rsid w:val="62FF6042"/>
    <w:rsid w:val="63226337"/>
    <w:rsid w:val="632D650D"/>
    <w:rsid w:val="63807109"/>
    <w:rsid w:val="63863E37"/>
    <w:rsid w:val="63C079F3"/>
    <w:rsid w:val="63DC4A37"/>
    <w:rsid w:val="64080C7C"/>
    <w:rsid w:val="643709EB"/>
    <w:rsid w:val="644E7344"/>
    <w:rsid w:val="64C753D2"/>
    <w:rsid w:val="64E82635"/>
    <w:rsid w:val="64EB7B44"/>
    <w:rsid w:val="64F168C1"/>
    <w:rsid w:val="64F459D0"/>
    <w:rsid w:val="650E118E"/>
    <w:rsid w:val="65436EF1"/>
    <w:rsid w:val="65555035"/>
    <w:rsid w:val="657354F4"/>
    <w:rsid w:val="6576790A"/>
    <w:rsid w:val="6582338C"/>
    <w:rsid w:val="65B22786"/>
    <w:rsid w:val="65D750E7"/>
    <w:rsid w:val="65E531E0"/>
    <w:rsid w:val="65F6754E"/>
    <w:rsid w:val="660B4178"/>
    <w:rsid w:val="66126944"/>
    <w:rsid w:val="661735C0"/>
    <w:rsid w:val="66692167"/>
    <w:rsid w:val="666D55B6"/>
    <w:rsid w:val="66790B19"/>
    <w:rsid w:val="66872C44"/>
    <w:rsid w:val="66A4324F"/>
    <w:rsid w:val="66B84339"/>
    <w:rsid w:val="66DD6DB6"/>
    <w:rsid w:val="66E85B68"/>
    <w:rsid w:val="6770064D"/>
    <w:rsid w:val="677C64DA"/>
    <w:rsid w:val="67925898"/>
    <w:rsid w:val="67EB2FCE"/>
    <w:rsid w:val="67EE62F1"/>
    <w:rsid w:val="67FE0ABC"/>
    <w:rsid w:val="68197F7C"/>
    <w:rsid w:val="68272B8D"/>
    <w:rsid w:val="682B4CB5"/>
    <w:rsid w:val="683478A8"/>
    <w:rsid w:val="684A0973"/>
    <w:rsid w:val="689D7645"/>
    <w:rsid w:val="68A27EF4"/>
    <w:rsid w:val="68A36922"/>
    <w:rsid w:val="68C1245B"/>
    <w:rsid w:val="68CF44E4"/>
    <w:rsid w:val="68D474B9"/>
    <w:rsid w:val="68E960E1"/>
    <w:rsid w:val="68F7499D"/>
    <w:rsid w:val="68FD1B47"/>
    <w:rsid w:val="69520021"/>
    <w:rsid w:val="69774602"/>
    <w:rsid w:val="699A4315"/>
    <w:rsid w:val="699A7243"/>
    <w:rsid w:val="69B50573"/>
    <w:rsid w:val="69BE2739"/>
    <w:rsid w:val="69E96903"/>
    <w:rsid w:val="6A1658F2"/>
    <w:rsid w:val="6A2D2B79"/>
    <w:rsid w:val="6A4533FD"/>
    <w:rsid w:val="6A496835"/>
    <w:rsid w:val="6A735F66"/>
    <w:rsid w:val="6A8E7740"/>
    <w:rsid w:val="6AD5648B"/>
    <w:rsid w:val="6AE370D2"/>
    <w:rsid w:val="6B122298"/>
    <w:rsid w:val="6B317F4D"/>
    <w:rsid w:val="6B44347E"/>
    <w:rsid w:val="6B6F06C2"/>
    <w:rsid w:val="6B73161B"/>
    <w:rsid w:val="6B7409C3"/>
    <w:rsid w:val="6BDC5018"/>
    <w:rsid w:val="6BE01579"/>
    <w:rsid w:val="6BFE0E3C"/>
    <w:rsid w:val="6C026F3C"/>
    <w:rsid w:val="6C19025F"/>
    <w:rsid w:val="6C2C4F32"/>
    <w:rsid w:val="6C2E447B"/>
    <w:rsid w:val="6C396029"/>
    <w:rsid w:val="6C3B64A7"/>
    <w:rsid w:val="6C41462D"/>
    <w:rsid w:val="6C4A155A"/>
    <w:rsid w:val="6CBA70CF"/>
    <w:rsid w:val="6CBF7F4E"/>
    <w:rsid w:val="6CD83A9C"/>
    <w:rsid w:val="6CF2784B"/>
    <w:rsid w:val="6D046762"/>
    <w:rsid w:val="6D1611E1"/>
    <w:rsid w:val="6D256766"/>
    <w:rsid w:val="6D594F53"/>
    <w:rsid w:val="6D7F405A"/>
    <w:rsid w:val="6DB9174A"/>
    <w:rsid w:val="6E1F0E23"/>
    <w:rsid w:val="6E5754C6"/>
    <w:rsid w:val="6E8A1B32"/>
    <w:rsid w:val="6EB53936"/>
    <w:rsid w:val="6EDF2BB6"/>
    <w:rsid w:val="6FA6229E"/>
    <w:rsid w:val="6FCC0F8B"/>
    <w:rsid w:val="6FF900E7"/>
    <w:rsid w:val="700E32C5"/>
    <w:rsid w:val="70294286"/>
    <w:rsid w:val="705636CC"/>
    <w:rsid w:val="708C7ADE"/>
    <w:rsid w:val="70B307E8"/>
    <w:rsid w:val="70C96F94"/>
    <w:rsid w:val="70D05D03"/>
    <w:rsid w:val="70F64295"/>
    <w:rsid w:val="711575EE"/>
    <w:rsid w:val="715349F8"/>
    <w:rsid w:val="716A2A04"/>
    <w:rsid w:val="71945E92"/>
    <w:rsid w:val="71A53E36"/>
    <w:rsid w:val="71BF1449"/>
    <w:rsid w:val="72176375"/>
    <w:rsid w:val="721A1FF2"/>
    <w:rsid w:val="72356C20"/>
    <w:rsid w:val="723E4008"/>
    <w:rsid w:val="723F57BE"/>
    <w:rsid w:val="72AC1216"/>
    <w:rsid w:val="72B00049"/>
    <w:rsid w:val="72B27B68"/>
    <w:rsid w:val="72B70F99"/>
    <w:rsid w:val="72D10D26"/>
    <w:rsid w:val="72E01288"/>
    <w:rsid w:val="72E25676"/>
    <w:rsid w:val="73192710"/>
    <w:rsid w:val="732D44FD"/>
    <w:rsid w:val="73981574"/>
    <w:rsid w:val="73B92936"/>
    <w:rsid w:val="73FB49FD"/>
    <w:rsid w:val="741B10A0"/>
    <w:rsid w:val="74376D48"/>
    <w:rsid w:val="74446098"/>
    <w:rsid w:val="744D4519"/>
    <w:rsid w:val="745C5432"/>
    <w:rsid w:val="746B414F"/>
    <w:rsid w:val="7472539D"/>
    <w:rsid w:val="74915170"/>
    <w:rsid w:val="74DC45A8"/>
    <w:rsid w:val="74EE5741"/>
    <w:rsid w:val="750227FB"/>
    <w:rsid w:val="75212B9F"/>
    <w:rsid w:val="75693A34"/>
    <w:rsid w:val="75B770CD"/>
    <w:rsid w:val="75C16AA8"/>
    <w:rsid w:val="75CD34AB"/>
    <w:rsid w:val="75CF7ADF"/>
    <w:rsid w:val="75E67DA3"/>
    <w:rsid w:val="764B4F25"/>
    <w:rsid w:val="76686C67"/>
    <w:rsid w:val="76BD05CA"/>
    <w:rsid w:val="76CE603E"/>
    <w:rsid w:val="76D1190F"/>
    <w:rsid w:val="77162A8D"/>
    <w:rsid w:val="774025C7"/>
    <w:rsid w:val="77644111"/>
    <w:rsid w:val="77815BBB"/>
    <w:rsid w:val="77894212"/>
    <w:rsid w:val="77CF3AFC"/>
    <w:rsid w:val="77D67A49"/>
    <w:rsid w:val="7800271B"/>
    <w:rsid w:val="78081BA9"/>
    <w:rsid w:val="780B7204"/>
    <w:rsid w:val="782E08A0"/>
    <w:rsid w:val="78377316"/>
    <w:rsid w:val="78440AB3"/>
    <w:rsid w:val="78564BB1"/>
    <w:rsid w:val="785B79C8"/>
    <w:rsid w:val="787A7054"/>
    <w:rsid w:val="78950BD0"/>
    <w:rsid w:val="78CA0ADB"/>
    <w:rsid w:val="78D85865"/>
    <w:rsid w:val="79071000"/>
    <w:rsid w:val="792C66E3"/>
    <w:rsid w:val="798B793F"/>
    <w:rsid w:val="79F90B32"/>
    <w:rsid w:val="79FE73E8"/>
    <w:rsid w:val="7A1D75AC"/>
    <w:rsid w:val="7A237A12"/>
    <w:rsid w:val="7A6054E2"/>
    <w:rsid w:val="7A8B7D4E"/>
    <w:rsid w:val="7A98230D"/>
    <w:rsid w:val="7AEF4620"/>
    <w:rsid w:val="7B010EE8"/>
    <w:rsid w:val="7B1F5F04"/>
    <w:rsid w:val="7B422B99"/>
    <w:rsid w:val="7B60499C"/>
    <w:rsid w:val="7B6276D7"/>
    <w:rsid w:val="7B922396"/>
    <w:rsid w:val="7BCD0EC9"/>
    <w:rsid w:val="7C0C430A"/>
    <w:rsid w:val="7C2509CB"/>
    <w:rsid w:val="7C326A02"/>
    <w:rsid w:val="7C361D53"/>
    <w:rsid w:val="7C515A2B"/>
    <w:rsid w:val="7C7E2BD2"/>
    <w:rsid w:val="7CB814EC"/>
    <w:rsid w:val="7CBF1AA2"/>
    <w:rsid w:val="7CDC5105"/>
    <w:rsid w:val="7CF92CB6"/>
    <w:rsid w:val="7D1E30D7"/>
    <w:rsid w:val="7D2A2240"/>
    <w:rsid w:val="7D2C7B21"/>
    <w:rsid w:val="7D944D6D"/>
    <w:rsid w:val="7DC06AE5"/>
    <w:rsid w:val="7DC91483"/>
    <w:rsid w:val="7DDF015B"/>
    <w:rsid w:val="7DEE0A06"/>
    <w:rsid w:val="7E745C2A"/>
    <w:rsid w:val="7EA95F25"/>
    <w:rsid w:val="7EBF6D37"/>
    <w:rsid w:val="7ED31DC1"/>
    <w:rsid w:val="7EF47C86"/>
    <w:rsid w:val="7F3B5B00"/>
    <w:rsid w:val="7F461E01"/>
    <w:rsid w:val="7F4E7903"/>
    <w:rsid w:val="7F510FB4"/>
    <w:rsid w:val="7FBE4DEA"/>
    <w:rsid w:val="7FC44056"/>
    <w:rsid w:val="7FCB0BE9"/>
    <w:rsid w:val="7FE147D1"/>
    <w:rsid w:val="7FEB6C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0" w:semiHidden="0" w:name="toa heading" w:locked="1"/>
    <w:lsdException w:qFormat="1" w:unhideWhenUsed="0" w:uiPriority="0" w:semiHidden="0" w:name="List"/>
    <w:lsdException w:qFormat="1" w:uiPriority="0" w:semiHidden="0" w:name="List Bullet" w:locked="1"/>
    <w:lsdException w:uiPriority="99"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0" w:semiHidden="0" w:name="Body Text 2"/>
    <w:lsdException w:uiPriority="99" w:name="Body Text 3" w:locked="1"/>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ocked="1"/>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3"/>
    <w:qFormat/>
    <w:uiPriority w:val="0"/>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6">
    <w:name w:val="heading 2"/>
    <w:basedOn w:val="1"/>
    <w:next w:val="1"/>
    <w:link w:val="64"/>
    <w:qFormat/>
    <w:uiPriority w:val="0"/>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7">
    <w:name w:val="heading 3"/>
    <w:basedOn w:val="1"/>
    <w:next w:val="1"/>
    <w:link w:val="65"/>
    <w:qFormat/>
    <w:uiPriority w:val="0"/>
    <w:pPr>
      <w:keepNext/>
      <w:keepLines/>
      <w:adjustRightInd w:val="0"/>
      <w:spacing w:before="260" w:after="260" w:line="416" w:lineRule="atLeast"/>
      <w:textAlignment w:val="baseline"/>
      <w:outlineLvl w:val="2"/>
    </w:pPr>
    <w:rPr>
      <w:b/>
      <w:bCs/>
      <w:kern w:val="0"/>
      <w:sz w:val="32"/>
      <w:szCs w:val="32"/>
    </w:rPr>
  </w:style>
  <w:style w:type="paragraph" w:styleId="8">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9">
    <w:name w:val="heading 5"/>
    <w:basedOn w:val="1"/>
    <w:next w:val="1"/>
    <w:link w:val="67"/>
    <w:qFormat/>
    <w:uiPriority w:val="0"/>
    <w:pPr>
      <w:keepNext/>
      <w:keepLines/>
      <w:adjustRightInd w:val="0"/>
      <w:spacing w:before="280" w:after="290" w:line="376" w:lineRule="atLeast"/>
      <w:textAlignment w:val="baseline"/>
      <w:outlineLvl w:val="4"/>
    </w:pPr>
    <w:rPr>
      <w:b/>
      <w:bCs/>
      <w:kern w:val="0"/>
      <w:sz w:val="28"/>
      <w:szCs w:val="28"/>
    </w:rPr>
  </w:style>
  <w:style w:type="paragraph" w:styleId="10">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1">
    <w:name w:val="heading 7"/>
    <w:basedOn w:val="1"/>
    <w:next w:val="1"/>
    <w:link w:val="69"/>
    <w:qFormat/>
    <w:uiPriority w:val="0"/>
    <w:pPr>
      <w:keepNext/>
      <w:keepLines/>
      <w:adjustRightInd w:val="0"/>
      <w:spacing w:before="240" w:after="64" w:line="320" w:lineRule="atLeast"/>
      <w:textAlignment w:val="baseline"/>
      <w:outlineLvl w:val="6"/>
    </w:pPr>
    <w:rPr>
      <w:b/>
      <w:bCs/>
      <w:kern w:val="0"/>
      <w:sz w:val="24"/>
      <w:szCs w:val="24"/>
    </w:rPr>
  </w:style>
  <w:style w:type="paragraph" w:styleId="12">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3">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3"/>
    <w:qFormat/>
    <w:locked/>
    <w:uiPriority w:val="0"/>
    <w:pPr>
      <w:ind w:firstLine="420" w:firstLineChars="200"/>
    </w:pPr>
  </w:style>
  <w:style w:type="paragraph" w:styleId="3">
    <w:name w:val="Body Text Indent"/>
    <w:basedOn w:val="1"/>
    <w:next w:val="4"/>
    <w:link w:val="72"/>
    <w:qFormat/>
    <w:uiPriority w:val="0"/>
    <w:pPr>
      <w:spacing w:after="156"/>
      <w:ind w:firstLine="480"/>
    </w:pPr>
    <w:rPr>
      <w:rFonts w:ascii="Calibri" w:hAnsi="Calibri" w:cs="Calibri"/>
      <w:sz w:val="24"/>
      <w:szCs w:val="24"/>
    </w:rPr>
  </w:style>
  <w:style w:type="paragraph" w:styleId="4">
    <w:name w:val="envelope return"/>
    <w:basedOn w:val="1"/>
    <w:qFormat/>
    <w:locked/>
    <w:uiPriority w:val="99"/>
    <w:pPr>
      <w:snapToGrid w:val="0"/>
    </w:pPr>
    <w:rPr>
      <w:rFonts w:ascii="Arial" w:hAnsi="Arial" w:cs="Arial"/>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rPr>
      <w:sz w:val="18"/>
      <w:szCs w:val="18"/>
    </w:rPr>
  </w:style>
  <w:style w:type="paragraph" w:styleId="16">
    <w:name w:val="Normal Indent"/>
    <w:basedOn w:val="1"/>
    <w:link w:val="98"/>
    <w:qFormat/>
    <w:uiPriority w:val="0"/>
    <w:pPr>
      <w:ind w:firstLine="420"/>
    </w:pPr>
  </w:style>
  <w:style w:type="paragraph" w:styleId="17">
    <w:name w:val="List Bullet"/>
    <w:basedOn w:val="1"/>
    <w:unhideWhenUsed/>
    <w:qFormat/>
    <w:locked/>
    <w:uiPriority w:val="0"/>
    <w:pPr>
      <w:tabs>
        <w:tab w:val="left" w:pos="360"/>
      </w:tabs>
      <w:contextualSpacing/>
    </w:pPr>
    <w:rPr>
      <w:szCs w:val="20"/>
    </w:rPr>
  </w:style>
  <w:style w:type="paragraph" w:styleId="18">
    <w:name w:val="Document Map"/>
    <w:basedOn w:val="1"/>
    <w:link w:val="74"/>
    <w:qFormat/>
    <w:uiPriority w:val="0"/>
    <w:pPr>
      <w:shd w:val="clear" w:color="auto" w:fill="000080"/>
    </w:pPr>
  </w:style>
  <w:style w:type="paragraph" w:styleId="19">
    <w:name w:val="toa heading"/>
    <w:basedOn w:val="1"/>
    <w:next w:val="1"/>
    <w:unhideWhenUsed/>
    <w:qFormat/>
    <w:locked/>
    <w:uiPriority w:val="0"/>
    <w:pPr>
      <w:adjustRightInd w:val="0"/>
      <w:spacing w:before="200" w:line="360" w:lineRule="atLeast"/>
      <w:jc w:val="center"/>
    </w:pPr>
    <w:rPr>
      <w:rFonts w:ascii="Arial" w:hAnsi="Arial" w:eastAsia="黑体"/>
      <w:kern w:val="0"/>
      <w:sz w:val="44"/>
      <w:szCs w:val="20"/>
    </w:rPr>
  </w:style>
  <w:style w:type="paragraph" w:styleId="20">
    <w:name w:val="annotation text"/>
    <w:basedOn w:val="1"/>
    <w:link w:val="75"/>
    <w:semiHidden/>
    <w:qFormat/>
    <w:uiPriority w:val="0"/>
    <w:pPr>
      <w:jc w:val="left"/>
    </w:pPr>
    <w:rPr>
      <w:rFonts w:ascii="Calibri" w:hAnsi="Calibri" w:cs="Calibri"/>
    </w:rPr>
  </w:style>
  <w:style w:type="paragraph" w:styleId="21">
    <w:name w:val="Body Text"/>
    <w:basedOn w:val="1"/>
    <w:link w:val="76"/>
    <w:qFormat/>
    <w:uiPriority w:val="0"/>
    <w:rPr>
      <w:sz w:val="24"/>
      <w:szCs w:val="24"/>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autoSpaceDE w:val="0"/>
      <w:autoSpaceDN w:val="0"/>
      <w:adjustRightInd w:val="0"/>
      <w:spacing w:line="300" w:lineRule="auto"/>
      <w:ind w:left="29" w:leftChars="12" w:right="6" w:firstLine="560" w:firstLineChars="200"/>
    </w:pPr>
    <w:rPr>
      <w:kern w:val="0"/>
      <w:sz w:val="28"/>
      <w:szCs w:val="2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77"/>
    <w:qFormat/>
    <w:uiPriority w:val="0"/>
    <w:rPr>
      <w:rFonts w:ascii="宋体" w:hAnsi="Courier New" w:cs="宋体"/>
    </w:rPr>
  </w:style>
  <w:style w:type="paragraph" w:styleId="28">
    <w:name w:val="toc 8"/>
    <w:basedOn w:val="1"/>
    <w:next w:val="1"/>
    <w:qFormat/>
    <w:uiPriority w:val="0"/>
    <w:pPr>
      <w:ind w:left="1470"/>
      <w:jc w:val="left"/>
    </w:pPr>
    <w:rPr>
      <w:sz w:val="18"/>
      <w:szCs w:val="18"/>
    </w:rPr>
  </w:style>
  <w:style w:type="paragraph" w:styleId="29">
    <w:name w:val="Date"/>
    <w:basedOn w:val="1"/>
    <w:next w:val="1"/>
    <w:link w:val="78"/>
    <w:qFormat/>
    <w:uiPriority w:val="0"/>
    <w:pPr>
      <w:widowControl/>
      <w:ind w:left="100"/>
      <w:jc w:val="left"/>
    </w:pPr>
    <w:rPr>
      <w:rFonts w:ascii="宋体" w:hAnsi="宋体" w:cs="宋体"/>
      <w:kern w:val="0"/>
      <w:sz w:val="28"/>
      <w:szCs w:val="28"/>
    </w:rPr>
  </w:style>
  <w:style w:type="paragraph" w:styleId="30">
    <w:name w:val="Body Text Indent 2"/>
    <w:basedOn w:val="1"/>
    <w:link w:val="79"/>
    <w:qFormat/>
    <w:uiPriority w:val="0"/>
    <w:pPr>
      <w:ind w:left="1436" w:leftChars="684"/>
    </w:pPr>
    <w:rPr>
      <w:sz w:val="24"/>
      <w:szCs w:val="24"/>
    </w:rPr>
  </w:style>
  <w:style w:type="paragraph" w:styleId="31">
    <w:name w:val="List Continue 5"/>
    <w:basedOn w:val="1"/>
    <w:qFormat/>
    <w:uiPriority w:val="0"/>
    <w:pPr>
      <w:spacing w:after="120"/>
      <w:ind w:left="2100" w:leftChars="1000"/>
    </w:pPr>
  </w:style>
  <w:style w:type="paragraph" w:styleId="32">
    <w:name w:val="Balloon Text"/>
    <w:basedOn w:val="1"/>
    <w:link w:val="80"/>
    <w:qFormat/>
    <w:uiPriority w:val="0"/>
    <w:rPr>
      <w:rFonts w:ascii="Calibri" w:hAnsi="Calibri" w:cs="Calibri"/>
      <w:sz w:val="18"/>
      <w:szCs w:val="18"/>
    </w:rPr>
  </w:style>
  <w:style w:type="paragraph" w:styleId="33">
    <w:name w:val="footer"/>
    <w:basedOn w:val="1"/>
    <w:link w:val="81"/>
    <w:qFormat/>
    <w:uiPriority w:val="0"/>
    <w:pPr>
      <w:tabs>
        <w:tab w:val="center" w:pos="4153"/>
        <w:tab w:val="right" w:pos="8306"/>
      </w:tabs>
      <w:snapToGrid w:val="0"/>
      <w:jc w:val="left"/>
    </w:pPr>
    <w:rPr>
      <w:rFonts w:ascii="Calibri" w:hAnsi="Calibri" w:cs="Calibri"/>
      <w:sz w:val="18"/>
      <w:szCs w:val="18"/>
    </w:r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6">
    <w:name w:val="List Continue 4"/>
    <w:basedOn w:val="1"/>
    <w:qFormat/>
    <w:uiPriority w:val="0"/>
    <w:pPr>
      <w:spacing w:after="120"/>
      <w:ind w:left="1680" w:leftChars="800"/>
    </w:pPr>
  </w:style>
  <w:style w:type="paragraph" w:styleId="37">
    <w:name w:val="toc 4"/>
    <w:basedOn w:val="1"/>
    <w:next w:val="1"/>
    <w:qFormat/>
    <w:uiPriority w:val="0"/>
    <w:pPr>
      <w:tabs>
        <w:tab w:val="left" w:pos="1080"/>
        <w:tab w:val="right" w:leader="dot" w:pos="9125"/>
      </w:tabs>
      <w:adjustRightInd w:val="0"/>
      <w:snapToGrid w:val="0"/>
      <w:spacing w:line="360" w:lineRule="auto"/>
      <w:jc w:val="left"/>
    </w:pPr>
    <w:rPr>
      <w:sz w:val="18"/>
      <w:szCs w:val="18"/>
    </w:rPr>
  </w:style>
  <w:style w:type="paragraph" w:styleId="38">
    <w:name w:val="List"/>
    <w:basedOn w:val="1"/>
    <w:qFormat/>
    <w:uiPriority w:val="0"/>
    <w:pPr>
      <w:ind w:left="200" w:hanging="200" w:hangingChars="200"/>
    </w:pPr>
  </w:style>
  <w:style w:type="paragraph" w:styleId="39">
    <w:name w:val="footnote text"/>
    <w:basedOn w:val="1"/>
    <w:link w:val="83"/>
    <w:qFormat/>
    <w:uiPriority w:val="0"/>
    <w:pPr>
      <w:snapToGrid w:val="0"/>
      <w:jc w:val="left"/>
    </w:pPr>
    <w:rPr>
      <w:sz w:val="18"/>
      <w:szCs w:val="18"/>
    </w:rPr>
  </w:style>
  <w:style w:type="paragraph" w:styleId="40">
    <w:name w:val="toc 6"/>
    <w:basedOn w:val="1"/>
    <w:next w:val="1"/>
    <w:qFormat/>
    <w:uiPriority w:val="0"/>
    <w:pPr>
      <w:ind w:left="1050"/>
      <w:jc w:val="left"/>
    </w:pPr>
    <w:rPr>
      <w:sz w:val="18"/>
      <w:szCs w:val="18"/>
    </w:rPr>
  </w:style>
  <w:style w:type="paragraph" w:styleId="41">
    <w:name w:val="List 5"/>
    <w:basedOn w:val="1"/>
    <w:qFormat/>
    <w:uiPriority w:val="0"/>
    <w:pPr>
      <w:ind w:left="100" w:leftChars="800" w:hanging="200" w:hangingChars="200"/>
    </w:pPr>
  </w:style>
  <w:style w:type="paragraph" w:styleId="42">
    <w:name w:val="Body Text Indent 3"/>
    <w:basedOn w:val="1"/>
    <w:link w:val="84"/>
    <w:qFormat/>
    <w:uiPriority w:val="0"/>
    <w:pPr>
      <w:spacing w:after="120"/>
      <w:ind w:left="420" w:leftChars="200"/>
    </w:pPr>
    <w:rPr>
      <w:sz w:val="16"/>
      <w:szCs w:val="16"/>
    </w:rPr>
  </w:style>
  <w:style w:type="paragraph" w:styleId="43">
    <w:name w:val="toc 2"/>
    <w:basedOn w:val="1"/>
    <w:next w:val="1"/>
    <w:qFormat/>
    <w:uiPriority w:val="0"/>
    <w:pPr>
      <w:ind w:left="210"/>
      <w:jc w:val="left"/>
    </w:pPr>
    <w:rPr>
      <w:smallCaps/>
      <w:sz w:val="20"/>
      <w:szCs w:val="20"/>
    </w:rPr>
  </w:style>
  <w:style w:type="paragraph" w:styleId="44">
    <w:name w:val="toc 9"/>
    <w:basedOn w:val="1"/>
    <w:next w:val="1"/>
    <w:qFormat/>
    <w:uiPriority w:val="0"/>
    <w:pPr>
      <w:ind w:left="1680"/>
      <w:jc w:val="left"/>
    </w:pPr>
    <w:rPr>
      <w:sz w:val="18"/>
      <w:szCs w:val="18"/>
    </w:rPr>
  </w:style>
  <w:style w:type="paragraph" w:styleId="45">
    <w:name w:val="Body Text 2"/>
    <w:basedOn w:val="1"/>
    <w:link w:val="85"/>
    <w:qFormat/>
    <w:uiPriority w:val="0"/>
    <w:rPr>
      <w:rFonts w:ascii="宋体" w:hAnsi="宋体" w:cs="宋体"/>
      <w:sz w:val="24"/>
      <w:szCs w:val="24"/>
    </w:r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86"/>
    <w:qFormat/>
    <w:uiPriority w:val="0"/>
    <w:rPr>
      <w:rFonts w:ascii="Courier New" w:hAnsi="Courier New" w:cs="Courier New"/>
      <w:sz w:val="20"/>
      <w:szCs w:val="20"/>
    </w:rPr>
  </w:style>
  <w:style w:type="paragraph" w:styleId="4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0">
    <w:name w:val="List Continue 3"/>
    <w:basedOn w:val="1"/>
    <w:qFormat/>
    <w:uiPriority w:val="0"/>
    <w:pPr>
      <w:spacing w:after="120"/>
      <w:ind w:left="1260" w:leftChars="600"/>
    </w:pPr>
  </w:style>
  <w:style w:type="paragraph" w:styleId="51">
    <w:name w:val="annotation subject"/>
    <w:basedOn w:val="20"/>
    <w:next w:val="20"/>
    <w:link w:val="87"/>
    <w:qFormat/>
    <w:uiPriority w:val="0"/>
    <w:rPr>
      <w:b/>
      <w:bCs/>
    </w:rPr>
  </w:style>
  <w:style w:type="paragraph" w:styleId="52">
    <w:name w:val="Body Text First Indent"/>
    <w:basedOn w:val="21"/>
    <w:link w:val="88"/>
    <w:qFormat/>
    <w:uiPriority w:val="0"/>
    <w:pPr>
      <w:spacing w:line="360" w:lineRule="auto"/>
      <w:ind w:firstLine="482"/>
    </w:pPr>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qFormat/>
    <w:locked/>
    <w:uiPriority w:val="0"/>
    <w:rPr>
      <w:b/>
      <w:bCs/>
    </w:rPr>
  </w:style>
  <w:style w:type="character" w:styleId="57">
    <w:name w:val="page number"/>
    <w:basedOn w:val="55"/>
    <w:qFormat/>
    <w:uiPriority w:val="0"/>
  </w:style>
  <w:style w:type="character" w:styleId="58">
    <w:name w:val="FollowedHyperlink"/>
    <w:basedOn w:val="55"/>
    <w:qFormat/>
    <w:locked/>
    <w:uiPriority w:val="0"/>
    <w:rPr>
      <w:color w:val="333333"/>
      <w:u w:val="none"/>
    </w:rPr>
  </w:style>
  <w:style w:type="character" w:styleId="59">
    <w:name w:val="Emphasis"/>
    <w:qFormat/>
    <w:uiPriority w:val="0"/>
    <w:rPr>
      <w:color w:val="CC0000"/>
    </w:rPr>
  </w:style>
  <w:style w:type="character" w:styleId="60">
    <w:name w:val="Hyperlink"/>
    <w:basedOn w:val="55"/>
    <w:qFormat/>
    <w:uiPriority w:val="0"/>
    <w:rPr>
      <w:color w:val="333333"/>
      <w:u w:val="none"/>
    </w:rPr>
  </w:style>
  <w:style w:type="character" w:styleId="61">
    <w:name w:val="annotation reference"/>
    <w:basedOn w:val="55"/>
    <w:qFormat/>
    <w:uiPriority w:val="0"/>
    <w:rPr>
      <w:sz w:val="21"/>
      <w:szCs w:val="21"/>
    </w:rPr>
  </w:style>
  <w:style w:type="character" w:styleId="62">
    <w:name w:val="footnote reference"/>
    <w:basedOn w:val="55"/>
    <w:qFormat/>
    <w:uiPriority w:val="0"/>
    <w:rPr>
      <w:vertAlign w:val="superscript"/>
    </w:rPr>
  </w:style>
  <w:style w:type="character" w:customStyle="1" w:styleId="63">
    <w:name w:val="标题 1 Char"/>
    <w:basedOn w:val="55"/>
    <w:link w:val="5"/>
    <w:qFormat/>
    <w:locked/>
    <w:uiPriority w:val="0"/>
    <w:rPr>
      <w:b/>
      <w:bCs/>
      <w:kern w:val="44"/>
      <w:sz w:val="44"/>
      <w:szCs w:val="44"/>
    </w:rPr>
  </w:style>
  <w:style w:type="character" w:customStyle="1" w:styleId="64">
    <w:name w:val="标题 2 Char"/>
    <w:basedOn w:val="55"/>
    <w:link w:val="6"/>
    <w:qFormat/>
    <w:locked/>
    <w:uiPriority w:val="0"/>
    <w:rPr>
      <w:rFonts w:ascii="Arial" w:hAnsi="Arial" w:eastAsia="黑体" w:cs="Arial"/>
      <w:b/>
      <w:bCs/>
      <w:sz w:val="32"/>
      <w:szCs w:val="32"/>
    </w:rPr>
  </w:style>
  <w:style w:type="character" w:customStyle="1" w:styleId="65">
    <w:name w:val="标题 3 Char"/>
    <w:basedOn w:val="55"/>
    <w:link w:val="7"/>
    <w:qFormat/>
    <w:locked/>
    <w:uiPriority w:val="0"/>
    <w:rPr>
      <w:rFonts w:ascii="Times New Roman" w:hAnsi="Times New Roman" w:cs="Times New Roman"/>
      <w:b/>
      <w:bCs/>
      <w:sz w:val="32"/>
      <w:szCs w:val="32"/>
    </w:rPr>
  </w:style>
  <w:style w:type="character" w:customStyle="1" w:styleId="66">
    <w:name w:val="标题 4 Char"/>
    <w:basedOn w:val="55"/>
    <w:link w:val="8"/>
    <w:qFormat/>
    <w:locked/>
    <w:uiPriority w:val="0"/>
    <w:rPr>
      <w:rFonts w:ascii="Arial" w:hAnsi="Arial" w:eastAsia="黑体" w:cs="Arial"/>
      <w:b/>
      <w:bCs/>
      <w:kern w:val="2"/>
      <w:sz w:val="28"/>
      <w:szCs w:val="28"/>
      <w:lang w:val="en-US" w:eastAsia="zh-CN"/>
    </w:rPr>
  </w:style>
  <w:style w:type="character" w:customStyle="1" w:styleId="67">
    <w:name w:val="标题 5 Char"/>
    <w:basedOn w:val="55"/>
    <w:link w:val="9"/>
    <w:qFormat/>
    <w:locked/>
    <w:uiPriority w:val="0"/>
    <w:rPr>
      <w:rFonts w:ascii="Times New Roman" w:hAnsi="Times New Roman" w:cs="Times New Roman"/>
      <w:b/>
      <w:bCs/>
      <w:sz w:val="28"/>
      <w:szCs w:val="28"/>
    </w:rPr>
  </w:style>
  <w:style w:type="character" w:customStyle="1" w:styleId="68">
    <w:name w:val="标题 6 Char"/>
    <w:basedOn w:val="55"/>
    <w:link w:val="10"/>
    <w:qFormat/>
    <w:locked/>
    <w:uiPriority w:val="0"/>
    <w:rPr>
      <w:rFonts w:ascii="Cambria" w:hAnsi="Cambria" w:eastAsia="宋体" w:cs="Cambria"/>
      <w:b/>
      <w:bCs/>
      <w:sz w:val="24"/>
      <w:szCs w:val="24"/>
    </w:rPr>
  </w:style>
  <w:style w:type="character" w:customStyle="1" w:styleId="69">
    <w:name w:val="标题 7 Char"/>
    <w:basedOn w:val="55"/>
    <w:link w:val="11"/>
    <w:qFormat/>
    <w:locked/>
    <w:uiPriority w:val="0"/>
    <w:rPr>
      <w:rFonts w:ascii="Times New Roman" w:hAnsi="Times New Roman" w:cs="Times New Roman"/>
      <w:b/>
      <w:bCs/>
      <w:sz w:val="24"/>
      <w:szCs w:val="24"/>
    </w:rPr>
  </w:style>
  <w:style w:type="character" w:customStyle="1" w:styleId="70">
    <w:name w:val="标题 8 Char"/>
    <w:basedOn w:val="55"/>
    <w:link w:val="12"/>
    <w:qFormat/>
    <w:locked/>
    <w:uiPriority w:val="0"/>
    <w:rPr>
      <w:rFonts w:ascii="Cambria" w:hAnsi="Cambria" w:eastAsia="宋体" w:cs="Cambria"/>
      <w:sz w:val="24"/>
      <w:szCs w:val="24"/>
    </w:rPr>
  </w:style>
  <w:style w:type="character" w:customStyle="1" w:styleId="71">
    <w:name w:val="标题 9 Char"/>
    <w:basedOn w:val="55"/>
    <w:link w:val="13"/>
    <w:qFormat/>
    <w:locked/>
    <w:uiPriority w:val="0"/>
    <w:rPr>
      <w:rFonts w:ascii="Cambria" w:hAnsi="Cambria" w:eastAsia="宋体" w:cs="Cambria"/>
      <w:sz w:val="21"/>
      <w:szCs w:val="21"/>
    </w:rPr>
  </w:style>
  <w:style w:type="character" w:customStyle="1" w:styleId="72">
    <w:name w:val="正文文本缩进 Char"/>
    <w:basedOn w:val="55"/>
    <w:link w:val="3"/>
    <w:qFormat/>
    <w:locked/>
    <w:uiPriority w:val="0"/>
    <w:rPr>
      <w:kern w:val="2"/>
      <w:sz w:val="24"/>
      <w:szCs w:val="24"/>
    </w:rPr>
  </w:style>
  <w:style w:type="character" w:customStyle="1" w:styleId="73">
    <w:name w:val="正文首行缩进 2 Char"/>
    <w:basedOn w:val="72"/>
    <w:link w:val="2"/>
    <w:qFormat/>
    <w:locked/>
    <w:uiPriority w:val="0"/>
    <w:rPr>
      <w:rFonts w:ascii="Times New Roman" w:hAnsi="Times New Roman" w:cs="Times New Roman"/>
      <w:kern w:val="2"/>
      <w:sz w:val="21"/>
      <w:szCs w:val="21"/>
    </w:rPr>
  </w:style>
  <w:style w:type="character" w:customStyle="1" w:styleId="74">
    <w:name w:val="文档结构图 Char"/>
    <w:basedOn w:val="55"/>
    <w:link w:val="18"/>
    <w:qFormat/>
    <w:locked/>
    <w:uiPriority w:val="0"/>
    <w:rPr>
      <w:rFonts w:ascii="Times New Roman" w:hAnsi="Times New Roman" w:cs="Times New Roman"/>
      <w:sz w:val="2"/>
      <w:szCs w:val="2"/>
    </w:rPr>
  </w:style>
  <w:style w:type="character" w:customStyle="1" w:styleId="75">
    <w:name w:val="批注文字 Char"/>
    <w:basedOn w:val="55"/>
    <w:link w:val="20"/>
    <w:qFormat/>
    <w:locked/>
    <w:uiPriority w:val="0"/>
    <w:rPr>
      <w:kern w:val="2"/>
      <w:sz w:val="21"/>
      <w:szCs w:val="21"/>
    </w:rPr>
  </w:style>
  <w:style w:type="character" w:customStyle="1" w:styleId="76">
    <w:name w:val="正文文本 Char"/>
    <w:basedOn w:val="55"/>
    <w:link w:val="21"/>
    <w:qFormat/>
    <w:locked/>
    <w:uiPriority w:val="0"/>
    <w:rPr>
      <w:rFonts w:ascii="Times New Roman" w:hAnsi="Times New Roman" w:cs="Times New Roman"/>
      <w:sz w:val="21"/>
      <w:szCs w:val="21"/>
    </w:rPr>
  </w:style>
  <w:style w:type="character" w:customStyle="1" w:styleId="77">
    <w:name w:val="纯文本 Char"/>
    <w:basedOn w:val="55"/>
    <w:link w:val="27"/>
    <w:qFormat/>
    <w:locked/>
    <w:uiPriority w:val="99"/>
    <w:rPr>
      <w:rFonts w:ascii="宋体" w:hAnsi="Courier New" w:cs="宋体"/>
      <w:sz w:val="21"/>
      <w:szCs w:val="21"/>
    </w:rPr>
  </w:style>
  <w:style w:type="character" w:customStyle="1" w:styleId="78">
    <w:name w:val="日期 Char"/>
    <w:basedOn w:val="55"/>
    <w:link w:val="29"/>
    <w:qFormat/>
    <w:locked/>
    <w:uiPriority w:val="0"/>
    <w:rPr>
      <w:rFonts w:ascii="Times New Roman" w:hAnsi="Times New Roman" w:cs="Times New Roman"/>
      <w:sz w:val="21"/>
      <w:szCs w:val="21"/>
    </w:rPr>
  </w:style>
  <w:style w:type="character" w:customStyle="1" w:styleId="79">
    <w:name w:val="正文文本缩进 2 Char"/>
    <w:basedOn w:val="55"/>
    <w:link w:val="30"/>
    <w:qFormat/>
    <w:locked/>
    <w:uiPriority w:val="0"/>
    <w:rPr>
      <w:rFonts w:ascii="Times New Roman" w:hAnsi="Times New Roman" w:cs="Times New Roman"/>
      <w:sz w:val="21"/>
      <w:szCs w:val="21"/>
    </w:rPr>
  </w:style>
  <w:style w:type="character" w:customStyle="1" w:styleId="80">
    <w:name w:val="批注框文本 Char"/>
    <w:basedOn w:val="55"/>
    <w:link w:val="32"/>
    <w:qFormat/>
    <w:locked/>
    <w:uiPriority w:val="0"/>
    <w:rPr>
      <w:rFonts w:eastAsia="宋体"/>
      <w:kern w:val="2"/>
      <w:sz w:val="18"/>
      <w:szCs w:val="18"/>
      <w:lang w:val="en-US" w:eastAsia="zh-CN"/>
    </w:rPr>
  </w:style>
  <w:style w:type="character" w:customStyle="1" w:styleId="81">
    <w:name w:val="页脚 Char"/>
    <w:basedOn w:val="55"/>
    <w:link w:val="33"/>
    <w:qFormat/>
    <w:locked/>
    <w:uiPriority w:val="0"/>
    <w:rPr>
      <w:kern w:val="2"/>
      <w:sz w:val="18"/>
      <w:szCs w:val="18"/>
    </w:rPr>
  </w:style>
  <w:style w:type="character" w:customStyle="1" w:styleId="82">
    <w:name w:val="页眉 Char"/>
    <w:basedOn w:val="55"/>
    <w:link w:val="34"/>
    <w:qFormat/>
    <w:locked/>
    <w:uiPriority w:val="0"/>
    <w:rPr>
      <w:rFonts w:ascii="Times New Roman" w:hAnsi="Times New Roman" w:cs="Times New Roman"/>
      <w:sz w:val="18"/>
      <w:szCs w:val="18"/>
    </w:rPr>
  </w:style>
  <w:style w:type="character" w:customStyle="1" w:styleId="83">
    <w:name w:val="脚注文本 Char"/>
    <w:basedOn w:val="55"/>
    <w:link w:val="39"/>
    <w:qFormat/>
    <w:locked/>
    <w:uiPriority w:val="0"/>
    <w:rPr>
      <w:rFonts w:ascii="Times New Roman" w:hAnsi="Times New Roman" w:cs="Times New Roman"/>
      <w:sz w:val="18"/>
      <w:szCs w:val="18"/>
    </w:rPr>
  </w:style>
  <w:style w:type="character" w:customStyle="1" w:styleId="84">
    <w:name w:val="正文文本缩进 3 Char"/>
    <w:basedOn w:val="55"/>
    <w:link w:val="42"/>
    <w:semiHidden/>
    <w:qFormat/>
    <w:locked/>
    <w:uiPriority w:val="99"/>
    <w:rPr>
      <w:rFonts w:ascii="Times New Roman" w:hAnsi="Times New Roman" w:cs="Times New Roman"/>
      <w:sz w:val="16"/>
      <w:szCs w:val="16"/>
    </w:rPr>
  </w:style>
  <w:style w:type="character" w:customStyle="1" w:styleId="85">
    <w:name w:val="正文文本 2 Char"/>
    <w:basedOn w:val="55"/>
    <w:link w:val="45"/>
    <w:qFormat/>
    <w:locked/>
    <w:uiPriority w:val="0"/>
    <w:rPr>
      <w:rFonts w:ascii="Times New Roman" w:hAnsi="Times New Roman" w:cs="Times New Roman"/>
      <w:sz w:val="21"/>
      <w:szCs w:val="21"/>
    </w:rPr>
  </w:style>
  <w:style w:type="character" w:customStyle="1" w:styleId="86">
    <w:name w:val="HTML 预设格式 Char"/>
    <w:basedOn w:val="55"/>
    <w:link w:val="48"/>
    <w:qFormat/>
    <w:locked/>
    <w:uiPriority w:val="0"/>
    <w:rPr>
      <w:rFonts w:ascii="Courier New" w:hAnsi="Courier New" w:cs="Courier New"/>
      <w:kern w:val="2"/>
    </w:rPr>
  </w:style>
  <w:style w:type="character" w:customStyle="1" w:styleId="87">
    <w:name w:val="批注主题 Char"/>
    <w:basedOn w:val="75"/>
    <w:link w:val="51"/>
    <w:qFormat/>
    <w:locked/>
    <w:uiPriority w:val="0"/>
    <w:rPr>
      <w:rFonts w:ascii="Times New Roman" w:hAnsi="Times New Roman" w:cs="Times New Roman"/>
      <w:b/>
      <w:bCs/>
      <w:kern w:val="2"/>
      <w:sz w:val="21"/>
      <w:szCs w:val="21"/>
    </w:rPr>
  </w:style>
  <w:style w:type="character" w:customStyle="1" w:styleId="88">
    <w:name w:val="正文首行缩进 Char"/>
    <w:basedOn w:val="76"/>
    <w:link w:val="52"/>
    <w:qFormat/>
    <w:locked/>
    <w:uiPriority w:val="0"/>
    <w:rPr>
      <w:rFonts w:ascii="Times New Roman" w:hAnsi="Times New Roman" w:cs="Times New Roman"/>
      <w:sz w:val="21"/>
      <w:szCs w:val="21"/>
    </w:rPr>
  </w:style>
  <w:style w:type="character" w:customStyle="1" w:styleId="89">
    <w:name w:val="style1"/>
    <w:qFormat/>
    <w:uiPriority w:val="0"/>
  </w:style>
  <w:style w:type="character" w:customStyle="1" w:styleId="90">
    <w:name w:val="纯文本 Char_0_0"/>
    <w:link w:val="91"/>
    <w:qFormat/>
    <w:locked/>
    <w:uiPriority w:val="99"/>
    <w:rPr>
      <w:rFonts w:ascii="宋体" w:hAnsi="Courier New" w:cs="宋体"/>
      <w:kern w:val="2"/>
      <w:sz w:val="21"/>
      <w:szCs w:val="21"/>
    </w:rPr>
  </w:style>
  <w:style w:type="paragraph" w:customStyle="1" w:styleId="91">
    <w:name w:val="纯文本_0_0"/>
    <w:basedOn w:val="92"/>
    <w:link w:val="90"/>
    <w:qFormat/>
    <w:uiPriority w:val="99"/>
    <w:rPr>
      <w:rFonts w:ascii="宋体" w:hAnsi="Courier New" w:cs="宋体"/>
    </w:rPr>
  </w:style>
  <w:style w:type="paragraph" w:customStyle="1" w:styleId="9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3">
    <w:name w:val="标题 1 Char Char"/>
    <w:qFormat/>
    <w:uiPriority w:val="0"/>
    <w:rPr>
      <w:rFonts w:ascii="宋体" w:hAnsi="宋体" w:eastAsia="宋体" w:cs="宋体"/>
      <w:b/>
      <w:bCs/>
      <w:spacing w:val="-2"/>
      <w:sz w:val="24"/>
      <w:szCs w:val="24"/>
      <w:lang w:val="en-US" w:eastAsia="zh-CN"/>
    </w:rPr>
  </w:style>
  <w:style w:type="character" w:customStyle="1" w:styleId="94">
    <w:name w:val="font51"/>
    <w:qFormat/>
    <w:uiPriority w:val="0"/>
    <w:rPr>
      <w:rFonts w:ascii="宋体" w:hAnsi="宋体" w:eastAsia="宋体" w:cs="宋体"/>
      <w:color w:val="000000"/>
      <w:sz w:val="24"/>
      <w:szCs w:val="24"/>
      <w:u w:val="none"/>
    </w:rPr>
  </w:style>
  <w:style w:type="character" w:customStyle="1" w:styleId="95">
    <w:name w:val="Style Heading 3 + Char"/>
    <w:link w:val="96"/>
    <w:qFormat/>
    <w:locked/>
    <w:uiPriority w:val="0"/>
    <w:rPr>
      <w:rFonts w:eastAsia="宋体"/>
      <w:b/>
      <w:bCs/>
      <w:kern w:val="2"/>
      <w:sz w:val="28"/>
      <w:szCs w:val="28"/>
      <w:lang w:val="en-US" w:eastAsia="zh-CN"/>
    </w:rPr>
  </w:style>
  <w:style w:type="paragraph" w:customStyle="1" w:styleId="96">
    <w:name w:val="Style Heading 3 +"/>
    <w:basedOn w:val="7"/>
    <w:link w:val="95"/>
    <w:qFormat/>
    <w:uiPriority w:val="0"/>
    <w:pPr>
      <w:adjustRightInd/>
      <w:spacing w:before="120" w:after="120" w:line="120" w:lineRule="atLeast"/>
      <w:textAlignment w:val="auto"/>
    </w:pPr>
    <w:rPr>
      <w:kern w:val="2"/>
      <w:sz w:val="28"/>
      <w:szCs w:val="28"/>
    </w:rPr>
  </w:style>
  <w:style w:type="character" w:customStyle="1" w:styleId="97">
    <w:name w:val="font11"/>
    <w:qFormat/>
    <w:uiPriority w:val="0"/>
    <w:rPr>
      <w:rFonts w:ascii="宋体" w:hAnsi="宋体" w:eastAsia="宋体" w:cs="宋体"/>
      <w:color w:val="000000"/>
      <w:sz w:val="24"/>
      <w:szCs w:val="24"/>
      <w:u w:val="none"/>
    </w:rPr>
  </w:style>
  <w:style w:type="character" w:customStyle="1" w:styleId="98">
    <w:name w:val="正文缩进 Char"/>
    <w:link w:val="16"/>
    <w:qFormat/>
    <w:locked/>
    <w:uiPriority w:val="0"/>
    <w:rPr>
      <w:kern w:val="2"/>
      <w:sz w:val="21"/>
      <w:szCs w:val="21"/>
    </w:rPr>
  </w:style>
  <w:style w:type="character" w:customStyle="1" w:styleId="99">
    <w:name w:val="font01"/>
    <w:basedOn w:val="55"/>
    <w:qFormat/>
    <w:uiPriority w:val="0"/>
    <w:rPr>
      <w:rFonts w:ascii="宋体" w:hAnsi="宋体" w:eastAsia="宋体" w:cs="宋体"/>
      <w:color w:val="FF0000"/>
      <w:sz w:val="24"/>
      <w:szCs w:val="24"/>
      <w:u w:val="none"/>
    </w:rPr>
  </w:style>
  <w:style w:type="paragraph" w:customStyle="1" w:styleId="100">
    <w:name w:val="简单回函地址"/>
    <w:basedOn w:val="1"/>
    <w:qFormat/>
    <w:uiPriority w:val="0"/>
  </w:style>
  <w:style w:type="paragraph" w:customStyle="1" w:styleId="101">
    <w:name w:val="纯文本2"/>
    <w:basedOn w:val="1"/>
    <w:qFormat/>
    <w:uiPriority w:val="99"/>
    <w:rPr>
      <w:rFonts w:ascii="宋体" w:hAnsi="Courier New" w:cs="宋体"/>
      <w:sz w:val="28"/>
      <w:szCs w:val="28"/>
    </w:rPr>
  </w:style>
  <w:style w:type="paragraph" w:customStyle="1" w:styleId="102">
    <w:name w:val="图文"/>
    <w:basedOn w:val="1"/>
    <w:qFormat/>
    <w:uiPriority w:val="0"/>
    <w:pPr>
      <w:adjustRightInd w:val="0"/>
      <w:snapToGrid w:val="0"/>
      <w:spacing w:after="50" w:line="360" w:lineRule="auto"/>
    </w:pPr>
    <w:rPr>
      <w:sz w:val="24"/>
      <w:szCs w:val="24"/>
    </w:rPr>
  </w:style>
  <w:style w:type="paragraph" w:customStyle="1" w:styleId="103">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4">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5">
    <w:name w:val="1"/>
    <w:basedOn w:val="1"/>
    <w:next w:val="27"/>
    <w:qFormat/>
    <w:uiPriority w:val="0"/>
    <w:rPr>
      <w:rFonts w:ascii="宋体" w:hAnsi="Courier New" w:cs="宋体"/>
    </w:rPr>
  </w:style>
  <w:style w:type="paragraph" w:customStyle="1" w:styleId="106">
    <w:name w:val="6"/>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7">
    <w:name w:val="Char2"/>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8">
    <w:name w:val="二级目录"/>
    <w:next w:val="1"/>
    <w:link w:val="202"/>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9">
    <w:name w:val="Char Char Char1 Char"/>
    <w:basedOn w:val="1"/>
    <w:qFormat/>
    <w:uiPriority w:val="0"/>
  </w:style>
  <w:style w:type="paragraph" w:customStyle="1" w:styleId="110">
    <w:name w:val="列出段落1"/>
    <w:basedOn w:val="1"/>
    <w:qFormat/>
    <w:uiPriority w:val="99"/>
    <w:pPr>
      <w:ind w:firstLine="420" w:firstLineChars="200"/>
    </w:pPr>
  </w:style>
  <w:style w:type="paragraph" w:customStyle="1" w:styleId="111">
    <w:name w:val="Normal_12_0"/>
    <w:qFormat/>
    <w:uiPriority w:val="99"/>
    <w:rPr>
      <w:rFonts w:ascii="黑体" w:hAnsi="黑体" w:eastAsia="黑体" w:cs="黑体"/>
      <w:b/>
      <w:bCs/>
      <w:sz w:val="32"/>
      <w:szCs w:val="32"/>
      <w:lang w:val="en-US" w:eastAsia="zh-CN" w:bidi="ar-SA"/>
    </w:rPr>
  </w:style>
  <w:style w:type="paragraph" w:customStyle="1" w:styleId="112">
    <w:name w:val="p0"/>
    <w:basedOn w:val="1"/>
    <w:qFormat/>
    <w:uiPriority w:val="0"/>
    <w:pPr>
      <w:widowControl/>
    </w:pPr>
    <w:rPr>
      <w:kern w:val="0"/>
    </w:rPr>
  </w:style>
  <w:style w:type="paragraph" w:customStyle="1" w:styleId="113">
    <w:name w:val="正文缩进2格"/>
    <w:basedOn w:val="1"/>
    <w:link w:val="137"/>
    <w:qFormat/>
    <w:uiPriority w:val="0"/>
    <w:pPr>
      <w:spacing w:line="600" w:lineRule="exact"/>
      <w:ind w:firstLine="639" w:firstLineChars="206"/>
    </w:pPr>
    <w:rPr>
      <w:rFonts w:ascii="仿宋_GB2312" w:hAnsi="宋体" w:eastAsia="仿宋_GB2312" w:cs="仿宋_GB2312"/>
      <w:sz w:val="31"/>
      <w:szCs w:val="31"/>
    </w:rPr>
  </w:style>
  <w:style w:type="paragraph" w:customStyle="1" w:styleId="114">
    <w:name w:val="列出段落11"/>
    <w:basedOn w:val="1"/>
    <w:qFormat/>
    <w:uiPriority w:val="99"/>
    <w:pPr>
      <w:ind w:firstLine="200" w:firstLineChars="200"/>
    </w:pPr>
    <w:rPr>
      <w:rFonts w:ascii="Calibri" w:hAnsi="Calibri" w:cs="Calibri"/>
    </w:rPr>
  </w:style>
  <w:style w:type="paragraph" w:customStyle="1" w:styleId="115">
    <w:name w:val="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16">
    <w:name w:val="默认段落字体 Para Char Char Char Char"/>
    <w:basedOn w:val="1"/>
    <w:qFormat/>
    <w:uiPriority w:val="0"/>
  </w:style>
  <w:style w:type="paragraph" w:customStyle="1" w:styleId="117">
    <w:name w:val="样式 标题 1 + 宋体 段前: 0 磅 段后: 0 磅 行距: 单倍行距"/>
    <w:basedOn w:val="5"/>
    <w:next w:val="1"/>
    <w:qFormat/>
    <w:uiPriority w:val="0"/>
    <w:pPr>
      <w:spacing w:beforeLines="100" w:afterLines="100"/>
    </w:pPr>
    <w:rPr>
      <w:rFonts w:ascii="仿宋_GB2312" w:hAnsi="宋体" w:cs="仿宋_GB2312"/>
    </w:rPr>
  </w:style>
  <w:style w:type="paragraph" w:customStyle="1" w:styleId="118">
    <w:name w:val="样式 标题 2 + 黑色 行距: 1.5 倍行距"/>
    <w:basedOn w:val="6"/>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9">
    <w:name w:val="List Paragraph"/>
    <w:basedOn w:val="1"/>
    <w:qFormat/>
    <w:uiPriority w:val="99"/>
    <w:pPr>
      <w:ind w:firstLine="420" w:firstLineChars="200"/>
    </w:pPr>
  </w:style>
  <w:style w:type="paragraph" w:customStyle="1" w:styleId="12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121">
    <w:name w:val="font21"/>
    <w:basedOn w:val="55"/>
    <w:qFormat/>
    <w:uiPriority w:val="0"/>
    <w:rPr>
      <w:rFonts w:ascii="楷体_GB2312" w:eastAsia="楷体_GB2312" w:cs="楷体_GB2312"/>
      <w:color w:val="000000"/>
      <w:sz w:val="24"/>
      <w:szCs w:val="24"/>
      <w:u w:val="none"/>
    </w:rPr>
  </w:style>
  <w:style w:type="paragraph" w:customStyle="1" w:styleId="122">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23">
    <w:name w:val="正文_0"/>
    <w:qFormat/>
    <w:uiPriority w:val="99"/>
    <w:rPr>
      <w:rFonts w:ascii="Times New Roman" w:hAnsi="Times New Roman" w:eastAsia="宋体" w:cs="Times New Roman"/>
      <w:sz w:val="21"/>
      <w:szCs w:val="21"/>
      <w:lang w:val="en-US" w:eastAsia="zh-CN" w:bidi="ar-SA"/>
    </w:rPr>
  </w:style>
  <w:style w:type="paragraph" w:customStyle="1" w:styleId="124">
    <w:name w:val="纯文本1"/>
    <w:basedOn w:val="1"/>
    <w:qFormat/>
    <w:uiPriority w:val="0"/>
    <w:pPr>
      <w:adjustRightInd w:val="0"/>
      <w:textAlignment w:val="baseline"/>
    </w:pPr>
    <w:rPr>
      <w:rFonts w:ascii="宋体" w:hAnsi="Courier New"/>
      <w:sz w:val="28"/>
    </w:rPr>
  </w:style>
  <w:style w:type="character" w:customStyle="1" w:styleId="125">
    <w:name w:val="正文缩进 Char1"/>
    <w:qFormat/>
    <w:uiPriority w:val="0"/>
    <w:rPr>
      <w:rFonts w:eastAsia="宋体"/>
      <w:kern w:val="2"/>
      <w:sz w:val="21"/>
      <w:szCs w:val="24"/>
      <w:lang w:val="en-US" w:eastAsia="zh-CN" w:bidi="ar-SA"/>
    </w:rPr>
  </w:style>
  <w:style w:type="character" w:customStyle="1" w:styleId="126">
    <w:name w:val="font71"/>
    <w:qFormat/>
    <w:uiPriority w:val="0"/>
    <w:rPr>
      <w:rFonts w:hint="eastAsia" w:ascii="宋体" w:hAnsi="宋体" w:eastAsia="宋体" w:cs="宋体"/>
      <w:b/>
      <w:color w:val="000000"/>
      <w:sz w:val="40"/>
      <w:szCs w:val="40"/>
      <w:u w:val="none"/>
    </w:rPr>
  </w:style>
  <w:style w:type="character" w:customStyle="1" w:styleId="127">
    <w:name w:val="正文文本 2 Char2"/>
    <w:link w:val="128"/>
    <w:qFormat/>
    <w:uiPriority w:val="0"/>
    <w:rPr>
      <w:rFonts w:ascii="Calibri" w:hAnsi="Calibri"/>
      <w:szCs w:val="21"/>
    </w:rPr>
  </w:style>
  <w:style w:type="paragraph" w:customStyle="1" w:styleId="128">
    <w:name w:val="正文文本 21"/>
    <w:basedOn w:val="1"/>
    <w:link w:val="127"/>
    <w:qFormat/>
    <w:uiPriority w:val="0"/>
    <w:pPr>
      <w:spacing w:before="280" w:after="120" w:line="480" w:lineRule="auto"/>
      <w:ind w:left="420" w:hanging="420"/>
    </w:pPr>
    <w:rPr>
      <w:rFonts w:ascii="Calibri" w:hAnsi="Calibri"/>
      <w:kern w:val="0"/>
      <w:sz w:val="20"/>
    </w:rPr>
  </w:style>
  <w:style w:type="character" w:customStyle="1" w:styleId="129">
    <w:name w:val="flName Char"/>
    <w:link w:val="130"/>
    <w:qFormat/>
    <w:locked/>
    <w:uiPriority w:val="0"/>
    <w:rPr>
      <w:rFonts w:ascii="Arial" w:hAnsi="Arial" w:eastAsia="黑体"/>
      <w:sz w:val="32"/>
    </w:rPr>
  </w:style>
  <w:style w:type="paragraph" w:customStyle="1" w:styleId="130">
    <w:name w:val="flName"/>
    <w:basedOn w:val="1"/>
    <w:link w:val="129"/>
    <w:qFormat/>
    <w:uiPriority w:val="0"/>
    <w:pPr>
      <w:adjustRightInd w:val="0"/>
      <w:spacing w:before="320" w:after="160" w:line="360" w:lineRule="atLeast"/>
      <w:jc w:val="center"/>
    </w:pPr>
    <w:rPr>
      <w:rFonts w:ascii="Arial" w:hAnsi="Arial" w:eastAsia="黑体"/>
      <w:kern w:val="0"/>
      <w:sz w:val="32"/>
      <w:szCs w:val="20"/>
    </w:rPr>
  </w:style>
  <w:style w:type="character" w:customStyle="1" w:styleId="131">
    <w:name w:val="Char Char4"/>
    <w:qFormat/>
    <w:uiPriority w:val="0"/>
    <w:rPr>
      <w:rFonts w:eastAsia="宋体"/>
      <w:kern w:val="2"/>
      <w:sz w:val="21"/>
      <w:szCs w:val="24"/>
      <w:lang w:val="en-US" w:eastAsia="zh-CN" w:bidi="ar-SA"/>
    </w:rPr>
  </w:style>
  <w:style w:type="character" w:customStyle="1" w:styleId="132">
    <w:name w:val="16"/>
    <w:qFormat/>
    <w:uiPriority w:val="0"/>
    <w:rPr>
      <w:rFonts w:hint="default" w:ascii="Calibri" w:hAnsi="Calibri" w:cs="Calibri"/>
      <w:color w:val="0000FF"/>
      <w:u w:val="single"/>
    </w:rPr>
  </w:style>
  <w:style w:type="character" w:customStyle="1" w:styleId="133">
    <w:name w:val="font31"/>
    <w:qFormat/>
    <w:uiPriority w:val="0"/>
    <w:rPr>
      <w:rFonts w:hint="eastAsia" w:ascii="宋体" w:hAnsi="宋体" w:eastAsia="宋体" w:cs="宋体"/>
      <w:color w:val="000000"/>
      <w:sz w:val="22"/>
      <w:szCs w:val="22"/>
      <w:u w:val="none"/>
    </w:rPr>
  </w:style>
  <w:style w:type="character" w:customStyle="1" w:styleId="134">
    <w:name w:val="font61"/>
    <w:qFormat/>
    <w:uiPriority w:val="0"/>
    <w:rPr>
      <w:rFonts w:hint="eastAsia" w:ascii="宋体" w:hAnsi="宋体" w:eastAsia="宋体" w:cs="宋体"/>
      <w:b/>
      <w:color w:val="000000"/>
      <w:sz w:val="24"/>
      <w:szCs w:val="24"/>
      <w:u w:val="none"/>
    </w:rPr>
  </w:style>
  <w:style w:type="character" w:customStyle="1" w:styleId="135">
    <w:name w:val="正文缩进2格 Char"/>
    <w:qFormat/>
    <w:uiPriority w:val="0"/>
    <w:rPr>
      <w:rFonts w:ascii="仿宋_GB2312" w:hAnsi="宋体" w:eastAsia="仿宋_GB2312"/>
      <w:kern w:val="2"/>
      <w:sz w:val="31"/>
      <w:szCs w:val="28"/>
      <w:lang w:val="en-US" w:eastAsia="zh-CN" w:bidi="ar-SA"/>
    </w:rPr>
  </w:style>
  <w:style w:type="character" w:customStyle="1" w:styleId="136">
    <w:name w:val="HTML 预设格式 Char1"/>
    <w:qFormat/>
    <w:locked/>
    <w:uiPriority w:val="0"/>
    <w:rPr>
      <w:rFonts w:ascii="Courier New" w:hAnsi="Courier New" w:eastAsia="宋体" w:cs="Times New Roman"/>
      <w:kern w:val="0"/>
      <w:sz w:val="20"/>
      <w:szCs w:val="20"/>
    </w:rPr>
  </w:style>
  <w:style w:type="character" w:customStyle="1" w:styleId="137">
    <w:name w:val="正文缩进2格 Char Char"/>
    <w:link w:val="113"/>
    <w:qFormat/>
    <w:uiPriority w:val="0"/>
    <w:rPr>
      <w:rFonts w:ascii="仿宋_GB2312" w:hAnsi="宋体" w:eastAsia="仿宋_GB2312" w:cs="仿宋_GB2312"/>
      <w:kern w:val="2"/>
      <w:sz w:val="31"/>
      <w:szCs w:val="31"/>
    </w:rPr>
  </w:style>
  <w:style w:type="character" w:customStyle="1" w:styleId="138">
    <w:name w:val="font41"/>
    <w:qFormat/>
    <w:uiPriority w:val="0"/>
    <w:rPr>
      <w:rFonts w:hint="eastAsia" w:ascii="宋体" w:hAnsi="宋体" w:eastAsia="宋体" w:cs="宋体"/>
      <w:color w:val="000000"/>
      <w:sz w:val="22"/>
      <w:szCs w:val="22"/>
      <w:u w:val="none"/>
    </w:rPr>
  </w:style>
  <w:style w:type="character" w:customStyle="1" w:styleId="139">
    <w:name w:val="无间隔 Char"/>
    <w:link w:val="140"/>
    <w:qFormat/>
    <w:uiPriority w:val="0"/>
    <w:rPr>
      <w:rFonts w:eastAsia="Times New Roman"/>
      <w:kern w:val="2"/>
      <w:sz w:val="22"/>
      <w:szCs w:val="22"/>
    </w:rPr>
  </w:style>
  <w:style w:type="paragraph" w:styleId="140">
    <w:name w:val="No Spacing"/>
    <w:link w:val="139"/>
    <w:qFormat/>
    <w:uiPriority w:val="0"/>
    <w:rPr>
      <w:rFonts w:ascii="Times New Roman" w:hAnsi="Times New Roman" w:eastAsia="Times New Roman" w:cs="Times New Roman"/>
      <w:kern w:val="2"/>
      <w:sz w:val="22"/>
      <w:szCs w:val="22"/>
      <w:lang w:val="en-US" w:eastAsia="zh-CN" w:bidi="ar-SA"/>
    </w:rPr>
  </w:style>
  <w:style w:type="paragraph" w:customStyle="1" w:styleId="1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2">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3">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5">
    <w:name w:val="列出段落2"/>
    <w:basedOn w:val="1"/>
    <w:qFormat/>
    <w:uiPriority w:val="0"/>
    <w:pPr>
      <w:ind w:firstLine="420" w:firstLineChars="200"/>
    </w:pPr>
    <w:rPr>
      <w:rFonts w:ascii="Calibri" w:hAnsi="Calibri"/>
      <w:szCs w:val="22"/>
    </w:rPr>
  </w:style>
  <w:style w:type="paragraph" w:customStyle="1" w:styleId="14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48">
    <w:name w:val="xl92"/>
    <w:basedOn w:val="1"/>
    <w:qFormat/>
    <w:uiPriority w:val="0"/>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49">
    <w:name w:val="xl6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50">
    <w:name w:val="xl64"/>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51">
    <w:name w:val="xl88"/>
    <w:basedOn w:val="1"/>
    <w:qFormat/>
    <w:uiPriority w:val="0"/>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52">
    <w:name w:val="TOC 标题1"/>
    <w:basedOn w:val="5"/>
    <w:next w:val="1"/>
    <w:qFormat/>
    <w:uiPriority w:val="0"/>
    <w:pPr>
      <w:widowControl/>
      <w:numPr>
        <w:numId w:val="0"/>
      </w:numPr>
      <w:adjustRightInd/>
      <w:spacing w:before="480" w:after="0" w:line="276" w:lineRule="auto"/>
      <w:jc w:val="left"/>
      <w:textAlignment w:val="auto"/>
      <w:outlineLvl w:val="9"/>
    </w:pPr>
    <w:rPr>
      <w:rFonts w:ascii="Cambria" w:hAnsi="Cambria" w:cs="Times New Roman"/>
      <w:color w:val="365F91"/>
      <w:kern w:val="0"/>
      <w:sz w:val="28"/>
      <w:szCs w:val="28"/>
    </w:rPr>
  </w:style>
  <w:style w:type="paragraph" w:customStyle="1" w:styleId="153">
    <w:name w:val="xl10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9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56">
    <w:name w:val="xl80"/>
    <w:basedOn w:val="1"/>
    <w:qFormat/>
    <w:uiPriority w:val="0"/>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8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58">
    <w:name w:val="xl79"/>
    <w:basedOn w:val="1"/>
    <w:qFormat/>
    <w:uiPriority w:val="0"/>
    <w:pPr>
      <w:widowControl/>
      <w:pBdr>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5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1">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62">
    <w:name w:val="xl8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3">
    <w:name w:val="xl100"/>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8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5">
    <w:name w:val="xl111"/>
    <w:basedOn w:val="1"/>
    <w:qFormat/>
    <w:uiPriority w:val="0"/>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6">
    <w:name w:val="xl87"/>
    <w:basedOn w:val="1"/>
    <w:qFormat/>
    <w:uiPriority w:val="0"/>
    <w:pPr>
      <w:widowControl/>
      <w:pBdr>
        <w:top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7">
    <w:name w:val="xl91"/>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8">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9">
    <w:name w:val="xl77"/>
    <w:basedOn w:val="1"/>
    <w:qFormat/>
    <w:uiPriority w:val="0"/>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70">
    <w:name w:val="xl9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1">
    <w:name w:val="xl1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4">
    <w:name w:val="正文样式"/>
    <w:basedOn w:val="1"/>
    <w:qFormat/>
    <w:uiPriority w:val="0"/>
    <w:pPr>
      <w:spacing w:line="440" w:lineRule="exact"/>
      <w:ind w:firstLine="200" w:firstLineChars="200"/>
    </w:pPr>
    <w:rPr>
      <w:rFonts w:ascii="仿宋_GB2312" w:eastAsia="仿宋_GB2312"/>
      <w:sz w:val="28"/>
      <w:szCs w:val="24"/>
    </w:rPr>
  </w:style>
  <w:style w:type="paragraph" w:customStyle="1" w:styleId="1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6">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7">
    <w:name w:val="xl9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80">
    <w:name w:val="xl107"/>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81">
    <w:name w:val="xl9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2">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xl65"/>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8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86">
    <w:name w:val="xl102"/>
    <w:basedOn w:val="1"/>
    <w:qFormat/>
    <w:uiPriority w:val="0"/>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7">
    <w:name w:val="xl105"/>
    <w:basedOn w:val="1"/>
    <w:qFormat/>
    <w:uiPriority w:val="0"/>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84"/>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89">
    <w:name w:val="xl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90">
    <w:name w:val="Table Paragraph"/>
    <w:basedOn w:val="1"/>
    <w:qFormat/>
    <w:uiPriority w:val="1"/>
    <w:rPr>
      <w:rFonts w:ascii="Noto Sans Mono CJK JP Regular" w:hAnsi="Noto Sans Mono CJK JP Regular" w:eastAsia="Noto Sans Mono CJK JP Regular" w:cs="Noto Sans Mono CJK JP Regular"/>
      <w:szCs w:val="24"/>
    </w:rPr>
  </w:style>
  <w:style w:type="paragraph" w:customStyle="1" w:styleId="191">
    <w:name w:val="Char"/>
    <w:basedOn w:val="1"/>
    <w:qFormat/>
    <w:uiPriority w:val="0"/>
    <w:rPr>
      <w:szCs w:val="24"/>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3">
    <w:name w:val="xl11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94">
    <w:name w:val="正文文字3"/>
    <w:basedOn w:val="21"/>
    <w:qFormat/>
    <w:uiPriority w:val="0"/>
    <w:pPr>
      <w:adjustRightInd w:val="0"/>
      <w:spacing w:line="360" w:lineRule="atLeast"/>
      <w:ind w:left="30" w:leftChars="30" w:right="30" w:rightChars="30"/>
    </w:pPr>
    <w:rPr>
      <w:kern w:val="0"/>
      <w:sz w:val="21"/>
      <w:szCs w:val="20"/>
    </w:rPr>
  </w:style>
  <w:style w:type="paragraph" w:customStyle="1" w:styleId="195">
    <w:name w:val="xl98"/>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6">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97">
    <w:name w:val="xl104"/>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8">
    <w:name w:val="xl8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9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0">
    <w:name w:val="xl82"/>
    <w:basedOn w:val="1"/>
    <w:qFormat/>
    <w:uiPriority w:val="0"/>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character" w:customStyle="1" w:styleId="202">
    <w:name w:val="二级目录 Char"/>
    <w:link w:val="108"/>
    <w:qFormat/>
    <w:locked/>
    <w:uiPriority w:val="99"/>
    <w:rPr>
      <w:b/>
      <w:bCs/>
      <w:kern w:val="2"/>
      <w:sz w:val="30"/>
      <w:szCs w:val="30"/>
    </w:rPr>
  </w:style>
  <w:style w:type="paragraph" w:customStyle="1" w:styleId="203">
    <w:name w:val="列表段落"/>
    <w:basedOn w:val="1"/>
    <w:qFormat/>
    <w:uiPriority w:val="34"/>
    <w:pPr>
      <w:ind w:firstLine="420" w:firstLineChars="200"/>
    </w:pPr>
    <w:rPr>
      <w:szCs w:val="24"/>
    </w:rPr>
  </w:style>
  <w:style w:type="paragraph" w:customStyle="1" w:styleId="204">
    <w:name w:val="列出段落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25E29-F51E-40AF-8B62-C6CDDEEF0B9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12331</Words>
  <Characters>12569</Characters>
  <Lines>166</Lines>
  <Paragraphs>46</Paragraphs>
  <TotalTime>27</TotalTime>
  <ScaleCrop>false</ScaleCrop>
  <LinksUpToDate>false</LinksUpToDate>
  <CharactersWithSpaces>12714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2020-12-04T06:32:00Z</dcterms:created>
  <dc:creator>ql</dc:creator>
  <cp:lastModifiedBy>云纳</cp:lastModifiedBy>
  <cp:lastPrinted>2022-07-14T02:33:00Z</cp:lastPrinted>
  <dcterms:modified xsi:type="dcterms:W3CDTF">2025-12-04T08:24:46Z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9DAE69AD591F442AA266911B27B9CAFF_13</vt:lpwstr>
  </property>
  <property fmtid="{D5CDD505-2E9C-101B-9397-08002B2CF9AE}" pid="4" name="KSOTemplateDocerSaveRecord">
    <vt:lpwstr>eyJoZGlkIjoiM2YzNTRjYTIzOTQ3YzcxOWRhOGFjZTIxNDMwYjZkZTUiLCJ1c2VySWQiOiI1NjA3ODIyNzIifQ==</vt:lpwstr>
  </property>
</Properties>
</file>