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D44091">
      <w:pPr>
        <w:spacing w:line="360" w:lineRule="auto"/>
        <w:jc w:val="center"/>
        <w:rPr>
          <w:rFonts w:ascii="宋体" w:hAnsi="宋体"/>
          <w:b/>
          <w:color w:val="auto"/>
          <w:sz w:val="44"/>
          <w:szCs w:val="44"/>
          <w:highlight w:val="none"/>
        </w:rPr>
      </w:pPr>
      <w:bookmarkStart w:id="36" w:name="_GoBack"/>
      <w:bookmarkEnd w:id="36"/>
    </w:p>
    <w:p w14:paraId="208080F1">
      <w:pPr>
        <w:spacing w:line="360" w:lineRule="auto"/>
        <w:jc w:val="center"/>
        <w:rPr>
          <w:rFonts w:hint="eastAsia" w:ascii="宋体" w:hAnsi="宋体" w:eastAsia="宋体"/>
          <w:color w:val="auto"/>
          <w:w w:val="90"/>
          <w:kern w:val="0"/>
          <w:sz w:val="44"/>
          <w:szCs w:val="44"/>
          <w:highlight w:val="none"/>
          <w:lang w:eastAsia="zh-CN"/>
        </w:rPr>
      </w:pPr>
      <w:r>
        <w:rPr>
          <w:rFonts w:hint="eastAsia" w:ascii="宋体" w:hAnsi="宋体"/>
          <w:color w:val="auto"/>
          <w:w w:val="90"/>
          <w:kern w:val="0"/>
          <w:sz w:val="44"/>
          <w:szCs w:val="44"/>
          <w:highlight w:val="none"/>
          <w:lang w:eastAsia="zh-CN"/>
        </w:rPr>
        <w:t>南通市崇川区堤防涵闸管理所2025年电气设备预防性试验项目</w:t>
      </w:r>
    </w:p>
    <w:p w14:paraId="62858CD7">
      <w:pPr>
        <w:jc w:val="center"/>
        <w:rPr>
          <w:rFonts w:ascii="宋体" w:hAnsi="宋体"/>
          <w:color w:val="auto"/>
          <w:sz w:val="28"/>
          <w:szCs w:val="21"/>
          <w:highlight w:val="none"/>
        </w:rPr>
      </w:pPr>
    </w:p>
    <w:p w14:paraId="659DBCF9">
      <w:pPr>
        <w:pStyle w:val="62"/>
        <w:ind w:firstLine="280"/>
        <w:rPr>
          <w:color w:val="auto"/>
          <w:highlight w:val="none"/>
        </w:rPr>
      </w:pPr>
    </w:p>
    <w:p w14:paraId="6E8FF1DA">
      <w:pPr>
        <w:pStyle w:val="62"/>
        <w:ind w:firstLine="280"/>
        <w:rPr>
          <w:color w:val="auto"/>
          <w:highlight w:val="none"/>
        </w:rPr>
      </w:pPr>
    </w:p>
    <w:p w14:paraId="1297AB66">
      <w:pPr>
        <w:pStyle w:val="62"/>
        <w:ind w:firstLine="280"/>
        <w:rPr>
          <w:color w:val="auto"/>
          <w:highlight w:val="none"/>
        </w:rPr>
      </w:pPr>
    </w:p>
    <w:p w14:paraId="2BEAD892">
      <w:pPr>
        <w:pStyle w:val="62"/>
        <w:ind w:firstLine="280"/>
        <w:rPr>
          <w:rFonts w:ascii="宋体" w:eastAsia="宋体"/>
          <w:color w:val="auto"/>
          <w:highlight w:val="none"/>
        </w:rPr>
      </w:pPr>
    </w:p>
    <w:p w14:paraId="73A8F9A4">
      <w:pPr>
        <w:spacing w:line="360" w:lineRule="auto"/>
        <w:jc w:val="center"/>
        <w:rPr>
          <w:rFonts w:ascii="宋体" w:hAnsi="宋体" w:cs="宋体"/>
          <w:b/>
          <w:color w:val="auto"/>
          <w:sz w:val="96"/>
          <w:szCs w:val="96"/>
          <w:highlight w:val="none"/>
        </w:rPr>
      </w:pPr>
      <w:r>
        <w:rPr>
          <w:rFonts w:hint="eastAsia" w:ascii="宋体" w:hAnsi="宋体" w:cs="宋体"/>
          <w:b/>
          <w:color w:val="auto"/>
          <w:sz w:val="72"/>
          <w:szCs w:val="72"/>
          <w:highlight w:val="none"/>
        </w:rPr>
        <w:t>公开招标文件</w:t>
      </w:r>
    </w:p>
    <w:p w14:paraId="1A9769E9">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（资格后审）</w:t>
      </w:r>
    </w:p>
    <w:p w14:paraId="0568B9C9">
      <w:pPr>
        <w:jc w:val="center"/>
        <w:rPr>
          <w:rFonts w:ascii="宋体" w:hAnsi="宋体"/>
          <w:color w:val="auto"/>
          <w:sz w:val="28"/>
          <w:szCs w:val="21"/>
          <w:highlight w:val="none"/>
        </w:rPr>
      </w:pPr>
    </w:p>
    <w:p w14:paraId="47033870">
      <w:pPr>
        <w:spacing w:line="360" w:lineRule="auto"/>
        <w:jc w:val="center"/>
        <w:rPr>
          <w:rFonts w:ascii="宋体" w:hAnsi="宋体"/>
          <w:b/>
          <w:color w:val="auto"/>
          <w:sz w:val="36"/>
          <w:szCs w:val="36"/>
          <w:highlight w:val="none"/>
        </w:rPr>
      </w:pPr>
    </w:p>
    <w:p w14:paraId="3A13EDDC">
      <w:pPr>
        <w:tabs>
          <w:tab w:val="left" w:pos="6300"/>
        </w:tabs>
        <w:spacing w:line="360" w:lineRule="auto"/>
        <w:rPr>
          <w:rFonts w:ascii="宋体" w:hAnsi="宋体"/>
          <w:b/>
          <w:bCs/>
          <w:color w:val="auto"/>
          <w:sz w:val="36"/>
          <w:szCs w:val="36"/>
          <w:highlight w:val="none"/>
        </w:rPr>
      </w:pPr>
    </w:p>
    <w:p w14:paraId="51462A3A">
      <w:pPr>
        <w:tabs>
          <w:tab w:val="left" w:pos="6300"/>
        </w:tabs>
        <w:spacing w:line="360" w:lineRule="auto"/>
        <w:rPr>
          <w:rFonts w:ascii="宋体" w:hAnsi="宋体"/>
          <w:b/>
          <w:bCs/>
          <w:color w:val="auto"/>
          <w:sz w:val="36"/>
          <w:szCs w:val="36"/>
          <w:highlight w:val="none"/>
        </w:rPr>
      </w:pPr>
    </w:p>
    <w:p w14:paraId="71832CDB">
      <w:pPr>
        <w:pStyle w:val="62"/>
        <w:ind w:firstLine="280"/>
        <w:rPr>
          <w:rFonts w:ascii="宋体" w:eastAsia="宋体"/>
          <w:color w:val="auto"/>
          <w:highlight w:val="none"/>
        </w:rPr>
      </w:pPr>
    </w:p>
    <w:p w14:paraId="1195CB43">
      <w:pPr>
        <w:pStyle w:val="62"/>
        <w:ind w:firstLine="280"/>
        <w:rPr>
          <w:rFonts w:ascii="宋体" w:eastAsia="宋体"/>
          <w:color w:val="auto"/>
          <w:highlight w:val="none"/>
        </w:rPr>
      </w:pPr>
    </w:p>
    <w:p w14:paraId="23F4B94A">
      <w:pPr>
        <w:pStyle w:val="62"/>
        <w:ind w:firstLine="280"/>
        <w:rPr>
          <w:rFonts w:ascii="宋体" w:eastAsia="宋体"/>
          <w:color w:val="auto"/>
          <w:highlight w:val="none"/>
        </w:rPr>
      </w:pPr>
    </w:p>
    <w:p w14:paraId="6B88E11F">
      <w:pPr>
        <w:pStyle w:val="62"/>
        <w:ind w:firstLine="280"/>
        <w:rPr>
          <w:rFonts w:ascii="宋体" w:eastAsia="宋体"/>
          <w:color w:val="auto"/>
          <w:highlight w:val="none"/>
        </w:rPr>
      </w:pPr>
    </w:p>
    <w:p w14:paraId="182CB892">
      <w:pPr>
        <w:spacing w:line="360" w:lineRule="auto"/>
        <w:ind w:firstLine="967" w:firstLineChars="200"/>
        <w:rPr>
          <w:rFonts w:hint="eastAsia" w:ascii="宋体" w:hAnsi="宋体" w:eastAsia="宋体"/>
          <w:b/>
          <w:color w:val="auto"/>
          <w:sz w:val="32"/>
          <w:szCs w:val="32"/>
          <w:highlight w:val="none"/>
          <w:lang w:eastAsia="zh-CN"/>
        </w:rPr>
      </w:pPr>
      <w:bookmarkStart w:id="0" w:name="_Toc241913651"/>
      <w:bookmarkStart w:id="1" w:name="_Toc312608845"/>
      <w:bookmarkStart w:id="2" w:name="_Toc257275442"/>
      <w:r>
        <w:rPr>
          <w:rFonts w:hint="eastAsia" w:ascii="宋体" w:hAnsi="宋体"/>
          <w:b/>
          <w:color w:val="auto"/>
          <w:spacing w:val="81"/>
          <w:kern w:val="0"/>
          <w:sz w:val="32"/>
          <w:szCs w:val="32"/>
          <w:highlight w:val="none"/>
          <w:fitText w:val="1284" w:id="-1688883709"/>
        </w:rPr>
        <w:t>采购</w:t>
      </w:r>
      <w:r>
        <w:rPr>
          <w:rFonts w:hint="eastAsia" w:ascii="宋体" w:hAnsi="宋体"/>
          <w:b/>
          <w:color w:val="auto"/>
          <w:spacing w:val="0"/>
          <w:kern w:val="0"/>
          <w:sz w:val="32"/>
          <w:szCs w:val="32"/>
          <w:highlight w:val="none"/>
          <w:fitText w:val="1284" w:id="-1688883709"/>
        </w:rPr>
        <w:t>人</w:t>
      </w:r>
      <w:r>
        <w:rPr>
          <w:rFonts w:hint="eastAsia" w:ascii="宋体" w:hAnsi="宋体"/>
          <w:b/>
          <w:color w:val="auto"/>
          <w:sz w:val="32"/>
          <w:szCs w:val="32"/>
          <w:highlight w:val="none"/>
        </w:rPr>
        <w:t>：</w:t>
      </w:r>
      <w:r>
        <w:rPr>
          <w:rFonts w:hint="eastAsia" w:ascii="宋体" w:hAnsi="宋体"/>
          <w:b/>
          <w:color w:val="auto"/>
          <w:kern w:val="0"/>
          <w:sz w:val="32"/>
          <w:szCs w:val="32"/>
          <w:highlight w:val="none"/>
          <w:lang w:eastAsia="zh-CN"/>
        </w:rPr>
        <w:t>南通市崇川区堤防涵闸管理所</w:t>
      </w:r>
    </w:p>
    <w:p w14:paraId="1D17559F">
      <w:pPr>
        <w:spacing w:line="360" w:lineRule="auto"/>
        <w:ind w:firstLine="964" w:firstLineChars="300"/>
        <w:rPr>
          <w:rFonts w:ascii="宋体" w:hAnsi="宋体"/>
          <w:b/>
          <w:color w:val="auto"/>
          <w:sz w:val="32"/>
          <w:szCs w:val="32"/>
          <w:highlight w:val="none"/>
        </w:rPr>
      </w:pPr>
      <w:r>
        <w:rPr>
          <w:rFonts w:hint="eastAsia" w:ascii="宋体" w:hAnsi="宋体"/>
          <w:b/>
          <w:color w:val="auto"/>
          <w:sz w:val="32"/>
          <w:szCs w:val="32"/>
          <w:highlight w:val="none"/>
        </w:rPr>
        <w:t>代理单位：南通通城建设工程项目管理有限公司</w:t>
      </w:r>
    </w:p>
    <w:p w14:paraId="57FE1579">
      <w:pPr>
        <w:spacing w:line="360" w:lineRule="auto"/>
        <w:ind w:firstLine="1931" w:firstLineChars="200"/>
        <w:rPr>
          <w:rFonts w:ascii="宋体" w:hAnsi="宋体"/>
          <w:b/>
          <w:color w:val="auto"/>
          <w:sz w:val="32"/>
          <w:szCs w:val="32"/>
          <w:highlight w:val="none"/>
        </w:rPr>
      </w:pPr>
      <w:r>
        <w:rPr>
          <w:rFonts w:hint="eastAsia" w:ascii="宋体" w:hAnsi="宋体"/>
          <w:b/>
          <w:color w:val="auto"/>
          <w:spacing w:val="322"/>
          <w:kern w:val="0"/>
          <w:sz w:val="32"/>
          <w:szCs w:val="32"/>
          <w:highlight w:val="none"/>
          <w:fitText w:val="1284" w:id="-1688883707"/>
        </w:rPr>
        <w:t>日</w:t>
      </w:r>
      <w:r>
        <w:rPr>
          <w:rFonts w:hint="eastAsia" w:ascii="宋体" w:hAnsi="宋体"/>
          <w:b/>
          <w:color w:val="auto"/>
          <w:spacing w:val="0"/>
          <w:kern w:val="0"/>
          <w:sz w:val="32"/>
          <w:szCs w:val="32"/>
          <w:highlight w:val="none"/>
          <w:fitText w:val="1284" w:id="-1688883707"/>
        </w:rPr>
        <w:t>期</w:t>
      </w: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月</w:t>
      </w:r>
      <w:r>
        <w:rPr>
          <w:rFonts w:hint="eastAsia" w:ascii="宋体" w:hAnsi="宋体"/>
          <w:b/>
          <w:color w:val="auto"/>
          <w:sz w:val="32"/>
          <w:szCs w:val="32"/>
          <w:highlight w:val="none"/>
          <w:lang w:val="en-US" w:eastAsia="zh-CN"/>
        </w:rPr>
        <w:t>22</w:t>
      </w:r>
      <w:r>
        <w:rPr>
          <w:rFonts w:hint="eastAsia" w:ascii="宋体" w:hAnsi="宋体"/>
          <w:b/>
          <w:color w:val="auto"/>
          <w:sz w:val="32"/>
          <w:szCs w:val="32"/>
          <w:highlight w:val="none"/>
        </w:rPr>
        <w:t>日</w:t>
      </w:r>
    </w:p>
    <w:p w14:paraId="27093FB6">
      <w:pPr>
        <w:pStyle w:val="62"/>
        <w:ind w:firstLine="280"/>
        <w:rPr>
          <w:rFonts w:ascii="宋体" w:eastAsia="宋体"/>
          <w:b/>
          <w:color w:val="auto"/>
          <w:szCs w:val="28"/>
          <w:highlight w:val="none"/>
        </w:rPr>
      </w:pPr>
      <w:r>
        <w:rPr>
          <w:rFonts w:ascii="宋体" w:eastAsia="宋体"/>
          <w:color w:val="auto"/>
          <w:highlight w:val="none"/>
        </w:rPr>
        <w:br w:type="page"/>
      </w:r>
      <w:bookmarkEnd w:id="0"/>
      <w:bookmarkEnd w:id="1"/>
      <w:bookmarkEnd w:id="2"/>
    </w:p>
    <w:p w14:paraId="60DF3B87">
      <w:pPr>
        <w:spacing w:line="360" w:lineRule="auto"/>
        <w:jc w:val="center"/>
        <w:rPr>
          <w:rFonts w:ascii="宋体" w:hAnsi="宋体"/>
          <w:b/>
          <w:color w:val="auto"/>
          <w:sz w:val="44"/>
          <w:szCs w:val="44"/>
          <w:highlight w:val="none"/>
        </w:rPr>
      </w:pPr>
      <w:r>
        <w:rPr>
          <w:rFonts w:ascii="宋体" w:hAnsi="宋体"/>
          <w:b/>
          <w:color w:val="auto"/>
          <w:sz w:val="44"/>
          <w:szCs w:val="44"/>
          <w:highlight w:val="none"/>
        </w:rPr>
        <w:t>目      录</w:t>
      </w:r>
    </w:p>
    <w:p w14:paraId="4F56D7FF">
      <w:pPr>
        <w:spacing w:line="360" w:lineRule="auto"/>
        <w:jc w:val="center"/>
        <w:rPr>
          <w:rFonts w:ascii="宋体" w:hAnsi="宋体"/>
          <w:b/>
          <w:color w:val="auto"/>
          <w:sz w:val="28"/>
          <w:szCs w:val="28"/>
          <w:highlight w:val="none"/>
        </w:rPr>
      </w:pPr>
    </w:p>
    <w:p w14:paraId="6965D876">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第一章  招标公告</w:t>
      </w:r>
    </w:p>
    <w:p w14:paraId="7DC22162">
      <w:pPr>
        <w:tabs>
          <w:tab w:val="left" w:pos="7740"/>
        </w:tabs>
        <w:spacing w:line="360" w:lineRule="auto"/>
        <w:rPr>
          <w:rFonts w:ascii="宋体" w:hAnsi="宋体"/>
          <w:b/>
          <w:color w:val="auto"/>
          <w:sz w:val="28"/>
          <w:szCs w:val="28"/>
          <w:highlight w:val="none"/>
        </w:rPr>
      </w:pPr>
    </w:p>
    <w:p w14:paraId="1C0F99C1">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第二章  投标人须知</w:t>
      </w:r>
    </w:p>
    <w:p w14:paraId="2A7B95DF">
      <w:pPr>
        <w:spacing w:line="360" w:lineRule="auto"/>
        <w:rPr>
          <w:rFonts w:ascii="宋体" w:hAnsi="宋体"/>
          <w:b/>
          <w:color w:val="auto"/>
          <w:sz w:val="28"/>
          <w:szCs w:val="28"/>
          <w:highlight w:val="none"/>
        </w:rPr>
      </w:pPr>
    </w:p>
    <w:p w14:paraId="162234AE">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第三章  项目需求</w:t>
      </w:r>
    </w:p>
    <w:p w14:paraId="28FE1EE1">
      <w:pPr>
        <w:pStyle w:val="27"/>
        <w:tabs>
          <w:tab w:val="left" w:pos="7740"/>
          <w:tab w:val="left" w:pos="7920"/>
        </w:tabs>
        <w:spacing w:line="360" w:lineRule="auto"/>
        <w:ind w:left="0" w:leftChars="0"/>
        <w:rPr>
          <w:rFonts w:ascii="宋体" w:hAnsi="宋体"/>
          <w:b/>
          <w:color w:val="auto"/>
          <w:sz w:val="28"/>
          <w:szCs w:val="28"/>
          <w:highlight w:val="none"/>
        </w:rPr>
      </w:pPr>
    </w:p>
    <w:p w14:paraId="6717E1DA">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 xml:space="preserve">第四章  </w:t>
      </w:r>
      <w:r>
        <w:rPr>
          <w:rFonts w:ascii="宋体" w:hAnsi="宋体"/>
          <w:b/>
          <w:bCs/>
          <w:color w:val="auto"/>
          <w:sz w:val="28"/>
          <w:szCs w:val="28"/>
          <w:highlight w:val="none"/>
        </w:rPr>
        <w:t>评审方法和程序</w:t>
      </w:r>
    </w:p>
    <w:p w14:paraId="580CAB3C">
      <w:pPr>
        <w:spacing w:line="360" w:lineRule="auto"/>
        <w:rPr>
          <w:rFonts w:ascii="宋体" w:hAnsi="宋体"/>
          <w:b/>
          <w:color w:val="auto"/>
          <w:sz w:val="28"/>
          <w:szCs w:val="28"/>
          <w:highlight w:val="none"/>
        </w:rPr>
      </w:pPr>
    </w:p>
    <w:p w14:paraId="432EA1CA">
      <w:pPr>
        <w:tabs>
          <w:tab w:val="left" w:pos="7740"/>
        </w:tabs>
        <w:spacing w:line="360" w:lineRule="auto"/>
        <w:rPr>
          <w:rFonts w:ascii="宋体" w:hAnsi="宋体"/>
          <w:b/>
          <w:bCs/>
          <w:color w:val="auto"/>
          <w:sz w:val="28"/>
          <w:szCs w:val="28"/>
          <w:highlight w:val="none"/>
        </w:rPr>
      </w:pPr>
      <w:r>
        <w:rPr>
          <w:rFonts w:ascii="宋体" w:hAnsi="宋体"/>
          <w:b/>
          <w:bCs/>
          <w:color w:val="auto"/>
          <w:sz w:val="28"/>
          <w:szCs w:val="28"/>
          <w:highlight w:val="none"/>
        </w:rPr>
        <w:t xml:space="preserve">第五章  </w:t>
      </w:r>
      <w:r>
        <w:rPr>
          <w:rFonts w:hint="eastAsia" w:ascii="宋体" w:hAnsi="宋体"/>
          <w:b/>
          <w:bCs/>
          <w:color w:val="auto"/>
          <w:sz w:val="28"/>
          <w:szCs w:val="28"/>
          <w:highlight w:val="none"/>
        </w:rPr>
        <w:t>合同主要条款</w:t>
      </w:r>
    </w:p>
    <w:p w14:paraId="22F678D8">
      <w:pPr>
        <w:tabs>
          <w:tab w:val="left" w:pos="7740"/>
        </w:tabs>
        <w:spacing w:line="360" w:lineRule="auto"/>
        <w:rPr>
          <w:rFonts w:ascii="宋体" w:hAnsi="宋体"/>
          <w:b/>
          <w:bCs/>
          <w:color w:val="auto"/>
          <w:sz w:val="28"/>
          <w:szCs w:val="28"/>
          <w:highlight w:val="none"/>
        </w:rPr>
      </w:pPr>
    </w:p>
    <w:p w14:paraId="3642B37A">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第六章  合同授予</w:t>
      </w:r>
    </w:p>
    <w:p w14:paraId="430C1359">
      <w:pPr>
        <w:tabs>
          <w:tab w:val="left" w:pos="7740"/>
        </w:tabs>
        <w:spacing w:line="360" w:lineRule="auto"/>
        <w:rPr>
          <w:rFonts w:ascii="宋体" w:hAnsi="宋体"/>
          <w:b/>
          <w:bCs/>
          <w:color w:val="auto"/>
          <w:sz w:val="28"/>
          <w:szCs w:val="28"/>
          <w:highlight w:val="none"/>
        </w:rPr>
      </w:pPr>
    </w:p>
    <w:p w14:paraId="6337F5F4">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第七章</w:t>
      </w:r>
      <w:r>
        <w:rPr>
          <w:rFonts w:hint="eastAsia" w:ascii="宋体" w:hAnsi="宋体"/>
          <w:b/>
          <w:color w:val="auto"/>
          <w:sz w:val="28"/>
          <w:szCs w:val="28"/>
          <w:highlight w:val="none"/>
        </w:rPr>
        <w:t xml:space="preserve"> </w:t>
      </w:r>
      <w:r>
        <w:rPr>
          <w:rFonts w:ascii="宋体" w:hAnsi="宋体"/>
          <w:b/>
          <w:color w:val="auto"/>
          <w:sz w:val="28"/>
          <w:szCs w:val="28"/>
          <w:highlight w:val="none"/>
        </w:rPr>
        <w:t xml:space="preserve"> </w:t>
      </w:r>
      <w:r>
        <w:rPr>
          <w:rFonts w:ascii="宋体" w:hAnsi="宋体"/>
          <w:b/>
          <w:bCs/>
          <w:color w:val="auto"/>
          <w:sz w:val="28"/>
          <w:szCs w:val="28"/>
          <w:highlight w:val="none"/>
        </w:rPr>
        <w:t>质疑提出和处理</w:t>
      </w:r>
    </w:p>
    <w:p w14:paraId="64931AAC">
      <w:pPr>
        <w:tabs>
          <w:tab w:val="left" w:pos="7740"/>
        </w:tabs>
        <w:spacing w:line="360" w:lineRule="auto"/>
        <w:rPr>
          <w:rFonts w:ascii="宋体" w:hAnsi="宋体"/>
          <w:b/>
          <w:color w:val="auto"/>
          <w:sz w:val="28"/>
          <w:szCs w:val="28"/>
          <w:highlight w:val="none"/>
        </w:rPr>
      </w:pPr>
    </w:p>
    <w:p w14:paraId="17AFD4EC">
      <w:pPr>
        <w:spacing w:line="360" w:lineRule="auto"/>
        <w:rPr>
          <w:rFonts w:ascii="宋体" w:hAnsi="宋体"/>
          <w:b/>
          <w:color w:val="auto"/>
          <w:sz w:val="28"/>
          <w:szCs w:val="28"/>
          <w:highlight w:val="none"/>
        </w:rPr>
      </w:pPr>
      <w:bookmarkStart w:id="3" w:name="_Hlk86587575"/>
      <w:r>
        <w:rPr>
          <w:rFonts w:ascii="宋体" w:hAnsi="宋体"/>
          <w:b/>
          <w:color w:val="auto"/>
          <w:sz w:val="28"/>
          <w:szCs w:val="28"/>
          <w:highlight w:val="none"/>
        </w:rPr>
        <w:t>第</w:t>
      </w:r>
      <w:r>
        <w:rPr>
          <w:rFonts w:hint="eastAsia" w:ascii="宋体" w:hAnsi="宋体"/>
          <w:b/>
          <w:color w:val="auto"/>
          <w:sz w:val="28"/>
          <w:szCs w:val="28"/>
          <w:highlight w:val="none"/>
        </w:rPr>
        <w:t>八</w:t>
      </w:r>
      <w:r>
        <w:rPr>
          <w:rFonts w:ascii="宋体" w:hAnsi="宋体"/>
          <w:b/>
          <w:color w:val="auto"/>
          <w:sz w:val="28"/>
          <w:szCs w:val="28"/>
          <w:highlight w:val="none"/>
        </w:rPr>
        <w:t>章</w:t>
      </w:r>
      <w:bookmarkEnd w:id="3"/>
      <w:r>
        <w:rPr>
          <w:rFonts w:ascii="宋体" w:hAnsi="宋体"/>
          <w:b/>
          <w:color w:val="auto"/>
          <w:sz w:val="28"/>
          <w:szCs w:val="28"/>
          <w:highlight w:val="none"/>
        </w:rPr>
        <w:t xml:space="preserve">  投标文件组成</w:t>
      </w:r>
    </w:p>
    <w:p w14:paraId="1555D666">
      <w:pPr>
        <w:spacing w:line="360" w:lineRule="auto"/>
        <w:rPr>
          <w:rFonts w:ascii="宋体" w:hAnsi="宋体"/>
          <w:color w:val="auto"/>
          <w:sz w:val="24"/>
          <w:highlight w:val="none"/>
        </w:rPr>
      </w:pPr>
    </w:p>
    <w:p w14:paraId="0827A921">
      <w:pPr>
        <w:snapToGrid w:val="0"/>
        <w:spacing w:line="360" w:lineRule="auto"/>
        <w:jc w:val="center"/>
        <w:rPr>
          <w:rStyle w:val="123"/>
          <w:rFonts w:hint="default"/>
          <w:color w:val="auto"/>
          <w:sz w:val="28"/>
          <w:szCs w:val="28"/>
          <w:highlight w:val="none"/>
        </w:rPr>
      </w:pPr>
      <w:r>
        <w:rPr>
          <w:rFonts w:ascii="宋体" w:hAnsi="宋体"/>
          <w:b/>
          <w:color w:val="auto"/>
          <w:sz w:val="24"/>
          <w:highlight w:val="none"/>
        </w:rPr>
        <w:br w:type="page"/>
      </w:r>
      <w:r>
        <w:rPr>
          <w:rStyle w:val="123"/>
          <w:rFonts w:hint="default"/>
          <w:color w:val="auto"/>
          <w:sz w:val="28"/>
          <w:szCs w:val="28"/>
          <w:highlight w:val="none"/>
        </w:rPr>
        <w:t xml:space="preserve">第一章  </w:t>
      </w:r>
      <w:bookmarkStart w:id="4" w:name="OLE_LINK3"/>
      <w:bookmarkStart w:id="5" w:name="OLE_LINK4"/>
      <w:bookmarkStart w:id="6" w:name="OLE_LINK2"/>
      <w:bookmarkStart w:id="7" w:name="OLE_LINK1"/>
      <w:bookmarkStart w:id="8" w:name="OLE_LINK5"/>
      <w:r>
        <w:rPr>
          <w:rStyle w:val="123"/>
          <w:rFonts w:hint="default"/>
          <w:color w:val="auto"/>
          <w:sz w:val="28"/>
          <w:szCs w:val="28"/>
          <w:highlight w:val="none"/>
        </w:rPr>
        <w:t>招标公告</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ECE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4" w:type="dxa"/>
          </w:tcPr>
          <w:p w14:paraId="60E0DB63">
            <w:pPr>
              <w:widowControl/>
              <w:snapToGrid w:val="0"/>
              <w:spacing w:line="360" w:lineRule="auto"/>
              <w:jc w:val="left"/>
              <w:rPr>
                <w:rFonts w:ascii="宋体" w:hAnsi="宋体"/>
                <w:color w:val="auto"/>
                <w:sz w:val="24"/>
                <w:highlight w:val="none"/>
              </w:rPr>
            </w:pPr>
            <w:bookmarkStart w:id="9" w:name="OLE_LINK6"/>
            <w:r>
              <w:rPr>
                <w:rFonts w:ascii="宋体" w:hAnsi="宋体"/>
                <w:color w:val="auto"/>
                <w:sz w:val="24"/>
                <w:highlight w:val="none"/>
              </w:rPr>
              <w:t>项目概况</w:t>
            </w:r>
          </w:p>
          <w:p w14:paraId="3A4B7356">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hint="eastAsia" w:ascii="宋体" w:hAnsi="宋体"/>
                <w:color w:val="auto"/>
                <w:sz w:val="24"/>
                <w:highlight w:val="none"/>
                <w:u w:val="single"/>
                <w:lang w:eastAsia="zh-CN"/>
              </w:rPr>
              <w:t>南通市崇川区堤防涵闸管理所2025年电气设备预防性试验项目</w:t>
            </w:r>
            <w:r>
              <w:rPr>
                <w:rFonts w:ascii="宋体" w:hAnsi="宋体"/>
                <w:color w:val="auto"/>
                <w:sz w:val="24"/>
                <w:highlight w:val="none"/>
              </w:rPr>
              <w:t>的潜在供应商应在</w:t>
            </w:r>
            <w:r>
              <w:rPr>
                <w:rFonts w:hint="eastAsia" w:ascii="宋体" w:hAnsi="宋体"/>
                <w:color w:val="auto"/>
                <w:sz w:val="24"/>
                <w:szCs w:val="21"/>
                <w:highlight w:val="none"/>
                <w:u w:val="single"/>
                <w:lang w:val="zh-CN"/>
              </w:rPr>
              <w:t>南通市崇川区人民政府网-公告公示栏目</w:t>
            </w:r>
            <w:r>
              <w:rPr>
                <w:rFonts w:ascii="宋体" w:hAnsi="宋体"/>
                <w:color w:val="auto"/>
                <w:sz w:val="24"/>
                <w:highlight w:val="none"/>
                <w:u w:val="single"/>
              </w:rPr>
              <w:t>本公告附件中</w:t>
            </w:r>
            <w:r>
              <w:rPr>
                <w:rFonts w:ascii="宋体" w:hAnsi="宋体"/>
                <w:color w:val="auto"/>
                <w:sz w:val="24"/>
                <w:highlight w:val="none"/>
              </w:rPr>
              <w:t>获取采购文件，并于</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 xml:space="preserve"> 5 </w:t>
            </w:r>
            <w:r>
              <w:rPr>
                <w:rFonts w:ascii="宋体" w:hAnsi="宋体"/>
                <w:color w:val="auto"/>
                <w:sz w:val="24"/>
                <w:highlight w:val="none"/>
              </w:rPr>
              <w:t>月</w:t>
            </w:r>
            <w:r>
              <w:rPr>
                <w:rFonts w:hint="eastAsia" w:ascii="宋体" w:hAnsi="宋体"/>
                <w:color w:val="auto"/>
                <w:sz w:val="24"/>
                <w:highlight w:val="none"/>
                <w:u w:val="single"/>
                <w:lang w:val="en-US" w:eastAsia="zh-CN"/>
              </w:rPr>
              <w:t xml:space="preserve"> 21 </w:t>
            </w:r>
            <w:r>
              <w:rPr>
                <w:rFonts w:ascii="宋体" w:hAnsi="宋体"/>
                <w:color w:val="auto"/>
                <w:sz w:val="24"/>
                <w:highlight w:val="none"/>
              </w:rPr>
              <w:t>日</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4</w:t>
            </w:r>
            <w:r>
              <w:rPr>
                <w:rFonts w:ascii="宋体" w:hAnsi="宋体"/>
                <w:color w:val="auto"/>
                <w:sz w:val="24"/>
                <w:highlight w:val="non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rPr>
              <w:t>分（北京时间）前提交响应文件。</w:t>
            </w:r>
          </w:p>
        </w:tc>
      </w:tr>
    </w:tbl>
    <w:p w14:paraId="789CD735">
      <w:pPr>
        <w:kinsoku w:val="0"/>
        <w:overflowPunct w:val="0"/>
        <w:autoSpaceDE w:val="0"/>
        <w:autoSpaceDN w:val="0"/>
        <w:snapToGrid w:val="0"/>
        <w:spacing w:line="440" w:lineRule="atLeast"/>
        <w:ind w:firstLine="482" w:firstLineChars="200"/>
        <w:outlineLvl w:val="1"/>
        <w:rPr>
          <w:rFonts w:ascii="宋体" w:hAnsi="宋体"/>
          <w:b/>
          <w:color w:val="auto"/>
          <w:sz w:val="24"/>
          <w:highlight w:val="none"/>
        </w:rPr>
      </w:pPr>
      <w:r>
        <w:rPr>
          <w:rFonts w:ascii="宋体" w:hAnsi="宋体"/>
          <w:b/>
          <w:color w:val="auto"/>
          <w:sz w:val="24"/>
          <w:highlight w:val="none"/>
        </w:rPr>
        <w:t>一、项目基本情况</w:t>
      </w:r>
    </w:p>
    <w:p w14:paraId="32C03735">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ascii="宋体" w:hAnsi="宋体"/>
          <w:color w:val="auto"/>
          <w:sz w:val="24"/>
          <w:highlight w:val="none"/>
        </w:rPr>
        <w:t>1、项目名称：</w:t>
      </w:r>
      <w:r>
        <w:rPr>
          <w:rFonts w:hint="eastAsia" w:ascii="宋体" w:hAnsi="宋体"/>
          <w:color w:val="auto"/>
          <w:sz w:val="24"/>
          <w:highlight w:val="none"/>
          <w:lang w:eastAsia="zh-CN"/>
        </w:rPr>
        <w:t>南通市崇川区堤防涵闸管理所2025年电气设备预防性试验项目</w:t>
      </w:r>
    </w:p>
    <w:p w14:paraId="4CBAF3D9">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2、预算金额：</w:t>
      </w:r>
      <w:r>
        <w:rPr>
          <w:rFonts w:hint="eastAsia" w:ascii="宋体" w:hAnsi="宋体"/>
          <w:color w:val="auto"/>
          <w:sz w:val="24"/>
          <w:highlight w:val="none"/>
          <w:lang w:val="en-US" w:eastAsia="zh-CN"/>
        </w:rPr>
        <w:t>25万</w:t>
      </w:r>
      <w:r>
        <w:rPr>
          <w:rFonts w:ascii="宋体" w:hAnsi="宋体"/>
          <w:color w:val="auto"/>
          <w:sz w:val="24"/>
          <w:highlight w:val="none"/>
        </w:rPr>
        <w:t>元</w:t>
      </w:r>
    </w:p>
    <w:p w14:paraId="1E505F79">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3、最高限价：</w:t>
      </w:r>
      <w:r>
        <w:rPr>
          <w:rFonts w:hint="eastAsia" w:ascii="宋体" w:hAnsi="宋体"/>
          <w:color w:val="auto"/>
          <w:sz w:val="24"/>
          <w:highlight w:val="none"/>
          <w:lang w:val="en-US" w:eastAsia="zh-CN"/>
        </w:rPr>
        <w:t>25万</w:t>
      </w:r>
      <w:r>
        <w:rPr>
          <w:rFonts w:ascii="宋体" w:hAnsi="宋体"/>
          <w:color w:val="auto"/>
          <w:sz w:val="24"/>
          <w:highlight w:val="none"/>
        </w:rPr>
        <w:t>元，报价超过</w:t>
      </w:r>
      <w:r>
        <w:rPr>
          <w:rFonts w:hint="eastAsia" w:ascii="宋体" w:hAnsi="宋体"/>
          <w:color w:val="auto"/>
          <w:sz w:val="24"/>
          <w:highlight w:val="none"/>
        </w:rPr>
        <w:t>最高限价</w:t>
      </w:r>
      <w:r>
        <w:rPr>
          <w:rFonts w:ascii="宋体" w:hAnsi="宋体"/>
          <w:color w:val="auto"/>
          <w:sz w:val="24"/>
          <w:highlight w:val="none"/>
        </w:rPr>
        <w:t>的为无效响应文件。</w:t>
      </w:r>
    </w:p>
    <w:p w14:paraId="154656C5">
      <w:pPr>
        <w:widowControl/>
        <w:snapToGrid w:val="0"/>
        <w:spacing w:line="440" w:lineRule="atLeast"/>
        <w:ind w:firstLine="480" w:firstLineChars="200"/>
        <w:jc w:val="left"/>
        <w:rPr>
          <w:rFonts w:hint="eastAsia" w:ascii="宋体" w:hAnsi="宋体" w:eastAsia="宋体"/>
          <w:color w:val="auto"/>
          <w:sz w:val="24"/>
          <w:highlight w:val="none"/>
          <w:lang w:val="en-US" w:eastAsia="zh-CN"/>
        </w:rPr>
      </w:pPr>
      <w:r>
        <w:rPr>
          <w:rFonts w:hint="eastAsia" w:ascii="宋体" w:hAnsi="宋体"/>
          <w:color w:val="auto"/>
          <w:sz w:val="24"/>
          <w:highlight w:val="none"/>
        </w:rPr>
        <w:t>4</w:t>
      </w:r>
      <w:r>
        <w:rPr>
          <w:rFonts w:ascii="宋体" w:hAnsi="宋体"/>
          <w:color w:val="auto"/>
          <w:sz w:val="24"/>
          <w:highlight w:val="none"/>
        </w:rPr>
        <w:t>、采购需求：详见第三章</w:t>
      </w:r>
      <w:r>
        <w:rPr>
          <w:rFonts w:hint="eastAsia" w:ascii="宋体" w:hAnsi="宋体"/>
          <w:color w:val="auto"/>
          <w:sz w:val="24"/>
          <w:highlight w:val="none"/>
          <w:lang w:eastAsia="zh-CN"/>
        </w:rPr>
        <w:t>。</w:t>
      </w:r>
    </w:p>
    <w:p w14:paraId="4058FA1B">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5、合同履行期限：详见第三章</w:t>
      </w:r>
      <w:r>
        <w:rPr>
          <w:rFonts w:hint="eastAsia" w:ascii="宋体" w:hAnsi="宋体"/>
          <w:color w:val="auto"/>
          <w:sz w:val="24"/>
          <w:highlight w:val="none"/>
          <w:lang w:eastAsia="zh-CN"/>
        </w:rPr>
        <w:t>。</w:t>
      </w:r>
    </w:p>
    <w:p w14:paraId="798ABB9D">
      <w:pPr>
        <w:pStyle w:val="62"/>
        <w:spacing w:line="440" w:lineRule="atLeast"/>
        <w:ind w:firstLine="480" w:firstLineChars="200"/>
        <w:rPr>
          <w:rFonts w:ascii="宋体" w:eastAsia="宋体"/>
          <w:bCs w:val="0"/>
          <w:color w:val="auto"/>
          <w:sz w:val="24"/>
          <w:highlight w:val="none"/>
        </w:rPr>
      </w:pPr>
      <w:r>
        <w:rPr>
          <w:rFonts w:hint="eastAsia" w:ascii="宋体" w:eastAsia="宋体"/>
          <w:bCs w:val="0"/>
          <w:color w:val="auto"/>
          <w:sz w:val="24"/>
          <w:highlight w:val="none"/>
        </w:rPr>
        <w:t>6、本项目不接受联合体投标。</w:t>
      </w:r>
    </w:p>
    <w:p w14:paraId="4B7E6933">
      <w:pPr>
        <w:kinsoku w:val="0"/>
        <w:overflowPunct w:val="0"/>
        <w:autoSpaceDE w:val="0"/>
        <w:autoSpaceDN w:val="0"/>
        <w:snapToGrid w:val="0"/>
        <w:spacing w:line="440" w:lineRule="atLeast"/>
        <w:ind w:firstLine="482" w:firstLineChars="200"/>
        <w:outlineLvl w:val="1"/>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投标人</w:t>
      </w:r>
      <w:r>
        <w:rPr>
          <w:rFonts w:ascii="宋体" w:hAnsi="宋体"/>
          <w:b/>
          <w:color w:val="auto"/>
          <w:sz w:val="24"/>
          <w:highlight w:val="none"/>
        </w:rPr>
        <w:t>的资格要求：</w:t>
      </w:r>
    </w:p>
    <w:p w14:paraId="5DB7EDCF">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 xml:space="preserve">1、满足《中华人民共和国政府采购法》第二十二条规定； </w:t>
      </w:r>
    </w:p>
    <w:p w14:paraId="5C7AB7C1">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2、落实政府采购政策需满足的资格要求：</w:t>
      </w:r>
      <w:r>
        <w:rPr>
          <w:rFonts w:hint="eastAsia" w:ascii="宋体" w:hAnsi="宋体"/>
          <w:color w:val="auto"/>
          <w:sz w:val="24"/>
          <w:szCs w:val="21"/>
          <w:highlight w:val="none"/>
          <w:u w:val="single"/>
        </w:rPr>
        <w:t>本项目属于专门面向中小企业采购的项目, 供应商应为中小微企业、监狱企业、残疾人福利性单位，并按照要求提供中小企业声明函、残疾人福利性单位声明函、监狱和戒毒企业证明材料。</w:t>
      </w:r>
    </w:p>
    <w:p w14:paraId="3F9446B5">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3、本项目的特定资格要求：</w:t>
      </w:r>
    </w:p>
    <w:p w14:paraId="0BCDF6C6">
      <w:pPr>
        <w:snapToGrid w:val="0"/>
        <w:spacing w:line="440" w:lineRule="atLeast"/>
        <w:ind w:firstLine="480" w:firstLineChars="200"/>
        <w:rPr>
          <w:rFonts w:hint="eastAsia" w:ascii="宋体" w:hAnsi="宋体"/>
          <w:color w:val="auto"/>
          <w:sz w:val="24"/>
          <w:szCs w:val="21"/>
          <w:highlight w:val="none"/>
          <w:lang w:eastAsia="zh-CN"/>
        </w:rPr>
      </w:pP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1</w:t>
      </w:r>
      <w:r>
        <w:rPr>
          <w:rFonts w:hint="eastAsia" w:ascii="宋体" w:hAnsi="宋体"/>
          <w:color w:val="auto"/>
          <w:sz w:val="24"/>
          <w:szCs w:val="21"/>
          <w:highlight w:val="none"/>
          <w:lang w:eastAsia="zh-CN"/>
        </w:rPr>
        <w:t>）</w:t>
      </w:r>
      <w:r>
        <w:rPr>
          <w:rFonts w:hint="eastAsia" w:ascii="宋体" w:hAnsi="宋体"/>
          <w:color w:val="auto"/>
          <w:sz w:val="24"/>
          <w:szCs w:val="21"/>
          <w:highlight w:val="none"/>
        </w:rPr>
        <w:t>具有国家电监会颁发的肆</w:t>
      </w:r>
      <w:r>
        <w:rPr>
          <w:rFonts w:hint="eastAsia" w:ascii="宋体" w:hAnsi="宋体"/>
          <w:color w:val="auto"/>
          <w:sz w:val="24"/>
          <w:szCs w:val="21"/>
          <w:highlight w:val="none"/>
          <w:lang w:eastAsia="zh-CN"/>
        </w:rPr>
        <w:t>级及以上《承装(修、试)电力设施许可证》；</w:t>
      </w:r>
    </w:p>
    <w:p w14:paraId="7BE1E0A4">
      <w:pPr>
        <w:snapToGrid w:val="0"/>
        <w:spacing w:line="440" w:lineRule="atLeast"/>
        <w:ind w:firstLine="480" w:firstLineChars="200"/>
        <w:rPr>
          <w:rFonts w:hint="eastAsia" w:ascii="宋体" w:hAnsi="宋体"/>
          <w:color w:val="auto"/>
          <w:sz w:val="24"/>
          <w:szCs w:val="21"/>
          <w:highlight w:val="none"/>
          <w:lang w:eastAsia="zh-CN"/>
        </w:rPr>
      </w:pP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拟派</w:t>
      </w:r>
      <w:r>
        <w:rPr>
          <w:rFonts w:hint="eastAsia" w:ascii="宋体" w:hAnsi="宋体"/>
          <w:color w:val="auto"/>
          <w:sz w:val="24"/>
          <w:szCs w:val="21"/>
          <w:highlight w:val="none"/>
          <w:lang w:eastAsia="zh-CN"/>
        </w:rPr>
        <w:t>项目负责人必须要有安全员B证，项目组需配备专职安全员并具有安全员B 证或 C 证，</w:t>
      </w:r>
      <w:r>
        <w:rPr>
          <w:rFonts w:hint="eastAsia" w:ascii="宋体" w:hAnsi="宋体"/>
          <w:color w:val="auto"/>
          <w:sz w:val="24"/>
          <w:szCs w:val="21"/>
          <w:highlight w:val="none"/>
          <w:lang w:val="en-US" w:eastAsia="zh-CN"/>
        </w:rPr>
        <w:t>提供证书复印件并加盖公章</w:t>
      </w:r>
      <w:r>
        <w:rPr>
          <w:rFonts w:hint="eastAsia" w:ascii="宋体" w:hAnsi="宋体"/>
          <w:color w:val="auto"/>
          <w:sz w:val="24"/>
          <w:szCs w:val="21"/>
          <w:highlight w:val="none"/>
          <w:lang w:eastAsia="zh-CN"/>
        </w:rPr>
        <w:t>。</w:t>
      </w:r>
    </w:p>
    <w:p w14:paraId="18E916AB">
      <w:pPr>
        <w:snapToGrid w:val="0"/>
        <w:spacing w:line="440" w:lineRule="atLeast"/>
        <w:ind w:firstLine="480" w:firstLineChars="200"/>
        <w:rPr>
          <w:rFonts w:ascii="宋体" w:hAnsi="宋体"/>
          <w:color w:val="auto"/>
          <w:sz w:val="24"/>
          <w:szCs w:val="21"/>
          <w:highlight w:val="none"/>
        </w:rPr>
      </w:pPr>
      <w:r>
        <w:rPr>
          <w:rFonts w:hint="eastAsia" w:ascii="宋体" w:hAnsi="宋体"/>
          <w:color w:val="auto"/>
          <w:sz w:val="24"/>
          <w:szCs w:val="21"/>
          <w:highlight w:val="none"/>
        </w:rPr>
        <w:t>4、</w:t>
      </w:r>
      <w:r>
        <w:rPr>
          <w:rFonts w:ascii="宋体" w:hAnsi="宋体"/>
          <w:color w:val="auto"/>
          <w:sz w:val="24"/>
          <w:szCs w:val="21"/>
          <w:highlight w:val="none"/>
          <w:lang w:val="zh-CN"/>
        </w:rPr>
        <w:t>未被</w:t>
      </w:r>
      <w:r>
        <w:rPr>
          <w:rFonts w:ascii="宋体" w:hAnsi="宋体"/>
          <w:color w:val="auto"/>
          <w:sz w:val="24"/>
          <w:szCs w:val="21"/>
          <w:highlight w:val="none"/>
        </w:rPr>
        <w:t>“</w:t>
      </w:r>
      <w:r>
        <w:rPr>
          <w:rFonts w:ascii="宋体" w:hAnsi="宋体"/>
          <w:color w:val="auto"/>
          <w:sz w:val="24"/>
          <w:szCs w:val="21"/>
          <w:highlight w:val="none"/>
          <w:lang w:val="zh-CN"/>
        </w:rPr>
        <w:t>信用中国</w:t>
      </w:r>
      <w:r>
        <w:rPr>
          <w:rFonts w:ascii="宋体" w:hAnsi="宋体"/>
          <w:color w:val="auto"/>
          <w:sz w:val="24"/>
          <w:szCs w:val="21"/>
          <w:highlight w:val="none"/>
        </w:rPr>
        <w:t>”</w:t>
      </w:r>
      <w:r>
        <w:rPr>
          <w:rFonts w:ascii="宋体" w:hAnsi="宋体"/>
          <w:color w:val="auto"/>
          <w:sz w:val="24"/>
          <w:szCs w:val="21"/>
          <w:highlight w:val="none"/>
          <w:lang w:val="zh-CN"/>
        </w:rPr>
        <w:t>网站</w:t>
      </w:r>
      <w:r>
        <w:rPr>
          <w:rFonts w:ascii="宋体" w:hAnsi="宋体"/>
          <w:color w:val="auto"/>
          <w:sz w:val="24"/>
          <w:szCs w:val="21"/>
          <w:highlight w:val="none"/>
        </w:rPr>
        <w:t xml:space="preserve">(www.creditchina.gov.cn) </w:t>
      </w:r>
      <w:r>
        <w:rPr>
          <w:rFonts w:ascii="宋体" w:hAnsi="宋体"/>
          <w:color w:val="auto"/>
          <w:sz w:val="24"/>
          <w:szCs w:val="21"/>
          <w:highlight w:val="none"/>
          <w:lang w:val="zh-CN"/>
        </w:rPr>
        <w:t>列入失信被执行人、重大税收违法案件当事人名单</w:t>
      </w:r>
      <w:r>
        <w:rPr>
          <w:rFonts w:ascii="宋体" w:hAnsi="宋体"/>
          <w:color w:val="auto"/>
          <w:sz w:val="24"/>
          <w:szCs w:val="21"/>
          <w:highlight w:val="none"/>
        </w:rPr>
        <w:t>，</w:t>
      </w:r>
      <w:r>
        <w:rPr>
          <w:rFonts w:ascii="宋体" w:hAnsi="宋体"/>
          <w:color w:val="auto"/>
          <w:sz w:val="24"/>
          <w:szCs w:val="21"/>
          <w:highlight w:val="none"/>
          <w:lang w:val="zh-CN"/>
        </w:rPr>
        <w:t>未被</w:t>
      </w:r>
      <w:r>
        <w:rPr>
          <w:rFonts w:ascii="宋体" w:hAnsi="宋体"/>
          <w:color w:val="auto"/>
          <w:sz w:val="24"/>
          <w:szCs w:val="21"/>
          <w:highlight w:val="none"/>
        </w:rPr>
        <w:t>“</w:t>
      </w:r>
      <w:r>
        <w:rPr>
          <w:rFonts w:ascii="宋体" w:hAnsi="宋体"/>
          <w:color w:val="auto"/>
          <w:sz w:val="24"/>
          <w:szCs w:val="21"/>
          <w:highlight w:val="none"/>
          <w:lang w:val="zh-CN"/>
        </w:rPr>
        <w:t>中国政府采购网</w:t>
      </w:r>
      <w:r>
        <w:rPr>
          <w:rFonts w:ascii="宋体" w:hAnsi="宋体"/>
          <w:color w:val="auto"/>
          <w:sz w:val="24"/>
          <w:szCs w:val="21"/>
          <w:highlight w:val="none"/>
        </w:rPr>
        <w:t>”（http://www.ccgp.gov.cn/）</w:t>
      </w:r>
      <w:r>
        <w:rPr>
          <w:rFonts w:ascii="宋体" w:hAnsi="宋体"/>
          <w:color w:val="auto"/>
          <w:sz w:val="24"/>
          <w:szCs w:val="21"/>
          <w:highlight w:val="none"/>
          <w:lang w:val="zh-CN"/>
        </w:rPr>
        <w:t>列入政府采购严重违法失信行为记录名单。</w:t>
      </w:r>
    </w:p>
    <w:p w14:paraId="2A6FBBAD">
      <w:pPr>
        <w:snapToGrid w:val="0"/>
        <w:spacing w:line="440" w:lineRule="atLeast"/>
        <w:ind w:firstLine="480" w:firstLineChars="200"/>
        <w:rPr>
          <w:rFonts w:ascii="宋体" w:hAnsi="宋体"/>
          <w:color w:val="auto"/>
          <w:sz w:val="24"/>
          <w:szCs w:val="21"/>
          <w:highlight w:val="none"/>
          <w:lang w:val="zh-CN"/>
        </w:rPr>
      </w:pPr>
      <w:r>
        <w:rPr>
          <w:rFonts w:hint="eastAsia" w:ascii="宋体" w:hAnsi="宋体"/>
          <w:color w:val="auto"/>
          <w:sz w:val="24"/>
          <w:szCs w:val="21"/>
          <w:highlight w:val="none"/>
          <w:lang w:val="zh-CN"/>
        </w:rPr>
        <w:t>5、</w:t>
      </w:r>
      <w:r>
        <w:rPr>
          <w:rFonts w:ascii="宋体" w:hAnsi="宋体"/>
          <w:color w:val="auto"/>
          <w:sz w:val="24"/>
          <w:szCs w:val="21"/>
          <w:highlight w:val="none"/>
          <w:lang w:val="zh-CN"/>
        </w:rPr>
        <w:t>法定代表人为同一个人的两个及两个以上法人，母公司、全资子公司及其控股公司，都不得在同一采购项目或同一标段中同时参加投标，一经发现，将视同围标处理。</w:t>
      </w:r>
    </w:p>
    <w:p w14:paraId="18F0B8CF">
      <w:pPr>
        <w:snapToGrid w:val="0"/>
        <w:spacing w:line="440" w:lineRule="atLeast"/>
        <w:ind w:firstLine="480" w:firstLineChars="200"/>
        <w:rPr>
          <w:rFonts w:ascii="宋体" w:hAnsi="宋体"/>
          <w:color w:val="auto"/>
          <w:sz w:val="24"/>
          <w:szCs w:val="21"/>
          <w:highlight w:val="none"/>
          <w:lang w:val="zh-CN"/>
        </w:rPr>
      </w:pPr>
      <w:r>
        <w:rPr>
          <w:rFonts w:hint="eastAsia" w:ascii="宋体" w:hAnsi="宋体"/>
          <w:color w:val="auto"/>
          <w:sz w:val="24"/>
          <w:szCs w:val="21"/>
          <w:highlight w:val="none"/>
          <w:lang w:val="zh-CN"/>
        </w:rPr>
        <w:t>6、本项目的中标供应商不得将项目外包或转包。</w:t>
      </w:r>
    </w:p>
    <w:p w14:paraId="51941F67">
      <w:pPr>
        <w:kinsoku w:val="0"/>
        <w:overflowPunct w:val="0"/>
        <w:autoSpaceDE w:val="0"/>
        <w:autoSpaceDN w:val="0"/>
        <w:snapToGrid w:val="0"/>
        <w:spacing w:line="440" w:lineRule="atLeast"/>
        <w:ind w:firstLine="482" w:firstLineChars="200"/>
        <w:outlineLvl w:val="1"/>
        <w:rPr>
          <w:rFonts w:ascii="宋体" w:hAnsi="宋体"/>
          <w:b/>
          <w:color w:val="auto"/>
          <w:sz w:val="24"/>
          <w:highlight w:val="none"/>
        </w:rPr>
      </w:pPr>
      <w:r>
        <w:rPr>
          <w:rFonts w:ascii="宋体" w:hAnsi="宋体"/>
          <w:b/>
          <w:color w:val="auto"/>
          <w:sz w:val="24"/>
          <w:highlight w:val="none"/>
        </w:rPr>
        <w:t>三、获取招标文件</w:t>
      </w:r>
    </w:p>
    <w:p w14:paraId="40E2B836">
      <w:pPr>
        <w:snapToGrid w:val="0"/>
        <w:spacing w:line="440" w:lineRule="atLeast"/>
        <w:ind w:firstLine="480" w:firstLineChars="200"/>
        <w:rPr>
          <w:rFonts w:ascii="宋体" w:hAnsi="宋体"/>
          <w:color w:val="auto"/>
          <w:sz w:val="24"/>
          <w:szCs w:val="21"/>
          <w:highlight w:val="none"/>
          <w:lang w:val="zh-CN"/>
        </w:rPr>
      </w:pPr>
      <w:r>
        <w:rPr>
          <w:rFonts w:ascii="宋体" w:hAnsi="宋体"/>
          <w:color w:val="auto"/>
          <w:sz w:val="24"/>
          <w:szCs w:val="21"/>
          <w:highlight w:val="none"/>
          <w:lang w:val="zh-CN"/>
        </w:rPr>
        <w:t>1、时间：</w:t>
      </w:r>
      <w:r>
        <w:rPr>
          <w:rFonts w:ascii="宋体" w:hAnsi="宋体"/>
          <w:color w:val="auto"/>
          <w:sz w:val="24"/>
          <w:szCs w:val="21"/>
          <w:highlight w:val="none"/>
          <w:u w:val="single"/>
          <w:lang w:val="zh-CN"/>
        </w:rPr>
        <w:t>自本招标公告发布之日起</w:t>
      </w:r>
      <w:r>
        <w:rPr>
          <w:rFonts w:ascii="宋体" w:hAnsi="宋体"/>
          <w:color w:val="auto"/>
          <w:sz w:val="24"/>
          <w:szCs w:val="21"/>
          <w:highlight w:val="none"/>
          <w:lang w:val="zh-CN"/>
        </w:rPr>
        <w:t>。</w:t>
      </w:r>
      <w:bookmarkStart w:id="10" w:name="_Toc387526277"/>
      <w:bookmarkStart w:id="11" w:name="_Toc387526369"/>
      <w:bookmarkStart w:id="12" w:name="_Toc387526173"/>
    </w:p>
    <w:p w14:paraId="578BFAB2">
      <w:pPr>
        <w:snapToGrid w:val="0"/>
        <w:spacing w:line="440" w:lineRule="atLeast"/>
        <w:ind w:firstLine="480" w:firstLineChars="200"/>
        <w:rPr>
          <w:rFonts w:ascii="宋体" w:hAnsi="宋体"/>
          <w:color w:val="auto"/>
          <w:sz w:val="24"/>
          <w:szCs w:val="21"/>
          <w:highlight w:val="none"/>
          <w:u w:val="single"/>
          <w:lang w:val="zh-CN"/>
        </w:rPr>
      </w:pPr>
      <w:r>
        <w:rPr>
          <w:rFonts w:ascii="宋体" w:hAnsi="宋体"/>
          <w:color w:val="auto"/>
          <w:sz w:val="24"/>
          <w:szCs w:val="21"/>
          <w:highlight w:val="none"/>
          <w:lang w:val="zh-CN"/>
        </w:rPr>
        <w:t>2、方式：</w:t>
      </w:r>
      <w:r>
        <w:rPr>
          <w:rFonts w:ascii="宋体" w:hAnsi="宋体"/>
          <w:color w:val="auto"/>
          <w:sz w:val="24"/>
          <w:szCs w:val="21"/>
          <w:highlight w:val="none"/>
          <w:u w:val="single"/>
          <w:lang w:val="zh-CN"/>
        </w:rPr>
        <w:t>本项目资格审查采用资格后审方式，无报名环节，投标人直接从</w:t>
      </w:r>
      <w:r>
        <w:rPr>
          <w:rFonts w:hint="eastAsia" w:ascii="宋体" w:hAnsi="宋体"/>
          <w:color w:val="auto"/>
          <w:sz w:val="24"/>
          <w:szCs w:val="21"/>
          <w:highlight w:val="none"/>
          <w:u w:val="single"/>
          <w:lang w:val="zh-CN"/>
        </w:rPr>
        <w:t>南通市崇川区人民政府网-公告公示栏目下载</w:t>
      </w:r>
      <w:r>
        <w:rPr>
          <w:rFonts w:ascii="宋体" w:hAnsi="宋体"/>
          <w:color w:val="auto"/>
          <w:sz w:val="24"/>
          <w:szCs w:val="21"/>
          <w:highlight w:val="none"/>
          <w:u w:val="single"/>
          <w:lang w:val="zh-CN"/>
        </w:rPr>
        <w:t>招标文件、澄清答疑等相关招标资料</w:t>
      </w:r>
      <w:r>
        <w:rPr>
          <w:rFonts w:hint="eastAsia" w:ascii="宋体" w:hAnsi="宋体"/>
          <w:color w:val="auto"/>
          <w:sz w:val="24"/>
          <w:szCs w:val="21"/>
          <w:highlight w:val="none"/>
          <w:u w:val="single"/>
          <w:lang w:val="zh-CN"/>
        </w:rPr>
        <w:t>。</w:t>
      </w:r>
    </w:p>
    <w:bookmarkEnd w:id="10"/>
    <w:bookmarkEnd w:id="11"/>
    <w:bookmarkEnd w:id="12"/>
    <w:p w14:paraId="0C43E9CE">
      <w:pPr>
        <w:kinsoku w:val="0"/>
        <w:overflowPunct w:val="0"/>
        <w:autoSpaceDE w:val="0"/>
        <w:autoSpaceDN w:val="0"/>
        <w:snapToGrid w:val="0"/>
        <w:spacing w:line="440" w:lineRule="atLeast"/>
        <w:ind w:firstLine="482" w:firstLineChars="200"/>
        <w:outlineLvl w:val="1"/>
        <w:rPr>
          <w:rFonts w:ascii="宋体" w:hAnsi="宋体"/>
          <w:b/>
          <w:color w:val="auto"/>
          <w:sz w:val="24"/>
          <w:highlight w:val="none"/>
        </w:rPr>
      </w:pPr>
      <w:r>
        <w:rPr>
          <w:rFonts w:ascii="宋体" w:hAnsi="宋体"/>
          <w:b/>
          <w:color w:val="auto"/>
          <w:sz w:val="24"/>
          <w:highlight w:val="none"/>
        </w:rPr>
        <w:t>四、提交投标文件截止时间、开标时间和地点</w:t>
      </w:r>
    </w:p>
    <w:p w14:paraId="020EE69A">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截止时间及开标时间：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u w:val="single"/>
        </w:rPr>
        <w:t>年</w:t>
      </w:r>
      <w:r>
        <w:rPr>
          <w:rFonts w:hint="eastAsia" w:ascii="宋体" w:hAnsi="宋体"/>
          <w:color w:val="auto"/>
          <w:sz w:val="24"/>
          <w:highlight w:val="none"/>
          <w:u w:val="single"/>
          <w:lang w:val="en-US" w:eastAsia="zh-CN"/>
        </w:rPr>
        <w:t>5</w:t>
      </w:r>
      <w:r>
        <w:rPr>
          <w:rFonts w:ascii="宋体" w:hAnsi="宋体"/>
          <w:color w:val="auto"/>
          <w:sz w:val="24"/>
          <w:highlight w:val="none"/>
          <w:u w:val="single"/>
        </w:rPr>
        <w:t>月</w:t>
      </w:r>
      <w:r>
        <w:rPr>
          <w:rFonts w:hint="eastAsia" w:ascii="宋体" w:hAnsi="宋体"/>
          <w:color w:val="auto"/>
          <w:sz w:val="24"/>
          <w:highlight w:val="none"/>
          <w:u w:val="single"/>
          <w:lang w:val="en-US" w:eastAsia="zh-CN"/>
        </w:rPr>
        <w:t>21</w:t>
      </w:r>
      <w:r>
        <w:rPr>
          <w:rFonts w:ascii="宋体" w:hAnsi="宋体"/>
          <w:color w:val="auto"/>
          <w:sz w:val="24"/>
          <w:highlight w:val="none"/>
          <w:u w:val="single"/>
        </w:rPr>
        <w:t>日</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4</w:t>
      </w:r>
      <w:r>
        <w:rPr>
          <w:rFonts w:ascii="宋体" w:hAnsi="宋体"/>
          <w:color w:val="auto"/>
          <w:sz w:val="24"/>
          <w:highlight w:val="none"/>
          <w:u w:val="singl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u w:val="single"/>
        </w:rPr>
        <w:t>分</w:t>
      </w:r>
      <w:r>
        <w:rPr>
          <w:rFonts w:ascii="宋体" w:hAnsi="宋体"/>
          <w:color w:val="auto"/>
          <w:sz w:val="24"/>
          <w:highlight w:val="none"/>
        </w:rPr>
        <w:t>；</w:t>
      </w:r>
    </w:p>
    <w:p w14:paraId="6B465249">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地点：</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lang w:eastAsia="zh-CN"/>
        </w:rPr>
        <w:t>南通市崇川区工农南路156号鑫乾广场A座22楼开标室</w:t>
      </w:r>
      <w:r>
        <w:rPr>
          <w:rFonts w:hint="eastAsia" w:ascii="宋体" w:hAnsi="宋体"/>
          <w:b/>
          <w:bCs/>
          <w:color w:val="auto"/>
          <w:sz w:val="24"/>
          <w:highlight w:val="none"/>
          <w:u w:val="single"/>
        </w:rPr>
        <w:t xml:space="preserve"> </w:t>
      </w:r>
      <w:r>
        <w:rPr>
          <w:rFonts w:ascii="宋体" w:hAnsi="宋体"/>
          <w:color w:val="auto"/>
          <w:kern w:val="0"/>
          <w:sz w:val="24"/>
          <w:highlight w:val="none"/>
        </w:rPr>
        <w:t>。</w:t>
      </w:r>
    </w:p>
    <w:p w14:paraId="611ABAB7">
      <w:pPr>
        <w:widowControl/>
        <w:snapToGrid w:val="0"/>
        <w:spacing w:line="440" w:lineRule="atLeast"/>
        <w:ind w:firstLine="482" w:firstLineChars="200"/>
        <w:jc w:val="left"/>
        <w:rPr>
          <w:rFonts w:ascii="宋体" w:hAnsi="宋体"/>
          <w:b/>
          <w:bCs/>
          <w:color w:val="auto"/>
          <w:sz w:val="24"/>
          <w:highlight w:val="none"/>
        </w:rPr>
      </w:pPr>
      <w:r>
        <w:rPr>
          <w:rFonts w:hint="eastAsia" w:ascii="宋体" w:hAnsi="宋体"/>
          <w:b/>
          <w:bCs/>
          <w:color w:val="auto"/>
          <w:sz w:val="24"/>
          <w:highlight w:val="none"/>
        </w:rPr>
        <w:t>投标人递交投标文件时，投标人的法定代表人（或其授权代理人）必须携带本人身份证件原件、法定代表人身份证明（或授权委托书）原件准时参加开标会议。否则，其投标文件不予受理。</w:t>
      </w:r>
    </w:p>
    <w:p w14:paraId="65E33EF5">
      <w:pPr>
        <w:widowControl/>
        <w:snapToGrid w:val="0"/>
        <w:spacing w:line="440" w:lineRule="atLeast"/>
        <w:ind w:firstLine="482" w:firstLineChars="200"/>
        <w:jc w:val="left"/>
        <w:rPr>
          <w:rFonts w:ascii="宋体" w:hAnsi="宋体"/>
          <w:b/>
          <w:bCs/>
          <w:color w:val="auto"/>
          <w:sz w:val="24"/>
          <w:highlight w:val="none"/>
        </w:rPr>
      </w:pPr>
      <w:r>
        <w:rPr>
          <w:rFonts w:hint="eastAsia" w:ascii="宋体" w:hAnsi="宋体"/>
          <w:b/>
          <w:bCs/>
          <w:color w:val="auto"/>
          <w:sz w:val="24"/>
          <w:highlight w:val="none"/>
        </w:rPr>
        <w:t>注：法定代表人身份证明（或授权委托书）不仅需要装订在投标文件中，还需要一份原件由法定代表人（或其授权代理人）在投标时随身携带，供递交投标文件时核验。</w:t>
      </w:r>
    </w:p>
    <w:p w14:paraId="1753D83B">
      <w:pPr>
        <w:kinsoku w:val="0"/>
        <w:overflowPunct w:val="0"/>
        <w:autoSpaceDE w:val="0"/>
        <w:autoSpaceDN w:val="0"/>
        <w:snapToGrid w:val="0"/>
        <w:spacing w:line="440" w:lineRule="atLeast"/>
        <w:ind w:firstLine="482" w:firstLineChars="200"/>
        <w:outlineLvl w:val="1"/>
        <w:rPr>
          <w:rFonts w:ascii="宋体" w:hAnsi="宋体"/>
          <w:b/>
          <w:color w:val="auto"/>
          <w:sz w:val="24"/>
          <w:highlight w:val="none"/>
        </w:rPr>
      </w:pPr>
      <w:r>
        <w:rPr>
          <w:rFonts w:ascii="宋体" w:hAnsi="宋体"/>
          <w:b/>
          <w:color w:val="auto"/>
          <w:sz w:val="24"/>
          <w:highlight w:val="none"/>
        </w:rPr>
        <w:t>五、公告期限</w:t>
      </w:r>
    </w:p>
    <w:p w14:paraId="5261D755">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自本公告发布之日起5个工作日。</w:t>
      </w:r>
    </w:p>
    <w:p w14:paraId="64F856D1">
      <w:pPr>
        <w:pStyle w:val="62"/>
        <w:spacing w:line="440" w:lineRule="atLeast"/>
        <w:ind w:firstLine="482" w:firstLineChars="200"/>
        <w:rPr>
          <w:rFonts w:ascii="宋体" w:eastAsia="宋体"/>
          <w:b/>
          <w:bCs w:val="0"/>
          <w:color w:val="auto"/>
          <w:sz w:val="24"/>
          <w:highlight w:val="none"/>
        </w:rPr>
      </w:pPr>
      <w:r>
        <w:rPr>
          <w:rFonts w:hint="eastAsia" w:ascii="宋体" w:eastAsia="宋体"/>
          <w:b/>
          <w:bCs w:val="0"/>
          <w:color w:val="auto"/>
          <w:sz w:val="24"/>
          <w:highlight w:val="none"/>
        </w:rPr>
        <w:t>六、其他补充事宜</w:t>
      </w:r>
    </w:p>
    <w:p w14:paraId="54401138">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本项目采用现场开标模式，投标人须在提交投标文件的截止时间前到达开标现场提交纸质投标文件。</w:t>
      </w:r>
    </w:p>
    <w:p w14:paraId="1C1CEFFA">
      <w:pPr>
        <w:kinsoku w:val="0"/>
        <w:overflowPunct w:val="0"/>
        <w:autoSpaceDE w:val="0"/>
        <w:autoSpaceDN w:val="0"/>
        <w:snapToGrid w:val="0"/>
        <w:spacing w:line="440" w:lineRule="atLeast"/>
        <w:ind w:firstLine="482" w:firstLineChars="200"/>
        <w:outlineLvl w:val="1"/>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、凡对本次采购提出询问，请按以下方式联系。</w:t>
      </w:r>
    </w:p>
    <w:bookmarkEnd w:id="4"/>
    <w:bookmarkEnd w:id="5"/>
    <w:bookmarkEnd w:id="6"/>
    <w:bookmarkEnd w:id="7"/>
    <w:p w14:paraId="179D943F">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1.采购人：</w:t>
      </w:r>
      <w:r>
        <w:rPr>
          <w:rFonts w:hint="eastAsia" w:ascii="宋体" w:hAnsi="宋体"/>
          <w:color w:val="auto"/>
          <w:sz w:val="24"/>
          <w:highlight w:val="none"/>
          <w:lang w:eastAsia="zh-CN"/>
        </w:rPr>
        <w:t>南通市崇川区堤防涵闸管理所</w:t>
      </w:r>
    </w:p>
    <w:p w14:paraId="2486DA80">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olor w:val="auto"/>
          <w:sz w:val="24"/>
          <w:highlight w:val="none"/>
          <w:lang w:eastAsia="zh-CN"/>
        </w:rPr>
        <w:t>船闸西路28号</w:t>
      </w:r>
    </w:p>
    <w:p w14:paraId="11DF8860">
      <w:pPr>
        <w:widowControl/>
        <w:snapToGrid w:val="0"/>
        <w:spacing w:line="440" w:lineRule="atLeast"/>
        <w:ind w:firstLine="480" w:firstLineChars="200"/>
        <w:jc w:val="left"/>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胡先生</w:t>
      </w:r>
      <w:r>
        <w:rPr>
          <w:rFonts w:hint="eastAsia" w:ascii="宋体" w:hAnsi="宋体"/>
          <w:color w:val="auto"/>
          <w:sz w:val="24"/>
          <w:highlight w:val="none"/>
        </w:rPr>
        <w:t xml:space="preserve">     联系电话：0513-55076269</w:t>
      </w:r>
    </w:p>
    <w:p w14:paraId="632C31FB">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2.采购代理机构：南通通城建设工程项目管理有限公司</w:t>
      </w:r>
    </w:p>
    <w:p w14:paraId="04C30A3B">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地址；南通市崇川区工农南路156号鑫乾广场A座22楼2202室</w:t>
      </w:r>
    </w:p>
    <w:p w14:paraId="0E87F256">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18862961365</w:t>
      </w:r>
      <w:r>
        <w:rPr>
          <w:rFonts w:hint="eastAsia" w:ascii="宋体" w:hAnsi="宋体"/>
          <w:color w:val="auto"/>
          <w:sz w:val="24"/>
          <w:highlight w:val="none"/>
        </w:rPr>
        <w:t xml:space="preserve">   </w:t>
      </w:r>
    </w:p>
    <w:p w14:paraId="20ED3BCE">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3.项目联系方式</w:t>
      </w:r>
    </w:p>
    <w:p w14:paraId="2E9EAA83">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项目联系人：</w:t>
      </w:r>
      <w:r>
        <w:rPr>
          <w:rFonts w:hint="eastAsia" w:ascii="宋体" w:hAnsi="宋体"/>
          <w:color w:val="auto"/>
          <w:sz w:val="24"/>
          <w:highlight w:val="none"/>
          <w:lang w:eastAsia="zh-CN"/>
        </w:rPr>
        <w:t>崔永振</w:t>
      </w:r>
    </w:p>
    <w:p w14:paraId="196AF53C">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lang w:eastAsia="zh-CN"/>
        </w:rPr>
        <w:t>18862961365</w:t>
      </w:r>
      <w:r>
        <w:rPr>
          <w:rFonts w:hint="eastAsia" w:ascii="宋体" w:hAnsi="宋体"/>
          <w:color w:val="auto"/>
          <w:sz w:val="24"/>
          <w:highlight w:val="none"/>
        </w:rPr>
        <w:t xml:space="preserve">　　　　　　　　　　　        </w:t>
      </w:r>
    </w:p>
    <w:p w14:paraId="32F41D0C">
      <w:pPr>
        <w:pStyle w:val="62"/>
        <w:ind w:firstLine="280"/>
        <w:rPr>
          <w:rFonts w:ascii="宋体" w:eastAsia="宋体"/>
          <w:color w:val="auto"/>
          <w:highlight w:val="none"/>
        </w:rPr>
      </w:pPr>
    </w:p>
    <w:p w14:paraId="6F8D4FFD">
      <w:pPr>
        <w:pStyle w:val="62"/>
        <w:ind w:firstLine="0" w:firstLineChars="0"/>
        <w:jc w:val="center"/>
        <w:rPr>
          <w:rFonts w:ascii="宋体" w:eastAsia="宋体"/>
          <w:color w:val="auto"/>
          <w:kern w:val="0"/>
          <w:sz w:val="24"/>
          <w:highlight w:val="none"/>
        </w:rPr>
      </w:pPr>
      <w:r>
        <w:rPr>
          <w:rFonts w:ascii="宋体" w:eastAsia="宋体"/>
          <w:color w:val="auto"/>
          <w:highlight w:val="none"/>
        </w:rPr>
        <w:br w:type="page"/>
      </w:r>
      <w:bookmarkEnd w:id="8"/>
      <w:bookmarkEnd w:id="9"/>
      <w:bookmarkStart w:id="13" w:name="_Toc182848970"/>
      <w:r>
        <w:rPr>
          <w:rStyle w:val="123"/>
          <w:rFonts w:hint="default"/>
          <w:color w:val="auto"/>
          <w:sz w:val="28"/>
          <w:szCs w:val="28"/>
          <w:highlight w:val="none"/>
        </w:rPr>
        <w:t>第二章  投标人须知</w:t>
      </w:r>
      <w:bookmarkEnd w:id="13"/>
    </w:p>
    <w:p w14:paraId="77CAD341">
      <w:pPr>
        <w:kinsoku w:val="0"/>
        <w:overflowPunct w:val="0"/>
        <w:autoSpaceDE w:val="0"/>
        <w:autoSpaceDN w:val="0"/>
        <w:snapToGrid w:val="0"/>
        <w:spacing w:line="360" w:lineRule="auto"/>
        <w:ind w:firstLine="482" w:firstLineChars="200"/>
        <w:outlineLvl w:val="1"/>
        <w:rPr>
          <w:rFonts w:ascii="宋体" w:hAnsi="宋体"/>
          <w:b/>
          <w:color w:val="auto"/>
          <w:sz w:val="24"/>
          <w:highlight w:val="none"/>
        </w:rPr>
      </w:pPr>
      <w:r>
        <w:rPr>
          <w:rFonts w:ascii="宋体" w:hAnsi="宋体"/>
          <w:b/>
          <w:color w:val="auto"/>
          <w:sz w:val="24"/>
          <w:highlight w:val="none"/>
        </w:rPr>
        <w:t>一、说明</w:t>
      </w:r>
    </w:p>
    <w:p w14:paraId="3BCF60D8">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1、本招标文件仅适用于采购人组织的本次公开招标活动。</w:t>
      </w:r>
    </w:p>
    <w:p w14:paraId="153791B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2、公开招标活动及因本次招标产生的合同受中国法律制约和保护。</w:t>
      </w:r>
    </w:p>
    <w:p w14:paraId="7D381D4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3、招标文件的解释权属于采购人。</w:t>
      </w:r>
    </w:p>
    <w:p w14:paraId="787DBDA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投标人在知道或应当知道本项目招标公告及招标文件中的所有内容：如内容或页码短缺、资格要求和技术参数出现倾向性或排他性等表述的，</w:t>
      </w:r>
      <w:r>
        <w:rPr>
          <w:rFonts w:hint="eastAsia" w:ascii="宋体" w:hAnsi="宋体" w:cs="宋体"/>
          <w:b/>
          <w:color w:val="auto"/>
          <w:sz w:val="24"/>
          <w:highlight w:val="none"/>
        </w:rPr>
        <w:t>应在本项目招标公告发布之日起的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日内提出询问或以书面实名制形式提出质疑</w:t>
      </w:r>
      <w:r>
        <w:rPr>
          <w:rFonts w:hint="eastAsia" w:ascii="宋体" w:hAnsi="宋体" w:cs="宋体"/>
          <w:color w:val="auto"/>
          <w:sz w:val="24"/>
          <w:highlight w:val="none"/>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eastAsia" w:ascii="宋体" w:hAnsi="宋体" w:cs="宋体"/>
          <w:b/>
          <w:bCs/>
          <w:color w:val="auto"/>
          <w:sz w:val="24"/>
          <w:highlight w:val="none"/>
        </w:rPr>
        <w:t>非书面形式的不作为日后质疑提出的依据。</w:t>
      </w:r>
    </w:p>
    <w:p w14:paraId="0ED16C56">
      <w:pPr>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5、投标人应认真审阅招标文件中所有的事项、格式、条款和规范要求等，如果投标人没有按照招标文件要求提交投标文件，或者投标文件没有对招标文件做出实质性响应，将被拒绝参</w:t>
      </w:r>
      <w:r>
        <w:rPr>
          <w:rFonts w:hint="eastAsia" w:ascii="宋体" w:hAnsi="宋体" w:cs="宋体"/>
          <w:color w:val="auto"/>
          <w:sz w:val="24"/>
          <w:highlight w:val="none"/>
        </w:rPr>
        <w:t>与投标。</w:t>
      </w:r>
    </w:p>
    <w:p w14:paraId="7D3748A6">
      <w:pPr>
        <w:snapToGrid w:val="0"/>
        <w:spacing w:line="360" w:lineRule="auto"/>
        <w:ind w:firstLine="482" w:firstLineChars="200"/>
        <w:outlineLvl w:val="1"/>
        <w:rPr>
          <w:rFonts w:ascii="宋体" w:hAnsi="宋体"/>
          <w:b/>
          <w:color w:val="auto"/>
          <w:sz w:val="24"/>
          <w:highlight w:val="none"/>
        </w:rPr>
      </w:pPr>
      <w:r>
        <w:rPr>
          <w:rFonts w:ascii="宋体" w:hAnsi="宋体"/>
          <w:b/>
          <w:color w:val="auto"/>
          <w:sz w:val="24"/>
          <w:highlight w:val="none"/>
        </w:rPr>
        <w:t>二、招标文件的补充说明、澄清、修改、答疑</w:t>
      </w:r>
    </w:p>
    <w:p w14:paraId="75B30236">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s="宋体"/>
          <w:color w:val="auto"/>
          <w:sz w:val="24"/>
          <w:highlight w:val="none"/>
        </w:rPr>
        <w:t>采购人有权对发出的招标文件进行必要的补充说明、澄清或修改。</w:t>
      </w:r>
    </w:p>
    <w:p w14:paraId="7383D182">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2、招标文件的澄清、修改、补充等内容均以补充公告的形式发布，且以在</w:t>
      </w:r>
      <w:r>
        <w:rPr>
          <w:rFonts w:hint="eastAsia" w:ascii="宋体" w:hAnsi="宋体"/>
          <w:color w:val="auto"/>
          <w:kern w:val="0"/>
          <w:sz w:val="24"/>
          <w:highlight w:val="none"/>
        </w:rPr>
        <w:t>南通市崇川区人民政府网-公告公示栏目</w:t>
      </w:r>
      <w:r>
        <w:rPr>
          <w:rFonts w:ascii="宋体" w:hAnsi="宋体"/>
          <w:color w:val="auto"/>
          <w:kern w:val="0"/>
          <w:sz w:val="24"/>
          <w:highlight w:val="none"/>
        </w:rPr>
        <w:t>发布的信息为准。</w:t>
      </w:r>
    </w:p>
    <w:p w14:paraId="704926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3、采购人对招标文件的补充说明、澄清或修改，将构成招标文件的一部分，对所有投标人具有约束力。</w:t>
      </w:r>
    </w:p>
    <w:p w14:paraId="166868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4、补充说明、澄清或修改的内容可能影响到投标文件编制的，采购人将在投标截止时间15日前，发布补充说明、澄清或修改公告，不足15日的，应当顺延提交投标文件的截止时间。</w:t>
      </w:r>
    </w:p>
    <w:p w14:paraId="77A63C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5、除非采购人以书面的形式对招标文件作出澄清、修改及补充，投标人对涉及招标文件的任何推论、理解和结论所造成的结果，均由投标人自负。</w:t>
      </w:r>
    </w:p>
    <w:p w14:paraId="7F7C4B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6、采购人视情组织答疑会。如有产生答疑且对招标文件内容有修改，采购人将按照本须知有关规定，以补充通知（公告）的方式发出。</w:t>
      </w:r>
    </w:p>
    <w:p w14:paraId="288DBCC8">
      <w:pPr>
        <w:snapToGrid w:val="0"/>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三、投标项目涉及到的现场勘查</w:t>
      </w:r>
    </w:p>
    <w:p w14:paraId="1E938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6E9141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2、采购人向投标人提供的有关现场的资料和数据，是采购人现有的并认为能使投标人可利用的资料。采购人对投标人由此而做出的推论、理解和结论概不负责。</w:t>
      </w:r>
    </w:p>
    <w:p w14:paraId="20C54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76A2A2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4、投标人不得因勘查现场使采购人承担有关的责任和蒙受损失。投标人应承担勘查现场的责任和风险。</w:t>
      </w:r>
    </w:p>
    <w:p w14:paraId="4494AE46">
      <w:pPr>
        <w:numPr>
          <w:ilvl w:val="0"/>
          <w:numId w:val="7"/>
        </w:num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投标文件的组成及装订</w:t>
      </w:r>
    </w:p>
    <w:p w14:paraId="45D9029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1、投标文件由：①资格审查文件、②商务技术标、③价格标共三部分组成。</w:t>
      </w:r>
    </w:p>
    <w:p w14:paraId="533BAD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14:paraId="6A0E1E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3、投标文件的“资格审查文件”、“商务技术标”、“价格标”各自装订成册。特别提示：“资格审查文件”和“商务技术标”中不得出现价格。</w:t>
      </w:r>
    </w:p>
    <w:p w14:paraId="4599AF4B">
      <w:pPr>
        <w:snapToGrid w:val="0"/>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五、投标文件的份数、签署</w:t>
      </w:r>
    </w:p>
    <w:p w14:paraId="2FBFB5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1、投标人应准备</w:t>
      </w:r>
      <w:r>
        <w:rPr>
          <w:rFonts w:hint="eastAsia" w:ascii="宋体" w:hAnsi="宋体" w:cs="宋体"/>
          <w:color w:val="auto"/>
          <w:sz w:val="24"/>
          <w:highlight w:val="none"/>
          <w:u w:val="single"/>
        </w:rPr>
        <w:t xml:space="preserve"> 伍 </w:t>
      </w:r>
      <w:r>
        <w:rPr>
          <w:rFonts w:hint="eastAsia" w:ascii="宋体" w:hAnsi="宋体" w:cs="宋体"/>
          <w:color w:val="auto"/>
          <w:sz w:val="24"/>
          <w:highlight w:val="none"/>
        </w:rPr>
        <w:t>份完整的投标文件，其中正本</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肆 </w:t>
      </w:r>
      <w:r>
        <w:rPr>
          <w:rFonts w:hint="eastAsia" w:ascii="宋体" w:hAnsi="宋体" w:cs="宋体"/>
          <w:color w:val="auto"/>
          <w:sz w:val="24"/>
          <w:highlight w:val="none"/>
        </w:rPr>
        <w:t>份，并标明“正本”或“副本”字样，若有差异，概以“正本”为准。</w:t>
      </w:r>
    </w:p>
    <w:p w14:paraId="759F05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2、投标文件分三册密封。第一册为“资格审查文件”，第二册为 “商务技术标”，第三册为 “价格标”，投标文件的第一册、第二册、第三册应分别密封，并在封袋上标明“资格审查文件”、“商务技术标”、“价格标”。</w:t>
      </w:r>
    </w:p>
    <w:p w14:paraId="3F96FC40">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3、投标人可将投标文件正副本统一密封或分别密封，如正本和副本分别密封的，应在封袋上标明正、副本字样。</w:t>
      </w:r>
    </w:p>
    <w:p w14:paraId="4696EE1F">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4、投标文件正本须按招标文件要求由法定代表人或被授权人签字或盖章并加盖投标人印章。副本可复印，但须加盖投标人印章。</w:t>
      </w:r>
    </w:p>
    <w:p w14:paraId="4BB92A69">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5、开标程序顺利进行后，所有投标文件都将作为档案保存，不论成交与否，代理机构均不退回（未拆封的除外）。</w:t>
      </w:r>
    </w:p>
    <w:p w14:paraId="5EA5ABB8">
      <w:pPr>
        <w:snapToGrid w:val="0"/>
        <w:spacing w:line="360" w:lineRule="auto"/>
        <w:ind w:firstLine="472"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六、投标文件的密封及标记</w:t>
      </w:r>
    </w:p>
    <w:p w14:paraId="4B6514F9">
      <w:pPr>
        <w:snapToGrid w:val="0"/>
        <w:spacing w:line="360" w:lineRule="auto"/>
        <w:ind w:firstLine="472" w:firstLineChars="196"/>
        <w:outlineLvl w:val="1"/>
        <w:rPr>
          <w:rFonts w:ascii="宋体" w:hAnsi="宋体"/>
          <w:color w:val="auto"/>
          <w:sz w:val="24"/>
          <w:highlight w:val="none"/>
        </w:rPr>
      </w:pPr>
      <w:r>
        <w:rPr>
          <w:rFonts w:hint="eastAsia" w:ascii="宋体" w:hAnsi="宋体"/>
          <w:b/>
          <w:color w:val="auto"/>
          <w:sz w:val="24"/>
          <w:highlight w:val="none"/>
        </w:rPr>
        <w:t>密封后，应在每一密封包的投标文件上明确标注投标项目名称、投标文件各自对应的名称、</w:t>
      </w:r>
      <w:r>
        <w:rPr>
          <w:rFonts w:hint="eastAsia" w:ascii="宋体" w:hAnsi="宋体" w:cs="宋体"/>
          <w:b/>
          <w:color w:val="auto"/>
          <w:sz w:val="24"/>
          <w:highlight w:val="none"/>
        </w:rPr>
        <w:t>投标人名称</w:t>
      </w:r>
      <w:r>
        <w:rPr>
          <w:rFonts w:hint="eastAsia" w:ascii="宋体" w:hAnsi="宋体" w:cs="宋体"/>
          <w:color w:val="auto"/>
          <w:sz w:val="24"/>
          <w:highlight w:val="none"/>
        </w:rPr>
        <w:t>、</w:t>
      </w:r>
      <w:r>
        <w:rPr>
          <w:rFonts w:hint="eastAsia" w:ascii="宋体" w:hAnsi="宋体"/>
          <w:b/>
          <w:bCs/>
          <w:color w:val="auto"/>
          <w:sz w:val="24"/>
          <w:highlight w:val="none"/>
        </w:rPr>
        <w:t>同时加盖投标人公章</w:t>
      </w:r>
      <w:r>
        <w:rPr>
          <w:rFonts w:hint="eastAsia" w:ascii="宋体" w:hAnsi="宋体"/>
          <w:color w:val="auto"/>
          <w:sz w:val="24"/>
          <w:highlight w:val="none"/>
        </w:rPr>
        <w:t>。</w:t>
      </w:r>
    </w:p>
    <w:p w14:paraId="1746EDC9">
      <w:pPr>
        <w:snapToGrid w:val="0"/>
        <w:spacing w:line="360" w:lineRule="auto"/>
        <w:ind w:firstLine="472" w:firstLineChars="196"/>
        <w:outlineLvl w:val="1"/>
        <w:rPr>
          <w:rFonts w:ascii="宋体" w:hAnsi="宋体"/>
          <w:color w:val="auto"/>
          <w:sz w:val="24"/>
          <w:highlight w:val="none"/>
        </w:rPr>
      </w:pPr>
      <w:r>
        <w:rPr>
          <w:rFonts w:hint="eastAsia" w:ascii="宋体" w:hAnsi="宋体" w:cs="宋体"/>
          <w:b/>
          <w:bCs/>
          <w:color w:val="auto"/>
          <w:sz w:val="24"/>
          <w:highlight w:val="none"/>
        </w:rPr>
        <w:t>七、</w:t>
      </w:r>
      <w:r>
        <w:rPr>
          <w:rFonts w:hint="eastAsia" w:ascii="宋体" w:hAnsi="宋体"/>
          <w:b/>
          <w:color w:val="auto"/>
          <w:sz w:val="24"/>
          <w:highlight w:val="none"/>
        </w:rPr>
        <w:t>投标文件的有效期</w:t>
      </w:r>
    </w:p>
    <w:p w14:paraId="61F9EBBA">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1、从投标文件接收截止之日算起，90个“日历天”内投标书应保持有效。有效期短于这个规定期限的，投标将被拒绝。</w:t>
      </w:r>
    </w:p>
    <w:p w14:paraId="1AE2F298">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7AE5A196">
      <w:pPr>
        <w:snapToGrid w:val="0"/>
        <w:spacing w:line="360" w:lineRule="auto"/>
        <w:ind w:firstLine="496" w:firstLineChars="206"/>
        <w:outlineLvl w:val="1"/>
        <w:rPr>
          <w:rFonts w:ascii="宋体" w:hAnsi="宋体" w:cs="宋体"/>
          <w:b/>
          <w:bCs/>
          <w:color w:val="auto"/>
          <w:sz w:val="24"/>
          <w:highlight w:val="none"/>
        </w:rPr>
      </w:pPr>
      <w:r>
        <w:rPr>
          <w:rFonts w:hint="eastAsia" w:ascii="宋体" w:hAnsi="宋体" w:cs="宋体"/>
          <w:b/>
          <w:bCs/>
          <w:color w:val="auto"/>
          <w:sz w:val="24"/>
          <w:highlight w:val="none"/>
        </w:rPr>
        <w:t>八、投标报价</w:t>
      </w:r>
    </w:p>
    <w:p w14:paraId="1F94FFB9">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1、本项目不接受任何有选择的报价。</w:t>
      </w:r>
    </w:p>
    <w:p w14:paraId="084EE7C1">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2、投标报价均以人民币为报价的币种。</w:t>
      </w:r>
    </w:p>
    <w:p w14:paraId="40769D33">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3、报价表必须加盖投标人公章且必须经法定代表人或被授权人签字或盖章。</w:t>
      </w:r>
    </w:p>
    <w:p w14:paraId="48394278">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报价出现前后不一致的，按照下列规定修正：</w:t>
      </w:r>
    </w:p>
    <w:p w14:paraId="706AA60D">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（1）投标文件中开标一览表（</w:t>
      </w:r>
      <w:r>
        <w:rPr>
          <w:rFonts w:hint="eastAsia" w:ascii="宋体" w:hAnsi="宋体"/>
          <w:color w:val="auto"/>
          <w:sz w:val="24"/>
          <w:highlight w:val="none"/>
        </w:rPr>
        <w:t>报价表</w:t>
      </w:r>
      <w:r>
        <w:rPr>
          <w:rFonts w:ascii="宋体" w:hAnsi="宋体"/>
          <w:color w:val="auto"/>
          <w:sz w:val="24"/>
          <w:highlight w:val="none"/>
        </w:rPr>
        <w:t>）内容与投标文件中相应内容不一致的，以开标一览表（</w:t>
      </w:r>
      <w:r>
        <w:rPr>
          <w:rFonts w:hint="eastAsia" w:ascii="宋体" w:hAnsi="宋体"/>
          <w:color w:val="auto"/>
          <w:sz w:val="24"/>
          <w:highlight w:val="none"/>
        </w:rPr>
        <w:t>报价表</w:t>
      </w:r>
      <w:r>
        <w:rPr>
          <w:rFonts w:ascii="宋体" w:hAnsi="宋体"/>
          <w:color w:val="auto"/>
          <w:sz w:val="24"/>
          <w:highlight w:val="none"/>
        </w:rPr>
        <w:t>）为准；</w:t>
      </w:r>
    </w:p>
    <w:p w14:paraId="08D855CD">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（2）大写金额和小写金额不一致的，以大写金额为准；</w:t>
      </w:r>
    </w:p>
    <w:p w14:paraId="63AB282A">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（3）单价金额小数点或者百分比有明显错位的，以开标一览表的总价为准，并修改单价；</w:t>
      </w:r>
    </w:p>
    <w:p w14:paraId="04183E09">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（4）总价金额与按单价汇总金额不一致的，以单价金额计算结果为准</w:t>
      </w:r>
      <w:r>
        <w:rPr>
          <w:rFonts w:hint="eastAsia" w:ascii="宋体" w:hAnsi="宋体"/>
          <w:color w:val="auto"/>
          <w:sz w:val="24"/>
          <w:highlight w:val="none"/>
        </w:rPr>
        <w:t>。</w:t>
      </w:r>
    </w:p>
    <w:p w14:paraId="2629424F">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同时出现两种以上不一致的，按照前款规定的顺序修正。修正后的报价应当由投标人的法定代表人或其授权的代表签字确认后产生约束力，投标人不确认的，其投标无效。</w:t>
      </w:r>
    </w:p>
    <w:p w14:paraId="54912C05">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投标报价采用固定总价报价，报价应包含完成本项目工作所需的一切费用，包含但不限于完成该项工作所需的人工、耗材及辅材、专用设备及工具、通讯和车辆通行费、人员食宿费、保险、办公费、培训、劳保、维护等工作所发生的全部费用以及利润、税金和政策性文件规定及合同包含的所有风险、责任等各项应有费用，即响应本项目的各项应有费用。</w:t>
      </w:r>
    </w:p>
    <w:p w14:paraId="36D56E8B">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、采购人设定投标最高限价为人民币</w:t>
      </w:r>
      <w:r>
        <w:rPr>
          <w:rFonts w:hint="eastAsia" w:ascii="宋体" w:hAnsi="宋体"/>
          <w:color w:val="auto"/>
          <w:sz w:val="24"/>
          <w:highlight w:val="none"/>
          <w:lang w:val="en-US" w:eastAsia="zh-CN"/>
        </w:rPr>
        <w:t>25</w:t>
      </w:r>
      <w:r>
        <w:rPr>
          <w:rFonts w:hint="eastAsia" w:ascii="宋体" w:hAnsi="宋体"/>
          <w:color w:val="auto"/>
          <w:sz w:val="24"/>
          <w:highlight w:val="none"/>
          <w:lang w:eastAsia="zh-CN"/>
        </w:rPr>
        <w:t>万元</w:t>
      </w:r>
      <w:r>
        <w:rPr>
          <w:rFonts w:hint="eastAsia" w:ascii="宋体" w:hAnsi="宋体"/>
          <w:color w:val="auto"/>
          <w:sz w:val="24"/>
          <w:highlight w:val="none"/>
        </w:rPr>
        <w:t>。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42855950">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、投标人应无条件地服从采购人的总体协调安排，按照采购人的指令做好各项的沟通、协调及配合等工作，为此发生的一切相关费用，含在投标报价中，采购人不另支付。</w:t>
      </w:r>
    </w:p>
    <w:p w14:paraId="6381B91E">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、一次报定的投标报价为中标价，同时，中标人的中标价在合同实施期间不因市场变化因素而变动。</w:t>
      </w:r>
    </w:p>
    <w:p w14:paraId="7D126635">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3FB1A3A8">
      <w:pPr>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九、投标费用</w:t>
      </w:r>
    </w:p>
    <w:p w14:paraId="64C26C6F">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1、投标人应承担其编制投标文件以及递交投标文件等参与本工程投标所涉及的一切费用。无论投标结果如何，采购人对上述费用不负任何责任。</w:t>
      </w:r>
    </w:p>
    <w:p w14:paraId="7C81F1D3">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2、中标人领取中标通知书前需缴付招标代理服务费。招标代理服务费按中标金额的1.5%计算，不足2000元按2000元计取。投标人自行考虑该项费用及风险并将其综合包含在投标总价内，不得单列。</w:t>
      </w:r>
    </w:p>
    <w:p w14:paraId="1962BC9B">
      <w:pPr>
        <w:snapToGrid w:val="0"/>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十、投标文件递交时间及地址</w:t>
      </w:r>
    </w:p>
    <w:p w14:paraId="5F50B0E7">
      <w:pPr>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投标人必须在规定的时间将投标文件送达指定地点，采购人拒绝接收在截止时间后递交的投标文件。</w:t>
      </w:r>
    </w:p>
    <w:p w14:paraId="3CD3C623">
      <w:pPr>
        <w:snapToGrid w:val="0"/>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十一</w:t>
      </w:r>
      <w:r>
        <w:rPr>
          <w:rFonts w:ascii="宋体" w:hAnsi="宋体"/>
          <w:b/>
          <w:color w:val="auto"/>
          <w:sz w:val="24"/>
          <w:highlight w:val="none"/>
        </w:rPr>
        <w:t>、投标保证金</w:t>
      </w:r>
      <w:r>
        <w:rPr>
          <w:rFonts w:hint="eastAsia" w:ascii="宋体" w:hAnsi="宋体"/>
          <w:b/>
          <w:color w:val="auto"/>
          <w:sz w:val="24"/>
          <w:highlight w:val="none"/>
        </w:rPr>
        <w:t>：不设投标保证金</w:t>
      </w:r>
    </w:p>
    <w:p w14:paraId="24896483">
      <w:pPr>
        <w:snapToGrid w:val="0"/>
        <w:spacing w:line="360" w:lineRule="auto"/>
        <w:ind w:firstLine="482" w:firstLineChars="200"/>
        <w:outlineLvl w:val="1"/>
        <w:rPr>
          <w:rFonts w:hint="eastAsia" w:ascii="宋体" w:hAnsi="宋体"/>
          <w:b/>
          <w:color w:val="auto"/>
          <w:sz w:val="24"/>
          <w:highlight w:val="none"/>
        </w:rPr>
      </w:pPr>
      <w:r>
        <w:rPr>
          <w:rFonts w:hint="eastAsia" w:ascii="宋体" w:hAnsi="宋体"/>
          <w:b/>
          <w:color w:val="auto"/>
          <w:sz w:val="24"/>
          <w:highlight w:val="none"/>
        </w:rPr>
        <w:t>十二</w:t>
      </w:r>
      <w:r>
        <w:rPr>
          <w:rFonts w:ascii="宋体" w:hAnsi="宋体"/>
          <w:b/>
          <w:color w:val="auto"/>
          <w:sz w:val="24"/>
          <w:highlight w:val="none"/>
        </w:rPr>
        <w:t>、履约保证金</w:t>
      </w:r>
      <w:r>
        <w:rPr>
          <w:rFonts w:hint="eastAsia" w:ascii="宋体" w:hAnsi="宋体"/>
          <w:b/>
          <w:color w:val="auto"/>
          <w:sz w:val="24"/>
          <w:highlight w:val="none"/>
        </w:rPr>
        <w:t>：</w:t>
      </w:r>
    </w:p>
    <w:p w14:paraId="013BACB8">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1、本项目中标后的履约保证金为项目中标价</w:t>
      </w:r>
      <w:r>
        <w:rPr>
          <w:rFonts w:hint="default" w:ascii="宋体" w:hAnsi="宋体"/>
          <w:b w:val="0"/>
          <w:bCs/>
          <w:color w:val="auto"/>
          <w:sz w:val="24"/>
          <w:highlight w:val="none"/>
          <w:u w:val="none"/>
          <w:lang w:val="en-US" w:eastAsia="zh-CN"/>
        </w:rPr>
        <w:t>的</w:t>
      </w:r>
      <w:r>
        <w:rPr>
          <w:rFonts w:hint="default" w:ascii="宋体" w:hAnsi="宋体"/>
          <w:b w:val="0"/>
          <w:bCs/>
          <w:color w:val="auto"/>
          <w:sz w:val="24"/>
          <w:highlight w:val="none"/>
          <w:u w:val="single"/>
          <w:lang w:val="en-US" w:eastAsia="zh-CN"/>
        </w:rPr>
        <w:t xml:space="preserve">  10%  。</w:t>
      </w:r>
    </w:p>
    <w:p w14:paraId="51C2B1E2">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2、允许中标人自主选择以支票、银行保函、履约保证金保险等非现金形式缴纳或提交。</w:t>
      </w:r>
    </w:p>
    <w:p w14:paraId="16472C7F">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3、乙方在按要求保质保量的完成该项目合同并通过审查后，甲方凭乙方提交的申请，一次性无息退还该合同的履约保证金。</w:t>
      </w:r>
    </w:p>
    <w:p w14:paraId="21C4304A">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4、由于中标供应商原因，在签订合同后出现不按合同履行的情况，采购人有权将履约保证金作为违约金，全额不予退还，同时采购人亦有权终止合同，造成损失的，中标供应商还须承担相应的法律赔偿责任。</w:t>
      </w:r>
    </w:p>
    <w:p w14:paraId="5C63D122">
      <w:pPr>
        <w:snapToGrid w:val="0"/>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十三、对采购人的纪律要求</w:t>
      </w:r>
    </w:p>
    <w:p w14:paraId="194FE571">
      <w:pPr>
        <w:snapToGrid w:val="0"/>
        <w:spacing w:line="360" w:lineRule="auto"/>
        <w:ind w:firstLine="480" w:firstLineChars="200"/>
        <w:outlineLvl w:val="1"/>
        <w:rPr>
          <w:rFonts w:ascii="宋体" w:hAnsi="宋体"/>
          <w:bCs/>
          <w:color w:val="auto"/>
          <w:sz w:val="24"/>
          <w:highlight w:val="none"/>
        </w:rPr>
      </w:pPr>
      <w:r>
        <w:rPr>
          <w:rFonts w:hint="eastAsia" w:ascii="宋体" w:hAnsi="宋体"/>
          <w:color w:val="auto"/>
          <w:sz w:val="24"/>
          <w:highlight w:val="none"/>
        </w:rPr>
        <w:t>采购人</w:t>
      </w:r>
      <w:r>
        <w:rPr>
          <w:rFonts w:hint="eastAsia" w:ascii="宋体" w:hAnsi="宋体"/>
          <w:bCs/>
          <w:color w:val="auto"/>
          <w:sz w:val="24"/>
          <w:highlight w:val="none"/>
        </w:rPr>
        <w:t>不得泄漏招标活动中应当保密的情况和资料，不得与投标人串通损害国家利益、社会公共利益或者他人合法权益。</w:t>
      </w:r>
    </w:p>
    <w:p w14:paraId="2F707F40">
      <w:pPr>
        <w:snapToGrid w:val="0"/>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十四、对投标人的纪律要求</w:t>
      </w:r>
    </w:p>
    <w:p w14:paraId="66102844">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6C356C97">
      <w:pPr>
        <w:snapToGrid w:val="0"/>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十五、对评标委员会成员的纪律要求</w:t>
      </w:r>
    </w:p>
    <w:p w14:paraId="3BAC8A9E">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评标委员会成员不得收受他人的财务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A3BDF58">
      <w:pPr>
        <w:snapToGrid w:val="0"/>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十六、未尽事宜</w:t>
      </w:r>
    </w:p>
    <w:p w14:paraId="64A2166D">
      <w:pPr>
        <w:snapToGrid w:val="0"/>
        <w:spacing w:line="360" w:lineRule="auto"/>
        <w:ind w:firstLine="480" w:firstLineChars="200"/>
        <w:outlineLvl w:val="1"/>
        <w:rPr>
          <w:rFonts w:ascii="宋体" w:hAnsi="宋体"/>
          <w:bCs/>
          <w:color w:val="auto"/>
          <w:sz w:val="24"/>
          <w:highlight w:val="none"/>
        </w:rPr>
      </w:pPr>
      <w:r>
        <w:rPr>
          <w:rFonts w:ascii="宋体" w:hAnsi="宋体"/>
          <w:bCs/>
          <w:color w:val="auto"/>
          <w:sz w:val="24"/>
          <w:highlight w:val="none"/>
        </w:rPr>
        <w:t>按《中华人民共和国政府采购法》及其他有关的法律法规</w:t>
      </w:r>
      <w:r>
        <w:rPr>
          <w:rFonts w:hint="eastAsia" w:ascii="宋体" w:hAnsi="宋体"/>
          <w:bCs/>
          <w:color w:val="auto"/>
          <w:sz w:val="24"/>
          <w:highlight w:val="none"/>
        </w:rPr>
        <w:t>规范性文件</w:t>
      </w:r>
      <w:r>
        <w:rPr>
          <w:rFonts w:ascii="宋体" w:hAnsi="宋体"/>
          <w:bCs/>
          <w:color w:val="auto"/>
          <w:sz w:val="24"/>
          <w:highlight w:val="none"/>
        </w:rPr>
        <w:t>执行。</w:t>
      </w:r>
    </w:p>
    <w:p w14:paraId="13F76A28">
      <w:pPr>
        <w:snapToGrid w:val="0"/>
        <w:spacing w:line="360" w:lineRule="auto"/>
        <w:jc w:val="center"/>
        <w:outlineLvl w:val="1"/>
        <w:rPr>
          <w:rStyle w:val="123"/>
          <w:rFonts w:hint="default"/>
          <w:bCs/>
          <w:color w:val="auto"/>
          <w:sz w:val="28"/>
          <w:szCs w:val="28"/>
          <w:highlight w:val="none"/>
        </w:rPr>
      </w:pPr>
      <w:r>
        <w:rPr>
          <w:rStyle w:val="123"/>
          <w:rFonts w:hint="default"/>
          <w:bCs/>
          <w:color w:val="auto"/>
          <w:sz w:val="28"/>
          <w:szCs w:val="28"/>
          <w:highlight w:val="none"/>
        </w:rPr>
        <w:br w:type="page"/>
      </w:r>
      <w:r>
        <w:rPr>
          <w:rStyle w:val="123"/>
          <w:rFonts w:hint="default"/>
          <w:bCs/>
          <w:color w:val="auto"/>
          <w:sz w:val="28"/>
          <w:szCs w:val="28"/>
          <w:highlight w:val="none"/>
        </w:rPr>
        <w:t>第三章 项目需求</w:t>
      </w:r>
    </w:p>
    <w:p w14:paraId="3F33DFDD">
      <w:pPr>
        <w:spacing w:line="440" w:lineRule="exact"/>
        <w:ind w:firstLine="487" w:firstLineChars="202"/>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一、背景概述</w:t>
      </w:r>
    </w:p>
    <w:p w14:paraId="4D9EA571">
      <w:pPr>
        <w:spacing w:line="440" w:lineRule="exact"/>
        <w:ind w:firstLine="484" w:firstLineChars="202"/>
        <w:rPr>
          <w:rFonts w:ascii="宋体" w:hAnsi="宋体" w:cs="宋体"/>
          <w:bCs/>
          <w:color w:val="auto"/>
          <w:sz w:val="24"/>
          <w:szCs w:val="24"/>
          <w:highlight w:val="none"/>
        </w:rPr>
      </w:pPr>
      <w:r>
        <w:rPr>
          <w:rFonts w:hint="eastAsia" w:ascii="宋体" w:hAnsi="宋体" w:cs="宋体"/>
          <w:bCs/>
          <w:color w:val="auto"/>
          <w:sz w:val="24"/>
          <w:szCs w:val="24"/>
          <w:highlight w:val="none"/>
        </w:rPr>
        <w:t>根据《江苏省水闸技术管理办法》和《江苏省泵站技术管理办法》，工程管理单位需对水闸和泵站定期开展电气预防性试验工作，试验周期为1年。</w:t>
      </w:r>
    </w:p>
    <w:p w14:paraId="674B86FD">
      <w:pPr>
        <w:spacing w:line="440" w:lineRule="exact"/>
        <w:ind w:firstLine="487" w:firstLineChars="202"/>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二、项目需求</w:t>
      </w:r>
    </w:p>
    <w:p w14:paraId="103FD0EC">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拟对崇川区堤防涵闸管所管理的各闸站（见附件）的</w:t>
      </w:r>
      <w:r>
        <w:rPr>
          <w:rFonts w:hint="eastAsia" w:ascii="宋体" w:hAnsi="宋体" w:eastAsia="宋体" w:cs="宋体"/>
          <w:color w:val="auto"/>
          <w:sz w:val="24"/>
          <w:szCs w:val="24"/>
          <w:highlight w:val="none"/>
        </w:rPr>
        <w:t>变压器、开关柜、</w:t>
      </w:r>
      <w:r>
        <w:rPr>
          <w:rFonts w:hint="eastAsia" w:ascii="宋体" w:hAnsi="宋体" w:eastAsia="宋体" w:cs="宋体"/>
          <w:color w:val="auto"/>
          <w:sz w:val="24"/>
          <w:szCs w:val="24"/>
          <w:highlight w:val="none"/>
          <w:lang w:eastAsia="zh-CN"/>
        </w:rPr>
        <w:t>高压</w:t>
      </w:r>
      <w:r>
        <w:rPr>
          <w:rFonts w:hint="eastAsia" w:ascii="宋体" w:hAnsi="宋体" w:eastAsia="宋体" w:cs="宋体"/>
          <w:color w:val="auto"/>
          <w:sz w:val="24"/>
          <w:szCs w:val="24"/>
          <w:highlight w:val="none"/>
        </w:rPr>
        <w:t>电机、电缆、电压互感器、电流互感器</w:t>
      </w:r>
      <w:r>
        <w:rPr>
          <w:rFonts w:hint="eastAsia" w:ascii="宋体" w:hAnsi="宋体" w:cs="宋体"/>
          <w:bCs/>
          <w:color w:val="auto"/>
          <w:sz w:val="24"/>
          <w:szCs w:val="24"/>
          <w:highlight w:val="none"/>
        </w:rPr>
        <w:t>、避雷器</w:t>
      </w:r>
      <w:r>
        <w:rPr>
          <w:rFonts w:hint="eastAsia" w:ascii="宋体" w:hAnsi="宋体" w:cs="宋体"/>
          <w:bCs/>
          <w:color w:val="auto"/>
          <w:sz w:val="24"/>
          <w:szCs w:val="24"/>
          <w:highlight w:val="none"/>
          <w:lang w:eastAsia="zh-CN"/>
        </w:rPr>
        <w:t>、母排</w:t>
      </w:r>
      <w:r>
        <w:rPr>
          <w:rFonts w:hint="eastAsia" w:ascii="宋体" w:hAnsi="宋体" w:eastAsia="宋体" w:cs="宋体"/>
          <w:color w:val="auto"/>
          <w:sz w:val="24"/>
          <w:szCs w:val="24"/>
          <w:highlight w:val="none"/>
        </w:rPr>
        <w:t>等高压电气设备，低压电机、电缆及仪表等低压设备，</w:t>
      </w:r>
      <w:r>
        <w:rPr>
          <w:rFonts w:hint="eastAsia" w:ascii="宋体" w:hAnsi="宋体" w:cs="宋体"/>
          <w:color w:val="auto"/>
          <w:sz w:val="24"/>
          <w:szCs w:val="24"/>
          <w:highlight w:val="none"/>
        </w:rPr>
        <w:t>发电机进行定期预防性试验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对接地系统、仪表、安全用具等进行检测、校验，</w:t>
      </w:r>
      <w:r>
        <w:rPr>
          <w:rFonts w:hint="eastAsia" w:ascii="宋体" w:hAnsi="宋体" w:cs="宋体"/>
          <w:color w:val="auto"/>
          <w:sz w:val="24"/>
          <w:szCs w:val="24"/>
          <w:highlight w:val="none"/>
        </w:rPr>
        <w:t>并对电气柜等电气设备进行清洁保养、</w:t>
      </w:r>
      <w:r>
        <w:rPr>
          <w:rFonts w:hint="eastAsia" w:ascii="宋体" w:hAnsi="宋体" w:cs="宋体"/>
          <w:color w:val="auto"/>
          <w:sz w:val="24"/>
          <w:szCs w:val="24"/>
          <w:highlight w:val="none"/>
          <w:lang w:eastAsia="zh-CN"/>
        </w:rPr>
        <w:t>线缆</w:t>
      </w:r>
      <w:r>
        <w:rPr>
          <w:rFonts w:hint="eastAsia" w:ascii="宋体" w:hAnsi="宋体" w:cs="宋体"/>
          <w:color w:val="auto"/>
          <w:sz w:val="24"/>
          <w:szCs w:val="24"/>
          <w:highlight w:val="none"/>
        </w:rPr>
        <w:t>整理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：各闸站电气设备具体类型、数量、所需试验检测情况，服务商自行现场踏勘后，根据规范要求，做到应测尽测）</w:t>
      </w:r>
    </w:p>
    <w:p w14:paraId="7D8CE8FA">
      <w:pPr>
        <w:spacing w:line="4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主要内容包括：</w:t>
      </w:r>
    </w:p>
    <w:p w14:paraId="1FE6961B">
      <w:pPr>
        <w:spacing w:line="4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变压器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绝缘电阻测试、直流电阻测试、中心点接地电阻测试、变比测试、高低压绕组耐压试验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油浸变压器</w:t>
      </w:r>
      <w:r>
        <w:rPr>
          <w:rFonts w:hint="eastAsia" w:ascii="宋体" w:hAnsi="宋体" w:eastAsia="宋体" w:cs="宋体"/>
          <w:bCs/>
          <w:color w:val="auto"/>
          <w:sz w:val="24"/>
          <w:szCs w:val="24"/>
          <w:highlight w:val="none"/>
          <w:lang w:eastAsia="zh-CN"/>
        </w:rPr>
        <w:t>需</w:t>
      </w:r>
      <w:r>
        <w:rPr>
          <w:rFonts w:hint="eastAsia" w:ascii="宋体" w:hAnsi="宋体" w:eastAsia="宋体" w:cs="宋体"/>
          <w:bCs/>
          <w:color w:val="auto"/>
          <w:sz w:val="24"/>
          <w:szCs w:val="24"/>
          <w:highlight w:val="none"/>
        </w:rPr>
        <w:t>油化试验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油位检查补充</w:t>
      </w:r>
      <w:r>
        <w:rPr>
          <w:rFonts w:hint="eastAsia" w:ascii="宋体" w:hAnsi="宋体" w:eastAsia="宋体" w:cs="宋体"/>
          <w:bCs/>
          <w:color w:val="auto"/>
          <w:sz w:val="24"/>
          <w:szCs w:val="24"/>
          <w:highlight w:val="none"/>
          <w:lang w:eastAsia="zh-CN"/>
        </w:rPr>
        <w:t>）、真空接触器</w:t>
      </w:r>
      <w:r>
        <w:rPr>
          <w:rFonts w:hint="eastAsia" w:ascii="宋体" w:hAnsi="宋体" w:cs="宋体"/>
          <w:bCs/>
          <w:color w:val="auto"/>
          <w:sz w:val="24"/>
          <w:szCs w:val="24"/>
          <w:highlight w:val="none"/>
          <w:lang w:eastAsia="zh-CN"/>
        </w:rPr>
        <w:t>试验、</w:t>
      </w:r>
      <w:r>
        <w:rPr>
          <w:rFonts w:hint="eastAsia" w:ascii="宋体" w:hAnsi="宋体" w:eastAsia="宋体" w:cs="宋体"/>
          <w:bCs/>
          <w:color w:val="auto"/>
          <w:sz w:val="24"/>
          <w:szCs w:val="24"/>
          <w:highlight w:val="none"/>
          <w:lang w:val="en-US" w:eastAsia="zh-CN"/>
        </w:rPr>
        <w:t>真空断路器试验、避雷器试验、互感器试验（PT试验、CT试验</w:t>
      </w:r>
      <w:r>
        <w:rPr>
          <w:rFonts w:hint="eastAsia" w:ascii="宋体" w:hAnsi="宋体" w:cs="宋体"/>
          <w:bCs/>
          <w:color w:val="auto"/>
          <w:sz w:val="24"/>
          <w:szCs w:val="24"/>
          <w:highlight w:val="none"/>
          <w:lang w:val="en-US" w:eastAsia="zh-CN"/>
        </w:rPr>
        <w:t>）、变压器保护、电容器试验、放电线圈试验</w:t>
      </w:r>
      <w:r>
        <w:rPr>
          <w:rFonts w:hint="eastAsia" w:ascii="宋体" w:hAnsi="宋体" w:eastAsia="宋体" w:cs="宋体"/>
          <w:bCs/>
          <w:color w:val="auto"/>
          <w:sz w:val="24"/>
          <w:szCs w:val="24"/>
          <w:highlight w:val="none"/>
          <w:lang w:val="en-US" w:eastAsia="zh-CN"/>
        </w:rPr>
        <w:t>等</w:t>
      </w:r>
    </w:p>
    <w:p w14:paraId="0883A440">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电气柜：</w:t>
      </w:r>
      <w:r>
        <w:rPr>
          <w:rFonts w:hint="eastAsia" w:ascii="宋体" w:hAnsi="宋体" w:eastAsia="宋体" w:cs="宋体"/>
          <w:bCs/>
          <w:color w:val="auto"/>
          <w:sz w:val="24"/>
          <w:szCs w:val="24"/>
          <w:highlight w:val="none"/>
          <w:lang w:eastAsia="zh-CN"/>
        </w:rPr>
        <w:t>含柜内清洁、线路检查，柜内电气元件检测、进出电线路检测、绝缘测量、试温片更换粘贴、检验合格证粘贴、</w:t>
      </w:r>
      <w:r>
        <w:rPr>
          <w:rFonts w:hint="eastAsia" w:ascii="宋体" w:hAnsi="宋体" w:cs="宋体"/>
          <w:bCs/>
          <w:color w:val="auto"/>
          <w:sz w:val="24"/>
          <w:szCs w:val="24"/>
          <w:highlight w:val="none"/>
          <w:lang w:eastAsia="zh-CN"/>
        </w:rPr>
        <w:t>根据电力和甲方要求线路检查紧固、</w:t>
      </w:r>
      <w:r>
        <w:rPr>
          <w:rFonts w:hint="eastAsia" w:ascii="宋体" w:hAnsi="宋体" w:eastAsia="宋体" w:cs="宋体"/>
          <w:bCs/>
          <w:color w:val="auto"/>
          <w:sz w:val="24"/>
          <w:szCs w:val="24"/>
          <w:highlight w:val="none"/>
          <w:lang w:eastAsia="zh-CN"/>
        </w:rPr>
        <w:t>柜内接地检测、悬挂电缆铭牌、孔洞封堵（含配电间所有孔洞）、开关柜母线试验等</w:t>
      </w:r>
    </w:p>
    <w:p w14:paraId="0CDD274D">
      <w:pPr>
        <w:spacing w:line="44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柴油发电机：阻值测试</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电机绝缘检测</w:t>
      </w:r>
      <w:r>
        <w:rPr>
          <w:rFonts w:hint="eastAsia" w:ascii="宋体" w:hAnsi="宋体" w:cs="宋体"/>
          <w:bCs/>
          <w:color w:val="auto"/>
          <w:sz w:val="24"/>
          <w:szCs w:val="24"/>
          <w:highlight w:val="none"/>
          <w:lang w:val="en-US" w:eastAsia="zh-CN"/>
        </w:rPr>
        <w:t>，启动电池检测，并对小洋港闸站安排双电源切换测试，对姚港、东港及中心港闸站安排柴发市电切换测试（中心港闸站需提供切换电源线）</w:t>
      </w:r>
    </w:p>
    <w:p w14:paraId="4D9937EF">
      <w:pPr>
        <w:spacing w:line="44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安全工具试验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绝缘鞋、绝缘手套、绝缘垫、接地线、</w:t>
      </w:r>
      <w:r>
        <w:rPr>
          <w:rFonts w:hint="eastAsia" w:ascii="宋体" w:hAnsi="宋体" w:cs="宋体"/>
          <w:bCs/>
          <w:color w:val="auto"/>
          <w:sz w:val="24"/>
          <w:szCs w:val="24"/>
          <w:highlight w:val="none"/>
          <w:lang w:val="en-US" w:eastAsia="zh-CN"/>
        </w:rPr>
        <w:t>令克棒</w:t>
      </w:r>
      <w:r>
        <w:rPr>
          <w:rFonts w:hint="eastAsia" w:ascii="宋体" w:hAnsi="宋体" w:eastAsia="宋体" w:cs="宋体"/>
          <w:bCs/>
          <w:color w:val="auto"/>
          <w:sz w:val="24"/>
          <w:szCs w:val="24"/>
          <w:highlight w:val="none"/>
          <w:lang w:val="en-US" w:eastAsia="zh-CN"/>
        </w:rPr>
        <w:t>、验电器等</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需检测</w:t>
      </w:r>
      <w:r>
        <w:rPr>
          <w:rFonts w:hint="eastAsia" w:ascii="宋体" w:hAnsi="宋体" w:cs="宋体"/>
          <w:bCs/>
          <w:color w:val="auto"/>
          <w:sz w:val="24"/>
          <w:szCs w:val="24"/>
          <w:highlight w:val="none"/>
          <w:lang w:val="en-US" w:eastAsia="zh-CN"/>
        </w:rPr>
        <w:t>，贴试验标签</w:t>
      </w:r>
      <w:r>
        <w:rPr>
          <w:rFonts w:hint="eastAsia" w:ascii="宋体" w:hAnsi="宋体" w:eastAsia="宋体" w:cs="宋体"/>
          <w:bCs/>
          <w:color w:val="auto"/>
          <w:sz w:val="24"/>
          <w:szCs w:val="24"/>
          <w:highlight w:val="none"/>
          <w:lang w:val="en-US" w:eastAsia="zh-CN"/>
        </w:rPr>
        <w:t>，出具合格报告(</w:t>
      </w:r>
      <w:r>
        <w:rPr>
          <w:rFonts w:hint="eastAsia" w:ascii="宋体" w:hAnsi="宋体" w:cs="宋体"/>
          <w:bCs/>
          <w:color w:val="auto"/>
          <w:sz w:val="24"/>
          <w:szCs w:val="24"/>
          <w:highlight w:val="none"/>
          <w:lang w:val="en-US" w:eastAsia="zh-CN"/>
        </w:rPr>
        <w:t>11个专变闸站需补充一个安全用具柜H2000*W800*L450mm，优质冷轧钢板，钢化玻璃柜门，防尘密封条。18个专变闸站按两顶安全帽；</w:t>
      </w:r>
      <w:r>
        <w:rPr>
          <w:rFonts w:hint="eastAsia" w:ascii="宋体" w:hAnsi="宋体" w:eastAsia="宋体" w:cs="宋体"/>
          <w:bCs/>
          <w:color w:val="auto"/>
          <w:sz w:val="24"/>
          <w:szCs w:val="24"/>
          <w:highlight w:val="none"/>
          <w:lang w:val="en-US" w:eastAsia="zh-CN"/>
        </w:rPr>
        <w:t>两双绝缘手套</w:t>
      </w:r>
      <w:r>
        <w:rPr>
          <w:rFonts w:hint="eastAsia" w:ascii="宋体" w:hAnsi="宋体" w:cs="宋体"/>
          <w:bCs/>
          <w:color w:val="auto"/>
          <w:sz w:val="24"/>
          <w:szCs w:val="24"/>
          <w:highlight w:val="none"/>
          <w:lang w:val="en-US" w:eastAsia="zh-CN"/>
        </w:rPr>
        <w:t>12kv；</w:t>
      </w:r>
      <w:r>
        <w:rPr>
          <w:rFonts w:hint="eastAsia" w:ascii="宋体" w:hAnsi="宋体" w:eastAsia="宋体" w:cs="宋体"/>
          <w:bCs/>
          <w:color w:val="auto"/>
          <w:sz w:val="24"/>
          <w:szCs w:val="24"/>
          <w:highlight w:val="none"/>
          <w:lang w:val="en-US" w:eastAsia="zh-CN"/>
        </w:rPr>
        <w:t>两双绝缘鞋</w:t>
      </w:r>
      <w:r>
        <w:rPr>
          <w:rFonts w:hint="eastAsia" w:ascii="宋体" w:hAnsi="宋体" w:cs="宋体"/>
          <w:bCs/>
          <w:color w:val="auto"/>
          <w:sz w:val="24"/>
          <w:szCs w:val="24"/>
          <w:highlight w:val="none"/>
          <w:lang w:val="en-US" w:eastAsia="zh-CN"/>
        </w:rPr>
        <w:t>25kv，42码，半筒；令克棒一套35kv，4节共4m；</w:t>
      </w:r>
      <w:r>
        <w:rPr>
          <w:rFonts w:hint="eastAsia" w:ascii="宋体" w:hAnsi="宋体" w:eastAsia="宋体" w:cs="宋体"/>
          <w:bCs/>
          <w:color w:val="auto"/>
          <w:sz w:val="24"/>
          <w:szCs w:val="24"/>
          <w:highlight w:val="none"/>
          <w:lang w:val="en-US" w:eastAsia="zh-CN"/>
        </w:rPr>
        <w:t>验电器10KV和400V各一个</w:t>
      </w:r>
      <w:r>
        <w:rPr>
          <w:rFonts w:hint="eastAsia" w:ascii="宋体" w:hAnsi="宋体" w:cs="宋体"/>
          <w:bCs/>
          <w:color w:val="auto"/>
          <w:sz w:val="24"/>
          <w:szCs w:val="24"/>
          <w:highlight w:val="none"/>
          <w:lang w:val="en-US" w:eastAsia="zh-CN"/>
        </w:rPr>
        <w:t>；接地线一套10KV（0.5*3+1*3+3）25平方</w:t>
      </w:r>
      <w:r>
        <w:rPr>
          <w:rFonts w:hint="eastAsia" w:ascii="宋体" w:hAnsi="宋体" w:eastAsia="宋体" w:cs="宋体"/>
          <w:bCs/>
          <w:color w:val="auto"/>
          <w:sz w:val="24"/>
          <w:szCs w:val="24"/>
          <w:highlight w:val="none"/>
          <w:lang w:val="en-US" w:eastAsia="zh-CN"/>
        </w:rPr>
        <w:t>的标准，补齐安全用具再试验</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合同所含闸站</w:t>
      </w:r>
      <w:r>
        <w:rPr>
          <w:rFonts w:hint="eastAsia" w:ascii="宋体" w:hAnsi="宋体" w:cs="宋体"/>
          <w:bCs/>
          <w:color w:val="auto"/>
          <w:sz w:val="24"/>
          <w:szCs w:val="24"/>
          <w:highlight w:val="none"/>
          <w:lang w:val="en-US" w:eastAsia="zh-CN"/>
        </w:rPr>
        <w:t>的绝缘垫需按长度大于配电柜长度、宽1m、厚5mm的标准补充或更换。所有添加的安全用具需提供合格证</w:t>
      </w:r>
      <w:r>
        <w:rPr>
          <w:rFonts w:hint="eastAsia" w:ascii="宋体" w:hAnsi="宋体" w:eastAsia="宋体" w:cs="宋体"/>
          <w:bCs/>
          <w:color w:val="auto"/>
          <w:sz w:val="24"/>
          <w:szCs w:val="24"/>
          <w:highlight w:val="none"/>
          <w:lang w:val="en-US" w:eastAsia="zh-CN"/>
        </w:rPr>
        <w:t>）</w:t>
      </w:r>
    </w:p>
    <w:p w14:paraId="34B36D88">
      <w:pPr>
        <w:spacing w:line="440" w:lineRule="exact"/>
        <w:ind w:firstLine="480" w:firstLineChars="200"/>
        <w:rPr>
          <w:rFonts w:hint="default" w:ascii="宋体" w:hAnsi="宋体" w:eastAsia="宋体" w:cs="宋体"/>
          <w:bCs/>
          <w:color w:val="auto"/>
          <w:sz w:val="24"/>
          <w:szCs w:val="24"/>
          <w:highlight w:val="none"/>
          <w:lang w:val="en-US" w:eastAsia="zh-CN"/>
        </w:rPr>
      </w:pPr>
    </w:p>
    <w:p w14:paraId="64D2B12E">
      <w:pPr>
        <w:spacing w:line="4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电气仪表试验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所有电气仪表，电流表、电压表及多功能仪表等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需</w:t>
      </w:r>
      <w:r>
        <w:rPr>
          <w:rFonts w:hint="eastAsia" w:ascii="宋体" w:hAnsi="宋体" w:cs="宋体"/>
          <w:bCs/>
          <w:color w:val="auto"/>
          <w:sz w:val="24"/>
          <w:szCs w:val="24"/>
          <w:highlight w:val="none"/>
          <w:lang w:val="en-US" w:eastAsia="zh-CN"/>
        </w:rPr>
        <w:t>送检</w:t>
      </w:r>
      <w:r>
        <w:rPr>
          <w:rFonts w:hint="eastAsia" w:ascii="宋体" w:hAnsi="宋体" w:eastAsia="宋体" w:cs="宋体"/>
          <w:bCs/>
          <w:color w:val="auto"/>
          <w:sz w:val="24"/>
          <w:szCs w:val="24"/>
          <w:highlight w:val="none"/>
          <w:lang w:val="en-US" w:eastAsia="zh-CN"/>
        </w:rPr>
        <w:t>，出具合格报告</w:t>
      </w:r>
    </w:p>
    <w:p w14:paraId="52D2643E">
      <w:pPr>
        <w:spacing w:line="44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三、试验标准</w:t>
      </w:r>
    </w:p>
    <w:p w14:paraId="78D2B13C">
      <w:pPr>
        <w:spacing w:line="4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应符合：电力设备预防性试验规程DL/T596-202</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，维电保护和电网安全自动装置检验规程DL/T995-2016、电测量指示仪仪表检验规程DL/T1473-2016、低压断路器技术标准GB14048.2-2008、电气安全工器具预防性试验规程DL/T 1476-2015、继电保护和安全自动装置基本试验方法GB/T7216-2016、中华人民共和国国家标准 GB/T22264-2022（安装式数字显示电测量仪表）、中华人民共和国国家标准 GB/T7676-2017（直接作用模拟指示电测量仪表及其附件）。</w:t>
      </w:r>
    </w:p>
    <w:p w14:paraId="0BD7E73B">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所用电气试验测量设备均应取得质量技术监督部门认可并有资质的检测单位检验合格证或校验证明，方可进场使用。</w:t>
      </w:r>
    </w:p>
    <w:p w14:paraId="284D5781">
      <w:pPr>
        <w:spacing w:line="440" w:lineRule="exact"/>
        <w:ind w:firstLine="487" w:firstLineChars="202"/>
        <w:rPr>
          <w:rFonts w:hint="default" w:ascii="宋体" w:hAnsi="宋体" w:eastAsia="宋体" w:cs="宋体"/>
          <w:b/>
          <w:bCs w:val="0"/>
          <w:color w:val="auto"/>
          <w:sz w:val="24"/>
          <w:szCs w:val="24"/>
          <w:highlight w:val="none"/>
          <w:lang w:val="en-US" w:eastAsia="zh-CN"/>
        </w:rPr>
        <w:sectPr>
          <w:type w:val="continuous"/>
          <w:pgSz w:w="11906" w:h="16838"/>
          <w:pgMar w:top="1440" w:right="1800" w:bottom="1440" w:left="1800" w:header="851" w:footer="992" w:gutter="0"/>
          <w:cols w:space="425" w:num="1"/>
          <w:docGrid w:linePitch="312" w:charSpace="0"/>
        </w:sectPr>
      </w:pPr>
      <w:r>
        <w:rPr>
          <w:rFonts w:hint="eastAsia" w:ascii="宋体" w:hAnsi="宋体" w:eastAsia="宋体" w:cs="宋体"/>
          <w:b/>
          <w:bCs w:val="0"/>
          <w:color w:val="auto"/>
          <w:sz w:val="24"/>
          <w:szCs w:val="24"/>
          <w:highlight w:val="none"/>
          <w:lang w:val="en-US" w:eastAsia="zh-CN"/>
        </w:rPr>
        <w:t>四、试验需求清单</w:t>
      </w:r>
    </w:p>
    <w:tbl>
      <w:tblPr>
        <w:tblStyle w:val="64"/>
        <w:tblW w:w="1319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683"/>
        <w:gridCol w:w="1012"/>
        <w:gridCol w:w="1012"/>
        <w:gridCol w:w="1290"/>
        <w:gridCol w:w="1290"/>
        <w:gridCol w:w="2170"/>
        <w:gridCol w:w="3414"/>
        <w:gridCol w:w="1012"/>
      </w:tblGrid>
      <w:tr w14:paraId="38F2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DC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B2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闸站名称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2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进线电压</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2F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是否专变</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2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是否沿江</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5A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变压器类型</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B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变压器容量KVA</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03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 注</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C4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水泵数量</w:t>
            </w:r>
          </w:p>
        </w:tc>
      </w:tr>
      <w:tr w14:paraId="7BF4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5E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ED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小洋港闸站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C4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4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1D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6D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31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880（800+80）KVA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37C7">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44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14:paraId="388B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D1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05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滨江涵闸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68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E2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AE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B2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B6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74CE">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A935">
            <w:pPr>
              <w:jc w:val="center"/>
              <w:rPr>
                <w:rFonts w:hint="eastAsia" w:ascii="宋体" w:hAnsi="宋体" w:eastAsia="宋体" w:cs="宋体"/>
                <w:i w:val="0"/>
                <w:iCs w:val="0"/>
                <w:color w:val="auto"/>
                <w:sz w:val="24"/>
                <w:szCs w:val="24"/>
                <w:highlight w:val="none"/>
                <w:u w:val="none"/>
              </w:rPr>
            </w:pPr>
          </w:p>
        </w:tc>
      </w:tr>
      <w:tr w14:paraId="7966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CB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66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园林河闸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F4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D6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16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DF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5B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2604">
            <w:pPr>
              <w:jc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露天无需安全用具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419F">
            <w:pPr>
              <w:jc w:val="center"/>
              <w:rPr>
                <w:rFonts w:hint="eastAsia" w:ascii="宋体" w:hAnsi="宋体" w:eastAsia="宋体" w:cs="宋体"/>
                <w:i w:val="0"/>
                <w:iCs w:val="0"/>
                <w:color w:val="auto"/>
                <w:sz w:val="24"/>
                <w:szCs w:val="24"/>
                <w:highlight w:val="none"/>
                <w:u w:val="none"/>
              </w:rPr>
            </w:pPr>
          </w:p>
        </w:tc>
      </w:tr>
      <w:tr w14:paraId="483A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C7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A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铺港河闸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E2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B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BF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2B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43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215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8E18">
            <w:pPr>
              <w:jc w:val="center"/>
              <w:rPr>
                <w:rFonts w:hint="eastAsia" w:ascii="宋体" w:hAnsi="宋体" w:eastAsia="宋体" w:cs="宋体"/>
                <w:i w:val="0"/>
                <w:iCs w:val="0"/>
                <w:color w:val="auto"/>
                <w:sz w:val="24"/>
                <w:szCs w:val="24"/>
                <w:highlight w:val="none"/>
                <w:u w:val="none"/>
              </w:rPr>
            </w:pPr>
          </w:p>
        </w:tc>
      </w:tr>
      <w:tr w14:paraId="6A2C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0B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20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易家桥泵站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EB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BB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D4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62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83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998E">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32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274A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B5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19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红星二河闸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52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22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4D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F6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7D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05C0">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0F93">
            <w:pPr>
              <w:jc w:val="center"/>
              <w:rPr>
                <w:rFonts w:hint="eastAsia" w:ascii="宋体" w:hAnsi="宋体" w:eastAsia="宋体" w:cs="宋体"/>
                <w:i w:val="0"/>
                <w:iCs w:val="0"/>
                <w:color w:val="auto"/>
                <w:sz w:val="24"/>
                <w:szCs w:val="24"/>
                <w:highlight w:val="none"/>
                <w:u w:val="none"/>
              </w:rPr>
            </w:pPr>
          </w:p>
        </w:tc>
      </w:tr>
      <w:tr w14:paraId="5B033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45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6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三附闸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B2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49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52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23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FA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CA4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071E">
            <w:pPr>
              <w:jc w:val="center"/>
              <w:rPr>
                <w:rFonts w:hint="eastAsia" w:ascii="宋体" w:hAnsi="宋体" w:eastAsia="宋体" w:cs="宋体"/>
                <w:i w:val="0"/>
                <w:iCs w:val="0"/>
                <w:color w:val="auto"/>
                <w:sz w:val="24"/>
                <w:szCs w:val="24"/>
                <w:highlight w:val="none"/>
                <w:u w:val="none"/>
              </w:rPr>
            </w:pPr>
          </w:p>
        </w:tc>
      </w:tr>
      <w:tr w14:paraId="5C67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77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DC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竖一河北闸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89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FE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4A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61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1D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4B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032F">
            <w:pPr>
              <w:jc w:val="center"/>
              <w:rPr>
                <w:rFonts w:hint="eastAsia" w:ascii="宋体" w:hAnsi="宋体" w:eastAsia="宋体" w:cs="宋体"/>
                <w:i w:val="0"/>
                <w:iCs w:val="0"/>
                <w:color w:val="auto"/>
                <w:sz w:val="24"/>
                <w:szCs w:val="24"/>
                <w:highlight w:val="none"/>
                <w:u w:val="none"/>
              </w:rPr>
            </w:pPr>
          </w:p>
        </w:tc>
      </w:tr>
      <w:tr w14:paraId="063C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24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FB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姚港闸站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E3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7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F3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B6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F6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0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含</w:t>
            </w:r>
            <w:r>
              <w:rPr>
                <w:rFonts w:hint="eastAsia" w:ascii="宋体" w:hAnsi="宋体" w:eastAsia="宋体" w:cs="宋体"/>
                <w:i w:val="0"/>
                <w:iCs w:val="0"/>
                <w:color w:val="auto"/>
                <w:kern w:val="0"/>
                <w:sz w:val="24"/>
                <w:szCs w:val="24"/>
                <w:highlight w:val="none"/>
                <w:u w:val="none"/>
                <w:lang w:val="en-US" w:eastAsia="zh-CN" w:bidi="ar"/>
              </w:rPr>
              <w:t>柴油发电机</w:t>
            </w:r>
            <w:r>
              <w:rPr>
                <w:rFonts w:hint="eastAsia" w:ascii="宋体" w:hAnsi="宋体" w:cs="宋体"/>
                <w:i w:val="0"/>
                <w:iCs w:val="0"/>
                <w:color w:val="auto"/>
                <w:kern w:val="0"/>
                <w:sz w:val="24"/>
                <w:szCs w:val="24"/>
                <w:highlight w:val="none"/>
                <w:u w:val="none"/>
                <w:lang w:val="en-US" w:eastAsia="zh-CN" w:bidi="ar"/>
              </w:rPr>
              <w:t>（160KW）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53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14:paraId="1B8A8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BC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B2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战胜闸站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5F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47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88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96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8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E809">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82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716E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A5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51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锅炉厂河闸站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D2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E9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5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02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7E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EE1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BB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4003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4C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18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南通港闸站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7C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50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30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61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E7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070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7A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r>
      <w:tr w14:paraId="2D4E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FFF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22A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南通港南河闸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CE8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CD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50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34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8E3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FBB6">
            <w:pPr>
              <w:jc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eastAsia="zh-CN"/>
              </w:rPr>
              <w:t>露天无需安全用具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72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14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0199">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AE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钟秀闸站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1A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88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97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69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DE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BF5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6A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1200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06F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05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新胜河闸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5F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B1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6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50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5DE4">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E99E">
            <w:pPr>
              <w:jc w:val="center"/>
              <w:rPr>
                <w:rFonts w:hint="eastAsia" w:ascii="宋体" w:hAnsi="宋体" w:eastAsia="宋体" w:cs="宋体"/>
                <w:i w:val="0"/>
                <w:iCs w:val="0"/>
                <w:color w:val="auto"/>
                <w:sz w:val="24"/>
                <w:szCs w:val="24"/>
                <w:highlight w:val="none"/>
                <w:u w:val="none"/>
              </w:rPr>
            </w:pPr>
          </w:p>
        </w:tc>
      </w:tr>
      <w:tr w14:paraId="5407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0E2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18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金通河涵洞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7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81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47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05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68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9080">
            <w:pPr>
              <w:jc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eastAsia="zh-CN"/>
              </w:rPr>
              <w:t>露天无需安全用具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008C">
            <w:pPr>
              <w:jc w:val="center"/>
              <w:rPr>
                <w:rFonts w:hint="eastAsia" w:ascii="宋体" w:hAnsi="宋体" w:eastAsia="宋体" w:cs="宋体"/>
                <w:i w:val="0"/>
                <w:iCs w:val="0"/>
                <w:color w:val="auto"/>
                <w:sz w:val="24"/>
                <w:szCs w:val="24"/>
                <w:highlight w:val="none"/>
                <w:u w:val="none"/>
              </w:rPr>
            </w:pPr>
          </w:p>
        </w:tc>
      </w:tr>
      <w:tr w14:paraId="4940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CCD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4B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永十界河闸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1F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A0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05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02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95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52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2F19">
            <w:pPr>
              <w:jc w:val="center"/>
              <w:rPr>
                <w:rFonts w:hint="eastAsia" w:ascii="宋体" w:hAnsi="宋体" w:eastAsia="宋体" w:cs="宋体"/>
                <w:i w:val="0"/>
                <w:iCs w:val="0"/>
                <w:color w:val="auto"/>
                <w:sz w:val="24"/>
                <w:szCs w:val="24"/>
                <w:highlight w:val="none"/>
                <w:u w:val="none"/>
              </w:rPr>
            </w:pPr>
          </w:p>
        </w:tc>
      </w:tr>
      <w:tr w14:paraId="42F2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07F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芦泾港闸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10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05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6D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638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DECA">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59C5">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AB24">
            <w:pPr>
              <w:jc w:val="center"/>
              <w:rPr>
                <w:rFonts w:hint="eastAsia" w:ascii="宋体" w:hAnsi="宋体" w:eastAsia="宋体" w:cs="宋体"/>
                <w:i w:val="0"/>
                <w:iCs w:val="0"/>
                <w:color w:val="auto"/>
                <w:sz w:val="24"/>
                <w:szCs w:val="24"/>
                <w:highlight w:val="none"/>
                <w:u w:val="none"/>
              </w:rPr>
            </w:pPr>
          </w:p>
        </w:tc>
      </w:tr>
      <w:tr w14:paraId="40EA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537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E0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尖长河闸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01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B0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59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CA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C3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31B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5580">
            <w:pPr>
              <w:jc w:val="center"/>
              <w:rPr>
                <w:rFonts w:hint="eastAsia" w:ascii="宋体" w:hAnsi="宋体" w:eastAsia="宋体" w:cs="宋体"/>
                <w:i w:val="0"/>
                <w:iCs w:val="0"/>
                <w:color w:val="auto"/>
                <w:sz w:val="24"/>
                <w:szCs w:val="24"/>
                <w:highlight w:val="none"/>
                <w:u w:val="none"/>
              </w:rPr>
            </w:pPr>
          </w:p>
        </w:tc>
      </w:tr>
      <w:tr w14:paraId="6D4B7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AF09">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22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花墙支河闸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B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10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39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51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53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EB45">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7A26">
            <w:pPr>
              <w:jc w:val="center"/>
              <w:rPr>
                <w:rFonts w:hint="eastAsia" w:ascii="宋体" w:hAnsi="宋体" w:eastAsia="宋体" w:cs="宋体"/>
                <w:i w:val="0"/>
                <w:iCs w:val="0"/>
                <w:color w:val="auto"/>
                <w:sz w:val="24"/>
                <w:szCs w:val="24"/>
                <w:highlight w:val="none"/>
                <w:u w:val="none"/>
              </w:rPr>
            </w:pPr>
          </w:p>
        </w:tc>
      </w:tr>
      <w:tr w14:paraId="6FA3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FE3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D5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东港闸站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D8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7F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FD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9D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69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943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含</w:t>
            </w:r>
            <w:r>
              <w:rPr>
                <w:rFonts w:hint="eastAsia" w:ascii="宋体" w:hAnsi="宋体" w:eastAsia="宋体" w:cs="宋体"/>
                <w:i w:val="0"/>
                <w:iCs w:val="0"/>
                <w:color w:val="auto"/>
                <w:kern w:val="0"/>
                <w:sz w:val="24"/>
                <w:szCs w:val="24"/>
                <w:highlight w:val="none"/>
                <w:u w:val="none"/>
                <w:lang w:val="en-US" w:eastAsia="zh-CN" w:bidi="ar"/>
              </w:rPr>
              <w:t>发电机组</w:t>
            </w:r>
            <w:r>
              <w:rPr>
                <w:rFonts w:hint="eastAsia" w:ascii="宋体" w:hAnsi="宋体" w:cs="宋体"/>
                <w:i w:val="0"/>
                <w:iCs w:val="0"/>
                <w:color w:val="auto"/>
                <w:kern w:val="0"/>
                <w:sz w:val="24"/>
                <w:szCs w:val="24"/>
                <w:highlight w:val="none"/>
                <w:u w:val="none"/>
                <w:lang w:val="en-US" w:eastAsia="zh-CN" w:bidi="ar"/>
              </w:rPr>
              <w:t>1台（功率1200KW）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9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14:paraId="5A56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A8F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A0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老鸦口闸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46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2F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C8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3EF9">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505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91E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83EA">
            <w:pPr>
              <w:jc w:val="center"/>
              <w:rPr>
                <w:rFonts w:hint="eastAsia" w:ascii="宋体" w:hAnsi="宋体" w:eastAsia="宋体" w:cs="宋体"/>
                <w:i w:val="0"/>
                <w:iCs w:val="0"/>
                <w:color w:val="auto"/>
                <w:sz w:val="24"/>
                <w:szCs w:val="24"/>
                <w:highlight w:val="none"/>
                <w:u w:val="none"/>
              </w:rPr>
            </w:pPr>
          </w:p>
        </w:tc>
      </w:tr>
      <w:tr w14:paraId="149CE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1BE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12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中心港闸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80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6E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30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76E3">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043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96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含</w:t>
            </w:r>
            <w:r>
              <w:rPr>
                <w:rFonts w:hint="eastAsia" w:ascii="宋体" w:hAnsi="宋体" w:eastAsia="宋体" w:cs="宋体"/>
                <w:i w:val="0"/>
                <w:iCs w:val="0"/>
                <w:color w:val="auto"/>
                <w:kern w:val="0"/>
                <w:sz w:val="24"/>
                <w:szCs w:val="24"/>
                <w:highlight w:val="none"/>
                <w:u w:val="none"/>
                <w:lang w:val="en-US" w:eastAsia="zh-CN" w:bidi="ar"/>
              </w:rPr>
              <w:t>柴油发电机</w:t>
            </w:r>
            <w:r>
              <w:rPr>
                <w:rFonts w:hint="eastAsia" w:ascii="宋体" w:hAnsi="宋体" w:cs="宋体"/>
                <w:i w:val="0"/>
                <w:iCs w:val="0"/>
                <w:color w:val="auto"/>
                <w:kern w:val="0"/>
                <w:sz w:val="24"/>
                <w:szCs w:val="24"/>
                <w:highlight w:val="none"/>
                <w:u w:val="none"/>
                <w:lang w:val="en-US" w:eastAsia="zh-CN" w:bidi="ar"/>
              </w:rPr>
              <w:t>（120KW）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8E7A">
            <w:pPr>
              <w:jc w:val="center"/>
              <w:rPr>
                <w:rFonts w:hint="eastAsia" w:ascii="宋体" w:hAnsi="宋体" w:eastAsia="宋体" w:cs="宋体"/>
                <w:i w:val="0"/>
                <w:iCs w:val="0"/>
                <w:color w:val="auto"/>
                <w:sz w:val="24"/>
                <w:szCs w:val="24"/>
                <w:highlight w:val="none"/>
                <w:u w:val="none"/>
              </w:rPr>
            </w:pPr>
          </w:p>
        </w:tc>
      </w:tr>
      <w:tr w14:paraId="7A9B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EDD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F6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天生港闸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4F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D9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93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CF1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35F0">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A7C7">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8B09">
            <w:pPr>
              <w:jc w:val="center"/>
              <w:rPr>
                <w:rFonts w:hint="eastAsia" w:ascii="宋体" w:hAnsi="宋体" w:eastAsia="宋体" w:cs="宋体"/>
                <w:i w:val="0"/>
                <w:iCs w:val="0"/>
                <w:color w:val="auto"/>
                <w:sz w:val="24"/>
                <w:szCs w:val="24"/>
                <w:highlight w:val="none"/>
                <w:u w:val="none"/>
              </w:rPr>
            </w:pPr>
          </w:p>
        </w:tc>
      </w:tr>
      <w:tr w14:paraId="03F6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566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A2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工农河闸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C0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C8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B4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4F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70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56D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92F2">
            <w:pPr>
              <w:jc w:val="center"/>
              <w:rPr>
                <w:rFonts w:hint="eastAsia" w:ascii="宋体" w:hAnsi="宋体" w:eastAsia="宋体" w:cs="宋体"/>
                <w:i w:val="0"/>
                <w:iCs w:val="0"/>
                <w:color w:val="auto"/>
                <w:sz w:val="24"/>
                <w:szCs w:val="24"/>
                <w:highlight w:val="none"/>
                <w:u w:val="none"/>
              </w:rPr>
            </w:pPr>
          </w:p>
        </w:tc>
      </w:tr>
      <w:tr w14:paraId="3939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0407">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46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曙光中心河闸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A2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E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79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2687">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2B0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D00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E820">
            <w:pPr>
              <w:jc w:val="center"/>
              <w:rPr>
                <w:rFonts w:hint="eastAsia" w:ascii="宋体" w:hAnsi="宋体" w:eastAsia="宋体" w:cs="宋体"/>
                <w:i w:val="0"/>
                <w:iCs w:val="0"/>
                <w:color w:val="auto"/>
                <w:sz w:val="24"/>
                <w:szCs w:val="24"/>
                <w:highlight w:val="none"/>
                <w:u w:val="none"/>
              </w:rPr>
            </w:pPr>
          </w:p>
        </w:tc>
      </w:tr>
    </w:tbl>
    <w:p w14:paraId="482CFEDB">
      <w:pPr>
        <w:widowControl/>
        <w:shd w:val="clear" w:color="auto" w:fill="E2EFD9"/>
        <w:spacing w:before="280" w:after="280"/>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注：上表为各闸站工程供电电压等级、变压器类型容量、电动机功率、水泵型号等统计表，如有出入，以现场设备为准。</w:t>
      </w:r>
    </w:p>
    <w:p w14:paraId="08DEF20B">
      <w:pPr>
        <w:spacing w:line="360" w:lineRule="auto"/>
        <w:ind w:firstLine="480" w:firstLineChars="200"/>
        <w:jc w:val="left"/>
        <w:rPr>
          <w:rFonts w:ascii="宋体" w:hAnsi="宋体"/>
          <w:color w:val="auto"/>
          <w:sz w:val="24"/>
          <w:szCs w:val="24"/>
          <w:highlight w:val="none"/>
        </w:rPr>
        <w:sectPr>
          <w:pgSz w:w="16838" w:h="11906" w:orient="landscape"/>
          <w:pgMar w:top="1588" w:right="1531" w:bottom="1474" w:left="1531" w:header="851" w:footer="992" w:gutter="0"/>
          <w:cols w:space="720" w:num="1"/>
          <w:docGrid w:linePitch="380" w:charSpace="0"/>
        </w:sectPr>
      </w:pPr>
    </w:p>
    <w:p w14:paraId="0AB66C40">
      <w:pPr>
        <w:spacing w:line="360" w:lineRule="auto"/>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lang w:val="en-US" w:eastAsia="zh-CN"/>
        </w:rPr>
        <w:t>五</w:t>
      </w:r>
      <w:r>
        <w:rPr>
          <w:rFonts w:hint="eastAsia" w:ascii="宋体" w:hAnsi="宋体"/>
          <w:b/>
          <w:bCs/>
          <w:color w:val="auto"/>
          <w:sz w:val="24"/>
          <w:szCs w:val="24"/>
          <w:highlight w:val="none"/>
        </w:rPr>
        <w:t>、工期要求</w:t>
      </w:r>
    </w:p>
    <w:p w14:paraId="6663084E">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合同签订后6</w:t>
      </w:r>
      <w:r>
        <w:rPr>
          <w:rFonts w:ascii="宋体" w:hAnsi="宋体"/>
          <w:color w:val="auto"/>
          <w:sz w:val="24"/>
          <w:szCs w:val="24"/>
          <w:highlight w:val="none"/>
        </w:rPr>
        <w:t>0</w:t>
      </w:r>
      <w:r>
        <w:rPr>
          <w:rFonts w:hint="eastAsia" w:ascii="宋体" w:hAnsi="宋体"/>
          <w:color w:val="auto"/>
          <w:sz w:val="24"/>
          <w:szCs w:val="24"/>
          <w:highlight w:val="none"/>
        </w:rPr>
        <w:t>日历天内完成</w:t>
      </w:r>
      <w:r>
        <w:rPr>
          <w:rFonts w:hint="eastAsia" w:ascii="宋体" w:hAnsi="宋体"/>
          <w:color w:val="auto"/>
          <w:sz w:val="24"/>
          <w:szCs w:val="24"/>
          <w:highlight w:val="none"/>
          <w:lang w:val="en-US" w:eastAsia="zh-CN"/>
        </w:rPr>
        <w:t>闸站检查，</w:t>
      </w:r>
      <w:r>
        <w:rPr>
          <w:rFonts w:hint="eastAsia" w:ascii="宋体" w:hAnsi="宋体"/>
          <w:color w:val="auto"/>
          <w:sz w:val="24"/>
          <w:szCs w:val="24"/>
          <w:highlight w:val="none"/>
        </w:rPr>
        <w:t>电力安全工器具项目</w:t>
      </w:r>
      <w:r>
        <w:rPr>
          <w:rFonts w:hint="eastAsia" w:ascii="宋体" w:hAnsi="宋体"/>
          <w:color w:val="auto"/>
          <w:sz w:val="24"/>
          <w:szCs w:val="24"/>
          <w:highlight w:val="none"/>
          <w:lang w:val="en-US" w:eastAsia="zh-CN"/>
        </w:rPr>
        <w:t>于2025年11月份进行检测</w:t>
      </w:r>
      <w:r>
        <w:rPr>
          <w:rFonts w:hint="eastAsia" w:ascii="宋体" w:hAnsi="宋体"/>
          <w:color w:val="auto"/>
          <w:sz w:val="24"/>
          <w:szCs w:val="24"/>
          <w:highlight w:val="none"/>
        </w:rPr>
        <w:t>。</w:t>
      </w:r>
    </w:p>
    <w:p w14:paraId="126EFBD2">
      <w:pPr>
        <w:spacing w:line="360" w:lineRule="auto"/>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lang w:val="en-US" w:eastAsia="zh-CN"/>
        </w:rPr>
        <w:t>六</w:t>
      </w:r>
      <w:r>
        <w:rPr>
          <w:rFonts w:hint="eastAsia" w:ascii="宋体" w:hAnsi="宋体"/>
          <w:b/>
          <w:bCs/>
          <w:color w:val="auto"/>
          <w:sz w:val="24"/>
          <w:szCs w:val="24"/>
          <w:highlight w:val="none"/>
        </w:rPr>
        <w:t>、其他要求</w:t>
      </w:r>
    </w:p>
    <w:p w14:paraId="637B232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1、电力安全工器具项目</w:t>
      </w:r>
    </w:p>
    <w:tbl>
      <w:tblPr>
        <w:tblStyle w:val="64"/>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3436"/>
        <w:gridCol w:w="3436"/>
      </w:tblGrid>
      <w:tr w14:paraId="53B8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6" w:type="dxa"/>
            <w:shd w:val="clear" w:color="auto" w:fill="auto"/>
            <w:noWrap w:val="0"/>
            <w:vAlign w:val="center"/>
          </w:tcPr>
          <w:p w14:paraId="236FC3CF">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3436" w:type="dxa"/>
            <w:shd w:val="clear" w:color="auto" w:fill="auto"/>
            <w:noWrap w:val="0"/>
            <w:vAlign w:val="center"/>
          </w:tcPr>
          <w:p w14:paraId="144D1662">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名称</w:t>
            </w:r>
          </w:p>
        </w:tc>
        <w:tc>
          <w:tcPr>
            <w:tcW w:w="3436" w:type="dxa"/>
            <w:shd w:val="clear" w:color="auto" w:fill="auto"/>
            <w:noWrap w:val="0"/>
            <w:vAlign w:val="center"/>
          </w:tcPr>
          <w:p w14:paraId="4CAE178B">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备注</w:t>
            </w:r>
          </w:p>
        </w:tc>
      </w:tr>
      <w:tr w14:paraId="54AC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6" w:type="dxa"/>
            <w:shd w:val="clear" w:color="auto" w:fill="auto"/>
            <w:noWrap w:val="0"/>
            <w:vAlign w:val="top"/>
          </w:tcPr>
          <w:p w14:paraId="7AE0DF53">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3436" w:type="dxa"/>
            <w:shd w:val="clear" w:color="auto" w:fill="auto"/>
            <w:noWrap w:val="0"/>
            <w:vAlign w:val="top"/>
          </w:tcPr>
          <w:p w14:paraId="29618B9E">
            <w:pP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令克棒</w:t>
            </w:r>
          </w:p>
        </w:tc>
        <w:tc>
          <w:tcPr>
            <w:tcW w:w="3436" w:type="dxa"/>
            <w:vMerge w:val="restart"/>
            <w:shd w:val="clear" w:color="auto" w:fill="auto"/>
            <w:noWrap w:val="0"/>
            <w:vAlign w:val="center"/>
          </w:tcPr>
          <w:p w14:paraId="7C95E341">
            <w:pPr>
              <w:spacing w:line="360" w:lineRule="auto"/>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5月需按甲方要求补齐安全用具并检测，11月再检测一次。</w:t>
            </w:r>
          </w:p>
          <w:p w14:paraId="7B82BC56">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需符合闸站检测规定</w:t>
            </w:r>
          </w:p>
        </w:tc>
      </w:tr>
      <w:tr w14:paraId="08F8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6" w:type="dxa"/>
            <w:shd w:val="clear" w:color="auto" w:fill="auto"/>
            <w:noWrap w:val="0"/>
            <w:vAlign w:val="top"/>
          </w:tcPr>
          <w:p w14:paraId="741E2EDB">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3436" w:type="dxa"/>
            <w:shd w:val="clear" w:color="auto" w:fill="auto"/>
            <w:noWrap w:val="0"/>
            <w:vAlign w:val="top"/>
          </w:tcPr>
          <w:p w14:paraId="6327E88F">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携带型短路接地线</w:t>
            </w:r>
          </w:p>
        </w:tc>
        <w:tc>
          <w:tcPr>
            <w:tcW w:w="3436" w:type="dxa"/>
            <w:vMerge w:val="continue"/>
            <w:shd w:val="clear" w:color="auto" w:fill="auto"/>
            <w:noWrap w:val="0"/>
            <w:vAlign w:val="top"/>
          </w:tcPr>
          <w:p w14:paraId="1578F5CF">
            <w:pPr>
              <w:spacing w:line="360" w:lineRule="auto"/>
              <w:jc w:val="center"/>
              <w:rPr>
                <w:rFonts w:hint="eastAsia" w:ascii="宋体" w:hAnsi="宋体"/>
                <w:color w:val="auto"/>
                <w:sz w:val="24"/>
                <w:szCs w:val="24"/>
                <w:highlight w:val="none"/>
              </w:rPr>
            </w:pPr>
          </w:p>
        </w:tc>
      </w:tr>
      <w:tr w14:paraId="605C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6" w:type="dxa"/>
            <w:shd w:val="clear" w:color="auto" w:fill="auto"/>
            <w:noWrap w:val="0"/>
            <w:vAlign w:val="top"/>
          </w:tcPr>
          <w:p w14:paraId="7B593C56">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3436" w:type="dxa"/>
            <w:shd w:val="clear" w:color="auto" w:fill="auto"/>
            <w:noWrap w:val="0"/>
            <w:vAlign w:val="top"/>
          </w:tcPr>
          <w:p w14:paraId="375E61F4">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电容型验电器</w:t>
            </w:r>
          </w:p>
        </w:tc>
        <w:tc>
          <w:tcPr>
            <w:tcW w:w="3436" w:type="dxa"/>
            <w:vMerge w:val="continue"/>
            <w:shd w:val="clear" w:color="auto" w:fill="auto"/>
            <w:noWrap w:val="0"/>
            <w:vAlign w:val="top"/>
          </w:tcPr>
          <w:p w14:paraId="63B4CA6E">
            <w:pPr>
              <w:spacing w:line="360" w:lineRule="auto"/>
              <w:jc w:val="center"/>
              <w:rPr>
                <w:rFonts w:hint="eastAsia" w:ascii="宋体" w:hAnsi="宋体"/>
                <w:color w:val="auto"/>
                <w:sz w:val="24"/>
                <w:szCs w:val="24"/>
                <w:highlight w:val="none"/>
              </w:rPr>
            </w:pPr>
          </w:p>
        </w:tc>
      </w:tr>
      <w:tr w14:paraId="7A5F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6" w:type="dxa"/>
            <w:shd w:val="clear" w:color="auto" w:fill="auto"/>
            <w:noWrap w:val="0"/>
            <w:vAlign w:val="top"/>
          </w:tcPr>
          <w:p w14:paraId="580EBB5A">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3436" w:type="dxa"/>
            <w:shd w:val="clear" w:color="auto" w:fill="auto"/>
            <w:noWrap w:val="0"/>
            <w:vAlign w:val="top"/>
          </w:tcPr>
          <w:p w14:paraId="7780F5C5">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绝缘手套</w:t>
            </w:r>
          </w:p>
        </w:tc>
        <w:tc>
          <w:tcPr>
            <w:tcW w:w="3436" w:type="dxa"/>
            <w:vMerge w:val="continue"/>
            <w:shd w:val="clear" w:color="auto" w:fill="auto"/>
            <w:noWrap w:val="0"/>
            <w:vAlign w:val="top"/>
          </w:tcPr>
          <w:p w14:paraId="5BED9E24">
            <w:pPr>
              <w:spacing w:line="360" w:lineRule="auto"/>
              <w:jc w:val="center"/>
              <w:rPr>
                <w:rFonts w:hint="eastAsia" w:ascii="宋体" w:hAnsi="宋体"/>
                <w:color w:val="auto"/>
                <w:sz w:val="24"/>
                <w:szCs w:val="24"/>
                <w:highlight w:val="none"/>
              </w:rPr>
            </w:pPr>
          </w:p>
        </w:tc>
      </w:tr>
      <w:tr w14:paraId="6460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6" w:type="dxa"/>
            <w:shd w:val="clear" w:color="auto" w:fill="auto"/>
            <w:noWrap w:val="0"/>
            <w:vAlign w:val="top"/>
          </w:tcPr>
          <w:p w14:paraId="096E4C68">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5</w:t>
            </w:r>
          </w:p>
        </w:tc>
        <w:tc>
          <w:tcPr>
            <w:tcW w:w="3436" w:type="dxa"/>
            <w:shd w:val="clear" w:color="auto" w:fill="auto"/>
            <w:noWrap w:val="0"/>
            <w:vAlign w:val="top"/>
          </w:tcPr>
          <w:p w14:paraId="67D7EC27">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绝缘靴（鞋）</w:t>
            </w:r>
          </w:p>
        </w:tc>
        <w:tc>
          <w:tcPr>
            <w:tcW w:w="3436" w:type="dxa"/>
            <w:vMerge w:val="continue"/>
            <w:shd w:val="clear" w:color="auto" w:fill="auto"/>
            <w:noWrap w:val="0"/>
            <w:vAlign w:val="top"/>
          </w:tcPr>
          <w:p w14:paraId="531660D1">
            <w:pPr>
              <w:spacing w:line="360" w:lineRule="auto"/>
              <w:jc w:val="center"/>
              <w:rPr>
                <w:rFonts w:hint="eastAsia" w:ascii="宋体" w:hAnsi="宋体"/>
                <w:color w:val="auto"/>
                <w:sz w:val="24"/>
                <w:szCs w:val="24"/>
                <w:highlight w:val="none"/>
              </w:rPr>
            </w:pPr>
          </w:p>
        </w:tc>
      </w:tr>
      <w:tr w14:paraId="182A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86" w:type="dxa"/>
            <w:shd w:val="clear" w:color="auto" w:fill="auto"/>
            <w:noWrap w:val="0"/>
            <w:vAlign w:val="top"/>
          </w:tcPr>
          <w:p w14:paraId="44656FC1">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6</w:t>
            </w:r>
          </w:p>
        </w:tc>
        <w:tc>
          <w:tcPr>
            <w:tcW w:w="3436" w:type="dxa"/>
            <w:shd w:val="clear" w:color="auto" w:fill="auto"/>
            <w:noWrap w:val="0"/>
            <w:vAlign w:val="top"/>
          </w:tcPr>
          <w:p w14:paraId="22C1932A">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辅助型绝缘胶垫</w:t>
            </w:r>
          </w:p>
        </w:tc>
        <w:tc>
          <w:tcPr>
            <w:tcW w:w="3436" w:type="dxa"/>
            <w:vMerge w:val="continue"/>
            <w:shd w:val="clear" w:color="auto" w:fill="auto"/>
            <w:noWrap w:val="0"/>
            <w:vAlign w:val="top"/>
          </w:tcPr>
          <w:p w14:paraId="68B0E878">
            <w:pPr>
              <w:spacing w:line="360" w:lineRule="auto"/>
              <w:jc w:val="center"/>
              <w:rPr>
                <w:rFonts w:hint="eastAsia" w:ascii="宋体" w:hAnsi="宋体"/>
                <w:color w:val="auto"/>
                <w:sz w:val="24"/>
                <w:szCs w:val="24"/>
                <w:highlight w:val="none"/>
              </w:rPr>
            </w:pPr>
          </w:p>
        </w:tc>
      </w:tr>
    </w:tbl>
    <w:p w14:paraId="1D60B13C">
      <w:pPr>
        <w:spacing w:line="360" w:lineRule="auto"/>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、成交供应商负责与闸站辖区的供电部门协调办理停电、送电等相关手续，费用包含在报价里。</w:t>
      </w:r>
    </w:p>
    <w:p w14:paraId="566BEB32">
      <w:pPr>
        <w:spacing w:line="360" w:lineRule="auto"/>
        <w:ind w:firstLine="482" w:firstLineChars="200"/>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七</w:t>
      </w:r>
      <w:r>
        <w:rPr>
          <w:rFonts w:hint="eastAsia" w:ascii="宋体" w:hAnsi="宋体"/>
          <w:b/>
          <w:bCs/>
          <w:color w:val="auto"/>
          <w:sz w:val="24"/>
          <w:szCs w:val="24"/>
          <w:highlight w:val="none"/>
        </w:rPr>
        <w:t>、成果要求</w:t>
      </w:r>
    </w:p>
    <w:p w14:paraId="248F64B2">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提供符合采购人要求的所有设备的电气试验报告（一式五份），</w:t>
      </w:r>
      <w:r>
        <w:rPr>
          <w:rFonts w:hint="eastAsia" w:ascii="宋体" w:hAnsi="宋体"/>
          <w:color w:val="auto"/>
          <w:sz w:val="24"/>
          <w:szCs w:val="24"/>
          <w:highlight w:val="none"/>
          <w:lang w:val="en-US" w:eastAsia="zh-CN"/>
        </w:rPr>
        <w:t>对发现的问题须提出处理建议，</w:t>
      </w:r>
      <w:r>
        <w:rPr>
          <w:rFonts w:hint="eastAsia" w:ascii="宋体" w:hAnsi="宋体"/>
          <w:color w:val="auto"/>
          <w:sz w:val="24"/>
          <w:szCs w:val="24"/>
          <w:highlight w:val="none"/>
        </w:rPr>
        <w:t>电气试验报告须加盖公章或试验章。</w:t>
      </w:r>
    </w:p>
    <w:p w14:paraId="66DED6C3">
      <w:pPr>
        <w:rPr>
          <w:rFonts w:hint="eastAsia"/>
          <w:color w:val="auto"/>
          <w:highlight w:val="none"/>
          <w:lang w:eastAsia="zh-CN"/>
        </w:rPr>
      </w:pPr>
    </w:p>
    <w:p w14:paraId="4B71F5A9">
      <w:pPr>
        <w:snapToGrid w:val="0"/>
        <w:spacing w:line="360" w:lineRule="auto"/>
        <w:jc w:val="center"/>
        <w:outlineLvl w:val="1"/>
        <w:rPr>
          <w:rStyle w:val="123"/>
          <w:rFonts w:hint="default"/>
          <w:bCs/>
          <w:color w:val="auto"/>
          <w:sz w:val="28"/>
          <w:szCs w:val="28"/>
          <w:highlight w:val="none"/>
        </w:rPr>
      </w:pPr>
    </w:p>
    <w:p w14:paraId="52F33A05">
      <w:pPr>
        <w:rPr>
          <w:rStyle w:val="123"/>
          <w:rFonts w:hint="default"/>
          <w:bCs/>
          <w:color w:val="auto"/>
          <w:sz w:val="28"/>
          <w:szCs w:val="28"/>
          <w:highlight w:val="none"/>
        </w:rPr>
      </w:pPr>
      <w:r>
        <w:rPr>
          <w:rStyle w:val="123"/>
          <w:rFonts w:hint="default"/>
          <w:bCs/>
          <w:color w:val="auto"/>
          <w:sz w:val="28"/>
          <w:szCs w:val="28"/>
          <w:highlight w:val="none"/>
        </w:rPr>
        <w:br w:type="page"/>
      </w:r>
    </w:p>
    <w:p w14:paraId="6B3E8D2D">
      <w:pPr>
        <w:snapToGrid w:val="0"/>
        <w:spacing w:line="360" w:lineRule="auto"/>
        <w:jc w:val="center"/>
        <w:outlineLvl w:val="1"/>
        <w:rPr>
          <w:rStyle w:val="123"/>
          <w:rFonts w:hint="default"/>
          <w:bCs/>
          <w:color w:val="auto"/>
          <w:sz w:val="28"/>
          <w:szCs w:val="28"/>
          <w:highlight w:val="none"/>
        </w:rPr>
      </w:pPr>
      <w:r>
        <w:rPr>
          <w:rStyle w:val="123"/>
          <w:rFonts w:hint="default"/>
          <w:bCs/>
          <w:color w:val="auto"/>
          <w:sz w:val="28"/>
          <w:szCs w:val="28"/>
          <w:highlight w:val="none"/>
        </w:rPr>
        <w:t>第四章  评审方法和程序</w:t>
      </w:r>
    </w:p>
    <w:p w14:paraId="6FC46E3B">
      <w:pPr>
        <w:snapToGrid w:val="0"/>
        <w:spacing w:line="360" w:lineRule="auto"/>
        <w:ind w:firstLine="482" w:firstLineChars="200"/>
        <w:outlineLvl w:val="1"/>
        <w:rPr>
          <w:rFonts w:ascii="宋体" w:hAnsi="宋体"/>
          <w:b/>
          <w:color w:val="auto"/>
          <w:sz w:val="24"/>
          <w:highlight w:val="none"/>
        </w:rPr>
      </w:pPr>
      <w:bookmarkStart w:id="14" w:name="OLE_LINK61"/>
      <w:bookmarkStart w:id="15" w:name="OLE_LINK65"/>
      <w:r>
        <w:rPr>
          <w:rFonts w:ascii="宋体" w:hAnsi="宋体"/>
          <w:b/>
          <w:color w:val="auto"/>
          <w:sz w:val="24"/>
          <w:highlight w:val="none"/>
        </w:rPr>
        <w:t>一、采购人委托代理机构组织开标</w:t>
      </w:r>
    </w:p>
    <w:p w14:paraId="3558B050">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1、成立评标委员会，由有关专家依法组成。</w:t>
      </w:r>
    </w:p>
    <w:p w14:paraId="343D3A6C">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2、投标人的法定代表人或被授权人须持身份证准时参加投标会。</w:t>
      </w:r>
    </w:p>
    <w:p w14:paraId="12FF6B5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投标人递交投标文件时，投标人的法定代表人（或其授权代理人）必须携带本人身份证原件、法定代表人身份证明（或授权委托书）原件准时参加开标会议。否则，其投标文件不予受理。</w:t>
      </w:r>
    </w:p>
    <w:p w14:paraId="19F0B694">
      <w:pPr>
        <w:autoSpaceDE w:val="0"/>
        <w:autoSpaceDN w:val="0"/>
        <w:adjustRightInd w:val="0"/>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注：法定代表人身份证明（或授权委托书）</w:t>
      </w:r>
      <w:r>
        <w:rPr>
          <w:rFonts w:hint="eastAsia" w:ascii="宋体" w:hAnsi="宋体" w:cs="宋体"/>
          <w:b/>
          <w:bCs/>
          <w:color w:val="auto"/>
          <w:sz w:val="24"/>
          <w:highlight w:val="none"/>
        </w:rPr>
        <w:t>不仅需要装订在投标文件中，还需要一份</w:t>
      </w:r>
      <w:r>
        <w:rPr>
          <w:rFonts w:hint="eastAsia" w:ascii="宋体" w:hAnsi="宋体" w:cs="宋体"/>
          <w:b/>
          <w:color w:val="auto"/>
          <w:sz w:val="24"/>
          <w:highlight w:val="none"/>
        </w:rPr>
        <w:t>原件</w:t>
      </w:r>
      <w:r>
        <w:rPr>
          <w:rFonts w:hint="eastAsia" w:ascii="宋体" w:hAnsi="宋体" w:cs="宋体"/>
          <w:b/>
          <w:bCs/>
          <w:color w:val="auto"/>
          <w:sz w:val="24"/>
          <w:highlight w:val="none"/>
        </w:rPr>
        <w:t>由法定代表人（或其授权代理人）在投标时随身携带，供递交投标文件时核验。</w:t>
      </w:r>
    </w:p>
    <w:p w14:paraId="281532EF">
      <w:pPr>
        <w:adjustRightInd w:val="0"/>
        <w:snapToGrid w:val="0"/>
        <w:spacing w:line="360" w:lineRule="auto"/>
        <w:ind w:firstLine="487" w:firstLineChars="202"/>
        <w:rPr>
          <w:rFonts w:ascii="宋体" w:hAnsi="宋体"/>
          <w:color w:val="auto"/>
          <w:sz w:val="24"/>
          <w:highlight w:val="none"/>
        </w:rPr>
      </w:pPr>
      <w:r>
        <w:rPr>
          <w:rFonts w:hint="eastAsia" w:ascii="宋体" w:hAnsi="宋体"/>
          <w:b/>
          <w:color w:val="auto"/>
          <w:sz w:val="24"/>
          <w:highlight w:val="none"/>
        </w:rPr>
        <w:t>二、开标</w:t>
      </w:r>
    </w:p>
    <w:p w14:paraId="1D24F4F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、采购代理机构主持开标并记录，及时处理投标人代表提出的询问或者回避申请。</w:t>
      </w:r>
    </w:p>
    <w:p w14:paraId="6742C4B9">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投标人不足</w:t>
      </w:r>
      <w:r>
        <w:rPr>
          <w:rFonts w:ascii="宋体" w:hAnsi="宋体"/>
          <w:color w:val="auto"/>
          <w:sz w:val="24"/>
          <w:highlight w:val="none"/>
        </w:rPr>
        <w:t>3</w:t>
      </w:r>
      <w:r>
        <w:rPr>
          <w:rFonts w:hint="eastAsia" w:ascii="宋体" w:hAnsi="宋体"/>
          <w:color w:val="auto"/>
          <w:sz w:val="24"/>
          <w:highlight w:val="none"/>
        </w:rPr>
        <w:t>家的不得开标，相应处理方式见本招标文件第四章第十一条的规定。</w:t>
      </w:r>
    </w:p>
    <w:p w14:paraId="626D1E99">
      <w:pPr>
        <w:adjustRightInd w:val="0"/>
        <w:snapToGrid w:val="0"/>
        <w:spacing w:line="360" w:lineRule="auto"/>
        <w:ind w:firstLine="487" w:firstLineChars="202"/>
        <w:rPr>
          <w:rFonts w:ascii="宋体" w:hAnsi="宋体"/>
          <w:b/>
          <w:color w:val="auto"/>
          <w:sz w:val="24"/>
          <w:highlight w:val="none"/>
        </w:rPr>
      </w:pPr>
      <w:r>
        <w:rPr>
          <w:rFonts w:hint="eastAsia" w:ascii="宋体" w:hAnsi="宋体"/>
          <w:b/>
          <w:color w:val="auto"/>
          <w:sz w:val="24"/>
          <w:highlight w:val="none"/>
        </w:rPr>
        <w:t>三、资格审查</w:t>
      </w:r>
    </w:p>
    <w:p w14:paraId="147513C9">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、开标后，采购人及其委托的采购代理机构依据中华人民共和国财政部令第87号《政府采购货物和服务招标投标管理办法》文件第四十四条的规定，根据招标文件载明的资格审查要求，对投标人的资格进行审查。</w:t>
      </w:r>
    </w:p>
    <w:p w14:paraId="06FC9A7C">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2、资格审查合格的投标人进入评标。</w:t>
      </w:r>
    </w:p>
    <w:p w14:paraId="3537E5D5">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3、合格投标人不足3家的，不得评标，相应处理方式见本招标文件第四部分第十一条的规定。</w:t>
      </w:r>
    </w:p>
    <w:p w14:paraId="27412D56">
      <w:pPr>
        <w:shd w:val="clear" w:color="auto" w:fill="FFFFFF"/>
        <w:adjustRightIn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四、评标</w:t>
      </w:r>
    </w:p>
    <w:p w14:paraId="6162E987">
      <w:pPr>
        <w:adjustRightInd w:val="0"/>
        <w:snapToGrid w:val="0"/>
        <w:spacing w:line="360" w:lineRule="auto"/>
        <w:ind w:firstLine="484" w:firstLineChars="202"/>
        <w:rPr>
          <w:rFonts w:ascii="宋体" w:hAnsi="宋体"/>
          <w:b/>
          <w:color w:val="auto"/>
          <w:sz w:val="24"/>
          <w:highlight w:val="none"/>
        </w:rPr>
      </w:pPr>
      <w:r>
        <w:rPr>
          <w:rFonts w:hint="eastAsia" w:ascii="宋体" w:hAnsi="宋体"/>
          <w:color w:val="auto"/>
          <w:sz w:val="24"/>
          <w:highlight w:val="none"/>
        </w:rPr>
        <w:t>1、评标时间：</w:t>
      </w:r>
      <w:r>
        <w:rPr>
          <w:rFonts w:hint="eastAsia" w:ascii="宋体" w:hAnsi="宋体"/>
          <w:b/>
          <w:color w:val="auto"/>
          <w:sz w:val="24"/>
          <w:highlight w:val="none"/>
        </w:rPr>
        <w:t>开标后。</w:t>
      </w:r>
    </w:p>
    <w:p w14:paraId="111811C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2、采购代理机构负责组织评标工作，并履行下列职责：</w:t>
      </w:r>
    </w:p>
    <w:p w14:paraId="4F746038">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（1）核对评审专家身份，对评审专家在政府采购活动中的职责履行情况予以记录，并及时将有关违法违规行为向财政部门报告。</w:t>
      </w:r>
    </w:p>
    <w:p w14:paraId="04889F31">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（2）宣布评标纪律。</w:t>
      </w:r>
    </w:p>
    <w:p w14:paraId="271721E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（3）公布投标人名单，告知评审专家应当回避的情形。</w:t>
      </w:r>
    </w:p>
    <w:p w14:paraId="6ED0A21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（4）组织评标委员会推选评标组长，采购人代表不得担任组长。</w:t>
      </w:r>
    </w:p>
    <w:p w14:paraId="3BFF10D3">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（5）在评标期间采取必要的通讯管理措施，保证评标活动不受外界干扰；除采购人代表、评标现场组织人员外，采购人的其他工作人员以及与评标工作无关的人员不得进入评标现场。</w:t>
      </w:r>
    </w:p>
    <w:p w14:paraId="1EC6729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（6）根据评标委员会的要求介绍政府采购相关政策法规、招标文件。</w:t>
      </w:r>
    </w:p>
    <w:p w14:paraId="2AFD2CB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5937233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（8）核对评标结果，有下列规定情形的，要求评标委员会复核或者书面说明理由，评标委员会拒绝的，则予以书面记录并向本级财政部门报告：</w:t>
      </w:r>
    </w:p>
    <w:p w14:paraId="34A465FE">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① 分值汇总计算错误的；</w:t>
      </w:r>
    </w:p>
    <w:p w14:paraId="4432E7B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② 分项评分超出评分标准范围的；</w:t>
      </w:r>
    </w:p>
    <w:p w14:paraId="4876F659">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③ 评标委员会成员对客观评审因素评分不一致的；</w:t>
      </w:r>
    </w:p>
    <w:p w14:paraId="0417CF8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④ 经评标委员会认定评分畸高、畸低的。</w:t>
      </w:r>
    </w:p>
    <w:p w14:paraId="437C860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（9）评审工作完成后，按照规定向评审专家支付劳务报酬和异地评审差旅费，不得向评审专家以外的其他人员支付评审劳务报酬；</w:t>
      </w:r>
    </w:p>
    <w:p w14:paraId="18C134D7">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（10）处理与评标有关的其他事项。</w:t>
      </w:r>
    </w:p>
    <w:p w14:paraId="74E0D59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3、评标委员会负责具体评标事务：</w:t>
      </w:r>
    </w:p>
    <w:p w14:paraId="75E700A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245189C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05A90559">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6DE148C">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4、评标委员会成员独立履行以下职责与义务：</w:t>
      </w:r>
    </w:p>
    <w:p w14:paraId="4600744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（1）遵纪守法，客观、公正、廉洁地履行职责；</w:t>
      </w:r>
    </w:p>
    <w:p w14:paraId="117311B8">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（2）审查合格投标人的投标文件是否实质性响应招标文件要求，并做出评价；</w:t>
      </w:r>
    </w:p>
    <w:p w14:paraId="2AF4C1E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（3）按照招标文件规定的评标办法和评标标准进行评标，对评审意见承担个人责任；</w:t>
      </w:r>
    </w:p>
    <w:p w14:paraId="51F78EF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（4）可以要求投标人对投标文件有关事项作出解释或澄清；</w:t>
      </w:r>
    </w:p>
    <w:p w14:paraId="086B3B75">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（5）对评标过程和结果，以及投标人的商业秘密保密；</w:t>
      </w:r>
    </w:p>
    <w:p w14:paraId="5AFE091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（6）配合相关部门的投诉处理工作；</w:t>
      </w:r>
    </w:p>
    <w:p w14:paraId="3D9E671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（7）配合采购人或采购代理机构答复投标人提出的质疑。</w:t>
      </w:r>
    </w:p>
    <w:p w14:paraId="4B29EC2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5、除采购人代表、评标现场组织人员外，采购人的其他工作人员以及与评标工作无关的人员不得进入评标现场；有关人员对评标情况以及在评标过程中获悉的国家秘密、商业秘密负有保密责任。</w:t>
      </w:r>
    </w:p>
    <w:p w14:paraId="132539B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6、开标后直到公告项目成交结果发出中标通知书并授予中标人合同为止，凡属于评审、澄清、评价和比较投标的所有资料及有关授予合同等的相关信息，都不应向投标人或与评标无关的其他人泄露。</w:t>
      </w:r>
    </w:p>
    <w:p w14:paraId="02216F45">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7、评审期间，合格投标人的投标文件仍有可能被评标委员会根据规定判为无效投标。</w:t>
      </w:r>
    </w:p>
    <w:p w14:paraId="3297399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8、在投标文件的评审、澄清、评价和比较以及授予合同的过程中，投标人对采购人和评标委员会成员有施加影响的任何行为，都将取消其可能的中标资格。</w:t>
      </w:r>
    </w:p>
    <w:p w14:paraId="4E4AC4ED">
      <w:pPr>
        <w:adjustRightInd w:val="0"/>
        <w:snapToGrid w:val="0"/>
        <w:spacing w:line="360" w:lineRule="auto"/>
        <w:ind w:firstLine="487" w:firstLineChars="202"/>
        <w:rPr>
          <w:rFonts w:ascii="宋体" w:hAnsi="宋体"/>
          <w:color w:val="auto"/>
          <w:sz w:val="24"/>
          <w:highlight w:val="none"/>
        </w:rPr>
      </w:pPr>
      <w:r>
        <w:rPr>
          <w:rFonts w:hint="eastAsia" w:ascii="宋体" w:hAnsi="宋体"/>
          <w:b/>
          <w:color w:val="auto"/>
          <w:sz w:val="24"/>
          <w:highlight w:val="none"/>
        </w:rPr>
        <w:t>五、评审原则</w:t>
      </w:r>
    </w:p>
    <w:p w14:paraId="5077EE95">
      <w:pPr>
        <w:snapToGrid w:val="0"/>
        <w:spacing w:line="360" w:lineRule="auto"/>
        <w:ind w:firstLine="484" w:firstLineChars="202"/>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本项目采用</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综合评分法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，即指投标文件满足本项目招标文件全部实质性要求，且按照评审因素的量化指标，经评审后总得分最高的投标人推荐为中标人的评标方法。</w:t>
      </w:r>
    </w:p>
    <w:p w14:paraId="3E8EA6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7C0666E0">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3、评标委员会严格按照招标文件规定的要求、条件、评分标准，对投标人所提供的完整计划标的物的科学性、可行性、产品质量、服务质量的保证及承诺等实质性响应内容进行比较评价。</w:t>
      </w:r>
    </w:p>
    <w:p w14:paraId="3511A552">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rPr>
        <w:t>4、对投标文件的评审判定，只依据投标文件内容本身，不依靠开标后任何外来证明文件。</w:t>
      </w:r>
    </w:p>
    <w:p w14:paraId="22DB7B13">
      <w:pPr>
        <w:snapToGrid w:val="0"/>
        <w:spacing w:line="360" w:lineRule="auto"/>
        <w:ind w:firstLine="487" w:firstLineChars="202"/>
        <w:rPr>
          <w:rFonts w:ascii="宋体" w:hAnsi="宋体"/>
          <w:color w:val="auto"/>
          <w:sz w:val="24"/>
          <w:highlight w:val="none"/>
        </w:rPr>
      </w:pPr>
      <w:r>
        <w:rPr>
          <w:rFonts w:hint="eastAsia" w:ascii="宋体" w:hAnsi="宋体"/>
          <w:b/>
          <w:color w:val="auto"/>
          <w:sz w:val="24"/>
          <w:highlight w:val="none"/>
        </w:rPr>
        <w:t>六、评审方法</w:t>
      </w:r>
    </w:p>
    <w:p w14:paraId="546516E1">
      <w:pPr>
        <w:snapToGrid w:val="0"/>
        <w:spacing w:line="360" w:lineRule="auto"/>
        <w:ind w:firstLine="484" w:firstLineChars="202"/>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评标程序：</w:t>
      </w:r>
    </w:p>
    <w:p w14:paraId="39DBB8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资格符合性评审——商务技术标评审——价格标评审——确定中标候选人。</w:t>
      </w:r>
    </w:p>
    <w:p w14:paraId="4EF9770D">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本次资格审查采用资格后审，各投标人资格审查通过后方能进入商务技术标的开标。先开商务技术标，商务技术标打分结束后再开价格标。</w:t>
      </w:r>
    </w:p>
    <w:p w14:paraId="0553E2C9">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2、评标委员会将仅对按本招标文件载明的方法与规定，为实质上响应招标文件要求的投标文件评审并进行评价和比较。</w:t>
      </w:r>
    </w:p>
    <w:p w14:paraId="77334192">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3、本次项目的商务技术标和价格标评审总分值为100分。两部分评审因素比重如下：</w:t>
      </w:r>
    </w:p>
    <w:p w14:paraId="1A6796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商务技术标分值占总分值的比重为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8</w:t>
      </w:r>
      <w:r>
        <w:rPr>
          <w:rFonts w:hint="eastAsia" w:ascii="宋体" w:hAnsi="宋体" w:cs="宋体"/>
          <w:b/>
          <w:bCs/>
          <w:color w:val="auto"/>
          <w:sz w:val="24"/>
          <w:highlight w:val="none"/>
          <w:u w:val="single"/>
          <w:lang w:val="en-US" w:eastAsia="zh-CN"/>
        </w:rPr>
        <w:t>0</w:t>
      </w:r>
      <w:r>
        <w:rPr>
          <w:rFonts w:hint="eastAsia" w:ascii="宋体" w:hAnsi="宋体" w:cs="宋体"/>
          <w:b/>
          <w:bCs/>
          <w:color w:val="auto"/>
          <w:sz w:val="24"/>
          <w:highlight w:val="none"/>
          <w:u w:val="single"/>
        </w:rPr>
        <w:t xml:space="preserve">%（权重）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14:paraId="64C7B3B7">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rPr>
        <w:t>价格标分值占总分值的比重为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val="en-US" w:eastAsia="zh-CN"/>
        </w:rPr>
        <w:t>20</w:t>
      </w:r>
      <w:r>
        <w:rPr>
          <w:rFonts w:hint="eastAsia" w:ascii="宋体" w:hAnsi="宋体" w:cs="宋体"/>
          <w:b/>
          <w:bCs/>
          <w:color w:val="auto"/>
          <w:sz w:val="24"/>
          <w:highlight w:val="none"/>
          <w:u w:val="single"/>
        </w:rPr>
        <w:t>%（权重）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14:paraId="443DD7DA">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4、评标委员会严格按照招标文件的要求、条件、评分标准，对投标人所提供货物或服务的先进性、可靠性、售后服务承诺、质量保证承诺等实质性响应内容进行比较。</w:t>
      </w:r>
    </w:p>
    <w:p w14:paraId="378B8BD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5、评标委员会构成共5人；评标委员会各成员独立对每个进入打分程序的有效投标人的投标文件的技术部分以打分的形式进行评审和评价。</w:t>
      </w:r>
    </w:p>
    <w:p w14:paraId="048D1746">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6、商务技术标得分按算术平均值计算（计算结果均四舍五入保留两位小数）。</w:t>
      </w:r>
    </w:p>
    <w:p w14:paraId="41E13787">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7、开启投标人的商务报价标，现场唱标后由投标人代表签名确认。</w:t>
      </w:r>
    </w:p>
    <w:p w14:paraId="420DBE0E">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8、投标人的价格标评审得分直接计算取得，并与其商务技术标得分相加为该投标人的综合得分（计算结果均四舍五入保留两位小数）。</w:t>
      </w:r>
    </w:p>
    <w:p w14:paraId="1052AD38">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9、评审后的综合得分相同的，按投标报价由低到高顺序排列；综合得分且投标报价相同的，则采取现场抽签的方式确定（投标人的抽签顺序分别为各投标人递交投标文件签到顺序号）。</w:t>
      </w:r>
    </w:p>
    <w:p w14:paraId="79DDB3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10、评标结果按投标文件满足招标文件全部实质性要求，且按照评审因素的量化指标评审综合得分从高到低的顺序依次推荐3名中标候选人，出具评审报告并将结果通知所有投标人。</w:t>
      </w:r>
    </w:p>
    <w:p w14:paraId="5985196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七、关于投标价格评审</w:t>
      </w:r>
    </w:p>
    <w:p w14:paraId="2C3159AF">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1、针对投标价格实质响应的评审</w:t>
      </w:r>
    </w:p>
    <w:p w14:paraId="0CA62B05">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067C97E2">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2、针对投标价格合理性的评审</w:t>
      </w:r>
    </w:p>
    <w:p w14:paraId="62732546">
      <w:pPr>
        <w:snapToGrid w:val="0"/>
        <w:spacing w:line="360" w:lineRule="auto"/>
        <w:ind w:firstLine="487" w:firstLineChars="202"/>
        <w:rPr>
          <w:rFonts w:ascii="宋体" w:hAnsi="宋体"/>
          <w:color w:val="auto"/>
          <w:sz w:val="24"/>
          <w:highlight w:val="none"/>
        </w:rPr>
      </w:pP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 w:val="24"/>
          <w:highlight w:val="none"/>
        </w:rPr>
        <w:t xml:space="preserve"> </w:t>
      </w:r>
    </w:p>
    <w:p w14:paraId="7D95AD62">
      <w:pPr>
        <w:snapToGrid w:val="0"/>
        <w:spacing w:line="360" w:lineRule="auto"/>
        <w:ind w:firstLine="487" w:firstLineChars="202"/>
        <w:rPr>
          <w:rFonts w:ascii="宋体" w:hAnsi="宋体" w:cs="宋体"/>
          <w:b/>
          <w:color w:val="auto"/>
          <w:sz w:val="24"/>
          <w:highlight w:val="none"/>
        </w:rPr>
      </w:pPr>
      <w:r>
        <w:rPr>
          <w:rFonts w:hint="eastAsia" w:ascii="宋体" w:hAnsi="宋体" w:cs="宋体"/>
          <w:b/>
          <w:color w:val="auto"/>
          <w:sz w:val="24"/>
          <w:highlight w:val="none"/>
        </w:rPr>
        <w:t>八、评审评分项</w:t>
      </w:r>
    </w:p>
    <w:p w14:paraId="4C39DDB1">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（一）商务技术标</w:t>
      </w:r>
      <w:r>
        <w:rPr>
          <w:rFonts w:ascii="宋体" w:hAnsi="宋体"/>
          <w:b/>
          <w:bCs/>
          <w:color w:val="auto"/>
          <w:sz w:val="24"/>
          <w:highlight w:val="none"/>
        </w:rPr>
        <w:t xml:space="preserve">  （</w:t>
      </w:r>
      <w:r>
        <w:rPr>
          <w:rFonts w:hint="eastAsia" w:ascii="宋体" w:hAnsi="宋体"/>
          <w:b/>
          <w:bCs/>
          <w:color w:val="auto"/>
          <w:sz w:val="24"/>
          <w:highlight w:val="none"/>
        </w:rPr>
        <w:t>8</w:t>
      </w:r>
      <w:r>
        <w:rPr>
          <w:rFonts w:hint="eastAsia" w:ascii="宋体" w:hAnsi="宋体"/>
          <w:b/>
          <w:bCs/>
          <w:color w:val="auto"/>
          <w:sz w:val="24"/>
          <w:highlight w:val="none"/>
          <w:lang w:val="en-US" w:eastAsia="zh-CN"/>
        </w:rPr>
        <w:t>0</w:t>
      </w:r>
      <w:r>
        <w:rPr>
          <w:rFonts w:ascii="宋体" w:hAnsi="宋体"/>
          <w:b/>
          <w:bCs/>
          <w:color w:val="auto"/>
          <w:sz w:val="24"/>
          <w:highlight w:val="none"/>
        </w:rPr>
        <w:t>分）</w:t>
      </w:r>
    </w:p>
    <w:bookmarkEnd w:id="14"/>
    <w:bookmarkEnd w:id="15"/>
    <w:tbl>
      <w:tblPr>
        <w:tblStyle w:val="64"/>
        <w:tblW w:w="9507"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75"/>
        <w:gridCol w:w="851"/>
        <w:gridCol w:w="6662"/>
      </w:tblGrid>
      <w:tr w14:paraId="6AB9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719" w:type="dxa"/>
            <w:noWrap w:val="0"/>
            <w:vAlign w:val="center"/>
          </w:tcPr>
          <w:p w14:paraId="65EEA32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275" w:type="dxa"/>
            <w:noWrap w:val="0"/>
            <w:vAlign w:val="center"/>
          </w:tcPr>
          <w:p w14:paraId="7335D02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评审因素</w:t>
            </w:r>
          </w:p>
        </w:tc>
        <w:tc>
          <w:tcPr>
            <w:tcW w:w="851" w:type="dxa"/>
            <w:noWrap w:val="0"/>
            <w:vAlign w:val="center"/>
          </w:tcPr>
          <w:p w14:paraId="668B83F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6662" w:type="dxa"/>
            <w:noWrap w:val="0"/>
            <w:vAlign w:val="center"/>
          </w:tcPr>
          <w:p w14:paraId="32BAA38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评审标准</w:t>
            </w:r>
          </w:p>
        </w:tc>
      </w:tr>
      <w:tr w14:paraId="3156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noWrap w:val="0"/>
            <w:vAlign w:val="center"/>
          </w:tcPr>
          <w:p w14:paraId="5A9553C6">
            <w:pPr>
              <w:keepNext w:val="0"/>
              <w:keepLines w:val="0"/>
              <w:pageBreakBefore w:val="0"/>
              <w:widowControl/>
              <w:shd w:val="clear" w:color="auto" w:fill="FFFFFF"/>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75" w:type="dxa"/>
            <w:noWrap w:val="0"/>
            <w:vAlign w:val="center"/>
          </w:tcPr>
          <w:p w14:paraId="2D8C48DE">
            <w:pPr>
              <w:keepNext w:val="0"/>
              <w:keepLines w:val="0"/>
              <w:pageBreakBefore w:val="0"/>
              <w:kinsoku/>
              <w:wordWrap/>
              <w:overflowPunct/>
              <w:topLinePunct w:val="0"/>
              <w:autoSpaceDE/>
              <w:autoSpaceDN/>
              <w:bidi w:val="0"/>
              <w:spacing w:line="240" w:lineRule="auto"/>
              <w:jc w:val="center"/>
              <w:textAlignment w:val="center"/>
              <w:rPr>
                <w:color w:val="auto"/>
                <w:sz w:val="24"/>
                <w:highlight w:val="none"/>
              </w:rPr>
            </w:pPr>
            <w:r>
              <w:rPr>
                <w:color w:val="auto"/>
                <w:sz w:val="24"/>
                <w:highlight w:val="none"/>
              </w:rPr>
              <w:t>管理体系认证</w:t>
            </w:r>
          </w:p>
        </w:tc>
        <w:tc>
          <w:tcPr>
            <w:tcW w:w="851" w:type="dxa"/>
            <w:noWrap w:val="0"/>
            <w:vAlign w:val="center"/>
          </w:tcPr>
          <w:p w14:paraId="64CA63B0">
            <w:pPr>
              <w:keepNext w:val="0"/>
              <w:keepLines w:val="0"/>
              <w:pageBreakBefore w:val="0"/>
              <w:kinsoku/>
              <w:wordWrap/>
              <w:overflowPunct/>
              <w:topLinePunct w:val="0"/>
              <w:autoSpaceDE/>
              <w:autoSpaceDN/>
              <w:bidi w:val="0"/>
              <w:spacing w:line="240" w:lineRule="auto"/>
              <w:jc w:val="center"/>
              <w:rPr>
                <w:color w:val="auto"/>
                <w:kern w:val="0"/>
                <w:sz w:val="24"/>
                <w:highlight w:val="none"/>
              </w:rPr>
            </w:pPr>
            <w:r>
              <w:rPr>
                <w:color w:val="auto"/>
                <w:kern w:val="0"/>
                <w:sz w:val="24"/>
                <w:highlight w:val="none"/>
              </w:rPr>
              <w:t>3</w:t>
            </w:r>
          </w:p>
        </w:tc>
        <w:tc>
          <w:tcPr>
            <w:tcW w:w="6662" w:type="dxa"/>
            <w:noWrap w:val="0"/>
            <w:vAlign w:val="center"/>
          </w:tcPr>
          <w:p w14:paraId="1C2B57E3">
            <w:pPr>
              <w:keepNext w:val="0"/>
              <w:keepLines w:val="0"/>
              <w:pageBreakBefore w:val="0"/>
              <w:kinsoku/>
              <w:wordWrap/>
              <w:overflowPunct/>
              <w:topLinePunct w:val="0"/>
              <w:autoSpaceDE/>
              <w:autoSpaceDN/>
              <w:bidi w:val="0"/>
              <w:spacing w:line="240" w:lineRule="auto"/>
              <w:jc w:val="left"/>
              <w:rPr>
                <w:color w:val="auto"/>
                <w:kern w:val="0"/>
                <w:sz w:val="24"/>
                <w:highlight w:val="none"/>
              </w:rPr>
            </w:pPr>
            <w:r>
              <w:rPr>
                <w:color w:val="auto"/>
                <w:kern w:val="0"/>
                <w:sz w:val="24"/>
                <w:highlight w:val="none"/>
              </w:rPr>
              <w:t>具有质量管理体系认证</w:t>
            </w:r>
            <w:r>
              <w:rPr>
                <w:rFonts w:hint="eastAsia"/>
                <w:color w:val="auto"/>
                <w:kern w:val="0"/>
                <w:sz w:val="24"/>
                <w:highlight w:val="none"/>
              </w:rPr>
              <w:t>、</w:t>
            </w:r>
            <w:r>
              <w:rPr>
                <w:color w:val="auto"/>
                <w:kern w:val="0"/>
                <w:sz w:val="24"/>
                <w:highlight w:val="none"/>
              </w:rPr>
              <w:t>职业健康安全管理体系认证</w:t>
            </w:r>
            <w:r>
              <w:rPr>
                <w:rFonts w:hint="eastAsia"/>
                <w:color w:val="auto"/>
                <w:kern w:val="0"/>
                <w:sz w:val="24"/>
                <w:highlight w:val="none"/>
              </w:rPr>
              <w:t>、</w:t>
            </w:r>
            <w:r>
              <w:rPr>
                <w:color w:val="auto"/>
                <w:kern w:val="0"/>
                <w:sz w:val="24"/>
                <w:highlight w:val="none"/>
              </w:rPr>
              <w:t>环境管理体系认证，</w:t>
            </w:r>
            <w:r>
              <w:rPr>
                <w:rFonts w:hint="eastAsia"/>
                <w:color w:val="auto"/>
                <w:kern w:val="0"/>
                <w:sz w:val="24"/>
                <w:highlight w:val="none"/>
              </w:rPr>
              <w:t>有1个</w:t>
            </w:r>
            <w:r>
              <w:rPr>
                <w:color w:val="auto"/>
                <w:kern w:val="0"/>
                <w:sz w:val="24"/>
                <w:highlight w:val="none"/>
              </w:rPr>
              <w:t>得1分</w:t>
            </w:r>
            <w:r>
              <w:rPr>
                <w:rFonts w:hint="eastAsia"/>
                <w:color w:val="auto"/>
                <w:kern w:val="0"/>
                <w:sz w:val="24"/>
                <w:highlight w:val="none"/>
              </w:rPr>
              <w:t>，最多得3分</w:t>
            </w:r>
            <w:r>
              <w:rPr>
                <w:color w:val="auto"/>
                <w:kern w:val="0"/>
                <w:sz w:val="24"/>
                <w:highlight w:val="none"/>
              </w:rPr>
              <w:t>。</w:t>
            </w:r>
          </w:p>
          <w:p w14:paraId="050A9640">
            <w:pPr>
              <w:keepNext w:val="0"/>
              <w:keepLines w:val="0"/>
              <w:pageBreakBefore w:val="0"/>
              <w:kinsoku/>
              <w:wordWrap/>
              <w:overflowPunct/>
              <w:topLinePunct w:val="0"/>
              <w:autoSpaceDE/>
              <w:autoSpaceDN/>
              <w:bidi w:val="0"/>
              <w:spacing w:line="240" w:lineRule="auto"/>
              <w:jc w:val="left"/>
              <w:rPr>
                <w:b/>
                <w:bCs/>
                <w:color w:val="auto"/>
                <w:kern w:val="0"/>
                <w:sz w:val="24"/>
                <w:highlight w:val="none"/>
              </w:rPr>
            </w:pPr>
            <w:r>
              <w:rPr>
                <w:b/>
                <w:bCs/>
                <w:color w:val="auto"/>
                <w:kern w:val="0"/>
                <w:sz w:val="24"/>
                <w:highlight w:val="none"/>
              </w:rPr>
              <w:t>(提供证书复印件加盖公章)</w:t>
            </w:r>
          </w:p>
        </w:tc>
      </w:tr>
      <w:tr w14:paraId="3FA0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noWrap w:val="0"/>
            <w:vAlign w:val="center"/>
          </w:tcPr>
          <w:p w14:paraId="6CA6AD61">
            <w:pPr>
              <w:keepNext w:val="0"/>
              <w:keepLines w:val="0"/>
              <w:pageBreakBefore w:val="0"/>
              <w:widowControl/>
              <w:shd w:val="clear" w:color="auto" w:fill="FFFFFF"/>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275" w:type="dxa"/>
            <w:noWrap w:val="0"/>
            <w:vAlign w:val="center"/>
          </w:tcPr>
          <w:p w14:paraId="1E0DC063">
            <w:pPr>
              <w:keepNext w:val="0"/>
              <w:keepLines w:val="0"/>
              <w:pageBreakBefore w:val="0"/>
              <w:widowControl/>
              <w:shd w:val="clear" w:color="auto" w:fill="FFFFFF"/>
              <w:kinsoku/>
              <w:wordWrap/>
              <w:overflowPunct/>
              <w:topLinePunct w:val="0"/>
              <w:autoSpaceDE/>
              <w:autoSpaceDN/>
              <w:bidi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类似</w:t>
            </w:r>
          </w:p>
          <w:p w14:paraId="4ACC9C72">
            <w:pPr>
              <w:keepNext w:val="0"/>
              <w:keepLines w:val="0"/>
              <w:pageBreakBefore w:val="0"/>
              <w:widowControl/>
              <w:shd w:val="clear" w:color="auto" w:fill="FFFFFF"/>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tc>
        <w:tc>
          <w:tcPr>
            <w:tcW w:w="851" w:type="dxa"/>
            <w:noWrap w:val="0"/>
            <w:vAlign w:val="center"/>
          </w:tcPr>
          <w:p w14:paraId="249BBCB9">
            <w:pPr>
              <w:keepNext w:val="0"/>
              <w:keepLines w:val="0"/>
              <w:pageBreakBefore w:val="0"/>
              <w:widowControl/>
              <w:shd w:val="clear" w:color="auto" w:fill="FFFFFF"/>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分</w:t>
            </w:r>
          </w:p>
        </w:tc>
        <w:tc>
          <w:tcPr>
            <w:tcW w:w="6662" w:type="dxa"/>
            <w:noWrap w:val="0"/>
            <w:vAlign w:val="center"/>
          </w:tcPr>
          <w:p w14:paraId="636B9A44">
            <w:pPr>
              <w:keepNext w:val="0"/>
              <w:keepLines w:val="0"/>
              <w:pageBreakBefore w:val="0"/>
              <w:kinsoku/>
              <w:wordWrap/>
              <w:overflowPunct/>
              <w:topLinePunct w:val="0"/>
              <w:autoSpaceDE/>
              <w:autoSpaceDN/>
              <w:bidi w:val="0"/>
              <w:spacing w:line="240" w:lineRule="auto"/>
              <w:jc w:val="left"/>
              <w:rPr>
                <w:color w:val="auto"/>
                <w:kern w:val="0"/>
                <w:sz w:val="24"/>
                <w:highlight w:val="none"/>
              </w:rPr>
            </w:pPr>
            <w:r>
              <w:rPr>
                <w:rFonts w:hint="eastAsia"/>
                <w:color w:val="auto"/>
                <w:kern w:val="0"/>
                <w:sz w:val="24"/>
                <w:highlight w:val="none"/>
              </w:rPr>
              <w:t>1、投标供应商202</w:t>
            </w:r>
            <w:r>
              <w:rPr>
                <w:rFonts w:hint="eastAsia"/>
                <w:color w:val="auto"/>
                <w:kern w:val="0"/>
                <w:sz w:val="24"/>
                <w:highlight w:val="none"/>
                <w:lang w:val="en-US" w:eastAsia="zh-CN"/>
              </w:rPr>
              <w:t>2</w:t>
            </w:r>
            <w:r>
              <w:rPr>
                <w:rFonts w:hint="eastAsia"/>
                <w:color w:val="auto"/>
                <w:kern w:val="0"/>
                <w:sz w:val="24"/>
                <w:highlight w:val="none"/>
              </w:rPr>
              <w:t>年1月1日（以合同签订时间为准）以来承担过1</w:t>
            </w:r>
            <w:r>
              <w:rPr>
                <w:color w:val="auto"/>
                <w:kern w:val="0"/>
                <w:sz w:val="24"/>
                <w:highlight w:val="none"/>
              </w:rPr>
              <w:t>0kV</w:t>
            </w:r>
            <w:r>
              <w:rPr>
                <w:rFonts w:hint="eastAsia"/>
                <w:color w:val="auto"/>
                <w:kern w:val="0"/>
                <w:sz w:val="24"/>
                <w:highlight w:val="none"/>
              </w:rPr>
              <w:t>电压等级电气设备预防性试验项目的1个得2分，最多得</w:t>
            </w:r>
            <w:r>
              <w:rPr>
                <w:color w:val="auto"/>
                <w:kern w:val="0"/>
                <w:sz w:val="24"/>
                <w:highlight w:val="none"/>
              </w:rPr>
              <w:t>4</w:t>
            </w:r>
            <w:r>
              <w:rPr>
                <w:rFonts w:hint="eastAsia"/>
                <w:color w:val="auto"/>
                <w:kern w:val="0"/>
                <w:sz w:val="24"/>
                <w:highlight w:val="none"/>
              </w:rPr>
              <w:t>分；</w:t>
            </w:r>
          </w:p>
          <w:p w14:paraId="088B3E2B">
            <w:pPr>
              <w:keepNext w:val="0"/>
              <w:keepLines w:val="0"/>
              <w:pageBreakBefore w:val="0"/>
              <w:kinsoku/>
              <w:wordWrap/>
              <w:overflowPunct/>
              <w:topLinePunct w:val="0"/>
              <w:autoSpaceDE/>
              <w:autoSpaceDN/>
              <w:bidi w:val="0"/>
              <w:spacing w:line="240" w:lineRule="auto"/>
              <w:jc w:val="left"/>
              <w:rPr>
                <w:rFonts w:hint="eastAsia"/>
                <w:color w:val="auto"/>
                <w:kern w:val="0"/>
                <w:sz w:val="24"/>
                <w:highlight w:val="none"/>
              </w:rPr>
            </w:pPr>
            <w:r>
              <w:rPr>
                <w:rFonts w:hint="eastAsia"/>
                <w:color w:val="auto"/>
                <w:kern w:val="0"/>
                <w:sz w:val="24"/>
                <w:highlight w:val="none"/>
              </w:rPr>
              <w:t>2、投标供应商202</w:t>
            </w:r>
            <w:r>
              <w:rPr>
                <w:rFonts w:hint="eastAsia"/>
                <w:color w:val="auto"/>
                <w:kern w:val="0"/>
                <w:sz w:val="24"/>
                <w:highlight w:val="none"/>
                <w:lang w:val="en-US" w:eastAsia="zh-CN"/>
              </w:rPr>
              <w:t>2</w:t>
            </w:r>
            <w:r>
              <w:rPr>
                <w:rFonts w:hint="eastAsia"/>
                <w:color w:val="auto"/>
                <w:kern w:val="0"/>
                <w:sz w:val="24"/>
                <w:highlight w:val="none"/>
              </w:rPr>
              <w:t>年1月1日（以合同签订时间为准）以来承担过</w:t>
            </w:r>
            <w:r>
              <w:rPr>
                <w:color w:val="auto"/>
                <w:kern w:val="0"/>
                <w:sz w:val="24"/>
                <w:highlight w:val="none"/>
              </w:rPr>
              <w:t>35kV</w:t>
            </w:r>
            <w:r>
              <w:rPr>
                <w:rFonts w:hint="eastAsia"/>
                <w:color w:val="auto"/>
                <w:kern w:val="0"/>
                <w:sz w:val="24"/>
                <w:highlight w:val="none"/>
              </w:rPr>
              <w:t>及以上电压等级电气设备预防性试验项目的1个得</w:t>
            </w:r>
            <w:r>
              <w:rPr>
                <w:color w:val="auto"/>
                <w:kern w:val="0"/>
                <w:sz w:val="24"/>
                <w:highlight w:val="none"/>
              </w:rPr>
              <w:t>3</w:t>
            </w:r>
            <w:r>
              <w:rPr>
                <w:rFonts w:hint="eastAsia"/>
                <w:color w:val="auto"/>
                <w:kern w:val="0"/>
                <w:sz w:val="24"/>
                <w:highlight w:val="none"/>
              </w:rPr>
              <w:t>分，最多得</w:t>
            </w:r>
            <w:r>
              <w:rPr>
                <w:color w:val="auto"/>
                <w:kern w:val="0"/>
                <w:sz w:val="24"/>
                <w:highlight w:val="none"/>
              </w:rPr>
              <w:t>6</w:t>
            </w:r>
            <w:r>
              <w:rPr>
                <w:rFonts w:hint="eastAsia"/>
                <w:color w:val="auto"/>
                <w:kern w:val="0"/>
                <w:sz w:val="24"/>
                <w:highlight w:val="none"/>
              </w:rPr>
              <w:t>分；</w:t>
            </w:r>
          </w:p>
          <w:p w14:paraId="6697635B">
            <w:pPr>
              <w:keepNext w:val="0"/>
              <w:keepLines w:val="0"/>
              <w:pageBreakBefore w:val="0"/>
              <w:widowControl/>
              <w:shd w:val="clear" w:color="auto" w:fill="FFFFFF"/>
              <w:kinsoku/>
              <w:wordWrap/>
              <w:overflowPunct/>
              <w:topLinePunct w:val="0"/>
              <w:autoSpaceDE/>
              <w:autoSpaceDN/>
              <w:bidi w:val="0"/>
              <w:spacing w:line="24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（提供合同复印件加盖公章）</w:t>
            </w:r>
          </w:p>
        </w:tc>
      </w:tr>
      <w:tr w14:paraId="15FB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719" w:type="dxa"/>
            <w:noWrap w:val="0"/>
            <w:vAlign w:val="center"/>
          </w:tcPr>
          <w:p w14:paraId="27DB97AD">
            <w:pPr>
              <w:keepNext w:val="0"/>
              <w:keepLines w:val="0"/>
              <w:pageBreakBefore w:val="0"/>
              <w:widowControl/>
              <w:shd w:val="clear" w:color="auto" w:fill="FFFFFF"/>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275" w:type="dxa"/>
            <w:noWrap w:val="0"/>
            <w:vAlign w:val="center"/>
          </w:tcPr>
          <w:p w14:paraId="54606FD5">
            <w:pPr>
              <w:keepNext w:val="0"/>
              <w:keepLines w:val="0"/>
              <w:pageBreakBefore w:val="0"/>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p w14:paraId="0F61E726">
            <w:pPr>
              <w:keepNext w:val="0"/>
              <w:keepLines w:val="0"/>
              <w:pageBreakBefore w:val="0"/>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能力素质</w:t>
            </w:r>
          </w:p>
        </w:tc>
        <w:tc>
          <w:tcPr>
            <w:tcW w:w="851" w:type="dxa"/>
            <w:noWrap w:val="0"/>
            <w:vAlign w:val="center"/>
          </w:tcPr>
          <w:p w14:paraId="5C15E5B8">
            <w:pPr>
              <w:keepNext w:val="0"/>
              <w:keepLines w:val="0"/>
              <w:pageBreakBefore w:val="0"/>
              <w:widowControl/>
              <w:shd w:val="clear" w:color="auto" w:fill="FFFFFF"/>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分</w:t>
            </w:r>
          </w:p>
        </w:tc>
        <w:tc>
          <w:tcPr>
            <w:tcW w:w="6662" w:type="dxa"/>
            <w:noWrap w:val="0"/>
            <w:vAlign w:val="center"/>
          </w:tcPr>
          <w:p w14:paraId="68B0A2E4">
            <w:pPr>
              <w:keepNext w:val="0"/>
              <w:keepLines w:val="0"/>
              <w:pageBreakBefore w:val="0"/>
              <w:widowControl/>
              <w:shd w:val="clear" w:color="auto" w:fill="FFFFFF"/>
              <w:kinsoku/>
              <w:wordWrap/>
              <w:overflowPunct/>
              <w:topLinePunct w:val="0"/>
              <w:autoSpaceDE/>
              <w:autoSpaceDN/>
              <w:bidi w:val="0"/>
              <w:spacing w:line="240" w:lineRule="auto"/>
              <w:jc w:val="left"/>
              <w:rPr>
                <w:rFonts w:ascii="宋体" w:hAnsi="宋体" w:cs="宋体"/>
                <w:color w:val="auto"/>
                <w:sz w:val="24"/>
                <w:szCs w:val="24"/>
                <w:highlight w:val="none"/>
                <w:lang w:val="zh-TW"/>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TW"/>
              </w:rPr>
              <w:t>项目</w:t>
            </w:r>
            <w:r>
              <w:rPr>
                <w:rFonts w:hint="eastAsia" w:ascii="宋体" w:hAnsi="宋体" w:cs="宋体"/>
                <w:color w:val="auto"/>
                <w:sz w:val="24"/>
                <w:szCs w:val="24"/>
                <w:highlight w:val="none"/>
              </w:rPr>
              <w:t>负责人机电工程专业二级及以上注册建造师资格，且注册单位为投标单位得5分</w:t>
            </w:r>
            <w:r>
              <w:rPr>
                <w:rFonts w:hint="eastAsia" w:ascii="宋体" w:hAnsi="宋体" w:cs="宋体"/>
                <w:color w:val="auto"/>
                <w:sz w:val="24"/>
                <w:szCs w:val="24"/>
                <w:highlight w:val="none"/>
                <w:lang w:val="zh-TW"/>
              </w:rPr>
              <w:t>；</w:t>
            </w:r>
          </w:p>
          <w:p w14:paraId="3C42389D">
            <w:pPr>
              <w:keepNext w:val="0"/>
              <w:keepLines w:val="0"/>
              <w:pageBreakBefore w:val="0"/>
              <w:widowControl/>
              <w:shd w:val="clear" w:color="auto" w:fill="FFFFFF"/>
              <w:kinsoku/>
              <w:wordWrap/>
              <w:overflowPunct/>
              <w:topLinePunct w:val="0"/>
              <w:autoSpaceDE/>
              <w:autoSpaceDN/>
              <w:bidi w:val="0"/>
              <w:spacing w:line="240" w:lineRule="auto"/>
              <w:jc w:val="left"/>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 xml:space="preserve">2、项目负责人具有电气工程相关专业高级及以上职称的得 </w:t>
            </w:r>
            <w:r>
              <w:rPr>
                <w:rFonts w:ascii="宋体" w:hAnsi="宋体" w:eastAsia="PMingLiU" w:cs="宋体"/>
                <w:color w:val="auto"/>
                <w:sz w:val="24"/>
                <w:szCs w:val="24"/>
                <w:highlight w:val="none"/>
                <w:lang w:val="zh-TW" w:eastAsia="zh-TW"/>
              </w:rPr>
              <w:t>4</w:t>
            </w:r>
            <w:r>
              <w:rPr>
                <w:rFonts w:hint="eastAsia" w:ascii="宋体" w:hAnsi="宋体" w:cs="宋体"/>
                <w:color w:val="auto"/>
                <w:sz w:val="24"/>
                <w:szCs w:val="24"/>
                <w:highlight w:val="none"/>
                <w:lang w:val="zh-TW"/>
              </w:rPr>
              <w:t>分；</w:t>
            </w:r>
          </w:p>
          <w:p w14:paraId="6EF449E0">
            <w:pPr>
              <w:keepNext w:val="0"/>
              <w:keepLines w:val="0"/>
              <w:pageBreakBefore w:val="0"/>
              <w:widowControl/>
              <w:shd w:val="clear" w:color="auto" w:fill="FFFFFF"/>
              <w:kinsoku/>
              <w:wordWrap/>
              <w:overflowPunct/>
              <w:topLinePunct w:val="0"/>
              <w:autoSpaceDE/>
              <w:autoSpaceDN/>
              <w:bidi w:val="0"/>
              <w:spacing w:line="240" w:lineRule="auto"/>
              <w:jc w:val="left"/>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项目负责人须为投标企业正式员工，提供项目负责人与投标企业签订的有效劳动合同及供应商为其缴纳的</w:t>
            </w:r>
            <w:r>
              <w:rPr>
                <w:rFonts w:hint="eastAsia" w:ascii="宋体" w:hAnsi="宋体" w:cs="宋体"/>
                <w:color w:val="auto"/>
                <w:sz w:val="24"/>
                <w:szCs w:val="24"/>
                <w:highlight w:val="none"/>
                <w:lang w:val="en-US" w:eastAsia="zh-CN"/>
              </w:rPr>
              <w:t>近三个月任意一个月的</w:t>
            </w:r>
            <w:r>
              <w:rPr>
                <w:rFonts w:hint="eastAsia" w:ascii="宋体" w:hAnsi="宋体" w:cs="宋体"/>
                <w:color w:val="auto"/>
                <w:sz w:val="24"/>
                <w:szCs w:val="24"/>
                <w:highlight w:val="none"/>
                <w:lang w:val="zh-TW"/>
              </w:rPr>
              <w:t>社保证明，否则不得分。</w:t>
            </w:r>
          </w:p>
          <w:p w14:paraId="55E1A288">
            <w:pPr>
              <w:keepNext w:val="0"/>
              <w:keepLines w:val="0"/>
              <w:pageBreakBefore w:val="0"/>
              <w:widowControl/>
              <w:shd w:val="clear" w:color="auto" w:fill="FFFFFF"/>
              <w:kinsoku/>
              <w:wordWrap/>
              <w:overflowPunct/>
              <w:topLinePunct w:val="0"/>
              <w:autoSpaceDE/>
              <w:autoSpaceDN/>
              <w:bidi w:val="0"/>
              <w:spacing w:line="240" w:lineRule="auto"/>
              <w:jc w:val="left"/>
              <w:rPr>
                <w:rFonts w:hint="eastAsia" w:ascii="宋体" w:hAnsi="宋体" w:cs="宋体"/>
                <w:color w:val="auto"/>
                <w:kern w:val="0"/>
                <w:sz w:val="24"/>
                <w:szCs w:val="24"/>
                <w:highlight w:val="none"/>
              </w:rPr>
            </w:pPr>
            <w:r>
              <w:rPr>
                <w:rFonts w:hint="eastAsia" w:ascii="宋体" w:hAnsi="宋体" w:cs="宋体"/>
                <w:b/>
                <w:bCs/>
                <w:color w:val="auto"/>
                <w:sz w:val="24"/>
                <w:szCs w:val="24"/>
                <w:highlight w:val="none"/>
                <w:lang w:val="zh-TW"/>
              </w:rPr>
              <w:t>提供材料：建造师注册证书及安全生产考试合格证、职称证书、有效劳动合同及供应商为其缴纳的近三个月任意一个月</w:t>
            </w:r>
            <w:r>
              <w:rPr>
                <w:rFonts w:hint="eastAsia" w:ascii="宋体" w:hAnsi="宋体" w:cs="宋体"/>
                <w:b/>
                <w:bCs/>
                <w:color w:val="auto"/>
                <w:sz w:val="24"/>
                <w:szCs w:val="24"/>
                <w:highlight w:val="none"/>
                <w:lang w:val="en-US" w:eastAsia="zh-CN"/>
              </w:rPr>
              <w:t>的</w:t>
            </w:r>
            <w:r>
              <w:rPr>
                <w:rFonts w:hint="eastAsia" w:ascii="宋体" w:hAnsi="宋体" w:cs="宋体"/>
                <w:b/>
                <w:bCs/>
                <w:color w:val="auto"/>
                <w:sz w:val="24"/>
                <w:szCs w:val="24"/>
                <w:highlight w:val="none"/>
                <w:lang w:val="zh-TW"/>
              </w:rPr>
              <w:t>社保证明复印件。</w:t>
            </w:r>
          </w:p>
        </w:tc>
      </w:tr>
      <w:tr w14:paraId="1D29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noWrap w:val="0"/>
            <w:vAlign w:val="center"/>
          </w:tcPr>
          <w:p w14:paraId="7E253797">
            <w:pPr>
              <w:keepNext w:val="0"/>
              <w:keepLines w:val="0"/>
              <w:pageBreakBefore w:val="0"/>
              <w:widowControl/>
              <w:shd w:val="clear" w:color="auto" w:fill="FFFFFF"/>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275" w:type="dxa"/>
            <w:noWrap w:val="0"/>
            <w:vAlign w:val="center"/>
          </w:tcPr>
          <w:p w14:paraId="7E2D699A">
            <w:pPr>
              <w:keepNext w:val="0"/>
              <w:keepLines w:val="0"/>
              <w:pageBreakBefore w:val="0"/>
              <w:widowControl/>
              <w:shd w:val="clear" w:color="auto" w:fill="FFFFFF"/>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人员配置</w:t>
            </w:r>
          </w:p>
        </w:tc>
        <w:tc>
          <w:tcPr>
            <w:tcW w:w="851" w:type="dxa"/>
            <w:noWrap w:val="0"/>
            <w:vAlign w:val="center"/>
          </w:tcPr>
          <w:p w14:paraId="56380F13">
            <w:pPr>
              <w:keepNext w:val="0"/>
              <w:keepLines w:val="0"/>
              <w:pageBreakBefore w:val="0"/>
              <w:widowControl/>
              <w:shd w:val="clear" w:color="auto" w:fill="FFFFFF"/>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分</w:t>
            </w:r>
          </w:p>
        </w:tc>
        <w:tc>
          <w:tcPr>
            <w:tcW w:w="6662" w:type="dxa"/>
            <w:noWrap w:val="0"/>
            <w:vAlign w:val="center"/>
          </w:tcPr>
          <w:p w14:paraId="04DEC642">
            <w:pPr>
              <w:keepNext w:val="0"/>
              <w:keepLines w:val="0"/>
              <w:pageBreakBefore w:val="0"/>
              <w:widowControl/>
              <w:shd w:val="clear" w:color="auto" w:fill="FFFFFF"/>
              <w:kinsoku/>
              <w:wordWrap/>
              <w:overflowPunct/>
              <w:topLinePunct w:val="0"/>
              <w:autoSpaceDE/>
              <w:autoSpaceDN/>
              <w:bidi w:val="0"/>
              <w:spacing w:line="240" w:lineRule="auto"/>
              <w:jc w:val="left"/>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1、项目组人员中配备同时具有特种作业操作证（高压电工作业）和特种作业操作证（低压电工作业）的电工2人及以上得4分，提供证书扫描件。</w:t>
            </w:r>
          </w:p>
          <w:p w14:paraId="08B27E05">
            <w:pPr>
              <w:keepNext w:val="0"/>
              <w:keepLines w:val="0"/>
              <w:pageBreakBefore w:val="0"/>
              <w:widowControl/>
              <w:shd w:val="clear" w:color="auto" w:fill="FFFFFF"/>
              <w:kinsoku/>
              <w:wordWrap/>
              <w:overflowPunct/>
              <w:topLinePunct w:val="0"/>
              <w:autoSpaceDE/>
              <w:autoSpaceDN/>
              <w:bidi w:val="0"/>
              <w:spacing w:line="240" w:lineRule="auto"/>
              <w:jc w:val="left"/>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TW"/>
              </w:rPr>
              <w:t>项目组人员中配备具有特种作业操作证（继电保护作业）或特种作业操作证（电气试验作业）的电工的，有1人加1分，同一人具备2个证书的，不重复加分，最高得 4 分，提供证书扫描件。</w:t>
            </w:r>
          </w:p>
          <w:p w14:paraId="7B6847D6">
            <w:pPr>
              <w:keepNext w:val="0"/>
              <w:keepLines w:val="0"/>
              <w:pageBreakBefore w:val="0"/>
              <w:widowControl/>
              <w:shd w:val="clear" w:color="auto" w:fill="FFFFFF"/>
              <w:kinsoku/>
              <w:wordWrap/>
              <w:overflowPunct/>
              <w:topLinePunct w:val="0"/>
              <w:autoSpaceDE/>
              <w:autoSpaceDN/>
              <w:bidi w:val="0"/>
              <w:spacing w:line="240" w:lineRule="auto"/>
              <w:jc w:val="left"/>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TW"/>
              </w:rPr>
              <w:t>、项目组人员</w:t>
            </w:r>
            <w:r>
              <w:rPr>
                <w:rFonts w:hint="eastAsia" w:ascii="宋体" w:hAnsi="宋体" w:cs="宋体"/>
                <w:color w:val="auto"/>
                <w:sz w:val="24"/>
                <w:szCs w:val="24"/>
                <w:highlight w:val="none"/>
                <w:lang w:val="zh-TW" w:eastAsia="zh-CN"/>
              </w:rPr>
              <w:t>（除项目</w:t>
            </w:r>
            <w:r>
              <w:rPr>
                <w:rFonts w:hint="eastAsia" w:ascii="宋体" w:hAnsi="宋体" w:cs="宋体"/>
                <w:color w:val="auto"/>
                <w:sz w:val="24"/>
                <w:szCs w:val="24"/>
                <w:highlight w:val="none"/>
                <w:lang w:val="en-US" w:eastAsia="zh-CN"/>
              </w:rPr>
              <w:t>负责人</w:t>
            </w:r>
            <w:r>
              <w:rPr>
                <w:rFonts w:hint="eastAsia" w:ascii="宋体" w:hAnsi="宋体" w:cs="宋体"/>
                <w:color w:val="auto"/>
                <w:sz w:val="24"/>
                <w:szCs w:val="24"/>
                <w:highlight w:val="none"/>
                <w:lang w:val="zh-TW" w:eastAsia="zh-CN"/>
              </w:rPr>
              <w:t>和专职安全员）</w:t>
            </w:r>
            <w:r>
              <w:rPr>
                <w:rFonts w:hint="eastAsia" w:ascii="宋体" w:hAnsi="宋体" w:cs="宋体"/>
                <w:color w:val="auto"/>
                <w:sz w:val="24"/>
                <w:szCs w:val="24"/>
                <w:highlight w:val="none"/>
                <w:lang w:val="zh-TW"/>
              </w:rPr>
              <w:t>中具有安全员C证的，有1人得1分，本项最高得4分；</w:t>
            </w:r>
          </w:p>
          <w:p w14:paraId="2E641C4D">
            <w:pPr>
              <w:keepNext w:val="0"/>
              <w:keepLines w:val="0"/>
              <w:pageBreakBefore w:val="0"/>
              <w:widowControl/>
              <w:shd w:val="clear" w:color="auto" w:fill="FFFFFF"/>
              <w:kinsoku/>
              <w:wordWrap/>
              <w:overflowPunct/>
              <w:topLinePunct w:val="0"/>
              <w:autoSpaceDE/>
              <w:autoSpaceDN/>
              <w:bidi w:val="0"/>
              <w:spacing w:line="240" w:lineRule="auto"/>
              <w:jc w:val="left"/>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TW"/>
              </w:rPr>
              <w:t>、项目组人员配备有高级技师的，有1人得2分，配备技师的，有1人得1分，本项目最高得6分。</w:t>
            </w:r>
          </w:p>
          <w:p w14:paraId="010CB530">
            <w:pPr>
              <w:keepNext w:val="0"/>
              <w:keepLines w:val="0"/>
              <w:pageBreakBefore w:val="0"/>
              <w:widowControl/>
              <w:shd w:val="clear" w:color="auto" w:fill="FFFFFF"/>
              <w:kinsoku/>
              <w:wordWrap/>
              <w:overflowPunct/>
              <w:topLinePunct w:val="0"/>
              <w:autoSpaceDE/>
              <w:autoSpaceDN/>
              <w:bidi w:val="0"/>
              <w:spacing w:line="240" w:lineRule="auto"/>
              <w:jc w:val="left"/>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拟派项目组成员须为投标企业正式员工，提供项目组成员与投标企业签订的有效劳动合同及供应商为其缴纳的近三个月任意一个月的社保证明，否则不得分。</w:t>
            </w:r>
          </w:p>
          <w:p w14:paraId="42C2D268">
            <w:pPr>
              <w:keepNext w:val="0"/>
              <w:keepLines w:val="0"/>
              <w:pageBreakBefore w:val="0"/>
              <w:kinsoku/>
              <w:wordWrap/>
              <w:overflowPunct/>
              <w:topLinePunct w:val="0"/>
              <w:autoSpaceDE/>
              <w:autoSpaceDN/>
              <w:bidi w:val="0"/>
              <w:spacing w:line="240" w:lineRule="auto"/>
              <w:jc w:val="left"/>
              <w:rPr>
                <w:rFonts w:hint="eastAsia" w:ascii="宋体" w:hAnsi="宋体" w:eastAsia="PMingLiU" w:cs="宋体"/>
                <w:b/>
                <w:bCs/>
                <w:color w:val="auto"/>
                <w:sz w:val="24"/>
                <w:szCs w:val="24"/>
                <w:highlight w:val="none"/>
                <w:lang w:eastAsia="zh-TW"/>
              </w:rPr>
            </w:pPr>
            <w:r>
              <w:rPr>
                <w:rFonts w:hint="eastAsia" w:ascii="宋体" w:hAnsi="宋体" w:cs="宋体"/>
                <w:b/>
                <w:bCs/>
                <w:color w:val="auto"/>
                <w:sz w:val="24"/>
                <w:szCs w:val="24"/>
                <w:highlight w:val="none"/>
                <w:lang w:val="zh-TW"/>
              </w:rPr>
              <w:t>提供材料：项目组人员相关证书、有效劳动合同及供应商为其缴纳的近三个月任意一个月</w:t>
            </w:r>
            <w:r>
              <w:rPr>
                <w:rFonts w:hint="eastAsia" w:ascii="宋体" w:hAnsi="宋体" w:cs="宋体"/>
                <w:b/>
                <w:bCs/>
                <w:color w:val="auto"/>
                <w:sz w:val="24"/>
                <w:szCs w:val="24"/>
                <w:highlight w:val="none"/>
                <w:lang w:val="en-US" w:eastAsia="zh-CN"/>
              </w:rPr>
              <w:t>的</w:t>
            </w:r>
            <w:r>
              <w:rPr>
                <w:rFonts w:hint="eastAsia" w:ascii="宋体" w:hAnsi="宋体" w:cs="宋体"/>
                <w:b/>
                <w:bCs/>
                <w:color w:val="auto"/>
                <w:sz w:val="24"/>
                <w:szCs w:val="24"/>
                <w:highlight w:val="none"/>
                <w:lang w:val="zh-TW"/>
              </w:rPr>
              <w:t>社保证明复印件。</w:t>
            </w:r>
          </w:p>
        </w:tc>
      </w:tr>
      <w:tr w14:paraId="1A80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19" w:type="dxa"/>
            <w:vMerge w:val="restart"/>
            <w:noWrap w:val="0"/>
            <w:vAlign w:val="center"/>
          </w:tcPr>
          <w:p w14:paraId="290021EF">
            <w:pPr>
              <w:keepNext w:val="0"/>
              <w:keepLines w:val="0"/>
              <w:pageBreakBefore w:val="0"/>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275" w:type="dxa"/>
            <w:vMerge w:val="restart"/>
            <w:noWrap w:val="0"/>
            <w:vAlign w:val="center"/>
          </w:tcPr>
          <w:p w14:paraId="15944BA3">
            <w:pPr>
              <w:keepNext w:val="0"/>
              <w:keepLines w:val="0"/>
              <w:pageBreakBefore w:val="0"/>
              <w:widowControl/>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项目实施方案</w:t>
            </w:r>
          </w:p>
        </w:tc>
        <w:tc>
          <w:tcPr>
            <w:tcW w:w="851" w:type="dxa"/>
            <w:noWrap w:val="0"/>
            <w:vAlign w:val="center"/>
          </w:tcPr>
          <w:p w14:paraId="12F507C4">
            <w:pPr>
              <w:widowControl/>
              <w:spacing w:line="360" w:lineRule="auto"/>
              <w:jc w:val="center"/>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10</w:t>
            </w:r>
          </w:p>
        </w:tc>
        <w:tc>
          <w:tcPr>
            <w:tcW w:w="6662" w:type="dxa"/>
            <w:noWrap w:val="0"/>
            <w:vAlign w:val="center"/>
          </w:tcPr>
          <w:p w14:paraId="06992149">
            <w:pPr>
              <w:keepNext w:val="0"/>
              <w:keepLines w:val="0"/>
              <w:pageBreakBefore w:val="0"/>
              <w:widowControl/>
              <w:shd w:val="clear" w:color="auto" w:fill="FFFFFF"/>
              <w:kinsoku/>
              <w:wordWrap/>
              <w:overflowPunct/>
              <w:topLinePunct w:val="0"/>
              <w:autoSpaceDE/>
              <w:autoSpaceDN/>
              <w:bidi w:val="0"/>
              <w:spacing w:line="240" w:lineRule="auto"/>
              <w:jc w:val="left"/>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1、针对实施方案及重点、难点解决方案进行评审，总分10分：方案科学、严密、合理，描述详细且具有针对性的得10分，方案较合理、严密、描述较为详细，不存在实施难度的得7.5分；方案基本合理、描述一般、存在可操作性的得5分；方案具有明显不合理项、描述欠缺、存在实施难度的得 2.5分；不提供本项不得分。</w:t>
            </w:r>
          </w:p>
        </w:tc>
      </w:tr>
      <w:tr w14:paraId="312B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19" w:type="dxa"/>
            <w:vMerge w:val="continue"/>
            <w:noWrap w:val="0"/>
            <w:vAlign w:val="center"/>
          </w:tcPr>
          <w:p w14:paraId="62FEA292">
            <w:pPr>
              <w:keepNext w:val="0"/>
              <w:keepLines w:val="0"/>
              <w:pageBreakBefore w:val="0"/>
              <w:kinsoku/>
              <w:wordWrap/>
              <w:overflowPunct/>
              <w:topLinePunct w:val="0"/>
              <w:autoSpaceDE/>
              <w:autoSpaceDN/>
              <w:bidi w:val="0"/>
              <w:spacing w:line="240" w:lineRule="auto"/>
              <w:jc w:val="center"/>
              <w:rPr>
                <w:rFonts w:hint="eastAsia" w:ascii="宋体" w:hAnsi="宋体" w:cs="宋体"/>
                <w:color w:val="auto"/>
                <w:sz w:val="24"/>
                <w:szCs w:val="24"/>
                <w:highlight w:val="none"/>
              </w:rPr>
            </w:pPr>
          </w:p>
        </w:tc>
        <w:tc>
          <w:tcPr>
            <w:tcW w:w="1275" w:type="dxa"/>
            <w:vMerge w:val="continue"/>
            <w:noWrap w:val="0"/>
            <w:vAlign w:val="center"/>
          </w:tcPr>
          <w:p w14:paraId="29E8E936">
            <w:pPr>
              <w:keepNext w:val="0"/>
              <w:keepLines w:val="0"/>
              <w:pageBreakBefore w:val="0"/>
              <w:widowControl/>
              <w:kinsoku/>
              <w:wordWrap/>
              <w:overflowPunct/>
              <w:topLinePunct w:val="0"/>
              <w:autoSpaceDE/>
              <w:autoSpaceDN/>
              <w:bidi w:val="0"/>
              <w:spacing w:line="240" w:lineRule="auto"/>
              <w:jc w:val="center"/>
              <w:rPr>
                <w:rFonts w:hint="eastAsia" w:ascii="宋体" w:hAnsi="宋体" w:cs="宋体"/>
                <w:color w:val="auto"/>
                <w:sz w:val="24"/>
                <w:szCs w:val="24"/>
                <w:highlight w:val="none"/>
              </w:rPr>
            </w:pPr>
          </w:p>
        </w:tc>
        <w:tc>
          <w:tcPr>
            <w:tcW w:w="851" w:type="dxa"/>
            <w:noWrap w:val="0"/>
            <w:vAlign w:val="center"/>
          </w:tcPr>
          <w:p w14:paraId="4E81A87E">
            <w:pPr>
              <w:widowControl/>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0</w:t>
            </w:r>
          </w:p>
        </w:tc>
        <w:tc>
          <w:tcPr>
            <w:tcW w:w="6662" w:type="dxa"/>
            <w:noWrap w:val="0"/>
            <w:vAlign w:val="center"/>
          </w:tcPr>
          <w:p w14:paraId="31296CFE">
            <w:pPr>
              <w:keepNext w:val="0"/>
              <w:keepLines w:val="0"/>
              <w:pageBreakBefore w:val="0"/>
              <w:widowControl/>
              <w:shd w:val="clear" w:color="auto" w:fill="FFFFFF"/>
              <w:kinsoku/>
              <w:wordWrap/>
              <w:overflowPunct/>
              <w:topLinePunct w:val="0"/>
              <w:autoSpaceDE/>
              <w:autoSpaceDN/>
              <w:bidi w:val="0"/>
              <w:spacing w:line="240" w:lineRule="auto"/>
              <w:jc w:val="left"/>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2、针对操作规程、作业规范和质量、安全管理措施进行评审，总分10分：管理措施科学、严密、合理，描述详细且具有针对性的得 10分；管理措施较合理、严密、描述较为详细的得7.5分；管理措施基本合理、描述一般的得5分；管理措施具有明显不合理项、描述欠缺的2.5分；不提供本项不得分。</w:t>
            </w:r>
          </w:p>
        </w:tc>
      </w:tr>
      <w:tr w14:paraId="7D4C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19" w:type="dxa"/>
            <w:vMerge w:val="continue"/>
            <w:noWrap w:val="0"/>
            <w:vAlign w:val="center"/>
          </w:tcPr>
          <w:p w14:paraId="667BD4A2">
            <w:pPr>
              <w:keepNext w:val="0"/>
              <w:keepLines w:val="0"/>
              <w:pageBreakBefore w:val="0"/>
              <w:kinsoku/>
              <w:wordWrap/>
              <w:overflowPunct/>
              <w:topLinePunct w:val="0"/>
              <w:autoSpaceDE/>
              <w:autoSpaceDN/>
              <w:bidi w:val="0"/>
              <w:spacing w:line="240" w:lineRule="auto"/>
              <w:jc w:val="center"/>
              <w:rPr>
                <w:rFonts w:hint="eastAsia" w:ascii="宋体" w:hAnsi="宋体" w:cs="宋体"/>
                <w:color w:val="auto"/>
                <w:sz w:val="24"/>
                <w:szCs w:val="24"/>
                <w:highlight w:val="none"/>
              </w:rPr>
            </w:pPr>
          </w:p>
        </w:tc>
        <w:tc>
          <w:tcPr>
            <w:tcW w:w="1275" w:type="dxa"/>
            <w:vMerge w:val="continue"/>
            <w:noWrap w:val="0"/>
            <w:vAlign w:val="center"/>
          </w:tcPr>
          <w:p w14:paraId="45522ED8">
            <w:pPr>
              <w:keepNext w:val="0"/>
              <w:keepLines w:val="0"/>
              <w:pageBreakBefore w:val="0"/>
              <w:widowControl/>
              <w:kinsoku/>
              <w:wordWrap/>
              <w:overflowPunct/>
              <w:topLinePunct w:val="0"/>
              <w:autoSpaceDE/>
              <w:autoSpaceDN/>
              <w:bidi w:val="0"/>
              <w:spacing w:line="240" w:lineRule="auto"/>
              <w:jc w:val="center"/>
              <w:rPr>
                <w:rFonts w:hint="eastAsia" w:ascii="宋体" w:hAnsi="宋体" w:cs="宋体"/>
                <w:color w:val="auto"/>
                <w:sz w:val="24"/>
                <w:szCs w:val="24"/>
                <w:highlight w:val="none"/>
              </w:rPr>
            </w:pPr>
          </w:p>
        </w:tc>
        <w:tc>
          <w:tcPr>
            <w:tcW w:w="851" w:type="dxa"/>
            <w:noWrap w:val="0"/>
            <w:vAlign w:val="center"/>
          </w:tcPr>
          <w:p w14:paraId="1FDCA61A">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ascii="宋体" w:hAnsi="宋体" w:cs="宋体"/>
                <w:color w:val="auto"/>
                <w:sz w:val="24"/>
                <w:szCs w:val="24"/>
                <w:highlight w:val="none"/>
              </w:rPr>
              <w:t>0</w:t>
            </w:r>
          </w:p>
        </w:tc>
        <w:tc>
          <w:tcPr>
            <w:tcW w:w="6662" w:type="dxa"/>
            <w:noWrap w:val="0"/>
            <w:vAlign w:val="center"/>
          </w:tcPr>
          <w:p w14:paraId="49832AA9">
            <w:pPr>
              <w:keepNext w:val="0"/>
              <w:keepLines w:val="0"/>
              <w:pageBreakBefore w:val="0"/>
              <w:widowControl/>
              <w:shd w:val="clear" w:color="auto" w:fill="FFFFFF"/>
              <w:kinsoku/>
              <w:wordWrap/>
              <w:overflowPunct/>
              <w:topLinePunct w:val="0"/>
              <w:autoSpaceDE/>
              <w:autoSpaceDN/>
              <w:bidi w:val="0"/>
              <w:spacing w:line="240" w:lineRule="auto"/>
              <w:jc w:val="left"/>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3、针对本项目服务工期计划进行评审，总分10分：计划科学、严密、合理得10分；计划较科学、合理得7.5分；计划基本合理得5分；计划不合理得2.5分；不提供本项不得分。</w:t>
            </w:r>
          </w:p>
        </w:tc>
      </w:tr>
      <w:tr w14:paraId="298B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19" w:type="dxa"/>
            <w:vMerge w:val="continue"/>
            <w:noWrap w:val="0"/>
            <w:vAlign w:val="center"/>
          </w:tcPr>
          <w:p w14:paraId="7BDF56C5">
            <w:pPr>
              <w:keepNext w:val="0"/>
              <w:keepLines w:val="0"/>
              <w:pageBreakBefore w:val="0"/>
              <w:kinsoku/>
              <w:wordWrap/>
              <w:overflowPunct/>
              <w:topLinePunct w:val="0"/>
              <w:autoSpaceDE/>
              <w:autoSpaceDN/>
              <w:bidi w:val="0"/>
              <w:spacing w:line="240" w:lineRule="auto"/>
              <w:jc w:val="center"/>
              <w:rPr>
                <w:rFonts w:hint="eastAsia" w:ascii="宋体" w:hAnsi="宋体" w:cs="宋体"/>
                <w:color w:val="auto"/>
                <w:sz w:val="24"/>
                <w:szCs w:val="24"/>
                <w:highlight w:val="none"/>
              </w:rPr>
            </w:pPr>
          </w:p>
        </w:tc>
        <w:tc>
          <w:tcPr>
            <w:tcW w:w="1275" w:type="dxa"/>
            <w:vMerge w:val="continue"/>
            <w:noWrap w:val="0"/>
            <w:vAlign w:val="center"/>
          </w:tcPr>
          <w:p w14:paraId="6E83BA6C">
            <w:pPr>
              <w:keepNext w:val="0"/>
              <w:keepLines w:val="0"/>
              <w:pageBreakBefore w:val="0"/>
              <w:widowControl/>
              <w:kinsoku/>
              <w:wordWrap/>
              <w:overflowPunct/>
              <w:topLinePunct w:val="0"/>
              <w:autoSpaceDE/>
              <w:autoSpaceDN/>
              <w:bidi w:val="0"/>
              <w:spacing w:line="240" w:lineRule="auto"/>
              <w:jc w:val="center"/>
              <w:rPr>
                <w:rFonts w:hint="eastAsia" w:ascii="宋体" w:hAnsi="宋体" w:cs="宋体"/>
                <w:color w:val="auto"/>
                <w:sz w:val="24"/>
                <w:szCs w:val="24"/>
                <w:highlight w:val="none"/>
              </w:rPr>
            </w:pPr>
          </w:p>
        </w:tc>
        <w:tc>
          <w:tcPr>
            <w:tcW w:w="851" w:type="dxa"/>
            <w:noWrap w:val="0"/>
            <w:vAlign w:val="center"/>
          </w:tcPr>
          <w:p w14:paraId="23F1D26D">
            <w:pPr>
              <w:keepNext w:val="0"/>
              <w:keepLines w:val="0"/>
              <w:pageBreakBefore w:val="0"/>
              <w:widowControl/>
              <w:kinsoku/>
              <w:wordWrap/>
              <w:overflowPunct/>
              <w:topLinePunct w:val="0"/>
              <w:autoSpaceDE/>
              <w:autoSpaceDN/>
              <w:bidi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0</w:t>
            </w:r>
          </w:p>
        </w:tc>
        <w:tc>
          <w:tcPr>
            <w:tcW w:w="6662" w:type="dxa"/>
            <w:noWrap w:val="0"/>
            <w:vAlign w:val="center"/>
          </w:tcPr>
          <w:p w14:paraId="7A3D46F2">
            <w:pPr>
              <w:keepNext w:val="0"/>
              <w:keepLines w:val="0"/>
              <w:pageBreakBefore w:val="0"/>
              <w:widowControl/>
              <w:shd w:val="clear" w:color="auto" w:fill="FFFFFF"/>
              <w:kinsoku/>
              <w:wordWrap/>
              <w:overflowPunct/>
              <w:topLinePunct w:val="0"/>
              <w:autoSpaceDE/>
              <w:autoSpaceDN/>
              <w:bidi w:val="0"/>
              <w:spacing w:line="240" w:lineRule="auto"/>
              <w:jc w:val="left"/>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4、对本项目服务过程中可能出现设备绝缘、质量等问题提出的应对措施及预案进行评审，总分10分：应对措施及预案科学、严密、合理，操作性强的得10分；应对措施及预案较合理，操作性较强的得7分；应对措施及预案基本合理、存在可操作性的得5分；应对措施及预案具有不合理项、不具备可操作性的得2分；不提供本项不得分。</w:t>
            </w:r>
          </w:p>
        </w:tc>
      </w:tr>
    </w:tbl>
    <w:p w14:paraId="54CFBE9A">
      <w:pPr>
        <w:tabs>
          <w:tab w:val="left" w:pos="5442"/>
        </w:tabs>
        <w:snapToGrid w:val="0"/>
        <w:spacing w:line="360" w:lineRule="auto"/>
        <w:ind w:firstLine="472" w:firstLineChars="196"/>
        <w:outlineLvl w:val="1"/>
        <w:rPr>
          <w:rFonts w:ascii="宋体" w:hAnsi="宋体"/>
          <w:b/>
          <w:color w:val="auto"/>
          <w:sz w:val="24"/>
          <w:highlight w:val="none"/>
        </w:rPr>
      </w:pPr>
      <w:r>
        <w:rPr>
          <w:rFonts w:ascii="宋体" w:hAnsi="宋体" w:cs="宋体"/>
          <w:b/>
          <w:bCs/>
          <w:color w:val="auto"/>
          <w:sz w:val="24"/>
          <w:highlight w:val="none"/>
        </w:rPr>
        <w:t>（二）</w:t>
      </w:r>
      <w:r>
        <w:rPr>
          <w:rFonts w:hint="eastAsia" w:ascii="宋体" w:hAnsi="宋体" w:cs="宋体"/>
          <w:b/>
          <w:bCs/>
          <w:color w:val="auto"/>
          <w:sz w:val="24"/>
          <w:highlight w:val="none"/>
        </w:rPr>
        <w:t>价格</w:t>
      </w:r>
      <w:r>
        <w:rPr>
          <w:rFonts w:ascii="宋体" w:hAnsi="宋体" w:cs="宋体"/>
          <w:b/>
          <w:bCs/>
          <w:color w:val="auto"/>
          <w:sz w:val="24"/>
          <w:highlight w:val="none"/>
        </w:rPr>
        <w:t>标评分（</w:t>
      </w:r>
      <w:r>
        <w:rPr>
          <w:rFonts w:hint="eastAsia" w:ascii="宋体" w:hAnsi="宋体" w:cs="宋体"/>
          <w:b/>
          <w:bCs/>
          <w:color w:val="auto"/>
          <w:sz w:val="24"/>
          <w:highlight w:val="none"/>
          <w:lang w:val="en-US" w:eastAsia="zh-CN"/>
        </w:rPr>
        <w:t>20</w:t>
      </w:r>
      <w:r>
        <w:rPr>
          <w:rFonts w:ascii="宋体" w:hAnsi="宋体" w:cs="宋体"/>
          <w:b/>
          <w:bCs/>
          <w:color w:val="auto"/>
          <w:sz w:val="24"/>
          <w:highlight w:val="none"/>
        </w:rPr>
        <w:t>分）：</w:t>
      </w:r>
      <w:r>
        <w:rPr>
          <w:rFonts w:ascii="宋体" w:hAnsi="宋体"/>
          <w:b/>
          <w:color w:val="auto"/>
          <w:sz w:val="24"/>
          <w:highlight w:val="none"/>
        </w:rPr>
        <w:tab/>
      </w:r>
    </w:p>
    <w:p w14:paraId="2F7A064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1、本次项目最高限价为人民币</w:t>
      </w:r>
      <w:r>
        <w:rPr>
          <w:rFonts w:hint="eastAsia" w:ascii="宋体" w:hAnsi="宋体" w:cs="宋体"/>
          <w:b/>
          <w:color w:val="auto"/>
          <w:sz w:val="24"/>
          <w:highlight w:val="none"/>
          <w:lang w:val="en-US" w:eastAsia="zh-CN"/>
        </w:rPr>
        <w:t>25</w:t>
      </w:r>
      <w:r>
        <w:rPr>
          <w:rFonts w:hint="eastAsia" w:ascii="宋体" w:hAnsi="宋体" w:cs="宋体"/>
          <w:b/>
          <w:color w:val="auto"/>
          <w:sz w:val="24"/>
          <w:highlight w:val="none"/>
          <w:lang w:eastAsia="zh-CN"/>
        </w:rPr>
        <w:t>万元</w:t>
      </w:r>
      <w:r>
        <w:rPr>
          <w:rFonts w:ascii="宋体" w:hAnsi="宋体"/>
          <w:color w:val="auto"/>
          <w:sz w:val="24"/>
          <w:highlight w:val="none"/>
        </w:rPr>
        <w:t>。超过限价作无效投标处理。</w:t>
      </w:r>
    </w:p>
    <w:p w14:paraId="7BDE6DDF">
      <w:pPr>
        <w:snapToGrid w:val="0"/>
        <w:spacing w:line="360" w:lineRule="auto"/>
        <w:ind w:firstLine="480" w:firstLineChars="200"/>
        <w:rPr>
          <w:rFonts w:ascii="宋体" w:hAnsi="宋体" w:cs="宋体"/>
          <w:color w:val="auto"/>
          <w:sz w:val="24"/>
          <w:highlight w:val="none"/>
        </w:rPr>
      </w:pPr>
      <w:r>
        <w:rPr>
          <w:rFonts w:ascii="宋体" w:hAnsi="宋体"/>
          <w:color w:val="auto"/>
          <w:sz w:val="24"/>
          <w:highlight w:val="none"/>
        </w:rPr>
        <w:t>2、满足招标文件要求且投标报价最低的报价为评标基准价，其</w:t>
      </w:r>
      <w:r>
        <w:rPr>
          <w:rFonts w:hint="eastAsia" w:ascii="宋体" w:hAnsi="宋体"/>
          <w:color w:val="auto"/>
          <w:sz w:val="24"/>
          <w:highlight w:val="none"/>
        </w:rPr>
        <w:t>价格</w:t>
      </w:r>
      <w:r>
        <w:rPr>
          <w:rFonts w:ascii="宋体" w:hAnsi="宋体"/>
          <w:color w:val="auto"/>
          <w:sz w:val="24"/>
          <w:highlight w:val="none"/>
        </w:rPr>
        <w:t>标得分为满分</w:t>
      </w:r>
      <w:r>
        <w:rPr>
          <w:rFonts w:hint="eastAsia" w:ascii="宋体" w:hAnsi="宋体"/>
          <w:color w:val="auto"/>
          <w:sz w:val="24"/>
          <w:highlight w:val="none"/>
        </w:rPr>
        <w:t>20</w:t>
      </w:r>
      <w:r>
        <w:rPr>
          <w:rFonts w:ascii="宋体" w:hAnsi="宋体"/>
          <w:color w:val="auto"/>
          <w:sz w:val="24"/>
          <w:highlight w:val="none"/>
        </w:rPr>
        <w:t>分。</w:t>
      </w:r>
    </w:p>
    <w:p w14:paraId="12CFDDE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3、其他投标人的</w:t>
      </w:r>
      <w:r>
        <w:rPr>
          <w:rFonts w:hint="eastAsia" w:ascii="宋体" w:hAnsi="宋体"/>
          <w:color w:val="auto"/>
          <w:sz w:val="24"/>
          <w:highlight w:val="none"/>
        </w:rPr>
        <w:t>价格</w:t>
      </w:r>
      <w:r>
        <w:rPr>
          <w:rFonts w:ascii="宋体" w:hAnsi="宋体"/>
          <w:color w:val="auto"/>
          <w:sz w:val="24"/>
          <w:highlight w:val="none"/>
        </w:rPr>
        <w:t>标得分分别按照下列公式计算：</w:t>
      </w:r>
    </w:p>
    <w:p w14:paraId="726CB78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w:t>
      </w:r>
      <w:r>
        <w:rPr>
          <w:rFonts w:ascii="宋体" w:hAnsi="宋体"/>
          <w:color w:val="auto"/>
          <w:sz w:val="24"/>
          <w:highlight w:val="none"/>
        </w:rPr>
        <w:t>标得分=（评标基准价/投标报价）×</w:t>
      </w:r>
      <w:r>
        <w:rPr>
          <w:rFonts w:hint="eastAsia" w:ascii="宋体" w:hAnsi="宋体"/>
          <w:color w:val="auto"/>
          <w:sz w:val="24"/>
          <w:highlight w:val="none"/>
          <w:lang w:val="en-US" w:eastAsia="zh-CN"/>
        </w:rPr>
        <w:t>20</w:t>
      </w:r>
      <w:r>
        <w:rPr>
          <w:rFonts w:ascii="宋体" w:hAnsi="宋体"/>
          <w:color w:val="auto"/>
          <w:sz w:val="24"/>
          <w:highlight w:val="none"/>
        </w:rPr>
        <w:t>%×100</w:t>
      </w:r>
    </w:p>
    <w:p w14:paraId="02651391">
      <w:pPr>
        <w:snapToGrid w:val="0"/>
        <w:spacing w:line="360" w:lineRule="auto"/>
        <w:ind w:firstLine="570"/>
        <w:rPr>
          <w:rFonts w:ascii="宋体" w:hAnsi="宋体" w:cs="仿宋_GB2312"/>
          <w:b/>
          <w:bCs/>
          <w:color w:val="auto"/>
          <w:sz w:val="24"/>
          <w:highlight w:val="none"/>
        </w:rPr>
      </w:pPr>
      <w:r>
        <w:rPr>
          <w:rFonts w:hint="eastAsia" w:ascii="宋体" w:hAnsi="宋体" w:cs="仿宋_GB2312"/>
          <w:b/>
          <w:bCs/>
          <w:color w:val="auto"/>
          <w:sz w:val="24"/>
          <w:highlight w:val="none"/>
        </w:rPr>
        <w:t>（二）评标争议</w:t>
      </w:r>
    </w:p>
    <w:p w14:paraId="250D88C4">
      <w:pPr>
        <w:snapToGrid w:val="0"/>
        <w:spacing w:line="360" w:lineRule="auto"/>
        <w:ind w:firstLine="573"/>
        <w:rPr>
          <w:rFonts w:ascii="宋体" w:hAnsi="宋体" w:cs="仿宋_GB2312"/>
          <w:color w:val="auto"/>
          <w:sz w:val="24"/>
          <w:highlight w:val="none"/>
        </w:rPr>
      </w:pPr>
      <w:r>
        <w:rPr>
          <w:rFonts w:hint="eastAsia" w:ascii="宋体" w:hAnsi="宋体" w:cs="仿宋_GB2312"/>
          <w:color w:val="auto"/>
          <w:sz w:val="24"/>
          <w:highlight w:val="none"/>
        </w:rPr>
        <w:t>评标时评委对评标的细则若有争议，由评标</w:t>
      </w:r>
      <w:r>
        <w:rPr>
          <w:rFonts w:hint="eastAsia" w:ascii="宋体" w:hAnsi="宋体"/>
          <w:color w:val="auto"/>
          <w:sz w:val="24"/>
          <w:highlight w:val="none"/>
        </w:rPr>
        <w:t>委员会</w:t>
      </w:r>
      <w:r>
        <w:rPr>
          <w:rFonts w:hint="eastAsia" w:ascii="宋体" w:hAnsi="宋体" w:cs="仿宋_GB2312"/>
          <w:color w:val="auto"/>
          <w:sz w:val="24"/>
          <w:highlight w:val="none"/>
        </w:rPr>
        <w:t>评委集体讨论确定，并对未尽情况有最终解释权。</w:t>
      </w:r>
    </w:p>
    <w:p w14:paraId="021104B8">
      <w:pPr>
        <w:snapToGrid w:val="0"/>
        <w:spacing w:line="360" w:lineRule="auto"/>
        <w:ind w:firstLine="482" w:firstLineChars="200"/>
        <w:rPr>
          <w:rFonts w:ascii="宋体" w:hAnsi="宋体" w:cs="仿宋_GB2312"/>
          <w:b/>
          <w:bCs/>
          <w:color w:val="auto"/>
          <w:sz w:val="24"/>
          <w:highlight w:val="none"/>
        </w:rPr>
      </w:pPr>
      <w:r>
        <w:rPr>
          <w:rFonts w:hint="eastAsia" w:ascii="宋体" w:hAnsi="宋体" w:cs="仿宋_GB2312"/>
          <w:b/>
          <w:bCs/>
          <w:color w:val="auto"/>
          <w:sz w:val="24"/>
          <w:highlight w:val="none"/>
        </w:rPr>
        <w:t>（三）落标原因</w:t>
      </w:r>
    </w:p>
    <w:p w14:paraId="0E109CBC">
      <w:pPr>
        <w:adjustRightInd w:val="0"/>
        <w:snapToGrid w:val="0"/>
        <w:spacing w:line="360" w:lineRule="auto"/>
        <w:ind w:firstLine="480" w:firstLineChars="200"/>
        <w:outlineLvl w:val="2"/>
        <w:rPr>
          <w:rFonts w:ascii="宋体" w:hAnsi="宋体" w:cs="仿宋_GB2312"/>
          <w:color w:val="auto"/>
          <w:sz w:val="24"/>
          <w:highlight w:val="none"/>
        </w:rPr>
      </w:pPr>
      <w:r>
        <w:rPr>
          <w:rFonts w:hint="eastAsia" w:ascii="宋体" w:hAnsi="宋体" w:cs="仿宋_GB2312"/>
          <w:color w:val="auto"/>
          <w:sz w:val="24"/>
          <w:highlight w:val="none"/>
        </w:rPr>
        <w:t>评标</w:t>
      </w:r>
      <w:r>
        <w:rPr>
          <w:rFonts w:hint="eastAsia" w:ascii="宋体" w:hAnsi="宋体"/>
          <w:color w:val="auto"/>
          <w:sz w:val="24"/>
          <w:highlight w:val="none"/>
        </w:rPr>
        <w:t>委员会</w:t>
      </w:r>
      <w:r>
        <w:rPr>
          <w:rFonts w:hint="eastAsia" w:ascii="宋体" w:hAnsi="宋体" w:cs="仿宋_GB2312"/>
          <w:color w:val="auto"/>
          <w:sz w:val="24"/>
          <w:highlight w:val="none"/>
        </w:rPr>
        <w:t>不对落标的投标人做落标原因的解释。</w:t>
      </w:r>
    </w:p>
    <w:p w14:paraId="0C3869EC">
      <w:pPr>
        <w:snapToGrid w:val="0"/>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九、出现下列情形之一的，作无效投标处理：</w:t>
      </w:r>
    </w:p>
    <w:p w14:paraId="4FFC4E9B">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1、投标文件未按招标文件要求签署、盖章的；</w:t>
      </w:r>
    </w:p>
    <w:p w14:paraId="667F1DDE">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2、不具备招标文件中规定的资格要求的；</w:t>
      </w:r>
    </w:p>
    <w:p w14:paraId="06C02A83">
      <w:pPr>
        <w:snapToGrid w:val="0"/>
        <w:spacing w:line="360" w:lineRule="auto"/>
        <w:ind w:firstLine="573"/>
        <w:rPr>
          <w:rFonts w:ascii="宋体" w:hAnsi="宋体" w:cs="宋体"/>
          <w:color w:val="auto"/>
          <w:sz w:val="24"/>
          <w:highlight w:val="none"/>
        </w:rPr>
      </w:pPr>
      <w:bookmarkStart w:id="16" w:name="_Hlk81473737"/>
      <w:r>
        <w:rPr>
          <w:rFonts w:hint="eastAsia" w:ascii="宋体" w:hAnsi="宋体" w:cs="宋体"/>
          <w:color w:val="auto"/>
          <w:sz w:val="24"/>
          <w:highlight w:val="none"/>
        </w:rPr>
        <w:t>3、投标人的资格证明文件不符合本采购文件要求的；</w:t>
      </w:r>
    </w:p>
    <w:bookmarkEnd w:id="16"/>
    <w:p w14:paraId="4DA6F232">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、报价超过招标文件中规定的预算金额或者最高限价的；</w:t>
      </w:r>
    </w:p>
    <w:p w14:paraId="58DFC374">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、投标文件含有采购人不能接受的附加条件的；</w:t>
      </w:r>
    </w:p>
    <w:p w14:paraId="6CA76401">
      <w:pPr>
        <w:snapToGrid w:val="0"/>
        <w:spacing w:line="360" w:lineRule="auto"/>
        <w:ind w:firstLine="573"/>
        <w:rPr>
          <w:rFonts w:ascii="宋体" w:hAnsi="宋体" w:cs="宋体"/>
          <w:color w:val="auto"/>
          <w:sz w:val="24"/>
          <w:highlight w:val="none"/>
        </w:rPr>
      </w:pPr>
      <w:bookmarkStart w:id="17" w:name="_Hlk81473764"/>
      <w:r>
        <w:rPr>
          <w:rFonts w:hint="eastAsia" w:ascii="宋体" w:hAnsi="宋体" w:cs="宋体"/>
          <w:color w:val="auto"/>
          <w:sz w:val="24"/>
          <w:highlight w:val="none"/>
        </w:rPr>
        <w:t>6、投标人有欺诈行为或隐瞒自身违规问题的，提供虚假、伪造、变造、过期资料的；</w:t>
      </w:r>
    </w:p>
    <w:bookmarkEnd w:id="17"/>
    <w:p w14:paraId="69B78E13">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、法律、法规和招标文件规定的其他无效情形。</w:t>
      </w:r>
    </w:p>
    <w:p w14:paraId="3DDC2902">
      <w:pPr>
        <w:snapToGrid w:val="0"/>
        <w:spacing w:line="360" w:lineRule="auto"/>
        <w:ind w:firstLine="482" w:firstLineChars="200"/>
        <w:outlineLvl w:val="1"/>
        <w:rPr>
          <w:rFonts w:ascii="宋体" w:hAnsi="宋体"/>
          <w:color w:val="auto"/>
          <w:sz w:val="24"/>
          <w:highlight w:val="none"/>
        </w:rPr>
      </w:pPr>
      <w:r>
        <w:rPr>
          <w:rFonts w:hint="eastAsia" w:ascii="宋体" w:hAnsi="宋体"/>
          <w:b/>
          <w:color w:val="auto"/>
          <w:sz w:val="24"/>
          <w:highlight w:val="none"/>
        </w:rPr>
        <w:t>十、有下列情形之一的，视为投标人串通投标，其投标无效</w:t>
      </w:r>
    </w:p>
    <w:p w14:paraId="58E15AEC">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、不同投标人的投标文件由同一单位或者个人编制；</w:t>
      </w:r>
    </w:p>
    <w:p w14:paraId="28878DDC">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、不同投标人委托同一单位或者个人办理投标事宜；</w:t>
      </w:r>
    </w:p>
    <w:p w14:paraId="139584F7">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、不同投标人的投标文件载明的项目管理成员或者联系人员为同一人；</w:t>
      </w:r>
    </w:p>
    <w:p w14:paraId="4D6A2FE0">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、不同投标人的投标文件异常一致或者投标报价呈规律性差异；</w:t>
      </w:r>
    </w:p>
    <w:p w14:paraId="4E037AB2">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、不同投标人的投标文件相互混装。</w:t>
      </w:r>
    </w:p>
    <w:p w14:paraId="58A6DC52">
      <w:pPr>
        <w:snapToGrid w:val="0"/>
        <w:spacing w:line="360" w:lineRule="auto"/>
        <w:ind w:firstLine="482" w:firstLineChars="200"/>
        <w:outlineLvl w:val="1"/>
        <w:rPr>
          <w:rFonts w:ascii="宋体" w:hAnsi="宋体"/>
          <w:color w:val="auto"/>
          <w:sz w:val="24"/>
          <w:highlight w:val="none"/>
        </w:rPr>
      </w:pPr>
      <w:r>
        <w:rPr>
          <w:rFonts w:hint="eastAsia" w:ascii="宋体" w:hAnsi="宋体"/>
          <w:b/>
          <w:color w:val="auto"/>
          <w:sz w:val="24"/>
          <w:highlight w:val="none"/>
        </w:rPr>
        <w:t>十一、变更为其他方式采购的情形处理</w:t>
      </w:r>
    </w:p>
    <w:p w14:paraId="199F9BB1">
      <w:pPr>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依据《政府采购货物和服务招标投标管理办法》财政部</w:t>
      </w:r>
      <w:r>
        <w:rPr>
          <w:rFonts w:ascii="宋体" w:hAnsi="宋体"/>
          <w:color w:val="auto"/>
          <w:sz w:val="24"/>
          <w:highlight w:val="none"/>
        </w:rPr>
        <w:t>87</w:t>
      </w:r>
      <w:r>
        <w:rPr>
          <w:rFonts w:hint="eastAsia" w:ascii="宋体" w:hAnsi="宋体"/>
          <w:color w:val="auto"/>
          <w:sz w:val="24"/>
          <w:highlight w:val="none"/>
        </w:rPr>
        <w:t>号令第四十三条的规定：公开招标数额标准以上的采购项目，投标截止后投标人不足</w:t>
      </w:r>
      <w:r>
        <w:rPr>
          <w:rFonts w:ascii="宋体" w:hAnsi="宋体"/>
          <w:color w:val="auto"/>
          <w:sz w:val="24"/>
          <w:highlight w:val="none"/>
        </w:rPr>
        <w:t>3</w:t>
      </w:r>
      <w:r>
        <w:rPr>
          <w:rFonts w:hint="eastAsia" w:ascii="宋体" w:hAnsi="宋体"/>
          <w:color w:val="auto"/>
          <w:sz w:val="24"/>
          <w:highlight w:val="none"/>
        </w:rPr>
        <w:t>家或者通过资格审查或符合性审查的投标人不足</w:t>
      </w:r>
      <w:r>
        <w:rPr>
          <w:rFonts w:ascii="宋体" w:hAnsi="宋体"/>
          <w:color w:val="auto"/>
          <w:sz w:val="24"/>
          <w:highlight w:val="none"/>
        </w:rPr>
        <w:t>3</w:t>
      </w:r>
      <w:r>
        <w:rPr>
          <w:rFonts w:hint="eastAsia" w:ascii="宋体" w:hAnsi="宋体"/>
          <w:color w:val="auto"/>
          <w:sz w:val="24"/>
          <w:highlight w:val="none"/>
        </w:rPr>
        <w:t>家的，除采购任务取消情形外，按照以下方式处理：</w:t>
      </w:r>
    </w:p>
    <w:p w14:paraId="6B5179AE">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、招标文件存在不合理条款或者招标程序不符合规定的，采购人、采购代理机构改正后依法重新招标；</w:t>
      </w:r>
    </w:p>
    <w:p w14:paraId="22A00187">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、招标文件没有不合理条款、招标程序符合规定，需要采用其他采购方式采购的，采购人应当依法报财政部门批准。</w:t>
      </w:r>
    </w:p>
    <w:p w14:paraId="03C86B4E">
      <w:pPr>
        <w:snapToGrid w:val="0"/>
        <w:spacing w:line="360" w:lineRule="auto"/>
        <w:ind w:firstLine="564" w:firstLineChars="235"/>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、依据《政府采购非招标采购方式管理办法》财政部</w:t>
      </w:r>
      <w:r>
        <w:rPr>
          <w:rFonts w:ascii="宋体" w:hAnsi="宋体"/>
          <w:color w:val="auto"/>
          <w:sz w:val="24"/>
          <w:highlight w:val="none"/>
        </w:rPr>
        <w:t>74</w:t>
      </w:r>
      <w:r>
        <w:rPr>
          <w:rFonts w:hint="eastAsia" w:ascii="宋体" w:hAnsi="宋体"/>
          <w:color w:val="auto"/>
          <w:sz w:val="24"/>
          <w:highlight w:val="none"/>
        </w:rPr>
        <w:t>号令第三条第（三）款的规定：达到公开招标数额标准、经批准采用非公开招标的货物、服务，可以采用竞争性谈判、单一来源采购方式采购，采购货物的，还可以采用询价采购方式。</w:t>
      </w:r>
    </w:p>
    <w:p w14:paraId="585E6B87">
      <w:pPr>
        <w:snapToGrid w:val="0"/>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十二、出现下列情形之一的，作废标处理：</w:t>
      </w:r>
      <w:r>
        <w:rPr>
          <w:rFonts w:ascii="宋体" w:hAnsi="宋体"/>
          <w:b/>
          <w:color w:val="auto"/>
          <w:sz w:val="24"/>
          <w:highlight w:val="none"/>
        </w:rPr>
        <w:t xml:space="preserve"> </w:t>
      </w:r>
    </w:p>
    <w:p w14:paraId="26A9758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、出现影响采购公正的违法违规行为的；</w:t>
      </w:r>
    </w:p>
    <w:p w14:paraId="0F29040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、所有投标人报价超出采购预算价的；</w:t>
      </w:r>
    </w:p>
    <w:p w14:paraId="1BE0E24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、因重大变故，采购任务被取消的；</w:t>
      </w:r>
    </w:p>
    <w:p w14:paraId="64EC66EE">
      <w:pPr>
        <w:snapToGrid w:val="0"/>
        <w:spacing w:line="360" w:lineRule="auto"/>
        <w:ind w:firstLine="480" w:firstLineChars="200"/>
        <w:rPr>
          <w:rFonts w:ascii="宋体" w:hAnsi="宋体"/>
          <w:color w:val="auto"/>
          <w:sz w:val="24"/>
          <w:highlight w:val="none"/>
        </w:rPr>
      </w:pPr>
      <w:bookmarkStart w:id="18" w:name="_Hlk81473907"/>
      <w:r>
        <w:rPr>
          <w:rFonts w:hint="eastAsia" w:ascii="宋体" w:hAnsi="宋体"/>
          <w:color w:val="auto"/>
          <w:sz w:val="24"/>
          <w:highlight w:val="none"/>
        </w:rPr>
        <w:t>4、经评标委员会</w:t>
      </w:r>
      <w:bookmarkStart w:id="19" w:name="_Hlk81472270"/>
      <w:r>
        <w:rPr>
          <w:rFonts w:hint="eastAsia" w:ascii="宋体" w:hAnsi="宋体"/>
          <w:color w:val="auto"/>
          <w:sz w:val="24"/>
          <w:highlight w:val="none"/>
        </w:rPr>
        <w:t>资格符合性评审</w:t>
      </w:r>
      <w:bookmarkEnd w:id="19"/>
      <w:r>
        <w:rPr>
          <w:rFonts w:hint="eastAsia" w:ascii="宋体" w:hAnsi="宋体"/>
          <w:color w:val="auto"/>
          <w:sz w:val="24"/>
          <w:highlight w:val="none"/>
        </w:rPr>
        <w:t>后，通过资格符合性评审的投标人不足三家的；</w:t>
      </w:r>
    </w:p>
    <w:bookmarkEnd w:id="18"/>
    <w:p w14:paraId="28EE86A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、评标委员会依据法律法规可以认定为废标的其他情况。</w:t>
      </w:r>
    </w:p>
    <w:p w14:paraId="2F487D0F">
      <w:pPr>
        <w:snapToGrid w:val="0"/>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十三、中标通知</w:t>
      </w:r>
    </w:p>
    <w:p w14:paraId="2E6B16F3">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1</w:t>
      </w:r>
      <w:r>
        <w:rPr>
          <w:rFonts w:hint="eastAsia" w:ascii="宋体" w:hAnsi="宋体"/>
          <w:color w:val="auto"/>
          <w:kern w:val="0"/>
          <w:sz w:val="24"/>
          <w:highlight w:val="none"/>
        </w:rPr>
        <w:t>、开标结束后，采购人自中标人确定之日起</w:t>
      </w:r>
      <w:r>
        <w:rPr>
          <w:rFonts w:ascii="宋体" w:hAnsi="宋体"/>
          <w:color w:val="auto"/>
          <w:kern w:val="0"/>
          <w:sz w:val="24"/>
          <w:highlight w:val="none"/>
        </w:rPr>
        <w:t>2</w:t>
      </w:r>
      <w:r>
        <w:rPr>
          <w:rFonts w:hint="eastAsia" w:ascii="宋体" w:hAnsi="宋体"/>
          <w:color w:val="auto"/>
          <w:kern w:val="0"/>
          <w:sz w:val="24"/>
          <w:highlight w:val="none"/>
        </w:rPr>
        <w:t>个工作日内在指定媒体上公告中标结果。</w:t>
      </w:r>
    </w:p>
    <w:p w14:paraId="6BFB5C3D">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2</w:t>
      </w:r>
      <w:r>
        <w:rPr>
          <w:rFonts w:hint="eastAsia" w:ascii="宋体" w:hAnsi="宋体"/>
          <w:color w:val="auto"/>
          <w:kern w:val="0"/>
          <w:sz w:val="24"/>
          <w:highlight w:val="none"/>
        </w:rPr>
        <w:t>、中标公告期限为</w:t>
      </w:r>
      <w:r>
        <w:rPr>
          <w:rFonts w:ascii="宋体" w:hAnsi="宋体"/>
          <w:color w:val="auto"/>
          <w:kern w:val="0"/>
          <w:sz w:val="24"/>
          <w:highlight w:val="none"/>
        </w:rPr>
        <w:t>1</w:t>
      </w:r>
      <w:r>
        <w:rPr>
          <w:rFonts w:hint="eastAsia" w:ascii="宋体" w:hAnsi="宋体"/>
          <w:color w:val="auto"/>
          <w:kern w:val="0"/>
          <w:sz w:val="24"/>
          <w:highlight w:val="none"/>
        </w:rPr>
        <w:t>个工作日，期限结束后向中标人发出《中标通知书》。</w:t>
      </w:r>
    </w:p>
    <w:p w14:paraId="6D0A135D">
      <w:pPr>
        <w:snapToGrid w:val="0"/>
        <w:spacing w:line="360" w:lineRule="auto"/>
        <w:ind w:firstLine="480" w:firstLineChars="200"/>
        <w:outlineLvl w:val="1"/>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、《中标通知书》一经发出，即具有法律效力。采购人、中标人依法承担法律责任。</w:t>
      </w:r>
    </w:p>
    <w:p w14:paraId="09F473DF">
      <w:pPr>
        <w:pStyle w:val="2"/>
        <w:spacing w:before="120" w:after="120" w:line="600" w:lineRule="exact"/>
        <w:jc w:val="center"/>
        <w:rPr>
          <w:rFonts w:ascii="宋体" w:hAnsi="宋体"/>
          <w:color w:val="auto"/>
          <w:highlight w:val="none"/>
        </w:rPr>
      </w:pPr>
      <w:r>
        <w:rPr>
          <w:rFonts w:ascii="宋体" w:hAnsi="宋体"/>
          <w:color w:val="auto"/>
          <w:highlight w:val="none"/>
        </w:rPr>
        <w:br w:type="page"/>
      </w:r>
      <w:bookmarkStart w:id="20" w:name="_Toc318874023"/>
      <w:bookmarkStart w:id="21" w:name="_Toc179632627"/>
      <w:bookmarkStart w:id="22" w:name="_Toc144974577"/>
      <w:bookmarkStart w:id="23" w:name="_Toc152045609"/>
      <w:bookmarkStart w:id="24" w:name="_Toc152042387"/>
      <w:r>
        <w:rPr>
          <w:rFonts w:hint="eastAsia" w:ascii="宋体" w:hAnsi="宋体"/>
          <w:color w:val="auto"/>
          <w:highlight w:val="none"/>
        </w:rPr>
        <w:t>第四章 合同条款及格式</w:t>
      </w:r>
      <w:bookmarkEnd w:id="20"/>
      <w:bookmarkEnd w:id="21"/>
      <w:bookmarkEnd w:id="22"/>
      <w:bookmarkEnd w:id="23"/>
      <w:bookmarkEnd w:id="24"/>
    </w:p>
    <w:p w14:paraId="1C3B9FB1">
      <w:pPr>
        <w:rPr>
          <w:color w:val="auto"/>
          <w:highlight w:val="none"/>
        </w:rPr>
      </w:pPr>
    </w:p>
    <w:p w14:paraId="5BBD9B08">
      <w:pPr>
        <w:spacing w:line="360" w:lineRule="auto"/>
        <w:ind w:firstLine="322" w:firstLineChars="200"/>
        <w:rPr>
          <w:rFonts w:ascii="宋体" w:hAnsi="宋体" w:cs="宋体"/>
          <w:b/>
          <w:bCs/>
          <w:color w:val="auto"/>
          <w:spacing w:val="-40"/>
          <w:sz w:val="24"/>
          <w:szCs w:val="24"/>
          <w:highlight w:val="none"/>
        </w:rPr>
      </w:pPr>
      <w:r>
        <w:rPr>
          <w:rFonts w:hint="eastAsia" w:ascii="宋体" w:hAnsi="宋体" w:cs="宋体"/>
          <w:b/>
          <w:bCs/>
          <w:color w:val="auto"/>
          <w:spacing w:val="-40"/>
          <w:sz w:val="24"/>
          <w:szCs w:val="24"/>
          <w:highlight w:val="none"/>
        </w:rPr>
        <w:t>甲 方</w:t>
      </w:r>
      <w:r>
        <w:rPr>
          <w:rFonts w:hint="eastAsia" w:ascii="宋体" w:hAnsi="宋体" w:cs="宋体"/>
          <w:b/>
          <w:bCs/>
          <w:color w:val="auto"/>
          <w:spacing w:val="-40"/>
          <w:sz w:val="24"/>
          <w:szCs w:val="24"/>
          <w:highlight w:val="none"/>
          <w:lang w:val="en-US" w:eastAsia="zh-CN"/>
        </w:rPr>
        <w:t xml:space="preserve">    </w:t>
      </w:r>
      <w:r>
        <w:rPr>
          <w:rFonts w:hint="eastAsia" w:ascii="宋体" w:hAnsi="宋体" w:cs="宋体"/>
          <w:b/>
          <w:bCs/>
          <w:color w:val="auto"/>
          <w:spacing w:val="-40"/>
          <w:sz w:val="24"/>
          <w:szCs w:val="24"/>
          <w:highlight w:val="none"/>
        </w:rPr>
        <w:t>：</w:t>
      </w:r>
      <w:r>
        <w:rPr>
          <w:rFonts w:hint="eastAsia" w:ascii="宋体" w:hAnsi="宋体" w:cs="宋体"/>
          <w:b/>
          <w:bCs/>
          <w:color w:val="auto"/>
          <w:spacing w:val="-40"/>
          <w:sz w:val="24"/>
          <w:szCs w:val="24"/>
          <w:highlight w:val="none"/>
          <w:u w:val="single"/>
        </w:rPr>
        <w:t xml:space="preserve">                                                                         </w:t>
      </w:r>
    </w:p>
    <w:p w14:paraId="13504AF1">
      <w:pPr>
        <w:spacing w:line="360" w:lineRule="auto"/>
        <w:ind w:firstLine="322" w:firstLineChars="200"/>
        <w:rPr>
          <w:rFonts w:ascii="宋体" w:hAnsi="宋体" w:cs="宋体"/>
          <w:b/>
          <w:bCs/>
          <w:color w:val="auto"/>
          <w:spacing w:val="-40"/>
          <w:sz w:val="24"/>
          <w:szCs w:val="24"/>
          <w:highlight w:val="none"/>
          <w:u w:val="single"/>
        </w:rPr>
      </w:pPr>
      <w:r>
        <w:rPr>
          <w:rFonts w:hint="eastAsia" w:ascii="宋体" w:hAnsi="宋体" w:cs="宋体"/>
          <w:b/>
          <w:bCs/>
          <w:color w:val="auto"/>
          <w:spacing w:val="-40"/>
          <w:sz w:val="24"/>
          <w:szCs w:val="24"/>
          <w:highlight w:val="none"/>
        </w:rPr>
        <w:t>乙 方</w:t>
      </w:r>
      <w:r>
        <w:rPr>
          <w:rFonts w:hint="eastAsia" w:ascii="宋体" w:hAnsi="宋体" w:cs="宋体"/>
          <w:b/>
          <w:bCs/>
          <w:color w:val="auto"/>
          <w:spacing w:val="-40"/>
          <w:sz w:val="24"/>
          <w:szCs w:val="24"/>
          <w:highlight w:val="none"/>
          <w:lang w:val="en-US" w:eastAsia="zh-CN"/>
        </w:rPr>
        <w:t xml:space="preserve">    </w:t>
      </w:r>
      <w:r>
        <w:rPr>
          <w:rFonts w:hint="eastAsia" w:ascii="宋体" w:hAnsi="宋体" w:cs="宋体"/>
          <w:b/>
          <w:bCs/>
          <w:color w:val="auto"/>
          <w:spacing w:val="-40"/>
          <w:sz w:val="24"/>
          <w:szCs w:val="24"/>
          <w:highlight w:val="none"/>
        </w:rPr>
        <w:t>：</w:t>
      </w:r>
      <w:r>
        <w:rPr>
          <w:rFonts w:hint="eastAsia" w:ascii="宋体" w:hAnsi="宋体" w:cs="宋体"/>
          <w:b/>
          <w:bCs/>
          <w:color w:val="auto"/>
          <w:spacing w:val="-40"/>
          <w:sz w:val="24"/>
          <w:szCs w:val="24"/>
          <w:highlight w:val="none"/>
          <w:u w:val="single"/>
        </w:rPr>
        <w:t xml:space="preserve">  </w:t>
      </w:r>
      <w:r>
        <w:rPr>
          <w:rFonts w:hint="eastAsia" w:ascii="宋体" w:hAnsi="宋体" w:cs="宋体"/>
          <w:bCs/>
          <w:color w:val="auto"/>
          <w:w w:val="90"/>
          <w:sz w:val="24"/>
          <w:szCs w:val="24"/>
          <w:highlight w:val="none"/>
          <w:u w:val="single"/>
        </w:rPr>
        <w:t xml:space="preserve">                           </w:t>
      </w:r>
    </w:p>
    <w:p w14:paraId="23BCDC80">
      <w:pPr>
        <w:adjustRightInd w:val="0"/>
        <w:snapToGrid w:val="0"/>
        <w:spacing w:line="48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根据《中华人民共和国民法典》、《中华人民共和国政府采购法》，《</w:t>
      </w:r>
      <w:r>
        <w:rPr>
          <w:rFonts w:hint="eastAsia" w:ascii="宋体" w:hAnsi="宋体" w:cs="宋体"/>
          <w:bCs/>
          <w:color w:val="auto"/>
          <w:sz w:val="24"/>
          <w:szCs w:val="24"/>
          <w:highlight w:val="none"/>
          <w:lang w:eastAsia="zh-CN"/>
        </w:rPr>
        <w:t>中华人民共和国招标投标法</w:t>
      </w:r>
      <w:r>
        <w:rPr>
          <w:rFonts w:hint="eastAsia" w:ascii="宋体" w:hAnsi="宋体" w:cs="宋体"/>
          <w:bCs/>
          <w:color w:val="auto"/>
          <w:sz w:val="24"/>
          <w:szCs w:val="24"/>
          <w:highlight w:val="none"/>
        </w:rPr>
        <w:t>》和其他有关法律、行政法规，经双方协商，本着平等互利和诚实信用的原则，就甲方委托乙方进行</w:t>
      </w:r>
      <w:r>
        <w:rPr>
          <w:rFonts w:hint="eastAsia" w:ascii="宋体" w:hAnsi="宋体" w:cs="宋体"/>
          <w:color w:val="auto"/>
          <w:sz w:val="24"/>
          <w:szCs w:val="24"/>
          <w:highlight w:val="none"/>
          <w:u w:val="single"/>
          <w:lang w:eastAsia="zh-CN"/>
        </w:rPr>
        <w:t>南通市崇川区堤防涵闸管理所2025年电气设备预防性试验项目</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事宜达成协议如下：</w:t>
      </w:r>
    </w:p>
    <w:p w14:paraId="1E19FB54">
      <w:pPr>
        <w:spacing w:line="440" w:lineRule="exact"/>
        <w:ind w:firstLine="482" w:firstLineChars="200"/>
        <w:rPr>
          <w:rFonts w:ascii="宋体" w:hAnsi="宋体" w:cs="宋体"/>
          <w:b/>
          <w:bCs/>
          <w:color w:val="auto"/>
          <w:sz w:val="24"/>
          <w:szCs w:val="24"/>
          <w:highlight w:val="none"/>
        </w:rPr>
      </w:pPr>
      <w:bookmarkStart w:id="25" w:name="_Toc78604605"/>
      <w:bookmarkStart w:id="26" w:name="_Toc78604606"/>
      <w:r>
        <w:rPr>
          <w:rFonts w:hint="eastAsia" w:ascii="宋体" w:hAnsi="宋体" w:cs="宋体"/>
          <w:b/>
          <w:bCs/>
          <w:color w:val="auto"/>
          <w:sz w:val="24"/>
          <w:szCs w:val="24"/>
          <w:highlight w:val="none"/>
        </w:rPr>
        <w:t>1、项目主要内容</w:t>
      </w:r>
    </w:p>
    <w:p w14:paraId="4CE90DE4">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崇川区堤防涵闸管所管理的各闸站（见附件）的</w:t>
      </w:r>
      <w:r>
        <w:rPr>
          <w:rFonts w:hint="eastAsia" w:ascii="宋体" w:hAnsi="宋体" w:eastAsia="宋体" w:cs="宋体"/>
          <w:color w:val="auto"/>
          <w:sz w:val="24"/>
          <w:szCs w:val="24"/>
          <w:highlight w:val="none"/>
        </w:rPr>
        <w:t>变压器、开关柜、</w:t>
      </w:r>
      <w:r>
        <w:rPr>
          <w:rFonts w:hint="eastAsia" w:ascii="宋体" w:hAnsi="宋体" w:eastAsia="宋体" w:cs="宋体"/>
          <w:color w:val="auto"/>
          <w:sz w:val="24"/>
          <w:szCs w:val="24"/>
          <w:highlight w:val="none"/>
          <w:lang w:eastAsia="zh-CN"/>
        </w:rPr>
        <w:t>高压</w:t>
      </w:r>
      <w:r>
        <w:rPr>
          <w:rFonts w:hint="eastAsia" w:ascii="宋体" w:hAnsi="宋体" w:eastAsia="宋体" w:cs="宋体"/>
          <w:color w:val="auto"/>
          <w:sz w:val="24"/>
          <w:szCs w:val="24"/>
          <w:highlight w:val="none"/>
        </w:rPr>
        <w:t>电机、电缆、电压互感器、电流互感器</w:t>
      </w:r>
      <w:r>
        <w:rPr>
          <w:rFonts w:hint="eastAsia" w:ascii="宋体" w:hAnsi="宋体" w:cs="宋体"/>
          <w:bCs/>
          <w:color w:val="auto"/>
          <w:sz w:val="24"/>
          <w:szCs w:val="24"/>
          <w:highlight w:val="none"/>
        </w:rPr>
        <w:t>、避雷器</w:t>
      </w:r>
      <w:r>
        <w:rPr>
          <w:rFonts w:hint="eastAsia" w:ascii="宋体" w:hAnsi="宋体" w:cs="宋体"/>
          <w:bCs/>
          <w:color w:val="auto"/>
          <w:sz w:val="24"/>
          <w:szCs w:val="24"/>
          <w:highlight w:val="none"/>
          <w:lang w:eastAsia="zh-CN"/>
        </w:rPr>
        <w:t>、母排</w:t>
      </w:r>
      <w:r>
        <w:rPr>
          <w:rFonts w:hint="eastAsia" w:ascii="宋体" w:hAnsi="宋体" w:eastAsia="宋体" w:cs="宋体"/>
          <w:color w:val="auto"/>
          <w:sz w:val="24"/>
          <w:szCs w:val="24"/>
          <w:highlight w:val="none"/>
        </w:rPr>
        <w:t>等高压电气设备，低压电机、电缆及仪表等低压设备，</w:t>
      </w:r>
      <w:r>
        <w:rPr>
          <w:rFonts w:hint="eastAsia" w:ascii="宋体" w:hAnsi="宋体" w:cs="宋体"/>
          <w:color w:val="auto"/>
          <w:sz w:val="24"/>
          <w:szCs w:val="24"/>
          <w:highlight w:val="none"/>
        </w:rPr>
        <w:t>发电机进行定期预防性试验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对接地系统、仪表、安全用具等进行检测、校验，</w:t>
      </w:r>
      <w:r>
        <w:rPr>
          <w:rFonts w:hint="eastAsia" w:ascii="宋体" w:hAnsi="宋体" w:cs="宋体"/>
          <w:color w:val="auto"/>
          <w:sz w:val="24"/>
          <w:szCs w:val="24"/>
          <w:highlight w:val="none"/>
        </w:rPr>
        <w:t>并对电气柜等电气设备进行清洁保养、</w:t>
      </w:r>
      <w:r>
        <w:rPr>
          <w:rFonts w:hint="eastAsia" w:ascii="宋体" w:hAnsi="宋体" w:cs="宋体"/>
          <w:color w:val="auto"/>
          <w:sz w:val="24"/>
          <w:szCs w:val="24"/>
          <w:highlight w:val="none"/>
          <w:lang w:eastAsia="zh-CN"/>
        </w:rPr>
        <w:t>线缆</w:t>
      </w:r>
      <w:r>
        <w:rPr>
          <w:rFonts w:hint="eastAsia" w:ascii="宋体" w:hAnsi="宋体" w:cs="宋体"/>
          <w:color w:val="auto"/>
          <w:sz w:val="24"/>
          <w:szCs w:val="24"/>
          <w:highlight w:val="none"/>
        </w:rPr>
        <w:t>整理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：各闸站电气设备具体类型、数量、所需试验检测情况，服务商自行现场踏勘后，根据规范要求，做到应测尽测）</w:t>
      </w:r>
    </w:p>
    <w:p w14:paraId="43183AF5">
      <w:pPr>
        <w:spacing w:line="4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主要内容包括：</w:t>
      </w:r>
    </w:p>
    <w:p w14:paraId="36BE59AC">
      <w:pPr>
        <w:spacing w:line="4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变压器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绝缘电阻测试、直流电阻测试、中心点接地电阻测试、变比测试、高低压绕组耐压试验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油浸变压器</w:t>
      </w:r>
      <w:r>
        <w:rPr>
          <w:rFonts w:hint="eastAsia" w:ascii="宋体" w:hAnsi="宋体" w:eastAsia="宋体" w:cs="宋体"/>
          <w:bCs/>
          <w:color w:val="auto"/>
          <w:sz w:val="24"/>
          <w:szCs w:val="24"/>
          <w:highlight w:val="none"/>
          <w:lang w:eastAsia="zh-CN"/>
        </w:rPr>
        <w:t>需</w:t>
      </w:r>
      <w:r>
        <w:rPr>
          <w:rFonts w:hint="eastAsia" w:ascii="宋体" w:hAnsi="宋体" w:eastAsia="宋体" w:cs="宋体"/>
          <w:bCs/>
          <w:color w:val="auto"/>
          <w:sz w:val="24"/>
          <w:szCs w:val="24"/>
          <w:highlight w:val="none"/>
        </w:rPr>
        <w:t>油化试验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油位检查补充</w:t>
      </w:r>
      <w:r>
        <w:rPr>
          <w:rFonts w:hint="eastAsia" w:ascii="宋体" w:hAnsi="宋体" w:eastAsia="宋体" w:cs="宋体"/>
          <w:bCs/>
          <w:color w:val="auto"/>
          <w:sz w:val="24"/>
          <w:szCs w:val="24"/>
          <w:highlight w:val="none"/>
          <w:lang w:eastAsia="zh-CN"/>
        </w:rPr>
        <w:t>）、真空接触器</w:t>
      </w:r>
      <w:r>
        <w:rPr>
          <w:rFonts w:hint="eastAsia" w:ascii="宋体" w:hAnsi="宋体" w:cs="宋体"/>
          <w:bCs/>
          <w:color w:val="auto"/>
          <w:sz w:val="24"/>
          <w:szCs w:val="24"/>
          <w:highlight w:val="none"/>
          <w:lang w:eastAsia="zh-CN"/>
        </w:rPr>
        <w:t>试验、</w:t>
      </w:r>
      <w:r>
        <w:rPr>
          <w:rFonts w:hint="eastAsia" w:ascii="宋体" w:hAnsi="宋体" w:eastAsia="宋体" w:cs="宋体"/>
          <w:bCs/>
          <w:color w:val="auto"/>
          <w:sz w:val="24"/>
          <w:szCs w:val="24"/>
          <w:highlight w:val="none"/>
          <w:lang w:val="en-US" w:eastAsia="zh-CN"/>
        </w:rPr>
        <w:t>真空断路器试验、避雷器试验、互感器试验（PT试验、CT试验</w:t>
      </w:r>
      <w:r>
        <w:rPr>
          <w:rFonts w:hint="eastAsia" w:ascii="宋体" w:hAnsi="宋体" w:cs="宋体"/>
          <w:bCs/>
          <w:color w:val="auto"/>
          <w:sz w:val="24"/>
          <w:szCs w:val="24"/>
          <w:highlight w:val="none"/>
          <w:lang w:val="en-US" w:eastAsia="zh-CN"/>
        </w:rPr>
        <w:t>）、变压器保护、电容器试验、放电线圈试验</w:t>
      </w:r>
      <w:r>
        <w:rPr>
          <w:rFonts w:hint="eastAsia" w:ascii="宋体" w:hAnsi="宋体" w:eastAsia="宋体" w:cs="宋体"/>
          <w:bCs/>
          <w:color w:val="auto"/>
          <w:sz w:val="24"/>
          <w:szCs w:val="24"/>
          <w:highlight w:val="none"/>
          <w:lang w:val="en-US" w:eastAsia="zh-CN"/>
        </w:rPr>
        <w:t>等</w:t>
      </w:r>
    </w:p>
    <w:p w14:paraId="06278C61">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电气柜：</w:t>
      </w:r>
      <w:r>
        <w:rPr>
          <w:rFonts w:hint="eastAsia" w:ascii="宋体" w:hAnsi="宋体" w:eastAsia="宋体" w:cs="宋体"/>
          <w:bCs/>
          <w:color w:val="auto"/>
          <w:sz w:val="24"/>
          <w:szCs w:val="24"/>
          <w:highlight w:val="none"/>
          <w:lang w:eastAsia="zh-CN"/>
        </w:rPr>
        <w:t>含柜内清洁、线路检查，柜内电气元件检测、进出电线路检测、绝缘测量、试温片更换粘贴、检验合格证粘贴、</w:t>
      </w:r>
      <w:r>
        <w:rPr>
          <w:rFonts w:hint="eastAsia" w:ascii="宋体" w:hAnsi="宋体" w:cs="宋体"/>
          <w:bCs/>
          <w:color w:val="auto"/>
          <w:sz w:val="24"/>
          <w:szCs w:val="24"/>
          <w:highlight w:val="none"/>
          <w:lang w:eastAsia="zh-CN"/>
        </w:rPr>
        <w:t>根据电力和甲方要求线路检查紧固、</w:t>
      </w:r>
      <w:r>
        <w:rPr>
          <w:rFonts w:hint="eastAsia" w:ascii="宋体" w:hAnsi="宋体" w:eastAsia="宋体" w:cs="宋体"/>
          <w:bCs/>
          <w:color w:val="auto"/>
          <w:sz w:val="24"/>
          <w:szCs w:val="24"/>
          <w:highlight w:val="none"/>
          <w:lang w:eastAsia="zh-CN"/>
        </w:rPr>
        <w:t>柜内接地检测、悬挂电缆铭牌、孔洞封堵（含配电间所有孔洞）、开关柜母线试验等</w:t>
      </w:r>
    </w:p>
    <w:p w14:paraId="202CE23B">
      <w:pPr>
        <w:spacing w:line="44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柴油发电机：阻值测试</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电机绝缘检测</w:t>
      </w:r>
      <w:r>
        <w:rPr>
          <w:rFonts w:hint="eastAsia" w:ascii="宋体" w:hAnsi="宋体" w:cs="宋体"/>
          <w:bCs/>
          <w:color w:val="auto"/>
          <w:sz w:val="24"/>
          <w:szCs w:val="24"/>
          <w:highlight w:val="none"/>
          <w:lang w:val="en-US" w:eastAsia="zh-CN"/>
        </w:rPr>
        <w:t>，启动电池检测，并对小洋港闸站安排双电源切换测试，对姚港、东港及中心港闸站安排柴发市电切换测试（中心港闸站需提供切换电源线）</w:t>
      </w:r>
    </w:p>
    <w:p w14:paraId="607018DE">
      <w:pPr>
        <w:spacing w:line="44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安全工具试验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绝缘鞋、绝缘手套、绝缘垫、接地线、</w:t>
      </w:r>
      <w:r>
        <w:rPr>
          <w:rFonts w:hint="eastAsia" w:ascii="宋体" w:hAnsi="宋体" w:cs="宋体"/>
          <w:bCs/>
          <w:color w:val="auto"/>
          <w:sz w:val="24"/>
          <w:szCs w:val="24"/>
          <w:highlight w:val="none"/>
          <w:lang w:val="en-US" w:eastAsia="zh-CN"/>
        </w:rPr>
        <w:t>令克棒</w:t>
      </w:r>
      <w:r>
        <w:rPr>
          <w:rFonts w:hint="eastAsia" w:ascii="宋体" w:hAnsi="宋体" w:eastAsia="宋体" w:cs="宋体"/>
          <w:bCs/>
          <w:color w:val="auto"/>
          <w:sz w:val="24"/>
          <w:szCs w:val="24"/>
          <w:highlight w:val="none"/>
          <w:lang w:val="en-US" w:eastAsia="zh-CN"/>
        </w:rPr>
        <w:t>、验电器等</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需检测</w:t>
      </w:r>
      <w:r>
        <w:rPr>
          <w:rFonts w:hint="eastAsia" w:ascii="宋体" w:hAnsi="宋体" w:cs="宋体"/>
          <w:bCs/>
          <w:color w:val="auto"/>
          <w:sz w:val="24"/>
          <w:szCs w:val="24"/>
          <w:highlight w:val="none"/>
          <w:lang w:val="en-US" w:eastAsia="zh-CN"/>
        </w:rPr>
        <w:t>，贴试验标签</w:t>
      </w:r>
      <w:r>
        <w:rPr>
          <w:rFonts w:hint="eastAsia" w:ascii="宋体" w:hAnsi="宋体" w:eastAsia="宋体" w:cs="宋体"/>
          <w:bCs/>
          <w:color w:val="auto"/>
          <w:sz w:val="24"/>
          <w:szCs w:val="24"/>
          <w:highlight w:val="none"/>
          <w:lang w:val="en-US" w:eastAsia="zh-CN"/>
        </w:rPr>
        <w:t>，出具合格报告(</w:t>
      </w:r>
      <w:r>
        <w:rPr>
          <w:rFonts w:hint="eastAsia" w:ascii="宋体" w:hAnsi="宋体" w:cs="宋体"/>
          <w:bCs/>
          <w:color w:val="auto"/>
          <w:sz w:val="24"/>
          <w:szCs w:val="24"/>
          <w:highlight w:val="none"/>
          <w:lang w:val="en-US" w:eastAsia="zh-CN"/>
        </w:rPr>
        <w:t>11个专变闸站需补充一个安全用具柜H2000*W800*L450mm，优质冷轧钢板，钢化玻璃柜门，防尘密封条。18个专变闸站按两顶安全帽；</w:t>
      </w:r>
      <w:r>
        <w:rPr>
          <w:rFonts w:hint="eastAsia" w:ascii="宋体" w:hAnsi="宋体" w:eastAsia="宋体" w:cs="宋体"/>
          <w:bCs/>
          <w:color w:val="auto"/>
          <w:sz w:val="24"/>
          <w:szCs w:val="24"/>
          <w:highlight w:val="none"/>
          <w:lang w:val="en-US" w:eastAsia="zh-CN"/>
        </w:rPr>
        <w:t>两双绝缘手套</w:t>
      </w:r>
      <w:r>
        <w:rPr>
          <w:rFonts w:hint="eastAsia" w:ascii="宋体" w:hAnsi="宋体" w:cs="宋体"/>
          <w:bCs/>
          <w:color w:val="auto"/>
          <w:sz w:val="24"/>
          <w:szCs w:val="24"/>
          <w:highlight w:val="none"/>
          <w:lang w:val="en-US" w:eastAsia="zh-CN"/>
        </w:rPr>
        <w:t>12kv；</w:t>
      </w:r>
      <w:r>
        <w:rPr>
          <w:rFonts w:hint="eastAsia" w:ascii="宋体" w:hAnsi="宋体" w:eastAsia="宋体" w:cs="宋体"/>
          <w:bCs/>
          <w:color w:val="auto"/>
          <w:sz w:val="24"/>
          <w:szCs w:val="24"/>
          <w:highlight w:val="none"/>
          <w:lang w:val="en-US" w:eastAsia="zh-CN"/>
        </w:rPr>
        <w:t>两双绝缘鞋</w:t>
      </w:r>
      <w:r>
        <w:rPr>
          <w:rFonts w:hint="eastAsia" w:ascii="宋体" w:hAnsi="宋体" w:cs="宋体"/>
          <w:bCs/>
          <w:color w:val="auto"/>
          <w:sz w:val="24"/>
          <w:szCs w:val="24"/>
          <w:highlight w:val="none"/>
          <w:lang w:val="en-US" w:eastAsia="zh-CN"/>
        </w:rPr>
        <w:t>25kv，42码，半筒；令克棒一套35kv，4节共4m；</w:t>
      </w:r>
      <w:r>
        <w:rPr>
          <w:rFonts w:hint="eastAsia" w:ascii="宋体" w:hAnsi="宋体" w:eastAsia="宋体" w:cs="宋体"/>
          <w:bCs/>
          <w:color w:val="auto"/>
          <w:sz w:val="24"/>
          <w:szCs w:val="24"/>
          <w:highlight w:val="none"/>
          <w:lang w:val="en-US" w:eastAsia="zh-CN"/>
        </w:rPr>
        <w:t>验电器10KV和400V各一个</w:t>
      </w:r>
      <w:r>
        <w:rPr>
          <w:rFonts w:hint="eastAsia" w:ascii="宋体" w:hAnsi="宋体" w:cs="宋体"/>
          <w:bCs/>
          <w:color w:val="auto"/>
          <w:sz w:val="24"/>
          <w:szCs w:val="24"/>
          <w:highlight w:val="none"/>
          <w:lang w:val="en-US" w:eastAsia="zh-CN"/>
        </w:rPr>
        <w:t>；接地线一套10KV（0.5*3+1*3+3）25平方</w:t>
      </w:r>
      <w:r>
        <w:rPr>
          <w:rFonts w:hint="eastAsia" w:ascii="宋体" w:hAnsi="宋体" w:eastAsia="宋体" w:cs="宋体"/>
          <w:bCs/>
          <w:color w:val="auto"/>
          <w:sz w:val="24"/>
          <w:szCs w:val="24"/>
          <w:highlight w:val="none"/>
          <w:lang w:val="en-US" w:eastAsia="zh-CN"/>
        </w:rPr>
        <w:t>的标准，补齐安全用具再试验</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合同所含闸站</w:t>
      </w:r>
      <w:r>
        <w:rPr>
          <w:rFonts w:hint="eastAsia" w:ascii="宋体" w:hAnsi="宋体" w:cs="宋体"/>
          <w:bCs/>
          <w:color w:val="auto"/>
          <w:sz w:val="24"/>
          <w:szCs w:val="24"/>
          <w:highlight w:val="none"/>
          <w:lang w:val="en-US" w:eastAsia="zh-CN"/>
        </w:rPr>
        <w:t>的绝缘垫需按长度大于配电柜长度、宽1m、厚5mm的标准补充或更换。所有添加的安全用具需提供合格证</w:t>
      </w:r>
      <w:r>
        <w:rPr>
          <w:rFonts w:hint="eastAsia" w:ascii="宋体" w:hAnsi="宋体" w:eastAsia="宋体" w:cs="宋体"/>
          <w:bCs/>
          <w:color w:val="auto"/>
          <w:sz w:val="24"/>
          <w:szCs w:val="24"/>
          <w:highlight w:val="none"/>
          <w:lang w:val="en-US" w:eastAsia="zh-CN"/>
        </w:rPr>
        <w:t>）</w:t>
      </w:r>
    </w:p>
    <w:p w14:paraId="299A7886">
      <w:pPr>
        <w:spacing w:line="4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电气仪表试验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所有电气仪表，电流表、电压表及多功能仪表等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需</w:t>
      </w:r>
      <w:r>
        <w:rPr>
          <w:rFonts w:hint="eastAsia" w:ascii="宋体" w:hAnsi="宋体" w:cs="宋体"/>
          <w:bCs/>
          <w:color w:val="auto"/>
          <w:sz w:val="24"/>
          <w:szCs w:val="24"/>
          <w:highlight w:val="none"/>
          <w:lang w:val="en-US" w:eastAsia="zh-CN"/>
        </w:rPr>
        <w:t>送检</w:t>
      </w:r>
      <w:r>
        <w:rPr>
          <w:rFonts w:hint="eastAsia" w:ascii="宋体" w:hAnsi="宋体" w:eastAsia="宋体" w:cs="宋体"/>
          <w:bCs/>
          <w:color w:val="auto"/>
          <w:sz w:val="24"/>
          <w:szCs w:val="24"/>
          <w:highlight w:val="none"/>
          <w:lang w:val="en-US" w:eastAsia="zh-CN"/>
        </w:rPr>
        <w:t>，出具合格报告</w:t>
      </w:r>
    </w:p>
    <w:p w14:paraId="3A561276">
      <w:pPr>
        <w:spacing w:line="44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试验标准</w:t>
      </w:r>
    </w:p>
    <w:p w14:paraId="3AEF3646">
      <w:pPr>
        <w:spacing w:line="4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应符合：电力设备预防性试验规程DL/T596-202</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，维电保护和电网安全自动装置检验规程DL/T995-2016、电测量指示仪仪表检验规程DL/T1473-2016、低压断路器技术标准GB14048.2-2008、电气安全工器具预防性试验规程DL/T 1476-2015、继电保护和安全自动装置基本试验方法GB/T7216-2016、中华人民共和国国家标准 GB/T22264-2022（安装式数字显示电测量仪表）、中华人民共和国国家标准 GB/T7676-2017（直接作用模拟指示电测量仪表及其附件）。</w:t>
      </w:r>
    </w:p>
    <w:p w14:paraId="6E25425A">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所用电气试验测量设备均应取得质量技术监督部门认可并有资质的检测单位检验合格证或校验证明，方可进场使用。</w:t>
      </w:r>
    </w:p>
    <w:p w14:paraId="1A943A42">
      <w:pPr>
        <w:spacing w:line="360" w:lineRule="auto"/>
        <w:ind w:firstLine="482" w:firstLineChars="200"/>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2、电气设备试验清单</w:t>
      </w:r>
    </w:p>
    <w:p w14:paraId="79865845">
      <w:pPr>
        <w:spacing w:line="360" w:lineRule="auto"/>
        <w:ind w:firstLine="480" w:firstLineChars="200"/>
        <w:rPr>
          <w:rFonts w:ascii="宋体" w:hAnsi="宋体" w:cs="宋体"/>
          <w:bCs/>
          <w:color w:val="auto"/>
          <w:sz w:val="24"/>
          <w:szCs w:val="24"/>
          <w:highlight w:val="none"/>
          <w:u w:val="single"/>
        </w:rPr>
        <w:sectPr>
          <w:type w:val="continuous"/>
          <w:pgSz w:w="11906" w:h="16838"/>
          <w:pgMar w:top="1531" w:right="1474" w:bottom="1531" w:left="1588" w:header="851" w:footer="992" w:gutter="0"/>
          <w:cols w:space="720" w:num="1"/>
          <w:docGrid w:linePitch="380" w:charSpace="0"/>
        </w:sectPr>
      </w:pPr>
    </w:p>
    <w:bookmarkEnd w:id="25"/>
    <w:tbl>
      <w:tblPr>
        <w:tblStyle w:val="64"/>
        <w:tblW w:w="1319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683"/>
        <w:gridCol w:w="1012"/>
        <w:gridCol w:w="1012"/>
        <w:gridCol w:w="1290"/>
        <w:gridCol w:w="1290"/>
        <w:gridCol w:w="2170"/>
        <w:gridCol w:w="3414"/>
        <w:gridCol w:w="1012"/>
      </w:tblGrid>
      <w:tr w14:paraId="40F2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75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3A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闸站名称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08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进线电压</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4A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是否专变</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3C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是否沿江</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54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变压器类型</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CD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变压器容量KVA</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73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 注</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04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水泵数量</w:t>
            </w:r>
          </w:p>
        </w:tc>
      </w:tr>
      <w:tr w14:paraId="7C1B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C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E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小洋港闸站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C0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2D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E4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A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71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880（800+80）KVA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0724">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7F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14:paraId="15C7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E6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35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滨江涵闸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82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DA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55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A5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68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CC0A">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18B6">
            <w:pPr>
              <w:jc w:val="center"/>
              <w:rPr>
                <w:rFonts w:hint="eastAsia" w:ascii="宋体" w:hAnsi="宋体" w:eastAsia="宋体" w:cs="宋体"/>
                <w:i w:val="0"/>
                <w:iCs w:val="0"/>
                <w:color w:val="auto"/>
                <w:sz w:val="24"/>
                <w:szCs w:val="24"/>
                <w:highlight w:val="none"/>
                <w:u w:val="none"/>
              </w:rPr>
            </w:pPr>
          </w:p>
        </w:tc>
      </w:tr>
      <w:tr w14:paraId="0EFD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C5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EF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园林河闸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CD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34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6C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21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6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42DA">
            <w:pPr>
              <w:jc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eastAsia="zh-CN"/>
              </w:rPr>
              <w:t>露天无需安全用具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7CED">
            <w:pPr>
              <w:jc w:val="center"/>
              <w:rPr>
                <w:rFonts w:hint="eastAsia" w:ascii="宋体" w:hAnsi="宋体" w:eastAsia="宋体" w:cs="宋体"/>
                <w:i w:val="0"/>
                <w:iCs w:val="0"/>
                <w:color w:val="auto"/>
                <w:sz w:val="24"/>
                <w:szCs w:val="24"/>
                <w:highlight w:val="none"/>
                <w:u w:val="none"/>
              </w:rPr>
            </w:pPr>
          </w:p>
        </w:tc>
      </w:tr>
      <w:tr w14:paraId="0422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D5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3A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铺港河闸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6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F2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B2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73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0C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A73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8B56">
            <w:pPr>
              <w:jc w:val="center"/>
              <w:rPr>
                <w:rFonts w:hint="eastAsia" w:ascii="宋体" w:hAnsi="宋体" w:eastAsia="宋体" w:cs="宋体"/>
                <w:i w:val="0"/>
                <w:iCs w:val="0"/>
                <w:color w:val="auto"/>
                <w:sz w:val="24"/>
                <w:szCs w:val="24"/>
                <w:highlight w:val="none"/>
                <w:u w:val="none"/>
              </w:rPr>
            </w:pPr>
          </w:p>
        </w:tc>
      </w:tr>
      <w:tr w14:paraId="236C8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E0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E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易家桥泵站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02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86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69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BE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E9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511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1C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711A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C9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8B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红星二河闸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1D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8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7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6D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C3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14F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14C5">
            <w:pPr>
              <w:jc w:val="center"/>
              <w:rPr>
                <w:rFonts w:hint="eastAsia" w:ascii="宋体" w:hAnsi="宋体" w:eastAsia="宋体" w:cs="宋体"/>
                <w:i w:val="0"/>
                <w:iCs w:val="0"/>
                <w:color w:val="auto"/>
                <w:sz w:val="24"/>
                <w:szCs w:val="24"/>
                <w:highlight w:val="none"/>
                <w:u w:val="none"/>
              </w:rPr>
            </w:pPr>
          </w:p>
        </w:tc>
      </w:tr>
      <w:tr w14:paraId="50E2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3F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5A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三附闸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6F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A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0C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FD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CD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80A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F703">
            <w:pPr>
              <w:jc w:val="center"/>
              <w:rPr>
                <w:rFonts w:hint="eastAsia" w:ascii="宋体" w:hAnsi="宋体" w:eastAsia="宋体" w:cs="宋体"/>
                <w:i w:val="0"/>
                <w:iCs w:val="0"/>
                <w:color w:val="auto"/>
                <w:sz w:val="24"/>
                <w:szCs w:val="24"/>
                <w:highlight w:val="none"/>
                <w:u w:val="none"/>
              </w:rPr>
            </w:pPr>
          </w:p>
        </w:tc>
      </w:tr>
      <w:tr w14:paraId="3279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39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E0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竖一河北闸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20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6A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01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B0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B6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4E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6ED4">
            <w:pPr>
              <w:jc w:val="center"/>
              <w:rPr>
                <w:rFonts w:hint="eastAsia" w:ascii="宋体" w:hAnsi="宋体" w:eastAsia="宋体" w:cs="宋体"/>
                <w:i w:val="0"/>
                <w:iCs w:val="0"/>
                <w:color w:val="auto"/>
                <w:sz w:val="24"/>
                <w:szCs w:val="24"/>
                <w:highlight w:val="none"/>
                <w:u w:val="none"/>
              </w:rPr>
            </w:pPr>
          </w:p>
        </w:tc>
      </w:tr>
      <w:tr w14:paraId="5EB0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DC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50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姚港闸站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FA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93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19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1B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9F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B5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含</w:t>
            </w:r>
            <w:r>
              <w:rPr>
                <w:rFonts w:hint="eastAsia" w:ascii="宋体" w:hAnsi="宋体" w:eastAsia="宋体" w:cs="宋体"/>
                <w:i w:val="0"/>
                <w:iCs w:val="0"/>
                <w:color w:val="auto"/>
                <w:kern w:val="0"/>
                <w:sz w:val="24"/>
                <w:szCs w:val="24"/>
                <w:highlight w:val="none"/>
                <w:u w:val="none"/>
                <w:lang w:val="en-US" w:eastAsia="zh-CN" w:bidi="ar"/>
              </w:rPr>
              <w:t>柴油发电机</w:t>
            </w:r>
            <w:r>
              <w:rPr>
                <w:rFonts w:hint="eastAsia" w:ascii="宋体" w:hAnsi="宋体" w:cs="宋体"/>
                <w:i w:val="0"/>
                <w:iCs w:val="0"/>
                <w:color w:val="auto"/>
                <w:kern w:val="0"/>
                <w:sz w:val="24"/>
                <w:szCs w:val="24"/>
                <w:highlight w:val="none"/>
                <w:u w:val="none"/>
                <w:lang w:val="en-US" w:eastAsia="zh-CN" w:bidi="ar"/>
              </w:rPr>
              <w:t>（160KW）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C1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14:paraId="5788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A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67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战胜闸站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F9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B2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02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3C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DF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6E53">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12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1F8A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F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52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锅炉厂河闸站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D4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15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50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57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B4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51B4">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1F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7C03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6E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14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南通港闸站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5C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CD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97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3E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48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750A">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5D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r>
      <w:tr w14:paraId="2EBD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2B8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7C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南通港南河闸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E52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4E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37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8A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352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A436">
            <w:pPr>
              <w:jc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eastAsia="zh-CN"/>
              </w:rPr>
              <w:t>露天无需安全用具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6C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A1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FCC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0D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钟秀闸站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94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5A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36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D9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99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9EF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3C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202D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1377">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39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新胜河闸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5B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96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60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77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37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DB8F">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5139">
            <w:pPr>
              <w:jc w:val="center"/>
              <w:rPr>
                <w:rFonts w:hint="eastAsia" w:ascii="宋体" w:hAnsi="宋体" w:eastAsia="宋体" w:cs="宋体"/>
                <w:i w:val="0"/>
                <w:iCs w:val="0"/>
                <w:color w:val="auto"/>
                <w:sz w:val="24"/>
                <w:szCs w:val="24"/>
                <w:highlight w:val="none"/>
                <w:u w:val="none"/>
              </w:rPr>
            </w:pPr>
          </w:p>
        </w:tc>
      </w:tr>
      <w:tr w14:paraId="4A08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9C2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B7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金通河涵洞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B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52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CD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6C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C4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51D7">
            <w:pPr>
              <w:jc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eastAsia="zh-CN"/>
              </w:rPr>
              <w:t>露天无需安全用具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0E53">
            <w:pPr>
              <w:jc w:val="center"/>
              <w:rPr>
                <w:rFonts w:hint="eastAsia" w:ascii="宋体" w:hAnsi="宋体" w:eastAsia="宋体" w:cs="宋体"/>
                <w:i w:val="0"/>
                <w:iCs w:val="0"/>
                <w:color w:val="auto"/>
                <w:sz w:val="24"/>
                <w:szCs w:val="24"/>
                <w:highlight w:val="none"/>
                <w:u w:val="none"/>
              </w:rPr>
            </w:pPr>
          </w:p>
        </w:tc>
      </w:tr>
      <w:tr w14:paraId="758D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CF1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49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永十界河闸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1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D8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B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B8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63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34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1D56">
            <w:pPr>
              <w:jc w:val="center"/>
              <w:rPr>
                <w:rFonts w:hint="eastAsia" w:ascii="宋体" w:hAnsi="宋体" w:eastAsia="宋体" w:cs="宋体"/>
                <w:i w:val="0"/>
                <w:iCs w:val="0"/>
                <w:color w:val="auto"/>
                <w:sz w:val="24"/>
                <w:szCs w:val="24"/>
                <w:highlight w:val="none"/>
                <w:u w:val="none"/>
              </w:rPr>
            </w:pPr>
          </w:p>
        </w:tc>
      </w:tr>
      <w:tr w14:paraId="2E5A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D484">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F9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芦泾港闸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06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B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00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EA0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877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293F">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E072">
            <w:pPr>
              <w:jc w:val="center"/>
              <w:rPr>
                <w:rFonts w:hint="eastAsia" w:ascii="宋体" w:hAnsi="宋体" w:eastAsia="宋体" w:cs="宋体"/>
                <w:i w:val="0"/>
                <w:iCs w:val="0"/>
                <w:color w:val="auto"/>
                <w:sz w:val="24"/>
                <w:szCs w:val="24"/>
                <w:highlight w:val="none"/>
                <w:u w:val="none"/>
              </w:rPr>
            </w:pPr>
          </w:p>
        </w:tc>
      </w:tr>
      <w:tr w14:paraId="5310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4F39">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CD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尖长河闸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69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B1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2B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6F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54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7A05">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0D60">
            <w:pPr>
              <w:jc w:val="center"/>
              <w:rPr>
                <w:rFonts w:hint="eastAsia" w:ascii="宋体" w:hAnsi="宋体" w:eastAsia="宋体" w:cs="宋体"/>
                <w:i w:val="0"/>
                <w:iCs w:val="0"/>
                <w:color w:val="auto"/>
                <w:sz w:val="24"/>
                <w:szCs w:val="24"/>
                <w:highlight w:val="none"/>
                <w:u w:val="none"/>
              </w:rPr>
            </w:pPr>
          </w:p>
        </w:tc>
      </w:tr>
      <w:tr w14:paraId="0156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644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92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花墙支河闸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7D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06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32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6A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CD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F535">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739D">
            <w:pPr>
              <w:jc w:val="center"/>
              <w:rPr>
                <w:rFonts w:hint="eastAsia" w:ascii="宋体" w:hAnsi="宋体" w:eastAsia="宋体" w:cs="宋体"/>
                <w:i w:val="0"/>
                <w:iCs w:val="0"/>
                <w:color w:val="auto"/>
                <w:sz w:val="24"/>
                <w:szCs w:val="24"/>
                <w:highlight w:val="none"/>
                <w:u w:val="none"/>
              </w:rPr>
            </w:pPr>
          </w:p>
        </w:tc>
      </w:tr>
      <w:tr w14:paraId="173E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6181">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2C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东港闸站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6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19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B3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44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0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99B4">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含</w:t>
            </w:r>
            <w:r>
              <w:rPr>
                <w:rFonts w:hint="eastAsia" w:ascii="宋体" w:hAnsi="宋体" w:eastAsia="宋体" w:cs="宋体"/>
                <w:i w:val="0"/>
                <w:iCs w:val="0"/>
                <w:color w:val="auto"/>
                <w:kern w:val="0"/>
                <w:sz w:val="24"/>
                <w:szCs w:val="24"/>
                <w:highlight w:val="none"/>
                <w:u w:val="none"/>
                <w:lang w:val="en-US" w:eastAsia="zh-CN" w:bidi="ar"/>
              </w:rPr>
              <w:t>发电机组</w:t>
            </w:r>
            <w:r>
              <w:rPr>
                <w:rFonts w:hint="eastAsia" w:ascii="宋体" w:hAnsi="宋体" w:cs="宋体"/>
                <w:i w:val="0"/>
                <w:iCs w:val="0"/>
                <w:color w:val="auto"/>
                <w:kern w:val="0"/>
                <w:sz w:val="24"/>
                <w:szCs w:val="24"/>
                <w:highlight w:val="none"/>
                <w:u w:val="none"/>
                <w:lang w:val="en-US" w:eastAsia="zh-CN" w:bidi="ar"/>
              </w:rPr>
              <w:t>1台（功率1200KW）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CD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14:paraId="2189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C69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8C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老鸦口闸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F3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B0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6E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DE33">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60E3">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6C95">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3BF0">
            <w:pPr>
              <w:jc w:val="center"/>
              <w:rPr>
                <w:rFonts w:hint="eastAsia" w:ascii="宋体" w:hAnsi="宋体" w:eastAsia="宋体" w:cs="宋体"/>
                <w:i w:val="0"/>
                <w:iCs w:val="0"/>
                <w:color w:val="auto"/>
                <w:sz w:val="24"/>
                <w:szCs w:val="24"/>
                <w:highlight w:val="none"/>
                <w:u w:val="none"/>
              </w:rPr>
            </w:pPr>
          </w:p>
        </w:tc>
      </w:tr>
      <w:tr w14:paraId="19E4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7AB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5C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中心港闸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8A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7C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3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9F2F">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18D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6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含</w:t>
            </w:r>
            <w:r>
              <w:rPr>
                <w:rFonts w:hint="eastAsia" w:ascii="宋体" w:hAnsi="宋体" w:eastAsia="宋体" w:cs="宋体"/>
                <w:i w:val="0"/>
                <w:iCs w:val="0"/>
                <w:color w:val="auto"/>
                <w:kern w:val="0"/>
                <w:sz w:val="24"/>
                <w:szCs w:val="24"/>
                <w:highlight w:val="none"/>
                <w:u w:val="none"/>
                <w:lang w:val="en-US" w:eastAsia="zh-CN" w:bidi="ar"/>
              </w:rPr>
              <w:t>柴油发电机</w:t>
            </w:r>
            <w:r>
              <w:rPr>
                <w:rFonts w:hint="eastAsia" w:ascii="宋体" w:hAnsi="宋体" w:cs="宋体"/>
                <w:i w:val="0"/>
                <w:iCs w:val="0"/>
                <w:color w:val="auto"/>
                <w:kern w:val="0"/>
                <w:sz w:val="24"/>
                <w:szCs w:val="24"/>
                <w:highlight w:val="none"/>
                <w:u w:val="none"/>
                <w:lang w:val="en-US" w:eastAsia="zh-CN" w:bidi="ar"/>
              </w:rPr>
              <w:t>（120KW）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48AD">
            <w:pPr>
              <w:jc w:val="center"/>
              <w:rPr>
                <w:rFonts w:hint="eastAsia" w:ascii="宋体" w:hAnsi="宋体" w:eastAsia="宋体" w:cs="宋体"/>
                <w:i w:val="0"/>
                <w:iCs w:val="0"/>
                <w:color w:val="auto"/>
                <w:sz w:val="24"/>
                <w:szCs w:val="24"/>
                <w:highlight w:val="none"/>
                <w:u w:val="none"/>
              </w:rPr>
            </w:pPr>
          </w:p>
        </w:tc>
      </w:tr>
      <w:tr w14:paraId="31B3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FC6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0B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天生港闸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58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C9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97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F73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7E4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2BA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F70E">
            <w:pPr>
              <w:jc w:val="center"/>
              <w:rPr>
                <w:rFonts w:hint="eastAsia" w:ascii="宋体" w:hAnsi="宋体" w:eastAsia="宋体" w:cs="宋体"/>
                <w:i w:val="0"/>
                <w:iCs w:val="0"/>
                <w:color w:val="auto"/>
                <w:sz w:val="24"/>
                <w:szCs w:val="24"/>
                <w:highlight w:val="none"/>
                <w:u w:val="none"/>
              </w:rPr>
            </w:pPr>
          </w:p>
        </w:tc>
      </w:tr>
      <w:tr w14:paraId="2702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DF5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60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工农河闸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A2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88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84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3A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02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C10E">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B2D9">
            <w:pPr>
              <w:jc w:val="center"/>
              <w:rPr>
                <w:rFonts w:hint="eastAsia" w:ascii="宋体" w:hAnsi="宋体" w:eastAsia="宋体" w:cs="宋体"/>
                <w:i w:val="0"/>
                <w:iCs w:val="0"/>
                <w:color w:val="auto"/>
                <w:sz w:val="24"/>
                <w:szCs w:val="24"/>
                <w:highlight w:val="none"/>
                <w:u w:val="none"/>
              </w:rPr>
            </w:pPr>
          </w:p>
        </w:tc>
      </w:tr>
      <w:tr w14:paraId="73AF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D5B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94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曙光中心河闸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02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28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9F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575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E80E">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BB7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7E93">
            <w:pPr>
              <w:jc w:val="center"/>
              <w:rPr>
                <w:rFonts w:hint="eastAsia" w:ascii="宋体" w:hAnsi="宋体" w:eastAsia="宋体" w:cs="宋体"/>
                <w:i w:val="0"/>
                <w:iCs w:val="0"/>
                <w:color w:val="auto"/>
                <w:sz w:val="24"/>
                <w:szCs w:val="24"/>
                <w:highlight w:val="none"/>
                <w:u w:val="none"/>
              </w:rPr>
            </w:pPr>
          </w:p>
        </w:tc>
      </w:tr>
    </w:tbl>
    <w:p w14:paraId="145D4F65">
      <w:pPr>
        <w:widowControl/>
        <w:shd w:val="clear" w:color="auto" w:fill="E2EFD9"/>
        <w:spacing w:before="280" w:after="280"/>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注：上表为各闸站工程供电电压等级、变压器类型容量、电动机功率、水泵型号等统计表，如有出入，以现场设备为准。</w:t>
      </w:r>
    </w:p>
    <w:p w14:paraId="7D9086D4">
      <w:pPr>
        <w:spacing w:line="360" w:lineRule="auto"/>
        <w:ind w:firstLine="472" w:firstLineChars="196"/>
        <w:rPr>
          <w:rFonts w:ascii="宋体" w:hAnsi="宋体" w:cs="宋体"/>
          <w:b/>
          <w:bCs/>
          <w:color w:val="auto"/>
          <w:sz w:val="24"/>
          <w:szCs w:val="24"/>
          <w:highlight w:val="none"/>
        </w:rPr>
        <w:sectPr>
          <w:pgSz w:w="16838" w:h="11906" w:orient="landscape"/>
          <w:pgMar w:top="1588" w:right="1531" w:bottom="1474" w:left="1531" w:header="851" w:footer="992" w:gutter="0"/>
          <w:cols w:space="720" w:num="1"/>
          <w:docGrid w:linePitch="380" w:charSpace="0"/>
        </w:sectPr>
      </w:pPr>
    </w:p>
    <w:p w14:paraId="12919F95">
      <w:pPr>
        <w:spacing w:line="360" w:lineRule="auto"/>
        <w:ind w:firstLine="480"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电力安全工器具项目</w:t>
      </w:r>
    </w:p>
    <w:tbl>
      <w:tblPr>
        <w:tblStyle w:val="64"/>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3436"/>
        <w:gridCol w:w="3436"/>
      </w:tblGrid>
      <w:tr w14:paraId="4967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6" w:type="dxa"/>
            <w:shd w:val="clear" w:color="auto" w:fill="auto"/>
            <w:noWrap w:val="0"/>
            <w:vAlign w:val="center"/>
          </w:tcPr>
          <w:p w14:paraId="035EE521">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3436" w:type="dxa"/>
            <w:shd w:val="clear" w:color="auto" w:fill="auto"/>
            <w:noWrap w:val="0"/>
            <w:vAlign w:val="center"/>
          </w:tcPr>
          <w:p w14:paraId="54D18D7E">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名称</w:t>
            </w:r>
          </w:p>
        </w:tc>
        <w:tc>
          <w:tcPr>
            <w:tcW w:w="3436" w:type="dxa"/>
            <w:shd w:val="clear" w:color="auto" w:fill="auto"/>
            <w:noWrap w:val="0"/>
            <w:vAlign w:val="center"/>
          </w:tcPr>
          <w:p w14:paraId="2581E332">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备注</w:t>
            </w:r>
          </w:p>
        </w:tc>
      </w:tr>
      <w:tr w14:paraId="6875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6" w:type="dxa"/>
            <w:shd w:val="clear" w:color="auto" w:fill="auto"/>
            <w:noWrap w:val="0"/>
            <w:vAlign w:val="top"/>
          </w:tcPr>
          <w:p w14:paraId="04267E1D">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3436" w:type="dxa"/>
            <w:shd w:val="clear" w:color="auto" w:fill="auto"/>
            <w:noWrap w:val="0"/>
            <w:vAlign w:val="top"/>
          </w:tcPr>
          <w:p w14:paraId="76CB8945">
            <w:pP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令克棒</w:t>
            </w:r>
          </w:p>
        </w:tc>
        <w:tc>
          <w:tcPr>
            <w:tcW w:w="3436" w:type="dxa"/>
            <w:vMerge w:val="restart"/>
            <w:shd w:val="clear" w:color="auto" w:fill="auto"/>
            <w:noWrap w:val="0"/>
            <w:vAlign w:val="center"/>
          </w:tcPr>
          <w:p w14:paraId="5081AE13">
            <w:pPr>
              <w:spacing w:line="360" w:lineRule="auto"/>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5月需按甲方要求补齐安全用具并检测，11月再检测一次。</w:t>
            </w:r>
          </w:p>
          <w:p w14:paraId="56CA9453">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需符合闸站检测规定</w:t>
            </w:r>
          </w:p>
        </w:tc>
      </w:tr>
      <w:tr w14:paraId="0AF8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6" w:type="dxa"/>
            <w:shd w:val="clear" w:color="auto" w:fill="auto"/>
            <w:noWrap w:val="0"/>
            <w:vAlign w:val="top"/>
          </w:tcPr>
          <w:p w14:paraId="1877E719">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3436" w:type="dxa"/>
            <w:shd w:val="clear" w:color="auto" w:fill="auto"/>
            <w:noWrap w:val="0"/>
            <w:vAlign w:val="top"/>
          </w:tcPr>
          <w:p w14:paraId="44CCF4B5">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携带型短路接地线</w:t>
            </w:r>
          </w:p>
        </w:tc>
        <w:tc>
          <w:tcPr>
            <w:tcW w:w="3436" w:type="dxa"/>
            <w:vMerge w:val="continue"/>
            <w:shd w:val="clear" w:color="auto" w:fill="auto"/>
            <w:noWrap w:val="0"/>
            <w:vAlign w:val="top"/>
          </w:tcPr>
          <w:p w14:paraId="039E088F">
            <w:pPr>
              <w:spacing w:line="360" w:lineRule="auto"/>
              <w:jc w:val="center"/>
              <w:rPr>
                <w:rFonts w:hint="eastAsia" w:ascii="宋体" w:hAnsi="宋体"/>
                <w:color w:val="auto"/>
                <w:sz w:val="24"/>
                <w:szCs w:val="24"/>
                <w:highlight w:val="none"/>
              </w:rPr>
            </w:pPr>
          </w:p>
        </w:tc>
      </w:tr>
      <w:tr w14:paraId="5DB3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6" w:type="dxa"/>
            <w:shd w:val="clear" w:color="auto" w:fill="auto"/>
            <w:noWrap w:val="0"/>
            <w:vAlign w:val="top"/>
          </w:tcPr>
          <w:p w14:paraId="5ACB7DC3">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3436" w:type="dxa"/>
            <w:shd w:val="clear" w:color="auto" w:fill="auto"/>
            <w:noWrap w:val="0"/>
            <w:vAlign w:val="top"/>
          </w:tcPr>
          <w:p w14:paraId="5E6B1B28">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电容型验电器</w:t>
            </w:r>
          </w:p>
        </w:tc>
        <w:tc>
          <w:tcPr>
            <w:tcW w:w="3436" w:type="dxa"/>
            <w:vMerge w:val="continue"/>
            <w:shd w:val="clear" w:color="auto" w:fill="auto"/>
            <w:noWrap w:val="0"/>
            <w:vAlign w:val="top"/>
          </w:tcPr>
          <w:p w14:paraId="5BE2AB5F">
            <w:pPr>
              <w:spacing w:line="360" w:lineRule="auto"/>
              <w:jc w:val="center"/>
              <w:rPr>
                <w:rFonts w:hint="eastAsia" w:ascii="宋体" w:hAnsi="宋体"/>
                <w:color w:val="auto"/>
                <w:sz w:val="24"/>
                <w:szCs w:val="24"/>
                <w:highlight w:val="none"/>
              </w:rPr>
            </w:pPr>
          </w:p>
        </w:tc>
      </w:tr>
      <w:tr w14:paraId="1349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6" w:type="dxa"/>
            <w:shd w:val="clear" w:color="auto" w:fill="auto"/>
            <w:noWrap w:val="0"/>
            <w:vAlign w:val="top"/>
          </w:tcPr>
          <w:p w14:paraId="368355F1">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3436" w:type="dxa"/>
            <w:shd w:val="clear" w:color="auto" w:fill="auto"/>
            <w:noWrap w:val="0"/>
            <w:vAlign w:val="top"/>
          </w:tcPr>
          <w:p w14:paraId="5382C2BC">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绝缘手套</w:t>
            </w:r>
          </w:p>
        </w:tc>
        <w:tc>
          <w:tcPr>
            <w:tcW w:w="3436" w:type="dxa"/>
            <w:vMerge w:val="continue"/>
            <w:shd w:val="clear" w:color="auto" w:fill="auto"/>
            <w:noWrap w:val="0"/>
            <w:vAlign w:val="top"/>
          </w:tcPr>
          <w:p w14:paraId="63CE2800">
            <w:pPr>
              <w:spacing w:line="360" w:lineRule="auto"/>
              <w:jc w:val="center"/>
              <w:rPr>
                <w:rFonts w:hint="eastAsia" w:ascii="宋体" w:hAnsi="宋体"/>
                <w:color w:val="auto"/>
                <w:sz w:val="24"/>
                <w:szCs w:val="24"/>
                <w:highlight w:val="none"/>
              </w:rPr>
            </w:pPr>
          </w:p>
        </w:tc>
      </w:tr>
      <w:tr w14:paraId="3D4B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6" w:type="dxa"/>
            <w:shd w:val="clear" w:color="auto" w:fill="auto"/>
            <w:noWrap w:val="0"/>
            <w:vAlign w:val="top"/>
          </w:tcPr>
          <w:p w14:paraId="79070645">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5</w:t>
            </w:r>
          </w:p>
        </w:tc>
        <w:tc>
          <w:tcPr>
            <w:tcW w:w="3436" w:type="dxa"/>
            <w:shd w:val="clear" w:color="auto" w:fill="auto"/>
            <w:noWrap w:val="0"/>
            <w:vAlign w:val="top"/>
          </w:tcPr>
          <w:p w14:paraId="7F5C686A">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绝缘靴（鞋）</w:t>
            </w:r>
          </w:p>
        </w:tc>
        <w:tc>
          <w:tcPr>
            <w:tcW w:w="3436" w:type="dxa"/>
            <w:vMerge w:val="continue"/>
            <w:shd w:val="clear" w:color="auto" w:fill="auto"/>
            <w:noWrap w:val="0"/>
            <w:vAlign w:val="top"/>
          </w:tcPr>
          <w:p w14:paraId="311D9239">
            <w:pPr>
              <w:spacing w:line="360" w:lineRule="auto"/>
              <w:jc w:val="center"/>
              <w:rPr>
                <w:rFonts w:hint="eastAsia" w:ascii="宋体" w:hAnsi="宋体"/>
                <w:color w:val="auto"/>
                <w:sz w:val="24"/>
                <w:szCs w:val="24"/>
                <w:highlight w:val="none"/>
              </w:rPr>
            </w:pPr>
          </w:p>
        </w:tc>
      </w:tr>
      <w:tr w14:paraId="59CE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86" w:type="dxa"/>
            <w:shd w:val="clear" w:color="auto" w:fill="auto"/>
            <w:noWrap w:val="0"/>
            <w:vAlign w:val="top"/>
          </w:tcPr>
          <w:p w14:paraId="2992A8D6">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6</w:t>
            </w:r>
          </w:p>
        </w:tc>
        <w:tc>
          <w:tcPr>
            <w:tcW w:w="3436" w:type="dxa"/>
            <w:shd w:val="clear" w:color="auto" w:fill="auto"/>
            <w:noWrap w:val="0"/>
            <w:vAlign w:val="top"/>
          </w:tcPr>
          <w:p w14:paraId="784BE0F0">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辅助型绝缘胶垫</w:t>
            </w:r>
          </w:p>
        </w:tc>
        <w:tc>
          <w:tcPr>
            <w:tcW w:w="3436" w:type="dxa"/>
            <w:vMerge w:val="continue"/>
            <w:shd w:val="clear" w:color="auto" w:fill="auto"/>
            <w:noWrap w:val="0"/>
            <w:vAlign w:val="top"/>
          </w:tcPr>
          <w:p w14:paraId="6F6A9055">
            <w:pPr>
              <w:spacing w:line="360" w:lineRule="auto"/>
              <w:jc w:val="center"/>
              <w:rPr>
                <w:rFonts w:hint="eastAsia" w:ascii="宋体" w:hAnsi="宋体"/>
                <w:color w:val="auto"/>
                <w:sz w:val="24"/>
                <w:szCs w:val="24"/>
                <w:highlight w:val="none"/>
              </w:rPr>
            </w:pPr>
          </w:p>
        </w:tc>
      </w:tr>
    </w:tbl>
    <w:p w14:paraId="7E704AB7">
      <w:pPr>
        <w:spacing w:line="440" w:lineRule="exact"/>
        <w:ind w:firstLine="470"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3、中标价、合同</w:t>
      </w:r>
      <w:bookmarkEnd w:id="26"/>
      <w:r>
        <w:rPr>
          <w:rFonts w:hint="eastAsia" w:ascii="宋体" w:hAnsi="宋体" w:cs="宋体"/>
          <w:b/>
          <w:bCs/>
          <w:color w:val="auto"/>
          <w:sz w:val="24"/>
          <w:szCs w:val="24"/>
          <w:highlight w:val="none"/>
        </w:rPr>
        <w:t>价款</w:t>
      </w:r>
    </w:p>
    <w:p w14:paraId="3A3E2004">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3.1合同价款总额人民币（大写）：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p>
    <w:p w14:paraId="4081EFC1">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3.2合同价款总额包括试验费用、全额含税发票、合同实施过程中的应预见和不可预见费用等。</w:t>
      </w:r>
    </w:p>
    <w:p w14:paraId="78FC0018">
      <w:pPr>
        <w:spacing w:line="440" w:lineRule="exact"/>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3.3</w:t>
      </w:r>
      <w:r>
        <w:rPr>
          <w:rFonts w:hint="eastAsia" w:ascii="宋体" w:hAnsi="宋体" w:cs="宋体"/>
          <w:bCs/>
          <w:color w:val="auto"/>
          <w:sz w:val="24"/>
          <w:szCs w:val="24"/>
          <w:highlight w:val="none"/>
        </w:rPr>
        <w:t>本合同</w:t>
      </w:r>
      <w:r>
        <w:rPr>
          <w:rFonts w:hint="eastAsia" w:ascii="宋体" w:hAnsi="宋体" w:cs="宋体"/>
          <w:color w:val="auto"/>
          <w:sz w:val="24"/>
          <w:szCs w:val="24"/>
          <w:highlight w:val="none"/>
        </w:rPr>
        <w:t>价格为固定不变价。</w:t>
      </w:r>
      <w:r>
        <w:rPr>
          <w:rFonts w:hint="eastAsia" w:ascii="宋体" w:hAnsi="宋体" w:cs="宋体"/>
          <w:bCs/>
          <w:color w:val="auto"/>
          <w:sz w:val="24"/>
          <w:szCs w:val="24"/>
          <w:highlight w:val="none"/>
        </w:rPr>
        <w:t>实施过程中所发生的一切税费及不可预见费均由乙方承担。</w:t>
      </w:r>
    </w:p>
    <w:p w14:paraId="2EA58DF2">
      <w:pPr>
        <w:spacing w:line="440" w:lineRule="exact"/>
        <w:ind w:firstLine="470"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4、付款方式</w:t>
      </w:r>
    </w:p>
    <w:p w14:paraId="3C17FD2F">
      <w:pPr>
        <w:adjustRightInd w:val="0"/>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签订合同后支付合同</w:t>
      </w:r>
      <w:r>
        <w:rPr>
          <w:rFonts w:hint="eastAsia" w:ascii="宋体" w:hAnsi="宋体" w:cs="宋体"/>
          <w:color w:val="auto"/>
          <w:sz w:val="24"/>
          <w:szCs w:val="24"/>
          <w:highlight w:val="none"/>
          <w:u w:val="single"/>
        </w:rPr>
        <w:t>价款</w:t>
      </w:r>
      <w:r>
        <w:rPr>
          <w:rFonts w:hint="eastAsia" w:ascii="宋体" w:hAnsi="宋体" w:cs="宋体"/>
          <w:color w:val="auto"/>
          <w:sz w:val="24"/>
          <w:szCs w:val="24"/>
          <w:highlight w:val="none"/>
          <w:u w:val="single"/>
          <w:lang w:val="en-US" w:eastAsia="zh-CN"/>
        </w:rPr>
        <w:t>的10%，</w:t>
      </w:r>
      <w:r>
        <w:rPr>
          <w:rFonts w:hint="eastAsia" w:ascii="宋体" w:hAnsi="宋体" w:cs="宋体"/>
          <w:color w:val="auto"/>
          <w:sz w:val="24"/>
          <w:szCs w:val="24"/>
          <w:highlight w:val="none"/>
          <w:u w:val="single"/>
        </w:rPr>
        <w:t>乙方向甲方出具正式</w:t>
      </w:r>
      <w:r>
        <w:rPr>
          <w:rFonts w:hint="eastAsia" w:ascii="宋体" w:hAnsi="宋体" w:cs="宋体"/>
          <w:color w:val="auto"/>
          <w:sz w:val="24"/>
          <w:szCs w:val="24"/>
          <w:highlight w:val="none"/>
          <w:u w:val="single"/>
          <w:lang w:val="en-US" w:eastAsia="zh-CN"/>
        </w:rPr>
        <w:t>闸站试验</w:t>
      </w:r>
      <w:r>
        <w:rPr>
          <w:rFonts w:hint="eastAsia" w:ascii="宋体" w:hAnsi="宋体" w:cs="宋体"/>
          <w:color w:val="auto"/>
          <w:sz w:val="24"/>
          <w:szCs w:val="24"/>
          <w:highlight w:val="none"/>
          <w:u w:val="single"/>
        </w:rPr>
        <w:t>报告并经甲方验收合格后支付</w:t>
      </w:r>
      <w:r>
        <w:rPr>
          <w:rFonts w:hint="eastAsia" w:ascii="宋体" w:hAnsi="宋体" w:cs="宋体"/>
          <w:color w:val="auto"/>
          <w:sz w:val="24"/>
          <w:szCs w:val="24"/>
          <w:highlight w:val="none"/>
          <w:u w:val="single"/>
          <w:lang w:val="en-US" w:eastAsia="zh-CN"/>
        </w:rPr>
        <w:t>至</w:t>
      </w:r>
      <w:r>
        <w:rPr>
          <w:rFonts w:hint="eastAsia" w:ascii="宋体" w:hAnsi="宋体" w:cs="宋体"/>
          <w:color w:val="auto"/>
          <w:sz w:val="24"/>
          <w:szCs w:val="24"/>
          <w:highlight w:val="none"/>
          <w:u w:val="single"/>
        </w:rPr>
        <w:t>合同价款的</w:t>
      </w:r>
      <w:r>
        <w:rPr>
          <w:rFonts w:hint="eastAsia" w:ascii="宋体" w:hAnsi="宋体" w:cs="宋体"/>
          <w:color w:val="auto"/>
          <w:sz w:val="24"/>
          <w:szCs w:val="24"/>
          <w:highlight w:val="none"/>
          <w:u w:val="single"/>
          <w:lang w:val="en-US" w:eastAsia="zh-CN"/>
        </w:rPr>
        <w:t>7</w:t>
      </w:r>
      <w:r>
        <w:rPr>
          <w:rFonts w:ascii="宋体" w:hAnsi="宋体" w:cs="宋体"/>
          <w:color w:val="auto"/>
          <w:sz w:val="24"/>
          <w:szCs w:val="24"/>
          <w:highlight w:val="none"/>
          <w:u w:val="single"/>
        </w:rPr>
        <w:t>0%</w:t>
      </w:r>
      <w:r>
        <w:rPr>
          <w:rFonts w:hint="eastAsia" w:ascii="宋体" w:hAnsi="宋体" w:cs="宋体"/>
          <w:color w:val="auto"/>
          <w:sz w:val="24"/>
          <w:szCs w:val="24"/>
          <w:highlight w:val="none"/>
          <w:u w:val="single"/>
        </w:rPr>
        <w:t>，待电力安全工器具周期试验完成，并提供试验报告及合格证后一次性付清余款。支付时提供正式发票。</w:t>
      </w:r>
    </w:p>
    <w:p w14:paraId="384708B3">
      <w:pPr>
        <w:spacing w:line="440" w:lineRule="exact"/>
        <w:ind w:firstLine="470" w:firstLineChars="196"/>
        <w:rPr>
          <w:rFonts w:ascii="宋体" w:hAnsi="宋体" w:cs="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、试验地点</w:t>
      </w:r>
    </w:p>
    <w:p w14:paraId="32D104B3">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南通市崇川区各闸站。</w:t>
      </w:r>
    </w:p>
    <w:p w14:paraId="4E1F83D6">
      <w:pPr>
        <w:spacing w:line="440" w:lineRule="exact"/>
        <w:ind w:firstLine="470" w:firstLineChars="196"/>
        <w:rPr>
          <w:rFonts w:ascii="宋体" w:hAnsi="宋体" w:cs="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、试验时间</w:t>
      </w:r>
    </w:p>
    <w:p w14:paraId="25961C0D">
      <w:pPr>
        <w:spacing w:line="440" w:lineRule="exact"/>
        <w:ind w:firstLine="484" w:firstLineChars="202"/>
        <w:rPr>
          <w:rFonts w:ascii="宋体" w:hAnsi="宋体" w:cs="宋体"/>
          <w:bCs/>
          <w:color w:val="auto"/>
          <w:sz w:val="24"/>
          <w:szCs w:val="24"/>
          <w:highlight w:val="none"/>
          <w:u w:val="single"/>
        </w:rPr>
      </w:pPr>
      <w:r>
        <w:rPr>
          <w:rFonts w:hint="eastAsia" w:ascii="宋体" w:hAnsi="宋体" w:cs="宋体"/>
          <w:color w:val="auto"/>
          <w:sz w:val="24"/>
          <w:szCs w:val="24"/>
          <w:highlight w:val="none"/>
        </w:rPr>
        <w:t>合同签订后60日历天内完成闸站检查，电力安全工器具项目于2025年11月份进行检测。</w:t>
      </w:r>
    </w:p>
    <w:p w14:paraId="6FFB83D5">
      <w:pPr>
        <w:spacing w:line="440" w:lineRule="exact"/>
        <w:ind w:firstLine="470" w:firstLineChars="196"/>
        <w:rPr>
          <w:rFonts w:ascii="宋体" w:hAnsi="宋体" w:cs="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、成果要求</w:t>
      </w:r>
    </w:p>
    <w:p w14:paraId="66ABE89D">
      <w:pPr>
        <w:spacing w:line="440" w:lineRule="exact"/>
        <w:ind w:firstLine="480" w:firstLineChars="200"/>
        <w:jc w:val="left"/>
        <w:rPr>
          <w:rFonts w:hint="eastAsia" w:ascii="宋体" w:hAnsi="宋体"/>
          <w:color w:val="auto"/>
          <w:sz w:val="24"/>
          <w:szCs w:val="24"/>
          <w:highlight w:val="none"/>
        </w:rPr>
      </w:pPr>
      <w:bookmarkStart w:id="27" w:name="_Toc78604612"/>
      <w:r>
        <w:rPr>
          <w:rFonts w:hint="eastAsia" w:ascii="宋体" w:hAnsi="宋体"/>
          <w:color w:val="auto"/>
          <w:sz w:val="24"/>
          <w:szCs w:val="24"/>
          <w:highlight w:val="none"/>
        </w:rPr>
        <w:t>提供符合采购人要求的所有设备的电气试验报告（一式五份），对发现的问题须提出处理建议，电气试验报告须加盖公章或试验章。</w:t>
      </w:r>
    </w:p>
    <w:bookmarkEnd w:id="27"/>
    <w:p w14:paraId="33D2E25C">
      <w:pPr>
        <w:tabs>
          <w:tab w:val="left" w:pos="4040"/>
        </w:tabs>
        <w:spacing w:before="23" w:line="440" w:lineRule="exact"/>
        <w:ind w:left="667" w:leftChars="228" w:right="4143" w:hanging="189" w:hangingChars="79"/>
        <w:rPr>
          <w:rFonts w:ascii="宋体" w:hAnsi="宋体" w:cs="宋体"/>
          <w:b/>
          <w:bCs/>
          <w:color w:val="auto"/>
          <w:sz w:val="24"/>
          <w:szCs w:val="24"/>
          <w:highlight w:val="none"/>
        </w:rPr>
      </w:pPr>
      <w:bookmarkStart w:id="28" w:name="_Toc78604613"/>
      <w:r>
        <w:rPr>
          <w:rFonts w:ascii="宋体" w:hAnsi="宋体" w:cs="宋体"/>
          <w:b/>
          <w:bCs/>
          <w:color w:val="auto"/>
          <w:sz w:val="24"/>
          <w:szCs w:val="24"/>
          <w:highlight w:val="none"/>
        </w:rPr>
        <w:t>8</w:t>
      </w:r>
      <w:r>
        <w:rPr>
          <w:rFonts w:hint="eastAsia" w:ascii="宋体" w:hAnsi="宋体" w:cs="宋体"/>
          <w:b/>
          <w:bCs/>
          <w:color w:val="auto"/>
          <w:sz w:val="24"/>
          <w:szCs w:val="24"/>
          <w:highlight w:val="none"/>
        </w:rPr>
        <w:t>、安全与文明要求</w:t>
      </w:r>
    </w:p>
    <w:p w14:paraId="6C2F5E8A">
      <w:pPr>
        <w:spacing w:line="440" w:lineRule="exact"/>
        <w:ind w:right="164"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8</w:t>
      </w:r>
      <w:r>
        <w:rPr>
          <w:rFonts w:hint="eastAsia" w:ascii="宋体" w:hAnsi="宋体" w:cs="宋体"/>
          <w:bCs/>
          <w:color w:val="auto"/>
          <w:sz w:val="24"/>
          <w:szCs w:val="24"/>
          <w:highlight w:val="none"/>
        </w:rPr>
        <w:t>.1乙方应当制订严格的安全与文明制度并呈送甲方；乙方应当同时遵守甲方的安全与文明生产管理制度，并接受甲方的监督检查。乙方违反本款规定的，甲方有权根据本方的制度进行处罚。</w:t>
      </w:r>
    </w:p>
    <w:p w14:paraId="2CDEF6D8">
      <w:pPr>
        <w:spacing w:before="7" w:line="440" w:lineRule="exact"/>
        <w:ind w:right="32"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8</w:t>
      </w:r>
      <w:r>
        <w:rPr>
          <w:rFonts w:hint="eastAsia" w:ascii="宋体" w:hAnsi="宋体" w:cs="宋体"/>
          <w:bCs/>
          <w:color w:val="auto"/>
          <w:sz w:val="24"/>
          <w:szCs w:val="24"/>
          <w:highlight w:val="none"/>
        </w:rPr>
        <w:t>.2乙方是试验项目安全的责任主体，必须设专职安全员，在进场前认真检查个人劳动防护用品及施工工具。要坚持日常的安全监督检查活动，制止一切违章操作行为，并对违章人员提出处罚整改意见, 防止发生意外事故。</w:t>
      </w:r>
    </w:p>
    <w:p w14:paraId="4085D24D">
      <w:pPr>
        <w:spacing w:before="5" w:line="440" w:lineRule="exact"/>
        <w:ind w:right="-20" w:firstLine="436" w:firstLineChars="182"/>
        <w:rPr>
          <w:rFonts w:ascii="宋体" w:hAnsi="宋体" w:cs="宋体"/>
          <w:bCs/>
          <w:color w:val="auto"/>
          <w:sz w:val="24"/>
          <w:szCs w:val="24"/>
          <w:highlight w:val="none"/>
        </w:rPr>
      </w:pPr>
      <w:r>
        <w:rPr>
          <w:rFonts w:ascii="宋体" w:hAnsi="宋体" w:cs="宋体"/>
          <w:bCs/>
          <w:color w:val="auto"/>
          <w:sz w:val="24"/>
          <w:szCs w:val="24"/>
          <w:highlight w:val="none"/>
        </w:rPr>
        <w:t>8</w:t>
      </w:r>
      <w:r>
        <w:rPr>
          <w:rFonts w:hint="eastAsia" w:ascii="宋体" w:hAnsi="宋体" w:cs="宋体"/>
          <w:bCs/>
          <w:color w:val="auto"/>
          <w:sz w:val="24"/>
          <w:szCs w:val="24"/>
          <w:highlight w:val="none"/>
        </w:rPr>
        <w:t>.3乙方在服务过程中发生的一切人身和财产伤害，均由乙方自行承担。</w:t>
      </w:r>
    </w:p>
    <w:p w14:paraId="329E4B2C">
      <w:pPr>
        <w:spacing w:line="440" w:lineRule="exact"/>
        <w:ind w:firstLine="470" w:firstLineChars="196"/>
        <w:rPr>
          <w:rFonts w:ascii="宋体" w:hAnsi="宋体" w:cs="宋体"/>
          <w:b/>
          <w:bCs/>
          <w:color w:val="auto"/>
          <w:sz w:val="24"/>
          <w:szCs w:val="24"/>
          <w:highlight w:val="none"/>
        </w:rPr>
      </w:pPr>
      <w:r>
        <w:rPr>
          <w:rFonts w:ascii="宋体" w:hAnsi="宋体" w:cs="宋体"/>
          <w:b/>
          <w:bCs/>
          <w:color w:val="auto"/>
          <w:sz w:val="24"/>
          <w:szCs w:val="24"/>
          <w:highlight w:val="none"/>
        </w:rPr>
        <w:t>9</w:t>
      </w:r>
      <w:r>
        <w:rPr>
          <w:rFonts w:hint="eastAsia" w:ascii="宋体" w:hAnsi="宋体" w:cs="宋体"/>
          <w:b/>
          <w:bCs/>
          <w:color w:val="auto"/>
          <w:sz w:val="24"/>
          <w:szCs w:val="24"/>
          <w:highlight w:val="none"/>
        </w:rPr>
        <w:t>、违约责任</w:t>
      </w:r>
      <w:bookmarkEnd w:id="28"/>
    </w:p>
    <w:p w14:paraId="02FCF628">
      <w:pPr>
        <w:spacing w:before="6" w:line="440" w:lineRule="exact"/>
        <w:ind w:right="221"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9</w:t>
      </w:r>
      <w:r>
        <w:rPr>
          <w:rFonts w:hint="eastAsia" w:ascii="宋体" w:hAnsi="宋体" w:cs="宋体"/>
          <w:bCs/>
          <w:color w:val="auto"/>
          <w:sz w:val="24"/>
          <w:szCs w:val="24"/>
          <w:highlight w:val="none"/>
        </w:rPr>
        <w:t>.1甲方无正当理由对乙方服务成果不验收、不接受的，自约定的验收和接受时间届满后三个月起，乙方有权要求甲方支付应付的合同价款。</w:t>
      </w:r>
    </w:p>
    <w:p w14:paraId="2D542FA0">
      <w:pPr>
        <w:spacing w:before="17" w:line="440" w:lineRule="exact"/>
        <w:ind w:left="-60" w:leftChars="-29" w:right="30"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9</w:t>
      </w:r>
      <w:r>
        <w:rPr>
          <w:rFonts w:hint="eastAsia" w:ascii="宋体" w:hAnsi="宋体" w:cs="宋体"/>
          <w:bCs/>
          <w:color w:val="auto"/>
          <w:sz w:val="24"/>
          <w:szCs w:val="24"/>
          <w:highlight w:val="none"/>
        </w:rPr>
        <w:t>.</w:t>
      </w:r>
      <w:r>
        <w:rPr>
          <w:rFonts w:ascii="宋体" w:hAnsi="宋体" w:cs="宋体"/>
          <w:bCs/>
          <w:color w:val="auto"/>
          <w:sz w:val="24"/>
          <w:szCs w:val="24"/>
          <w:highlight w:val="none"/>
        </w:rPr>
        <w:t>2</w:t>
      </w:r>
      <w:r>
        <w:rPr>
          <w:rFonts w:hint="eastAsia" w:ascii="宋体" w:hAnsi="宋体" w:cs="宋体"/>
          <w:bCs/>
          <w:color w:val="auto"/>
          <w:sz w:val="24"/>
          <w:szCs w:val="24"/>
          <w:highlight w:val="none"/>
        </w:rPr>
        <w:t>乙方不能按照约定的时间提供专业化服务或者提交服务成果的，甲方有权单方面解除本合同并就本方受到的损失进行索赔。</w:t>
      </w:r>
    </w:p>
    <w:p w14:paraId="63A32E81">
      <w:pPr>
        <w:spacing w:line="440" w:lineRule="exact"/>
        <w:ind w:firstLine="470" w:firstLineChars="196"/>
        <w:rPr>
          <w:rFonts w:ascii="宋体" w:hAnsi="宋体" w:cs="宋体"/>
          <w:bCs/>
          <w:color w:val="auto"/>
          <w:sz w:val="24"/>
          <w:szCs w:val="24"/>
          <w:highlight w:val="none"/>
        </w:rPr>
      </w:pPr>
      <w:r>
        <w:rPr>
          <w:rFonts w:ascii="宋体" w:hAnsi="宋体" w:cs="宋体"/>
          <w:bCs/>
          <w:color w:val="auto"/>
          <w:sz w:val="24"/>
          <w:szCs w:val="24"/>
          <w:highlight w:val="none"/>
        </w:rPr>
        <w:t>9</w:t>
      </w:r>
      <w:r>
        <w:rPr>
          <w:rFonts w:hint="eastAsia" w:ascii="宋体" w:hAnsi="宋体" w:cs="宋体"/>
          <w:bCs/>
          <w:color w:val="auto"/>
          <w:sz w:val="24"/>
          <w:szCs w:val="24"/>
          <w:highlight w:val="none"/>
        </w:rPr>
        <w:t>.</w:t>
      </w:r>
      <w:r>
        <w:rPr>
          <w:rFonts w:ascii="宋体" w:hAnsi="宋体" w:cs="宋体"/>
          <w:bCs/>
          <w:color w:val="auto"/>
          <w:sz w:val="24"/>
          <w:szCs w:val="24"/>
          <w:highlight w:val="none"/>
        </w:rPr>
        <w:t>3</w:t>
      </w:r>
      <w:r>
        <w:rPr>
          <w:rFonts w:hint="eastAsia" w:ascii="宋体" w:hAnsi="宋体" w:cs="宋体"/>
          <w:bCs/>
          <w:color w:val="auto"/>
          <w:sz w:val="24"/>
          <w:szCs w:val="24"/>
          <w:highlight w:val="none"/>
        </w:rPr>
        <w:t xml:space="preserve">乙方服务不合格的，除双方另有约定外，甲方有权扣减不合格部分的服务费，并按照该等服务费的一倍进行处罚。如果这种不合格的状况在乙方采取补救措施后仍然存在的，甲方有权视不合格程度决定是否解除本合同并索赔。 </w:t>
      </w:r>
    </w:p>
    <w:p w14:paraId="2934447C">
      <w:pPr>
        <w:spacing w:line="440" w:lineRule="exact"/>
        <w:ind w:firstLine="470" w:firstLineChars="196"/>
        <w:rPr>
          <w:rFonts w:ascii="宋体" w:hAnsi="宋体" w:cs="宋体"/>
          <w:b/>
          <w:bCs/>
          <w:color w:val="auto"/>
          <w:sz w:val="24"/>
          <w:szCs w:val="24"/>
          <w:highlight w:val="none"/>
        </w:rPr>
      </w:pPr>
      <w:bookmarkStart w:id="29" w:name="_Toc78604615"/>
      <w:r>
        <w:rPr>
          <w:rFonts w:hint="eastAsia" w:ascii="宋体" w:hAnsi="宋体" w:cs="宋体"/>
          <w:b/>
          <w:bCs/>
          <w:color w:val="auto"/>
          <w:sz w:val="24"/>
          <w:szCs w:val="24"/>
          <w:highlight w:val="none"/>
        </w:rPr>
        <w:t>1</w:t>
      </w:r>
      <w:r>
        <w:rPr>
          <w:rFonts w:ascii="宋体" w:hAnsi="宋体" w:cs="宋体"/>
          <w:b/>
          <w:bCs/>
          <w:color w:val="auto"/>
          <w:sz w:val="24"/>
          <w:szCs w:val="24"/>
          <w:highlight w:val="none"/>
        </w:rPr>
        <w:t>0</w:t>
      </w:r>
      <w:r>
        <w:rPr>
          <w:rFonts w:hint="eastAsia" w:ascii="宋体" w:hAnsi="宋体" w:cs="宋体"/>
          <w:b/>
          <w:bCs/>
          <w:color w:val="auto"/>
          <w:sz w:val="24"/>
          <w:szCs w:val="24"/>
          <w:highlight w:val="none"/>
        </w:rPr>
        <w:t>、争议的解决</w:t>
      </w:r>
      <w:bookmarkEnd w:id="29"/>
    </w:p>
    <w:p w14:paraId="3820EEB8">
      <w:pPr>
        <w:spacing w:line="440" w:lineRule="exact"/>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如发生合同纠纷，甲方、乙方协商解决；协商不成时，双方约定由南通市仲裁委员会仲裁或向人民法院起诉。</w:t>
      </w:r>
    </w:p>
    <w:p w14:paraId="26A6ADB9">
      <w:pPr>
        <w:spacing w:line="440" w:lineRule="exact"/>
        <w:ind w:firstLine="480" w:firstLineChars="200"/>
        <w:rPr>
          <w:rFonts w:ascii="宋体" w:hAnsi="宋体" w:cs="宋体"/>
          <w:b/>
          <w:bCs/>
          <w:color w:val="auto"/>
          <w:sz w:val="24"/>
          <w:szCs w:val="24"/>
          <w:highlight w:val="none"/>
        </w:rPr>
      </w:pPr>
      <w:bookmarkStart w:id="30" w:name="_Toc78604616"/>
      <w:r>
        <w:rPr>
          <w:rFonts w:hint="eastAsia" w:ascii="宋体" w:hAnsi="宋体" w:cs="宋体"/>
          <w:b/>
          <w:bCs/>
          <w:color w:val="auto"/>
          <w:sz w:val="24"/>
          <w:szCs w:val="24"/>
          <w:highlight w:val="none"/>
        </w:rPr>
        <w:t>1</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w:t>
      </w:r>
      <w:bookmarkEnd w:id="30"/>
      <w:r>
        <w:rPr>
          <w:rFonts w:hint="eastAsia" w:ascii="宋体" w:hAnsi="宋体" w:cs="宋体"/>
          <w:b/>
          <w:bCs/>
          <w:color w:val="auto"/>
          <w:sz w:val="24"/>
          <w:szCs w:val="24"/>
          <w:highlight w:val="none"/>
        </w:rPr>
        <w:t>附则</w:t>
      </w:r>
    </w:p>
    <w:p w14:paraId="766E1714">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ascii="宋体" w:hAnsi="宋体" w:cs="宋体"/>
          <w:bCs/>
          <w:color w:val="auto"/>
          <w:sz w:val="24"/>
          <w:szCs w:val="24"/>
          <w:highlight w:val="none"/>
        </w:rPr>
        <w:t>1</w:t>
      </w:r>
      <w:r>
        <w:rPr>
          <w:rFonts w:hint="eastAsia" w:ascii="宋体" w:hAnsi="宋体" w:cs="宋体"/>
          <w:bCs/>
          <w:color w:val="auto"/>
          <w:sz w:val="24"/>
          <w:szCs w:val="24"/>
          <w:highlight w:val="none"/>
        </w:rPr>
        <w:t>.1所有经一方或双方签署确认的文件（包括会议纪要、补充协议、往来信函）、甲方采购文件、要约文件和响应承诺文件、合同附件等均为本合同不可分割的有效组成部分，与本合同具有同等的法律效力和履约义务，其缔约生效日期为有效签署或盖章确认之日期。</w:t>
      </w:r>
    </w:p>
    <w:p w14:paraId="5215F002">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ascii="宋体" w:hAnsi="宋体" w:cs="宋体"/>
          <w:bCs/>
          <w:color w:val="auto"/>
          <w:sz w:val="24"/>
          <w:szCs w:val="24"/>
          <w:highlight w:val="none"/>
        </w:rPr>
        <w:t>1</w:t>
      </w:r>
      <w:r>
        <w:rPr>
          <w:rFonts w:hint="eastAsia" w:ascii="宋体" w:hAnsi="宋体" w:cs="宋体"/>
          <w:bCs/>
          <w:color w:val="auto"/>
          <w:sz w:val="24"/>
          <w:szCs w:val="24"/>
          <w:highlight w:val="none"/>
        </w:rPr>
        <w:t>.2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14:paraId="007474F1">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ascii="宋体" w:hAnsi="宋体" w:cs="宋体"/>
          <w:bCs/>
          <w:color w:val="auto"/>
          <w:sz w:val="24"/>
          <w:szCs w:val="24"/>
          <w:highlight w:val="none"/>
        </w:rPr>
        <w:t>1</w:t>
      </w:r>
      <w:r>
        <w:rPr>
          <w:rFonts w:hint="eastAsia" w:ascii="宋体" w:hAnsi="宋体" w:cs="宋体"/>
          <w:bCs/>
          <w:color w:val="auto"/>
          <w:sz w:val="24"/>
          <w:szCs w:val="24"/>
          <w:highlight w:val="none"/>
        </w:rPr>
        <w:t>.3如一方地址、电话、传真号码有变更，应在变更当日内书面通知对方，否则，应承担相应责任。</w:t>
      </w:r>
    </w:p>
    <w:p w14:paraId="2A0B4F8A">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ascii="宋体" w:hAnsi="宋体" w:cs="宋体"/>
          <w:bCs/>
          <w:color w:val="auto"/>
          <w:sz w:val="24"/>
          <w:szCs w:val="24"/>
          <w:highlight w:val="none"/>
        </w:rPr>
        <w:t>1</w:t>
      </w:r>
      <w:r>
        <w:rPr>
          <w:rFonts w:hint="eastAsia" w:ascii="宋体" w:hAnsi="宋体" w:cs="宋体"/>
          <w:bCs/>
          <w:color w:val="auto"/>
          <w:sz w:val="24"/>
          <w:szCs w:val="24"/>
          <w:highlight w:val="none"/>
        </w:rPr>
        <w:t>.4未经甲方书面同意，乙方不得擅自向第三方转让其主体性和关键性合同义务。</w:t>
      </w:r>
    </w:p>
    <w:p w14:paraId="5E25EA4A">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ascii="宋体" w:hAnsi="宋体" w:cs="宋体"/>
          <w:bCs/>
          <w:color w:val="auto"/>
          <w:sz w:val="24"/>
          <w:szCs w:val="24"/>
          <w:highlight w:val="none"/>
        </w:rPr>
        <w:t>1</w:t>
      </w:r>
      <w:r>
        <w:rPr>
          <w:rFonts w:hint="eastAsia" w:ascii="宋体" w:hAnsi="宋体" w:cs="宋体"/>
          <w:bCs/>
          <w:color w:val="auto"/>
          <w:sz w:val="24"/>
          <w:szCs w:val="24"/>
          <w:highlight w:val="none"/>
        </w:rPr>
        <w:t>.5双方均已对以上各条款及附件作充分了解，并明确理解由此而产生的相关权责。</w:t>
      </w:r>
    </w:p>
    <w:p w14:paraId="650ED492">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ascii="宋体" w:hAnsi="宋体" w:cs="宋体"/>
          <w:bCs/>
          <w:color w:val="auto"/>
          <w:sz w:val="24"/>
          <w:szCs w:val="24"/>
          <w:highlight w:val="none"/>
        </w:rPr>
        <w:t>1</w:t>
      </w:r>
      <w:r>
        <w:rPr>
          <w:rFonts w:hint="eastAsia" w:ascii="宋体" w:hAnsi="宋体" w:cs="宋体"/>
          <w:bCs/>
          <w:color w:val="auto"/>
          <w:sz w:val="24"/>
          <w:szCs w:val="24"/>
          <w:highlight w:val="none"/>
        </w:rPr>
        <w:t>.6本合同正本一式陆份， 甲乙双方各执叁份，均具同等合同效力 。</w:t>
      </w:r>
    </w:p>
    <w:p w14:paraId="35766960">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ascii="宋体" w:hAnsi="宋体" w:cs="宋体"/>
          <w:bCs/>
          <w:color w:val="auto"/>
          <w:sz w:val="24"/>
          <w:szCs w:val="24"/>
          <w:highlight w:val="none"/>
        </w:rPr>
        <w:t>1</w:t>
      </w:r>
      <w:r>
        <w:rPr>
          <w:rFonts w:hint="eastAsia" w:ascii="宋体" w:hAnsi="宋体" w:cs="宋体"/>
          <w:bCs/>
          <w:color w:val="auto"/>
          <w:sz w:val="24"/>
          <w:szCs w:val="24"/>
          <w:highlight w:val="none"/>
        </w:rPr>
        <w:t>.7本合同经双方法定代表人或委托代理人签字盖法人公章后生效。</w:t>
      </w:r>
    </w:p>
    <w:p w14:paraId="4E36B028">
      <w:pPr>
        <w:spacing w:line="360" w:lineRule="auto"/>
        <w:rPr>
          <w:rFonts w:hint="eastAsia" w:ascii="宋体" w:hAnsi="宋体" w:cs="宋体"/>
          <w:color w:val="auto"/>
          <w:sz w:val="24"/>
          <w:szCs w:val="24"/>
          <w:highlight w:val="none"/>
        </w:rPr>
      </w:pPr>
    </w:p>
    <w:p w14:paraId="2BC82B82">
      <w:pPr>
        <w:spacing w:line="360" w:lineRule="auto"/>
        <w:rPr>
          <w:rFonts w:hint="eastAsia" w:ascii="宋体" w:hAnsi="宋体" w:cs="宋体"/>
          <w:color w:val="auto"/>
          <w:sz w:val="24"/>
          <w:szCs w:val="24"/>
          <w:highlight w:val="none"/>
        </w:rPr>
      </w:pPr>
    </w:p>
    <w:p w14:paraId="2958995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 xml:space="preserve">（盖章）：                     </w:t>
      </w:r>
      <w:r>
        <w:rPr>
          <w:rFonts w:hint="eastAsia" w:ascii="宋体" w:hAnsi="宋体" w:cs="宋体"/>
          <w:color w:val="auto"/>
          <w:sz w:val="24"/>
          <w:szCs w:val="24"/>
          <w:highlight w:val="none"/>
          <w:lang w:val="en-US" w:eastAsia="zh-CN"/>
        </w:rPr>
        <w:t xml:space="preserve">  乙方</w:t>
      </w:r>
      <w:r>
        <w:rPr>
          <w:rFonts w:hint="eastAsia" w:ascii="宋体" w:hAnsi="宋体" w:cs="宋体"/>
          <w:color w:val="auto"/>
          <w:sz w:val="24"/>
          <w:szCs w:val="24"/>
          <w:highlight w:val="none"/>
        </w:rPr>
        <w:t xml:space="preserve">（盖章）：              </w:t>
      </w:r>
    </w:p>
    <w:p w14:paraId="67A2851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住  所：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住  所：                    </w:t>
      </w:r>
    </w:p>
    <w:p w14:paraId="165AE3B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法定代表人或代理（签字）：           法定代表人（签字）：             </w:t>
      </w:r>
    </w:p>
    <w:p w14:paraId="6A56B4F6">
      <w:pPr>
        <w:spacing w:line="360" w:lineRule="auto"/>
        <w:ind w:firstLine="2160" w:firstLineChars="9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委托代理人（签字）：              </w:t>
      </w:r>
    </w:p>
    <w:p w14:paraId="76BE58B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电      话：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电      话： </w:t>
      </w:r>
    </w:p>
    <w:p w14:paraId="0BB48D05">
      <w:pPr>
        <w:spacing w:line="360" w:lineRule="auto"/>
        <w:ind w:firstLine="4560" w:firstLineChars="1900"/>
        <w:rPr>
          <w:rFonts w:ascii="宋体" w:hAnsi="宋体" w:cs="宋体"/>
          <w:color w:val="auto"/>
          <w:sz w:val="24"/>
          <w:szCs w:val="24"/>
          <w:highlight w:val="none"/>
        </w:rPr>
      </w:pPr>
      <w:r>
        <w:rPr>
          <w:rFonts w:hint="eastAsia" w:ascii="宋体" w:hAnsi="宋体" w:cs="宋体"/>
          <w:color w:val="auto"/>
          <w:sz w:val="24"/>
          <w:szCs w:val="24"/>
          <w:highlight w:val="none"/>
        </w:rPr>
        <w:t xml:space="preserve">开户银行： </w:t>
      </w:r>
    </w:p>
    <w:p w14:paraId="45632101">
      <w:pPr>
        <w:spacing w:line="360" w:lineRule="auto"/>
        <w:ind w:firstLine="2400" w:firstLineChars="1000"/>
        <w:rPr>
          <w:rFonts w:ascii="宋体" w:hAnsi="宋体" w:cs="宋体"/>
          <w:color w:val="auto"/>
          <w:sz w:val="24"/>
          <w:szCs w:val="24"/>
          <w:highlight w:val="none"/>
        </w:rPr>
      </w:pPr>
      <w:r>
        <w:rPr>
          <w:rFonts w:hint="eastAsia" w:ascii="宋体" w:hAnsi="宋体" w:cs="宋体"/>
          <w:color w:val="auto"/>
          <w:sz w:val="24"/>
          <w:szCs w:val="24"/>
          <w:highlight w:val="none"/>
        </w:rPr>
        <w:t xml:space="preserve">                 帐      号：</w:t>
      </w:r>
    </w:p>
    <w:p w14:paraId="64810089">
      <w:pPr>
        <w:spacing w:line="360" w:lineRule="auto"/>
        <w:ind w:firstLine="4560" w:firstLineChars="1900"/>
        <w:rPr>
          <w:rFonts w:ascii="宋体" w:hAnsi="宋体" w:cs="宋体"/>
          <w:color w:val="auto"/>
          <w:sz w:val="24"/>
          <w:szCs w:val="24"/>
          <w:highlight w:val="none"/>
        </w:rPr>
      </w:pPr>
      <w:r>
        <w:rPr>
          <w:rFonts w:hint="eastAsia" w:ascii="宋体" w:hAnsi="宋体" w:cs="宋体"/>
          <w:color w:val="auto"/>
          <w:sz w:val="24"/>
          <w:szCs w:val="24"/>
          <w:highlight w:val="none"/>
        </w:rPr>
        <w:t>邮政编码：</w:t>
      </w:r>
    </w:p>
    <w:p w14:paraId="666346BC">
      <w:pPr>
        <w:spacing w:line="360" w:lineRule="auto"/>
        <w:ind w:firstLine="4200" w:firstLineChars="175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9C6B378">
      <w:pPr>
        <w:rPr>
          <w:rStyle w:val="123"/>
          <w:rFonts w:hint="eastAsia"/>
          <w:bCs/>
          <w:color w:val="auto"/>
          <w:sz w:val="28"/>
          <w:szCs w:val="28"/>
          <w:highlight w:val="none"/>
          <w:lang w:val="en-US"/>
        </w:rPr>
      </w:pPr>
      <w:r>
        <w:rPr>
          <w:rStyle w:val="123"/>
          <w:rFonts w:hint="eastAsia"/>
          <w:bCs/>
          <w:color w:val="auto"/>
          <w:sz w:val="28"/>
          <w:szCs w:val="28"/>
          <w:highlight w:val="none"/>
          <w:lang w:val="en-US"/>
        </w:rPr>
        <w:br w:type="page"/>
      </w:r>
    </w:p>
    <w:p w14:paraId="29EBE1FA">
      <w:pPr>
        <w:spacing w:line="360" w:lineRule="auto"/>
        <w:rPr>
          <w:rFonts w:ascii="宋体" w:hAnsi="宋体"/>
          <w:color w:val="auto"/>
          <w:sz w:val="24"/>
          <w:highlight w:val="none"/>
        </w:rPr>
      </w:pPr>
      <w:r>
        <w:rPr>
          <w:rFonts w:hint="eastAsia" w:ascii="宋体" w:hAnsi="宋体"/>
          <w:color w:val="auto"/>
          <w:sz w:val="24"/>
          <w:highlight w:val="none"/>
        </w:rPr>
        <w:t>附件1</w:t>
      </w:r>
    </w:p>
    <w:p w14:paraId="59490A49">
      <w:pPr>
        <w:spacing w:line="360" w:lineRule="auto"/>
        <w:jc w:val="center"/>
        <w:rPr>
          <w:rFonts w:ascii="宋体" w:hAnsi="宋体"/>
          <w:b/>
          <w:bCs/>
          <w:color w:val="auto"/>
          <w:sz w:val="32"/>
          <w:szCs w:val="32"/>
          <w:highlight w:val="none"/>
        </w:rPr>
      </w:pPr>
      <w:r>
        <w:rPr>
          <w:rFonts w:ascii="宋体" w:hAnsi="宋体"/>
          <w:b/>
          <w:bCs/>
          <w:color w:val="auto"/>
          <w:sz w:val="32"/>
          <w:szCs w:val="32"/>
          <w:highlight w:val="none"/>
        </w:rPr>
        <w:t>安全生产合同</w:t>
      </w:r>
    </w:p>
    <w:p w14:paraId="621C83E2">
      <w:pPr>
        <w:spacing w:line="360" w:lineRule="auto"/>
        <w:rPr>
          <w:rFonts w:ascii="宋体" w:hAnsi="宋体"/>
          <w:color w:val="auto"/>
          <w:sz w:val="24"/>
          <w:highlight w:val="none"/>
          <w:u w:val="single"/>
        </w:rPr>
      </w:pPr>
      <w:r>
        <w:rPr>
          <w:rFonts w:hint="eastAsia" w:ascii="宋体" w:hAnsi="宋体"/>
          <w:color w:val="auto"/>
          <w:sz w:val="24"/>
          <w:highlight w:val="none"/>
        </w:rPr>
        <w:t xml:space="preserve">甲方   </w:t>
      </w:r>
      <w:r>
        <w:rPr>
          <w:rFonts w:hint="eastAsia" w:ascii="宋体" w:hAnsi="宋体"/>
          <w:b/>
          <w:color w:val="auto"/>
          <w:sz w:val="24"/>
          <w:highlight w:val="none"/>
          <w:u w:val="single"/>
        </w:rPr>
        <w:t xml:space="preserve">                           </w:t>
      </w:r>
    </w:p>
    <w:p w14:paraId="7AFC6E7B">
      <w:pPr>
        <w:spacing w:line="360" w:lineRule="auto"/>
        <w:rPr>
          <w:rFonts w:ascii="宋体" w:hAnsi="宋体"/>
          <w:color w:val="auto"/>
          <w:sz w:val="24"/>
          <w:highlight w:val="none"/>
          <w:u w:val="single"/>
        </w:rPr>
      </w:pPr>
      <w:r>
        <w:rPr>
          <w:rFonts w:hint="eastAsia" w:ascii="宋体" w:hAnsi="宋体"/>
          <w:color w:val="auto"/>
          <w:sz w:val="24"/>
          <w:highlight w:val="none"/>
        </w:rPr>
        <w:t xml:space="preserve">乙方   </w:t>
      </w:r>
      <w:r>
        <w:rPr>
          <w:rFonts w:hint="eastAsia" w:ascii="宋体" w:hAnsi="宋体"/>
          <w:color w:val="auto"/>
          <w:sz w:val="24"/>
          <w:highlight w:val="none"/>
          <w:u w:val="single"/>
        </w:rPr>
        <w:t xml:space="preserve">                           </w:t>
      </w:r>
    </w:p>
    <w:p w14:paraId="41276EC7">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为在合同的实施过程中创造安全、高效的作业环境，切实做好本项目的安全管理工作，特此签订安全生产合同。具体如下：</w:t>
      </w:r>
    </w:p>
    <w:p w14:paraId="20D19925">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一、甲方职责</w:t>
      </w:r>
    </w:p>
    <w:p w14:paraId="23ECD38B">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1、严格遵守国家有关安全生产的法律法规，认真执行合同中的有关安全要求。</w:t>
      </w:r>
    </w:p>
    <w:p w14:paraId="4F7C50B0">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2、按照“安全第一、预防为主”和坚持“管行业必须管安全”的原则进行安全生产管理。</w:t>
      </w:r>
    </w:p>
    <w:p w14:paraId="6F305DEE">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3、定期召开安全生产协调会，及时传达中央及地方有关安全生产的精神。</w:t>
      </w:r>
    </w:p>
    <w:p w14:paraId="2D90662D">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二、乙方职责</w:t>
      </w:r>
    </w:p>
    <w:p w14:paraId="17ACA9C9">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1、严格遵守国家有关安全生产的法律法规、有关安全生产的规定，建立健全各项安全生产管理制度。</w:t>
      </w:r>
    </w:p>
    <w:p w14:paraId="55FA4AE7">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2、坚持“安全第一、预防为主”和“管行业必须管安全”的原则，加强安全生产宣传教育，增强全员安全生产意识，配备专职及兼职安全检查人员，有组织地开展测绘作业。</w:t>
      </w:r>
    </w:p>
    <w:p w14:paraId="7E18534F">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3、乙方必须服从甲方单位现场的统一管理和协调，做到文明作业。如有违反，应对各自所造成的后果负责（包括一切人身或经济损失）。</w:t>
      </w:r>
    </w:p>
    <w:p w14:paraId="06410446">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乙方应为设备办妥陆上和水上作业的设备保险手续以及工作人员的人身意外保险。负责各自派出人员的安全责任教育，一旦出现任何人员伤亡意外和试验设备损坏和丢失事故，由乙方自行负责，并承担相应责任后果和经济损失。</w:t>
      </w:r>
    </w:p>
    <w:p w14:paraId="074DAD9A">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5、乙方须对本合同范围内所有作业人员负全部安全责任，并严格按相关法律、工程建设安全生产的有关管理规定，采取安全措施组织作业。若发生安全事故，一切责任由乙方承担。</w:t>
      </w:r>
    </w:p>
    <w:p w14:paraId="4A099AF3">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6、测量作业人员，必须按照国家有关规定经过专门的安全作业培训，持证上岗。</w:t>
      </w:r>
    </w:p>
    <w:p w14:paraId="6D8A4A58">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8、在作业期间，由于乙方原因造成的事故，需承担全部责任及由此引起的一切费用，甲方不承担任何责任。</w:t>
      </w:r>
    </w:p>
    <w:p w14:paraId="6D530BA6">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三、违约责任</w:t>
      </w:r>
    </w:p>
    <w:p w14:paraId="25F2DEE9">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如因甲方或乙方违约造成安全事故，将报请有关部门依法追究责任。</w:t>
      </w:r>
    </w:p>
    <w:p w14:paraId="715E5101">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本合同一式贰份，由双方法定代表人或其授权的代理人签署和加盖公章后生效。</w:t>
      </w:r>
    </w:p>
    <w:p w14:paraId="4A5694B0">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甲方向乙方支付完全部合同款项后此合同终止。</w:t>
      </w:r>
    </w:p>
    <w:p w14:paraId="7693118E">
      <w:pPr>
        <w:snapToGrid w:val="0"/>
        <w:spacing w:after="156" w:line="440" w:lineRule="exact"/>
        <w:ind w:firstLine="480" w:firstLineChars="200"/>
        <w:contextualSpacing/>
        <w:rPr>
          <w:rFonts w:ascii="宋体" w:hAnsi="宋体"/>
          <w:color w:val="auto"/>
          <w:sz w:val="24"/>
          <w:highlight w:val="none"/>
        </w:rPr>
      </w:pPr>
    </w:p>
    <w:p w14:paraId="03156AD4">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甲方：                               乙方：</w:t>
      </w:r>
    </w:p>
    <w:p w14:paraId="67AFEC67">
      <w:pPr>
        <w:snapToGrid w:val="0"/>
        <w:spacing w:after="156" w:line="440" w:lineRule="exact"/>
        <w:ind w:firstLine="480" w:firstLineChars="200"/>
        <w:contextualSpacing/>
        <w:rPr>
          <w:rFonts w:ascii="宋体" w:hAnsi="宋体"/>
          <w:color w:val="auto"/>
          <w:sz w:val="24"/>
          <w:highlight w:val="none"/>
        </w:rPr>
      </w:pPr>
    </w:p>
    <w:p w14:paraId="630D1DC2">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法定代表人（或授权代理人）：          法定代表人（或授权代理人）：</w:t>
      </w:r>
    </w:p>
    <w:p w14:paraId="093B935E">
      <w:pPr>
        <w:snapToGrid w:val="0"/>
        <w:spacing w:after="156" w:line="440" w:lineRule="exact"/>
        <w:ind w:firstLine="480" w:firstLineChars="200"/>
        <w:contextualSpacing/>
        <w:rPr>
          <w:rFonts w:ascii="宋体" w:hAnsi="宋体"/>
          <w:color w:val="auto"/>
          <w:sz w:val="24"/>
          <w:highlight w:val="none"/>
        </w:rPr>
      </w:pPr>
    </w:p>
    <w:p w14:paraId="2C7B2C4A">
      <w:pPr>
        <w:snapToGrid w:val="0"/>
        <w:spacing w:after="156" w:line="440" w:lineRule="exact"/>
        <w:ind w:firstLine="480" w:firstLineChars="200"/>
        <w:contextualSpacing/>
        <w:rPr>
          <w:rStyle w:val="123"/>
          <w:rFonts w:hint="default"/>
          <w:bCs/>
          <w:color w:val="auto"/>
          <w:sz w:val="28"/>
          <w:szCs w:val="28"/>
          <w:highlight w:val="none"/>
        </w:rPr>
      </w:pPr>
      <w:r>
        <w:rPr>
          <w:rFonts w:hint="eastAsia" w:ascii="宋体" w:hAnsi="宋体"/>
          <w:color w:val="auto"/>
          <w:sz w:val="24"/>
          <w:highlight w:val="none"/>
        </w:rPr>
        <w:t>日期：  年   月  日</w:t>
      </w:r>
      <w:r>
        <w:rPr>
          <w:rStyle w:val="123"/>
          <w:rFonts w:hint="default"/>
          <w:bCs/>
          <w:color w:val="auto"/>
          <w:sz w:val="28"/>
          <w:szCs w:val="28"/>
          <w:highlight w:val="none"/>
        </w:rPr>
        <w:br w:type="page"/>
      </w:r>
    </w:p>
    <w:p w14:paraId="7BEFC484">
      <w:pPr>
        <w:topLinePunct/>
        <w:snapToGrid w:val="0"/>
        <w:spacing w:line="360" w:lineRule="auto"/>
        <w:ind w:firstLine="552" w:firstLineChars="200"/>
        <w:jc w:val="center"/>
        <w:rPr>
          <w:rStyle w:val="123"/>
          <w:rFonts w:hint="default"/>
          <w:bCs/>
          <w:color w:val="auto"/>
          <w:sz w:val="28"/>
          <w:szCs w:val="28"/>
          <w:highlight w:val="none"/>
        </w:rPr>
      </w:pPr>
      <w:r>
        <w:rPr>
          <w:rStyle w:val="123"/>
          <w:rFonts w:hint="default"/>
          <w:bCs/>
          <w:color w:val="auto"/>
          <w:sz w:val="28"/>
          <w:szCs w:val="28"/>
          <w:highlight w:val="none"/>
        </w:rPr>
        <w:t>第六章  合同授予</w:t>
      </w:r>
    </w:p>
    <w:p w14:paraId="3D111415">
      <w:pPr>
        <w:snapToGrid w:val="0"/>
        <w:spacing w:line="360" w:lineRule="auto"/>
        <w:ind w:firstLine="480" w:firstLineChars="200"/>
        <w:rPr>
          <w:rFonts w:ascii="宋体" w:hAnsi="宋体"/>
          <w:color w:val="auto"/>
          <w:sz w:val="24"/>
          <w:highlight w:val="none"/>
        </w:rPr>
      </w:pPr>
      <w:r>
        <w:rPr>
          <w:rFonts w:ascii="宋体" w:hAnsi="宋体"/>
          <w:b/>
          <w:color w:val="auto"/>
          <w:sz w:val="24"/>
          <w:highlight w:val="none"/>
        </w:rPr>
        <w:t>一</w:t>
      </w:r>
      <w:r>
        <w:rPr>
          <w:rFonts w:ascii="宋体" w:hAnsi="宋体"/>
          <w:color w:val="auto"/>
          <w:sz w:val="24"/>
          <w:highlight w:val="none"/>
        </w:rPr>
        <w:t>、中标供应商和采购人在发出《中标通知书》后</w:t>
      </w:r>
      <w:r>
        <w:rPr>
          <w:rFonts w:hint="eastAsia" w:ascii="宋体" w:hAnsi="宋体"/>
          <w:color w:val="auto"/>
          <w:sz w:val="24"/>
          <w:highlight w:val="none"/>
          <w:lang w:val="en-US" w:eastAsia="zh-CN"/>
        </w:rPr>
        <w:t>30</w:t>
      </w:r>
      <w:r>
        <w:rPr>
          <w:rFonts w:ascii="宋体" w:hAnsi="宋体"/>
          <w:color w:val="auto"/>
          <w:sz w:val="24"/>
          <w:highlight w:val="none"/>
        </w:rPr>
        <w:t>日内签订合同。合同签订后中标供应商方可履约，否则引起的一切后果由中标供应商自行承担。</w:t>
      </w:r>
      <w:r>
        <w:rPr>
          <w:rFonts w:ascii="宋体" w:hAnsi="宋体"/>
          <w:color w:val="auto"/>
          <w:sz w:val="24"/>
          <w:highlight w:val="none"/>
          <w:lang w:val="zh-CN"/>
        </w:rPr>
        <w:t>所签合同不得对采购文件作实质性修改</w:t>
      </w:r>
      <w:r>
        <w:rPr>
          <w:rFonts w:ascii="宋体" w:hAnsi="宋体"/>
          <w:color w:val="auto"/>
          <w:sz w:val="24"/>
          <w:highlight w:val="none"/>
        </w:rPr>
        <w:t>。采购人不得向中标供应商提出不合理的要求作为签订合同的条件，不得与中标供应商私下订立背离采购文件实质性内容的协议。</w:t>
      </w:r>
    </w:p>
    <w:p w14:paraId="75B80BD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的原则上5个工作日内支付相应款项。</w:t>
      </w:r>
    </w:p>
    <w:p w14:paraId="3DDE9CB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三、采购人故意推迟项目验收时间的，与中标供应商串通或要求中标供应商</w:t>
      </w:r>
      <w:r>
        <w:rPr>
          <w:rFonts w:ascii="宋体" w:hAnsi="宋体"/>
          <w:color w:val="auto"/>
          <w:kern w:val="0"/>
          <w:sz w:val="24"/>
          <w:szCs w:val="18"/>
          <w:highlight w:val="none"/>
          <w:lang w:bidi="zh-CN"/>
        </w:rPr>
        <w:t>通过减少货物数量或降低服务标准的，在履行合同中采取更改配置、调换物品等手段的，</w:t>
      </w:r>
      <w:r>
        <w:rPr>
          <w:rFonts w:ascii="宋体" w:hAnsi="宋体"/>
          <w:color w:val="auto"/>
          <w:sz w:val="24"/>
          <w:highlight w:val="none"/>
        </w:rPr>
        <w:t>要求中标供应商出具虚假发票或任意更改销售发票的，谋取不正当利益的，承担相应的法律责任。</w:t>
      </w:r>
    </w:p>
    <w:p w14:paraId="0C5A916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14:paraId="756F473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五、不响应付款方式的，视同无效投标处理。</w:t>
      </w:r>
    </w:p>
    <w:p w14:paraId="2251464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每次付款前，中标供应商须根据结算金额按国家有关财税规定开出合法发票交采购方办理付款手续。</w:t>
      </w:r>
    </w:p>
    <w:p w14:paraId="36BACEBD">
      <w:pPr>
        <w:pStyle w:val="62"/>
        <w:ind w:firstLine="280"/>
        <w:rPr>
          <w:rFonts w:ascii="宋体" w:eastAsia="宋体"/>
          <w:color w:val="auto"/>
          <w:highlight w:val="none"/>
        </w:rPr>
      </w:pPr>
    </w:p>
    <w:p w14:paraId="05B7077E">
      <w:pPr>
        <w:snapToGrid w:val="0"/>
        <w:spacing w:line="360" w:lineRule="auto"/>
        <w:contextualSpacing/>
        <w:jc w:val="center"/>
        <w:rPr>
          <w:rStyle w:val="123"/>
          <w:rFonts w:hint="default"/>
          <w:bCs/>
          <w:color w:val="auto"/>
          <w:sz w:val="28"/>
          <w:szCs w:val="28"/>
          <w:highlight w:val="none"/>
        </w:rPr>
      </w:pPr>
      <w:r>
        <w:rPr>
          <w:rFonts w:ascii="宋体" w:hAnsi="宋体"/>
          <w:color w:val="auto"/>
          <w:sz w:val="24"/>
          <w:highlight w:val="none"/>
        </w:rPr>
        <w:br w:type="page"/>
      </w:r>
      <w:r>
        <w:rPr>
          <w:rFonts w:ascii="宋体" w:hAnsi="宋体"/>
          <w:color w:val="auto"/>
          <w:sz w:val="24"/>
          <w:highlight w:val="none"/>
        </w:rPr>
        <w:t xml:space="preserve"> </w:t>
      </w:r>
      <w:r>
        <w:rPr>
          <w:rStyle w:val="123"/>
          <w:rFonts w:hint="default"/>
          <w:bCs/>
          <w:color w:val="auto"/>
          <w:sz w:val="28"/>
          <w:szCs w:val="28"/>
          <w:highlight w:val="none"/>
        </w:rPr>
        <w:t>第七章  质疑提出和处理</w:t>
      </w:r>
    </w:p>
    <w:p w14:paraId="3F8C0713">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rPr>
      </w:pPr>
      <w:r>
        <w:rPr>
          <w:rFonts w:ascii="宋体" w:hAnsi="宋体"/>
          <w:b/>
          <w:color w:val="auto"/>
          <w:kern w:val="0"/>
          <w:sz w:val="24"/>
          <w:highlight w:val="none"/>
        </w:rPr>
        <w:t>一、质疑的提出</w:t>
      </w:r>
    </w:p>
    <w:p w14:paraId="019EF4C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(一)质疑人的身份要求 </w:t>
      </w:r>
    </w:p>
    <w:p w14:paraId="027D739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1.质疑人必须是直接参加本次招标活动的当事人。</w:t>
      </w:r>
    </w:p>
    <w:p w14:paraId="37ABF0A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2.未参加投标活动的供应商或在投标活动中自身权益未受到损害的供应商所提出的质疑不予受理。</w:t>
      </w:r>
    </w:p>
    <w:p w14:paraId="266DA4A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(二)质疑提出的格式要求</w:t>
      </w:r>
    </w:p>
    <w:p w14:paraId="6E36AF2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14:paraId="714616A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2.质疑函应包括：</w:t>
      </w:r>
    </w:p>
    <w:p w14:paraId="34D2FF8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（1）质疑投标人的名称、地址、邮编、联系人及联系电话；</w:t>
      </w:r>
    </w:p>
    <w:p w14:paraId="5E31EC3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（2）具体、明确的质疑事项及明确的请求；</w:t>
      </w:r>
    </w:p>
    <w:p w14:paraId="655BE7D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（3）质疑的事实依据和必要的法律依据；</w:t>
      </w:r>
    </w:p>
    <w:p w14:paraId="0069666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（4）提起质疑的日期；</w:t>
      </w:r>
    </w:p>
    <w:p w14:paraId="72F5874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（5）认为自己合法权益受到损害或可能受到损害的相关证据材料；</w:t>
      </w:r>
    </w:p>
    <w:p w14:paraId="373B195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615CDA6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3.质疑函需遵循的原则：</w:t>
      </w:r>
    </w:p>
    <w:p w14:paraId="1DF274B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7F6CDE4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（三）质疑提出的时效要求</w:t>
      </w:r>
    </w:p>
    <w:p w14:paraId="3E36F37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2F77689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（1）对可以质疑的采购文件提出质疑的，为收到采购文件之日或者采购文件公告期限届满之日；</w:t>
      </w:r>
    </w:p>
    <w:p w14:paraId="5DC761F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（2）对采购过程提出质疑的，为各采购程序环节结束之日；</w:t>
      </w:r>
    </w:p>
    <w:p w14:paraId="5F34C56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（3）对中标或者成交结果提出质疑的，为中标或者成交结果公告期限届满之日。</w:t>
      </w:r>
    </w:p>
    <w:p w14:paraId="1E2C8CF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46FE907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2.投标人应在法定质疑期一次性提出针对同一采购程序环节的质疑。</w:t>
      </w:r>
    </w:p>
    <w:p w14:paraId="5A0C1E1D">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二、《质疑函》的受理和回复</w:t>
      </w:r>
    </w:p>
    <w:p w14:paraId="23AE9C8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1.收到质疑函后，采购人将对质疑的形式和内容进行审查，如质疑函内容、格式不符合规定，采购人将告知质疑人进行补正。</w:t>
      </w:r>
    </w:p>
    <w:p w14:paraId="5C267EF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 质疑人应当在法定质疑期限内进行补正并重新提交质疑函，拒不补正或者在法定期限内未重新提交质疑函的，为无效质疑，采购人将不予受理。</w:t>
      </w:r>
    </w:p>
    <w:p w14:paraId="3F332BE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3.采购人或采购代理机构答复供应商质疑应当采用书面方式并依法送达，质疑供应商或其委托代理人拒绝签收的视为已经送达。</w:t>
      </w:r>
    </w:p>
    <w:p w14:paraId="4E1DB2A7">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三、质疑处理</w:t>
      </w:r>
    </w:p>
    <w:p w14:paraId="08BDCF1A">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1、质疑成立的处理。</w:t>
      </w:r>
    </w:p>
    <w:p w14:paraId="58CBD61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（1）对于内容、格式符合规定的质疑函，采购人在收到投标供应商的书面质疑后七个工作日内作出书面答复，但答复的内容不得涉及商业秘密。</w:t>
      </w:r>
    </w:p>
    <w:p w14:paraId="37A142B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（2）对采购文件提出的质疑，依法通过澄清或者修改可以继续开展采购活动的，澄清或者修改采购文件后继续开展采购活动；否则应当修改采购文件后重新开展采购活动。</w:t>
      </w:r>
    </w:p>
    <w:p w14:paraId="0B0C90C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（3）对采购过程、中标或者成交结果提出的质疑，合格供应商符合法定数量时，可以从合格的中标候选人中另行确定中标、</w:t>
      </w:r>
      <w:r>
        <w:rPr>
          <w:rFonts w:hint="eastAsia" w:ascii="宋体" w:hAnsi="宋体"/>
          <w:color w:val="auto"/>
          <w:sz w:val="24"/>
          <w:highlight w:val="none"/>
          <w:lang w:eastAsia="zh-CN"/>
        </w:rPr>
        <w:t>中标人</w:t>
      </w:r>
      <w:r>
        <w:rPr>
          <w:rFonts w:ascii="宋体" w:hAnsi="宋体"/>
          <w:color w:val="auto"/>
          <w:sz w:val="24"/>
          <w:highlight w:val="none"/>
        </w:rPr>
        <w:t>，或重新开展采购活动。</w:t>
      </w:r>
    </w:p>
    <w:p w14:paraId="2A2E789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质疑答复导致中标、成交结果改变的，采购人或者采购代理机构应当将有关情况书面报告本级财政部门。</w:t>
      </w:r>
    </w:p>
    <w:p w14:paraId="0CA674F7">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2、质疑不成立的处理。</w:t>
      </w:r>
    </w:p>
    <w:p w14:paraId="7B8FC0F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（1）若质疑不成立，或者成立未对中标、成交结果构成影响的，继续开展采购活动。</w:t>
      </w:r>
    </w:p>
    <w:p w14:paraId="5E0DF51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（2）对明显有违背事实的、经相关专家或评委认定无依据的、经其他供应商举证无依据的质疑，作违约处理，对其中每一项不成立的质疑给予质疑人1年内禁入由采购人组织的政府采购活动的违约处理。</w:t>
      </w:r>
    </w:p>
    <w:p w14:paraId="1ED1DE4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（3）质疑人承担使用虚假材料或恶意方式质疑的法律责任。</w:t>
      </w:r>
    </w:p>
    <w:p w14:paraId="3DC1478C">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3、虚假质疑的处理</w:t>
      </w:r>
    </w:p>
    <w:p w14:paraId="7414BB0C">
      <w:pPr>
        <w:snapToGrid w:val="0"/>
        <w:spacing w:line="360" w:lineRule="auto"/>
        <w:ind w:firstLine="480" w:firstLineChars="200"/>
        <w:rPr>
          <w:rFonts w:ascii="宋体" w:hAnsi="宋体"/>
          <w:b/>
          <w:color w:val="auto"/>
          <w:sz w:val="24"/>
          <w:highlight w:val="none"/>
        </w:rPr>
      </w:pPr>
      <w:r>
        <w:rPr>
          <w:rFonts w:ascii="宋体" w:hAnsi="宋体"/>
          <w:color w:val="auto"/>
          <w:sz w:val="24"/>
          <w:highlight w:val="none"/>
        </w:rPr>
        <w:t>投标人提出书面质疑必须有理、有据，不得恶意质疑或提交虚假质疑。否则，一经查实，将依据政府采购的有关规定，报请政府采购监管部门对该投标人进行相应的行政处罚。</w:t>
      </w:r>
    </w:p>
    <w:p w14:paraId="771FB332">
      <w:pPr>
        <w:topLinePunct/>
        <w:snapToGrid w:val="0"/>
        <w:spacing w:line="360" w:lineRule="auto"/>
        <w:ind w:firstLine="552" w:firstLineChars="200"/>
        <w:jc w:val="center"/>
        <w:rPr>
          <w:rStyle w:val="123"/>
          <w:rFonts w:hint="default"/>
          <w:bCs/>
          <w:color w:val="auto"/>
          <w:sz w:val="28"/>
          <w:szCs w:val="28"/>
          <w:highlight w:val="none"/>
        </w:rPr>
      </w:pPr>
      <w:r>
        <w:rPr>
          <w:rStyle w:val="123"/>
          <w:rFonts w:hint="default"/>
          <w:bCs/>
          <w:color w:val="auto"/>
          <w:sz w:val="28"/>
          <w:szCs w:val="28"/>
          <w:highlight w:val="none"/>
        </w:rPr>
        <w:br w:type="page"/>
      </w:r>
      <w:r>
        <w:rPr>
          <w:rStyle w:val="123"/>
          <w:rFonts w:hint="default"/>
          <w:bCs/>
          <w:color w:val="auto"/>
          <w:sz w:val="28"/>
          <w:szCs w:val="28"/>
          <w:highlight w:val="none"/>
        </w:rPr>
        <w:t>第八章    投标文件组成</w:t>
      </w:r>
    </w:p>
    <w:p w14:paraId="7B14CF39">
      <w:pPr>
        <w:snapToGrid w:val="0"/>
        <w:spacing w:line="360" w:lineRule="auto"/>
        <w:ind w:firstLine="470" w:firstLineChars="196"/>
        <w:rPr>
          <w:rFonts w:ascii="宋体" w:hAnsi="宋体"/>
          <w:b/>
          <w:color w:val="auto"/>
          <w:sz w:val="24"/>
          <w:highlight w:val="none"/>
        </w:rPr>
      </w:pPr>
      <w:r>
        <w:rPr>
          <w:rFonts w:ascii="宋体" w:hAnsi="宋体"/>
          <w:b/>
          <w:color w:val="auto"/>
          <w:sz w:val="24"/>
          <w:highlight w:val="none"/>
        </w:rPr>
        <w:t>投标文件由资格后审材料、</w:t>
      </w:r>
      <w:r>
        <w:rPr>
          <w:rFonts w:hint="eastAsia" w:ascii="宋体" w:hAnsi="宋体"/>
          <w:b/>
          <w:color w:val="auto"/>
          <w:sz w:val="24"/>
          <w:highlight w:val="none"/>
        </w:rPr>
        <w:t>商务技术标</w:t>
      </w:r>
      <w:r>
        <w:rPr>
          <w:rFonts w:ascii="宋体" w:hAnsi="宋体"/>
          <w:b/>
          <w:color w:val="auto"/>
          <w:sz w:val="24"/>
          <w:highlight w:val="none"/>
        </w:rPr>
        <w:t>、价格标三部分组成。本次招标采用资格后审方式，投标人须将资格后审材料作为投标文件组成部分，按要求装订密封后一起递交。</w:t>
      </w:r>
    </w:p>
    <w:p w14:paraId="2AE267B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b/>
          <w:color w:val="auto"/>
          <w:sz w:val="24"/>
          <w:highlight w:val="none"/>
        </w:rPr>
        <w:t>一、资格后审材料（单独装订密封）</w:t>
      </w:r>
    </w:p>
    <w:p w14:paraId="14EC8E7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1、关于资格的声明函；</w:t>
      </w:r>
    </w:p>
    <w:p w14:paraId="59E103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2、法定代表人参加投标的，必须提供法定代表人身份证明及法定代表人本人身份证复印件；</w:t>
      </w:r>
    </w:p>
    <w:p w14:paraId="2870C2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非法定代表人参加投标的，必须提供法定代表人签名或盖章的授权委托书及</w:t>
      </w:r>
      <w:r>
        <w:rPr>
          <w:rFonts w:ascii="宋体" w:hAnsi="宋体"/>
          <w:b/>
          <w:color w:val="auto"/>
          <w:sz w:val="24"/>
          <w:highlight w:val="none"/>
        </w:rPr>
        <w:t>法定代表人和被授权人两人的身份证复印件</w:t>
      </w:r>
      <w:r>
        <w:rPr>
          <w:rFonts w:ascii="宋体" w:hAnsi="宋体"/>
          <w:color w:val="auto"/>
          <w:sz w:val="24"/>
          <w:highlight w:val="none"/>
        </w:rPr>
        <w:t>（格式参见附件）；</w:t>
      </w:r>
    </w:p>
    <w:p w14:paraId="495F4D9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3、投标响应函</w:t>
      </w:r>
    </w:p>
    <w:p w14:paraId="08E135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4、招标公告资格要求提供相应的佐证材料（加盖单位公章）：</w:t>
      </w:r>
    </w:p>
    <w:p w14:paraId="6ECADEA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营业执照或事业法人单位登记证书</w:t>
      </w:r>
      <w:r>
        <w:rPr>
          <w:rFonts w:ascii="宋体" w:hAnsi="宋体"/>
          <w:color w:val="auto"/>
          <w:sz w:val="24"/>
          <w:highlight w:val="none"/>
        </w:rPr>
        <w:t>；</w:t>
      </w:r>
    </w:p>
    <w:p w14:paraId="0FB918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ascii="宋体" w:hAnsi="宋体"/>
          <w:color w:val="auto"/>
          <w:sz w:val="24"/>
          <w:highlight w:val="none"/>
        </w:rPr>
        <w:t>4.2</w:t>
      </w:r>
      <w:r>
        <w:rPr>
          <w:rFonts w:ascii="宋体" w:hAnsi="宋体" w:cs="宋体"/>
          <w:color w:val="auto"/>
          <w:sz w:val="24"/>
          <w:szCs w:val="24"/>
          <w:highlight w:val="none"/>
        </w:rPr>
        <w:t>投标人</w:t>
      </w:r>
      <w:r>
        <w:rPr>
          <w:rFonts w:hint="eastAsia" w:ascii="宋体" w:hAnsi="宋体" w:cs="宋体"/>
          <w:color w:val="auto"/>
          <w:sz w:val="24"/>
          <w:szCs w:val="24"/>
          <w:highlight w:val="none"/>
        </w:rPr>
        <w:t>有效的</w:t>
      </w:r>
      <w:r>
        <w:rPr>
          <w:rFonts w:hint="eastAsia" w:ascii="宋体" w:hAnsi="宋体" w:eastAsia="宋体" w:cs="宋体"/>
          <w:color w:val="auto"/>
          <w:sz w:val="24"/>
          <w:szCs w:val="24"/>
          <w:highlight w:val="none"/>
        </w:rPr>
        <w:t>《承装(修、试)电力设施许可证》四级及以上资质</w:t>
      </w:r>
      <w:r>
        <w:rPr>
          <w:rFonts w:hint="eastAsia" w:ascii="宋体" w:hAnsi="宋体" w:cs="宋体"/>
          <w:color w:val="auto"/>
          <w:sz w:val="24"/>
          <w:szCs w:val="24"/>
          <w:highlight w:val="none"/>
          <w:lang w:eastAsia="zh-CN"/>
        </w:rPr>
        <w:t>证书</w:t>
      </w:r>
      <w:r>
        <w:rPr>
          <w:rFonts w:hint="eastAsia" w:ascii="宋体" w:hAnsi="宋体" w:cs="宋体"/>
          <w:color w:val="auto"/>
          <w:sz w:val="24"/>
          <w:szCs w:val="24"/>
          <w:highlight w:val="none"/>
        </w:rPr>
        <w:t>（复印件加盖公章）</w:t>
      </w:r>
      <w:r>
        <w:rPr>
          <w:rFonts w:hint="eastAsia" w:ascii="宋体" w:hAnsi="宋体" w:eastAsia="宋体" w:cs="宋体"/>
          <w:color w:val="auto"/>
          <w:sz w:val="24"/>
          <w:szCs w:val="24"/>
          <w:highlight w:val="none"/>
        </w:rPr>
        <w:t>；</w:t>
      </w:r>
    </w:p>
    <w:p w14:paraId="5D316E3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4.3拟派项目负责人必须要有安全员B证，项目组需配备专职安全员并具有安全员B 证或 C 证，提供相关证书复印件并加盖公章。</w:t>
      </w:r>
    </w:p>
    <w:p w14:paraId="214DED2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提供复印件并加盖单位公章。</w:t>
      </w:r>
    </w:p>
    <w:p w14:paraId="2C0FF5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5、投标供应商须提供参与本次项目政府采购活动前三年内，在经营活动中没有重大违法记录的书面《无重大违法记录声明函》（格式参见附件）；</w:t>
      </w:r>
    </w:p>
    <w:p w14:paraId="7681BF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中小企业声明函（如有）；</w:t>
      </w:r>
    </w:p>
    <w:p w14:paraId="0036C3A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残疾人福利性单位声明函（如有）；</w:t>
      </w:r>
    </w:p>
    <w:p w14:paraId="581728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r>
        <w:rPr>
          <w:rFonts w:hint="eastAsia" w:ascii="宋体" w:hAnsi="宋体"/>
          <w:color w:val="auto"/>
          <w:sz w:val="24"/>
          <w:highlight w:val="none"/>
        </w:rPr>
        <w:t>监狱企业的证明（如有）</w:t>
      </w:r>
      <w:r>
        <w:rPr>
          <w:rFonts w:hint="eastAsia" w:ascii="宋体" w:hAnsi="宋体"/>
          <w:color w:val="auto"/>
          <w:sz w:val="24"/>
          <w:highlight w:val="none"/>
          <w:lang w:eastAsia="zh-CN"/>
        </w:rPr>
        <w:t>；</w:t>
      </w:r>
    </w:p>
    <w:p w14:paraId="739D38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9</w:t>
      </w:r>
      <w:r>
        <w:rPr>
          <w:rFonts w:ascii="宋体" w:hAnsi="宋体"/>
          <w:color w:val="auto"/>
          <w:sz w:val="24"/>
          <w:highlight w:val="none"/>
        </w:rPr>
        <w:t>、投标人根据招标文件要求认为需要提交的其他资料。</w:t>
      </w:r>
    </w:p>
    <w:p w14:paraId="6908AE4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商务技术标</w:t>
      </w:r>
      <w:r>
        <w:rPr>
          <w:rFonts w:ascii="宋体" w:hAnsi="宋体"/>
          <w:b/>
          <w:color w:val="auto"/>
          <w:sz w:val="24"/>
          <w:highlight w:val="none"/>
        </w:rPr>
        <w:t>（单独装订密封）</w:t>
      </w:r>
    </w:p>
    <w:p w14:paraId="376A8A8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供应商应根据本招标文件第三章“项目需求”提供的主要技术规范，服务要求标准等，仔细阅读并在理解的基础上结合第四章“评审方法和程序”内的评审细则，编写编制技术</w:t>
      </w:r>
      <w:r>
        <w:rPr>
          <w:rFonts w:hint="eastAsia" w:ascii="宋体" w:hAnsi="宋体"/>
          <w:color w:val="auto"/>
          <w:sz w:val="24"/>
          <w:highlight w:val="none"/>
        </w:rPr>
        <w:t>商务</w:t>
      </w:r>
      <w:r>
        <w:rPr>
          <w:rFonts w:ascii="宋体" w:hAnsi="宋体"/>
          <w:color w:val="auto"/>
          <w:sz w:val="24"/>
          <w:highlight w:val="none"/>
        </w:rPr>
        <w:t>投标响应文件。以下响应文件的内容，不得有缺项或漏项。否则将有可能被视为未实质性响应招标文件要求而作无效投标处理，或可能直接影响技术评审的得分；</w:t>
      </w:r>
    </w:p>
    <w:p w14:paraId="46A61C2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1、招标文件评审方法中所涉及的事项需提供的所有资料；</w:t>
      </w:r>
    </w:p>
    <w:p w14:paraId="5FF8D9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2、招标文件中未涉及的事项，投标人认为需要提交的其他资料。</w:t>
      </w:r>
    </w:p>
    <w:p w14:paraId="455152E9">
      <w:pPr>
        <w:pStyle w:val="6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eastAsia="宋体"/>
          <w:b/>
          <w:bCs w:val="0"/>
          <w:color w:val="auto"/>
          <w:sz w:val="24"/>
          <w:highlight w:val="none"/>
        </w:rPr>
      </w:pPr>
      <w:r>
        <w:rPr>
          <w:rFonts w:ascii="宋体" w:eastAsia="宋体"/>
          <w:b/>
          <w:bCs w:val="0"/>
          <w:color w:val="auto"/>
          <w:sz w:val="24"/>
          <w:highlight w:val="none"/>
        </w:rPr>
        <w:t>特别提醒：“资格后审材料”、“</w:t>
      </w:r>
      <w:r>
        <w:rPr>
          <w:rFonts w:hint="eastAsia" w:ascii="宋体" w:eastAsia="宋体"/>
          <w:b/>
          <w:bCs w:val="0"/>
          <w:color w:val="auto"/>
          <w:sz w:val="24"/>
          <w:highlight w:val="none"/>
        </w:rPr>
        <w:t>商务技术标</w:t>
      </w:r>
      <w:r>
        <w:rPr>
          <w:rFonts w:ascii="宋体" w:eastAsia="宋体"/>
          <w:b/>
          <w:bCs w:val="0"/>
          <w:color w:val="auto"/>
          <w:sz w:val="24"/>
          <w:highlight w:val="none"/>
        </w:rPr>
        <w:t>”所须提供的材料（须加盖公章）按招标文件要求装订，密封，递交。</w:t>
      </w:r>
    </w:p>
    <w:p w14:paraId="07BC8997">
      <w:pPr>
        <w:pStyle w:val="62"/>
        <w:keepNext w:val="0"/>
        <w:keepLines w:val="0"/>
        <w:pageBreakBefore w:val="0"/>
        <w:kinsoku/>
        <w:wordWrap/>
        <w:overflowPunct/>
        <w:topLinePunct w:val="0"/>
        <w:autoSpaceDE/>
        <w:autoSpaceDN/>
        <w:bidi w:val="0"/>
        <w:adjustRightInd w:val="0"/>
        <w:snapToGrid w:val="0"/>
        <w:spacing w:line="360" w:lineRule="auto"/>
        <w:ind w:firstLine="460" w:firstLineChars="200"/>
        <w:textAlignment w:val="auto"/>
        <w:rPr>
          <w:rFonts w:ascii="宋体" w:eastAsia="宋体"/>
          <w:b/>
          <w:color w:val="auto"/>
          <w:sz w:val="23"/>
          <w:szCs w:val="23"/>
          <w:highlight w:val="none"/>
        </w:rPr>
      </w:pPr>
      <w:r>
        <w:rPr>
          <w:rFonts w:hint="eastAsia" w:ascii="宋体" w:eastAsia="宋体"/>
          <w:b/>
          <w:color w:val="auto"/>
          <w:sz w:val="23"/>
          <w:szCs w:val="23"/>
          <w:highlight w:val="none"/>
        </w:rPr>
        <w:t>除商务技术文件中按评审办法可以提供内装部分报价外，资格审查文件和商务技术文件中不得有其他报价内容。</w:t>
      </w:r>
    </w:p>
    <w:p w14:paraId="21FE47C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color w:val="auto"/>
          <w:sz w:val="24"/>
          <w:highlight w:val="none"/>
        </w:rPr>
      </w:pPr>
      <w:r>
        <w:rPr>
          <w:rFonts w:ascii="宋体" w:hAnsi="宋体"/>
          <w:b/>
          <w:color w:val="auto"/>
          <w:sz w:val="24"/>
          <w:highlight w:val="none"/>
        </w:rPr>
        <w:t>三、价格标（单独装订密封）</w:t>
      </w:r>
    </w:p>
    <w:p w14:paraId="4BE5BF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1、开标一览表；</w:t>
      </w:r>
    </w:p>
    <w:p w14:paraId="40ED0D1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olor w:val="auto"/>
          <w:sz w:val="24"/>
          <w:highlight w:val="none"/>
          <w:lang w:eastAsia="zh-CN"/>
        </w:rPr>
      </w:pPr>
      <w:r>
        <w:rPr>
          <w:rFonts w:ascii="宋体" w:hAnsi="宋体"/>
          <w:color w:val="auto"/>
          <w:sz w:val="24"/>
          <w:highlight w:val="none"/>
        </w:rPr>
        <w:t>2、分项报价明细表</w:t>
      </w:r>
      <w:r>
        <w:rPr>
          <w:rFonts w:hint="eastAsia" w:ascii="宋体" w:hAnsi="宋体"/>
          <w:color w:val="auto"/>
          <w:sz w:val="24"/>
          <w:highlight w:val="none"/>
          <w:lang w:eastAsia="zh-CN"/>
        </w:rPr>
        <w:t>。</w:t>
      </w:r>
    </w:p>
    <w:p w14:paraId="42D3E1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color w:val="auto"/>
          <w:sz w:val="24"/>
          <w:highlight w:val="none"/>
        </w:rPr>
        <w:br w:type="page"/>
      </w:r>
      <w:r>
        <w:rPr>
          <w:rFonts w:ascii="宋体" w:hAnsi="宋体"/>
          <w:b/>
          <w:color w:val="auto"/>
          <w:sz w:val="24"/>
          <w:highlight w:val="none"/>
        </w:rPr>
        <w:t>附件：</w:t>
      </w:r>
    </w:p>
    <w:p w14:paraId="6AC0E29B">
      <w:pPr>
        <w:tabs>
          <w:tab w:val="left" w:pos="1965"/>
        </w:tabs>
        <w:rPr>
          <w:rFonts w:ascii="宋体" w:hAnsi="宋体"/>
          <w:color w:val="auto"/>
          <w:sz w:val="28"/>
          <w:szCs w:val="28"/>
          <w:highlight w:val="none"/>
        </w:rPr>
      </w:pPr>
      <w:r>
        <w:rPr>
          <w:rFonts w:hint="eastAsia" w:ascii="宋体" w:hAnsi="宋体"/>
          <w:color w:val="auto"/>
          <w:sz w:val="28"/>
          <w:szCs w:val="28"/>
          <w:highlight w:val="none"/>
        </w:rPr>
        <w:t>第一部分格式：</w:t>
      </w:r>
    </w:p>
    <w:p w14:paraId="7361A59F">
      <w:pPr>
        <w:tabs>
          <w:tab w:val="left" w:pos="1965"/>
        </w:tabs>
        <w:jc w:val="right"/>
        <w:rPr>
          <w:rFonts w:ascii="宋体" w:hAnsi="宋体"/>
          <w:color w:val="auto"/>
          <w:sz w:val="28"/>
          <w:szCs w:val="28"/>
          <w:highlight w:val="none"/>
        </w:rPr>
      </w:pPr>
      <w:r>
        <w:rPr>
          <w:rFonts w:hint="eastAsia" w:ascii="宋体" w:hAnsi="宋体"/>
          <w:color w:val="auto"/>
          <w:sz w:val="28"/>
          <w:szCs w:val="28"/>
          <w:highlight w:val="none"/>
        </w:rPr>
        <w:t>封面</w:t>
      </w:r>
    </w:p>
    <w:p w14:paraId="0A980BD2">
      <w:pPr>
        <w:tabs>
          <w:tab w:val="left" w:pos="2020"/>
          <w:tab w:val="center" w:pos="4535"/>
        </w:tabs>
        <w:spacing w:line="400" w:lineRule="exact"/>
        <w:ind w:firstLine="280" w:firstLineChars="100"/>
        <w:rPr>
          <w:rFonts w:ascii="宋体" w:hAnsi="宋体"/>
          <w:color w:val="auto"/>
          <w:sz w:val="28"/>
          <w:szCs w:val="20"/>
          <w:highlight w:val="none"/>
        </w:rPr>
      </w:pPr>
    </w:p>
    <w:p w14:paraId="6FE87671">
      <w:pPr>
        <w:tabs>
          <w:tab w:val="left" w:pos="2020"/>
          <w:tab w:val="center" w:pos="4535"/>
        </w:tabs>
        <w:spacing w:line="400" w:lineRule="exact"/>
        <w:ind w:firstLine="280" w:firstLineChars="100"/>
        <w:rPr>
          <w:rFonts w:ascii="宋体" w:hAnsi="宋体"/>
          <w:color w:val="auto"/>
          <w:sz w:val="28"/>
          <w:szCs w:val="20"/>
          <w:highlight w:val="none"/>
        </w:rPr>
      </w:pPr>
    </w:p>
    <w:p w14:paraId="5B917A9B">
      <w:pPr>
        <w:tabs>
          <w:tab w:val="left" w:pos="159"/>
        </w:tabs>
        <w:rPr>
          <w:rFonts w:ascii="宋体" w:hAnsi="宋体"/>
          <w:color w:val="auto"/>
          <w:sz w:val="28"/>
          <w:szCs w:val="28"/>
          <w:highlight w:val="none"/>
        </w:rPr>
      </w:pPr>
    </w:p>
    <w:p w14:paraId="008A597A">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4907B2E1">
      <w:pPr>
        <w:spacing w:after="60" w:line="360" w:lineRule="auto"/>
        <w:jc w:val="center"/>
        <w:rPr>
          <w:rFonts w:ascii="宋体" w:hAnsi="宋体"/>
          <w:b/>
          <w:bCs/>
          <w:color w:val="auto"/>
          <w:sz w:val="44"/>
          <w:szCs w:val="44"/>
          <w:highlight w:val="none"/>
        </w:rPr>
      </w:pPr>
    </w:p>
    <w:p w14:paraId="03D74334">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3BF726C6">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（资格审查文件）</w:t>
      </w:r>
    </w:p>
    <w:p w14:paraId="41814B05">
      <w:pPr>
        <w:spacing w:after="60"/>
        <w:jc w:val="center"/>
        <w:rPr>
          <w:rFonts w:ascii="宋体" w:hAnsi="宋体"/>
          <w:b/>
          <w:bCs/>
          <w:color w:val="auto"/>
          <w:sz w:val="72"/>
          <w:szCs w:val="72"/>
          <w:highlight w:val="none"/>
        </w:rPr>
      </w:pPr>
    </w:p>
    <w:p w14:paraId="1C1BF890">
      <w:pPr>
        <w:spacing w:after="60"/>
        <w:jc w:val="center"/>
        <w:rPr>
          <w:rFonts w:ascii="宋体" w:hAnsi="宋体"/>
          <w:b/>
          <w:bCs/>
          <w:color w:val="auto"/>
          <w:sz w:val="72"/>
          <w:szCs w:val="72"/>
          <w:highlight w:val="none"/>
        </w:rPr>
      </w:pPr>
    </w:p>
    <w:p w14:paraId="498C05D7">
      <w:pPr>
        <w:spacing w:after="60"/>
        <w:jc w:val="center"/>
        <w:rPr>
          <w:rFonts w:ascii="宋体" w:hAnsi="宋体"/>
          <w:b/>
          <w:bCs/>
          <w:color w:val="auto"/>
          <w:sz w:val="72"/>
          <w:szCs w:val="72"/>
          <w:highlight w:val="none"/>
        </w:rPr>
      </w:pPr>
    </w:p>
    <w:p w14:paraId="76248325">
      <w:pPr>
        <w:tabs>
          <w:tab w:val="left" w:pos="2020"/>
          <w:tab w:val="center" w:pos="4535"/>
        </w:tabs>
        <w:spacing w:line="400" w:lineRule="exact"/>
        <w:ind w:firstLine="280" w:firstLineChars="100"/>
        <w:rPr>
          <w:rFonts w:ascii="宋体" w:hAnsi="宋体"/>
          <w:color w:val="auto"/>
          <w:sz w:val="28"/>
          <w:szCs w:val="20"/>
          <w:highlight w:val="none"/>
        </w:rPr>
      </w:pPr>
    </w:p>
    <w:p w14:paraId="498A34DD">
      <w:pPr>
        <w:tabs>
          <w:tab w:val="left" w:pos="2020"/>
          <w:tab w:val="center" w:pos="4535"/>
        </w:tabs>
        <w:spacing w:line="400" w:lineRule="exact"/>
        <w:ind w:firstLine="280" w:firstLineChars="100"/>
        <w:rPr>
          <w:rFonts w:ascii="宋体" w:hAnsi="宋体"/>
          <w:color w:val="auto"/>
          <w:sz w:val="28"/>
          <w:szCs w:val="20"/>
          <w:highlight w:val="none"/>
        </w:rPr>
      </w:pPr>
    </w:p>
    <w:p w14:paraId="0CFBBC75">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413547D4">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31" w:name="_Hlk81344630"/>
      <w:r>
        <w:rPr>
          <w:rFonts w:hint="eastAsia" w:ascii="宋体" w:hAnsi="宋体"/>
          <w:b/>
          <w:color w:val="auto"/>
          <w:sz w:val="30"/>
          <w:szCs w:val="30"/>
          <w:highlight w:val="none"/>
        </w:rPr>
        <w:t>（或盖章）</w:t>
      </w:r>
      <w:bookmarkEnd w:id="31"/>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09A68C76">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59FE5F02">
      <w:pPr>
        <w:pStyle w:val="62"/>
        <w:ind w:firstLine="280"/>
        <w:rPr>
          <w:rFonts w:ascii="宋体" w:eastAsia="宋体"/>
          <w:color w:val="auto"/>
          <w:highlight w:val="none"/>
        </w:rPr>
      </w:pPr>
    </w:p>
    <w:p w14:paraId="2EC97634">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一、关于资格文件的声明函</w:t>
      </w:r>
    </w:p>
    <w:p w14:paraId="20125505">
      <w:pPr>
        <w:pStyle w:val="62"/>
        <w:ind w:firstLine="280"/>
        <w:rPr>
          <w:color w:val="auto"/>
          <w:highlight w:val="none"/>
        </w:rPr>
      </w:pPr>
    </w:p>
    <w:p w14:paraId="7808EE0F">
      <w:pPr>
        <w:snapToGrid w:val="0"/>
        <w:spacing w:line="360" w:lineRule="auto"/>
        <w:rPr>
          <w:rFonts w:ascii="宋体" w:hAnsi="宋体"/>
          <w:color w:val="auto"/>
          <w:sz w:val="24"/>
          <w:highlight w:val="none"/>
          <w:u w:val="single"/>
        </w:rPr>
      </w:pPr>
      <w:r>
        <w:rPr>
          <w:rFonts w:hint="eastAsia" w:ascii="宋体" w:hAnsi="宋体"/>
          <w:color w:val="auto"/>
          <w:sz w:val="24"/>
          <w:highlight w:val="none"/>
          <w:u w:val="single"/>
          <w:lang w:eastAsia="zh-CN"/>
        </w:rPr>
        <w:t>南通市崇川区堤防涵闸管理所</w:t>
      </w:r>
      <w:r>
        <w:rPr>
          <w:rFonts w:ascii="宋体" w:hAnsi="宋体"/>
          <w:color w:val="auto"/>
          <w:sz w:val="24"/>
          <w:highlight w:val="none"/>
          <w:u w:val="single"/>
        </w:rPr>
        <w:t>：</w:t>
      </w:r>
    </w:p>
    <w:p w14:paraId="362EF1C0">
      <w:pPr>
        <w:overflowPunct w:val="0"/>
        <w:adjustRightInd w:val="0"/>
        <w:spacing w:line="360" w:lineRule="auto"/>
        <w:ind w:firstLine="660"/>
        <w:jc w:val="left"/>
        <w:textAlignment w:val="baseline"/>
        <w:rPr>
          <w:rFonts w:ascii="宋体" w:hAnsi="宋体"/>
          <w:color w:val="auto"/>
          <w:sz w:val="24"/>
          <w:highlight w:val="none"/>
        </w:rPr>
      </w:pPr>
      <w:r>
        <w:rPr>
          <w:rFonts w:ascii="宋体" w:hAnsi="宋体"/>
          <w:color w:val="auto"/>
          <w:sz w:val="24"/>
          <w:highlight w:val="none"/>
        </w:rPr>
        <w:t>本公司愿就由贵单位组织实施的</w:t>
      </w:r>
      <w:r>
        <w:rPr>
          <w:rFonts w:ascii="宋体" w:hAnsi="宋体"/>
          <w:color w:val="auto"/>
          <w:sz w:val="24"/>
          <w:highlight w:val="none"/>
          <w:u w:val="single"/>
        </w:rPr>
        <w:t xml:space="preserve">                        </w:t>
      </w:r>
      <w:r>
        <w:rPr>
          <w:rFonts w:ascii="宋体" w:hAnsi="宋体"/>
          <w:color w:val="auto"/>
          <w:sz w:val="24"/>
          <w:highlight w:val="none"/>
        </w:rPr>
        <w:t>（项目名称）的采购活动进行投标响应。本公司所提交的投标响应文件中所有关于资格响应的文件、证明和陈述均是真实的、准确的。若与真实情况不符，本公司愿意承担由此而产生的一切后果。</w:t>
      </w:r>
    </w:p>
    <w:p w14:paraId="7FEFFE39">
      <w:pPr>
        <w:overflowPunct w:val="0"/>
        <w:adjustRightInd w:val="0"/>
        <w:spacing w:line="360" w:lineRule="auto"/>
        <w:ind w:firstLine="420"/>
        <w:jc w:val="left"/>
        <w:textAlignment w:val="baseline"/>
        <w:rPr>
          <w:rFonts w:ascii="宋体" w:hAnsi="宋体"/>
          <w:color w:val="auto"/>
          <w:sz w:val="24"/>
          <w:highlight w:val="none"/>
        </w:rPr>
      </w:pPr>
    </w:p>
    <w:p w14:paraId="5268920E">
      <w:pPr>
        <w:overflowPunct w:val="0"/>
        <w:adjustRightInd w:val="0"/>
        <w:spacing w:line="360" w:lineRule="auto"/>
        <w:ind w:firstLine="420"/>
        <w:jc w:val="left"/>
        <w:textAlignment w:val="baseline"/>
        <w:rPr>
          <w:rFonts w:ascii="宋体" w:hAnsi="宋体"/>
          <w:color w:val="auto"/>
          <w:sz w:val="24"/>
          <w:highlight w:val="none"/>
        </w:rPr>
      </w:pPr>
    </w:p>
    <w:p w14:paraId="6FC87314">
      <w:pPr>
        <w:snapToGrid w:val="0"/>
        <w:spacing w:line="360" w:lineRule="auto"/>
        <w:jc w:val="right"/>
        <w:rPr>
          <w:rFonts w:ascii="宋体" w:hAnsi="宋体"/>
          <w:color w:val="auto"/>
          <w:sz w:val="24"/>
          <w:highlight w:val="none"/>
        </w:rPr>
      </w:pPr>
      <w:r>
        <w:rPr>
          <w:rFonts w:ascii="宋体" w:hAnsi="宋体"/>
          <w:color w:val="auto"/>
          <w:sz w:val="24"/>
          <w:highlight w:val="none"/>
        </w:rPr>
        <w:t>投标单位：</w:t>
      </w:r>
      <w:r>
        <w:rPr>
          <w:rFonts w:ascii="宋体" w:hAnsi="宋体"/>
          <w:color w:val="auto"/>
          <w:sz w:val="24"/>
          <w:highlight w:val="none"/>
          <w:u w:val="single"/>
        </w:rPr>
        <w:t xml:space="preserve">                    </w:t>
      </w:r>
      <w:r>
        <w:rPr>
          <w:rFonts w:ascii="宋体" w:hAnsi="宋体"/>
          <w:color w:val="auto"/>
          <w:sz w:val="24"/>
          <w:highlight w:val="none"/>
        </w:rPr>
        <w:t>（加盖公章）</w:t>
      </w:r>
    </w:p>
    <w:p w14:paraId="57FA596E">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4E6CC8B7">
      <w:pPr>
        <w:snapToGrid w:val="0"/>
        <w:spacing w:line="360" w:lineRule="auto"/>
        <w:jc w:val="righ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年      月     日</w:t>
      </w:r>
    </w:p>
    <w:p w14:paraId="0FF429B3">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二、法定代表人身份证明</w:t>
      </w:r>
    </w:p>
    <w:p w14:paraId="1E27038C">
      <w:pPr>
        <w:pStyle w:val="62"/>
        <w:ind w:firstLine="280"/>
        <w:rPr>
          <w:color w:val="auto"/>
          <w:highlight w:val="none"/>
        </w:rPr>
      </w:pPr>
    </w:p>
    <w:p w14:paraId="3C6AF24F">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南通市崇川区堤防涵闸管理所</w:t>
      </w:r>
      <w:r>
        <w:rPr>
          <w:rFonts w:ascii="宋体" w:hAnsi="宋体"/>
          <w:color w:val="auto"/>
          <w:sz w:val="24"/>
          <w:highlight w:val="none"/>
        </w:rPr>
        <w:t xml:space="preserve">： </w:t>
      </w:r>
    </w:p>
    <w:p w14:paraId="0AAB9BB8">
      <w:pPr>
        <w:spacing w:line="360" w:lineRule="auto"/>
        <w:ind w:firstLine="480" w:firstLineChars="200"/>
        <w:rPr>
          <w:rFonts w:ascii="宋体" w:hAnsi="宋体"/>
          <w:color w:val="auto"/>
          <w:sz w:val="24"/>
          <w:highlight w:val="none"/>
        </w:rPr>
      </w:pPr>
      <w:r>
        <w:rPr>
          <w:rFonts w:ascii="宋体" w:hAnsi="宋体"/>
          <w:color w:val="auto"/>
          <w:sz w:val="24"/>
          <w:highlight w:val="none"/>
        </w:rPr>
        <w:t>我公司法定代表人</w:t>
      </w:r>
      <w:r>
        <w:rPr>
          <w:rFonts w:ascii="宋体" w:hAnsi="宋体"/>
          <w:color w:val="auto"/>
          <w:sz w:val="24"/>
          <w:highlight w:val="none"/>
          <w:u w:val="single"/>
        </w:rPr>
        <w:t xml:space="preserve">     　　　   </w:t>
      </w:r>
      <w:r>
        <w:rPr>
          <w:rFonts w:ascii="宋体" w:hAnsi="宋体"/>
          <w:color w:val="auto"/>
          <w:sz w:val="24"/>
          <w:highlight w:val="none"/>
        </w:rPr>
        <w:t>参加贵单位组织的</w:t>
      </w:r>
      <w:r>
        <w:rPr>
          <w:rFonts w:ascii="宋体" w:hAnsi="宋体"/>
          <w:color w:val="auto"/>
          <w:sz w:val="24"/>
          <w:highlight w:val="none"/>
          <w:u w:val="single"/>
        </w:rPr>
        <w:t xml:space="preserve">     </w:t>
      </w:r>
      <w:r>
        <w:rPr>
          <w:rFonts w:ascii="宋体" w:hAnsi="宋体"/>
          <w:color w:val="auto"/>
          <w:sz w:val="24"/>
          <w:highlight w:val="none"/>
        </w:rPr>
        <w:t>（采购项目名称）项目公开招标采购活动，全权代表我公司处理投标的有关事宜。</w:t>
      </w:r>
    </w:p>
    <w:p w14:paraId="6049B0D2">
      <w:pPr>
        <w:spacing w:line="360" w:lineRule="auto"/>
        <w:rPr>
          <w:rFonts w:ascii="宋体" w:hAnsi="宋体"/>
          <w:color w:val="auto"/>
          <w:sz w:val="24"/>
          <w:highlight w:val="none"/>
        </w:rPr>
      </w:pPr>
      <w:r>
        <w:rPr>
          <w:rFonts w:ascii="宋体" w:hAnsi="宋体"/>
          <w:color w:val="auto"/>
          <w:sz w:val="24"/>
          <w:highlight w:val="none"/>
        </w:rPr>
        <w:t>附：法定代表人情况：</w:t>
      </w:r>
    </w:p>
    <w:p w14:paraId="62FD391A">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4CB0F78D">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49567102">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3699B12D">
      <w:pPr>
        <w:spacing w:line="360" w:lineRule="auto"/>
        <w:rPr>
          <w:rFonts w:ascii="宋体" w:hAnsi="宋体"/>
          <w:color w:val="auto"/>
          <w:sz w:val="24"/>
          <w:highlight w:val="none"/>
        </w:rPr>
      </w:pPr>
    </w:p>
    <w:p w14:paraId="5F8833D4">
      <w:pPr>
        <w:spacing w:line="360" w:lineRule="auto"/>
        <w:rPr>
          <w:rFonts w:ascii="宋体" w:hAnsi="宋体"/>
          <w:color w:val="auto"/>
          <w:sz w:val="24"/>
          <w:highlight w:val="none"/>
        </w:rPr>
      </w:pPr>
      <w:r>
        <w:rPr>
          <w:rFonts w:ascii="宋体" w:hAnsi="宋体"/>
          <w:color w:val="auto"/>
          <w:sz w:val="24"/>
          <w:highlight w:val="none"/>
        </w:rPr>
        <w:t xml:space="preserve">单位名称（公章）             法定代表人（签字或盖章） </w:t>
      </w:r>
    </w:p>
    <w:p w14:paraId="33C56B4B">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1D7CA58E">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688CD5F4">
      <w:pPr>
        <w:spacing w:line="360" w:lineRule="auto"/>
        <w:rPr>
          <w:rFonts w:ascii="宋体" w:hAnsi="宋体"/>
          <w:color w:val="auto"/>
          <w:sz w:val="24"/>
          <w:highlight w:val="none"/>
        </w:rPr>
      </w:pPr>
      <w:r>
        <w:rPr>
          <w:rFonts w:ascii="宋体" w:hAnsi="宋体"/>
          <w:color w:val="auto"/>
          <w:sz w:val="24"/>
          <w:highlight w:val="none"/>
        </w:rPr>
        <w:t xml:space="preserve"> </w:t>
      </w:r>
    </w:p>
    <w:p w14:paraId="5170DA5D">
      <w:pPr>
        <w:spacing w:line="360" w:lineRule="auto"/>
        <w:rPr>
          <w:rFonts w:ascii="宋体" w:hAnsi="宋体"/>
          <w:color w:val="auto"/>
          <w:sz w:val="24"/>
          <w:highlight w:val="none"/>
        </w:rPr>
      </w:pPr>
    </w:p>
    <w:p w14:paraId="68BE7336">
      <w:pPr>
        <w:spacing w:line="360" w:lineRule="auto"/>
        <w:ind w:firstLine="3120" w:firstLineChars="1300"/>
        <w:rPr>
          <w:rFonts w:ascii="宋体" w:hAnsi="宋体"/>
          <w:color w:val="auto"/>
          <w:sz w:val="24"/>
          <w:highlight w:val="none"/>
        </w:rPr>
      </w:pPr>
      <w:r>
        <w:rPr>
          <w:rFonts w:ascii="宋体" w:hAnsi="宋体"/>
          <w:color w:val="auto"/>
          <w:sz w:val="24"/>
          <w:highlight w:val="none"/>
        </w:rPr>
        <w:t>（粘贴此处）</w:t>
      </w:r>
    </w:p>
    <w:p w14:paraId="5A5241F7">
      <w:pPr>
        <w:spacing w:line="360" w:lineRule="auto"/>
        <w:ind w:firstLine="2280" w:firstLineChars="950"/>
        <w:rPr>
          <w:rFonts w:ascii="宋体" w:hAnsi="宋体"/>
          <w:b/>
          <w:bCs/>
          <w:color w:val="auto"/>
          <w:sz w:val="24"/>
          <w:highlight w:val="none"/>
        </w:rPr>
      </w:pPr>
    </w:p>
    <w:p w14:paraId="356144AE">
      <w:pPr>
        <w:spacing w:line="360" w:lineRule="auto"/>
        <w:ind w:firstLine="2280" w:firstLineChars="950"/>
        <w:rPr>
          <w:rFonts w:ascii="宋体" w:hAnsi="宋体"/>
          <w:b/>
          <w:bCs/>
          <w:color w:val="auto"/>
          <w:sz w:val="24"/>
          <w:highlight w:val="none"/>
        </w:rPr>
      </w:pPr>
    </w:p>
    <w:p w14:paraId="267160F1">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法定代表人参加投标时将身份证带至招标现场备查。</w:t>
      </w:r>
    </w:p>
    <w:p w14:paraId="697A1E64">
      <w:pPr>
        <w:spacing w:line="360" w:lineRule="auto"/>
        <w:rPr>
          <w:rFonts w:ascii="宋体" w:hAnsi="宋体"/>
          <w:b/>
          <w:bCs/>
          <w:color w:val="auto"/>
          <w:sz w:val="24"/>
          <w:highlight w:val="none"/>
        </w:rPr>
      </w:pPr>
    </w:p>
    <w:p w14:paraId="5C986A72">
      <w:pPr>
        <w:spacing w:line="360" w:lineRule="auto"/>
        <w:jc w:val="center"/>
        <w:rPr>
          <w:rFonts w:ascii="宋体" w:hAnsi="宋体"/>
          <w:b/>
          <w:bCs/>
          <w:color w:val="auto"/>
          <w:sz w:val="28"/>
          <w:szCs w:val="28"/>
          <w:highlight w:val="none"/>
        </w:rPr>
      </w:pPr>
      <w:r>
        <w:rPr>
          <w:rFonts w:ascii="宋体" w:hAnsi="宋体"/>
          <w:b/>
          <w:bCs/>
          <w:color w:val="auto"/>
          <w:sz w:val="24"/>
          <w:highlight w:val="none"/>
        </w:rPr>
        <w:br w:type="page"/>
      </w:r>
      <w:r>
        <w:rPr>
          <w:rFonts w:ascii="宋体" w:hAnsi="宋体"/>
          <w:b/>
          <w:bCs/>
          <w:color w:val="auto"/>
          <w:sz w:val="28"/>
          <w:szCs w:val="28"/>
          <w:highlight w:val="none"/>
        </w:rPr>
        <w:t>三、授权委托书</w:t>
      </w:r>
    </w:p>
    <w:p w14:paraId="567E5863">
      <w:pPr>
        <w:spacing w:line="360" w:lineRule="auto"/>
        <w:ind w:firstLine="480" w:firstLineChars="200"/>
        <w:jc w:val="left"/>
        <w:rPr>
          <w:rFonts w:ascii="宋体" w:hAnsi="宋体"/>
          <w:b/>
          <w:bCs/>
          <w:color w:val="auto"/>
          <w:sz w:val="24"/>
          <w:highlight w:val="none"/>
        </w:rPr>
      </w:pPr>
    </w:p>
    <w:p w14:paraId="0B5A43FE">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南通市崇川区堤防涵闸管理所</w:t>
      </w:r>
      <w:r>
        <w:rPr>
          <w:rFonts w:ascii="宋体" w:hAnsi="宋体"/>
          <w:color w:val="auto"/>
          <w:sz w:val="24"/>
          <w:highlight w:val="none"/>
        </w:rPr>
        <w:t xml:space="preserve">： </w:t>
      </w:r>
    </w:p>
    <w:p w14:paraId="090B3506">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兹授权</w:t>
      </w:r>
      <w:r>
        <w:rPr>
          <w:rFonts w:ascii="宋体" w:hAnsi="宋体"/>
          <w:color w:val="auto"/>
          <w:sz w:val="24"/>
          <w:highlight w:val="none"/>
          <w:u w:val="single"/>
        </w:rPr>
        <w:t xml:space="preserve">         </w:t>
      </w:r>
      <w:r>
        <w:rPr>
          <w:rFonts w:ascii="宋体" w:hAnsi="宋体"/>
          <w:color w:val="auto"/>
          <w:sz w:val="24"/>
          <w:highlight w:val="none"/>
        </w:rPr>
        <w:t>（被授权人的姓名）代表我公司参加</w:t>
      </w:r>
      <w:r>
        <w:rPr>
          <w:rFonts w:ascii="宋体" w:hAnsi="宋体"/>
          <w:color w:val="auto"/>
          <w:sz w:val="24"/>
          <w:highlight w:val="none"/>
          <w:u w:val="single"/>
        </w:rPr>
        <w:t xml:space="preserve">             </w:t>
      </w:r>
      <w:r>
        <w:rPr>
          <w:rFonts w:ascii="宋体" w:hAnsi="宋体"/>
          <w:color w:val="auto"/>
          <w:sz w:val="24"/>
          <w:highlight w:val="none"/>
        </w:rPr>
        <w:t>项目的政府采购活动，全权处理一切与该项目公开招标有关的事务。其在办理上述事宜过程中所签署的所有文件我公司均予以承认。</w:t>
      </w:r>
    </w:p>
    <w:p w14:paraId="75DB8238">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 xml:space="preserve">被授权人无转委托权。特此委托。  </w:t>
      </w:r>
    </w:p>
    <w:p w14:paraId="6AAFC2D7">
      <w:pPr>
        <w:snapToGrid w:val="0"/>
        <w:spacing w:line="360" w:lineRule="auto"/>
        <w:ind w:firstLine="480" w:firstLineChars="200"/>
        <w:rPr>
          <w:rFonts w:ascii="宋体" w:hAnsi="宋体"/>
          <w:color w:val="auto"/>
          <w:sz w:val="24"/>
          <w:highlight w:val="none"/>
        </w:rPr>
      </w:pPr>
    </w:p>
    <w:p w14:paraId="5928A3F0">
      <w:pPr>
        <w:spacing w:line="360" w:lineRule="auto"/>
        <w:rPr>
          <w:rFonts w:ascii="宋体" w:hAnsi="宋体"/>
          <w:color w:val="auto"/>
          <w:sz w:val="24"/>
          <w:highlight w:val="none"/>
        </w:rPr>
      </w:pPr>
      <w:r>
        <w:rPr>
          <w:rFonts w:ascii="宋体" w:hAnsi="宋体"/>
          <w:color w:val="auto"/>
          <w:sz w:val="24"/>
          <w:highlight w:val="none"/>
        </w:rPr>
        <w:t xml:space="preserve">附：被授权人情况：  </w:t>
      </w:r>
    </w:p>
    <w:p w14:paraId="51624AC9">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5F9BCEC0">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4E233200">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7FE89B18">
      <w:pPr>
        <w:spacing w:line="360" w:lineRule="auto"/>
        <w:rPr>
          <w:rFonts w:ascii="宋体" w:hAnsi="宋体"/>
          <w:color w:val="auto"/>
          <w:sz w:val="24"/>
          <w:highlight w:val="none"/>
        </w:rPr>
      </w:pPr>
    </w:p>
    <w:p w14:paraId="53724862">
      <w:pPr>
        <w:spacing w:line="360" w:lineRule="auto"/>
        <w:rPr>
          <w:rFonts w:ascii="宋体" w:hAnsi="宋体"/>
          <w:color w:val="auto"/>
          <w:sz w:val="24"/>
          <w:highlight w:val="none"/>
        </w:rPr>
      </w:pPr>
      <w:r>
        <w:rPr>
          <w:rFonts w:ascii="宋体" w:hAnsi="宋体"/>
          <w:color w:val="auto"/>
          <w:sz w:val="24"/>
          <w:highlight w:val="none"/>
        </w:rPr>
        <w:t>单位名称（公章）             法定代表人（签字或盖章）</w:t>
      </w:r>
    </w:p>
    <w:p w14:paraId="2D6A7C6A">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3573032E">
      <w:pPr>
        <w:spacing w:line="360" w:lineRule="auto"/>
        <w:rPr>
          <w:rFonts w:ascii="宋体" w:hAnsi="宋体"/>
          <w:color w:val="auto"/>
          <w:sz w:val="24"/>
          <w:highlight w:val="none"/>
        </w:rPr>
      </w:pPr>
    </w:p>
    <w:p w14:paraId="06ABB2CA">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102035DE">
      <w:pPr>
        <w:spacing w:line="360" w:lineRule="auto"/>
        <w:rPr>
          <w:rFonts w:ascii="宋体" w:hAnsi="宋体"/>
          <w:color w:val="auto"/>
          <w:sz w:val="24"/>
          <w:highlight w:val="none"/>
        </w:rPr>
      </w:pPr>
    </w:p>
    <w:p w14:paraId="248E44F4">
      <w:pPr>
        <w:pStyle w:val="62"/>
        <w:ind w:firstLine="280"/>
        <w:rPr>
          <w:rFonts w:ascii="宋体" w:eastAsia="宋体"/>
          <w:color w:val="auto"/>
          <w:highlight w:val="none"/>
        </w:rPr>
      </w:pPr>
    </w:p>
    <w:p w14:paraId="668955F3">
      <w:pPr>
        <w:spacing w:line="360" w:lineRule="auto"/>
        <w:rPr>
          <w:rFonts w:ascii="宋体" w:hAnsi="宋体"/>
          <w:color w:val="auto"/>
          <w:sz w:val="24"/>
          <w:highlight w:val="none"/>
        </w:rPr>
      </w:pPr>
      <w:r>
        <w:rPr>
          <w:rFonts w:ascii="宋体" w:hAnsi="宋体"/>
          <w:color w:val="auto"/>
          <w:sz w:val="24"/>
          <w:highlight w:val="none"/>
        </w:rPr>
        <w:t>被授权人身份证复印件</w:t>
      </w:r>
    </w:p>
    <w:p w14:paraId="0EF26E61">
      <w:pPr>
        <w:spacing w:line="360" w:lineRule="auto"/>
        <w:ind w:firstLine="3120" w:firstLineChars="1300"/>
        <w:rPr>
          <w:rFonts w:ascii="宋体" w:hAnsi="宋体"/>
          <w:b/>
          <w:bCs/>
          <w:color w:val="auto"/>
          <w:sz w:val="24"/>
          <w:highlight w:val="none"/>
        </w:rPr>
      </w:pPr>
      <w:r>
        <w:rPr>
          <w:rFonts w:ascii="宋体" w:hAnsi="宋体"/>
          <w:color w:val="auto"/>
          <w:sz w:val="24"/>
          <w:highlight w:val="none"/>
        </w:rPr>
        <w:t>（粘贴此处）</w:t>
      </w:r>
    </w:p>
    <w:p w14:paraId="4CDF112A">
      <w:pPr>
        <w:spacing w:line="360" w:lineRule="auto"/>
        <w:ind w:firstLine="480" w:firstLineChars="200"/>
        <w:rPr>
          <w:rFonts w:ascii="宋体" w:hAnsi="宋体"/>
          <w:b/>
          <w:bCs/>
          <w:color w:val="auto"/>
          <w:sz w:val="24"/>
          <w:highlight w:val="none"/>
        </w:rPr>
      </w:pPr>
    </w:p>
    <w:p w14:paraId="0611D389">
      <w:pPr>
        <w:spacing w:line="360" w:lineRule="auto"/>
        <w:ind w:firstLine="480" w:firstLineChars="200"/>
        <w:rPr>
          <w:rFonts w:ascii="宋体" w:hAnsi="宋体"/>
          <w:b/>
          <w:bCs/>
          <w:color w:val="auto"/>
          <w:sz w:val="24"/>
          <w:highlight w:val="none"/>
        </w:rPr>
      </w:pPr>
    </w:p>
    <w:p w14:paraId="06AFA731">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被授权人参加投标时将本人身份证带至招标现场备查。</w:t>
      </w:r>
    </w:p>
    <w:p w14:paraId="55A1AB0D">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四、</w:t>
      </w:r>
      <w:bookmarkStart w:id="32" w:name="_Hlk44927189"/>
      <w:r>
        <w:rPr>
          <w:rFonts w:ascii="宋体" w:hAnsi="宋体"/>
          <w:b/>
          <w:bCs/>
          <w:color w:val="auto"/>
          <w:sz w:val="28"/>
          <w:szCs w:val="28"/>
          <w:highlight w:val="none"/>
        </w:rPr>
        <w:t>投标响应函</w:t>
      </w:r>
      <w:bookmarkEnd w:id="32"/>
    </w:p>
    <w:p w14:paraId="3AED1B25">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南通市崇川区堤防涵闸管理所</w:t>
      </w:r>
      <w:r>
        <w:rPr>
          <w:rFonts w:ascii="宋体" w:hAnsi="宋体"/>
          <w:color w:val="auto"/>
          <w:sz w:val="24"/>
          <w:highlight w:val="none"/>
        </w:rPr>
        <w:t xml:space="preserve">：  </w:t>
      </w:r>
    </w:p>
    <w:p w14:paraId="252A1F8A">
      <w:pPr>
        <w:spacing w:line="360" w:lineRule="auto"/>
        <w:ind w:firstLine="480" w:firstLineChars="200"/>
        <w:rPr>
          <w:rFonts w:ascii="宋体" w:hAnsi="宋体"/>
          <w:color w:val="auto"/>
          <w:sz w:val="24"/>
          <w:highlight w:val="none"/>
        </w:rPr>
      </w:pPr>
      <w:r>
        <w:rPr>
          <w:rFonts w:ascii="宋体" w:hAnsi="宋体"/>
          <w:color w:val="auto"/>
          <w:sz w:val="24"/>
          <w:highlight w:val="none"/>
        </w:rPr>
        <w:t>依据贵单位</w:t>
      </w:r>
      <w:r>
        <w:rPr>
          <w:rFonts w:ascii="宋体" w:hAnsi="宋体"/>
          <w:color w:val="auto"/>
          <w:sz w:val="24"/>
          <w:highlight w:val="none"/>
          <w:u w:val="single"/>
        </w:rPr>
        <w:t xml:space="preserve">                 </w:t>
      </w:r>
      <w:r>
        <w:rPr>
          <w:rFonts w:ascii="宋体" w:hAnsi="宋体"/>
          <w:color w:val="auto"/>
          <w:sz w:val="24"/>
          <w:highlight w:val="none"/>
        </w:rPr>
        <w:t xml:space="preserve"> （采购项目名称）项目公开招标采购的邀请，我方授权</w:t>
      </w:r>
      <w:r>
        <w:rPr>
          <w:rFonts w:ascii="宋体" w:hAnsi="宋体"/>
          <w:color w:val="auto"/>
          <w:sz w:val="24"/>
          <w:highlight w:val="none"/>
          <w:u w:val="single"/>
        </w:rPr>
        <w:t xml:space="preserve">       </w:t>
      </w: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（职务）为全权代表参加该项目的投标，全权处理本次投标的有关事宜。同时，我公司声明如下：</w:t>
      </w:r>
    </w:p>
    <w:p w14:paraId="7B2EC9CF">
      <w:pPr>
        <w:spacing w:line="360" w:lineRule="auto"/>
        <w:ind w:firstLine="480" w:firstLineChars="200"/>
        <w:rPr>
          <w:rFonts w:ascii="宋体" w:hAnsi="宋体"/>
          <w:color w:val="auto"/>
          <w:sz w:val="24"/>
          <w:highlight w:val="none"/>
        </w:rPr>
      </w:pPr>
      <w:r>
        <w:rPr>
          <w:rFonts w:ascii="宋体" w:hAnsi="宋体"/>
          <w:color w:val="auto"/>
          <w:sz w:val="24"/>
          <w:highlight w:val="none"/>
        </w:rPr>
        <w:t>1、同意并接受招标文件的各项要求，遵守招标文件中的各项规定，按招标文件的要求提供报价。</w:t>
      </w:r>
    </w:p>
    <w:p w14:paraId="3F6035EF">
      <w:pPr>
        <w:spacing w:line="360" w:lineRule="auto"/>
        <w:ind w:firstLine="480" w:firstLineChars="200"/>
        <w:rPr>
          <w:rFonts w:ascii="宋体" w:hAnsi="宋体"/>
          <w:color w:val="auto"/>
          <w:sz w:val="24"/>
          <w:highlight w:val="none"/>
        </w:rPr>
      </w:pPr>
      <w:r>
        <w:rPr>
          <w:rFonts w:ascii="宋体" w:hAnsi="宋体"/>
          <w:color w:val="auto"/>
          <w:sz w:val="24"/>
          <w:highlight w:val="none"/>
        </w:rPr>
        <w:t>2、我公司已经详细阅读了全部招标文件及其附件，我方已完全清晰理解招标文件的要求，不存在任何含糊不清和误解之处，同意放弃对这些文件所提出的异议和质疑的权利。</w:t>
      </w:r>
    </w:p>
    <w:p w14:paraId="730FA643">
      <w:pPr>
        <w:spacing w:line="360" w:lineRule="auto"/>
        <w:ind w:firstLine="480" w:firstLineChars="200"/>
        <w:rPr>
          <w:rFonts w:ascii="宋体" w:hAnsi="宋体"/>
          <w:color w:val="auto"/>
          <w:sz w:val="24"/>
          <w:highlight w:val="none"/>
        </w:rPr>
      </w:pPr>
      <w:r>
        <w:rPr>
          <w:rFonts w:ascii="宋体" w:hAnsi="宋体"/>
          <w:color w:val="auto"/>
          <w:sz w:val="24"/>
          <w:highlight w:val="none"/>
        </w:rPr>
        <w:t>3、我公司已毫无保留地向贵方提供一切所需的证明材料。</w:t>
      </w:r>
    </w:p>
    <w:p w14:paraId="75C0CD0F">
      <w:pPr>
        <w:spacing w:line="360" w:lineRule="auto"/>
        <w:ind w:firstLine="480" w:firstLineChars="200"/>
        <w:rPr>
          <w:rFonts w:ascii="宋体" w:hAnsi="宋体"/>
          <w:color w:val="auto"/>
          <w:sz w:val="24"/>
          <w:highlight w:val="none"/>
        </w:rPr>
      </w:pPr>
      <w:r>
        <w:rPr>
          <w:rFonts w:ascii="宋体" w:hAnsi="宋体"/>
          <w:color w:val="auto"/>
          <w:sz w:val="24"/>
          <w:highlight w:val="none"/>
        </w:rPr>
        <w:t>4、我公司承诺在本次招标响应中提供的一切文件，无论是原件还是复印件均真实有效，绝无任何虚假、伪造和夸大的成份。否则，愿承担相应的后果和法律责任。</w:t>
      </w:r>
    </w:p>
    <w:p w14:paraId="7FD32861">
      <w:pPr>
        <w:spacing w:line="360" w:lineRule="auto"/>
        <w:ind w:firstLine="480" w:firstLineChars="200"/>
        <w:rPr>
          <w:rFonts w:ascii="宋体" w:hAnsi="宋体"/>
          <w:color w:val="auto"/>
          <w:sz w:val="24"/>
          <w:highlight w:val="none"/>
        </w:rPr>
      </w:pPr>
      <w:r>
        <w:rPr>
          <w:rFonts w:ascii="宋体" w:hAnsi="宋体"/>
          <w:color w:val="auto"/>
          <w:sz w:val="24"/>
          <w:highlight w:val="none"/>
        </w:rPr>
        <w:t>5、我公司尊重评标委员会所作的评定结果，同时清楚理解到报价最低并非意味着必定获得成交资格。</w:t>
      </w:r>
    </w:p>
    <w:p w14:paraId="6A0A4421">
      <w:pPr>
        <w:snapToGrid w:val="0"/>
        <w:spacing w:line="360" w:lineRule="auto"/>
        <w:ind w:firstLine="460" w:firstLineChars="200"/>
        <w:rPr>
          <w:rFonts w:ascii="宋体" w:hAnsi="宋体"/>
          <w:color w:val="auto"/>
          <w:sz w:val="24"/>
          <w:highlight w:val="none"/>
        </w:rPr>
      </w:pPr>
      <w:r>
        <w:rPr>
          <w:rFonts w:ascii="宋体" w:hAnsi="宋体"/>
          <w:color w:val="auto"/>
          <w:sz w:val="23"/>
          <w:szCs w:val="23"/>
          <w:highlight w:val="none"/>
        </w:rPr>
        <w:t>6</w:t>
      </w:r>
      <w:r>
        <w:rPr>
          <w:rFonts w:ascii="宋体" w:hAnsi="宋体"/>
          <w:color w:val="auto"/>
          <w:sz w:val="24"/>
          <w:highlight w:val="none"/>
        </w:rPr>
        <w:t>、一旦我方成交，我方承诺将根据项目服务要求与贵方签订项目服务协议书。</w:t>
      </w:r>
    </w:p>
    <w:p w14:paraId="300D25A1">
      <w:pPr>
        <w:spacing w:line="360" w:lineRule="auto"/>
        <w:ind w:firstLine="480" w:firstLineChars="200"/>
        <w:rPr>
          <w:rFonts w:ascii="宋体" w:hAnsi="宋体"/>
          <w:color w:val="auto"/>
          <w:sz w:val="24"/>
          <w:highlight w:val="none"/>
        </w:rPr>
      </w:pPr>
      <w:r>
        <w:rPr>
          <w:rFonts w:ascii="宋体" w:hAnsi="宋体"/>
          <w:color w:val="auto"/>
          <w:sz w:val="24"/>
          <w:highlight w:val="none"/>
        </w:rPr>
        <w:t>7、一旦我方成交，我方承诺在服务过程中，负责安排好各专业相关人员完成服务工作。</w:t>
      </w:r>
    </w:p>
    <w:p w14:paraId="0BEEECDE">
      <w:pPr>
        <w:spacing w:line="360" w:lineRule="auto"/>
        <w:ind w:firstLine="480" w:firstLineChars="200"/>
        <w:rPr>
          <w:rFonts w:ascii="宋体" w:hAnsi="宋体"/>
          <w:color w:val="auto"/>
          <w:sz w:val="24"/>
          <w:highlight w:val="none"/>
        </w:rPr>
      </w:pPr>
      <w:r>
        <w:rPr>
          <w:rFonts w:ascii="宋体" w:hAnsi="宋体"/>
          <w:color w:val="auto"/>
          <w:sz w:val="24"/>
          <w:highlight w:val="none"/>
        </w:rPr>
        <w:t>8、一旦我方成交，我方将根据招标文件的要求和投标文件的承诺签订合同，严格履行合同的责任和义务，并保证在招标文件规定的时间完成项目，交付采购人验收、使用。</w:t>
      </w:r>
    </w:p>
    <w:p w14:paraId="03D8BA5D">
      <w:pPr>
        <w:spacing w:line="360" w:lineRule="auto"/>
        <w:ind w:firstLine="200" w:firstLineChars="200"/>
        <w:rPr>
          <w:rFonts w:ascii="宋体" w:hAnsi="宋体"/>
          <w:color w:val="auto"/>
          <w:sz w:val="10"/>
          <w:szCs w:val="10"/>
          <w:highlight w:val="none"/>
        </w:rPr>
      </w:pPr>
    </w:p>
    <w:p w14:paraId="26F7A5DE">
      <w:pPr>
        <w:spacing w:line="360" w:lineRule="auto"/>
        <w:ind w:firstLine="1920" w:firstLineChars="800"/>
        <w:rPr>
          <w:rFonts w:ascii="宋体" w:hAnsi="宋体"/>
          <w:color w:val="auto"/>
          <w:sz w:val="24"/>
          <w:highlight w:val="none"/>
        </w:rPr>
      </w:pPr>
      <w:r>
        <w:rPr>
          <w:rFonts w:ascii="宋体" w:hAnsi="宋体"/>
          <w:color w:val="auto"/>
          <w:sz w:val="24"/>
          <w:highlight w:val="none"/>
        </w:rPr>
        <w:t>响应供应商：</w:t>
      </w:r>
      <w:r>
        <w:rPr>
          <w:rFonts w:ascii="宋体" w:hAnsi="宋体"/>
          <w:color w:val="auto"/>
          <w:sz w:val="24"/>
          <w:highlight w:val="none"/>
          <w:u w:val="single"/>
        </w:rPr>
        <w:t xml:space="preserve">                    </w:t>
      </w:r>
      <w:r>
        <w:rPr>
          <w:rFonts w:ascii="宋体" w:hAnsi="宋体"/>
          <w:color w:val="auto"/>
          <w:sz w:val="24"/>
          <w:highlight w:val="none"/>
        </w:rPr>
        <w:t>（加盖公章）</w:t>
      </w:r>
    </w:p>
    <w:p w14:paraId="7ACC39DB">
      <w:pPr>
        <w:spacing w:line="360" w:lineRule="auto"/>
        <w:ind w:firstLine="1920" w:firstLineChars="800"/>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049A7B9E">
      <w:pPr>
        <w:spacing w:line="360" w:lineRule="auto"/>
        <w:ind w:firstLine="4320" w:firstLineChars="1800"/>
        <w:rPr>
          <w:rFonts w:ascii="宋体" w:hAnsi="宋体"/>
          <w:color w:val="auto"/>
          <w:sz w:val="24"/>
          <w:highlight w:val="none"/>
        </w:rPr>
      </w:pPr>
      <w:r>
        <w:rPr>
          <w:rFonts w:ascii="宋体" w:hAnsi="宋体"/>
          <w:color w:val="auto"/>
          <w:sz w:val="24"/>
          <w:highlight w:val="none"/>
        </w:rPr>
        <w:t>年  月  日</w:t>
      </w:r>
    </w:p>
    <w:p w14:paraId="19BACF48">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五、无重大违法记录声明</w:t>
      </w:r>
    </w:p>
    <w:p w14:paraId="2B90FDB0">
      <w:pPr>
        <w:spacing w:line="360" w:lineRule="auto"/>
        <w:jc w:val="left"/>
        <w:rPr>
          <w:rFonts w:ascii="宋体" w:hAnsi="宋体"/>
          <w:color w:val="auto"/>
          <w:sz w:val="24"/>
          <w:highlight w:val="none"/>
          <w:u w:val="single"/>
        </w:rPr>
      </w:pPr>
    </w:p>
    <w:p w14:paraId="6827FACB">
      <w:pPr>
        <w:spacing w:line="360" w:lineRule="auto"/>
        <w:jc w:val="left"/>
        <w:rPr>
          <w:rFonts w:ascii="宋体" w:hAnsi="宋体"/>
          <w:b/>
          <w:bCs/>
          <w:color w:val="auto"/>
          <w:sz w:val="24"/>
          <w:highlight w:val="none"/>
        </w:rPr>
      </w:pPr>
      <w:r>
        <w:rPr>
          <w:rFonts w:hint="eastAsia" w:ascii="宋体" w:hAnsi="宋体"/>
          <w:color w:val="auto"/>
          <w:sz w:val="24"/>
          <w:highlight w:val="none"/>
          <w:u w:val="single"/>
          <w:lang w:eastAsia="zh-CN"/>
        </w:rPr>
        <w:t>南通市崇川区堤防涵闸管理所</w:t>
      </w:r>
      <w:r>
        <w:rPr>
          <w:rFonts w:ascii="宋体" w:hAnsi="宋体"/>
          <w:color w:val="auto"/>
          <w:sz w:val="24"/>
          <w:highlight w:val="none"/>
        </w:rPr>
        <w:t>：</w:t>
      </w:r>
    </w:p>
    <w:p w14:paraId="4D2914DF">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我单位</w:t>
      </w:r>
      <w:r>
        <w:rPr>
          <w:rFonts w:ascii="宋体" w:hAnsi="宋体"/>
          <w:color w:val="auto"/>
          <w:sz w:val="24"/>
          <w:highlight w:val="none"/>
          <w:u w:val="single"/>
        </w:rPr>
        <w:t xml:space="preserve">                  </w:t>
      </w:r>
      <w:r>
        <w:rPr>
          <w:rFonts w:ascii="宋体" w:hAnsi="宋体"/>
          <w:color w:val="auto"/>
          <w:sz w:val="24"/>
          <w:highlight w:val="none"/>
        </w:rPr>
        <w:t>（供应商名称）郑重声明：</w:t>
      </w:r>
    </w:p>
    <w:p w14:paraId="1D134D65">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1、参加政府采购活动前3年内在经营活动中</w:t>
      </w:r>
      <w:r>
        <w:rPr>
          <w:rFonts w:ascii="宋体" w:hAnsi="宋体"/>
          <w:color w:val="auto"/>
          <w:sz w:val="24"/>
          <w:highlight w:val="none"/>
          <w:u w:val="single"/>
        </w:rPr>
        <w:t xml:space="preserve">        </w:t>
      </w:r>
      <w:r>
        <w:rPr>
          <w:rFonts w:ascii="宋体" w:hAnsi="宋体"/>
          <w:color w:val="auto"/>
          <w:sz w:val="24"/>
          <w:highlight w:val="none"/>
        </w:rPr>
        <w:t>（在下划线上如实填写：有或没有）重大违法记录。</w:t>
      </w:r>
    </w:p>
    <w:p w14:paraId="1C08FCBA">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（说明：政府采购法第二十二条第一款第五项所称重大违法记录，是指供应商因违法经营受到刑事处罚或者责令停产停业、吊销许可证或者执照、较大数额罚款等行政处罚。）</w:t>
      </w:r>
    </w:p>
    <w:p w14:paraId="68E9239D">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2、截至投标截止时间前，我公司未被“信用中国”（www.creditchina.gov.cn）列入失信被执行人、重大税收违法案件当事人名单；没有被“中国政府采购网”（www.ccgp.gov.cn）网站列入政府采购严重违法失信行为记录名单。</w:t>
      </w:r>
    </w:p>
    <w:p w14:paraId="308CCABE">
      <w:pPr>
        <w:pStyle w:val="62"/>
        <w:ind w:firstLine="280"/>
        <w:rPr>
          <w:rFonts w:ascii="宋体" w:eastAsia="宋体"/>
          <w:color w:val="auto"/>
          <w:highlight w:val="none"/>
        </w:rPr>
      </w:pPr>
    </w:p>
    <w:p w14:paraId="54F239E0">
      <w:pPr>
        <w:pStyle w:val="62"/>
        <w:ind w:firstLine="280"/>
        <w:rPr>
          <w:rFonts w:ascii="宋体" w:eastAsia="宋体"/>
          <w:color w:val="auto"/>
          <w:highlight w:val="none"/>
        </w:rPr>
      </w:pPr>
    </w:p>
    <w:p w14:paraId="2E4FC041">
      <w:pPr>
        <w:spacing w:line="360" w:lineRule="auto"/>
        <w:ind w:firstLine="2280" w:firstLineChars="950"/>
        <w:jc w:val="right"/>
        <w:rPr>
          <w:rFonts w:ascii="宋体" w:hAnsi="宋体"/>
          <w:color w:val="auto"/>
          <w:sz w:val="24"/>
          <w:highlight w:val="none"/>
        </w:rPr>
      </w:pPr>
      <w:r>
        <w:rPr>
          <w:rFonts w:ascii="宋体" w:hAnsi="宋体"/>
          <w:b/>
          <w:color w:val="auto"/>
          <w:sz w:val="24"/>
          <w:highlight w:val="none"/>
        </w:rPr>
        <w:t xml:space="preserve">                                       </w:t>
      </w:r>
      <w:r>
        <w:rPr>
          <w:rFonts w:ascii="宋体" w:hAnsi="宋体"/>
          <w:color w:val="auto"/>
          <w:sz w:val="24"/>
          <w:highlight w:val="none"/>
        </w:rPr>
        <w:t>声明人：（公章）</w:t>
      </w:r>
    </w:p>
    <w:p w14:paraId="644D4CB9">
      <w:pPr>
        <w:spacing w:line="360" w:lineRule="auto"/>
        <w:ind w:firstLine="2280" w:firstLineChars="950"/>
        <w:jc w:val="right"/>
        <w:rPr>
          <w:rFonts w:ascii="宋体" w:hAnsi="宋体"/>
          <w:color w:val="auto"/>
          <w:sz w:val="24"/>
          <w:highlight w:val="none"/>
        </w:rPr>
      </w:pPr>
      <w:r>
        <w:rPr>
          <w:rFonts w:ascii="宋体" w:hAnsi="宋体"/>
          <w:color w:val="auto"/>
          <w:sz w:val="24"/>
          <w:highlight w:val="none"/>
        </w:rPr>
        <w:t xml:space="preserve">                                   年     月    日</w:t>
      </w:r>
    </w:p>
    <w:p w14:paraId="290D1060">
      <w:pPr>
        <w:spacing w:line="360" w:lineRule="auto"/>
        <w:jc w:val="center"/>
        <w:rPr>
          <w:rStyle w:val="79"/>
          <w:rFonts w:ascii="Times New Roman" w:hAnsi="Times New Roman" w:cs="Times New Roman"/>
          <w:color w:val="auto"/>
          <w:sz w:val="28"/>
          <w:szCs w:val="28"/>
          <w:highlight w:val="none"/>
        </w:rPr>
      </w:pPr>
      <w:r>
        <w:rPr>
          <w:rFonts w:ascii="宋体"/>
          <w:color w:val="auto"/>
          <w:highlight w:val="none"/>
        </w:rPr>
        <w:br w:type="page"/>
      </w:r>
      <w:r>
        <w:rPr>
          <w:rFonts w:hint="eastAsia"/>
          <w:b/>
          <w:bCs/>
          <w:color w:val="auto"/>
          <w:sz w:val="28"/>
          <w:szCs w:val="28"/>
          <w:highlight w:val="none"/>
          <w:lang w:val="en-US" w:eastAsia="zh-CN"/>
        </w:rPr>
        <w:t>六</w:t>
      </w:r>
      <w:r>
        <w:rPr>
          <w:b/>
          <w:bCs/>
          <w:color w:val="auto"/>
          <w:sz w:val="28"/>
          <w:szCs w:val="28"/>
          <w:highlight w:val="none"/>
        </w:rPr>
        <w:t>、</w:t>
      </w:r>
      <w:r>
        <w:rPr>
          <w:rStyle w:val="79"/>
          <w:rFonts w:ascii="Times New Roman" w:hAnsi="Times New Roman" w:cs="Times New Roman"/>
          <w:color w:val="auto"/>
          <w:sz w:val="28"/>
          <w:szCs w:val="28"/>
          <w:highlight w:val="none"/>
        </w:rPr>
        <w:t>中小企业声明函</w:t>
      </w:r>
    </w:p>
    <w:p w14:paraId="753A060B">
      <w:pPr>
        <w:spacing w:line="360" w:lineRule="auto"/>
        <w:ind w:firstLine="480" w:firstLineChars="200"/>
        <w:jc w:val="left"/>
        <w:rPr>
          <w:color w:val="auto"/>
          <w:sz w:val="24"/>
          <w:highlight w:val="none"/>
        </w:rPr>
      </w:pPr>
    </w:p>
    <w:p w14:paraId="4E06C5A9">
      <w:pPr>
        <w:autoSpaceDE w:val="0"/>
        <w:autoSpaceDN w:val="0"/>
        <w:spacing w:line="360" w:lineRule="auto"/>
        <w:ind w:firstLine="480" w:firstLineChars="200"/>
        <w:jc w:val="left"/>
        <w:rPr>
          <w:color w:val="auto"/>
          <w:kern w:val="0"/>
          <w:sz w:val="24"/>
          <w:highlight w:val="none"/>
        </w:rPr>
      </w:pPr>
      <w:r>
        <w:rPr>
          <w:color w:val="auto"/>
          <w:kern w:val="0"/>
          <w:sz w:val="24"/>
          <w:highlight w:val="none"/>
        </w:rPr>
        <w:t>本公司郑重声明，根据《政府采购促进中小企业发展管理办法》（财库﹝2020﹞46 号）的规定，本公司参加</w:t>
      </w:r>
      <w:r>
        <w:rPr>
          <w:rFonts w:eastAsia="仿宋"/>
          <w:color w:val="auto"/>
          <w:kern w:val="0"/>
          <w:sz w:val="24"/>
          <w:highlight w:val="none"/>
          <w:u w:val="single"/>
        </w:rPr>
        <w:t>（单位名称）</w:t>
      </w:r>
      <w:r>
        <w:rPr>
          <w:color w:val="auto"/>
          <w:kern w:val="0"/>
          <w:sz w:val="24"/>
          <w:highlight w:val="none"/>
        </w:rPr>
        <w:t>的</w:t>
      </w:r>
      <w:r>
        <w:rPr>
          <w:rFonts w:eastAsia="仿宋"/>
          <w:color w:val="auto"/>
          <w:kern w:val="0"/>
          <w:sz w:val="24"/>
          <w:highlight w:val="none"/>
          <w:u w:val="single"/>
        </w:rPr>
        <w:t>（项目名称）</w:t>
      </w:r>
      <w:r>
        <w:rPr>
          <w:color w:val="auto"/>
          <w:kern w:val="0"/>
          <w:sz w:val="24"/>
          <w:highlight w:val="none"/>
        </w:rPr>
        <w:t>采购活动，</w:t>
      </w:r>
      <w:r>
        <w:rPr>
          <w:rFonts w:hint="eastAsia"/>
          <w:color w:val="auto"/>
          <w:kern w:val="0"/>
          <w:sz w:val="24"/>
          <w:highlight w:val="none"/>
        </w:rPr>
        <w:t>服务</w:t>
      </w:r>
      <w:r>
        <w:rPr>
          <w:color w:val="auto"/>
          <w:kern w:val="0"/>
          <w:sz w:val="24"/>
          <w:highlight w:val="none"/>
        </w:rPr>
        <w:t>全部由符合政策要求的中小企业</w:t>
      </w:r>
      <w:r>
        <w:rPr>
          <w:rFonts w:hint="eastAsia"/>
          <w:color w:val="auto"/>
          <w:kern w:val="0"/>
          <w:sz w:val="24"/>
          <w:highlight w:val="none"/>
        </w:rPr>
        <w:t>承接</w:t>
      </w:r>
      <w:r>
        <w:rPr>
          <w:color w:val="auto"/>
          <w:kern w:val="0"/>
          <w:sz w:val="24"/>
          <w:highlight w:val="none"/>
        </w:rPr>
        <w:t>。</w:t>
      </w:r>
      <w:r>
        <w:rPr>
          <w:rFonts w:hint="eastAsia"/>
          <w:color w:val="auto"/>
          <w:kern w:val="0"/>
          <w:sz w:val="24"/>
          <w:highlight w:val="none"/>
        </w:rPr>
        <w:t>相关</w:t>
      </w:r>
      <w:r>
        <w:rPr>
          <w:color w:val="auto"/>
          <w:kern w:val="0"/>
          <w:sz w:val="24"/>
          <w:highlight w:val="none"/>
        </w:rPr>
        <w:t>企业的具体情况如下：</w:t>
      </w:r>
    </w:p>
    <w:p w14:paraId="74D9D35C">
      <w:pPr>
        <w:tabs>
          <w:tab w:val="left" w:pos="1243"/>
        </w:tabs>
        <w:autoSpaceDE w:val="0"/>
        <w:autoSpaceDN w:val="0"/>
        <w:spacing w:line="360" w:lineRule="auto"/>
        <w:ind w:firstLine="480" w:firstLineChars="200"/>
        <w:jc w:val="left"/>
        <w:rPr>
          <w:color w:val="auto"/>
          <w:w w:val="99"/>
          <w:kern w:val="0"/>
          <w:sz w:val="24"/>
          <w:highlight w:val="none"/>
        </w:rPr>
      </w:pPr>
      <w:r>
        <w:rPr>
          <w:rFonts w:hint="eastAsia" w:eastAsia="仿宋"/>
          <w:color w:val="auto"/>
          <w:kern w:val="0"/>
          <w:sz w:val="24"/>
          <w:highlight w:val="none"/>
        </w:rPr>
        <w:t>1.</w:t>
      </w:r>
      <w:r>
        <w:rPr>
          <w:rFonts w:eastAsia="仿宋"/>
          <w:color w:val="auto"/>
          <w:kern w:val="0"/>
          <w:sz w:val="24"/>
          <w:highlight w:val="none"/>
          <w:u w:val="single"/>
        </w:rPr>
        <w:t>（标的名称）</w:t>
      </w:r>
      <w:r>
        <w:rPr>
          <w:color w:val="auto"/>
          <w:sz w:val="24"/>
          <w:highlight w:val="none"/>
        </w:rPr>
        <w:t>，属</w:t>
      </w:r>
      <w:r>
        <w:rPr>
          <w:rFonts w:hint="eastAsia"/>
          <w:color w:val="auto"/>
          <w:sz w:val="24"/>
          <w:highlight w:val="none"/>
          <w:u w:val="single"/>
        </w:rPr>
        <w:t xml:space="preserve"> </w:t>
      </w:r>
      <w:r>
        <w:rPr>
          <w:rFonts w:hint="eastAsia" w:eastAsia="仿宋"/>
          <w:color w:val="auto"/>
          <w:kern w:val="0"/>
          <w:sz w:val="24"/>
          <w:highlight w:val="none"/>
          <w:u w:val="single"/>
        </w:rPr>
        <w:t>其他未列明行业</w:t>
      </w:r>
      <w:r>
        <w:rPr>
          <w:rFonts w:hint="eastAsia"/>
          <w:color w:val="auto"/>
          <w:sz w:val="24"/>
          <w:highlight w:val="none"/>
          <w:u w:val="single"/>
        </w:rPr>
        <w:t xml:space="preserve"> </w:t>
      </w:r>
      <w:r>
        <w:rPr>
          <w:color w:val="auto"/>
          <w:w w:val="99"/>
          <w:kern w:val="0"/>
          <w:sz w:val="24"/>
          <w:highlight w:val="none"/>
        </w:rPr>
        <w:t>；</w:t>
      </w:r>
      <w:r>
        <w:rPr>
          <w:rFonts w:hint="eastAsia"/>
          <w:color w:val="auto"/>
          <w:sz w:val="24"/>
          <w:highlight w:val="none"/>
        </w:rPr>
        <w:t>承接企业</w:t>
      </w:r>
      <w:r>
        <w:rPr>
          <w:color w:val="auto"/>
          <w:sz w:val="24"/>
          <w:highlight w:val="none"/>
        </w:rPr>
        <w:t>为</w:t>
      </w:r>
      <w:r>
        <w:rPr>
          <w:rFonts w:eastAsia="仿宋"/>
          <w:color w:val="auto"/>
          <w:kern w:val="0"/>
          <w:sz w:val="24"/>
          <w:highlight w:val="none"/>
          <w:u w:val="single"/>
        </w:rPr>
        <w:t>（企业名称）</w:t>
      </w:r>
      <w:r>
        <w:rPr>
          <w:color w:val="auto"/>
          <w:sz w:val="24"/>
          <w:highlight w:val="none"/>
        </w:rPr>
        <w:t>，从业人员</w:t>
      </w:r>
      <w:r>
        <w:rPr>
          <w:color w:val="auto"/>
          <w:kern w:val="0"/>
          <w:sz w:val="24"/>
          <w:highlight w:val="none"/>
          <w:u w:val="single"/>
        </w:rPr>
        <w:tab/>
      </w:r>
      <w:r>
        <w:rPr>
          <w:color w:val="auto"/>
          <w:kern w:val="0"/>
          <w:sz w:val="24"/>
          <w:highlight w:val="none"/>
          <w:u w:val="single"/>
        </w:rPr>
        <w:t xml:space="preserve">  </w:t>
      </w:r>
      <w:r>
        <w:rPr>
          <w:color w:val="auto"/>
          <w:sz w:val="24"/>
          <w:highlight w:val="none"/>
        </w:rPr>
        <w:t>人，营业收入为</w:t>
      </w:r>
      <w:r>
        <w:rPr>
          <w:rFonts w:hint="eastAsia"/>
          <w:color w:val="auto"/>
          <w:sz w:val="24"/>
          <w:highlight w:val="none"/>
          <w:u w:val="single"/>
        </w:rPr>
        <w:t xml:space="preserve"> </w:t>
      </w:r>
      <w:r>
        <w:rPr>
          <w:color w:val="auto"/>
          <w:sz w:val="24"/>
          <w:highlight w:val="none"/>
          <w:u w:val="single"/>
        </w:rPr>
        <w:t xml:space="preserve"> </w:t>
      </w:r>
      <w:r>
        <w:rPr>
          <w:color w:val="auto"/>
          <w:kern w:val="0"/>
          <w:sz w:val="24"/>
          <w:highlight w:val="none"/>
          <w:u w:val="single"/>
        </w:rPr>
        <w:tab/>
      </w:r>
      <w:r>
        <w:rPr>
          <w:color w:val="auto"/>
          <w:kern w:val="0"/>
          <w:sz w:val="24"/>
          <w:highlight w:val="none"/>
        </w:rPr>
        <w:t>万元，资产总额为</w:t>
      </w:r>
      <w:r>
        <w:rPr>
          <w:color w:val="auto"/>
          <w:kern w:val="0"/>
          <w:sz w:val="24"/>
          <w:highlight w:val="none"/>
          <w:u w:val="single"/>
        </w:rPr>
        <w:tab/>
      </w:r>
      <w:r>
        <w:rPr>
          <w:color w:val="auto"/>
          <w:kern w:val="0"/>
          <w:sz w:val="24"/>
          <w:highlight w:val="none"/>
          <w:u w:val="single"/>
        </w:rPr>
        <w:t xml:space="preserve">  </w:t>
      </w:r>
      <w:r>
        <w:rPr>
          <w:color w:val="auto"/>
          <w:kern w:val="0"/>
          <w:sz w:val="24"/>
          <w:highlight w:val="none"/>
        </w:rPr>
        <w:t>万元，属于</w:t>
      </w:r>
      <w:r>
        <w:rPr>
          <w:rFonts w:eastAsia="仿宋"/>
          <w:color w:val="auto"/>
          <w:kern w:val="0"/>
          <w:sz w:val="24"/>
          <w:highlight w:val="none"/>
          <w:u w:val="single"/>
        </w:rPr>
        <w:t>（中型企业</w:t>
      </w:r>
      <w:r>
        <w:rPr>
          <w:rFonts w:hint="eastAsia" w:eastAsia="仿宋"/>
          <w:color w:val="auto"/>
          <w:kern w:val="0"/>
          <w:sz w:val="24"/>
          <w:highlight w:val="none"/>
          <w:u w:val="single"/>
        </w:rPr>
        <w:t>或</w:t>
      </w:r>
      <w:r>
        <w:rPr>
          <w:rFonts w:eastAsia="仿宋"/>
          <w:color w:val="auto"/>
          <w:w w:val="96"/>
          <w:kern w:val="0"/>
          <w:sz w:val="24"/>
          <w:highlight w:val="none"/>
          <w:u w:val="single"/>
        </w:rPr>
        <w:t>小型企业</w:t>
      </w:r>
      <w:r>
        <w:rPr>
          <w:rFonts w:hint="eastAsia" w:eastAsia="仿宋"/>
          <w:color w:val="auto"/>
          <w:w w:val="96"/>
          <w:kern w:val="0"/>
          <w:sz w:val="24"/>
          <w:highlight w:val="none"/>
          <w:u w:val="single"/>
        </w:rPr>
        <w:t>或</w:t>
      </w:r>
      <w:r>
        <w:rPr>
          <w:rFonts w:eastAsia="仿宋"/>
          <w:color w:val="auto"/>
          <w:w w:val="96"/>
          <w:kern w:val="0"/>
          <w:sz w:val="24"/>
          <w:highlight w:val="none"/>
          <w:u w:val="single"/>
        </w:rPr>
        <w:t>微型企业）</w:t>
      </w:r>
      <w:r>
        <w:rPr>
          <w:color w:val="auto"/>
          <w:w w:val="99"/>
          <w:kern w:val="0"/>
          <w:sz w:val="24"/>
          <w:highlight w:val="none"/>
        </w:rPr>
        <w:t>。</w:t>
      </w:r>
    </w:p>
    <w:p w14:paraId="638E70FF">
      <w:pPr>
        <w:tabs>
          <w:tab w:val="left" w:pos="1243"/>
        </w:tabs>
        <w:autoSpaceDE w:val="0"/>
        <w:autoSpaceDN w:val="0"/>
        <w:spacing w:line="360" w:lineRule="auto"/>
        <w:ind w:firstLine="480" w:firstLineChars="200"/>
        <w:jc w:val="left"/>
        <w:rPr>
          <w:color w:val="auto"/>
          <w:w w:val="99"/>
          <w:kern w:val="0"/>
          <w:sz w:val="24"/>
          <w:highlight w:val="none"/>
        </w:rPr>
      </w:pPr>
      <w:r>
        <w:rPr>
          <w:rFonts w:hint="eastAsia" w:eastAsia="仿宋"/>
          <w:color w:val="auto"/>
          <w:kern w:val="0"/>
          <w:sz w:val="24"/>
          <w:highlight w:val="none"/>
        </w:rPr>
        <w:t>2.</w:t>
      </w:r>
      <w:r>
        <w:rPr>
          <w:rFonts w:eastAsia="仿宋"/>
          <w:color w:val="auto"/>
          <w:kern w:val="0"/>
          <w:sz w:val="24"/>
          <w:highlight w:val="none"/>
          <w:u w:val="single"/>
        </w:rPr>
        <w:t>（标的名称）</w:t>
      </w:r>
      <w:r>
        <w:rPr>
          <w:color w:val="auto"/>
          <w:sz w:val="24"/>
          <w:highlight w:val="none"/>
        </w:rPr>
        <w:t>，属</w:t>
      </w:r>
      <w:r>
        <w:rPr>
          <w:rFonts w:hint="eastAsia"/>
          <w:color w:val="auto"/>
          <w:sz w:val="24"/>
          <w:highlight w:val="none"/>
        </w:rPr>
        <w:t xml:space="preserve"> </w:t>
      </w:r>
      <w:r>
        <w:rPr>
          <w:rFonts w:hint="eastAsia" w:eastAsia="仿宋"/>
          <w:color w:val="auto"/>
          <w:kern w:val="0"/>
          <w:sz w:val="24"/>
          <w:highlight w:val="none"/>
          <w:u w:val="single"/>
        </w:rPr>
        <w:t>其他未列明行业</w:t>
      </w:r>
      <w:r>
        <w:rPr>
          <w:rFonts w:hint="eastAsia"/>
          <w:color w:val="auto"/>
          <w:sz w:val="24"/>
          <w:highlight w:val="none"/>
          <w:u w:val="single"/>
        </w:rPr>
        <w:t xml:space="preserve"> </w:t>
      </w:r>
      <w:r>
        <w:rPr>
          <w:color w:val="auto"/>
          <w:w w:val="99"/>
          <w:kern w:val="0"/>
          <w:sz w:val="24"/>
          <w:highlight w:val="none"/>
        </w:rPr>
        <w:t>；</w:t>
      </w:r>
      <w:r>
        <w:rPr>
          <w:rFonts w:hint="eastAsia"/>
          <w:color w:val="auto"/>
          <w:sz w:val="24"/>
          <w:highlight w:val="none"/>
        </w:rPr>
        <w:t>承接企业</w:t>
      </w:r>
      <w:r>
        <w:rPr>
          <w:color w:val="auto"/>
          <w:sz w:val="24"/>
          <w:highlight w:val="none"/>
        </w:rPr>
        <w:t>为</w:t>
      </w:r>
      <w:r>
        <w:rPr>
          <w:rFonts w:eastAsia="仿宋"/>
          <w:color w:val="auto"/>
          <w:kern w:val="0"/>
          <w:sz w:val="24"/>
          <w:highlight w:val="none"/>
          <w:u w:val="single"/>
        </w:rPr>
        <w:t>（企业名称）</w:t>
      </w:r>
      <w:r>
        <w:rPr>
          <w:color w:val="auto"/>
          <w:sz w:val="24"/>
          <w:highlight w:val="none"/>
        </w:rPr>
        <w:t>，从业人员</w:t>
      </w:r>
      <w:r>
        <w:rPr>
          <w:color w:val="auto"/>
          <w:kern w:val="0"/>
          <w:sz w:val="24"/>
          <w:highlight w:val="none"/>
          <w:u w:val="single"/>
        </w:rPr>
        <w:tab/>
      </w:r>
      <w:r>
        <w:rPr>
          <w:color w:val="auto"/>
          <w:kern w:val="0"/>
          <w:sz w:val="24"/>
          <w:highlight w:val="none"/>
          <w:u w:val="single"/>
        </w:rPr>
        <w:t xml:space="preserve">  </w:t>
      </w:r>
      <w:r>
        <w:rPr>
          <w:color w:val="auto"/>
          <w:sz w:val="24"/>
          <w:highlight w:val="none"/>
        </w:rPr>
        <w:t>人，营业收入为</w:t>
      </w:r>
      <w:r>
        <w:rPr>
          <w:rFonts w:hint="eastAsia"/>
          <w:color w:val="auto"/>
          <w:sz w:val="24"/>
          <w:highlight w:val="none"/>
          <w:u w:val="single"/>
        </w:rPr>
        <w:t xml:space="preserve"> </w:t>
      </w:r>
      <w:r>
        <w:rPr>
          <w:color w:val="auto"/>
          <w:sz w:val="24"/>
          <w:highlight w:val="none"/>
          <w:u w:val="single"/>
        </w:rPr>
        <w:t xml:space="preserve"> </w:t>
      </w:r>
      <w:r>
        <w:rPr>
          <w:color w:val="auto"/>
          <w:kern w:val="0"/>
          <w:sz w:val="24"/>
          <w:highlight w:val="none"/>
          <w:u w:val="single"/>
        </w:rPr>
        <w:tab/>
      </w:r>
      <w:r>
        <w:rPr>
          <w:color w:val="auto"/>
          <w:kern w:val="0"/>
          <w:sz w:val="24"/>
          <w:highlight w:val="none"/>
        </w:rPr>
        <w:t>万元，资产总额为</w:t>
      </w:r>
      <w:r>
        <w:rPr>
          <w:color w:val="auto"/>
          <w:kern w:val="0"/>
          <w:sz w:val="24"/>
          <w:highlight w:val="none"/>
          <w:u w:val="single"/>
        </w:rPr>
        <w:tab/>
      </w:r>
      <w:r>
        <w:rPr>
          <w:color w:val="auto"/>
          <w:kern w:val="0"/>
          <w:sz w:val="24"/>
          <w:highlight w:val="none"/>
          <w:u w:val="single"/>
        </w:rPr>
        <w:t xml:space="preserve">  </w:t>
      </w:r>
      <w:r>
        <w:rPr>
          <w:color w:val="auto"/>
          <w:kern w:val="0"/>
          <w:sz w:val="24"/>
          <w:highlight w:val="none"/>
        </w:rPr>
        <w:t>万元，属于</w:t>
      </w:r>
      <w:r>
        <w:rPr>
          <w:rFonts w:eastAsia="仿宋"/>
          <w:color w:val="auto"/>
          <w:kern w:val="0"/>
          <w:sz w:val="24"/>
          <w:highlight w:val="none"/>
          <w:u w:val="single"/>
        </w:rPr>
        <w:t>（中型企业</w:t>
      </w:r>
      <w:r>
        <w:rPr>
          <w:rFonts w:hint="eastAsia" w:eastAsia="仿宋"/>
          <w:color w:val="auto"/>
          <w:kern w:val="0"/>
          <w:sz w:val="24"/>
          <w:highlight w:val="none"/>
          <w:u w:val="single"/>
        </w:rPr>
        <w:t>或</w:t>
      </w:r>
      <w:r>
        <w:rPr>
          <w:rFonts w:eastAsia="仿宋"/>
          <w:color w:val="auto"/>
          <w:w w:val="96"/>
          <w:kern w:val="0"/>
          <w:sz w:val="24"/>
          <w:highlight w:val="none"/>
          <w:u w:val="single"/>
        </w:rPr>
        <w:t>小型企业</w:t>
      </w:r>
      <w:r>
        <w:rPr>
          <w:rFonts w:hint="eastAsia" w:eastAsia="仿宋"/>
          <w:color w:val="auto"/>
          <w:w w:val="96"/>
          <w:kern w:val="0"/>
          <w:sz w:val="24"/>
          <w:highlight w:val="none"/>
          <w:u w:val="single"/>
        </w:rPr>
        <w:t>或</w:t>
      </w:r>
      <w:r>
        <w:rPr>
          <w:rFonts w:eastAsia="仿宋"/>
          <w:color w:val="auto"/>
          <w:w w:val="96"/>
          <w:kern w:val="0"/>
          <w:sz w:val="24"/>
          <w:highlight w:val="none"/>
          <w:u w:val="single"/>
        </w:rPr>
        <w:t>微型企业）</w:t>
      </w:r>
      <w:r>
        <w:rPr>
          <w:color w:val="auto"/>
          <w:w w:val="99"/>
          <w:kern w:val="0"/>
          <w:sz w:val="24"/>
          <w:highlight w:val="none"/>
        </w:rPr>
        <w:t>。</w:t>
      </w:r>
    </w:p>
    <w:p w14:paraId="6A91DB26">
      <w:pPr>
        <w:tabs>
          <w:tab w:val="left" w:pos="1243"/>
        </w:tabs>
        <w:autoSpaceDE w:val="0"/>
        <w:autoSpaceDN w:val="0"/>
        <w:spacing w:line="360" w:lineRule="auto"/>
        <w:ind w:firstLine="480" w:firstLineChars="200"/>
        <w:jc w:val="left"/>
        <w:rPr>
          <w:color w:val="auto"/>
          <w:sz w:val="24"/>
          <w:highlight w:val="none"/>
        </w:rPr>
      </w:pPr>
      <w:r>
        <w:rPr>
          <w:rFonts w:hint="eastAsia"/>
          <w:color w:val="auto"/>
          <w:sz w:val="24"/>
          <w:highlight w:val="none"/>
        </w:rPr>
        <w:t>……</w:t>
      </w:r>
    </w:p>
    <w:p w14:paraId="78912BF3">
      <w:pPr>
        <w:autoSpaceDE w:val="0"/>
        <w:autoSpaceDN w:val="0"/>
        <w:spacing w:line="360" w:lineRule="auto"/>
        <w:ind w:firstLine="480" w:firstLineChars="200"/>
        <w:jc w:val="left"/>
        <w:rPr>
          <w:color w:val="auto"/>
          <w:sz w:val="24"/>
          <w:highlight w:val="none"/>
        </w:rPr>
      </w:pPr>
      <w:r>
        <w:rPr>
          <w:color w:val="auto"/>
          <w:sz w:val="24"/>
          <w:highlight w:val="none"/>
        </w:rPr>
        <w:t>以上企业不属于大企业的分支机构，不存在控股股东为大企业的情形，也不存在与大企业的负责人为同一人的情形。</w:t>
      </w:r>
    </w:p>
    <w:p w14:paraId="744FFFBC">
      <w:pPr>
        <w:autoSpaceDE w:val="0"/>
        <w:autoSpaceDN w:val="0"/>
        <w:spacing w:line="360" w:lineRule="auto"/>
        <w:ind w:firstLine="480" w:firstLineChars="200"/>
        <w:jc w:val="left"/>
        <w:rPr>
          <w:color w:val="auto"/>
          <w:sz w:val="24"/>
          <w:highlight w:val="none"/>
        </w:rPr>
      </w:pPr>
      <w:r>
        <w:rPr>
          <w:color w:val="auto"/>
          <w:sz w:val="24"/>
          <w:highlight w:val="none"/>
        </w:rPr>
        <w:t>本企业对上述声明内容的真实性负责。如有虚假，将依法承担相应责任。</w:t>
      </w:r>
    </w:p>
    <w:p w14:paraId="3C12D63E">
      <w:pPr>
        <w:autoSpaceDE w:val="0"/>
        <w:autoSpaceDN w:val="0"/>
        <w:spacing w:line="360" w:lineRule="auto"/>
        <w:ind w:firstLine="480" w:firstLineChars="200"/>
        <w:jc w:val="left"/>
        <w:rPr>
          <w:color w:val="auto"/>
          <w:sz w:val="24"/>
          <w:highlight w:val="none"/>
        </w:rPr>
      </w:pPr>
    </w:p>
    <w:p w14:paraId="39B1E79C">
      <w:pPr>
        <w:autoSpaceDE w:val="0"/>
        <w:autoSpaceDN w:val="0"/>
        <w:spacing w:line="360" w:lineRule="auto"/>
        <w:ind w:firstLine="4320" w:firstLineChars="1800"/>
        <w:jc w:val="left"/>
        <w:rPr>
          <w:color w:val="auto"/>
          <w:sz w:val="24"/>
          <w:highlight w:val="none"/>
        </w:rPr>
      </w:pPr>
      <w:r>
        <w:rPr>
          <w:color w:val="auto"/>
          <w:sz w:val="24"/>
          <w:highlight w:val="none"/>
        </w:rPr>
        <w:t>企业名称（盖章）：</w:t>
      </w:r>
    </w:p>
    <w:p w14:paraId="790F1267">
      <w:pPr>
        <w:autoSpaceDE w:val="0"/>
        <w:autoSpaceDN w:val="0"/>
        <w:spacing w:line="360" w:lineRule="auto"/>
        <w:ind w:firstLine="4320" w:firstLineChars="1800"/>
        <w:jc w:val="left"/>
        <w:rPr>
          <w:color w:val="auto"/>
          <w:sz w:val="24"/>
          <w:highlight w:val="none"/>
        </w:rPr>
      </w:pPr>
      <w:r>
        <w:rPr>
          <w:color w:val="auto"/>
          <w:sz w:val="24"/>
          <w:highlight w:val="none"/>
        </w:rPr>
        <w:t>日期：</w:t>
      </w:r>
    </w:p>
    <w:p w14:paraId="5241E53D">
      <w:pPr>
        <w:autoSpaceDE w:val="0"/>
        <w:autoSpaceDN w:val="0"/>
        <w:spacing w:line="360" w:lineRule="auto"/>
        <w:ind w:firstLine="480" w:firstLineChars="200"/>
        <w:jc w:val="left"/>
        <w:rPr>
          <w:color w:val="auto"/>
          <w:sz w:val="24"/>
          <w:highlight w:val="none"/>
        </w:rPr>
      </w:pPr>
    </w:p>
    <w:p w14:paraId="45043DAF">
      <w:pPr>
        <w:spacing w:after="120"/>
        <w:ind w:left="420" w:leftChars="200" w:firstLine="420" w:firstLineChars="200"/>
        <w:rPr>
          <w:color w:val="auto"/>
          <w:highlight w:val="none"/>
        </w:rPr>
      </w:pPr>
    </w:p>
    <w:p w14:paraId="4EBF4B53">
      <w:pPr>
        <w:autoSpaceDE w:val="0"/>
        <w:autoSpaceDN w:val="0"/>
        <w:spacing w:line="360" w:lineRule="auto"/>
        <w:ind w:firstLine="420" w:firstLineChars="200"/>
        <w:jc w:val="left"/>
        <w:rPr>
          <w:color w:val="auto"/>
          <w:sz w:val="24"/>
          <w:highlight w:val="none"/>
        </w:rPr>
      </w:pPr>
      <w:r>
        <w:rPr>
          <w:color w:val="auto"/>
          <w:highlight w:val="none"/>
        </w:rPr>
        <w:t>注</w:t>
      </w:r>
      <w:r>
        <w:rPr>
          <w:color w:val="auto"/>
          <w:sz w:val="24"/>
          <w:highlight w:val="none"/>
        </w:rPr>
        <w:t>：</w:t>
      </w:r>
      <w:r>
        <w:rPr>
          <w:rFonts w:hint="eastAsia"/>
          <w:color w:val="auto"/>
          <w:sz w:val="24"/>
          <w:highlight w:val="none"/>
        </w:rPr>
        <w:t>1、</w:t>
      </w:r>
      <w:r>
        <w:rPr>
          <w:color w:val="auto"/>
          <w:sz w:val="24"/>
          <w:highlight w:val="none"/>
        </w:rPr>
        <w:t>企业划分详见《工业和信息化部、国家统计局、国家发展和改革委员会、财政部关于印发中小企业划型标准规定的通知》(工信部联企业[2011]300号)规定的划分标准</w:t>
      </w:r>
      <w:r>
        <w:rPr>
          <w:rFonts w:hint="eastAsia"/>
          <w:color w:val="auto"/>
          <w:sz w:val="24"/>
          <w:highlight w:val="none"/>
        </w:rPr>
        <w:t>，其他未列明行业：从业人员300人以下的为中小微型企业。其中，从业人员100人及以上的为中型企业;从业人员10人及以上的为小型企业;从业人员10人以下的为微型企业。</w:t>
      </w:r>
    </w:p>
    <w:p w14:paraId="1BB98672">
      <w:pPr>
        <w:autoSpaceDE w:val="0"/>
        <w:autoSpaceDN w:val="0"/>
        <w:spacing w:line="360" w:lineRule="auto"/>
        <w:ind w:firstLine="480" w:firstLineChars="200"/>
        <w:jc w:val="left"/>
        <w:rPr>
          <w:color w:val="auto"/>
          <w:sz w:val="24"/>
          <w:highlight w:val="none"/>
        </w:rPr>
      </w:pPr>
      <w:r>
        <w:rPr>
          <w:rFonts w:hint="eastAsia"/>
          <w:color w:val="auto"/>
          <w:sz w:val="24"/>
          <w:highlight w:val="none"/>
        </w:rPr>
        <w:t>2、从业人员、营业收入、资产总额填报上一年度数据，无上一年度数据的新成立企业可不填报。</w:t>
      </w:r>
    </w:p>
    <w:p w14:paraId="37678E58">
      <w:pPr>
        <w:tabs>
          <w:tab w:val="left" w:pos="2020"/>
          <w:tab w:val="center" w:pos="4535"/>
        </w:tabs>
        <w:spacing w:line="520" w:lineRule="exact"/>
        <w:ind w:firstLine="320" w:firstLineChars="100"/>
        <w:jc w:val="right"/>
        <w:rPr>
          <w:rFonts w:ascii="宋体" w:hAnsi="宋体" w:cs="宋体"/>
          <w:color w:val="auto"/>
          <w:sz w:val="24"/>
          <w:highlight w:val="none"/>
        </w:rPr>
      </w:pPr>
      <w:r>
        <w:rPr>
          <w:rFonts w:eastAsia="黑体"/>
          <w:b/>
          <w:color w:val="auto"/>
          <w:sz w:val="32"/>
          <w:szCs w:val="32"/>
          <w:highlight w:val="none"/>
        </w:rPr>
        <w:br w:type="page"/>
      </w:r>
    </w:p>
    <w:p w14:paraId="1ACC9206">
      <w:pPr>
        <w:spacing w:line="360" w:lineRule="auto"/>
        <w:jc w:val="center"/>
        <w:rPr>
          <w:rStyle w:val="79"/>
          <w:rFonts w:ascii="Times New Roman" w:hAnsi="Times New Roman" w:cs="Times New Roman"/>
          <w:color w:val="auto"/>
          <w:sz w:val="28"/>
          <w:szCs w:val="28"/>
          <w:highlight w:val="none"/>
        </w:rPr>
      </w:pPr>
      <w:r>
        <w:rPr>
          <w:rStyle w:val="79"/>
          <w:rFonts w:hint="eastAsia" w:cs="Times New Roman"/>
          <w:color w:val="auto"/>
          <w:sz w:val="28"/>
          <w:szCs w:val="28"/>
          <w:highlight w:val="none"/>
          <w:lang w:val="en-US" w:eastAsia="zh-CN"/>
        </w:rPr>
        <w:t>七</w:t>
      </w:r>
      <w:r>
        <w:rPr>
          <w:rStyle w:val="79"/>
          <w:rFonts w:hint="eastAsia" w:ascii="Times New Roman" w:hAnsi="Times New Roman" w:cs="Times New Roman"/>
          <w:color w:val="auto"/>
          <w:sz w:val="28"/>
          <w:szCs w:val="28"/>
          <w:highlight w:val="none"/>
        </w:rPr>
        <w:t>、残疾人福利性单位声明函</w:t>
      </w:r>
    </w:p>
    <w:p w14:paraId="350AB1AB">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color w:val="auto"/>
          <w:sz w:val="24"/>
          <w:highlight w:val="none"/>
          <w:u w:val="single"/>
        </w:rPr>
        <w:t xml:space="preserve">               </w:t>
      </w:r>
      <w:r>
        <w:rPr>
          <w:rFonts w:hint="eastAsia" w:ascii="宋体" w:hAnsi="宋体"/>
          <w:color w:val="auto"/>
          <w:sz w:val="24"/>
          <w:highlight w:val="none"/>
        </w:rPr>
        <w:t>项目采购活动提供服务。</w:t>
      </w:r>
    </w:p>
    <w:p w14:paraId="764EBD84">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45C96D56">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（备注：中标供应商为残疾人福利单位的，此声明函将随中标结果同时公告，接受社会监督）</w:t>
      </w:r>
    </w:p>
    <w:p w14:paraId="5B7443CC">
      <w:pPr>
        <w:spacing w:line="588" w:lineRule="exact"/>
        <w:ind w:firstLine="504" w:firstLineChars="200"/>
        <w:rPr>
          <w:rFonts w:ascii="仿宋_GB2312" w:eastAsia="仿宋_GB2312"/>
          <w:color w:val="auto"/>
          <w:spacing w:val="6"/>
          <w:sz w:val="24"/>
          <w:highlight w:val="none"/>
        </w:rPr>
      </w:pPr>
    </w:p>
    <w:p w14:paraId="1659D4DC">
      <w:pPr>
        <w:spacing w:line="588" w:lineRule="exact"/>
        <w:ind w:firstLine="504" w:firstLineChars="200"/>
        <w:rPr>
          <w:rFonts w:ascii="仿宋_GB2312" w:eastAsia="仿宋_GB2312"/>
          <w:color w:val="auto"/>
          <w:spacing w:val="6"/>
          <w:sz w:val="24"/>
          <w:highlight w:val="none"/>
        </w:rPr>
      </w:pPr>
    </w:p>
    <w:p w14:paraId="0F47B70B">
      <w:pPr>
        <w:spacing w:line="588" w:lineRule="exact"/>
        <w:ind w:firstLine="504" w:firstLineChars="200"/>
        <w:rPr>
          <w:rFonts w:ascii="仿宋_GB2312" w:eastAsia="仿宋_GB2312"/>
          <w:color w:val="auto"/>
          <w:spacing w:val="6"/>
          <w:sz w:val="24"/>
          <w:highlight w:val="none"/>
        </w:rPr>
      </w:pPr>
    </w:p>
    <w:p w14:paraId="4D45E089">
      <w:pPr>
        <w:spacing w:line="588" w:lineRule="exact"/>
        <w:ind w:firstLine="504" w:firstLineChars="200"/>
        <w:rPr>
          <w:rFonts w:ascii="仿宋_GB2312" w:eastAsia="仿宋_GB2312"/>
          <w:color w:val="auto"/>
          <w:spacing w:val="6"/>
          <w:sz w:val="24"/>
          <w:highlight w:val="none"/>
        </w:rPr>
      </w:pPr>
    </w:p>
    <w:p w14:paraId="0CC3C2D0">
      <w:pPr>
        <w:tabs>
          <w:tab w:val="left" w:pos="4860"/>
        </w:tabs>
        <w:spacing w:line="588" w:lineRule="exact"/>
        <w:ind w:right="1560" w:firstLine="504" w:firstLineChars="200"/>
        <w:jc w:val="center"/>
        <w:rPr>
          <w:rFonts w:ascii="宋体" w:hAnsi="宋体"/>
          <w:color w:val="auto"/>
          <w:sz w:val="24"/>
          <w:highlight w:val="none"/>
        </w:rPr>
      </w:pPr>
      <w:r>
        <w:rPr>
          <w:rFonts w:hint="eastAsia" w:ascii="仿宋_GB2312" w:eastAsia="仿宋_GB2312"/>
          <w:color w:val="auto"/>
          <w:spacing w:val="6"/>
          <w:sz w:val="24"/>
          <w:highlight w:val="none"/>
        </w:rPr>
        <w:t xml:space="preserve">             </w:t>
      </w:r>
      <w:r>
        <w:rPr>
          <w:rFonts w:hint="eastAsia" w:ascii="宋体" w:hAnsi="宋体"/>
          <w:color w:val="auto"/>
          <w:sz w:val="24"/>
          <w:highlight w:val="none"/>
        </w:rPr>
        <w:t xml:space="preserve">           供应商全称（盖章）：</w:t>
      </w:r>
    </w:p>
    <w:p w14:paraId="4D154D46">
      <w:pPr>
        <w:tabs>
          <w:tab w:val="left" w:pos="4860"/>
        </w:tabs>
        <w:spacing w:line="588" w:lineRule="exact"/>
        <w:ind w:right="1560" w:firstLine="480" w:firstLineChars="200"/>
        <w:jc w:val="center"/>
        <w:rPr>
          <w:rFonts w:ascii="宋体" w:hAnsi="宋体"/>
          <w:color w:val="auto"/>
          <w:sz w:val="24"/>
          <w:highlight w:val="none"/>
        </w:rPr>
      </w:pPr>
      <w:r>
        <w:rPr>
          <w:rFonts w:hint="eastAsia" w:ascii="宋体" w:hAnsi="宋体"/>
          <w:color w:val="auto"/>
          <w:sz w:val="24"/>
          <w:highlight w:val="none"/>
        </w:rPr>
        <w:t xml:space="preserve">              日  期：</w:t>
      </w:r>
    </w:p>
    <w:p w14:paraId="45425A9C">
      <w:pPr>
        <w:ind w:firstLine="420"/>
        <w:rPr>
          <w:rFonts w:ascii="仿宋_GB2312" w:hAnsi="宋体" w:eastAsia="仿宋_GB2312"/>
          <w:color w:val="auto"/>
          <w:sz w:val="28"/>
          <w:szCs w:val="28"/>
          <w:highlight w:val="none"/>
        </w:rPr>
      </w:pPr>
    </w:p>
    <w:p w14:paraId="1D9AE6E5">
      <w:pPr>
        <w:snapToGrid w:val="0"/>
        <w:spacing w:line="300" w:lineRule="auto"/>
        <w:outlineLvl w:val="0"/>
        <w:rPr>
          <w:color w:val="auto"/>
          <w:sz w:val="28"/>
          <w:szCs w:val="28"/>
          <w:highlight w:val="none"/>
        </w:rPr>
      </w:pPr>
    </w:p>
    <w:p w14:paraId="5A9898F6">
      <w:pPr>
        <w:autoSpaceDE w:val="0"/>
        <w:autoSpaceDN w:val="0"/>
        <w:spacing w:line="360" w:lineRule="auto"/>
        <w:jc w:val="left"/>
        <w:rPr>
          <w:rFonts w:ascii="宋体" w:hAnsi="宋体"/>
          <w:color w:val="auto"/>
          <w:sz w:val="28"/>
          <w:szCs w:val="28"/>
          <w:highlight w:val="none"/>
        </w:rPr>
      </w:pPr>
      <w:r>
        <w:rPr>
          <w:rFonts w:hint="eastAsia"/>
          <w:color w:val="auto"/>
          <w:sz w:val="24"/>
          <w:highlight w:val="none"/>
        </w:rPr>
        <w:t>注：非残疾人福利性单位的无需提供“残疾人福利性单位声明函”</w:t>
      </w:r>
    </w:p>
    <w:p w14:paraId="2B30F0EE">
      <w:pPr>
        <w:snapToGrid w:val="0"/>
        <w:spacing w:line="300" w:lineRule="auto"/>
        <w:outlineLvl w:val="0"/>
        <w:rPr>
          <w:color w:val="auto"/>
          <w:sz w:val="28"/>
          <w:szCs w:val="28"/>
          <w:highlight w:val="none"/>
        </w:rPr>
      </w:pPr>
    </w:p>
    <w:p w14:paraId="0F97B2F4">
      <w:pPr>
        <w:snapToGrid w:val="0"/>
        <w:spacing w:line="300" w:lineRule="auto"/>
        <w:outlineLvl w:val="0"/>
        <w:rPr>
          <w:color w:val="auto"/>
          <w:sz w:val="28"/>
          <w:szCs w:val="28"/>
          <w:highlight w:val="none"/>
        </w:rPr>
      </w:pPr>
    </w:p>
    <w:p w14:paraId="49B901F9">
      <w:pPr>
        <w:snapToGrid w:val="0"/>
        <w:spacing w:line="300" w:lineRule="auto"/>
        <w:outlineLvl w:val="0"/>
        <w:rPr>
          <w:color w:val="auto"/>
          <w:sz w:val="28"/>
          <w:szCs w:val="28"/>
          <w:highlight w:val="none"/>
        </w:rPr>
      </w:pPr>
    </w:p>
    <w:p w14:paraId="598D844C">
      <w:pPr>
        <w:spacing w:line="360" w:lineRule="auto"/>
        <w:jc w:val="center"/>
        <w:rPr>
          <w:rStyle w:val="79"/>
          <w:rFonts w:ascii="Times New Roman" w:hAnsi="Times New Roman" w:cs="Times New Roman"/>
          <w:color w:val="auto"/>
          <w:sz w:val="28"/>
          <w:szCs w:val="28"/>
          <w:highlight w:val="none"/>
        </w:rPr>
      </w:pPr>
    </w:p>
    <w:p w14:paraId="25194575">
      <w:pPr>
        <w:spacing w:line="360" w:lineRule="auto"/>
        <w:jc w:val="center"/>
        <w:rPr>
          <w:rStyle w:val="79"/>
          <w:rFonts w:ascii="Times New Roman" w:hAnsi="Times New Roman" w:cs="Times New Roman"/>
          <w:color w:val="auto"/>
          <w:sz w:val="28"/>
          <w:szCs w:val="28"/>
          <w:highlight w:val="none"/>
        </w:rPr>
      </w:pPr>
    </w:p>
    <w:p w14:paraId="558A57EB">
      <w:pPr>
        <w:widowControl/>
        <w:jc w:val="left"/>
        <w:rPr>
          <w:rStyle w:val="79"/>
          <w:rFonts w:ascii="Times New Roman" w:hAnsi="Times New Roman" w:cs="Times New Roman"/>
          <w:color w:val="auto"/>
          <w:sz w:val="28"/>
          <w:szCs w:val="28"/>
          <w:highlight w:val="none"/>
        </w:rPr>
      </w:pPr>
      <w:r>
        <w:rPr>
          <w:rStyle w:val="79"/>
          <w:rFonts w:ascii="Times New Roman" w:hAnsi="Times New Roman" w:cs="Times New Roman"/>
          <w:color w:val="auto"/>
          <w:sz w:val="28"/>
          <w:szCs w:val="28"/>
          <w:highlight w:val="none"/>
        </w:rPr>
        <w:br w:type="page"/>
      </w:r>
    </w:p>
    <w:p w14:paraId="375BB7FA">
      <w:pPr>
        <w:spacing w:line="360" w:lineRule="auto"/>
        <w:jc w:val="center"/>
        <w:rPr>
          <w:rStyle w:val="79"/>
          <w:rFonts w:ascii="Times New Roman" w:hAnsi="Times New Roman" w:cs="Times New Roman"/>
          <w:color w:val="auto"/>
          <w:sz w:val="28"/>
          <w:szCs w:val="28"/>
          <w:highlight w:val="none"/>
        </w:rPr>
      </w:pPr>
      <w:r>
        <w:rPr>
          <w:rStyle w:val="79"/>
          <w:rFonts w:hint="eastAsia" w:cs="Times New Roman"/>
          <w:color w:val="auto"/>
          <w:sz w:val="28"/>
          <w:szCs w:val="28"/>
          <w:highlight w:val="none"/>
          <w:lang w:val="en-US" w:eastAsia="zh-CN"/>
        </w:rPr>
        <w:t>八</w:t>
      </w:r>
      <w:r>
        <w:rPr>
          <w:rStyle w:val="79"/>
          <w:rFonts w:hint="eastAsia" w:ascii="Times New Roman" w:hAnsi="Times New Roman" w:cs="Times New Roman"/>
          <w:color w:val="auto"/>
          <w:sz w:val="28"/>
          <w:szCs w:val="28"/>
          <w:highlight w:val="none"/>
        </w:rPr>
        <w:t>、监狱和戒毒企业证明材料</w:t>
      </w:r>
    </w:p>
    <w:p w14:paraId="54ADB0FC">
      <w:pPr>
        <w:snapToGrid w:val="0"/>
        <w:spacing w:line="420" w:lineRule="exact"/>
        <w:ind w:firstLine="495" w:firstLineChars="177"/>
        <w:rPr>
          <w:rFonts w:ascii="宋体" w:hAnsi="宋体" w:cs="宋体"/>
          <w:color w:val="auto"/>
          <w:sz w:val="28"/>
          <w:szCs w:val="28"/>
          <w:highlight w:val="none"/>
        </w:rPr>
      </w:pPr>
    </w:p>
    <w:p w14:paraId="266B921C">
      <w:pPr>
        <w:snapToGrid w:val="0"/>
        <w:spacing w:line="420" w:lineRule="exact"/>
        <w:ind w:firstLine="495" w:firstLineChars="177"/>
        <w:jc w:val="center"/>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07D0F87E">
      <w:pPr>
        <w:snapToGrid w:val="0"/>
        <w:spacing w:line="420" w:lineRule="exact"/>
        <w:ind w:firstLine="495" w:firstLineChars="177"/>
        <w:rPr>
          <w:rFonts w:ascii="宋体" w:hAnsi="宋体" w:cs="宋体"/>
          <w:color w:val="auto"/>
          <w:sz w:val="28"/>
          <w:szCs w:val="28"/>
          <w:highlight w:val="none"/>
        </w:rPr>
      </w:pPr>
    </w:p>
    <w:p w14:paraId="76D9B5B7">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91D1350">
      <w:pPr>
        <w:snapToGrid w:val="0"/>
        <w:spacing w:line="300" w:lineRule="auto"/>
        <w:outlineLvl w:val="0"/>
        <w:rPr>
          <w:color w:val="auto"/>
          <w:sz w:val="28"/>
          <w:szCs w:val="28"/>
          <w:highlight w:val="none"/>
        </w:rPr>
      </w:pPr>
    </w:p>
    <w:p w14:paraId="0B7A91D9">
      <w:pPr>
        <w:snapToGrid w:val="0"/>
        <w:spacing w:line="300" w:lineRule="auto"/>
        <w:outlineLvl w:val="0"/>
        <w:rPr>
          <w:color w:val="auto"/>
          <w:sz w:val="24"/>
          <w:highlight w:val="none"/>
        </w:rPr>
      </w:pPr>
    </w:p>
    <w:p w14:paraId="7839E4A1">
      <w:pPr>
        <w:autoSpaceDE w:val="0"/>
        <w:autoSpaceDN w:val="0"/>
        <w:spacing w:line="360" w:lineRule="auto"/>
        <w:jc w:val="left"/>
        <w:rPr>
          <w:color w:val="auto"/>
          <w:sz w:val="24"/>
          <w:highlight w:val="none"/>
        </w:rPr>
      </w:pPr>
      <w:r>
        <w:rPr>
          <w:rFonts w:hint="eastAsia"/>
          <w:color w:val="auto"/>
          <w:sz w:val="24"/>
          <w:highlight w:val="none"/>
        </w:rPr>
        <w:t>注：非监狱和戒毒企业的无需提供“监狱和戒毒企业证明材料”</w:t>
      </w:r>
    </w:p>
    <w:p w14:paraId="6004FA89">
      <w:pPr>
        <w:snapToGrid w:val="0"/>
        <w:spacing w:line="300" w:lineRule="auto"/>
        <w:outlineLvl w:val="0"/>
        <w:rPr>
          <w:color w:val="auto"/>
          <w:sz w:val="28"/>
          <w:szCs w:val="28"/>
          <w:highlight w:val="none"/>
        </w:rPr>
      </w:pPr>
    </w:p>
    <w:p w14:paraId="3A0C31F6">
      <w:pPr>
        <w:snapToGrid w:val="0"/>
        <w:spacing w:line="300" w:lineRule="auto"/>
        <w:outlineLvl w:val="0"/>
        <w:rPr>
          <w:color w:val="auto"/>
          <w:sz w:val="28"/>
          <w:szCs w:val="28"/>
          <w:highlight w:val="none"/>
        </w:rPr>
      </w:pPr>
    </w:p>
    <w:p w14:paraId="00E57C31">
      <w:pPr>
        <w:snapToGrid w:val="0"/>
        <w:spacing w:line="300" w:lineRule="auto"/>
        <w:outlineLvl w:val="0"/>
        <w:rPr>
          <w:color w:val="auto"/>
          <w:sz w:val="28"/>
          <w:szCs w:val="28"/>
          <w:highlight w:val="none"/>
        </w:rPr>
      </w:pPr>
    </w:p>
    <w:p w14:paraId="7EDA24C3">
      <w:pPr>
        <w:snapToGrid w:val="0"/>
        <w:spacing w:line="300" w:lineRule="auto"/>
        <w:outlineLvl w:val="0"/>
        <w:rPr>
          <w:color w:val="auto"/>
          <w:sz w:val="28"/>
          <w:szCs w:val="28"/>
          <w:highlight w:val="none"/>
        </w:rPr>
      </w:pPr>
    </w:p>
    <w:p w14:paraId="11C13931">
      <w:pPr>
        <w:snapToGrid w:val="0"/>
        <w:spacing w:line="300" w:lineRule="auto"/>
        <w:outlineLvl w:val="0"/>
        <w:rPr>
          <w:color w:val="auto"/>
          <w:sz w:val="28"/>
          <w:szCs w:val="28"/>
          <w:highlight w:val="none"/>
        </w:rPr>
      </w:pPr>
    </w:p>
    <w:p w14:paraId="3CBBBE7B">
      <w:pPr>
        <w:snapToGrid w:val="0"/>
        <w:spacing w:line="300" w:lineRule="auto"/>
        <w:outlineLvl w:val="0"/>
        <w:rPr>
          <w:color w:val="auto"/>
          <w:sz w:val="28"/>
          <w:szCs w:val="28"/>
          <w:highlight w:val="none"/>
        </w:rPr>
      </w:pPr>
    </w:p>
    <w:p w14:paraId="09873893">
      <w:pPr>
        <w:snapToGrid w:val="0"/>
        <w:spacing w:line="300" w:lineRule="auto"/>
        <w:outlineLvl w:val="0"/>
        <w:rPr>
          <w:color w:val="auto"/>
          <w:sz w:val="28"/>
          <w:szCs w:val="28"/>
          <w:highlight w:val="none"/>
        </w:rPr>
      </w:pPr>
    </w:p>
    <w:p w14:paraId="2392023F">
      <w:pPr>
        <w:snapToGrid w:val="0"/>
        <w:spacing w:line="300" w:lineRule="auto"/>
        <w:outlineLvl w:val="0"/>
        <w:rPr>
          <w:color w:val="auto"/>
          <w:sz w:val="28"/>
          <w:szCs w:val="28"/>
          <w:highlight w:val="none"/>
        </w:rPr>
      </w:pPr>
    </w:p>
    <w:p w14:paraId="336CF01F">
      <w:pPr>
        <w:snapToGrid w:val="0"/>
        <w:spacing w:line="300" w:lineRule="auto"/>
        <w:outlineLvl w:val="0"/>
        <w:rPr>
          <w:color w:val="auto"/>
          <w:sz w:val="28"/>
          <w:szCs w:val="28"/>
          <w:highlight w:val="none"/>
        </w:rPr>
      </w:pPr>
    </w:p>
    <w:p w14:paraId="7544A8CE">
      <w:pPr>
        <w:snapToGrid w:val="0"/>
        <w:spacing w:line="300" w:lineRule="auto"/>
        <w:outlineLvl w:val="0"/>
        <w:rPr>
          <w:color w:val="auto"/>
          <w:sz w:val="28"/>
          <w:szCs w:val="28"/>
          <w:highlight w:val="none"/>
        </w:rPr>
      </w:pPr>
    </w:p>
    <w:p w14:paraId="660CD4FB">
      <w:pPr>
        <w:snapToGrid w:val="0"/>
        <w:spacing w:line="300" w:lineRule="auto"/>
        <w:outlineLvl w:val="0"/>
        <w:rPr>
          <w:color w:val="auto"/>
          <w:sz w:val="28"/>
          <w:szCs w:val="28"/>
          <w:highlight w:val="none"/>
        </w:rPr>
      </w:pPr>
    </w:p>
    <w:p w14:paraId="15537BA0">
      <w:pPr>
        <w:snapToGrid w:val="0"/>
        <w:spacing w:line="300" w:lineRule="auto"/>
        <w:outlineLvl w:val="0"/>
        <w:rPr>
          <w:color w:val="auto"/>
          <w:sz w:val="28"/>
          <w:szCs w:val="28"/>
          <w:highlight w:val="none"/>
        </w:rPr>
      </w:pPr>
    </w:p>
    <w:p w14:paraId="3EBA65D1">
      <w:pPr>
        <w:pStyle w:val="62"/>
        <w:ind w:firstLine="280"/>
        <w:rPr>
          <w:color w:val="auto"/>
          <w:highlight w:val="none"/>
        </w:rPr>
      </w:pPr>
    </w:p>
    <w:p w14:paraId="0FE0E1B7">
      <w:pPr>
        <w:pStyle w:val="62"/>
        <w:ind w:firstLine="280"/>
        <w:rPr>
          <w:color w:val="auto"/>
          <w:highlight w:val="none"/>
        </w:rPr>
      </w:pPr>
      <w:r>
        <w:rPr>
          <w:color w:val="auto"/>
          <w:kern w:val="0"/>
          <w:highlight w:val="none"/>
        </w:rPr>
        <w:br w:type="page"/>
      </w:r>
    </w:p>
    <w:p w14:paraId="3AD2F9D7">
      <w:pPr>
        <w:spacing w:line="360" w:lineRule="auto"/>
        <w:jc w:val="center"/>
        <w:rPr>
          <w:rFonts w:ascii="宋体"/>
          <w:color w:val="auto"/>
          <w:highlight w:val="none"/>
        </w:rPr>
      </w:pPr>
      <w:r>
        <w:rPr>
          <w:rFonts w:hint="eastAsia" w:ascii="宋体" w:hAnsi="宋体"/>
          <w:b/>
          <w:bCs/>
          <w:color w:val="auto"/>
          <w:sz w:val="28"/>
          <w:szCs w:val="28"/>
          <w:highlight w:val="none"/>
          <w:lang w:val="en-US" w:eastAsia="zh-CN"/>
        </w:rPr>
        <w:t>九</w:t>
      </w:r>
      <w:r>
        <w:rPr>
          <w:rFonts w:hint="eastAsia" w:ascii="宋体" w:hAnsi="宋体"/>
          <w:b/>
          <w:bCs/>
          <w:color w:val="auto"/>
          <w:sz w:val="28"/>
          <w:szCs w:val="28"/>
          <w:highlight w:val="none"/>
        </w:rPr>
        <w:t>、应附的其他材料</w:t>
      </w:r>
    </w:p>
    <w:p w14:paraId="275956FF">
      <w:pPr>
        <w:tabs>
          <w:tab w:val="left" w:pos="2020"/>
          <w:tab w:val="center" w:pos="4535"/>
        </w:tabs>
        <w:spacing w:line="400" w:lineRule="exact"/>
        <w:ind w:firstLine="210" w:firstLineChars="100"/>
        <w:rPr>
          <w:rFonts w:ascii="宋体" w:hAnsi="宋体"/>
          <w:color w:val="auto"/>
          <w:sz w:val="28"/>
          <w:szCs w:val="20"/>
          <w:highlight w:val="none"/>
        </w:rPr>
      </w:pPr>
      <w:r>
        <w:rPr>
          <w:rFonts w:ascii="宋体" w:hAnsi="宋体"/>
          <w:color w:val="auto"/>
          <w:highlight w:val="none"/>
        </w:rPr>
        <w:br w:type="page"/>
      </w:r>
      <w:r>
        <w:rPr>
          <w:rFonts w:hint="eastAsia" w:ascii="宋体" w:hAnsi="宋体"/>
          <w:color w:val="auto"/>
          <w:sz w:val="28"/>
          <w:szCs w:val="28"/>
          <w:highlight w:val="none"/>
        </w:rPr>
        <w:t>第二部分格式：</w:t>
      </w:r>
    </w:p>
    <w:p w14:paraId="34D35376">
      <w:pPr>
        <w:tabs>
          <w:tab w:val="left" w:pos="2020"/>
          <w:tab w:val="center" w:pos="4535"/>
        </w:tabs>
        <w:spacing w:line="400" w:lineRule="exact"/>
        <w:ind w:firstLine="280" w:firstLineChars="100"/>
        <w:rPr>
          <w:rFonts w:ascii="宋体" w:hAnsi="宋体"/>
          <w:color w:val="auto"/>
          <w:sz w:val="28"/>
          <w:szCs w:val="20"/>
          <w:highlight w:val="none"/>
        </w:rPr>
      </w:pPr>
    </w:p>
    <w:p w14:paraId="2ED309B4">
      <w:pPr>
        <w:tabs>
          <w:tab w:val="left" w:pos="159"/>
        </w:tabs>
        <w:rPr>
          <w:rFonts w:ascii="宋体" w:hAnsi="宋体"/>
          <w:color w:val="auto"/>
          <w:sz w:val="28"/>
          <w:szCs w:val="28"/>
          <w:highlight w:val="none"/>
        </w:rPr>
      </w:pPr>
    </w:p>
    <w:p w14:paraId="5AF8D924">
      <w:pPr>
        <w:spacing w:after="60" w:line="360" w:lineRule="auto"/>
        <w:jc w:val="center"/>
        <w:rPr>
          <w:rFonts w:ascii="宋体" w:hAnsi="宋体"/>
          <w:color w:val="auto"/>
          <w:szCs w:val="21"/>
          <w:highlight w:val="none"/>
        </w:rPr>
      </w:pP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69B56D85">
      <w:pPr>
        <w:spacing w:after="60" w:line="360" w:lineRule="auto"/>
        <w:jc w:val="center"/>
        <w:rPr>
          <w:rFonts w:ascii="宋体" w:hAnsi="宋体"/>
          <w:b/>
          <w:bCs/>
          <w:color w:val="auto"/>
          <w:sz w:val="44"/>
          <w:szCs w:val="44"/>
          <w:highlight w:val="none"/>
        </w:rPr>
      </w:pPr>
    </w:p>
    <w:p w14:paraId="381C2CC3">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7BAA6FB0">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（商务技术文件）</w:t>
      </w:r>
    </w:p>
    <w:p w14:paraId="135A9B70">
      <w:pPr>
        <w:spacing w:after="60"/>
        <w:jc w:val="center"/>
        <w:rPr>
          <w:rFonts w:ascii="宋体" w:hAnsi="宋体"/>
          <w:b/>
          <w:bCs/>
          <w:color w:val="auto"/>
          <w:sz w:val="72"/>
          <w:szCs w:val="72"/>
          <w:highlight w:val="none"/>
        </w:rPr>
      </w:pPr>
    </w:p>
    <w:p w14:paraId="789C0B51">
      <w:pPr>
        <w:spacing w:after="60"/>
        <w:jc w:val="center"/>
        <w:rPr>
          <w:rFonts w:ascii="宋体" w:hAnsi="宋体"/>
          <w:b/>
          <w:bCs/>
          <w:color w:val="auto"/>
          <w:sz w:val="72"/>
          <w:szCs w:val="72"/>
          <w:highlight w:val="none"/>
        </w:rPr>
      </w:pPr>
    </w:p>
    <w:p w14:paraId="4FC9DA09">
      <w:pPr>
        <w:spacing w:after="60"/>
        <w:jc w:val="center"/>
        <w:rPr>
          <w:rFonts w:ascii="宋体" w:hAnsi="宋体"/>
          <w:b/>
          <w:bCs/>
          <w:color w:val="auto"/>
          <w:sz w:val="72"/>
          <w:szCs w:val="72"/>
          <w:highlight w:val="none"/>
        </w:rPr>
      </w:pPr>
    </w:p>
    <w:p w14:paraId="02B9413F">
      <w:pPr>
        <w:tabs>
          <w:tab w:val="left" w:pos="2020"/>
          <w:tab w:val="center" w:pos="4535"/>
        </w:tabs>
        <w:spacing w:line="400" w:lineRule="exact"/>
        <w:ind w:firstLine="280" w:firstLineChars="100"/>
        <w:rPr>
          <w:rFonts w:ascii="宋体" w:hAnsi="宋体"/>
          <w:color w:val="auto"/>
          <w:sz w:val="28"/>
          <w:szCs w:val="20"/>
          <w:highlight w:val="none"/>
        </w:rPr>
      </w:pPr>
    </w:p>
    <w:p w14:paraId="30B364CA">
      <w:pPr>
        <w:tabs>
          <w:tab w:val="left" w:pos="2020"/>
          <w:tab w:val="center" w:pos="4535"/>
        </w:tabs>
        <w:spacing w:line="400" w:lineRule="exact"/>
        <w:ind w:firstLine="280" w:firstLineChars="100"/>
        <w:rPr>
          <w:rFonts w:ascii="宋体" w:hAnsi="宋体"/>
          <w:color w:val="auto"/>
          <w:sz w:val="28"/>
          <w:szCs w:val="20"/>
          <w:highlight w:val="none"/>
        </w:rPr>
      </w:pPr>
    </w:p>
    <w:p w14:paraId="1DC69711">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4EA5CF5B">
      <w:pPr>
        <w:ind w:left="1508" w:leftChars="171" w:hanging="1149" w:hangingChars="383"/>
        <w:rPr>
          <w:rFonts w:ascii="宋体" w:hAnsi="宋体"/>
          <w:b/>
          <w:color w:val="auto"/>
          <w:sz w:val="30"/>
          <w:szCs w:val="30"/>
          <w:highlight w:val="none"/>
        </w:rPr>
      </w:pPr>
    </w:p>
    <w:p w14:paraId="44ED0F38">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法定代表人（或委托授权代表）签字（或盖章）：</w:t>
      </w:r>
      <w:r>
        <w:rPr>
          <w:rFonts w:hint="eastAsia" w:ascii="宋体" w:hAnsi="宋体"/>
          <w:b/>
          <w:color w:val="auto"/>
          <w:sz w:val="30"/>
          <w:szCs w:val="30"/>
          <w:highlight w:val="none"/>
          <w:u w:val="single"/>
        </w:rPr>
        <w:t xml:space="preserve">                    </w:t>
      </w:r>
    </w:p>
    <w:p w14:paraId="0C51F937">
      <w:pPr>
        <w:spacing w:line="360" w:lineRule="auto"/>
        <w:ind w:firstLine="594" w:firstLineChars="198"/>
        <w:rPr>
          <w:rFonts w:ascii="宋体" w:hAnsi="宋体"/>
          <w:b/>
          <w:color w:val="auto"/>
          <w:sz w:val="30"/>
          <w:szCs w:val="30"/>
          <w:highlight w:val="none"/>
        </w:rPr>
      </w:pPr>
    </w:p>
    <w:p w14:paraId="3E8AF719">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68C8DF05">
      <w:pPr>
        <w:pStyle w:val="62"/>
        <w:ind w:firstLine="280"/>
        <w:rPr>
          <w:rFonts w:ascii="宋体" w:eastAsia="宋体" w:cs="宋体"/>
          <w:color w:val="auto"/>
          <w:sz w:val="24"/>
          <w:highlight w:val="none"/>
        </w:rPr>
      </w:pPr>
      <w:r>
        <w:rPr>
          <w:rFonts w:ascii="宋体" w:eastAsia="宋体"/>
          <w:color w:val="auto"/>
          <w:highlight w:val="none"/>
        </w:rPr>
        <w:br w:type="page"/>
      </w:r>
      <w:r>
        <w:rPr>
          <w:rFonts w:hint="eastAsia" w:ascii="宋体" w:eastAsia="宋体" w:cs="宋体"/>
          <w:color w:val="auto"/>
          <w:sz w:val="24"/>
          <w:highlight w:val="none"/>
        </w:rPr>
        <w:t>商务技术评分需要提供的材料（按评分顺序提供并自行拟定目录）</w:t>
      </w:r>
    </w:p>
    <w:p w14:paraId="10EE2CF9">
      <w:pPr>
        <w:tabs>
          <w:tab w:val="left" w:pos="1965"/>
        </w:tabs>
        <w:rPr>
          <w:rFonts w:ascii="宋体" w:hAnsi="宋体"/>
          <w:color w:val="auto"/>
          <w:sz w:val="28"/>
          <w:szCs w:val="28"/>
          <w:highlight w:val="none"/>
        </w:rPr>
      </w:pPr>
    </w:p>
    <w:p w14:paraId="0370695E">
      <w:pPr>
        <w:tabs>
          <w:tab w:val="left" w:pos="2020"/>
          <w:tab w:val="center" w:pos="4535"/>
        </w:tabs>
        <w:spacing w:line="400" w:lineRule="exact"/>
        <w:ind w:firstLine="280" w:firstLineChars="100"/>
        <w:rPr>
          <w:rFonts w:ascii="宋体" w:hAnsi="宋体"/>
          <w:color w:val="auto"/>
          <w:sz w:val="28"/>
          <w:szCs w:val="20"/>
          <w:highlight w:val="none"/>
        </w:rPr>
      </w:pPr>
    </w:p>
    <w:p w14:paraId="30E64C71">
      <w:pPr>
        <w:tabs>
          <w:tab w:val="left" w:pos="2020"/>
          <w:tab w:val="center" w:pos="4535"/>
        </w:tabs>
        <w:spacing w:line="400" w:lineRule="exact"/>
        <w:ind w:firstLine="280" w:firstLineChars="100"/>
        <w:rPr>
          <w:rFonts w:ascii="宋体" w:hAnsi="宋体"/>
          <w:color w:val="auto"/>
          <w:sz w:val="28"/>
          <w:szCs w:val="20"/>
          <w:highlight w:val="none"/>
        </w:rPr>
      </w:pPr>
    </w:p>
    <w:p w14:paraId="422CDC9C">
      <w:pPr>
        <w:tabs>
          <w:tab w:val="left" w:pos="159"/>
        </w:tabs>
        <w:rPr>
          <w:rFonts w:ascii="宋体" w:hAnsi="宋体"/>
          <w:color w:val="auto"/>
          <w:sz w:val="28"/>
          <w:szCs w:val="28"/>
          <w:highlight w:val="none"/>
        </w:rPr>
      </w:pPr>
    </w:p>
    <w:p w14:paraId="1B6C1201">
      <w:pPr>
        <w:pStyle w:val="62"/>
        <w:ind w:firstLine="280"/>
        <w:rPr>
          <w:color w:val="auto"/>
          <w:highlight w:val="none"/>
        </w:rPr>
      </w:pPr>
    </w:p>
    <w:p w14:paraId="287E3D6C">
      <w:pPr>
        <w:pStyle w:val="62"/>
        <w:ind w:firstLine="280"/>
        <w:rPr>
          <w:color w:val="auto"/>
          <w:highlight w:val="none"/>
        </w:rPr>
      </w:pPr>
    </w:p>
    <w:p w14:paraId="4A800274">
      <w:pPr>
        <w:pStyle w:val="62"/>
        <w:ind w:firstLine="280"/>
        <w:rPr>
          <w:color w:val="auto"/>
          <w:highlight w:val="none"/>
        </w:rPr>
      </w:pPr>
    </w:p>
    <w:p w14:paraId="0BB95141">
      <w:pPr>
        <w:pStyle w:val="62"/>
        <w:ind w:firstLine="280"/>
        <w:rPr>
          <w:color w:val="auto"/>
          <w:highlight w:val="none"/>
        </w:rPr>
      </w:pPr>
    </w:p>
    <w:p w14:paraId="0EA5EE69">
      <w:pPr>
        <w:pStyle w:val="62"/>
        <w:ind w:firstLine="280"/>
        <w:rPr>
          <w:color w:val="auto"/>
          <w:highlight w:val="none"/>
        </w:rPr>
      </w:pPr>
    </w:p>
    <w:p w14:paraId="27647478">
      <w:pPr>
        <w:pStyle w:val="62"/>
        <w:ind w:firstLine="280"/>
        <w:rPr>
          <w:color w:val="auto"/>
          <w:highlight w:val="none"/>
        </w:rPr>
      </w:pPr>
    </w:p>
    <w:p w14:paraId="73768FC8">
      <w:pPr>
        <w:pStyle w:val="62"/>
        <w:ind w:firstLine="280"/>
        <w:rPr>
          <w:color w:val="auto"/>
          <w:highlight w:val="none"/>
        </w:rPr>
      </w:pPr>
    </w:p>
    <w:p w14:paraId="41D4788D">
      <w:pPr>
        <w:pStyle w:val="62"/>
        <w:ind w:firstLine="280"/>
        <w:rPr>
          <w:color w:val="auto"/>
          <w:highlight w:val="none"/>
        </w:rPr>
      </w:pPr>
    </w:p>
    <w:p w14:paraId="4A04DA02">
      <w:pPr>
        <w:pStyle w:val="62"/>
        <w:ind w:firstLine="280"/>
        <w:rPr>
          <w:color w:val="auto"/>
          <w:highlight w:val="none"/>
        </w:rPr>
      </w:pPr>
    </w:p>
    <w:p w14:paraId="2959DC98">
      <w:pPr>
        <w:pStyle w:val="62"/>
        <w:ind w:firstLine="280"/>
        <w:rPr>
          <w:color w:val="auto"/>
          <w:highlight w:val="none"/>
        </w:rPr>
      </w:pPr>
    </w:p>
    <w:p w14:paraId="6FF0B295">
      <w:pPr>
        <w:pStyle w:val="62"/>
        <w:ind w:firstLine="280"/>
        <w:rPr>
          <w:color w:val="auto"/>
          <w:highlight w:val="none"/>
        </w:rPr>
      </w:pPr>
    </w:p>
    <w:p w14:paraId="76CAE7A4">
      <w:pPr>
        <w:pStyle w:val="62"/>
        <w:ind w:firstLine="280"/>
        <w:rPr>
          <w:color w:val="auto"/>
          <w:highlight w:val="none"/>
        </w:rPr>
      </w:pPr>
    </w:p>
    <w:p w14:paraId="46F950F2">
      <w:pPr>
        <w:pStyle w:val="62"/>
        <w:ind w:firstLine="280"/>
        <w:rPr>
          <w:color w:val="auto"/>
          <w:highlight w:val="none"/>
        </w:rPr>
      </w:pPr>
    </w:p>
    <w:p w14:paraId="7F995037">
      <w:pPr>
        <w:pStyle w:val="62"/>
        <w:ind w:firstLine="280"/>
        <w:rPr>
          <w:color w:val="auto"/>
          <w:highlight w:val="none"/>
        </w:rPr>
      </w:pPr>
    </w:p>
    <w:p w14:paraId="72978C8A">
      <w:pPr>
        <w:pStyle w:val="62"/>
        <w:ind w:firstLine="280"/>
        <w:rPr>
          <w:color w:val="auto"/>
          <w:highlight w:val="none"/>
        </w:rPr>
      </w:pPr>
    </w:p>
    <w:p w14:paraId="2B558B8C">
      <w:pPr>
        <w:pStyle w:val="62"/>
        <w:ind w:firstLine="280"/>
        <w:rPr>
          <w:color w:val="auto"/>
          <w:highlight w:val="none"/>
        </w:rPr>
      </w:pPr>
    </w:p>
    <w:p w14:paraId="10C8F851">
      <w:pPr>
        <w:pStyle w:val="62"/>
        <w:ind w:firstLine="280"/>
        <w:rPr>
          <w:color w:val="auto"/>
          <w:highlight w:val="none"/>
        </w:rPr>
      </w:pPr>
    </w:p>
    <w:p w14:paraId="700118CD">
      <w:pPr>
        <w:pStyle w:val="62"/>
        <w:ind w:firstLine="280"/>
        <w:rPr>
          <w:color w:val="auto"/>
          <w:highlight w:val="none"/>
        </w:rPr>
      </w:pPr>
    </w:p>
    <w:p w14:paraId="62014533">
      <w:pPr>
        <w:pStyle w:val="62"/>
        <w:ind w:firstLine="280"/>
        <w:rPr>
          <w:color w:val="auto"/>
          <w:highlight w:val="none"/>
        </w:rPr>
      </w:pPr>
    </w:p>
    <w:p w14:paraId="08B0992C">
      <w:pPr>
        <w:pStyle w:val="62"/>
        <w:ind w:firstLine="280"/>
        <w:rPr>
          <w:color w:val="auto"/>
          <w:highlight w:val="none"/>
        </w:rPr>
      </w:pPr>
    </w:p>
    <w:p w14:paraId="03E23911">
      <w:pPr>
        <w:pStyle w:val="62"/>
        <w:ind w:firstLine="280"/>
        <w:rPr>
          <w:color w:val="auto"/>
          <w:highlight w:val="none"/>
        </w:rPr>
      </w:pPr>
    </w:p>
    <w:p w14:paraId="0167365F">
      <w:pPr>
        <w:pStyle w:val="62"/>
        <w:ind w:firstLine="280"/>
        <w:rPr>
          <w:color w:val="auto"/>
          <w:highlight w:val="none"/>
        </w:rPr>
      </w:pPr>
    </w:p>
    <w:p w14:paraId="5C46F21F">
      <w:pPr>
        <w:tabs>
          <w:tab w:val="left" w:pos="1965"/>
        </w:tabs>
        <w:rPr>
          <w:rFonts w:ascii="宋体" w:hAnsi="宋体"/>
          <w:color w:val="auto"/>
          <w:sz w:val="28"/>
          <w:szCs w:val="28"/>
          <w:highlight w:val="none"/>
        </w:rPr>
      </w:pPr>
      <w:r>
        <w:rPr>
          <w:rFonts w:ascii="宋体" w:hAnsi="宋体"/>
          <w:b/>
          <w:color w:val="auto"/>
          <w:sz w:val="36"/>
          <w:szCs w:val="36"/>
          <w:highlight w:val="none"/>
        </w:rPr>
        <w:t xml:space="preserve"> </w:t>
      </w:r>
      <w:bookmarkStart w:id="33" w:name="_Toc425960677"/>
      <w:bookmarkStart w:id="34" w:name="_Toc420058377"/>
      <w:r>
        <w:rPr>
          <w:rFonts w:hint="eastAsia" w:ascii="宋体" w:hAnsi="宋体"/>
          <w:color w:val="auto"/>
          <w:sz w:val="28"/>
          <w:szCs w:val="28"/>
          <w:highlight w:val="none"/>
        </w:rPr>
        <w:t>第三部分格式：</w:t>
      </w:r>
    </w:p>
    <w:p w14:paraId="7F8746E0">
      <w:pPr>
        <w:tabs>
          <w:tab w:val="left" w:pos="2020"/>
          <w:tab w:val="center" w:pos="4535"/>
        </w:tabs>
        <w:spacing w:line="400" w:lineRule="exact"/>
        <w:ind w:firstLine="280" w:firstLineChars="100"/>
        <w:rPr>
          <w:rFonts w:ascii="宋体" w:hAnsi="宋体"/>
          <w:color w:val="auto"/>
          <w:sz w:val="28"/>
          <w:szCs w:val="20"/>
          <w:highlight w:val="none"/>
        </w:rPr>
      </w:pPr>
    </w:p>
    <w:p w14:paraId="7E50DC08">
      <w:pPr>
        <w:tabs>
          <w:tab w:val="left" w:pos="2020"/>
          <w:tab w:val="center" w:pos="4535"/>
        </w:tabs>
        <w:spacing w:line="400" w:lineRule="exact"/>
        <w:ind w:firstLine="280" w:firstLineChars="100"/>
        <w:rPr>
          <w:rFonts w:ascii="宋体" w:hAnsi="宋体"/>
          <w:color w:val="auto"/>
          <w:sz w:val="28"/>
          <w:szCs w:val="20"/>
          <w:highlight w:val="none"/>
        </w:rPr>
      </w:pPr>
    </w:p>
    <w:p w14:paraId="74B27418">
      <w:pPr>
        <w:tabs>
          <w:tab w:val="left" w:pos="159"/>
        </w:tabs>
        <w:rPr>
          <w:rFonts w:ascii="宋体" w:hAnsi="宋体"/>
          <w:color w:val="auto"/>
          <w:sz w:val="28"/>
          <w:szCs w:val="28"/>
          <w:highlight w:val="none"/>
        </w:rPr>
      </w:pPr>
    </w:p>
    <w:p w14:paraId="624B3669">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22B3B5EA">
      <w:pPr>
        <w:spacing w:after="60" w:line="360" w:lineRule="auto"/>
        <w:jc w:val="center"/>
        <w:rPr>
          <w:rFonts w:ascii="宋体" w:hAnsi="宋体"/>
          <w:b/>
          <w:bCs/>
          <w:color w:val="auto"/>
          <w:sz w:val="44"/>
          <w:szCs w:val="44"/>
          <w:highlight w:val="none"/>
        </w:rPr>
      </w:pPr>
    </w:p>
    <w:p w14:paraId="3F69DED8">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79BE74C7">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（价格文件）</w:t>
      </w:r>
    </w:p>
    <w:p w14:paraId="28547A9A">
      <w:pPr>
        <w:spacing w:after="60"/>
        <w:jc w:val="center"/>
        <w:rPr>
          <w:rFonts w:ascii="宋体" w:hAnsi="宋体"/>
          <w:b/>
          <w:bCs/>
          <w:color w:val="auto"/>
          <w:sz w:val="72"/>
          <w:szCs w:val="72"/>
          <w:highlight w:val="none"/>
        </w:rPr>
      </w:pPr>
    </w:p>
    <w:p w14:paraId="451FB1B1">
      <w:pPr>
        <w:spacing w:after="60"/>
        <w:jc w:val="center"/>
        <w:rPr>
          <w:rFonts w:ascii="宋体" w:hAnsi="宋体"/>
          <w:b/>
          <w:bCs/>
          <w:color w:val="auto"/>
          <w:sz w:val="72"/>
          <w:szCs w:val="72"/>
          <w:highlight w:val="none"/>
        </w:rPr>
      </w:pPr>
    </w:p>
    <w:p w14:paraId="146449DF">
      <w:pPr>
        <w:spacing w:after="60"/>
        <w:jc w:val="center"/>
        <w:rPr>
          <w:rFonts w:ascii="宋体" w:hAnsi="宋体"/>
          <w:b/>
          <w:bCs/>
          <w:color w:val="auto"/>
          <w:sz w:val="72"/>
          <w:szCs w:val="72"/>
          <w:highlight w:val="none"/>
        </w:rPr>
      </w:pPr>
    </w:p>
    <w:p w14:paraId="75D6B399">
      <w:pPr>
        <w:tabs>
          <w:tab w:val="left" w:pos="2020"/>
          <w:tab w:val="center" w:pos="4535"/>
        </w:tabs>
        <w:spacing w:line="400" w:lineRule="exact"/>
        <w:ind w:firstLine="280" w:firstLineChars="100"/>
        <w:rPr>
          <w:rFonts w:ascii="宋体" w:hAnsi="宋体"/>
          <w:color w:val="auto"/>
          <w:sz w:val="28"/>
          <w:szCs w:val="20"/>
          <w:highlight w:val="none"/>
        </w:rPr>
      </w:pPr>
    </w:p>
    <w:p w14:paraId="25FFBF7B">
      <w:pPr>
        <w:tabs>
          <w:tab w:val="left" w:pos="2020"/>
          <w:tab w:val="center" w:pos="4535"/>
        </w:tabs>
        <w:spacing w:line="400" w:lineRule="exact"/>
        <w:ind w:firstLine="280" w:firstLineChars="100"/>
        <w:rPr>
          <w:rFonts w:ascii="宋体" w:hAnsi="宋体"/>
          <w:color w:val="auto"/>
          <w:sz w:val="28"/>
          <w:szCs w:val="20"/>
          <w:highlight w:val="none"/>
        </w:rPr>
      </w:pPr>
    </w:p>
    <w:p w14:paraId="2BA529EB">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545B9453">
      <w:pPr>
        <w:ind w:left="1508" w:leftChars="171" w:hanging="1149" w:hangingChars="383"/>
        <w:rPr>
          <w:rFonts w:ascii="宋体" w:hAnsi="宋体"/>
          <w:b/>
          <w:color w:val="auto"/>
          <w:sz w:val="30"/>
          <w:szCs w:val="30"/>
          <w:highlight w:val="none"/>
        </w:rPr>
      </w:pPr>
    </w:p>
    <w:p w14:paraId="48F4A528">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35" w:name="_Hlk81344726"/>
      <w:r>
        <w:rPr>
          <w:rFonts w:hint="eastAsia" w:ascii="宋体" w:hAnsi="宋体"/>
          <w:b/>
          <w:color w:val="auto"/>
          <w:sz w:val="30"/>
          <w:szCs w:val="30"/>
          <w:highlight w:val="none"/>
        </w:rPr>
        <w:t>（或盖章）</w:t>
      </w:r>
      <w:bookmarkEnd w:id="35"/>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7893F9CD">
      <w:pPr>
        <w:spacing w:line="360" w:lineRule="auto"/>
        <w:ind w:firstLine="594" w:firstLineChars="198"/>
        <w:rPr>
          <w:rFonts w:ascii="宋体" w:hAnsi="宋体"/>
          <w:b/>
          <w:color w:val="auto"/>
          <w:sz w:val="30"/>
          <w:szCs w:val="30"/>
          <w:highlight w:val="none"/>
        </w:rPr>
      </w:pPr>
    </w:p>
    <w:p w14:paraId="4957D2E3">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6B71EB40">
      <w:pPr>
        <w:widowControl/>
        <w:adjustRightInd w:val="0"/>
        <w:snapToGrid w:val="0"/>
        <w:spacing w:before="100" w:beforeAutospacing="1" w:after="100" w:afterAutospacing="1" w:line="360" w:lineRule="auto"/>
        <w:ind w:firstLine="480"/>
        <w:jc w:val="center"/>
        <w:textAlignment w:val="center"/>
        <w:rPr>
          <w:rFonts w:ascii="宋体" w:hAnsi="宋体"/>
          <w:b/>
          <w:bCs/>
          <w:color w:val="auto"/>
          <w:sz w:val="24"/>
          <w:highlight w:val="none"/>
        </w:rPr>
      </w:pPr>
    </w:p>
    <w:p w14:paraId="6BE43724">
      <w:pPr>
        <w:spacing w:after="60" w:line="360" w:lineRule="auto"/>
        <w:ind w:left="1851" w:leftChars="171" w:hanging="1492" w:hangingChars="533"/>
        <w:rPr>
          <w:rStyle w:val="79"/>
          <w:rFonts w:ascii="宋体" w:hAnsi="宋体" w:cs="Times New Roman"/>
          <w:color w:val="auto"/>
          <w:sz w:val="28"/>
          <w:szCs w:val="28"/>
          <w:highlight w:val="none"/>
        </w:rPr>
      </w:pPr>
    </w:p>
    <w:p w14:paraId="30F2F189">
      <w:pPr>
        <w:spacing w:line="360" w:lineRule="auto"/>
        <w:jc w:val="center"/>
        <w:rPr>
          <w:rStyle w:val="79"/>
          <w:rFonts w:ascii="宋体" w:hAnsi="宋体" w:cs="Times New Roman"/>
          <w:color w:val="auto"/>
          <w:sz w:val="28"/>
          <w:szCs w:val="28"/>
          <w:highlight w:val="none"/>
        </w:rPr>
      </w:pPr>
      <w:r>
        <w:rPr>
          <w:rStyle w:val="79"/>
          <w:rFonts w:hint="eastAsia" w:ascii="宋体" w:hAnsi="宋体" w:cs="Times New Roman"/>
          <w:color w:val="auto"/>
          <w:sz w:val="28"/>
          <w:szCs w:val="28"/>
          <w:highlight w:val="none"/>
        </w:rPr>
        <w:t>一</w:t>
      </w:r>
      <w:r>
        <w:rPr>
          <w:rStyle w:val="79"/>
          <w:rFonts w:ascii="宋体" w:hAnsi="宋体" w:cs="Times New Roman"/>
          <w:color w:val="auto"/>
          <w:sz w:val="28"/>
          <w:szCs w:val="28"/>
          <w:highlight w:val="none"/>
        </w:rPr>
        <w:t>、</w:t>
      </w:r>
      <w:bookmarkEnd w:id="33"/>
      <w:bookmarkEnd w:id="34"/>
      <w:r>
        <w:rPr>
          <w:rStyle w:val="79"/>
          <w:rFonts w:ascii="宋体" w:hAnsi="宋体" w:cs="Times New Roman"/>
          <w:color w:val="auto"/>
          <w:sz w:val="28"/>
          <w:szCs w:val="28"/>
          <w:highlight w:val="none"/>
        </w:rPr>
        <w:t>开标一览表</w:t>
      </w:r>
    </w:p>
    <w:p w14:paraId="5F4F8B80">
      <w:pPr>
        <w:pStyle w:val="33"/>
        <w:spacing w:line="360" w:lineRule="auto"/>
        <w:rPr>
          <w:rFonts w:hAnsi="宋体"/>
          <w:color w:val="auto"/>
          <w:highlight w:val="none"/>
          <w:u w:val="single"/>
        </w:rPr>
      </w:pPr>
    </w:p>
    <w:p w14:paraId="6273D035">
      <w:pPr>
        <w:spacing w:line="360" w:lineRule="auto"/>
        <w:ind w:firstLine="480" w:firstLineChars="200"/>
        <w:rPr>
          <w:rFonts w:ascii="宋体" w:hAnsi="宋体"/>
          <w:color w:val="auto"/>
          <w:sz w:val="24"/>
          <w:highlight w:val="none"/>
        </w:rPr>
      </w:pP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3"/>
        <w:gridCol w:w="6901"/>
      </w:tblGrid>
      <w:tr w14:paraId="10A3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02BD3AFA">
            <w:pPr>
              <w:adjustRightInd w:val="0"/>
              <w:snapToGrid w:val="0"/>
              <w:spacing w:line="300" w:lineRule="auto"/>
              <w:rPr>
                <w:rFonts w:ascii="宋体" w:hAnsi="宋体"/>
                <w:color w:val="auto"/>
                <w:sz w:val="24"/>
                <w:highlight w:val="none"/>
              </w:rPr>
            </w:pPr>
            <w:r>
              <w:rPr>
                <w:rFonts w:ascii="宋体" w:hAnsi="宋体"/>
                <w:color w:val="auto"/>
                <w:sz w:val="24"/>
                <w:highlight w:val="none"/>
              </w:rPr>
              <w:t xml:space="preserve"> 投标货物、服务名称</w:t>
            </w:r>
          </w:p>
        </w:tc>
        <w:tc>
          <w:tcPr>
            <w:tcW w:w="3604" w:type="pct"/>
            <w:vAlign w:val="center"/>
          </w:tcPr>
          <w:p w14:paraId="0C6AD806">
            <w:pPr>
              <w:rPr>
                <w:rFonts w:ascii="宋体" w:hAnsi="宋体"/>
                <w:color w:val="auto"/>
                <w:sz w:val="24"/>
                <w:highlight w:val="none"/>
              </w:rPr>
            </w:pPr>
            <w:r>
              <w:rPr>
                <w:rFonts w:ascii="宋体" w:hAnsi="宋体"/>
                <w:color w:val="auto"/>
                <w:sz w:val="24"/>
                <w:highlight w:val="none"/>
              </w:rPr>
              <w:t xml:space="preserve">                      投标总报价</w:t>
            </w:r>
          </w:p>
        </w:tc>
      </w:tr>
      <w:tr w14:paraId="23B5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0DC01D3B">
            <w:pPr>
              <w:adjustRightInd w:val="0"/>
              <w:snapToGrid w:val="0"/>
              <w:spacing w:line="30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南通市崇川区堤防涵闸管理所2025年电气设备预防性试验项目</w:t>
            </w:r>
          </w:p>
        </w:tc>
        <w:tc>
          <w:tcPr>
            <w:tcW w:w="3604" w:type="pct"/>
            <w:vAlign w:val="center"/>
          </w:tcPr>
          <w:p w14:paraId="6908E3BD">
            <w:pPr>
              <w:adjustRightInd w:val="0"/>
              <w:snapToGrid w:val="0"/>
              <w:spacing w:line="300" w:lineRule="auto"/>
              <w:rPr>
                <w:rFonts w:ascii="宋体" w:hAnsi="宋体"/>
                <w:color w:val="auto"/>
                <w:sz w:val="24"/>
                <w:highlight w:val="none"/>
              </w:rPr>
            </w:pPr>
            <w:r>
              <w:rPr>
                <w:rFonts w:ascii="宋体" w:hAnsi="宋体"/>
                <w:bCs/>
                <w:color w:val="auto"/>
                <w:sz w:val="24"/>
                <w:highlight w:val="none"/>
              </w:rPr>
              <w:t>合计</w:t>
            </w:r>
            <w:r>
              <w:rPr>
                <w:rFonts w:ascii="宋体" w:hAnsi="宋体"/>
                <w:color w:val="auto"/>
                <w:sz w:val="24"/>
                <w:highlight w:val="none"/>
              </w:rPr>
              <w:t>：大写：</w:t>
            </w:r>
            <w:r>
              <w:rPr>
                <w:rFonts w:ascii="宋体" w:hAnsi="宋体"/>
                <w:color w:val="auto"/>
                <w:sz w:val="24"/>
                <w:highlight w:val="none"/>
                <w:u w:val="single"/>
              </w:rPr>
              <w:t xml:space="preserve">                            </w:t>
            </w:r>
            <w:r>
              <w:rPr>
                <w:rFonts w:ascii="宋体" w:hAnsi="宋体"/>
                <w:color w:val="auto"/>
                <w:sz w:val="24"/>
                <w:highlight w:val="none"/>
              </w:rPr>
              <w:t>，</w:t>
            </w:r>
          </w:p>
          <w:p w14:paraId="60D48A41">
            <w:pPr>
              <w:adjustRightInd w:val="0"/>
              <w:snapToGrid w:val="0"/>
              <w:spacing w:line="300" w:lineRule="auto"/>
              <w:ind w:firstLine="720" w:firstLineChars="300"/>
              <w:rPr>
                <w:rFonts w:ascii="宋体" w:hAnsi="宋体"/>
                <w:color w:val="auto"/>
                <w:highlight w:val="none"/>
                <w:u w:val="single"/>
              </w:rPr>
            </w:pPr>
            <w:r>
              <w:rPr>
                <w:rFonts w:ascii="宋体" w:hAnsi="宋体"/>
                <w:color w:val="auto"/>
                <w:kern w:val="0"/>
                <w:sz w:val="24"/>
                <w:highlight w:val="none"/>
              </w:rPr>
              <w:t>小写：</w:t>
            </w:r>
            <w:r>
              <w:rPr>
                <w:rFonts w:ascii="宋体" w:hAnsi="宋体"/>
                <w:color w:val="auto"/>
                <w:kern w:val="0"/>
                <w:sz w:val="24"/>
                <w:highlight w:val="none"/>
                <w:u w:val="single"/>
              </w:rPr>
              <w:t xml:space="preserve">              </w:t>
            </w:r>
            <w:r>
              <w:rPr>
                <w:rFonts w:ascii="宋体" w:hAnsi="宋体"/>
                <w:color w:val="auto"/>
                <w:kern w:val="0"/>
                <w:sz w:val="24"/>
                <w:highlight w:val="none"/>
              </w:rPr>
              <w:t>元（人民币）</w:t>
            </w:r>
          </w:p>
        </w:tc>
      </w:tr>
    </w:tbl>
    <w:p w14:paraId="2635BAD9">
      <w:pPr>
        <w:snapToGrid w:val="0"/>
        <w:spacing w:line="360" w:lineRule="auto"/>
        <w:ind w:firstLine="2400" w:firstLineChars="1000"/>
        <w:jc w:val="right"/>
        <w:rPr>
          <w:rFonts w:ascii="宋体" w:hAnsi="宋体"/>
          <w:color w:val="auto"/>
          <w:sz w:val="24"/>
          <w:highlight w:val="none"/>
        </w:rPr>
      </w:pPr>
    </w:p>
    <w:p w14:paraId="39E1622C">
      <w:pPr>
        <w:spacing w:line="360" w:lineRule="auto"/>
        <w:ind w:firstLine="3840" w:firstLineChars="1600"/>
        <w:rPr>
          <w:rFonts w:ascii="宋体" w:hAnsi="宋体"/>
          <w:color w:val="auto"/>
          <w:sz w:val="24"/>
          <w:highlight w:val="none"/>
        </w:rPr>
      </w:pPr>
      <w:r>
        <w:rPr>
          <w:rFonts w:ascii="宋体" w:hAnsi="宋体"/>
          <w:color w:val="auto"/>
          <w:sz w:val="24"/>
          <w:highlight w:val="none"/>
        </w:rPr>
        <w:t>投标人全称（加盖公章）：</w:t>
      </w:r>
    </w:p>
    <w:p w14:paraId="05C4A49D">
      <w:pPr>
        <w:snapToGrid w:val="0"/>
        <w:spacing w:line="360" w:lineRule="auto"/>
        <w:ind w:firstLine="2400" w:firstLineChars="1000"/>
        <w:jc w:val="right"/>
        <w:rPr>
          <w:rFonts w:ascii="宋体" w:hAnsi="宋体"/>
          <w:color w:val="auto"/>
          <w:sz w:val="24"/>
          <w:highlight w:val="none"/>
        </w:rPr>
      </w:pPr>
    </w:p>
    <w:p w14:paraId="43D1A83C">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4CD1DBB9">
      <w:pPr>
        <w:rPr>
          <w:rFonts w:ascii="宋体" w:hAnsi="宋体"/>
          <w:color w:val="auto"/>
          <w:sz w:val="24"/>
          <w:highlight w:val="none"/>
        </w:rPr>
      </w:pPr>
    </w:p>
    <w:p w14:paraId="404417FE">
      <w:pPr>
        <w:spacing w:line="360" w:lineRule="auto"/>
        <w:ind w:firstLine="480"/>
        <w:rPr>
          <w:rFonts w:ascii="宋体" w:hAnsi="宋体"/>
          <w:color w:val="auto"/>
          <w:sz w:val="24"/>
          <w:highlight w:val="none"/>
        </w:rPr>
      </w:pPr>
      <w:r>
        <w:rPr>
          <w:rFonts w:ascii="宋体" w:hAnsi="宋体"/>
          <w:color w:val="auto"/>
          <w:sz w:val="24"/>
          <w:highlight w:val="none"/>
        </w:rPr>
        <w:t xml:space="preserve">                                      日期：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20639163">
      <w:pPr>
        <w:spacing w:line="360" w:lineRule="auto"/>
        <w:ind w:firstLine="480"/>
        <w:rPr>
          <w:rFonts w:ascii="宋体" w:hAnsi="宋体"/>
          <w:color w:val="auto"/>
          <w:sz w:val="24"/>
          <w:highlight w:val="none"/>
        </w:rPr>
      </w:pPr>
      <w:r>
        <w:rPr>
          <w:rFonts w:ascii="宋体" w:hAnsi="宋体"/>
          <w:color w:val="auto"/>
          <w:sz w:val="24"/>
          <w:highlight w:val="none"/>
        </w:rPr>
        <w:t>填写说明：</w:t>
      </w:r>
    </w:p>
    <w:p w14:paraId="7496AC17">
      <w:pPr>
        <w:spacing w:line="360" w:lineRule="auto"/>
        <w:ind w:firstLine="480" w:firstLineChars="200"/>
        <w:rPr>
          <w:rFonts w:ascii="宋体" w:hAnsi="宋体"/>
          <w:bCs/>
          <w:iCs/>
          <w:color w:val="auto"/>
          <w:sz w:val="24"/>
          <w:highlight w:val="none"/>
        </w:rPr>
      </w:pPr>
      <w:r>
        <w:rPr>
          <w:rFonts w:ascii="宋体" w:hAnsi="宋体"/>
          <w:bCs/>
          <w:iCs/>
          <w:color w:val="auto"/>
          <w:sz w:val="24"/>
          <w:highlight w:val="none"/>
        </w:rPr>
        <w:t>1、</w:t>
      </w:r>
      <w:r>
        <w:rPr>
          <w:rFonts w:hint="eastAsia" w:ascii="宋体" w:hAnsi="宋体"/>
          <w:bCs/>
          <w:iCs/>
          <w:color w:val="auto"/>
          <w:sz w:val="24"/>
          <w:highlight w:val="none"/>
        </w:rPr>
        <w:t>开标一览表中不得填报有选择性报价方案，采购人仅接受一个价格。</w:t>
      </w:r>
    </w:p>
    <w:p w14:paraId="5C69D833">
      <w:pPr>
        <w:spacing w:line="360" w:lineRule="auto"/>
        <w:ind w:firstLine="480" w:firstLineChars="200"/>
        <w:rPr>
          <w:rFonts w:ascii="宋体" w:hAnsi="宋体"/>
          <w:bCs/>
          <w:color w:val="auto"/>
          <w:sz w:val="24"/>
          <w:szCs w:val="21"/>
          <w:highlight w:val="none"/>
        </w:rPr>
      </w:pPr>
      <w:r>
        <w:rPr>
          <w:rFonts w:ascii="宋体" w:hAnsi="宋体"/>
          <w:color w:val="auto"/>
          <w:sz w:val="24"/>
          <w:highlight w:val="none"/>
        </w:rPr>
        <w:t>2、</w:t>
      </w:r>
      <w:r>
        <w:rPr>
          <w:rFonts w:ascii="宋体" w:hAnsi="宋体"/>
          <w:bCs/>
          <w:iCs/>
          <w:color w:val="auto"/>
          <w:sz w:val="24"/>
          <w:highlight w:val="none"/>
        </w:rPr>
        <w:t>开标一览表和分项报价表必须加盖投标单位公章</w:t>
      </w:r>
      <w:r>
        <w:rPr>
          <w:rFonts w:ascii="宋体" w:hAnsi="宋体"/>
          <w:color w:val="auto"/>
          <w:sz w:val="24"/>
          <w:highlight w:val="none"/>
        </w:rPr>
        <w:t>。</w:t>
      </w:r>
    </w:p>
    <w:p w14:paraId="04D250C8">
      <w:pPr>
        <w:spacing w:line="360" w:lineRule="auto"/>
        <w:rPr>
          <w:rFonts w:ascii="宋体" w:hAnsi="宋体"/>
          <w:color w:val="auto"/>
          <w:sz w:val="24"/>
          <w:highlight w:val="none"/>
        </w:rPr>
      </w:pPr>
      <w:r>
        <w:rPr>
          <w:rFonts w:ascii="宋体" w:hAnsi="宋体"/>
          <w:color w:val="auto"/>
          <w:sz w:val="24"/>
          <w:highlight w:val="none"/>
        </w:rPr>
        <w:t xml:space="preserve">    </w:t>
      </w:r>
    </w:p>
    <w:p w14:paraId="67D28F8E">
      <w:pPr>
        <w:spacing w:line="360" w:lineRule="auto"/>
        <w:jc w:val="center"/>
        <w:rPr>
          <w:rStyle w:val="79"/>
          <w:rFonts w:ascii="宋体" w:hAnsi="宋体" w:cs="Times New Roman"/>
          <w:color w:val="auto"/>
          <w:sz w:val="28"/>
          <w:szCs w:val="28"/>
          <w:highlight w:val="none"/>
        </w:rPr>
      </w:pPr>
      <w:r>
        <w:rPr>
          <w:rFonts w:ascii="宋体" w:hAnsi="宋体"/>
          <w:b/>
          <w:color w:val="auto"/>
          <w:sz w:val="24"/>
          <w:highlight w:val="none"/>
        </w:rPr>
        <w:br w:type="page"/>
      </w:r>
      <w:r>
        <w:rPr>
          <w:rStyle w:val="79"/>
          <w:rFonts w:hint="eastAsia" w:ascii="宋体" w:hAnsi="宋体" w:cs="Times New Roman"/>
          <w:color w:val="auto"/>
          <w:sz w:val="28"/>
          <w:szCs w:val="28"/>
          <w:highlight w:val="none"/>
        </w:rPr>
        <w:t>二</w:t>
      </w:r>
      <w:r>
        <w:rPr>
          <w:rStyle w:val="79"/>
          <w:rFonts w:ascii="宋体" w:hAnsi="宋体" w:cs="Times New Roman"/>
          <w:color w:val="auto"/>
          <w:sz w:val="28"/>
          <w:szCs w:val="28"/>
          <w:highlight w:val="none"/>
        </w:rPr>
        <w:t>、分项报价明细表</w:t>
      </w:r>
    </w:p>
    <w:p w14:paraId="0E504793">
      <w:pPr>
        <w:pStyle w:val="62"/>
        <w:ind w:firstLine="280"/>
        <w:rPr>
          <w:color w:val="auto"/>
          <w:highlight w:val="none"/>
        </w:rPr>
      </w:pPr>
    </w:p>
    <w:tbl>
      <w:tblPr>
        <w:tblStyle w:val="64"/>
        <w:tblW w:w="7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1"/>
        <w:gridCol w:w="2855"/>
        <w:gridCol w:w="1706"/>
        <w:gridCol w:w="1706"/>
      </w:tblGrid>
      <w:tr w14:paraId="6176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62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D1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闸站名称</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07CF">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投标报价（元）</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DE1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613EA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12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70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小洋港闸站</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CC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39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F2C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8E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AF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滨江涵闸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C777">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8A4F">
            <w:pPr>
              <w:jc w:val="center"/>
              <w:rPr>
                <w:rFonts w:hint="eastAsia" w:ascii="宋体" w:hAnsi="宋体" w:eastAsia="宋体" w:cs="宋体"/>
                <w:i w:val="0"/>
                <w:iCs w:val="0"/>
                <w:color w:val="auto"/>
                <w:sz w:val="24"/>
                <w:szCs w:val="24"/>
                <w:highlight w:val="none"/>
                <w:u w:val="none"/>
              </w:rPr>
            </w:pPr>
          </w:p>
        </w:tc>
      </w:tr>
      <w:tr w14:paraId="0B22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26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6B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园林河闸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CBEA">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DCFE">
            <w:pPr>
              <w:jc w:val="center"/>
              <w:rPr>
                <w:rFonts w:hint="eastAsia" w:ascii="宋体" w:hAnsi="宋体" w:eastAsia="宋体" w:cs="宋体"/>
                <w:i w:val="0"/>
                <w:iCs w:val="0"/>
                <w:color w:val="auto"/>
                <w:sz w:val="24"/>
                <w:szCs w:val="24"/>
                <w:highlight w:val="none"/>
                <w:u w:val="none"/>
              </w:rPr>
            </w:pPr>
          </w:p>
        </w:tc>
      </w:tr>
      <w:tr w14:paraId="1D27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94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73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铺港河闸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5B3E">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4E20">
            <w:pPr>
              <w:jc w:val="center"/>
              <w:rPr>
                <w:rFonts w:hint="eastAsia" w:ascii="宋体" w:hAnsi="宋体" w:eastAsia="宋体" w:cs="宋体"/>
                <w:i w:val="0"/>
                <w:iCs w:val="0"/>
                <w:color w:val="auto"/>
                <w:sz w:val="24"/>
                <w:szCs w:val="24"/>
                <w:highlight w:val="none"/>
                <w:u w:val="none"/>
              </w:rPr>
            </w:pPr>
          </w:p>
        </w:tc>
      </w:tr>
      <w:tr w14:paraId="1AF7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C6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17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易家桥泵站</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28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D1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77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F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16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红星二河闸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8242">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A1F1">
            <w:pPr>
              <w:jc w:val="center"/>
              <w:rPr>
                <w:rFonts w:hint="eastAsia" w:ascii="宋体" w:hAnsi="宋体" w:eastAsia="宋体" w:cs="宋体"/>
                <w:i w:val="0"/>
                <w:iCs w:val="0"/>
                <w:color w:val="auto"/>
                <w:sz w:val="24"/>
                <w:szCs w:val="24"/>
                <w:highlight w:val="none"/>
                <w:u w:val="none"/>
              </w:rPr>
            </w:pPr>
          </w:p>
        </w:tc>
      </w:tr>
      <w:tr w14:paraId="36196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7E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C6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三附闸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C227">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EA61">
            <w:pPr>
              <w:jc w:val="center"/>
              <w:rPr>
                <w:rFonts w:hint="eastAsia" w:ascii="宋体" w:hAnsi="宋体" w:eastAsia="宋体" w:cs="宋体"/>
                <w:i w:val="0"/>
                <w:iCs w:val="0"/>
                <w:color w:val="auto"/>
                <w:sz w:val="24"/>
                <w:szCs w:val="24"/>
                <w:highlight w:val="none"/>
                <w:u w:val="none"/>
              </w:rPr>
            </w:pPr>
          </w:p>
        </w:tc>
      </w:tr>
      <w:tr w14:paraId="2422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87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EA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竖一河北闸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A4FB">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46CB">
            <w:pPr>
              <w:jc w:val="center"/>
              <w:rPr>
                <w:rFonts w:hint="eastAsia" w:ascii="宋体" w:hAnsi="宋体" w:eastAsia="宋体" w:cs="宋体"/>
                <w:i w:val="0"/>
                <w:iCs w:val="0"/>
                <w:color w:val="auto"/>
                <w:sz w:val="24"/>
                <w:szCs w:val="24"/>
                <w:highlight w:val="none"/>
                <w:u w:val="none"/>
              </w:rPr>
            </w:pPr>
          </w:p>
        </w:tc>
      </w:tr>
      <w:tr w14:paraId="045F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2C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E8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姚港闸站</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A7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BA2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EC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E7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1B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战胜闸站</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B9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FA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59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B2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EA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锅炉厂河闸站</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FD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72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D5F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3C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95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南通港闸站</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7C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230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778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F1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CF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南通港南河闸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69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6D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78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2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84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钟秀闸站</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9536">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F3AF">
            <w:pPr>
              <w:jc w:val="center"/>
              <w:rPr>
                <w:rFonts w:hint="eastAsia" w:ascii="宋体" w:hAnsi="宋体" w:eastAsia="宋体" w:cs="宋体"/>
                <w:i w:val="0"/>
                <w:iCs w:val="0"/>
                <w:color w:val="auto"/>
                <w:sz w:val="24"/>
                <w:szCs w:val="24"/>
                <w:highlight w:val="none"/>
                <w:u w:val="none"/>
              </w:rPr>
            </w:pPr>
          </w:p>
        </w:tc>
      </w:tr>
      <w:tr w14:paraId="281C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80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D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新胜河闸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F7C2">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9480">
            <w:pPr>
              <w:jc w:val="center"/>
              <w:rPr>
                <w:rFonts w:hint="eastAsia" w:ascii="宋体" w:hAnsi="宋体" w:eastAsia="宋体" w:cs="宋体"/>
                <w:i w:val="0"/>
                <w:iCs w:val="0"/>
                <w:color w:val="auto"/>
                <w:sz w:val="24"/>
                <w:szCs w:val="24"/>
                <w:highlight w:val="none"/>
                <w:u w:val="none"/>
              </w:rPr>
            </w:pPr>
          </w:p>
        </w:tc>
      </w:tr>
      <w:tr w14:paraId="3889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0D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E6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金通河涵洞</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8829">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43FE">
            <w:pPr>
              <w:jc w:val="center"/>
              <w:rPr>
                <w:rFonts w:hint="eastAsia" w:ascii="宋体" w:hAnsi="宋体" w:eastAsia="宋体" w:cs="宋体"/>
                <w:i w:val="0"/>
                <w:iCs w:val="0"/>
                <w:color w:val="auto"/>
                <w:sz w:val="24"/>
                <w:szCs w:val="24"/>
                <w:highlight w:val="none"/>
                <w:u w:val="none"/>
              </w:rPr>
            </w:pPr>
          </w:p>
        </w:tc>
      </w:tr>
      <w:tr w14:paraId="6920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39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EA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永十界河闸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1BCD">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BA2E">
            <w:pPr>
              <w:jc w:val="center"/>
              <w:rPr>
                <w:rFonts w:hint="eastAsia" w:ascii="宋体" w:hAnsi="宋体" w:eastAsia="宋体" w:cs="宋体"/>
                <w:i w:val="0"/>
                <w:iCs w:val="0"/>
                <w:color w:val="auto"/>
                <w:sz w:val="24"/>
                <w:szCs w:val="24"/>
                <w:highlight w:val="none"/>
                <w:u w:val="none"/>
              </w:rPr>
            </w:pPr>
          </w:p>
        </w:tc>
      </w:tr>
      <w:tr w14:paraId="6190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6D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A6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芦泾港闸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0F3B">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1522">
            <w:pPr>
              <w:jc w:val="center"/>
              <w:rPr>
                <w:rFonts w:hint="eastAsia" w:ascii="宋体" w:hAnsi="宋体" w:eastAsia="宋体" w:cs="宋体"/>
                <w:i w:val="0"/>
                <w:iCs w:val="0"/>
                <w:color w:val="auto"/>
                <w:sz w:val="24"/>
                <w:szCs w:val="24"/>
                <w:highlight w:val="none"/>
                <w:u w:val="none"/>
              </w:rPr>
            </w:pPr>
          </w:p>
        </w:tc>
      </w:tr>
      <w:tr w14:paraId="7F55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4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7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尖长河闸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B295">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60B4">
            <w:pPr>
              <w:jc w:val="center"/>
              <w:rPr>
                <w:rFonts w:hint="eastAsia" w:ascii="宋体" w:hAnsi="宋体" w:eastAsia="宋体" w:cs="宋体"/>
                <w:i w:val="0"/>
                <w:iCs w:val="0"/>
                <w:color w:val="auto"/>
                <w:sz w:val="24"/>
                <w:szCs w:val="24"/>
                <w:highlight w:val="none"/>
                <w:u w:val="none"/>
              </w:rPr>
            </w:pPr>
          </w:p>
        </w:tc>
      </w:tr>
      <w:tr w14:paraId="59D4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23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79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花墙支河闸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5F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5F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1B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F4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92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东港闸站</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85FB">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71BB">
            <w:pPr>
              <w:jc w:val="center"/>
              <w:rPr>
                <w:rFonts w:hint="eastAsia" w:ascii="宋体" w:hAnsi="宋体" w:eastAsia="宋体" w:cs="宋体"/>
                <w:i w:val="0"/>
                <w:iCs w:val="0"/>
                <w:color w:val="auto"/>
                <w:sz w:val="24"/>
                <w:szCs w:val="24"/>
                <w:highlight w:val="none"/>
                <w:u w:val="none"/>
              </w:rPr>
            </w:pPr>
          </w:p>
        </w:tc>
      </w:tr>
      <w:tr w14:paraId="6FB5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E1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8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老鸦口闸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EF9A">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15C8">
            <w:pPr>
              <w:jc w:val="center"/>
              <w:rPr>
                <w:rFonts w:hint="eastAsia" w:ascii="宋体" w:hAnsi="宋体" w:eastAsia="宋体" w:cs="宋体"/>
                <w:i w:val="0"/>
                <w:iCs w:val="0"/>
                <w:color w:val="auto"/>
                <w:sz w:val="24"/>
                <w:szCs w:val="24"/>
                <w:highlight w:val="none"/>
                <w:u w:val="none"/>
              </w:rPr>
            </w:pPr>
          </w:p>
        </w:tc>
      </w:tr>
      <w:tr w14:paraId="0A12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3E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D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中心港闸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98D6">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49CB">
            <w:pPr>
              <w:jc w:val="center"/>
              <w:rPr>
                <w:rFonts w:hint="eastAsia" w:ascii="宋体" w:hAnsi="宋体" w:eastAsia="宋体" w:cs="宋体"/>
                <w:i w:val="0"/>
                <w:iCs w:val="0"/>
                <w:color w:val="auto"/>
                <w:sz w:val="24"/>
                <w:szCs w:val="24"/>
                <w:highlight w:val="none"/>
                <w:u w:val="none"/>
              </w:rPr>
            </w:pPr>
          </w:p>
        </w:tc>
      </w:tr>
      <w:tr w14:paraId="5507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8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8A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天生港闸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98D6">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67F4">
            <w:pPr>
              <w:jc w:val="center"/>
              <w:rPr>
                <w:rFonts w:hint="eastAsia" w:ascii="宋体" w:hAnsi="宋体" w:eastAsia="宋体" w:cs="宋体"/>
                <w:i w:val="0"/>
                <w:iCs w:val="0"/>
                <w:color w:val="auto"/>
                <w:sz w:val="24"/>
                <w:szCs w:val="24"/>
                <w:highlight w:val="none"/>
                <w:u w:val="none"/>
              </w:rPr>
            </w:pPr>
          </w:p>
        </w:tc>
      </w:tr>
      <w:tr w14:paraId="5369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6CED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AA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工农河闸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A420">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93AC">
            <w:pPr>
              <w:jc w:val="center"/>
              <w:rPr>
                <w:rFonts w:hint="eastAsia" w:ascii="宋体" w:hAnsi="宋体" w:eastAsia="宋体" w:cs="宋体"/>
                <w:i w:val="0"/>
                <w:iCs w:val="0"/>
                <w:color w:val="auto"/>
                <w:sz w:val="24"/>
                <w:szCs w:val="24"/>
                <w:highlight w:val="none"/>
                <w:u w:val="none"/>
              </w:rPr>
            </w:pPr>
          </w:p>
        </w:tc>
      </w:tr>
      <w:tr w14:paraId="04E8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38777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34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曙光中心河闸</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7075">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D1A4">
            <w:pPr>
              <w:jc w:val="center"/>
              <w:rPr>
                <w:rFonts w:hint="eastAsia" w:ascii="宋体" w:hAnsi="宋体" w:eastAsia="宋体" w:cs="宋体"/>
                <w:i w:val="0"/>
                <w:iCs w:val="0"/>
                <w:color w:val="auto"/>
                <w:sz w:val="24"/>
                <w:szCs w:val="24"/>
                <w:highlight w:val="none"/>
                <w:u w:val="none"/>
              </w:rPr>
            </w:pPr>
          </w:p>
        </w:tc>
      </w:tr>
      <w:tr w14:paraId="1AF8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71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526830E">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CB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安全用具补充与检测</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8A88">
            <w:pPr>
              <w:jc w:val="center"/>
              <w:rPr>
                <w:rFonts w:hint="eastAsia" w:ascii="宋体" w:hAnsi="宋体" w:eastAsia="宋体" w:cs="宋体"/>
                <w:i w:val="0"/>
                <w:iCs w:val="0"/>
                <w:color w:val="auto"/>
                <w:sz w:val="24"/>
                <w:szCs w:val="24"/>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2B93">
            <w:pPr>
              <w:jc w:val="center"/>
              <w:rPr>
                <w:rFonts w:hint="eastAsia" w:ascii="宋体" w:hAnsi="宋体" w:eastAsia="宋体" w:cs="宋体"/>
                <w:i w:val="0"/>
                <w:iCs w:val="0"/>
                <w:color w:val="auto"/>
                <w:sz w:val="24"/>
                <w:szCs w:val="24"/>
                <w:highlight w:val="none"/>
                <w:u w:val="none"/>
              </w:rPr>
            </w:pPr>
          </w:p>
        </w:tc>
      </w:tr>
      <w:tr w14:paraId="091F2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978" w:type="dxa"/>
            <w:gridSpan w:val="4"/>
            <w:tcBorders>
              <w:top w:val="single" w:color="auto" w:sz="4" w:space="0"/>
              <w:left w:val="single" w:color="auto" w:sz="4" w:space="0"/>
              <w:bottom w:val="single" w:color="000000" w:sz="4" w:space="0"/>
              <w:right w:val="single" w:color="000000" w:sz="4" w:space="0"/>
            </w:tcBorders>
            <w:shd w:val="clear" w:color="auto" w:fill="auto"/>
            <w:noWrap/>
            <w:vAlign w:val="center"/>
          </w:tcPr>
          <w:p w14:paraId="0CBB05AA">
            <w:pPr>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投标总价：  元</w:t>
            </w:r>
          </w:p>
        </w:tc>
      </w:tr>
    </w:tbl>
    <w:p w14:paraId="259EDD39">
      <w:pPr>
        <w:autoSpaceDE w:val="0"/>
        <w:autoSpaceDN w:val="0"/>
        <w:spacing w:after="160" w:line="259" w:lineRule="auto"/>
        <w:jc w:val="left"/>
        <w:rPr>
          <w:rFonts w:ascii="宋体" w:hAnsi="宋体"/>
          <w:color w:val="auto"/>
          <w:kern w:val="0"/>
          <w:sz w:val="26"/>
          <w:szCs w:val="22"/>
          <w:highlight w:val="none"/>
          <w:lang w:val="zh-CN" w:bidi="zh-CN"/>
        </w:rPr>
        <w:sectPr>
          <w:headerReference r:id="rId3" w:type="default"/>
          <w:footerReference r:id="rId4" w:type="default"/>
          <w:type w:val="continuous"/>
          <w:pgSz w:w="11910" w:h="16840"/>
          <w:pgMar w:top="1418" w:right="1134" w:bottom="1134" w:left="1418" w:header="0" w:footer="1202" w:gutter="0"/>
          <w:cols w:space="720" w:num="1"/>
          <w:docGrid w:type="linesAndChars" w:linePitch="291" w:charSpace="0"/>
        </w:sectPr>
      </w:pPr>
    </w:p>
    <w:p w14:paraId="72D0C564">
      <w:pPr>
        <w:spacing w:line="360" w:lineRule="auto"/>
        <w:jc w:val="center"/>
        <w:rPr>
          <w:rStyle w:val="79"/>
          <w:rFonts w:ascii="宋体" w:hAnsi="宋体" w:cs="Times New Roman"/>
          <w:color w:val="auto"/>
          <w:sz w:val="28"/>
          <w:szCs w:val="28"/>
          <w:highlight w:val="none"/>
        </w:rPr>
      </w:pPr>
    </w:p>
    <w:p w14:paraId="76762875">
      <w:pPr>
        <w:spacing w:line="360" w:lineRule="auto"/>
        <w:ind w:firstLine="4480" w:firstLineChars="1600"/>
        <w:rPr>
          <w:rFonts w:ascii="宋体" w:hAnsi="宋体"/>
          <w:color w:val="auto"/>
          <w:sz w:val="24"/>
          <w:highlight w:val="none"/>
        </w:rPr>
      </w:pPr>
      <w:r>
        <w:rPr>
          <w:rStyle w:val="79"/>
          <w:rFonts w:ascii="宋体" w:hAnsi="宋体" w:cs="Times New Roman"/>
          <w:color w:val="auto"/>
          <w:sz w:val="28"/>
          <w:szCs w:val="28"/>
          <w:highlight w:val="none"/>
        </w:rPr>
        <w:tab/>
      </w:r>
      <w:r>
        <w:rPr>
          <w:rFonts w:ascii="宋体" w:hAnsi="宋体"/>
          <w:color w:val="auto"/>
          <w:sz w:val="24"/>
          <w:highlight w:val="none"/>
        </w:rPr>
        <w:t>投标人全称（加盖公章）：</w:t>
      </w:r>
    </w:p>
    <w:p w14:paraId="1EDAF487">
      <w:pPr>
        <w:snapToGrid w:val="0"/>
        <w:spacing w:line="360" w:lineRule="auto"/>
        <w:ind w:firstLine="2400" w:firstLineChars="1000"/>
        <w:jc w:val="right"/>
        <w:rPr>
          <w:rFonts w:ascii="宋体" w:hAnsi="宋体"/>
          <w:color w:val="auto"/>
          <w:sz w:val="24"/>
          <w:highlight w:val="none"/>
        </w:rPr>
      </w:pPr>
    </w:p>
    <w:p w14:paraId="5CBC6CA5">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0299EEAC">
      <w:pPr>
        <w:rPr>
          <w:rFonts w:ascii="宋体" w:hAnsi="宋体"/>
          <w:color w:val="auto"/>
          <w:sz w:val="24"/>
          <w:highlight w:val="none"/>
        </w:rPr>
      </w:pPr>
    </w:p>
    <w:p w14:paraId="14D855D9">
      <w:pPr>
        <w:spacing w:line="360" w:lineRule="auto"/>
        <w:ind w:firstLine="480"/>
        <w:rPr>
          <w:rFonts w:ascii="宋体" w:hAnsi="宋体"/>
          <w:color w:val="auto"/>
          <w:sz w:val="24"/>
          <w:highlight w:val="none"/>
        </w:rPr>
      </w:pPr>
      <w:r>
        <w:rPr>
          <w:rFonts w:ascii="宋体" w:hAnsi="宋体"/>
          <w:color w:val="auto"/>
          <w:sz w:val="24"/>
          <w:highlight w:val="none"/>
        </w:rPr>
        <w:t xml:space="preserve">                                      日期：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1E613248">
      <w:pPr>
        <w:kinsoku w:val="0"/>
        <w:topLinePunct/>
        <w:snapToGrid w:val="0"/>
        <w:spacing w:line="360" w:lineRule="auto"/>
        <w:rPr>
          <w:rFonts w:hint="eastAsia" w:ascii="宋体" w:hAnsi="宋体" w:cs="仿宋_GB2312"/>
          <w:color w:val="auto"/>
          <w:sz w:val="24"/>
          <w:szCs w:val="20"/>
          <w:highlight w:val="none"/>
        </w:rPr>
      </w:pPr>
    </w:p>
    <w:p w14:paraId="4DA5A7E3">
      <w:pPr>
        <w:kinsoku w:val="0"/>
        <w:topLinePunct/>
        <w:snapToGrid w:val="0"/>
        <w:spacing w:line="360" w:lineRule="auto"/>
        <w:rPr>
          <w:rFonts w:hint="eastAsia" w:ascii="宋体" w:hAnsi="宋体" w:cs="仿宋_GB2312"/>
          <w:color w:val="auto"/>
          <w:sz w:val="24"/>
          <w:szCs w:val="20"/>
          <w:highlight w:val="none"/>
        </w:rPr>
      </w:pPr>
    </w:p>
    <w:p w14:paraId="19FDE995">
      <w:pPr>
        <w:tabs>
          <w:tab w:val="left" w:pos="420"/>
        </w:tabs>
        <w:spacing w:line="360" w:lineRule="auto"/>
        <w:rPr>
          <w:rStyle w:val="79"/>
          <w:rFonts w:ascii="宋体" w:hAnsi="宋体" w:cs="Times New Roman"/>
          <w:color w:val="auto"/>
          <w:sz w:val="28"/>
          <w:szCs w:val="28"/>
          <w:highlight w:val="none"/>
        </w:rPr>
      </w:pPr>
    </w:p>
    <w:p w14:paraId="631F7640">
      <w:pPr>
        <w:spacing w:line="360" w:lineRule="auto"/>
        <w:jc w:val="center"/>
        <w:rPr>
          <w:rFonts w:ascii="宋体" w:hAnsi="宋体"/>
          <w:color w:val="auto"/>
          <w:sz w:val="24"/>
          <w:highlight w:val="none"/>
        </w:rPr>
      </w:pPr>
    </w:p>
    <w:sectPr>
      <w:headerReference r:id="rId5" w:type="default"/>
      <w:footerReference r:id="rId6" w:type="default"/>
      <w:type w:val="continuous"/>
      <w:pgSz w:w="11910" w:h="16840"/>
      <w:pgMar w:top="1418" w:right="1137" w:bottom="1134" w:left="1418" w:header="851" w:footer="992" w:gutter="0"/>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AC4C">
    <w:pPr>
      <w:pStyle w:val="41"/>
      <w:jc w:val="center"/>
    </w:pPr>
    <w:r>
      <w:fldChar w:fldCharType="begin"/>
    </w:r>
    <w:r>
      <w:instrText xml:space="preserve"> PAGE   \* MERGEFORMAT </w:instrText>
    </w:r>
    <w:r>
      <w:fldChar w:fldCharType="separate"/>
    </w:r>
    <w:r>
      <w:rPr>
        <w:lang w:val="zh-CN"/>
      </w:rPr>
      <w:t>34</w:t>
    </w:r>
    <w:r>
      <w:rPr>
        <w:lang w:val="zh-CN"/>
      </w:rPr>
      <w:fldChar w:fldCharType="end"/>
    </w:r>
  </w:p>
  <w:p w14:paraId="6C2C7640">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99DA">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EC9A0">
    <w:pPr>
      <w:pStyle w:val="42"/>
      <w:pBdr>
        <w:bottom w:val="none" w:color="auto" w:sz="0" w:space="0"/>
      </w:pBdr>
      <w:tabs>
        <w:tab w:val="right" w:pos="8592"/>
        <w:tab w:val="clear" w:pos="4153"/>
        <w:tab w:val="clear" w:pos="8306"/>
      </w:tabs>
      <w:spacing w:before="120" w:after="120"/>
      <w:ind w:right="450"/>
      <w:jc w:val="both"/>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18DEF">
    <w:pPr>
      <w:pStyle w:val="4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1"/>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1"/>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OTFhMjA3NzBhOTEzOGFiNGY2NzdmZDhhNTQyYjQ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266"/>
    <w:rsid w:val="000143BB"/>
    <w:rsid w:val="000143C6"/>
    <w:rsid w:val="000147F9"/>
    <w:rsid w:val="00015A76"/>
    <w:rsid w:val="00016B60"/>
    <w:rsid w:val="00020D66"/>
    <w:rsid w:val="0002247E"/>
    <w:rsid w:val="0002253D"/>
    <w:rsid w:val="0002286B"/>
    <w:rsid w:val="000238F3"/>
    <w:rsid w:val="00024171"/>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12C1"/>
    <w:rsid w:val="0006206A"/>
    <w:rsid w:val="00062BD7"/>
    <w:rsid w:val="00066F07"/>
    <w:rsid w:val="0006739A"/>
    <w:rsid w:val="00067D18"/>
    <w:rsid w:val="00067E7C"/>
    <w:rsid w:val="00070067"/>
    <w:rsid w:val="00070C54"/>
    <w:rsid w:val="00071065"/>
    <w:rsid w:val="00071A57"/>
    <w:rsid w:val="0007285A"/>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2B0A"/>
    <w:rsid w:val="00183ACC"/>
    <w:rsid w:val="00183CB8"/>
    <w:rsid w:val="00184D3C"/>
    <w:rsid w:val="001857F9"/>
    <w:rsid w:val="00185AE3"/>
    <w:rsid w:val="00185D32"/>
    <w:rsid w:val="0018688F"/>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8BD"/>
    <w:rsid w:val="00200367"/>
    <w:rsid w:val="00200BDE"/>
    <w:rsid w:val="00200FE0"/>
    <w:rsid w:val="00201140"/>
    <w:rsid w:val="00201A81"/>
    <w:rsid w:val="00203E82"/>
    <w:rsid w:val="002048CC"/>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80297"/>
    <w:rsid w:val="002803A2"/>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593A"/>
    <w:rsid w:val="00305DF7"/>
    <w:rsid w:val="00306228"/>
    <w:rsid w:val="003073BA"/>
    <w:rsid w:val="0031109B"/>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D6"/>
    <w:rsid w:val="00322381"/>
    <w:rsid w:val="00323548"/>
    <w:rsid w:val="00323F3A"/>
    <w:rsid w:val="00324041"/>
    <w:rsid w:val="00325082"/>
    <w:rsid w:val="003251AC"/>
    <w:rsid w:val="00325AED"/>
    <w:rsid w:val="003261BA"/>
    <w:rsid w:val="003268C4"/>
    <w:rsid w:val="0032702E"/>
    <w:rsid w:val="003273B9"/>
    <w:rsid w:val="00331031"/>
    <w:rsid w:val="0033137E"/>
    <w:rsid w:val="00331F0A"/>
    <w:rsid w:val="0033266B"/>
    <w:rsid w:val="00332915"/>
    <w:rsid w:val="0033308C"/>
    <w:rsid w:val="003346E3"/>
    <w:rsid w:val="0033541C"/>
    <w:rsid w:val="0033550D"/>
    <w:rsid w:val="00335BA4"/>
    <w:rsid w:val="0033681F"/>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8101B"/>
    <w:rsid w:val="00481030"/>
    <w:rsid w:val="00481F34"/>
    <w:rsid w:val="00482951"/>
    <w:rsid w:val="004832E2"/>
    <w:rsid w:val="0048584F"/>
    <w:rsid w:val="0048727A"/>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2724"/>
    <w:rsid w:val="004F2ADE"/>
    <w:rsid w:val="004F2CAE"/>
    <w:rsid w:val="004F405D"/>
    <w:rsid w:val="004F44A6"/>
    <w:rsid w:val="004F53D7"/>
    <w:rsid w:val="004F79E0"/>
    <w:rsid w:val="00500353"/>
    <w:rsid w:val="00501862"/>
    <w:rsid w:val="00502502"/>
    <w:rsid w:val="00503CAF"/>
    <w:rsid w:val="005041C9"/>
    <w:rsid w:val="0050491E"/>
    <w:rsid w:val="00505EAA"/>
    <w:rsid w:val="0050635B"/>
    <w:rsid w:val="00506F58"/>
    <w:rsid w:val="00506F8A"/>
    <w:rsid w:val="00507E07"/>
    <w:rsid w:val="00511470"/>
    <w:rsid w:val="00511527"/>
    <w:rsid w:val="005117AA"/>
    <w:rsid w:val="00512C66"/>
    <w:rsid w:val="005130F0"/>
    <w:rsid w:val="005137FB"/>
    <w:rsid w:val="00513D7B"/>
    <w:rsid w:val="00514559"/>
    <w:rsid w:val="005148F8"/>
    <w:rsid w:val="00514E26"/>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F30"/>
    <w:rsid w:val="00570F48"/>
    <w:rsid w:val="00570FC4"/>
    <w:rsid w:val="005731AD"/>
    <w:rsid w:val="00573951"/>
    <w:rsid w:val="0057395D"/>
    <w:rsid w:val="005745AF"/>
    <w:rsid w:val="005779AB"/>
    <w:rsid w:val="005801A9"/>
    <w:rsid w:val="00581931"/>
    <w:rsid w:val="005823C6"/>
    <w:rsid w:val="00584B13"/>
    <w:rsid w:val="00584C2B"/>
    <w:rsid w:val="00584C71"/>
    <w:rsid w:val="00585044"/>
    <w:rsid w:val="00586B27"/>
    <w:rsid w:val="00586C7A"/>
    <w:rsid w:val="005877F0"/>
    <w:rsid w:val="00587B50"/>
    <w:rsid w:val="00587BB9"/>
    <w:rsid w:val="00587CBD"/>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78C"/>
    <w:rsid w:val="00653C77"/>
    <w:rsid w:val="00653F5B"/>
    <w:rsid w:val="0065434D"/>
    <w:rsid w:val="00654780"/>
    <w:rsid w:val="006547B1"/>
    <w:rsid w:val="00654831"/>
    <w:rsid w:val="0065519D"/>
    <w:rsid w:val="006562EE"/>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527C"/>
    <w:rsid w:val="007B5D72"/>
    <w:rsid w:val="007B643B"/>
    <w:rsid w:val="007B6EEE"/>
    <w:rsid w:val="007C100D"/>
    <w:rsid w:val="007C14DD"/>
    <w:rsid w:val="007C1AF3"/>
    <w:rsid w:val="007C2C7C"/>
    <w:rsid w:val="007C2DD9"/>
    <w:rsid w:val="007C30BE"/>
    <w:rsid w:val="007C3711"/>
    <w:rsid w:val="007C3736"/>
    <w:rsid w:val="007C4264"/>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10030"/>
    <w:rsid w:val="008106CE"/>
    <w:rsid w:val="00810AA5"/>
    <w:rsid w:val="00811915"/>
    <w:rsid w:val="00812715"/>
    <w:rsid w:val="008129B3"/>
    <w:rsid w:val="008141D0"/>
    <w:rsid w:val="00814910"/>
    <w:rsid w:val="00814FD6"/>
    <w:rsid w:val="00815CC2"/>
    <w:rsid w:val="008164A6"/>
    <w:rsid w:val="008200A4"/>
    <w:rsid w:val="0082195A"/>
    <w:rsid w:val="00822619"/>
    <w:rsid w:val="00822AC3"/>
    <w:rsid w:val="00823071"/>
    <w:rsid w:val="008250E7"/>
    <w:rsid w:val="008252C1"/>
    <w:rsid w:val="00825836"/>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F9E"/>
    <w:rsid w:val="008B405A"/>
    <w:rsid w:val="008B416D"/>
    <w:rsid w:val="008B569E"/>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4D04"/>
    <w:rsid w:val="00A467E5"/>
    <w:rsid w:val="00A471D5"/>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53A8"/>
    <w:rsid w:val="00A95750"/>
    <w:rsid w:val="00A96246"/>
    <w:rsid w:val="00A96766"/>
    <w:rsid w:val="00A967F6"/>
    <w:rsid w:val="00A97848"/>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E49"/>
    <w:rsid w:val="00AD0F8D"/>
    <w:rsid w:val="00AD13CF"/>
    <w:rsid w:val="00AD22FA"/>
    <w:rsid w:val="00AD2552"/>
    <w:rsid w:val="00AD32B7"/>
    <w:rsid w:val="00AD45AE"/>
    <w:rsid w:val="00AD4814"/>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6A75"/>
    <w:rsid w:val="00BF0256"/>
    <w:rsid w:val="00BF0F1E"/>
    <w:rsid w:val="00BF118D"/>
    <w:rsid w:val="00BF3E08"/>
    <w:rsid w:val="00BF4E85"/>
    <w:rsid w:val="00BF53CC"/>
    <w:rsid w:val="00BF55C6"/>
    <w:rsid w:val="00BF5A17"/>
    <w:rsid w:val="00BF5C39"/>
    <w:rsid w:val="00BF706B"/>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AFC"/>
    <w:rsid w:val="00CE0D52"/>
    <w:rsid w:val="00CE0F9F"/>
    <w:rsid w:val="00CE1506"/>
    <w:rsid w:val="00CE1D0B"/>
    <w:rsid w:val="00CE24BE"/>
    <w:rsid w:val="00CE2B5D"/>
    <w:rsid w:val="00CE2FAA"/>
    <w:rsid w:val="00CE3496"/>
    <w:rsid w:val="00CE3943"/>
    <w:rsid w:val="00CE48D4"/>
    <w:rsid w:val="00CE4D66"/>
    <w:rsid w:val="00CE54CD"/>
    <w:rsid w:val="00CE5AE9"/>
    <w:rsid w:val="00CE5E61"/>
    <w:rsid w:val="00CE76DB"/>
    <w:rsid w:val="00CE7D4F"/>
    <w:rsid w:val="00CF05EA"/>
    <w:rsid w:val="00CF14AA"/>
    <w:rsid w:val="00CF16F5"/>
    <w:rsid w:val="00CF1812"/>
    <w:rsid w:val="00CF21DB"/>
    <w:rsid w:val="00CF29D5"/>
    <w:rsid w:val="00CF2F16"/>
    <w:rsid w:val="00CF4292"/>
    <w:rsid w:val="00CF4EC2"/>
    <w:rsid w:val="00CF50E5"/>
    <w:rsid w:val="00CF543E"/>
    <w:rsid w:val="00CF61CE"/>
    <w:rsid w:val="00CF666A"/>
    <w:rsid w:val="00CF6855"/>
    <w:rsid w:val="00CF725B"/>
    <w:rsid w:val="00CF7566"/>
    <w:rsid w:val="00D0171F"/>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5603"/>
    <w:rsid w:val="00DE5759"/>
    <w:rsid w:val="00DE5839"/>
    <w:rsid w:val="00DE595C"/>
    <w:rsid w:val="00DE620A"/>
    <w:rsid w:val="00DE687E"/>
    <w:rsid w:val="00DE6F47"/>
    <w:rsid w:val="00DE76CF"/>
    <w:rsid w:val="00DE7800"/>
    <w:rsid w:val="00DF008A"/>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43FB"/>
    <w:rsid w:val="00EE4E1E"/>
    <w:rsid w:val="00EE52E7"/>
    <w:rsid w:val="00EE57DC"/>
    <w:rsid w:val="00EE5872"/>
    <w:rsid w:val="00EE5A0E"/>
    <w:rsid w:val="00EE6E81"/>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1303AC5"/>
    <w:rsid w:val="01695955"/>
    <w:rsid w:val="01D94FEA"/>
    <w:rsid w:val="022948AA"/>
    <w:rsid w:val="02683825"/>
    <w:rsid w:val="02902A6D"/>
    <w:rsid w:val="02D45050"/>
    <w:rsid w:val="030719AC"/>
    <w:rsid w:val="03280EF8"/>
    <w:rsid w:val="038D0D6B"/>
    <w:rsid w:val="04DC01EC"/>
    <w:rsid w:val="04DF1A8A"/>
    <w:rsid w:val="05026CE4"/>
    <w:rsid w:val="05453FE3"/>
    <w:rsid w:val="05F45A09"/>
    <w:rsid w:val="061B4D44"/>
    <w:rsid w:val="067C2CE7"/>
    <w:rsid w:val="06D83F39"/>
    <w:rsid w:val="072B2DAF"/>
    <w:rsid w:val="074107DA"/>
    <w:rsid w:val="075E65F7"/>
    <w:rsid w:val="085B58CB"/>
    <w:rsid w:val="0957288F"/>
    <w:rsid w:val="095C18FB"/>
    <w:rsid w:val="098470A4"/>
    <w:rsid w:val="09921A1E"/>
    <w:rsid w:val="09A84B40"/>
    <w:rsid w:val="0A075D0B"/>
    <w:rsid w:val="0A782765"/>
    <w:rsid w:val="0AF10769"/>
    <w:rsid w:val="0BC32105"/>
    <w:rsid w:val="0C8F023A"/>
    <w:rsid w:val="0D441024"/>
    <w:rsid w:val="0DF91E0E"/>
    <w:rsid w:val="0E3068EC"/>
    <w:rsid w:val="0E590AFF"/>
    <w:rsid w:val="0E83792A"/>
    <w:rsid w:val="0E855450"/>
    <w:rsid w:val="0EA0228A"/>
    <w:rsid w:val="0F514856"/>
    <w:rsid w:val="0F563291"/>
    <w:rsid w:val="0FAB4284"/>
    <w:rsid w:val="0FB6788B"/>
    <w:rsid w:val="10066A65"/>
    <w:rsid w:val="107240FA"/>
    <w:rsid w:val="10A75CE3"/>
    <w:rsid w:val="111D0683"/>
    <w:rsid w:val="11CE35B2"/>
    <w:rsid w:val="121E62E8"/>
    <w:rsid w:val="12211AC0"/>
    <w:rsid w:val="123F43C4"/>
    <w:rsid w:val="126B2BAF"/>
    <w:rsid w:val="12A14823"/>
    <w:rsid w:val="12DF17F8"/>
    <w:rsid w:val="12F86B39"/>
    <w:rsid w:val="12FE3A23"/>
    <w:rsid w:val="130A061A"/>
    <w:rsid w:val="130C6ECC"/>
    <w:rsid w:val="135062A3"/>
    <w:rsid w:val="136E4430"/>
    <w:rsid w:val="136F4921"/>
    <w:rsid w:val="148B7538"/>
    <w:rsid w:val="15693843"/>
    <w:rsid w:val="15E05662"/>
    <w:rsid w:val="168E3310"/>
    <w:rsid w:val="1796247C"/>
    <w:rsid w:val="18025199"/>
    <w:rsid w:val="1838462F"/>
    <w:rsid w:val="18A64941"/>
    <w:rsid w:val="18D56FD4"/>
    <w:rsid w:val="19145D4E"/>
    <w:rsid w:val="1974516C"/>
    <w:rsid w:val="19B3285C"/>
    <w:rsid w:val="19C21C4E"/>
    <w:rsid w:val="1A197394"/>
    <w:rsid w:val="1A23669C"/>
    <w:rsid w:val="1A613215"/>
    <w:rsid w:val="1AAB4490"/>
    <w:rsid w:val="1AE71067"/>
    <w:rsid w:val="1B23402C"/>
    <w:rsid w:val="1B740D26"/>
    <w:rsid w:val="1C1B3898"/>
    <w:rsid w:val="1C3F7586"/>
    <w:rsid w:val="1C9A0C60"/>
    <w:rsid w:val="1CB3587E"/>
    <w:rsid w:val="1CBF5FD1"/>
    <w:rsid w:val="1CF33ECD"/>
    <w:rsid w:val="1D4B5AB7"/>
    <w:rsid w:val="1D4D13CE"/>
    <w:rsid w:val="1E1020A9"/>
    <w:rsid w:val="1E104084"/>
    <w:rsid w:val="1E2B2E7F"/>
    <w:rsid w:val="1E916E56"/>
    <w:rsid w:val="1F3D3B25"/>
    <w:rsid w:val="1F703EFB"/>
    <w:rsid w:val="1FBF278C"/>
    <w:rsid w:val="1FEF6637"/>
    <w:rsid w:val="20196340"/>
    <w:rsid w:val="20CA314D"/>
    <w:rsid w:val="20D14525"/>
    <w:rsid w:val="20D84531"/>
    <w:rsid w:val="20EE157B"/>
    <w:rsid w:val="21134B3E"/>
    <w:rsid w:val="21823A71"/>
    <w:rsid w:val="220A2750"/>
    <w:rsid w:val="22567656"/>
    <w:rsid w:val="22A018BA"/>
    <w:rsid w:val="22CD0962"/>
    <w:rsid w:val="22EC5646"/>
    <w:rsid w:val="232F19D7"/>
    <w:rsid w:val="23AC7F3C"/>
    <w:rsid w:val="23D135AE"/>
    <w:rsid w:val="24333D63"/>
    <w:rsid w:val="24370F4C"/>
    <w:rsid w:val="2487585F"/>
    <w:rsid w:val="258E6E89"/>
    <w:rsid w:val="25EC39DF"/>
    <w:rsid w:val="26282E39"/>
    <w:rsid w:val="2651306C"/>
    <w:rsid w:val="26997893"/>
    <w:rsid w:val="27B8643F"/>
    <w:rsid w:val="28304227"/>
    <w:rsid w:val="28E004DD"/>
    <w:rsid w:val="29080D00"/>
    <w:rsid w:val="29932CBF"/>
    <w:rsid w:val="29B449E4"/>
    <w:rsid w:val="2A104310"/>
    <w:rsid w:val="2A3C1F31"/>
    <w:rsid w:val="2A6F6324"/>
    <w:rsid w:val="2AE71DF0"/>
    <w:rsid w:val="2BB05D69"/>
    <w:rsid w:val="2BE041B6"/>
    <w:rsid w:val="2C0C6D59"/>
    <w:rsid w:val="2C275941"/>
    <w:rsid w:val="2C752B50"/>
    <w:rsid w:val="2CCD0296"/>
    <w:rsid w:val="2CFA4E04"/>
    <w:rsid w:val="2D0A773C"/>
    <w:rsid w:val="2DCA6ECC"/>
    <w:rsid w:val="2DCC67A0"/>
    <w:rsid w:val="2E2F6D2F"/>
    <w:rsid w:val="2E894691"/>
    <w:rsid w:val="2E933762"/>
    <w:rsid w:val="2E9F7664"/>
    <w:rsid w:val="2EF95138"/>
    <w:rsid w:val="2F45680A"/>
    <w:rsid w:val="2F902146"/>
    <w:rsid w:val="2FD45DE0"/>
    <w:rsid w:val="30004E27"/>
    <w:rsid w:val="306058C5"/>
    <w:rsid w:val="3102072B"/>
    <w:rsid w:val="319C292D"/>
    <w:rsid w:val="320104FF"/>
    <w:rsid w:val="32324B64"/>
    <w:rsid w:val="3277340E"/>
    <w:rsid w:val="32AA2E28"/>
    <w:rsid w:val="32D16607"/>
    <w:rsid w:val="330662B0"/>
    <w:rsid w:val="330B1B18"/>
    <w:rsid w:val="334F0940"/>
    <w:rsid w:val="34572B3B"/>
    <w:rsid w:val="34AF4725"/>
    <w:rsid w:val="34F14D3E"/>
    <w:rsid w:val="35A869C4"/>
    <w:rsid w:val="35F745D6"/>
    <w:rsid w:val="36280C33"/>
    <w:rsid w:val="366559E4"/>
    <w:rsid w:val="36783969"/>
    <w:rsid w:val="36872495"/>
    <w:rsid w:val="36A77DAA"/>
    <w:rsid w:val="36D668E1"/>
    <w:rsid w:val="36E46146"/>
    <w:rsid w:val="36EE59D9"/>
    <w:rsid w:val="36F15A3F"/>
    <w:rsid w:val="370945C1"/>
    <w:rsid w:val="375D490D"/>
    <w:rsid w:val="37682226"/>
    <w:rsid w:val="37D921E5"/>
    <w:rsid w:val="38325D99"/>
    <w:rsid w:val="38706120"/>
    <w:rsid w:val="38DD7AB3"/>
    <w:rsid w:val="38FF10AA"/>
    <w:rsid w:val="3A2B484E"/>
    <w:rsid w:val="3A571AE7"/>
    <w:rsid w:val="3A614714"/>
    <w:rsid w:val="3A825DDE"/>
    <w:rsid w:val="3A900B55"/>
    <w:rsid w:val="3B4958D4"/>
    <w:rsid w:val="3BDC782D"/>
    <w:rsid w:val="3BF07AFD"/>
    <w:rsid w:val="3C4C1046"/>
    <w:rsid w:val="3C8914D2"/>
    <w:rsid w:val="3CD016DD"/>
    <w:rsid w:val="3CD83D46"/>
    <w:rsid w:val="3E9230EE"/>
    <w:rsid w:val="3F1838D2"/>
    <w:rsid w:val="3F5605BF"/>
    <w:rsid w:val="3F5D7BA0"/>
    <w:rsid w:val="408E5B37"/>
    <w:rsid w:val="409A6BCE"/>
    <w:rsid w:val="40AA0BC3"/>
    <w:rsid w:val="41913B31"/>
    <w:rsid w:val="41A72ADD"/>
    <w:rsid w:val="421A1D78"/>
    <w:rsid w:val="422C6492"/>
    <w:rsid w:val="429F2355"/>
    <w:rsid w:val="42B05C5D"/>
    <w:rsid w:val="42BA70B7"/>
    <w:rsid w:val="43F4039A"/>
    <w:rsid w:val="441647C1"/>
    <w:rsid w:val="442B201A"/>
    <w:rsid w:val="443F5AC6"/>
    <w:rsid w:val="445B0426"/>
    <w:rsid w:val="447D214A"/>
    <w:rsid w:val="449B0822"/>
    <w:rsid w:val="44C10289"/>
    <w:rsid w:val="45383140"/>
    <w:rsid w:val="456D6836"/>
    <w:rsid w:val="458616E3"/>
    <w:rsid w:val="469D2B56"/>
    <w:rsid w:val="471072A6"/>
    <w:rsid w:val="4717258D"/>
    <w:rsid w:val="47226FD9"/>
    <w:rsid w:val="4746716B"/>
    <w:rsid w:val="47563489"/>
    <w:rsid w:val="47796812"/>
    <w:rsid w:val="48767934"/>
    <w:rsid w:val="488937B4"/>
    <w:rsid w:val="48A51C70"/>
    <w:rsid w:val="48C04CFB"/>
    <w:rsid w:val="48C12F4D"/>
    <w:rsid w:val="49430CDD"/>
    <w:rsid w:val="49865F45"/>
    <w:rsid w:val="49FF0F0E"/>
    <w:rsid w:val="4A5A7640"/>
    <w:rsid w:val="4A5E657A"/>
    <w:rsid w:val="4A981510"/>
    <w:rsid w:val="4AE178D7"/>
    <w:rsid w:val="4B0F1902"/>
    <w:rsid w:val="4B1C1647"/>
    <w:rsid w:val="4BC6484B"/>
    <w:rsid w:val="4C3B0AE9"/>
    <w:rsid w:val="4C4719BC"/>
    <w:rsid w:val="4CE60E9A"/>
    <w:rsid w:val="4DD059E1"/>
    <w:rsid w:val="4E1F24C4"/>
    <w:rsid w:val="4EB0594F"/>
    <w:rsid w:val="4F2F6737"/>
    <w:rsid w:val="4F4421E2"/>
    <w:rsid w:val="4FDA48F5"/>
    <w:rsid w:val="4FDA66A3"/>
    <w:rsid w:val="4FFD31F9"/>
    <w:rsid w:val="50577E57"/>
    <w:rsid w:val="5084660D"/>
    <w:rsid w:val="51181B78"/>
    <w:rsid w:val="5119769F"/>
    <w:rsid w:val="51821EAD"/>
    <w:rsid w:val="51C72AFE"/>
    <w:rsid w:val="51DE1D07"/>
    <w:rsid w:val="522956BF"/>
    <w:rsid w:val="524D7600"/>
    <w:rsid w:val="527D649D"/>
    <w:rsid w:val="52B7716F"/>
    <w:rsid w:val="5302663C"/>
    <w:rsid w:val="5334770E"/>
    <w:rsid w:val="533B38FC"/>
    <w:rsid w:val="54AC7A3E"/>
    <w:rsid w:val="54B72B11"/>
    <w:rsid w:val="559B2D78"/>
    <w:rsid w:val="5627460C"/>
    <w:rsid w:val="563B1615"/>
    <w:rsid w:val="56B365F2"/>
    <w:rsid w:val="56B45E9F"/>
    <w:rsid w:val="576158FB"/>
    <w:rsid w:val="57B16F91"/>
    <w:rsid w:val="57BD5228"/>
    <w:rsid w:val="57D460CD"/>
    <w:rsid w:val="58564D34"/>
    <w:rsid w:val="58845D45"/>
    <w:rsid w:val="58893182"/>
    <w:rsid w:val="59302885"/>
    <w:rsid w:val="593F3A1A"/>
    <w:rsid w:val="598F3A95"/>
    <w:rsid w:val="59961079"/>
    <w:rsid w:val="59FE4105"/>
    <w:rsid w:val="5A5359CF"/>
    <w:rsid w:val="5AAD1AE8"/>
    <w:rsid w:val="5AE20B01"/>
    <w:rsid w:val="5B8A2B56"/>
    <w:rsid w:val="5B995B10"/>
    <w:rsid w:val="5C3A043F"/>
    <w:rsid w:val="5CBA1D36"/>
    <w:rsid w:val="5D656145"/>
    <w:rsid w:val="5D99194B"/>
    <w:rsid w:val="5DDD21F2"/>
    <w:rsid w:val="5E5B3BCE"/>
    <w:rsid w:val="5E5C4733"/>
    <w:rsid w:val="5EC80E05"/>
    <w:rsid w:val="5ED846F5"/>
    <w:rsid w:val="5F2D2C93"/>
    <w:rsid w:val="5F9D3BEB"/>
    <w:rsid w:val="5FC70EB1"/>
    <w:rsid w:val="5FCA1FBF"/>
    <w:rsid w:val="5FDE11BA"/>
    <w:rsid w:val="5FFE63DD"/>
    <w:rsid w:val="601E0A8A"/>
    <w:rsid w:val="609B3C2C"/>
    <w:rsid w:val="60DF1D6B"/>
    <w:rsid w:val="61720E31"/>
    <w:rsid w:val="61C03014"/>
    <w:rsid w:val="622D4D58"/>
    <w:rsid w:val="623358B0"/>
    <w:rsid w:val="623D4573"/>
    <w:rsid w:val="624A3B5C"/>
    <w:rsid w:val="62522A10"/>
    <w:rsid w:val="625271B2"/>
    <w:rsid w:val="631D301E"/>
    <w:rsid w:val="63352116"/>
    <w:rsid w:val="636F08D1"/>
    <w:rsid w:val="63716EC6"/>
    <w:rsid w:val="64025D70"/>
    <w:rsid w:val="64460353"/>
    <w:rsid w:val="65267312"/>
    <w:rsid w:val="65493C57"/>
    <w:rsid w:val="658D6624"/>
    <w:rsid w:val="65E63B9C"/>
    <w:rsid w:val="65FC516D"/>
    <w:rsid w:val="663D6979"/>
    <w:rsid w:val="665F74AA"/>
    <w:rsid w:val="66715E2F"/>
    <w:rsid w:val="6796339F"/>
    <w:rsid w:val="692119C9"/>
    <w:rsid w:val="69366BE8"/>
    <w:rsid w:val="69690360"/>
    <w:rsid w:val="69771088"/>
    <w:rsid w:val="69855479"/>
    <w:rsid w:val="6A0D5B9B"/>
    <w:rsid w:val="6A193EAF"/>
    <w:rsid w:val="6A99742E"/>
    <w:rsid w:val="6B5036A3"/>
    <w:rsid w:val="6B9E2823"/>
    <w:rsid w:val="6BF344D5"/>
    <w:rsid w:val="6C7A2348"/>
    <w:rsid w:val="6CBE317C"/>
    <w:rsid w:val="6CE64481"/>
    <w:rsid w:val="6D336AB4"/>
    <w:rsid w:val="6D565605"/>
    <w:rsid w:val="6D5B09CB"/>
    <w:rsid w:val="6DEF7365"/>
    <w:rsid w:val="6ED24CBD"/>
    <w:rsid w:val="6F013B3F"/>
    <w:rsid w:val="6F4F630E"/>
    <w:rsid w:val="6F585FB4"/>
    <w:rsid w:val="718933E0"/>
    <w:rsid w:val="71E846B9"/>
    <w:rsid w:val="72721ECF"/>
    <w:rsid w:val="72C60FDD"/>
    <w:rsid w:val="72E70F53"/>
    <w:rsid w:val="73C447D5"/>
    <w:rsid w:val="73DE5EB2"/>
    <w:rsid w:val="743021DF"/>
    <w:rsid w:val="74604036"/>
    <w:rsid w:val="754937FF"/>
    <w:rsid w:val="759A22AD"/>
    <w:rsid w:val="75AA6994"/>
    <w:rsid w:val="765661D4"/>
    <w:rsid w:val="76B15B00"/>
    <w:rsid w:val="76DE441B"/>
    <w:rsid w:val="76E0030C"/>
    <w:rsid w:val="770F4B00"/>
    <w:rsid w:val="77112567"/>
    <w:rsid w:val="771F58DA"/>
    <w:rsid w:val="78006396"/>
    <w:rsid w:val="78106856"/>
    <w:rsid w:val="78CF04BF"/>
    <w:rsid w:val="7973709D"/>
    <w:rsid w:val="79782905"/>
    <w:rsid w:val="797B41A3"/>
    <w:rsid w:val="79A94DE0"/>
    <w:rsid w:val="79EE5FFB"/>
    <w:rsid w:val="7A301431"/>
    <w:rsid w:val="7ABE2AAE"/>
    <w:rsid w:val="7AE552F3"/>
    <w:rsid w:val="7AFC3502"/>
    <w:rsid w:val="7B6770D5"/>
    <w:rsid w:val="7B89416C"/>
    <w:rsid w:val="7BC260B9"/>
    <w:rsid w:val="7C3A6597"/>
    <w:rsid w:val="7C8617DD"/>
    <w:rsid w:val="7D0B7F22"/>
    <w:rsid w:val="7D272678"/>
    <w:rsid w:val="7E36758B"/>
    <w:rsid w:val="7E7523DA"/>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9"/>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80"/>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8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82"/>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83"/>
    <w:autoRedefine/>
    <w:qFormat/>
    <w:uiPriority w:val="0"/>
    <w:pPr>
      <w:keepNext/>
      <w:keepLines/>
      <w:spacing w:before="240" w:after="64" w:line="320" w:lineRule="auto"/>
      <w:outlineLvl w:val="5"/>
    </w:pPr>
    <w:rPr>
      <w:rFonts w:ascii="Cambria" w:hAnsi="Cambria"/>
      <w:b/>
      <w:bCs/>
      <w:kern w:val="0"/>
      <w:sz w:val="24"/>
    </w:rPr>
  </w:style>
  <w:style w:type="paragraph" w:styleId="8">
    <w:name w:val="heading 7"/>
    <w:basedOn w:val="1"/>
    <w:next w:val="1"/>
    <w:link w:val="84"/>
    <w:autoRedefine/>
    <w:qFormat/>
    <w:uiPriority w:val="0"/>
    <w:pPr>
      <w:keepNext/>
      <w:keepLines/>
      <w:spacing w:line="360" w:lineRule="auto"/>
      <w:ind w:left="425" w:hanging="425"/>
      <w:outlineLvl w:val="6"/>
    </w:pPr>
    <w:rPr>
      <w:b/>
      <w:bCs/>
      <w:sz w:val="24"/>
    </w:rPr>
  </w:style>
  <w:style w:type="paragraph" w:styleId="9">
    <w:name w:val="heading 8"/>
    <w:basedOn w:val="1"/>
    <w:next w:val="1"/>
    <w:link w:val="85"/>
    <w:qFormat/>
    <w:uiPriority w:val="0"/>
    <w:pPr>
      <w:keepNext/>
      <w:keepLines/>
      <w:spacing w:line="360" w:lineRule="auto"/>
      <w:ind w:left="425" w:hanging="425"/>
      <w:outlineLvl w:val="7"/>
    </w:pPr>
    <w:rPr>
      <w:b/>
      <w:sz w:val="24"/>
    </w:rPr>
  </w:style>
  <w:style w:type="paragraph" w:styleId="10">
    <w:name w:val="heading 9"/>
    <w:basedOn w:val="1"/>
    <w:next w:val="1"/>
    <w:link w:val="86"/>
    <w:autoRedefine/>
    <w:qFormat/>
    <w:uiPriority w:val="0"/>
    <w:pPr>
      <w:keepNext/>
      <w:spacing w:line="600" w:lineRule="exact"/>
      <w:jc w:val="center"/>
      <w:outlineLvl w:val="8"/>
    </w:pPr>
    <w:rPr>
      <w:rFonts w:ascii="仿宋_GB2312" w:hAnsi="Calibri" w:eastAsia="仿宋_GB2312"/>
      <w:sz w:val="32"/>
      <w:szCs w:val="22"/>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260"/>
      <w:jc w:val="left"/>
    </w:pPr>
    <w:rPr>
      <w:rFonts w:ascii="Calibri" w:hAnsi="Calibri" w:cs="Calibri"/>
      <w:sz w:val="18"/>
      <w:szCs w:val="18"/>
    </w:rPr>
  </w:style>
  <w:style w:type="paragraph" w:styleId="12">
    <w:name w:val="List Bullet 4"/>
    <w:basedOn w:val="1"/>
    <w:autoRedefine/>
    <w:unhideWhenUsed/>
    <w:qFormat/>
    <w:uiPriority w:val="0"/>
    <w:pPr>
      <w:tabs>
        <w:tab w:val="left" w:pos="360"/>
      </w:tabs>
      <w:spacing w:line="380" w:lineRule="exact"/>
      <w:ind w:left="360" w:hanging="360"/>
    </w:pPr>
    <w:rPr>
      <w:rFonts w:ascii="Calibri" w:hAnsi="Calibri"/>
      <w:sz w:val="28"/>
      <w:szCs w:val="22"/>
    </w:rPr>
  </w:style>
  <w:style w:type="paragraph" w:styleId="13">
    <w:name w:val="index 8"/>
    <w:basedOn w:val="1"/>
    <w:next w:val="1"/>
    <w:autoRedefine/>
    <w:unhideWhenUsed/>
    <w:qFormat/>
    <w:uiPriority w:val="0"/>
    <w:pPr>
      <w:ind w:left="1400" w:leftChars="1400"/>
    </w:pPr>
    <w:rPr>
      <w:rFonts w:ascii="Calibri" w:hAnsi="Calibri"/>
      <w:szCs w:val="22"/>
    </w:rPr>
  </w:style>
  <w:style w:type="paragraph" w:styleId="14">
    <w:name w:val="List Number"/>
    <w:basedOn w:val="1"/>
    <w:autoRedefine/>
    <w:unhideWhenUsed/>
    <w:qFormat/>
    <w:uiPriority w:val="0"/>
    <w:pPr>
      <w:tabs>
        <w:tab w:val="left" w:pos="0"/>
        <w:tab w:val="left" w:pos="840"/>
      </w:tabs>
      <w:spacing w:line="360" w:lineRule="auto"/>
    </w:pPr>
    <w:rPr>
      <w:rFonts w:ascii="Calibri" w:hAnsi="Calibri"/>
      <w:szCs w:val="22"/>
    </w:rPr>
  </w:style>
  <w:style w:type="paragraph" w:styleId="15">
    <w:name w:val="Normal Indent"/>
    <w:basedOn w:val="1"/>
    <w:link w:val="87"/>
    <w:autoRedefine/>
    <w:unhideWhenUsed/>
    <w:qFormat/>
    <w:uiPriority w:val="0"/>
    <w:pPr>
      <w:ind w:firstLine="420" w:firstLineChars="200"/>
    </w:pPr>
    <w:rPr>
      <w:kern w:val="0"/>
      <w:sz w:val="20"/>
    </w:rPr>
  </w:style>
  <w:style w:type="paragraph" w:styleId="16">
    <w:name w:val="caption"/>
    <w:basedOn w:val="1"/>
    <w:next w:val="1"/>
    <w:link w:val="88"/>
    <w:autoRedefine/>
    <w:qFormat/>
    <w:uiPriority w:val="0"/>
    <w:pPr>
      <w:spacing w:beforeLines="50" w:afterLines="50" w:line="360" w:lineRule="auto"/>
      <w:jc w:val="center"/>
    </w:pPr>
    <w:rPr>
      <w:rFonts w:ascii="Arial" w:hAnsi="Arial"/>
      <w:sz w:val="24"/>
      <w:szCs w:val="20"/>
    </w:rPr>
  </w:style>
  <w:style w:type="paragraph" w:styleId="17">
    <w:name w:val="index 5"/>
    <w:basedOn w:val="1"/>
    <w:next w:val="1"/>
    <w:autoRedefine/>
    <w:unhideWhenUsed/>
    <w:qFormat/>
    <w:uiPriority w:val="0"/>
    <w:pPr>
      <w:ind w:left="800" w:leftChars="800"/>
    </w:pPr>
    <w:rPr>
      <w:rFonts w:ascii="Calibri" w:hAnsi="Calibri"/>
      <w:szCs w:val="22"/>
    </w:rPr>
  </w:style>
  <w:style w:type="paragraph" w:styleId="18">
    <w:name w:val="List Bullet"/>
    <w:basedOn w:val="1"/>
    <w:autoRedefine/>
    <w:unhideWhenUsed/>
    <w:qFormat/>
    <w:uiPriority w:val="0"/>
    <w:pPr>
      <w:tabs>
        <w:tab w:val="left" w:pos="840"/>
      </w:tabs>
      <w:spacing w:line="360" w:lineRule="auto"/>
      <w:ind w:left="962" w:hanging="480"/>
    </w:pPr>
    <w:rPr>
      <w:rFonts w:ascii="Calibri" w:hAnsi="Calibri"/>
      <w:sz w:val="24"/>
      <w:szCs w:val="22"/>
    </w:rPr>
  </w:style>
  <w:style w:type="paragraph" w:styleId="19">
    <w:name w:val="Document Map"/>
    <w:basedOn w:val="1"/>
    <w:link w:val="89"/>
    <w:autoRedefine/>
    <w:qFormat/>
    <w:uiPriority w:val="99"/>
    <w:pPr>
      <w:shd w:val="clear" w:color="auto" w:fill="000080"/>
    </w:pPr>
  </w:style>
  <w:style w:type="paragraph" w:styleId="20">
    <w:name w:val="annotation text"/>
    <w:basedOn w:val="1"/>
    <w:link w:val="90"/>
    <w:autoRedefine/>
    <w:unhideWhenUsed/>
    <w:qFormat/>
    <w:uiPriority w:val="99"/>
    <w:pPr>
      <w:jc w:val="left"/>
    </w:pPr>
  </w:style>
  <w:style w:type="paragraph" w:styleId="21">
    <w:name w:val="index 6"/>
    <w:basedOn w:val="1"/>
    <w:next w:val="1"/>
    <w:autoRedefine/>
    <w:unhideWhenUsed/>
    <w:qFormat/>
    <w:uiPriority w:val="0"/>
    <w:pPr>
      <w:ind w:left="1000" w:leftChars="1000"/>
    </w:pPr>
    <w:rPr>
      <w:rFonts w:ascii="Calibri" w:hAnsi="Calibri"/>
      <w:szCs w:val="22"/>
    </w:rPr>
  </w:style>
  <w:style w:type="paragraph" w:styleId="22">
    <w:name w:val="Body Text 3"/>
    <w:basedOn w:val="1"/>
    <w:link w:val="91"/>
    <w:autoRedefine/>
    <w:qFormat/>
    <w:uiPriority w:val="0"/>
    <w:rPr>
      <w:rFonts w:ascii="楷体_GB2312" w:hAnsi="Arial" w:eastAsia="楷体_GB2312"/>
      <w:b/>
      <w:bCs/>
      <w:color w:val="000000"/>
      <w:sz w:val="24"/>
    </w:rPr>
  </w:style>
  <w:style w:type="paragraph" w:styleId="23">
    <w:name w:val="List Bullet 3"/>
    <w:basedOn w:val="1"/>
    <w:autoRedefine/>
    <w:unhideWhenUsed/>
    <w:qFormat/>
    <w:uiPriority w:val="0"/>
    <w:pPr>
      <w:tabs>
        <w:tab w:val="left" w:pos="1200"/>
      </w:tabs>
      <w:spacing w:line="380" w:lineRule="exact"/>
      <w:ind w:left="1200" w:hanging="360"/>
    </w:pPr>
    <w:rPr>
      <w:rFonts w:ascii="Calibri" w:hAnsi="Calibri"/>
      <w:sz w:val="28"/>
      <w:szCs w:val="22"/>
    </w:rPr>
  </w:style>
  <w:style w:type="paragraph" w:styleId="24">
    <w:name w:val="Body Text"/>
    <w:basedOn w:val="1"/>
    <w:next w:val="25"/>
    <w:link w:val="76"/>
    <w:autoRedefine/>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customStyle="1" w:styleId="25">
    <w:name w:val="style4"/>
    <w:basedOn w:val="1"/>
    <w:next w:val="26"/>
    <w:qFormat/>
    <w:uiPriority w:val="0"/>
    <w:pPr>
      <w:widowControl/>
      <w:spacing w:before="280" w:after="280"/>
    </w:pPr>
    <w:rPr>
      <w:rFonts w:ascii="宋体"/>
      <w:sz w:val="18"/>
    </w:rPr>
  </w:style>
  <w:style w:type="paragraph" w:customStyle="1" w:styleId="26">
    <w:name w:val="2"/>
    <w:basedOn w:val="1"/>
    <w:next w:val="1"/>
    <w:autoRedefine/>
    <w:qFormat/>
    <w:uiPriority w:val="0"/>
    <w:rPr>
      <w:rFonts w:ascii="宋体"/>
      <w:b/>
      <w:bCs/>
      <w:sz w:val="24"/>
    </w:rPr>
  </w:style>
  <w:style w:type="paragraph" w:styleId="27">
    <w:name w:val="Body Text Indent"/>
    <w:basedOn w:val="1"/>
    <w:link w:val="92"/>
    <w:autoRedefine/>
    <w:unhideWhenUsed/>
    <w:qFormat/>
    <w:uiPriority w:val="0"/>
    <w:pPr>
      <w:spacing w:after="120"/>
      <w:ind w:left="420" w:leftChars="200"/>
    </w:pPr>
    <w:rPr>
      <w:kern w:val="0"/>
      <w:sz w:val="20"/>
    </w:rPr>
  </w:style>
  <w:style w:type="paragraph" w:styleId="28">
    <w:name w:val="Block Text"/>
    <w:basedOn w:val="1"/>
    <w:autoRedefine/>
    <w:qFormat/>
    <w:uiPriority w:val="0"/>
    <w:pPr>
      <w:adjustRightInd w:val="0"/>
      <w:ind w:left="420" w:right="33"/>
      <w:jc w:val="left"/>
      <w:textAlignment w:val="baseline"/>
    </w:pPr>
    <w:rPr>
      <w:kern w:val="0"/>
      <w:sz w:val="24"/>
      <w:szCs w:val="20"/>
    </w:rPr>
  </w:style>
  <w:style w:type="paragraph" w:styleId="29">
    <w:name w:val="List Bullet 2"/>
    <w:basedOn w:val="1"/>
    <w:autoRedefine/>
    <w:unhideWhenUsed/>
    <w:qFormat/>
    <w:uiPriority w:val="0"/>
    <w:pPr>
      <w:tabs>
        <w:tab w:val="left" w:pos="720"/>
      </w:tabs>
      <w:spacing w:line="360" w:lineRule="auto"/>
      <w:ind w:left="720" w:hanging="360"/>
    </w:pPr>
    <w:rPr>
      <w:rFonts w:ascii="Calibri" w:hAnsi="Calibri"/>
      <w:sz w:val="24"/>
      <w:szCs w:val="22"/>
    </w:rPr>
  </w:style>
  <w:style w:type="paragraph" w:styleId="30">
    <w:name w:val="HTML Address"/>
    <w:basedOn w:val="1"/>
    <w:link w:val="93"/>
    <w:autoRedefine/>
    <w:unhideWhenUsed/>
    <w:qFormat/>
    <w:uiPriority w:val="0"/>
    <w:rPr>
      <w:rFonts w:ascii="Calibri" w:hAnsi="Calibri"/>
      <w:i/>
      <w:iCs/>
      <w:szCs w:val="22"/>
    </w:rPr>
  </w:style>
  <w:style w:type="paragraph" w:styleId="31">
    <w:name w:val="index 4"/>
    <w:basedOn w:val="1"/>
    <w:next w:val="1"/>
    <w:autoRedefine/>
    <w:qFormat/>
    <w:uiPriority w:val="0"/>
    <w:pPr>
      <w:ind w:left="600" w:leftChars="600"/>
    </w:pPr>
    <w:rPr>
      <w:rFonts w:ascii="Verdana" w:hAnsi="Verdana"/>
      <w:szCs w:val="20"/>
    </w:rPr>
  </w:style>
  <w:style w:type="paragraph" w:styleId="32">
    <w:name w:val="toc 5"/>
    <w:basedOn w:val="1"/>
    <w:next w:val="1"/>
    <w:autoRedefine/>
    <w:unhideWhenUsed/>
    <w:qFormat/>
    <w:uiPriority w:val="39"/>
    <w:pPr>
      <w:ind w:left="840"/>
      <w:jc w:val="left"/>
    </w:pPr>
    <w:rPr>
      <w:rFonts w:ascii="Calibri" w:hAnsi="Calibri" w:cs="Calibri"/>
      <w:sz w:val="18"/>
      <w:szCs w:val="18"/>
    </w:rPr>
  </w:style>
  <w:style w:type="paragraph" w:styleId="33">
    <w:name w:val="Plain Text"/>
    <w:basedOn w:val="1"/>
    <w:link w:val="94"/>
    <w:autoRedefine/>
    <w:qFormat/>
    <w:uiPriority w:val="0"/>
    <w:rPr>
      <w:rFonts w:ascii="宋体" w:hAnsi="Courier New"/>
      <w:szCs w:val="20"/>
    </w:rPr>
  </w:style>
  <w:style w:type="paragraph" w:styleId="34">
    <w:name w:val="List Bullet 5"/>
    <w:basedOn w:val="1"/>
    <w:autoRedefine/>
    <w:unhideWhenUsed/>
    <w:qFormat/>
    <w:uiPriority w:val="0"/>
    <w:pPr>
      <w:tabs>
        <w:tab w:val="left" w:pos="720"/>
      </w:tabs>
      <w:spacing w:line="380" w:lineRule="exact"/>
      <w:ind w:left="720" w:hanging="360"/>
    </w:pPr>
    <w:rPr>
      <w:rFonts w:ascii="Calibri" w:hAnsi="Calibri"/>
      <w:sz w:val="28"/>
      <w:szCs w:val="22"/>
    </w:rPr>
  </w:style>
  <w:style w:type="paragraph" w:styleId="35">
    <w:name w:val="toc 8"/>
    <w:basedOn w:val="1"/>
    <w:next w:val="1"/>
    <w:autoRedefine/>
    <w:unhideWhenUsed/>
    <w:qFormat/>
    <w:uiPriority w:val="39"/>
    <w:pPr>
      <w:ind w:left="1470"/>
      <w:jc w:val="left"/>
    </w:pPr>
    <w:rPr>
      <w:rFonts w:ascii="Calibri" w:hAnsi="Calibri" w:cs="Calibri"/>
      <w:sz w:val="18"/>
      <w:szCs w:val="18"/>
    </w:rPr>
  </w:style>
  <w:style w:type="paragraph" w:styleId="36">
    <w:name w:val="index 3"/>
    <w:basedOn w:val="1"/>
    <w:next w:val="1"/>
    <w:autoRedefine/>
    <w:unhideWhenUsed/>
    <w:qFormat/>
    <w:uiPriority w:val="0"/>
    <w:pPr>
      <w:ind w:left="400" w:leftChars="400"/>
    </w:pPr>
    <w:rPr>
      <w:rFonts w:ascii="Calibri" w:hAnsi="Calibri"/>
      <w:szCs w:val="22"/>
    </w:rPr>
  </w:style>
  <w:style w:type="paragraph" w:styleId="37">
    <w:name w:val="Date"/>
    <w:basedOn w:val="1"/>
    <w:next w:val="1"/>
    <w:link w:val="95"/>
    <w:autoRedefine/>
    <w:qFormat/>
    <w:uiPriority w:val="0"/>
    <w:pPr>
      <w:ind w:left="100"/>
    </w:pPr>
    <w:rPr>
      <w:rFonts w:ascii="仿宋_GB2312" w:hAnsi="Courier New" w:eastAsia="仿宋_GB2312"/>
      <w:sz w:val="28"/>
      <w:szCs w:val="20"/>
    </w:rPr>
  </w:style>
  <w:style w:type="paragraph" w:styleId="38">
    <w:name w:val="Body Text Indent 2"/>
    <w:basedOn w:val="1"/>
    <w:link w:val="96"/>
    <w:autoRedefine/>
    <w:qFormat/>
    <w:uiPriority w:val="99"/>
    <w:pPr>
      <w:spacing w:after="120" w:line="480" w:lineRule="auto"/>
      <w:ind w:left="420" w:leftChars="200"/>
    </w:pPr>
  </w:style>
  <w:style w:type="paragraph" w:styleId="39">
    <w:name w:val="endnote text"/>
    <w:basedOn w:val="1"/>
    <w:link w:val="97"/>
    <w:autoRedefine/>
    <w:unhideWhenUsed/>
    <w:qFormat/>
    <w:uiPriority w:val="0"/>
    <w:pPr>
      <w:widowControl/>
      <w:snapToGrid w:val="0"/>
      <w:jc w:val="left"/>
    </w:pPr>
    <w:rPr>
      <w:rFonts w:ascii="宋体" w:hAnsi="Calibri"/>
      <w:bCs/>
      <w:kern w:val="0"/>
      <w:szCs w:val="21"/>
    </w:rPr>
  </w:style>
  <w:style w:type="paragraph" w:styleId="40">
    <w:name w:val="Balloon Text"/>
    <w:basedOn w:val="1"/>
    <w:link w:val="98"/>
    <w:autoRedefine/>
    <w:unhideWhenUsed/>
    <w:qFormat/>
    <w:uiPriority w:val="99"/>
    <w:rPr>
      <w:kern w:val="0"/>
      <w:sz w:val="18"/>
      <w:szCs w:val="18"/>
    </w:rPr>
  </w:style>
  <w:style w:type="paragraph" w:styleId="41">
    <w:name w:val="footer"/>
    <w:basedOn w:val="1"/>
    <w:link w:val="99"/>
    <w:autoRedefine/>
    <w:unhideWhenUsed/>
    <w:qFormat/>
    <w:uiPriority w:val="99"/>
    <w:pPr>
      <w:tabs>
        <w:tab w:val="center" w:pos="4153"/>
        <w:tab w:val="right" w:pos="8306"/>
      </w:tabs>
      <w:snapToGrid w:val="0"/>
      <w:jc w:val="left"/>
    </w:pPr>
    <w:rPr>
      <w:sz w:val="18"/>
      <w:szCs w:val="18"/>
    </w:rPr>
  </w:style>
  <w:style w:type="paragraph" w:styleId="42">
    <w:name w:val="header"/>
    <w:basedOn w:val="1"/>
    <w:link w:val="10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3">
    <w:name w:val="toc 1"/>
    <w:basedOn w:val="1"/>
    <w:next w:val="1"/>
    <w:autoRedefine/>
    <w:qFormat/>
    <w:uiPriority w:val="39"/>
  </w:style>
  <w:style w:type="paragraph" w:styleId="44">
    <w:name w:val="toc 4"/>
    <w:basedOn w:val="1"/>
    <w:next w:val="1"/>
    <w:autoRedefine/>
    <w:unhideWhenUsed/>
    <w:qFormat/>
    <w:uiPriority w:val="39"/>
    <w:pPr>
      <w:ind w:left="630"/>
      <w:jc w:val="left"/>
    </w:pPr>
    <w:rPr>
      <w:rFonts w:ascii="Calibri" w:hAnsi="Calibri" w:cs="Calibri"/>
      <w:sz w:val="18"/>
      <w:szCs w:val="18"/>
    </w:rPr>
  </w:style>
  <w:style w:type="paragraph" w:styleId="45">
    <w:name w:val="index heading"/>
    <w:basedOn w:val="1"/>
    <w:next w:val="46"/>
    <w:autoRedefine/>
    <w:unhideWhenUsed/>
    <w:qFormat/>
    <w:uiPriority w:val="0"/>
    <w:rPr>
      <w:rFonts w:ascii="Calibri" w:hAnsi="Calibri"/>
      <w:szCs w:val="22"/>
    </w:rPr>
  </w:style>
  <w:style w:type="paragraph" w:styleId="46">
    <w:name w:val="index 1"/>
    <w:basedOn w:val="1"/>
    <w:next w:val="1"/>
    <w:autoRedefine/>
    <w:unhideWhenUsed/>
    <w:qFormat/>
    <w:uiPriority w:val="0"/>
    <w:rPr>
      <w:rFonts w:ascii="Calibri" w:hAnsi="Calibri"/>
      <w:szCs w:val="22"/>
    </w:rPr>
  </w:style>
  <w:style w:type="paragraph" w:styleId="47">
    <w:name w:val="List"/>
    <w:basedOn w:val="1"/>
    <w:autoRedefine/>
    <w:qFormat/>
    <w:uiPriority w:val="0"/>
    <w:pPr>
      <w:ind w:left="200" w:hanging="200" w:hangingChars="200"/>
    </w:pPr>
  </w:style>
  <w:style w:type="paragraph" w:styleId="48">
    <w:name w:val="footnote text"/>
    <w:basedOn w:val="1"/>
    <w:link w:val="101"/>
    <w:autoRedefine/>
    <w:unhideWhenUsed/>
    <w:qFormat/>
    <w:uiPriority w:val="0"/>
    <w:pPr>
      <w:adjustRightInd w:val="0"/>
      <w:snapToGrid w:val="0"/>
      <w:jc w:val="left"/>
    </w:pPr>
    <w:rPr>
      <w:rFonts w:ascii="宋体" w:hAnsi="Calibri"/>
      <w:bCs/>
      <w:kern w:val="0"/>
      <w:sz w:val="18"/>
      <w:szCs w:val="18"/>
    </w:rPr>
  </w:style>
  <w:style w:type="paragraph" w:styleId="49">
    <w:name w:val="toc 6"/>
    <w:basedOn w:val="1"/>
    <w:next w:val="1"/>
    <w:autoRedefine/>
    <w:unhideWhenUsed/>
    <w:qFormat/>
    <w:uiPriority w:val="39"/>
    <w:pPr>
      <w:ind w:left="1050"/>
      <w:jc w:val="left"/>
    </w:pPr>
    <w:rPr>
      <w:rFonts w:ascii="Calibri" w:hAnsi="Calibri" w:cs="Calibri"/>
      <w:sz w:val="18"/>
      <w:szCs w:val="18"/>
    </w:rPr>
  </w:style>
  <w:style w:type="paragraph" w:styleId="50">
    <w:name w:val="Body Text Indent 3"/>
    <w:basedOn w:val="1"/>
    <w:link w:val="102"/>
    <w:autoRedefine/>
    <w:qFormat/>
    <w:uiPriority w:val="0"/>
    <w:pPr>
      <w:ind w:firstLine="420" w:firstLineChars="200"/>
    </w:pPr>
    <w:rPr>
      <w:rFonts w:eastAsia="楷体_GB2312"/>
    </w:rPr>
  </w:style>
  <w:style w:type="paragraph" w:styleId="51">
    <w:name w:val="index 7"/>
    <w:basedOn w:val="1"/>
    <w:next w:val="1"/>
    <w:autoRedefine/>
    <w:unhideWhenUsed/>
    <w:qFormat/>
    <w:uiPriority w:val="0"/>
    <w:pPr>
      <w:ind w:left="1200" w:leftChars="1200"/>
    </w:pPr>
    <w:rPr>
      <w:rFonts w:ascii="Calibri" w:hAnsi="Calibri"/>
      <w:szCs w:val="22"/>
    </w:rPr>
  </w:style>
  <w:style w:type="paragraph" w:styleId="52">
    <w:name w:val="index 9"/>
    <w:basedOn w:val="1"/>
    <w:next w:val="1"/>
    <w:autoRedefine/>
    <w:unhideWhenUsed/>
    <w:qFormat/>
    <w:uiPriority w:val="0"/>
    <w:pPr>
      <w:ind w:left="1600" w:leftChars="1600"/>
    </w:pPr>
    <w:rPr>
      <w:rFonts w:ascii="Calibri" w:hAnsi="Calibri"/>
      <w:szCs w:val="22"/>
    </w:rPr>
  </w:style>
  <w:style w:type="paragraph" w:styleId="53">
    <w:name w:val="table of figures"/>
    <w:basedOn w:val="1"/>
    <w:next w:val="1"/>
    <w:autoRedefine/>
    <w:unhideWhenUsed/>
    <w:qFormat/>
    <w:uiPriority w:val="0"/>
    <w:pPr>
      <w:widowControl/>
      <w:ind w:left="400" w:leftChars="200" w:hanging="200" w:hangingChars="200"/>
      <w:jc w:val="left"/>
    </w:pPr>
    <w:rPr>
      <w:rFonts w:ascii="宋体" w:hAnsi="Calibri"/>
      <w:bCs/>
      <w:kern w:val="0"/>
      <w:szCs w:val="21"/>
    </w:rPr>
  </w:style>
  <w:style w:type="paragraph" w:styleId="54">
    <w:name w:val="toc 9"/>
    <w:basedOn w:val="1"/>
    <w:next w:val="1"/>
    <w:autoRedefine/>
    <w:unhideWhenUsed/>
    <w:qFormat/>
    <w:uiPriority w:val="39"/>
    <w:pPr>
      <w:ind w:left="1680"/>
      <w:jc w:val="left"/>
    </w:pPr>
    <w:rPr>
      <w:rFonts w:ascii="Calibri" w:hAnsi="Calibri" w:cs="Calibri"/>
      <w:sz w:val="18"/>
      <w:szCs w:val="18"/>
    </w:rPr>
  </w:style>
  <w:style w:type="paragraph" w:styleId="55">
    <w:name w:val="Body Text 2"/>
    <w:basedOn w:val="1"/>
    <w:link w:val="103"/>
    <w:autoRedefine/>
    <w:qFormat/>
    <w:uiPriority w:val="99"/>
    <w:pPr>
      <w:spacing w:line="440" w:lineRule="exact"/>
    </w:pPr>
    <w:rPr>
      <w:rFonts w:ascii="楷体_GB2312" w:eastAsia="楷体_GB2312"/>
      <w:sz w:val="28"/>
    </w:rPr>
  </w:style>
  <w:style w:type="paragraph" w:styleId="56">
    <w:name w:val="List Continue 2"/>
    <w:basedOn w:val="1"/>
    <w:autoRedefine/>
    <w:unhideWhenUsed/>
    <w:qFormat/>
    <w:uiPriority w:val="0"/>
    <w:pPr>
      <w:spacing w:after="120"/>
      <w:ind w:left="840" w:leftChars="400"/>
    </w:pPr>
    <w:rPr>
      <w:rFonts w:ascii="Calibri" w:hAnsi="Calibri"/>
      <w:szCs w:val="22"/>
    </w:rPr>
  </w:style>
  <w:style w:type="paragraph" w:styleId="57">
    <w:name w:val="HTML Preformatted"/>
    <w:basedOn w:val="1"/>
    <w:link w:val="104"/>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59">
    <w:name w:val="index 2"/>
    <w:basedOn w:val="1"/>
    <w:next w:val="1"/>
    <w:autoRedefine/>
    <w:unhideWhenUsed/>
    <w:qFormat/>
    <w:uiPriority w:val="0"/>
    <w:pPr>
      <w:ind w:left="200" w:leftChars="200"/>
    </w:pPr>
    <w:rPr>
      <w:rFonts w:ascii="Calibri" w:hAnsi="Calibri"/>
      <w:szCs w:val="22"/>
    </w:rPr>
  </w:style>
  <w:style w:type="paragraph" w:styleId="60">
    <w:name w:val="Title"/>
    <w:basedOn w:val="1"/>
    <w:link w:val="105"/>
    <w:autoRedefine/>
    <w:qFormat/>
    <w:uiPriority w:val="0"/>
    <w:pPr>
      <w:spacing w:before="240" w:after="60"/>
      <w:jc w:val="center"/>
      <w:outlineLvl w:val="0"/>
    </w:pPr>
    <w:rPr>
      <w:rFonts w:ascii="Cambria" w:hAnsi="Cambria"/>
      <w:b/>
      <w:bCs/>
      <w:sz w:val="32"/>
      <w:szCs w:val="32"/>
    </w:rPr>
  </w:style>
  <w:style w:type="paragraph" w:styleId="61">
    <w:name w:val="annotation subject"/>
    <w:basedOn w:val="20"/>
    <w:next w:val="20"/>
    <w:link w:val="106"/>
    <w:autoRedefine/>
    <w:unhideWhenUsed/>
    <w:qFormat/>
    <w:uiPriority w:val="99"/>
    <w:rPr>
      <w:b/>
      <w:bCs/>
    </w:rPr>
  </w:style>
  <w:style w:type="paragraph" w:styleId="62">
    <w:name w:val="Body Text First Indent"/>
    <w:basedOn w:val="24"/>
    <w:link w:val="77"/>
    <w:autoRedefine/>
    <w:qFormat/>
    <w:uiPriority w:val="0"/>
    <w:pPr>
      <w:ind w:firstLine="420" w:firstLineChars="100"/>
    </w:pPr>
  </w:style>
  <w:style w:type="paragraph" w:styleId="63">
    <w:name w:val="Body Text First Indent 2"/>
    <w:basedOn w:val="27"/>
    <w:link w:val="107"/>
    <w:autoRedefine/>
    <w:qFormat/>
    <w:uiPriority w:val="99"/>
    <w:pPr>
      <w:widowControl/>
      <w:ind w:firstLine="420" w:firstLineChars="200"/>
    </w:pPr>
    <w:rPr>
      <w:rFonts w:ascii="仿宋_GB2312" w:eastAsia="仿宋_GB2312"/>
      <w:color w:val="FF6600"/>
      <w:kern w:val="2"/>
      <w:sz w:val="21"/>
      <w:szCs w:val="20"/>
    </w:rPr>
  </w:style>
  <w:style w:type="table" w:styleId="65">
    <w:name w:val="Table Grid"/>
    <w:basedOn w:val="6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0"/>
    <w:rPr>
      <w:b/>
    </w:rPr>
  </w:style>
  <w:style w:type="character" w:styleId="68">
    <w:name w:val="endnote reference"/>
    <w:autoRedefine/>
    <w:unhideWhenUsed/>
    <w:qFormat/>
    <w:uiPriority w:val="0"/>
    <w:rPr>
      <w:vertAlign w:val="superscript"/>
    </w:rPr>
  </w:style>
  <w:style w:type="character" w:styleId="69">
    <w:name w:val="page number"/>
    <w:autoRedefine/>
    <w:unhideWhenUsed/>
    <w:qFormat/>
    <w:uiPriority w:val="0"/>
  </w:style>
  <w:style w:type="character" w:styleId="70">
    <w:name w:val="FollowedHyperlink"/>
    <w:autoRedefine/>
    <w:unhideWhenUsed/>
    <w:qFormat/>
    <w:uiPriority w:val="99"/>
    <w:rPr>
      <w:color w:val="954F72"/>
      <w:u w:val="single"/>
    </w:rPr>
  </w:style>
  <w:style w:type="character" w:styleId="71">
    <w:name w:val="Emphasis"/>
    <w:autoRedefine/>
    <w:qFormat/>
    <w:uiPriority w:val="0"/>
    <w:rPr>
      <w:i/>
      <w:iCs/>
    </w:rPr>
  </w:style>
  <w:style w:type="character" w:styleId="72">
    <w:name w:val="HTML Typewriter"/>
    <w:autoRedefine/>
    <w:unhideWhenUsed/>
    <w:qFormat/>
    <w:uiPriority w:val="0"/>
    <w:rPr>
      <w:rFonts w:hint="eastAsia" w:ascii="宋体" w:hAnsi="Times New Roman" w:eastAsia="宋体" w:cs="宋体"/>
      <w:sz w:val="24"/>
      <w:szCs w:val="24"/>
      <w:lang w:bidi="ar-SA"/>
    </w:rPr>
  </w:style>
  <w:style w:type="character" w:styleId="73">
    <w:name w:val="Hyperlink"/>
    <w:autoRedefine/>
    <w:unhideWhenUsed/>
    <w:qFormat/>
    <w:uiPriority w:val="99"/>
    <w:rPr>
      <w:color w:val="0000FF"/>
      <w:u w:val="single"/>
    </w:rPr>
  </w:style>
  <w:style w:type="character" w:styleId="74">
    <w:name w:val="annotation reference"/>
    <w:autoRedefine/>
    <w:qFormat/>
    <w:uiPriority w:val="99"/>
    <w:rPr>
      <w:sz w:val="21"/>
      <w:szCs w:val="21"/>
    </w:rPr>
  </w:style>
  <w:style w:type="character" w:styleId="75">
    <w:name w:val="footnote reference"/>
    <w:autoRedefine/>
    <w:unhideWhenUsed/>
    <w:qFormat/>
    <w:uiPriority w:val="0"/>
    <w:rPr>
      <w:vertAlign w:val="superscript"/>
    </w:rPr>
  </w:style>
  <w:style w:type="character" w:customStyle="1" w:styleId="76">
    <w:name w:val="正文文本 Char"/>
    <w:link w:val="24"/>
    <w:autoRedefine/>
    <w:qFormat/>
    <w:uiPriority w:val="0"/>
    <w:rPr>
      <w:rFonts w:ascii="华文彩云" w:hAnsi="宋体" w:eastAsia="华文彩云"/>
      <w:bCs/>
      <w:color w:val="000000"/>
      <w:kern w:val="2"/>
      <w:sz w:val="28"/>
      <w:szCs w:val="24"/>
    </w:rPr>
  </w:style>
  <w:style w:type="character" w:customStyle="1" w:styleId="77">
    <w:name w:val="正文首行缩进 Char"/>
    <w:link w:val="62"/>
    <w:autoRedefine/>
    <w:qFormat/>
    <w:uiPriority w:val="0"/>
    <w:rPr>
      <w:rFonts w:ascii="华文彩云" w:hAnsi="宋体" w:eastAsia="华文彩云"/>
      <w:bCs/>
      <w:color w:val="000000"/>
      <w:kern w:val="2"/>
      <w:sz w:val="28"/>
      <w:szCs w:val="24"/>
    </w:rPr>
  </w:style>
  <w:style w:type="character" w:customStyle="1" w:styleId="78">
    <w:name w:val="标题 1 Char"/>
    <w:link w:val="2"/>
    <w:autoRedefine/>
    <w:qFormat/>
    <w:uiPriority w:val="0"/>
    <w:rPr>
      <w:rFonts w:ascii="Times New Roman" w:hAnsi="Times New Roman" w:eastAsia="宋体" w:cs="Times New Roman"/>
      <w:b/>
      <w:bCs/>
      <w:kern w:val="44"/>
      <w:sz w:val="44"/>
      <w:szCs w:val="44"/>
    </w:rPr>
  </w:style>
  <w:style w:type="character" w:customStyle="1" w:styleId="79">
    <w:name w:val="标题 2 Char"/>
    <w:link w:val="3"/>
    <w:autoRedefine/>
    <w:qFormat/>
    <w:uiPriority w:val="0"/>
    <w:rPr>
      <w:rFonts w:ascii="Cambria" w:hAnsi="Cambria" w:eastAsia="宋体" w:cs="黑体"/>
      <w:b/>
      <w:bCs/>
      <w:sz w:val="32"/>
      <w:szCs w:val="32"/>
    </w:rPr>
  </w:style>
  <w:style w:type="character" w:customStyle="1" w:styleId="80">
    <w:name w:val="标题 3 Char"/>
    <w:link w:val="4"/>
    <w:autoRedefine/>
    <w:qFormat/>
    <w:uiPriority w:val="0"/>
    <w:rPr>
      <w:rFonts w:ascii="Times New Roman" w:hAnsi="Times New Roman" w:eastAsia="宋体" w:cs="Times New Roman"/>
      <w:b/>
      <w:bCs/>
      <w:sz w:val="32"/>
      <w:szCs w:val="32"/>
    </w:rPr>
  </w:style>
  <w:style w:type="character" w:customStyle="1" w:styleId="81">
    <w:name w:val="标题 4 Char"/>
    <w:link w:val="5"/>
    <w:autoRedefine/>
    <w:qFormat/>
    <w:uiPriority w:val="0"/>
    <w:rPr>
      <w:rFonts w:ascii="Cambria" w:hAnsi="Cambria" w:eastAsia="宋体" w:cs="黑体"/>
      <w:b/>
      <w:bCs/>
      <w:sz w:val="28"/>
      <w:szCs w:val="28"/>
    </w:rPr>
  </w:style>
  <w:style w:type="character" w:customStyle="1" w:styleId="82">
    <w:name w:val="标题 5 Char"/>
    <w:link w:val="6"/>
    <w:autoRedefine/>
    <w:qFormat/>
    <w:uiPriority w:val="0"/>
    <w:rPr>
      <w:rFonts w:ascii="Times New Roman" w:hAnsi="Times New Roman" w:eastAsia="宋体" w:cs="Times New Roman"/>
      <w:b/>
      <w:bCs/>
      <w:sz w:val="28"/>
      <w:szCs w:val="28"/>
    </w:rPr>
  </w:style>
  <w:style w:type="character" w:customStyle="1" w:styleId="83">
    <w:name w:val="标题 6 Char"/>
    <w:link w:val="7"/>
    <w:autoRedefine/>
    <w:qFormat/>
    <w:uiPriority w:val="0"/>
    <w:rPr>
      <w:rFonts w:ascii="Cambria" w:hAnsi="Cambria" w:eastAsia="宋体" w:cs="黑体"/>
      <w:b/>
      <w:bCs/>
      <w:sz w:val="24"/>
      <w:szCs w:val="24"/>
    </w:rPr>
  </w:style>
  <w:style w:type="character" w:customStyle="1" w:styleId="84">
    <w:name w:val="标题 7 Char"/>
    <w:link w:val="8"/>
    <w:autoRedefine/>
    <w:qFormat/>
    <w:uiPriority w:val="0"/>
    <w:rPr>
      <w:b/>
      <w:bCs/>
      <w:kern w:val="2"/>
      <w:sz w:val="24"/>
      <w:szCs w:val="24"/>
    </w:rPr>
  </w:style>
  <w:style w:type="character" w:customStyle="1" w:styleId="85">
    <w:name w:val="标题 8 Char"/>
    <w:link w:val="9"/>
    <w:autoRedefine/>
    <w:qFormat/>
    <w:uiPriority w:val="0"/>
    <w:rPr>
      <w:b/>
      <w:kern w:val="2"/>
      <w:sz w:val="24"/>
      <w:szCs w:val="24"/>
    </w:rPr>
  </w:style>
  <w:style w:type="character" w:customStyle="1" w:styleId="86">
    <w:name w:val="标题 9 Char"/>
    <w:link w:val="10"/>
    <w:autoRedefine/>
    <w:qFormat/>
    <w:uiPriority w:val="0"/>
    <w:rPr>
      <w:rFonts w:ascii="仿宋_GB2312" w:hAnsi="Calibri" w:eastAsia="仿宋_GB2312"/>
      <w:kern w:val="2"/>
      <w:sz w:val="32"/>
      <w:szCs w:val="22"/>
    </w:rPr>
  </w:style>
  <w:style w:type="character" w:customStyle="1" w:styleId="87">
    <w:name w:val="正文缩进 Char"/>
    <w:link w:val="15"/>
    <w:autoRedefine/>
    <w:qFormat/>
    <w:locked/>
    <w:uiPriority w:val="0"/>
    <w:rPr>
      <w:szCs w:val="24"/>
    </w:rPr>
  </w:style>
  <w:style w:type="character" w:customStyle="1" w:styleId="88">
    <w:name w:val="题注 Char"/>
    <w:link w:val="16"/>
    <w:autoRedefine/>
    <w:qFormat/>
    <w:locked/>
    <w:uiPriority w:val="0"/>
    <w:rPr>
      <w:rFonts w:ascii="Arial" w:hAnsi="Arial" w:cs="Arial"/>
      <w:kern w:val="2"/>
      <w:sz w:val="24"/>
    </w:rPr>
  </w:style>
  <w:style w:type="character" w:customStyle="1" w:styleId="89">
    <w:name w:val="文档结构图 Char"/>
    <w:link w:val="19"/>
    <w:autoRedefine/>
    <w:qFormat/>
    <w:uiPriority w:val="99"/>
    <w:rPr>
      <w:kern w:val="2"/>
      <w:sz w:val="21"/>
      <w:szCs w:val="24"/>
      <w:shd w:val="clear" w:color="auto" w:fill="000080"/>
    </w:rPr>
  </w:style>
  <w:style w:type="character" w:customStyle="1" w:styleId="90">
    <w:name w:val="批注文字 Char"/>
    <w:link w:val="20"/>
    <w:autoRedefine/>
    <w:qFormat/>
    <w:uiPriority w:val="99"/>
    <w:rPr>
      <w:kern w:val="2"/>
      <w:sz w:val="21"/>
      <w:szCs w:val="24"/>
    </w:rPr>
  </w:style>
  <w:style w:type="character" w:customStyle="1" w:styleId="91">
    <w:name w:val="正文文本 3 Char"/>
    <w:link w:val="22"/>
    <w:autoRedefine/>
    <w:qFormat/>
    <w:uiPriority w:val="0"/>
    <w:rPr>
      <w:rFonts w:ascii="楷体_GB2312" w:hAnsi="Arial" w:eastAsia="楷体_GB2312" w:cs="Arial"/>
      <w:b/>
      <w:bCs/>
      <w:color w:val="000000"/>
      <w:kern w:val="2"/>
      <w:sz w:val="24"/>
      <w:szCs w:val="24"/>
    </w:rPr>
  </w:style>
  <w:style w:type="character" w:customStyle="1" w:styleId="92">
    <w:name w:val="正文文本缩进 Char"/>
    <w:link w:val="27"/>
    <w:autoRedefine/>
    <w:qFormat/>
    <w:uiPriority w:val="0"/>
    <w:rPr>
      <w:rFonts w:ascii="Times New Roman" w:hAnsi="Times New Roman" w:eastAsia="宋体" w:cs="Times New Roman"/>
      <w:szCs w:val="24"/>
    </w:rPr>
  </w:style>
  <w:style w:type="character" w:customStyle="1" w:styleId="93">
    <w:name w:val="HTML 地址 Char"/>
    <w:link w:val="30"/>
    <w:autoRedefine/>
    <w:qFormat/>
    <w:uiPriority w:val="0"/>
    <w:rPr>
      <w:rFonts w:ascii="Calibri" w:hAnsi="Calibri" w:cs="宋体"/>
      <w:i/>
      <w:iCs/>
      <w:kern w:val="2"/>
      <w:sz w:val="21"/>
      <w:szCs w:val="22"/>
    </w:rPr>
  </w:style>
  <w:style w:type="character" w:customStyle="1" w:styleId="94">
    <w:name w:val="纯文本 Char"/>
    <w:link w:val="33"/>
    <w:autoRedefine/>
    <w:qFormat/>
    <w:uiPriority w:val="0"/>
    <w:rPr>
      <w:rFonts w:ascii="宋体" w:hAnsi="Courier New"/>
      <w:kern w:val="2"/>
      <w:sz w:val="21"/>
    </w:rPr>
  </w:style>
  <w:style w:type="character" w:customStyle="1" w:styleId="95">
    <w:name w:val="日期 Char"/>
    <w:link w:val="37"/>
    <w:autoRedefine/>
    <w:qFormat/>
    <w:uiPriority w:val="0"/>
    <w:rPr>
      <w:rFonts w:ascii="仿宋_GB2312" w:hAnsi="Courier New" w:eastAsia="仿宋_GB2312"/>
      <w:kern w:val="2"/>
      <w:sz w:val="28"/>
    </w:rPr>
  </w:style>
  <w:style w:type="character" w:customStyle="1" w:styleId="96">
    <w:name w:val="正文文本缩进 2 Char"/>
    <w:link w:val="38"/>
    <w:autoRedefine/>
    <w:qFormat/>
    <w:uiPriority w:val="99"/>
    <w:rPr>
      <w:kern w:val="2"/>
      <w:sz w:val="21"/>
      <w:szCs w:val="24"/>
    </w:rPr>
  </w:style>
  <w:style w:type="character" w:customStyle="1" w:styleId="97">
    <w:name w:val="尾注文本 Char"/>
    <w:link w:val="39"/>
    <w:autoRedefine/>
    <w:qFormat/>
    <w:uiPriority w:val="0"/>
    <w:rPr>
      <w:rFonts w:ascii="宋体" w:hAnsi="Calibri"/>
      <w:bCs/>
      <w:sz w:val="21"/>
      <w:szCs w:val="21"/>
    </w:rPr>
  </w:style>
  <w:style w:type="character" w:customStyle="1" w:styleId="98">
    <w:name w:val="批注框文本 Char"/>
    <w:link w:val="40"/>
    <w:autoRedefine/>
    <w:qFormat/>
    <w:uiPriority w:val="99"/>
    <w:rPr>
      <w:rFonts w:ascii="Times New Roman" w:hAnsi="Times New Roman" w:eastAsia="宋体" w:cs="Times New Roman"/>
      <w:sz w:val="18"/>
      <w:szCs w:val="18"/>
    </w:rPr>
  </w:style>
  <w:style w:type="character" w:customStyle="1" w:styleId="99">
    <w:name w:val="页脚 Char"/>
    <w:link w:val="41"/>
    <w:autoRedefine/>
    <w:qFormat/>
    <w:uiPriority w:val="99"/>
    <w:rPr>
      <w:kern w:val="2"/>
      <w:sz w:val="18"/>
      <w:szCs w:val="18"/>
    </w:rPr>
  </w:style>
  <w:style w:type="character" w:customStyle="1" w:styleId="100">
    <w:name w:val="页眉 Char"/>
    <w:link w:val="42"/>
    <w:autoRedefine/>
    <w:qFormat/>
    <w:uiPriority w:val="99"/>
    <w:rPr>
      <w:rFonts w:ascii="Times New Roman" w:hAnsi="Times New Roman" w:eastAsia="宋体" w:cs="Times New Roman"/>
      <w:sz w:val="18"/>
      <w:szCs w:val="18"/>
    </w:rPr>
  </w:style>
  <w:style w:type="character" w:customStyle="1" w:styleId="101">
    <w:name w:val="脚注文本 Char"/>
    <w:link w:val="48"/>
    <w:autoRedefine/>
    <w:qFormat/>
    <w:uiPriority w:val="0"/>
    <w:rPr>
      <w:rFonts w:ascii="宋体" w:hAnsi="Calibri"/>
      <w:bCs/>
      <w:sz w:val="18"/>
      <w:szCs w:val="18"/>
    </w:rPr>
  </w:style>
  <w:style w:type="character" w:customStyle="1" w:styleId="102">
    <w:name w:val="正文文本缩进 3 Char"/>
    <w:link w:val="50"/>
    <w:autoRedefine/>
    <w:qFormat/>
    <w:uiPriority w:val="0"/>
    <w:rPr>
      <w:rFonts w:eastAsia="楷体_GB2312"/>
      <w:kern w:val="2"/>
      <w:sz w:val="21"/>
      <w:szCs w:val="24"/>
    </w:rPr>
  </w:style>
  <w:style w:type="character" w:customStyle="1" w:styleId="103">
    <w:name w:val="正文文本 2 Char"/>
    <w:link w:val="55"/>
    <w:autoRedefine/>
    <w:qFormat/>
    <w:uiPriority w:val="99"/>
    <w:rPr>
      <w:rFonts w:ascii="楷体_GB2312" w:eastAsia="楷体_GB2312"/>
      <w:kern w:val="2"/>
      <w:sz w:val="28"/>
      <w:szCs w:val="24"/>
    </w:rPr>
  </w:style>
  <w:style w:type="character" w:customStyle="1" w:styleId="104">
    <w:name w:val="HTML 预设格式 Char"/>
    <w:link w:val="57"/>
    <w:autoRedefine/>
    <w:qFormat/>
    <w:uiPriority w:val="0"/>
    <w:rPr>
      <w:rFonts w:ascii="Arial" w:hAnsi="Arial" w:cs="Arial"/>
      <w:sz w:val="24"/>
      <w:szCs w:val="22"/>
    </w:rPr>
  </w:style>
  <w:style w:type="character" w:customStyle="1" w:styleId="105">
    <w:name w:val="标题 Char"/>
    <w:link w:val="60"/>
    <w:autoRedefine/>
    <w:qFormat/>
    <w:uiPriority w:val="0"/>
    <w:rPr>
      <w:rFonts w:ascii="Cambria" w:hAnsi="Cambria"/>
      <w:b/>
      <w:bCs/>
      <w:kern w:val="2"/>
      <w:sz w:val="32"/>
      <w:szCs w:val="32"/>
    </w:rPr>
  </w:style>
  <w:style w:type="character" w:customStyle="1" w:styleId="106">
    <w:name w:val="批注主题 Char"/>
    <w:link w:val="61"/>
    <w:autoRedefine/>
    <w:qFormat/>
    <w:uiPriority w:val="99"/>
    <w:rPr>
      <w:b/>
      <w:bCs/>
      <w:kern w:val="2"/>
      <w:sz w:val="21"/>
      <w:szCs w:val="24"/>
    </w:rPr>
  </w:style>
  <w:style w:type="character" w:customStyle="1" w:styleId="107">
    <w:name w:val="正文首行缩进 2 Char"/>
    <w:link w:val="63"/>
    <w:autoRedefine/>
    <w:qFormat/>
    <w:uiPriority w:val="99"/>
    <w:rPr>
      <w:rFonts w:ascii="仿宋_GB2312" w:eastAsia="仿宋_GB2312"/>
      <w:color w:val="FF6600"/>
      <w:kern w:val="2"/>
      <w:sz w:val="21"/>
    </w:rPr>
  </w:style>
  <w:style w:type="character" w:customStyle="1" w:styleId="108">
    <w:name w:val="样式2 Char Char"/>
    <w:link w:val="109"/>
    <w:autoRedefine/>
    <w:qFormat/>
    <w:uiPriority w:val="0"/>
    <w:rPr>
      <w:b/>
      <w:bCs/>
      <w:kern w:val="44"/>
      <w:sz w:val="28"/>
      <w:szCs w:val="44"/>
    </w:rPr>
  </w:style>
  <w:style w:type="paragraph" w:customStyle="1" w:styleId="109">
    <w:name w:val="样式2"/>
    <w:basedOn w:val="2"/>
    <w:link w:val="108"/>
    <w:autoRedefine/>
    <w:qFormat/>
    <w:uiPriority w:val="0"/>
    <w:pPr>
      <w:adjustRightInd w:val="0"/>
      <w:snapToGrid w:val="0"/>
      <w:spacing w:line="360" w:lineRule="auto"/>
    </w:pPr>
    <w:rPr>
      <w:sz w:val="28"/>
    </w:rPr>
  </w:style>
  <w:style w:type="character" w:customStyle="1" w:styleId="110">
    <w:name w:val="param-name"/>
    <w:autoRedefine/>
    <w:qFormat/>
    <w:uiPriority w:val="0"/>
  </w:style>
  <w:style w:type="character" w:customStyle="1" w:styleId="111">
    <w:name w:val="纯文本 Char1"/>
    <w:autoRedefine/>
    <w:semiHidden/>
    <w:qFormat/>
    <w:uiPriority w:val="0"/>
    <w:rPr>
      <w:rFonts w:ascii="宋体" w:hAnsi="Courier New" w:cs="Courier New"/>
      <w:kern w:val="2"/>
      <w:sz w:val="21"/>
      <w:szCs w:val="21"/>
    </w:rPr>
  </w:style>
  <w:style w:type="character" w:customStyle="1" w:styleId="112">
    <w:name w:val="正文缩进2格 Char Char"/>
    <w:link w:val="113"/>
    <w:autoRedefine/>
    <w:qFormat/>
    <w:locked/>
    <w:uiPriority w:val="0"/>
    <w:rPr>
      <w:rFonts w:ascii="仿宋_GB2312" w:hAnsi="宋体" w:eastAsia="仿宋_GB2312"/>
      <w:sz w:val="31"/>
      <w:szCs w:val="28"/>
    </w:rPr>
  </w:style>
  <w:style w:type="paragraph" w:customStyle="1" w:styleId="113">
    <w:name w:val="正文缩进2格"/>
    <w:basedOn w:val="1"/>
    <w:link w:val="112"/>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114">
    <w:name w:val="列出段落 Char"/>
    <w:link w:val="115"/>
    <w:autoRedefine/>
    <w:qFormat/>
    <w:locked/>
    <w:uiPriority w:val="34"/>
  </w:style>
  <w:style w:type="paragraph" w:customStyle="1" w:styleId="115">
    <w:name w:val="列出段落1"/>
    <w:basedOn w:val="1"/>
    <w:link w:val="114"/>
    <w:autoRedefine/>
    <w:qFormat/>
    <w:uiPriority w:val="34"/>
    <w:pPr>
      <w:ind w:firstLine="420" w:firstLineChars="200"/>
    </w:pPr>
    <w:rPr>
      <w:rFonts w:ascii="Calibri" w:hAnsi="Calibri" w:cs="黑体"/>
      <w:szCs w:val="22"/>
    </w:rPr>
  </w:style>
  <w:style w:type="character" w:customStyle="1" w:styleId="116">
    <w:name w:val="段落正文 字符"/>
    <w:link w:val="117"/>
    <w:autoRedefine/>
    <w:qFormat/>
    <w:uiPriority w:val="0"/>
    <w:rPr>
      <w:kern w:val="2"/>
      <w:sz w:val="24"/>
      <w:szCs w:val="21"/>
    </w:rPr>
  </w:style>
  <w:style w:type="paragraph" w:customStyle="1" w:styleId="117">
    <w:name w:val="段落正文"/>
    <w:basedOn w:val="1"/>
    <w:link w:val="116"/>
    <w:autoRedefine/>
    <w:qFormat/>
    <w:uiPriority w:val="0"/>
    <w:pPr>
      <w:spacing w:line="360" w:lineRule="auto"/>
      <w:ind w:firstLine="200" w:firstLineChars="200"/>
    </w:pPr>
    <w:rPr>
      <w:sz w:val="24"/>
      <w:szCs w:val="21"/>
    </w:rPr>
  </w:style>
  <w:style w:type="character" w:customStyle="1" w:styleId="118">
    <w:name w:val="纯文本 Char Char Char Char"/>
    <w:autoRedefine/>
    <w:qFormat/>
    <w:uiPriority w:val="0"/>
    <w:rPr>
      <w:rFonts w:ascii="宋体" w:hAnsi="Courier New"/>
      <w:kern w:val="2"/>
      <w:sz w:val="21"/>
    </w:rPr>
  </w:style>
  <w:style w:type="character" w:customStyle="1" w:styleId="119">
    <w:name w:val="apple-converted-space"/>
    <w:autoRedefine/>
    <w:qFormat/>
    <w:uiPriority w:val="0"/>
  </w:style>
  <w:style w:type="character" w:customStyle="1" w:styleId="120">
    <w:name w:val="fontstyle01"/>
    <w:autoRedefine/>
    <w:qFormat/>
    <w:uiPriority w:val="0"/>
    <w:rPr>
      <w:rFonts w:hint="eastAsia" w:ascii="宋体" w:hAnsi="宋体" w:eastAsia="宋体"/>
      <w:color w:val="000000"/>
      <w:sz w:val="22"/>
      <w:szCs w:val="22"/>
    </w:rPr>
  </w:style>
  <w:style w:type="character" w:customStyle="1" w:styleId="121">
    <w:name w:val="无间隔 Char"/>
    <w:link w:val="122"/>
    <w:autoRedefine/>
    <w:qFormat/>
    <w:uiPriority w:val="1"/>
    <w:rPr>
      <w:rFonts w:ascii="Calibri" w:hAnsi="Calibri" w:eastAsia="仿宋_GB2312"/>
      <w:kern w:val="2"/>
      <w:sz w:val="28"/>
      <w:szCs w:val="22"/>
      <w:lang w:val="en-US" w:eastAsia="zh-CN" w:bidi="ar-SA"/>
    </w:rPr>
  </w:style>
  <w:style w:type="paragraph" w:styleId="122">
    <w:name w:val="No Spacing"/>
    <w:link w:val="121"/>
    <w:autoRedefine/>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3">
    <w:name w:val="标题 1 Char Char"/>
    <w:autoRedefine/>
    <w:qFormat/>
    <w:uiPriority w:val="0"/>
    <w:rPr>
      <w:rFonts w:hint="eastAsia" w:ascii="宋体" w:hAnsi="宋体" w:eastAsia="宋体"/>
      <w:b/>
      <w:spacing w:val="-2"/>
      <w:sz w:val="24"/>
      <w:lang w:val="en-US" w:eastAsia="zh-CN"/>
    </w:rPr>
  </w:style>
  <w:style w:type="character" w:customStyle="1" w:styleId="124">
    <w:name w:val="fontstyle21"/>
    <w:autoRedefine/>
    <w:qFormat/>
    <w:uiPriority w:val="0"/>
    <w:rPr>
      <w:rFonts w:hint="default" w:ascii="Calibri" w:hAnsi="Calibri" w:cs="Calibri"/>
      <w:color w:val="000000"/>
      <w:sz w:val="22"/>
      <w:szCs w:val="22"/>
    </w:rPr>
  </w:style>
  <w:style w:type="paragraph" w:customStyle="1" w:styleId="125">
    <w:name w:val="表中文字"/>
    <w:basedOn w:val="1"/>
    <w:next w:val="1"/>
    <w:autoRedefine/>
    <w:qFormat/>
    <w:uiPriority w:val="0"/>
    <w:pPr>
      <w:widowControl/>
      <w:spacing w:line="320" w:lineRule="exact"/>
      <w:jc w:val="center"/>
    </w:pPr>
    <w:rPr>
      <w:color w:val="000000"/>
      <w:szCs w:val="20"/>
    </w:rPr>
  </w:style>
  <w:style w:type="paragraph" w:customStyle="1" w:styleId="126">
    <w:name w:val="Style Normal Indent表正文正文非缩进特点ALT+Z标题4段1正文（首行缩进两字） Char正文（首行...1"/>
    <w:basedOn w:val="15"/>
    <w:autoRedefine/>
    <w:qFormat/>
    <w:uiPriority w:val="0"/>
    <w:pPr>
      <w:spacing w:line="360" w:lineRule="auto"/>
      <w:ind w:firstLine="590" w:firstLineChars="246"/>
    </w:pPr>
    <w:rPr>
      <w:sz w:val="24"/>
    </w:rPr>
  </w:style>
  <w:style w:type="paragraph" w:styleId="127">
    <w:name w:val="List Paragraph"/>
    <w:basedOn w:val="1"/>
    <w:autoRedefine/>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8">
    <w:name w:val="列出段落2"/>
    <w:basedOn w:val="1"/>
    <w:autoRedefine/>
    <w:qFormat/>
    <w:uiPriority w:val="34"/>
    <w:pPr>
      <w:ind w:firstLine="420" w:firstLineChars="200"/>
    </w:pPr>
    <w:rPr>
      <w:szCs w:val="20"/>
    </w:rPr>
  </w:style>
  <w:style w:type="paragraph" w:customStyle="1" w:styleId="129">
    <w:name w:val="正文1"/>
    <w:basedOn w:val="1"/>
    <w:autoRedefine/>
    <w:qFormat/>
    <w:uiPriority w:val="0"/>
    <w:pPr>
      <w:spacing w:line="300" w:lineRule="auto"/>
      <w:contextualSpacing/>
    </w:pPr>
    <w:rPr>
      <w:rFonts w:ascii="Arial" w:hAnsi="Arial" w:cs="Arial"/>
      <w:sz w:val="24"/>
    </w:rPr>
  </w:style>
  <w:style w:type="paragraph" w:customStyle="1" w:styleId="130">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GP正文(首行缩进)"/>
    <w:basedOn w:val="1"/>
    <w:autoRedefine/>
    <w:qFormat/>
    <w:uiPriority w:val="0"/>
    <w:pPr>
      <w:spacing w:line="360" w:lineRule="auto"/>
      <w:ind w:firstLine="480" w:firstLineChars="200"/>
      <w:jc w:val="left"/>
    </w:pPr>
    <w:rPr>
      <w:rFonts w:hAnsi="宋体"/>
      <w:sz w:val="24"/>
    </w:rPr>
  </w:style>
  <w:style w:type="paragraph" w:customStyle="1" w:styleId="132">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133">
    <w:name w:val="表内容"/>
    <w:basedOn w:val="1"/>
    <w:autoRedefine/>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4">
    <w:name w:val="p0"/>
    <w:basedOn w:val="1"/>
    <w:autoRedefine/>
    <w:qFormat/>
    <w:uiPriority w:val="0"/>
    <w:pPr>
      <w:widowControl/>
    </w:pPr>
    <w:rPr>
      <w:kern w:val="0"/>
      <w:szCs w:val="21"/>
    </w:rPr>
  </w:style>
  <w:style w:type="paragraph" w:customStyle="1" w:styleId="135">
    <w:name w:val="纯文本2"/>
    <w:basedOn w:val="1"/>
    <w:autoRedefine/>
    <w:qFormat/>
    <w:uiPriority w:val="0"/>
    <w:rPr>
      <w:rFonts w:ascii="宋体" w:hAnsi="Courier New"/>
      <w:sz w:val="28"/>
    </w:rPr>
  </w:style>
  <w:style w:type="paragraph" w:customStyle="1" w:styleId="136">
    <w:name w:val="从CC出差"/>
    <w:basedOn w:val="109"/>
    <w:autoRedefine/>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7">
    <w:name w:val="样式 标题 2 + 黑色 行距: 1.5 倍行距"/>
    <w:basedOn w:val="3"/>
    <w:autoRedefine/>
    <w:qFormat/>
    <w:uiPriority w:val="99"/>
    <w:pPr>
      <w:spacing w:line="360" w:lineRule="auto"/>
      <w:ind w:firstLine="3502" w:firstLineChars="1246"/>
    </w:pPr>
    <w:rPr>
      <w:rFonts w:ascii="楷体_GB2312" w:hAnsi="宋体" w:eastAsia="楷体_GB2312" w:cs="仿宋_GB2312"/>
      <w:sz w:val="28"/>
      <w:szCs w:val="28"/>
    </w:rPr>
  </w:style>
  <w:style w:type="paragraph" w:customStyle="1" w:styleId="138">
    <w:name w:val="HU正文"/>
    <w:basedOn w:val="1"/>
    <w:autoRedefine/>
    <w:qFormat/>
    <w:uiPriority w:val="0"/>
    <w:pPr>
      <w:adjustRightInd w:val="0"/>
      <w:spacing w:line="312" w:lineRule="auto"/>
      <w:ind w:left="420" w:firstLine="420" w:firstLineChars="200"/>
      <w:textAlignment w:val="baseline"/>
    </w:pPr>
    <w:rPr>
      <w:szCs w:val="21"/>
    </w:rPr>
  </w:style>
  <w:style w:type="table" w:customStyle="1" w:styleId="139">
    <w:name w:val="网格型1"/>
    <w:basedOn w:val="64"/>
    <w:autoRedefine/>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0">
    <w:name w:val="p15"/>
    <w:basedOn w:val="1"/>
    <w:autoRedefine/>
    <w:qFormat/>
    <w:uiPriority w:val="0"/>
    <w:pPr>
      <w:widowControl/>
      <w:ind w:firstLine="420"/>
    </w:pPr>
    <w:rPr>
      <w:kern w:val="0"/>
      <w:szCs w:val="20"/>
    </w:rPr>
  </w:style>
  <w:style w:type="paragraph" w:customStyle="1" w:styleId="141">
    <w:name w:val="_Style 88"/>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2">
    <w:name w:val="style91"/>
    <w:autoRedefine/>
    <w:qFormat/>
    <w:uiPriority w:val="0"/>
    <w:rPr>
      <w:color w:val="2060C0"/>
      <w:sz w:val="24"/>
      <w:szCs w:val="24"/>
    </w:rPr>
  </w:style>
  <w:style w:type="character" w:customStyle="1" w:styleId="143">
    <w:name w:val="Comment Text Char"/>
    <w:autoRedefine/>
    <w:qFormat/>
    <w:uiPriority w:val="0"/>
    <w:rPr>
      <w:rFonts w:hint="default" w:ascii="Times New Roman" w:hAnsi="Times New Roman" w:cs="Times New Roman"/>
      <w:sz w:val="21"/>
      <w:szCs w:val="21"/>
      <w:lang w:bidi="ar-SA"/>
    </w:rPr>
  </w:style>
  <w:style w:type="character" w:customStyle="1" w:styleId="144">
    <w:name w:val="ca-1"/>
    <w:autoRedefine/>
    <w:qFormat/>
    <w:uiPriority w:val="0"/>
  </w:style>
  <w:style w:type="character" w:customStyle="1" w:styleId="145">
    <w:name w:val="纯文本 Char_0"/>
    <w:link w:val="146"/>
    <w:autoRedefine/>
    <w:qFormat/>
    <w:locked/>
    <w:uiPriority w:val="0"/>
    <w:rPr>
      <w:rFonts w:ascii="宋体" w:hAnsi="Courier New"/>
      <w:kern w:val="2"/>
      <w:sz w:val="21"/>
      <w:szCs w:val="21"/>
    </w:rPr>
  </w:style>
  <w:style w:type="paragraph" w:customStyle="1" w:styleId="146">
    <w:name w:val="纯文本_0"/>
    <w:basedOn w:val="147"/>
    <w:link w:val="145"/>
    <w:autoRedefine/>
    <w:qFormat/>
    <w:uiPriority w:val="0"/>
    <w:rPr>
      <w:rFonts w:ascii="宋体" w:hAnsi="Courier New"/>
      <w:szCs w:val="21"/>
    </w:rPr>
  </w:style>
  <w:style w:type="paragraph" w:customStyle="1" w:styleId="147">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Char Char23"/>
    <w:autoRedefine/>
    <w:qFormat/>
    <w:uiPriority w:val="0"/>
    <w:rPr>
      <w:kern w:val="2"/>
      <w:sz w:val="24"/>
      <w:szCs w:val="21"/>
      <w:lang w:bidi="ar-SA"/>
    </w:rPr>
  </w:style>
  <w:style w:type="character" w:customStyle="1" w:styleId="149">
    <w:name w:val="Char Char1"/>
    <w:autoRedefine/>
    <w:qFormat/>
    <w:uiPriority w:val="0"/>
    <w:rPr>
      <w:rFonts w:hint="eastAsia" w:ascii="宋体" w:hAnsi="宋体" w:eastAsia="宋体"/>
      <w:kern w:val="2"/>
      <w:sz w:val="21"/>
      <w:lang w:val="en-US" w:eastAsia="zh-CN"/>
    </w:rPr>
  </w:style>
  <w:style w:type="character" w:customStyle="1" w:styleId="150">
    <w:name w:val="ca-31"/>
    <w:autoRedefine/>
    <w:qFormat/>
    <w:uiPriority w:val="0"/>
    <w:rPr>
      <w:rFonts w:hint="eastAsia" w:ascii="宋体" w:hAnsi="宋体" w:eastAsia="宋体"/>
      <w:color w:val="000000"/>
      <w:sz w:val="21"/>
      <w:szCs w:val="21"/>
    </w:rPr>
  </w:style>
  <w:style w:type="character" w:customStyle="1" w:styleId="151">
    <w:name w:val="wj1"/>
    <w:autoRedefine/>
    <w:qFormat/>
    <w:uiPriority w:val="0"/>
    <w:rPr>
      <w:color w:val="000000"/>
      <w:sz w:val="18"/>
      <w:szCs w:val="18"/>
      <w:u w:val="none"/>
    </w:rPr>
  </w:style>
  <w:style w:type="character" w:customStyle="1" w:styleId="152">
    <w:name w:val="Header Char"/>
    <w:autoRedefine/>
    <w:qFormat/>
    <w:uiPriority w:val="0"/>
    <w:rPr>
      <w:rFonts w:hint="eastAsia" w:ascii="宋体" w:hAnsi="宋体" w:eastAsia="宋体"/>
      <w:kern w:val="2"/>
      <w:sz w:val="18"/>
      <w:lang w:val="en-US" w:eastAsia="zh-CN"/>
    </w:rPr>
  </w:style>
  <w:style w:type="character" w:customStyle="1" w:styleId="153">
    <w:name w:val="List Paragraph Char"/>
    <w:link w:val="154"/>
    <w:autoRedefine/>
    <w:qFormat/>
    <w:locked/>
    <w:uiPriority w:val="99"/>
    <w:rPr>
      <w:rFonts w:ascii="Calibri" w:hAnsi="Calibri"/>
      <w:kern w:val="2"/>
      <w:sz w:val="21"/>
      <w:szCs w:val="22"/>
    </w:rPr>
  </w:style>
  <w:style w:type="paragraph" w:customStyle="1" w:styleId="154">
    <w:name w:val="列出段落11"/>
    <w:basedOn w:val="1"/>
    <w:link w:val="153"/>
    <w:autoRedefine/>
    <w:qFormat/>
    <w:uiPriority w:val="99"/>
    <w:pPr>
      <w:ind w:firstLine="200" w:firstLineChars="200"/>
    </w:pPr>
    <w:rPr>
      <w:rFonts w:ascii="Calibri" w:hAnsi="Calibri"/>
      <w:szCs w:val="22"/>
    </w:rPr>
  </w:style>
  <w:style w:type="character" w:customStyle="1" w:styleId="155">
    <w:name w:val="ca-41"/>
    <w:autoRedefine/>
    <w:qFormat/>
    <w:uiPriority w:val="0"/>
    <w:rPr>
      <w:rFonts w:hint="eastAsia" w:ascii="宋体" w:hAnsi="宋体" w:eastAsia="宋体"/>
      <w:b/>
      <w:bCs/>
      <w:color w:val="000000"/>
      <w:spacing w:val="-20"/>
      <w:sz w:val="21"/>
      <w:szCs w:val="21"/>
    </w:rPr>
  </w:style>
  <w:style w:type="character" w:customStyle="1" w:styleId="156">
    <w:name w:val="z12 style23"/>
    <w:autoRedefine/>
    <w:qFormat/>
    <w:uiPriority w:val="0"/>
  </w:style>
  <w:style w:type="character" w:customStyle="1" w:styleId="157">
    <w:name w:val="段 Char"/>
    <w:link w:val="158"/>
    <w:autoRedefine/>
    <w:qFormat/>
    <w:locked/>
    <w:uiPriority w:val="0"/>
    <w:rPr>
      <w:rFonts w:ascii="宋体"/>
      <w:sz w:val="21"/>
      <w:lang w:val="en-US" w:eastAsia="zh-CN" w:bidi="ar-SA"/>
    </w:rPr>
  </w:style>
  <w:style w:type="paragraph" w:customStyle="1" w:styleId="158">
    <w:name w:val="段"/>
    <w:link w:val="15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9">
    <w:name w:val="Heading 4 Char"/>
    <w:autoRedefine/>
    <w:qFormat/>
    <w:uiPriority w:val="0"/>
    <w:rPr>
      <w:rFonts w:hint="default" w:ascii="Cambria" w:hAnsi="Cambria" w:eastAsia="宋体" w:cs="Cambria"/>
      <w:b/>
      <w:bCs/>
      <w:sz w:val="28"/>
      <w:szCs w:val="28"/>
      <w:lang w:bidi="ar-SA"/>
    </w:rPr>
  </w:style>
  <w:style w:type="character" w:customStyle="1" w:styleId="160">
    <w:name w:val="Heading 2 Char"/>
    <w:autoRedefine/>
    <w:qFormat/>
    <w:uiPriority w:val="0"/>
    <w:rPr>
      <w:rFonts w:hint="default" w:ascii="Arial" w:hAnsi="Arial" w:eastAsia="黑体" w:cs="Arial"/>
      <w:b/>
      <w:bCs/>
      <w:kern w:val="2"/>
      <w:sz w:val="32"/>
      <w:szCs w:val="32"/>
      <w:lang w:val="en-US" w:eastAsia="zh-CN" w:bidi="ar-SA"/>
    </w:rPr>
  </w:style>
  <w:style w:type="character" w:customStyle="1" w:styleId="161">
    <w:name w:val="纯文本 Char_0_0"/>
    <w:link w:val="162"/>
    <w:autoRedefine/>
    <w:qFormat/>
    <w:locked/>
    <w:uiPriority w:val="0"/>
    <w:rPr>
      <w:rFonts w:ascii="宋体" w:hAnsi="Courier New"/>
      <w:szCs w:val="21"/>
    </w:rPr>
  </w:style>
  <w:style w:type="paragraph" w:customStyle="1" w:styleId="162">
    <w:name w:val="纯文本_0_0"/>
    <w:basedOn w:val="163"/>
    <w:link w:val="161"/>
    <w:autoRedefine/>
    <w:qFormat/>
    <w:uiPriority w:val="0"/>
    <w:rPr>
      <w:rFonts w:ascii="宋体" w:hAnsi="Courier New"/>
      <w:szCs w:val="21"/>
    </w:rPr>
  </w:style>
  <w:style w:type="paragraph" w:customStyle="1" w:styleId="163">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4">
    <w:name w:val="Plain Text Char"/>
    <w:autoRedefine/>
    <w:qFormat/>
    <w:locked/>
    <w:uiPriority w:val="0"/>
    <w:rPr>
      <w:rFonts w:ascii="宋体" w:hAnsi="Courier New" w:eastAsia="宋体"/>
      <w:kern w:val="2"/>
      <w:sz w:val="21"/>
      <w:lang w:val="en-US" w:eastAsia="zh-CN" w:bidi="ar-SA"/>
    </w:rPr>
  </w:style>
  <w:style w:type="character" w:customStyle="1" w:styleId="165">
    <w:name w:val="正文缩进 Char1_0"/>
    <w:link w:val="166"/>
    <w:autoRedefine/>
    <w:qFormat/>
    <w:locked/>
    <w:uiPriority w:val="0"/>
    <w:rPr>
      <w:kern w:val="2"/>
      <w:sz w:val="21"/>
      <w:szCs w:val="22"/>
    </w:rPr>
  </w:style>
  <w:style w:type="paragraph" w:customStyle="1" w:styleId="166">
    <w:name w:val="正文缩进_0"/>
    <w:basedOn w:val="147"/>
    <w:link w:val="165"/>
    <w:autoRedefine/>
    <w:qFormat/>
    <w:uiPriority w:val="0"/>
    <w:pPr>
      <w:ind w:firstLine="420" w:firstLineChars="200"/>
    </w:pPr>
    <w:rPr>
      <w:szCs w:val="22"/>
    </w:rPr>
  </w:style>
  <w:style w:type="character" w:customStyle="1" w:styleId="167">
    <w:name w:val="Char Char3"/>
    <w:autoRedefine/>
    <w:qFormat/>
    <w:uiPriority w:val="0"/>
    <w:rPr>
      <w:rFonts w:hint="default" w:ascii="Arial" w:hAnsi="Arial" w:eastAsia="黑体" w:cs="Times New Roman"/>
      <w:b/>
      <w:bCs/>
      <w:kern w:val="2"/>
      <w:sz w:val="32"/>
      <w:szCs w:val="32"/>
      <w:lang w:val="en-US" w:eastAsia="zh-CN" w:bidi="ar-SA"/>
    </w:rPr>
  </w:style>
  <w:style w:type="character" w:customStyle="1" w:styleId="168">
    <w:name w:val="Font Style29"/>
    <w:autoRedefine/>
    <w:qFormat/>
    <w:uiPriority w:val="0"/>
    <w:rPr>
      <w:rFonts w:ascii="Arial" w:hAnsi="Arial" w:cs="Arial"/>
      <w:sz w:val="14"/>
      <w:szCs w:val="14"/>
    </w:rPr>
  </w:style>
  <w:style w:type="character" w:customStyle="1" w:styleId="169">
    <w:name w:val="font21"/>
    <w:autoRedefine/>
    <w:qFormat/>
    <w:uiPriority w:val="0"/>
    <w:rPr>
      <w:rFonts w:hint="default" w:ascii="Times New Roman" w:hAnsi="Times New Roman" w:cs="Times New Roman"/>
      <w:color w:val="000000"/>
      <w:sz w:val="20"/>
      <w:u w:val="none"/>
    </w:rPr>
  </w:style>
  <w:style w:type="character" w:customStyle="1" w:styleId="170">
    <w:name w:val="Font Style36"/>
    <w:qFormat/>
    <w:uiPriority w:val="0"/>
    <w:rPr>
      <w:rFonts w:ascii="宋体" w:eastAsia="宋体" w:cs="宋体"/>
      <w:sz w:val="16"/>
      <w:szCs w:val="16"/>
    </w:rPr>
  </w:style>
  <w:style w:type="character" w:customStyle="1" w:styleId="171">
    <w:name w:val="maywed421"/>
    <w:qFormat/>
    <w:uiPriority w:val="0"/>
    <w:rPr>
      <w:color w:val="366FB6"/>
      <w:u w:val="none"/>
    </w:rPr>
  </w:style>
  <w:style w:type="character" w:customStyle="1" w:styleId="172">
    <w:name w:val="ca-01"/>
    <w:qFormat/>
    <w:uiPriority w:val="0"/>
    <w:rPr>
      <w:rFonts w:hint="eastAsia" w:ascii="宋体" w:hAnsi="宋体" w:eastAsia="宋体"/>
      <w:b/>
      <w:bCs/>
      <w:spacing w:val="-20"/>
      <w:sz w:val="24"/>
      <w:szCs w:val="24"/>
    </w:rPr>
  </w:style>
  <w:style w:type="character" w:customStyle="1" w:styleId="173">
    <w:name w:val="正文文本 Char1"/>
    <w:qFormat/>
    <w:uiPriority w:val="0"/>
    <w:rPr>
      <w:rFonts w:ascii="华文彩云" w:hAnsi="宋体" w:eastAsia="华文彩云"/>
      <w:bCs/>
      <w:color w:val="000000"/>
      <w:kern w:val="2"/>
      <w:sz w:val="28"/>
      <w:szCs w:val="24"/>
    </w:rPr>
  </w:style>
  <w:style w:type="character" w:customStyle="1" w:styleId="174">
    <w:name w:val="正文（编号） Char Char"/>
    <w:link w:val="175"/>
    <w:qFormat/>
    <w:locked/>
    <w:uiPriority w:val="0"/>
    <w:rPr>
      <w:kern w:val="2"/>
      <w:sz w:val="24"/>
      <w:szCs w:val="24"/>
    </w:rPr>
  </w:style>
  <w:style w:type="paragraph" w:customStyle="1" w:styleId="175">
    <w:name w:val="正文（编号）"/>
    <w:basedOn w:val="176"/>
    <w:link w:val="174"/>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6">
    <w:name w:val="正文（缩进）"/>
    <w:basedOn w:val="1"/>
    <w:autoRedefine/>
    <w:qFormat/>
    <w:uiPriority w:val="0"/>
    <w:pPr>
      <w:spacing w:beforeLines="50" w:afterLines="50" w:line="360" w:lineRule="auto"/>
      <w:ind w:firstLine="200" w:firstLineChars="200"/>
    </w:pPr>
    <w:rPr>
      <w:rFonts w:ascii="Calibri" w:hAnsi="Calibri"/>
      <w:sz w:val="24"/>
      <w:szCs w:val="22"/>
    </w:rPr>
  </w:style>
  <w:style w:type="character" w:customStyle="1" w:styleId="177">
    <w:name w:val="正文（缩进） Char Char"/>
    <w:qFormat/>
    <w:uiPriority w:val="0"/>
    <w:rPr>
      <w:rFonts w:hint="eastAsia" w:ascii="宋体" w:hAnsi="宋体" w:eastAsia="宋体"/>
      <w:kern w:val="2"/>
      <w:sz w:val="24"/>
      <w:szCs w:val="24"/>
      <w:lang w:val="en-US" w:eastAsia="zh-CN" w:bidi="ar-SA"/>
    </w:rPr>
  </w:style>
  <w:style w:type="character" w:customStyle="1" w:styleId="178">
    <w:name w:val="Footer Char"/>
    <w:autoRedefine/>
    <w:qFormat/>
    <w:uiPriority w:val="0"/>
    <w:rPr>
      <w:rFonts w:hint="eastAsia" w:ascii="宋体" w:hAnsi="宋体" w:eastAsia="宋体"/>
      <w:kern w:val="2"/>
      <w:sz w:val="18"/>
      <w:lang w:val="en-US" w:eastAsia="zh-CN"/>
    </w:rPr>
  </w:style>
  <w:style w:type="character" w:customStyle="1" w:styleId="179">
    <w:name w:val="批注文字 Char2"/>
    <w:qFormat/>
    <w:uiPriority w:val="0"/>
    <w:rPr>
      <w:kern w:val="2"/>
      <w:sz w:val="21"/>
      <w:szCs w:val="24"/>
    </w:rPr>
  </w:style>
  <w:style w:type="character" w:customStyle="1" w:styleId="180">
    <w:name w:val="纯文本 Char_1"/>
    <w:link w:val="181"/>
    <w:qFormat/>
    <w:locked/>
    <w:uiPriority w:val="0"/>
    <w:rPr>
      <w:rFonts w:ascii="Calibri" w:hAnsi="Calibri"/>
      <w:kern w:val="2"/>
      <w:sz w:val="21"/>
      <w:szCs w:val="22"/>
    </w:rPr>
  </w:style>
  <w:style w:type="paragraph" w:customStyle="1" w:styleId="181">
    <w:name w:val="纯文本_1"/>
    <w:basedOn w:val="1"/>
    <w:link w:val="180"/>
    <w:autoRedefine/>
    <w:qFormat/>
    <w:uiPriority w:val="0"/>
    <w:rPr>
      <w:rFonts w:ascii="Calibri" w:hAnsi="Calibri"/>
      <w:szCs w:val="22"/>
    </w:rPr>
  </w:style>
  <w:style w:type="character" w:customStyle="1" w:styleId="182">
    <w:name w:val="Char Char"/>
    <w:qFormat/>
    <w:uiPriority w:val="0"/>
    <w:rPr>
      <w:rFonts w:hint="eastAsia" w:ascii="宋体" w:hAnsi="宋体" w:eastAsia="宋体"/>
      <w:kern w:val="2"/>
      <w:sz w:val="18"/>
      <w:lang w:val="en-US" w:eastAsia="zh-CN"/>
    </w:rPr>
  </w:style>
  <w:style w:type="character" w:customStyle="1" w:styleId="183">
    <w:name w:val="Plain Text Char1"/>
    <w:qFormat/>
    <w:uiPriority w:val="0"/>
    <w:rPr>
      <w:rFonts w:hint="eastAsia" w:ascii="宋体" w:hAnsi="宋体" w:eastAsia="宋体"/>
      <w:kern w:val="2"/>
      <w:sz w:val="21"/>
      <w:szCs w:val="21"/>
      <w:lang w:val="en-US" w:eastAsia="zh-CN" w:bidi="ar-SA"/>
    </w:rPr>
  </w:style>
  <w:style w:type="character" w:customStyle="1" w:styleId="184">
    <w:name w:val="ca-51"/>
    <w:qFormat/>
    <w:uiPriority w:val="0"/>
    <w:rPr>
      <w:rFonts w:hint="eastAsia" w:ascii="楷体_GB2312" w:eastAsia="楷体_GB2312"/>
      <w:b/>
      <w:bCs/>
      <w:spacing w:val="-20"/>
      <w:sz w:val="24"/>
      <w:szCs w:val="24"/>
    </w:rPr>
  </w:style>
  <w:style w:type="character" w:customStyle="1" w:styleId="185">
    <w:name w:val="正文文本_"/>
    <w:link w:val="186"/>
    <w:qFormat/>
    <w:locked/>
    <w:uiPriority w:val="99"/>
    <w:rPr>
      <w:rFonts w:ascii="宋体" w:hAnsi="宋体"/>
      <w:sz w:val="22"/>
      <w:lang w:val="zh-CN"/>
    </w:rPr>
  </w:style>
  <w:style w:type="paragraph" w:customStyle="1" w:styleId="186">
    <w:name w:val="正文文本1"/>
    <w:basedOn w:val="1"/>
    <w:link w:val="185"/>
    <w:qFormat/>
    <w:uiPriority w:val="99"/>
    <w:pPr>
      <w:spacing w:line="432" w:lineRule="auto"/>
      <w:jc w:val="left"/>
    </w:pPr>
    <w:rPr>
      <w:rFonts w:ascii="宋体" w:hAnsi="宋体"/>
      <w:kern w:val="0"/>
      <w:sz w:val="22"/>
      <w:szCs w:val="20"/>
      <w:lang w:val="zh-CN"/>
    </w:rPr>
  </w:style>
  <w:style w:type="character" w:customStyle="1" w:styleId="187">
    <w:name w:val="Heading 3 Char"/>
    <w:autoRedefine/>
    <w:qFormat/>
    <w:uiPriority w:val="0"/>
    <w:rPr>
      <w:rFonts w:hint="default" w:ascii="Times New Roman" w:hAnsi="Times New Roman" w:cs="Times New Roman"/>
      <w:b/>
      <w:bCs/>
      <w:sz w:val="32"/>
      <w:szCs w:val="32"/>
      <w:lang w:bidi="ar-SA"/>
    </w:rPr>
  </w:style>
  <w:style w:type="character" w:customStyle="1" w:styleId="188">
    <w:name w:val="ca-11"/>
    <w:autoRedefine/>
    <w:qFormat/>
    <w:uiPriority w:val="0"/>
    <w:rPr>
      <w:rFonts w:hint="eastAsia" w:ascii="宋体" w:hAnsi="宋体" w:eastAsia="宋体"/>
      <w:b/>
      <w:bCs/>
      <w:color w:val="000000"/>
      <w:spacing w:val="-20"/>
      <w:sz w:val="28"/>
      <w:szCs w:val="28"/>
    </w:rPr>
  </w:style>
  <w:style w:type="character" w:customStyle="1" w:styleId="189">
    <w:name w:val="z1"/>
    <w:autoRedefine/>
    <w:qFormat/>
    <w:uiPriority w:val="0"/>
  </w:style>
  <w:style w:type="character" w:customStyle="1" w:styleId="190">
    <w:name w:val="正文（标记） Char2"/>
    <w:link w:val="191"/>
    <w:autoRedefine/>
    <w:qFormat/>
    <w:locked/>
    <w:uiPriority w:val="0"/>
    <w:rPr>
      <w:kern w:val="2"/>
      <w:sz w:val="24"/>
      <w:szCs w:val="24"/>
    </w:rPr>
  </w:style>
  <w:style w:type="paragraph" w:customStyle="1" w:styleId="191">
    <w:name w:val="正文（标记）"/>
    <w:basedOn w:val="1"/>
    <w:link w:val="190"/>
    <w:autoRedefine/>
    <w:qFormat/>
    <w:uiPriority w:val="0"/>
    <w:pPr>
      <w:tabs>
        <w:tab w:val="left" w:pos="0"/>
        <w:tab w:val="left" w:pos="840"/>
      </w:tabs>
      <w:spacing w:beforeLines="50" w:afterLines="50"/>
    </w:pPr>
    <w:rPr>
      <w:sz w:val="24"/>
    </w:rPr>
  </w:style>
  <w:style w:type="character" w:customStyle="1" w:styleId="192">
    <w:name w:val="Header Char1"/>
    <w:autoRedefine/>
    <w:qFormat/>
    <w:uiPriority w:val="0"/>
    <w:rPr>
      <w:rFonts w:hint="default" w:ascii="Times New Roman" w:hAnsi="Times New Roman" w:cs="Times New Roman"/>
      <w:sz w:val="18"/>
      <w:szCs w:val="18"/>
      <w:lang w:bidi="ar-SA"/>
    </w:rPr>
  </w:style>
  <w:style w:type="character" w:customStyle="1" w:styleId="193">
    <w:name w:val="Font Style37"/>
    <w:autoRedefine/>
    <w:qFormat/>
    <w:uiPriority w:val="0"/>
    <w:rPr>
      <w:rFonts w:ascii="Arial" w:hAnsi="Arial" w:cs="Arial"/>
      <w:sz w:val="16"/>
      <w:szCs w:val="16"/>
    </w:rPr>
  </w:style>
  <w:style w:type="character" w:customStyle="1" w:styleId="194">
    <w:name w:val="Char Char2"/>
    <w:autoRedefine/>
    <w:qFormat/>
    <w:uiPriority w:val="0"/>
    <w:rPr>
      <w:kern w:val="2"/>
      <w:sz w:val="18"/>
      <w:szCs w:val="18"/>
    </w:rPr>
  </w:style>
  <w:style w:type="character" w:customStyle="1" w:styleId="195">
    <w:name w:val="Font Style28"/>
    <w:autoRedefine/>
    <w:qFormat/>
    <w:uiPriority w:val="0"/>
    <w:rPr>
      <w:rFonts w:ascii="Constantia" w:hAnsi="Constantia" w:cs="Constantia"/>
      <w:sz w:val="28"/>
      <w:szCs w:val="28"/>
    </w:rPr>
  </w:style>
  <w:style w:type="character" w:customStyle="1" w:styleId="196">
    <w:name w:val="style15"/>
    <w:autoRedefine/>
    <w:qFormat/>
    <w:uiPriority w:val="0"/>
  </w:style>
  <w:style w:type="character" w:customStyle="1" w:styleId="197">
    <w:name w:val="+正文 Char3"/>
    <w:link w:val="198"/>
    <w:autoRedefine/>
    <w:qFormat/>
    <w:uiPriority w:val="0"/>
    <w:rPr>
      <w:rFonts w:ascii="Calibri" w:hAnsi="Calibri"/>
      <w:kern w:val="2"/>
      <w:sz w:val="24"/>
      <w:szCs w:val="28"/>
    </w:rPr>
  </w:style>
  <w:style w:type="paragraph" w:customStyle="1" w:styleId="198">
    <w:name w:val="+正文"/>
    <w:basedOn w:val="1"/>
    <w:link w:val="197"/>
    <w:autoRedefine/>
    <w:qFormat/>
    <w:uiPriority w:val="0"/>
    <w:pPr>
      <w:spacing w:line="360" w:lineRule="auto"/>
      <w:ind w:firstLine="200" w:firstLineChars="200"/>
    </w:pPr>
    <w:rPr>
      <w:rFonts w:ascii="Calibri" w:hAnsi="Calibri"/>
      <w:sz w:val="24"/>
      <w:szCs w:val="28"/>
    </w:rPr>
  </w:style>
  <w:style w:type="character" w:customStyle="1" w:styleId="199">
    <w:name w:val="Footer Char1"/>
    <w:autoRedefine/>
    <w:qFormat/>
    <w:uiPriority w:val="0"/>
    <w:rPr>
      <w:rFonts w:hint="default" w:ascii="Times New Roman" w:hAnsi="Times New Roman" w:cs="Times New Roman"/>
      <w:sz w:val="18"/>
      <w:szCs w:val="18"/>
      <w:lang w:bidi="ar-SA"/>
    </w:rPr>
  </w:style>
  <w:style w:type="character" w:customStyle="1" w:styleId="200">
    <w:name w:val="Font Style30"/>
    <w:autoRedefine/>
    <w:qFormat/>
    <w:uiPriority w:val="0"/>
    <w:rPr>
      <w:rFonts w:ascii="宋体" w:eastAsia="宋体" w:cs="宋体"/>
      <w:sz w:val="14"/>
      <w:szCs w:val="14"/>
    </w:rPr>
  </w:style>
  <w:style w:type="character" w:customStyle="1" w:styleId="201">
    <w:name w:val="ca-21"/>
    <w:autoRedefine/>
    <w:qFormat/>
    <w:uiPriority w:val="0"/>
    <w:rPr>
      <w:rFonts w:hint="eastAsia" w:ascii="宋体" w:hAnsi="宋体" w:eastAsia="宋体"/>
      <w:sz w:val="21"/>
    </w:rPr>
  </w:style>
  <w:style w:type="character" w:customStyle="1" w:styleId="202">
    <w:name w:val="超链接_0"/>
    <w:autoRedefine/>
    <w:qFormat/>
    <w:uiPriority w:val="99"/>
    <w:rPr>
      <w:rFonts w:hint="default" w:ascii="Calibri" w:hAnsi="Calibri"/>
      <w:color w:val="0000FF"/>
      <w:u w:val="single"/>
    </w:rPr>
  </w:style>
  <w:style w:type="character" w:customStyle="1" w:styleId="203">
    <w:name w:val="marklong"/>
    <w:autoRedefine/>
    <w:qFormat/>
    <w:uiPriority w:val="0"/>
  </w:style>
  <w:style w:type="character" w:customStyle="1" w:styleId="204">
    <w:name w:val="style161"/>
    <w:autoRedefine/>
    <w:qFormat/>
    <w:uiPriority w:val="0"/>
    <w:rPr>
      <w:rFonts w:hint="default" w:ascii="Verdana" w:hAnsi="Verdana" w:eastAsia="宋体"/>
      <w:b/>
      <w:color w:val="0A246A"/>
      <w:sz w:val="24"/>
      <w:szCs w:val="24"/>
      <w:lang w:val="en-US" w:eastAsia="zh-CN" w:bidi="ar-SA"/>
    </w:rPr>
  </w:style>
  <w:style w:type="character" w:customStyle="1" w:styleId="205">
    <w:name w:val="其他_"/>
    <w:link w:val="206"/>
    <w:autoRedefine/>
    <w:qFormat/>
    <w:locked/>
    <w:uiPriority w:val="99"/>
    <w:rPr>
      <w:rFonts w:ascii="宋体" w:hAnsi="宋体"/>
      <w:sz w:val="22"/>
      <w:lang w:val="zh-CN"/>
    </w:rPr>
  </w:style>
  <w:style w:type="paragraph" w:customStyle="1" w:styleId="206">
    <w:name w:val="其他"/>
    <w:basedOn w:val="1"/>
    <w:link w:val="205"/>
    <w:autoRedefine/>
    <w:qFormat/>
    <w:uiPriority w:val="99"/>
    <w:pPr>
      <w:spacing w:line="432" w:lineRule="auto"/>
      <w:jc w:val="left"/>
    </w:pPr>
    <w:rPr>
      <w:rFonts w:ascii="宋体" w:hAnsi="宋体"/>
      <w:kern w:val="0"/>
      <w:sz w:val="22"/>
      <w:szCs w:val="20"/>
      <w:lang w:val="zh-CN"/>
    </w:rPr>
  </w:style>
  <w:style w:type="character" w:customStyle="1" w:styleId="207">
    <w:name w:val="question-title"/>
    <w:autoRedefine/>
    <w:qFormat/>
    <w:uiPriority w:val="0"/>
  </w:style>
  <w:style w:type="character" w:customStyle="1" w:styleId="208">
    <w:name w:val="标题 2 Char Char Char"/>
    <w:autoRedefine/>
    <w:qFormat/>
    <w:uiPriority w:val="0"/>
    <w:rPr>
      <w:rFonts w:hint="default" w:ascii="Arial" w:hAnsi="Arial" w:eastAsia="宋体" w:cs="Arial"/>
      <w:b/>
      <w:bCs/>
      <w:i/>
      <w:iCs/>
      <w:sz w:val="28"/>
      <w:szCs w:val="28"/>
      <w:lang w:val="en-US" w:eastAsia="zh-CN" w:bidi="ar-SA"/>
    </w:rPr>
  </w:style>
  <w:style w:type="character" w:customStyle="1" w:styleId="209">
    <w:name w:val="段落 Char"/>
    <w:autoRedefine/>
    <w:qFormat/>
    <w:uiPriority w:val="0"/>
    <w:rPr>
      <w:rFonts w:hint="eastAsia" w:ascii="仿宋_GB2312" w:eastAsia="仿宋_GB2312"/>
      <w:kern w:val="2"/>
      <w:sz w:val="24"/>
      <w:szCs w:val="24"/>
      <w:lang w:val="en-US" w:eastAsia="zh-CN" w:bidi="ar-SA"/>
    </w:rPr>
  </w:style>
  <w:style w:type="paragraph" w:customStyle="1" w:styleId="210">
    <w:name w:val="pa-4"/>
    <w:basedOn w:val="1"/>
    <w:qFormat/>
    <w:uiPriority w:val="0"/>
    <w:pPr>
      <w:widowControl/>
      <w:spacing w:line="280" w:lineRule="atLeast"/>
      <w:jc w:val="center"/>
    </w:pPr>
    <w:rPr>
      <w:rFonts w:ascii="宋体" w:hAnsi="Calibri" w:cs="宋体"/>
      <w:kern w:val="0"/>
      <w:sz w:val="24"/>
      <w:szCs w:val="22"/>
    </w:rPr>
  </w:style>
  <w:style w:type="paragraph" w:customStyle="1" w:styleId="211">
    <w:name w:val="_Style 56"/>
    <w:basedOn w:val="19"/>
    <w:autoRedefine/>
    <w:qFormat/>
    <w:uiPriority w:val="0"/>
    <w:pPr>
      <w:spacing w:line="436" w:lineRule="exact"/>
    </w:pPr>
    <w:rPr>
      <w:szCs w:val="20"/>
    </w:rPr>
  </w:style>
  <w:style w:type="paragraph" w:customStyle="1" w:styleId="212">
    <w:name w:val="Normal_20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13">
    <w:name w:val="Char Char Char Char Char Char Char1 Char"/>
    <w:basedOn w:val="1"/>
    <w:autoRedefine/>
    <w:qFormat/>
    <w:uiPriority w:val="0"/>
    <w:rPr>
      <w:rFonts w:ascii="Tahoma" w:hAnsi="Tahoma"/>
      <w:sz w:val="24"/>
      <w:szCs w:val="20"/>
    </w:rPr>
  </w:style>
  <w:style w:type="paragraph" w:customStyle="1" w:styleId="214">
    <w:name w:val="三级条标题"/>
    <w:basedOn w:val="215"/>
    <w:next w:val="158"/>
    <w:autoRedefine/>
    <w:qFormat/>
    <w:uiPriority w:val="0"/>
    <w:pPr>
      <w:ind w:left="1050"/>
      <w:outlineLvl w:val="4"/>
    </w:pPr>
  </w:style>
  <w:style w:type="paragraph" w:customStyle="1" w:styleId="215">
    <w:name w:val="二级条标题"/>
    <w:basedOn w:val="216"/>
    <w:next w:val="158"/>
    <w:autoRedefine/>
    <w:qFormat/>
    <w:uiPriority w:val="0"/>
    <w:pPr>
      <w:ind w:left="360"/>
      <w:outlineLvl w:val="3"/>
    </w:pPr>
  </w:style>
  <w:style w:type="paragraph" w:customStyle="1" w:styleId="216">
    <w:name w:val="一级条标题"/>
    <w:next w:val="158"/>
    <w:autoRedefine/>
    <w:qFormat/>
    <w:uiPriority w:val="0"/>
    <w:pPr>
      <w:outlineLvl w:val="2"/>
    </w:pPr>
    <w:rPr>
      <w:rFonts w:ascii="Times New Roman" w:hAnsi="Times New Roman" w:eastAsia="黑体" w:cs="Times New Roman"/>
      <w:sz w:val="21"/>
      <w:lang w:val="en-US" w:eastAsia="zh-CN" w:bidi="ar-SA"/>
    </w:rPr>
  </w:style>
  <w:style w:type="paragraph" w:customStyle="1" w:styleId="21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8">
    <w:name w:val="HTML 地址 Char1"/>
    <w:autoRedefine/>
    <w:semiHidden/>
    <w:qFormat/>
    <w:uiPriority w:val="0"/>
    <w:rPr>
      <w:i/>
      <w:iCs/>
      <w:kern w:val="2"/>
      <w:sz w:val="21"/>
      <w:szCs w:val="24"/>
    </w:rPr>
  </w:style>
  <w:style w:type="paragraph" w:customStyle="1" w:styleId="219">
    <w:name w:val="技术方案正文"/>
    <w:basedOn w:val="1"/>
    <w:autoRedefine/>
    <w:qFormat/>
    <w:uiPriority w:val="0"/>
    <w:pPr>
      <w:spacing w:line="360" w:lineRule="auto"/>
      <w:ind w:firstLine="480"/>
    </w:pPr>
    <w:rPr>
      <w:rFonts w:ascii="宋体" w:hAnsi="Calibri"/>
      <w:sz w:val="24"/>
      <w:szCs w:val="22"/>
    </w:rPr>
  </w:style>
  <w:style w:type="paragraph" w:customStyle="1" w:styleId="220">
    <w:name w:val="序号-----------"/>
    <w:basedOn w:val="1"/>
    <w:autoRedefine/>
    <w:qFormat/>
    <w:uiPriority w:val="0"/>
    <w:pPr>
      <w:widowControl/>
      <w:jc w:val="left"/>
    </w:pPr>
    <w:rPr>
      <w:rFonts w:ascii="宋体" w:hAnsi="Calibri"/>
      <w:bCs/>
      <w:kern w:val="0"/>
      <w:szCs w:val="21"/>
    </w:rPr>
  </w:style>
  <w:style w:type="paragraph" w:customStyle="1" w:styleId="221">
    <w:name w:val="Normal_6"/>
    <w:autoRedefine/>
    <w:qFormat/>
    <w:uiPriority w:val="0"/>
    <w:rPr>
      <w:rFonts w:ascii="黑体" w:hAnsi="黑体" w:eastAsia="黑体" w:cs="Times New Roman"/>
      <w:b/>
      <w:sz w:val="32"/>
      <w:szCs w:val="24"/>
      <w:lang w:val="en-US" w:eastAsia="zh-CN" w:bidi="ar-SA"/>
    </w:rPr>
  </w:style>
  <w:style w:type="character" w:customStyle="1" w:styleId="222">
    <w:name w:val="脚注文本 Char1"/>
    <w:autoRedefine/>
    <w:semiHidden/>
    <w:qFormat/>
    <w:uiPriority w:val="0"/>
    <w:rPr>
      <w:kern w:val="2"/>
      <w:sz w:val="18"/>
      <w:szCs w:val="18"/>
    </w:rPr>
  </w:style>
  <w:style w:type="paragraph" w:customStyle="1" w:styleId="223">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9"/>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5">
    <w:name w:val="正文文本缩进 2 Char1"/>
    <w:autoRedefine/>
    <w:semiHidden/>
    <w:qFormat/>
    <w:uiPriority w:val="0"/>
    <w:rPr>
      <w:kern w:val="2"/>
      <w:sz w:val="21"/>
      <w:szCs w:val="24"/>
    </w:rPr>
  </w:style>
  <w:style w:type="paragraph" w:customStyle="1" w:styleId="226">
    <w:name w:val="Normal_0_3"/>
    <w:autoRedefine/>
    <w:qFormat/>
    <w:uiPriority w:val="0"/>
    <w:rPr>
      <w:rFonts w:ascii="黑体" w:hAnsi="黑体" w:eastAsia="黑体" w:cs="Times New Roman"/>
      <w:b/>
      <w:sz w:val="32"/>
      <w:szCs w:val="24"/>
      <w:lang w:val="en-US" w:eastAsia="zh-CN" w:bidi="ar-SA"/>
    </w:rPr>
  </w:style>
  <w:style w:type="paragraph" w:customStyle="1" w:styleId="227">
    <w:name w:val="正文_7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Normal_1_2"/>
    <w:autoRedefine/>
    <w:qFormat/>
    <w:uiPriority w:val="0"/>
    <w:rPr>
      <w:rFonts w:ascii="Times New Roman" w:hAnsi="Times New Roman" w:eastAsia="Times New Roman" w:cs="Times New Roman"/>
      <w:sz w:val="24"/>
      <w:szCs w:val="24"/>
      <w:lang w:val="en-US" w:eastAsia="zh-CN" w:bidi="ar-SA"/>
    </w:rPr>
  </w:style>
  <w:style w:type="paragraph" w:customStyle="1" w:styleId="229">
    <w:name w:val="Char"/>
    <w:basedOn w:val="1"/>
    <w:autoRedefine/>
    <w:qFormat/>
    <w:uiPriority w:val="0"/>
    <w:pPr>
      <w:tabs>
        <w:tab w:val="left" w:pos="360"/>
      </w:tabs>
    </w:pPr>
    <w:rPr>
      <w:sz w:val="24"/>
    </w:rPr>
  </w:style>
  <w:style w:type="paragraph" w:customStyle="1" w:styleId="230">
    <w:name w:val="正文_9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1">
    <w:name w:val="样式1"/>
    <w:basedOn w:val="1"/>
    <w:autoRedefine/>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2">
    <w:name w:val="Normal_11_0"/>
    <w:autoRedefine/>
    <w:qFormat/>
    <w:uiPriority w:val="0"/>
    <w:rPr>
      <w:rFonts w:ascii="黑体" w:hAnsi="黑体" w:eastAsia="黑体" w:cs="Times New Roman"/>
      <w:b/>
      <w:sz w:val="32"/>
      <w:szCs w:val="24"/>
      <w:lang w:val="en-US" w:eastAsia="zh-CN" w:bidi="ar-SA"/>
    </w:rPr>
  </w:style>
  <w:style w:type="paragraph" w:customStyle="1" w:styleId="233">
    <w:name w:val="Char Char Char"/>
    <w:basedOn w:val="1"/>
    <w:autoRedefine/>
    <w:qFormat/>
    <w:uiPriority w:val="0"/>
    <w:rPr>
      <w:rFonts w:ascii="Calibri" w:hAnsi="Calibri"/>
      <w:szCs w:val="21"/>
    </w:rPr>
  </w:style>
  <w:style w:type="paragraph" w:customStyle="1" w:styleId="234">
    <w:name w:val="正文_1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5">
    <w:name w:val="Normal_0_1"/>
    <w:autoRedefine/>
    <w:qFormat/>
    <w:uiPriority w:val="0"/>
    <w:rPr>
      <w:rFonts w:ascii="黑体" w:hAnsi="黑体" w:eastAsia="黑体" w:cs="Times New Roman"/>
      <w:b/>
      <w:sz w:val="32"/>
      <w:szCs w:val="24"/>
      <w:lang w:val="en-US" w:eastAsia="zh-CN" w:bidi="ar-SA"/>
    </w:rPr>
  </w:style>
  <w:style w:type="character" w:customStyle="1" w:styleId="236">
    <w:name w:val="标题 Char1"/>
    <w:autoRedefine/>
    <w:qFormat/>
    <w:uiPriority w:val="10"/>
    <w:rPr>
      <w:rFonts w:ascii="Cambria" w:hAnsi="Cambria" w:cs="Times New Roman"/>
      <w:b/>
      <w:bCs/>
      <w:kern w:val="2"/>
      <w:sz w:val="32"/>
      <w:szCs w:val="32"/>
    </w:rPr>
  </w:style>
  <w:style w:type="paragraph" w:customStyle="1" w:styleId="237">
    <w:name w:val="默认段落字体 Para Char Char Char Char Char Char Char Char Char1"/>
    <w:basedOn w:val="1"/>
    <w:autoRedefine/>
    <w:qFormat/>
    <w:uiPriority w:val="0"/>
    <w:rPr>
      <w:rFonts w:ascii="Tahoma" w:hAnsi="Tahoma"/>
      <w:sz w:val="24"/>
      <w:szCs w:val="20"/>
    </w:rPr>
  </w:style>
  <w:style w:type="paragraph" w:customStyle="1" w:styleId="238">
    <w:name w:val="正文_2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0">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样式 正文2 + 首行缩进:  0 厘米 段后: 1.5 行"/>
    <w:basedOn w:val="1"/>
    <w:autoRedefine/>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2">
    <w:name w:val="表格样式居中"/>
    <w:autoRedefine/>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3">
    <w:name w:val="正文首行缩进 2 Char1"/>
    <w:autoRedefine/>
    <w:semiHidden/>
    <w:qFormat/>
    <w:uiPriority w:val="0"/>
    <w:rPr>
      <w:rFonts w:ascii="Times New Roman" w:hAnsi="Times New Roman" w:eastAsia="宋体" w:cs="Times New Roman"/>
      <w:kern w:val="2"/>
      <w:sz w:val="21"/>
      <w:szCs w:val="24"/>
    </w:rPr>
  </w:style>
  <w:style w:type="character" w:customStyle="1" w:styleId="244">
    <w:name w:val="正文文本 2 Char1"/>
    <w:autoRedefine/>
    <w:semiHidden/>
    <w:qFormat/>
    <w:uiPriority w:val="0"/>
    <w:rPr>
      <w:kern w:val="2"/>
      <w:sz w:val="21"/>
      <w:szCs w:val="24"/>
    </w:rPr>
  </w:style>
  <w:style w:type="paragraph" w:customStyle="1" w:styleId="245">
    <w:name w:val="Normal_13_0"/>
    <w:autoRedefine/>
    <w:qFormat/>
    <w:uiPriority w:val="0"/>
    <w:rPr>
      <w:rFonts w:ascii="黑体" w:hAnsi="黑体" w:eastAsia="黑体" w:cs="Times New Roman"/>
      <w:b/>
      <w:sz w:val="32"/>
      <w:szCs w:val="24"/>
      <w:lang w:val="en-US" w:eastAsia="zh-CN" w:bidi="ar-SA"/>
    </w:rPr>
  </w:style>
  <w:style w:type="paragraph" w:customStyle="1" w:styleId="246">
    <w:name w:val="xl31"/>
    <w:basedOn w:val="1"/>
    <w:autoRedefine/>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7">
    <w:name w:val="xl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8">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9">
    <w:name w:val="pa-2"/>
    <w:basedOn w:val="1"/>
    <w:autoRedefine/>
    <w:qFormat/>
    <w:uiPriority w:val="0"/>
    <w:pPr>
      <w:widowControl/>
      <w:spacing w:line="360" w:lineRule="atLeast"/>
    </w:pPr>
    <w:rPr>
      <w:rFonts w:ascii="宋体" w:hAnsi="Calibri" w:cs="宋体"/>
      <w:kern w:val="0"/>
      <w:sz w:val="24"/>
      <w:szCs w:val="22"/>
    </w:rPr>
  </w:style>
  <w:style w:type="paragraph" w:customStyle="1" w:styleId="250">
    <w:name w:val="Normal_20"/>
    <w:autoRedefine/>
    <w:qFormat/>
    <w:uiPriority w:val="0"/>
    <w:rPr>
      <w:rFonts w:ascii="黑体" w:hAnsi="黑体" w:eastAsia="黑体" w:cs="Times New Roman"/>
      <w:b/>
      <w:sz w:val="32"/>
      <w:szCs w:val="24"/>
      <w:lang w:val="en-US" w:eastAsia="zh-CN" w:bidi="ar-SA"/>
    </w:rPr>
  </w:style>
  <w:style w:type="paragraph" w:customStyle="1" w:styleId="251">
    <w:name w:val="正文_1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正文（首行缩进）"/>
    <w:basedOn w:val="1"/>
    <w:autoRedefine/>
    <w:qFormat/>
    <w:uiPriority w:val="0"/>
    <w:pPr>
      <w:widowControl/>
      <w:spacing w:before="120" w:line="360" w:lineRule="auto"/>
      <w:ind w:firstLine="482"/>
    </w:pPr>
    <w:rPr>
      <w:rFonts w:ascii="Calibri" w:hAnsi="Calibri"/>
      <w:sz w:val="24"/>
      <w:szCs w:val="20"/>
    </w:rPr>
  </w:style>
  <w:style w:type="character" w:customStyle="1" w:styleId="253">
    <w:name w:val="HTML 预设格式 Char1"/>
    <w:autoRedefine/>
    <w:semiHidden/>
    <w:qFormat/>
    <w:uiPriority w:val="0"/>
    <w:rPr>
      <w:rFonts w:ascii="Courier New" w:hAnsi="Courier New" w:cs="Courier New"/>
      <w:kern w:val="2"/>
    </w:rPr>
  </w:style>
  <w:style w:type="paragraph" w:customStyle="1" w:styleId="254">
    <w:name w:val="篇名"/>
    <w:next w:val="2"/>
    <w:autoRedefine/>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5">
    <w:name w:val="英文音标"/>
    <w:autoRedefine/>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6">
    <w:name w:val="尾注文本 Char1"/>
    <w:autoRedefine/>
    <w:semiHidden/>
    <w:qFormat/>
    <w:uiPriority w:val="0"/>
    <w:rPr>
      <w:kern w:val="2"/>
      <w:sz w:val="21"/>
      <w:szCs w:val="24"/>
    </w:rPr>
  </w:style>
  <w:style w:type="paragraph" w:customStyle="1" w:styleId="257">
    <w:name w:val="Normal_17"/>
    <w:autoRedefine/>
    <w:qFormat/>
    <w:uiPriority w:val="0"/>
    <w:rPr>
      <w:rFonts w:ascii="黑体" w:hAnsi="黑体" w:eastAsia="黑体" w:cs="Times New Roman"/>
      <w:b/>
      <w:sz w:val="32"/>
      <w:szCs w:val="24"/>
      <w:lang w:val="en-US" w:eastAsia="zh-CN" w:bidi="ar-SA"/>
    </w:rPr>
  </w:style>
  <w:style w:type="paragraph" w:customStyle="1" w:styleId="258">
    <w:name w:val="font8"/>
    <w:basedOn w:val="1"/>
    <w:autoRedefine/>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9">
    <w:name w:val="正文_1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0">
    <w:name w:val="正文文本 3 Char1"/>
    <w:autoRedefine/>
    <w:semiHidden/>
    <w:qFormat/>
    <w:uiPriority w:val="0"/>
    <w:rPr>
      <w:kern w:val="2"/>
      <w:sz w:val="16"/>
      <w:szCs w:val="16"/>
    </w:rPr>
  </w:style>
  <w:style w:type="paragraph" w:customStyle="1" w:styleId="26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Char111"/>
    <w:basedOn w:val="1"/>
    <w:autoRedefine/>
    <w:qFormat/>
    <w:uiPriority w:val="0"/>
    <w:pPr>
      <w:tabs>
        <w:tab w:val="left" w:pos="420"/>
      </w:tabs>
      <w:ind w:left="420" w:hanging="420" w:firstLineChars="200"/>
      <w:jc w:val="left"/>
    </w:pPr>
    <w:rPr>
      <w:szCs w:val="20"/>
    </w:rPr>
  </w:style>
  <w:style w:type="paragraph" w:customStyle="1" w:styleId="263">
    <w:name w:val="正文_11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4">
    <w:name w:val="正文文本缩进 3 Char1"/>
    <w:autoRedefine/>
    <w:semiHidden/>
    <w:qFormat/>
    <w:uiPriority w:val="0"/>
    <w:rPr>
      <w:kern w:val="2"/>
      <w:sz w:val="16"/>
      <w:szCs w:val="16"/>
    </w:rPr>
  </w:style>
  <w:style w:type="paragraph" w:customStyle="1" w:styleId="265">
    <w:name w:val="font9"/>
    <w:basedOn w:val="1"/>
    <w:autoRedefine/>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6">
    <w:name w:val="无间隔1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pa-9"/>
    <w:basedOn w:val="1"/>
    <w:autoRedefine/>
    <w:qFormat/>
    <w:uiPriority w:val="0"/>
    <w:pPr>
      <w:widowControl/>
      <w:spacing w:line="360" w:lineRule="atLeast"/>
      <w:jc w:val="center"/>
    </w:pPr>
    <w:rPr>
      <w:rFonts w:ascii="宋体" w:hAnsi="Calibri" w:cs="宋体"/>
      <w:kern w:val="0"/>
      <w:sz w:val="24"/>
      <w:szCs w:val="22"/>
    </w:rPr>
  </w:style>
  <w:style w:type="paragraph" w:customStyle="1" w:styleId="268">
    <w:name w:val="pa-6"/>
    <w:basedOn w:val="1"/>
    <w:autoRedefine/>
    <w:qFormat/>
    <w:uiPriority w:val="0"/>
    <w:pPr>
      <w:widowControl/>
      <w:spacing w:line="360" w:lineRule="atLeast"/>
    </w:pPr>
    <w:rPr>
      <w:rFonts w:ascii="宋体" w:hAnsi="Calibri"/>
      <w:kern w:val="0"/>
      <w:sz w:val="24"/>
      <w:szCs w:val="20"/>
    </w:rPr>
  </w:style>
  <w:style w:type="character" w:customStyle="1" w:styleId="269">
    <w:name w:val="文档结构图 Char1"/>
    <w:autoRedefine/>
    <w:semiHidden/>
    <w:qFormat/>
    <w:uiPriority w:val="0"/>
    <w:rPr>
      <w:rFonts w:ascii="宋体"/>
      <w:kern w:val="2"/>
      <w:sz w:val="18"/>
      <w:szCs w:val="18"/>
    </w:rPr>
  </w:style>
  <w:style w:type="paragraph" w:customStyle="1" w:styleId="270">
    <w:name w:val="Normal_12"/>
    <w:autoRedefine/>
    <w:qFormat/>
    <w:uiPriority w:val="0"/>
    <w:rPr>
      <w:rFonts w:ascii="黑体" w:hAnsi="黑体" w:eastAsia="黑体" w:cs="Times New Roman"/>
      <w:b/>
      <w:sz w:val="32"/>
      <w:szCs w:val="24"/>
      <w:lang w:val="en-US" w:eastAsia="zh-CN" w:bidi="ar-SA"/>
    </w:rPr>
  </w:style>
  <w:style w:type="paragraph" w:customStyle="1" w:styleId="271">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72">
    <w:name w:val="样式3"/>
    <w:basedOn w:val="4"/>
    <w:autoRedefine/>
    <w:qFormat/>
    <w:uiPriority w:val="0"/>
    <w:pPr>
      <w:spacing w:line="412" w:lineRule="auto"/>
    </w:pPr>
    <w:rPr>
      <w:rFonts w:ascii="Calibri" w:hAnsi="Calibri"/>
      <w:kern w:val="2"/>
      <w:sz w:val="28"/>
      <w:szCs w:val="28"/>
    </w:rPr>
  </w:style>
  <w:style w:type="paragraph" w:customStyle="1" w:styleId="273">
    <w:name w:val="pa-0"/>
    <w:basedOn w:val="1"/>
    <w:autoRedefine/>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autoRedefine/>
    <w:qFormat/>
    <w:uiPriority w:val="0"/>
    <w:pPr>
      <w:widowControl/>
      <w:jc w:val="center"/>
    </w:pPr>
    <w:rPr>
      <w:rFonts w:ascii="宋体" w:hAnsi="宋体"/>
      <w:b/>
      <w:kern w:val="0"/>
      <w:sz w:val="24"/>
      <w:lang w:eastAsia="en-US"/>
    </w:rPr>
  </w:style>
  <w:style w:type="paragraph" w:customStyle="1" w:styleId="275">
    <w:name w:val="默认段落字体 Para Char"/>
    <w:basedOn w:val="1"/>
    <w:autoRedefine/>
    <w:qFormat/>
    <w:uiPriority w:val="0"/>
    <w:rPr>
      <w:rFonts w:ascii="宋体" w:hAnsi="Calibri"/>
      <w:b/>
      <w:sz w:val="28"/>
      <w:szCs w:val="28"/>
    </w:rPr>
  </w:style>
  <w:style w:type="paragraph" w:customStyle="1" w:styleId="276">
    <w:name w:val="编号2"/>
    <w:autoRedefine/>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autoRedefine/>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autoRedefine/>
    <w:qFormat/>
    <w:uiPriority w:val="0"/>
    <w:rPr>
      <w:rFonts w:ascii="黑体" w:hAnsi="黑体" w:eastAsia="黑体" w:cs="Times New Roman"/>
      <w:b/>
      <w:sz w:val="32"/>
      <w:szCs w:val="24"/>
      <w:lang w:val="en-US" w:eastAsia="zh-CN" w:bidi="ar-SA"/>
    </w:rPr>
  </w:style>
  <w:style w:type="paragraph" w:customStyle="1" w:styleId="279">
    <w:name w:val="正文（黑体）"/>
    <w:basedOn w:val="1"/>
    <w:next w:val="1"/>
    <w:autoRedefine/>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0"/>
    <w:autoRedefine/>
    <w:qFormat/>
    <w:uiPriority w:val="0"/>
    <w:pPr>
      <w:spacing w:line="360" w:lineRule="auto"/>
      <w:ind w:firstLine="200" w:firstLineChars="200"/>
    </w:pPr>
    <w:rPr>
      <w:rFonts w:ascii="仿宋_GB2312" w:eastAsia="仿宋_GB2312"/>
      <w:bCs w:val="0"/>
    </w:rPr>
  </w:style>
  <w:style w:type="paragraph" w:customStyle="1" w:styleId="281">
    <w:name w:val="文档正文"/>
    <w:basedOn w:val="1"/>
    <w:autoRedefine/>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autoRedefine/>
    <w:qFormat/>
    <w:uiPriority w:val="0"/>
    <w:pPr>
      <w:tabs>
        <w:tab w:val="left" w:pos="0"/>
      </w:tabs>
    </w:pPr>
    <w:rPr>
      <w:rFonts w:ascii="黑体" w:hAnsi="Calibri" w:eastAsia="黑体"/>
      <w:sz w:val="24"/>
      <w:szCs w:val="22"/>
    </w:rPr>
  </w:style>
  <w:style w:type="paragraph" w:customStyle="1" w:styleId="283">
    <w:name w:val="Normal_13"/>
    <w:autoRedefine/>
    <w:qFormat/>
    <w:uiPriority w:val="0"/>
    <w:rPr>
      <w:rFonts w:ascii="黑体" w:hAnsi="黑体" w:eastAsia="黑体" w:cs="Times New Roman"/>
      <w:b/>
      <w:sz w:val="32"/>
      <w:szCs w:val="24"/>
      <w:lang w:val="en-US" w:eastAsia="zh-CN" w:bidi="ar-SA"/>
    </w:rPr>
  </w:style>
  <w:style w:type="paragraph" w:customStyle="1" w:styleId="284">
    <w:name w:val="前言、引言标题"/>
    <w:next w:val="1"/>
    <w:autoRedefine/>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autoRedefine/>
    <w:qFormat/>
    <w:uiPriority w:val="0"/>
    <w:pPr>
      <w:widowControl/>
      <w:spacing w:line="280" w:lineRule="atLeast"/>
      <w:ind w:firstLine="480"/>
    </w:pPr>
    <w:rPr>
      <w:rFonts w:ascii="宋体" w:hAnsi="Calibri" w:cs="宋体"/>
      <w:kern w:val="0"/>
      <w:sz w:val="24"/>
      <w:szCs w:val="22"/>
    </w:rPr>
  </w:style>
  <w:style w:type="paragraph" w:customStyle="1" w:styleId="286">
    <w:name w:val="正文_7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4"/>
    <w:next w:val="158"/>
    <w:autoRedefine/>
    <w:qFormat/>
    <w:uiPriority w:val="0"/>
    <w:pPr>
      <w:ind w:left="0"/>
      <w:outlineLvl w:val="5"/>
    </w:pPr>
  </w:style>
  <w:style w:type="paragraph" w:customStyle="1" w:styleId="288">
    <w:name w:val="txt"/>
    <w:basedOn w:val="1"/>
    <w:autoRedefine/>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autoRedefine/>
    <w:qFormat/>
    <w:uiPriority w:val="0"/>
    <w:pPr>
      <w:ind w:firstLine="250" w:firstLineChars="250"/>
    </w:pPr>
    <w:rPr>
      <w:rFonts w:ascii="宋体" w:hAnsi="Calibri"/>
      <w:szCs w:val="21"/>
    </w:rPr>
  </w:style>
  <w:style w:type="paragraph" w:customStyle="1" w:styleId="290">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autoRedefine/>
    <w:qFormat/>
    <w:uiPriority w:val="0"/>
    <w:pPr>
      <w:spacing w:line="360" w:lineRule="auto"/>
      <w:jc w:val="center"/>
    </w:pPr>
    <w:rPr>
      <w:rFonts w:ascii="Arial" w:hAnsi="Arial"/>
      <w:sz w:val="24"/>
      <w:szCs w:val="20"/>
    </w:rPr>
  </w:style>
  <w:style w:type="paragraph" w:customStyle="1" w:styleId="292">
    <w:name w:val="Normal_0_0"/>
    <w:autoRedefine/>
    <w:qFormat/>
    <w:uiPriority w:val="0"/>
    <w:rPr>
      <w:rFonts w:ascii="黑体" w:hAnsi="黑体" w:eastAsia="黑体" w:cs="Times New Roman"/>
      <w:b/>
      <w:sz w:val="40"/>
      <w:szCs w:val="24"/>
      <w:lang w:val="en-US" w:eastAsia="zh-CN" w:bidi="ar-SA"/>
    </w:rPr>
  </w:style>
  <w:style w:type="paragraph" w:customStyle="1" w:styleId="293">
    <w:name w:val="Normal Paragraph Char"/>
    <w:basedOn w:val="1"/>
    <w:autoRedefine/>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autoRedefine/>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8"/>
    <w:autoRedefine/>
    <w:qFormat/>
    <w:uiPriority w:val="0"/>
    <w:pPr>
      <w:outlineLvl w:val="6"/>
    </w:pPr>
  </w:style>
  <w:style w:type="paragraph" w:customStyle="1" w:styleId="296">
    <w:name w:val="Normal_15"/>
    <w:autoRedefine/>
    <w:qFormat/>
    <w:uiPriority w:val="0"/>
    <w:rPr>
      <w:rFonts w:ascii="黑体" w:hAnsi="黑体" w:eastAsia="黑体" w:cs="Times New Roman"/>
      <w:b/>
      <w:sz w:val="32"/>
      <w:szCs w:val="24"/>
      <w:lang w:val="en-US" w:eastAsia="zh-CN" w:bidi="ar-SA"/>
    </w:rPr>
  </w:style>
  <w:style w:type="paragraph" w:customStyle="1" w:styleId="297">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autoRedefine/>
    <w:qFormat/>
    <w:uiPriority w:val="0"/>
    <w:pPr>
      <w:widowControl/>
      <w:spacing w:after="160" w:line="240" w:lineRule="exact"/>
      <w:jc w:val="left"/>
    </w:pPr>
    <w:rPr>
      <w:rFonts w:ascii="Calibri" w:hAnsi="Calibri"/>
      <w:szCs w:val="22"/>
    </w:rPr>
  </w:style>
  <w:style w:type="paragraph" w:customStyle="1" w:styleId="300">
    <w:name w:val="Normal_16"/>
    <w:autoRedefine/>
    <w:qFormat/>
    <w:uiPriority w:val="0"/>
    <w:rPr>
      <w:rFonts w:ascii="黑体" w:hAnsi="黑体" w:eastAsia="黑体" w:cs="Times New Roman"/>
      <w:b/>
      <w:sz w:val="32"/>
      <w:szCs w:val="24"/>
      <w:lang w:val="en-US" w:eastAsia="zh-CN" w:bidi="ar-SA"/>
    </w:rPr>
  </w:style>
  <w:style w:type="paragraph" w:customStyle="1" w:styleId="301">
    <w:name w:val="Char Char Char Char1"/>
    <w:basedOn w:val="1"/>
    <w:autoRedefine/>
    <w:qFormat/>
    <w:uiPriority w:val="0"/>
    <w:pPr>
      <w:spacing w:line="360" w:lineRule="auto"/>
      <w:ind w:firstLine="200" w:firstLineChars="200"/>
    </w:pPr>
    <w:rPr>
      <w:rFonts w:ascii="Calibri" w:hAnsi="Calibri"/>
      <w:kern w:val="0"/>
      <w:sz w:val="24"/>
      <w:szCs w:val="20"/>
    </w:rPr>
  </w:style>
  <w:style w:type="paragraph" w:customStyle="1" w:styleId="30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autoRedefine/>
    <w:qFormat/>
    <w:uiPriority w:val="0"/>
    <w:rPr>
      <w:rFonts w:ascii="黑体" w:hAnsi="黑体" w:eastAsia="黑体" w:cs="Times New Roman"/>
      <w:b/>
      <w:sz w:val="32"/>
      <w:szCs w:val="24"/>
      <w:lang w:val="en-US" w:eastAsia="zh-CN" w:bidi="ar-SA"/>
    </w:rPr>
  </w:style>
  <w:style w:type="paragraph" w:customStyle="1" w:styleId="304">
    <w:name w:val="Normal_3"/>
    <w:autoRedefine/>
    <w:qFormat/>
    <w:uiPriority w:val="0"/>
    <w:rPr>
      <w:rFonts w:ascii="黑体" w:hAnsi="黑体" w:eastAsia="黑体" w:cs="Times New Roman"/>
      <w:b/>
      <w:sz w:val="32"/>
      <w:szCs w:val="24"/>
      <w:lang w:val="en-US" w:eastAsia="zh-CN" w:bidi="ar-SA"/>
    </w:rPr>
  </w:style>
  <w:style w:type="paragraph" w:customStyle="1" w:styleId="305">
    <w:name w:val="xl3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autoRedefine/>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autoRedefine/>
    <w:qFormat/>
    <w:uiPriority w:val="0"/>
    <w:pPr>
      <w:ind w:firstLine="200" w:firstLineChars="200"/>
    </w:pPr>
    <w:rPr>
      <w:rFonts w:ascii="Calibri" w:hAnsi="Calibri"/>
      <w:szCs w:val="22"/>
    </w:rPr>
  </w:style>
  <w:style w:type="paragraph" w:customStyle="1" w:styleId="310">
    <w:name w:val="正文段"/>
    <w:basedOn w:val="1"/>
    <w:autoRedefine/>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autoRedefine/>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autoRedefine/>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autoRedefine/>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315">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autoRedefine/>
    <w:qFormat/>
    <w:uiPriority w:val="0"/>
    <w:rPr>
      <w:rFonts w:ascii="Times New Roman" w:hAnsi="Times New Roman" w:eastAsia="Times New Roman" w:cs="Times New Roman"/>
      <w:sz w:val="24"/>
      <w:szCs w:val="24"/>
      <w:lang w:val="en-US" w:eastAsia="zh-CN" w:bidi="ar-SA"/>
    </w:rPr>
  </w:style>
  <w:style w:type="paragraph" w:customStyle="1" w:styleId="317">
    <w:name w:val="Normal_17_0"/>
    <w:autoRedefine/>
    <w:qFormat/>
    <w:uiPriority w:val="0"/>
    <w:rPr>
      <w:rFonts w:ascii="黑体" w:hAnsi="黑体" w:eastAsia="黑体" w:cs="Times New Roman"/>
      <w:b/>
      <w:sz w:val="32"/>
      <w:szCs w:val="24"/>
      <w:lang w:val="en-US" w:eastAsia="zh-CN" w:bidi="ar-SA"/>
    </w:rPr>
  </w:style>
  <w:style w:type="paragraph" w:customStyle="1" w:styleId="318">
    <w:name w:val="正文文字缩进 3"/>
    <w:basedOn w:val="1"/>
    <w:autoRedefine/>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autoRedefine/>
    <w:qFormat/>
    <w:uiPriority w:val="0"/>
    <w:rPr>
      <w:rFonts w:ascii="黑体" w:hAnsi="黑体" w:eastAsia="黑体" w:cs="Times New Roman"/>
      <w:b/>
      <w:sz w:val="32"/>
      <w:szCs w:val="24"/>
      <w:lang w:val="en-US" w:eastAsia="zh-CN" w:bidi="ar-SA"/>
    </w:rPr>
  </w:style>
  <w:style w:type="paragraph" w:customStyle="1" w:styleId="320">
    <w:name w:val="font6"/>
    <w:basedOn w:val="1"/>
    <w:autoRedefine/>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19"/>
    <w:autoRedefine/>
    <w:qFormat/>
    <w:uiPriority w:val="0"/>
    <w:rPr>
      <w:rFonts w:ascii="Calibri" w:hAnsi="Calibri"/>
      <w:szCs w:val="22"/>
    </w:rPr>
  </w:style>
  <w:style w:type="paragraph" w:customStyle="1" w:styleId="322">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0"/>
    <w:autoRedefine/>
    <w:qFormat/>
    <w:uiPriority w:val="0"/>
    <w:pPr>
      <w:spacing w:line="360" w:lineRule="auto"/>
    </w:pPr>
    <w:rPr>
      <w:rFonts w:ascii="仿宋_GB2312" w:eastAsia="仿宋_GB2312"/>
      <w:bCs w:val="0"/>
    </w:rPr>
  </w:style>
  <w:style w:type="paragraph" w:customStyle="1" w:styleId="325">
    <w:name w:val="Normal_18"/>
    <w:autoRedefine/>
    <w:qFormat/>
    <w:uiPriority w:val="0"/>
    <w:rPr>
      <w:rFonts w:ascii="黑体" w:hAnsi="黑体" w:eastAsia="黑体" w:cs="Times New Roman"/>
      <w:b/>
      <w:sz w:val="32"/>
      <w:szCs w:val="24"/>
      <w:lang w:val="en-US" w:eastAsia="zh-CN" w:bidi="ar-SA"/>
    </w:rPr>
  </w:style>
  <w:style w:type="paragraph" w:customStyle="1" w:styleId="326">
    <w:name w:val="正文_1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autoRedefine/>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2"/>
    <w:next w:val="1"/>
    <w:autoRedefine/>
    <w:qFormat/>
    <w:uiPriority w:val="0"/>
    <w:pPr>
      <w:adjustRightInd w:val="0"/>
      <w:spacing w:line="578" w:lineRule="atLeast"/>
      <w:jc w:val="left"/>
      <w:textAlignment w:val="baseline"/>
    </w:pPr>
  </w:style>
  <w:style w:type="paragraph" w:customStyle="1" w:styleId="330">
    <w:name w:val="样式6"/>
    <w:basedOn w:val="231"/>
    <w:autoRedefine/>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autoRedefine/>
    <w:qFormat/>
    <w:uiPriority w:val="0"/>
    <w:pPr>
      <w:numPr>
        <w:ilvl w:val="0"/>
        <w:numId w:val="2"/>
      </w:numPr>
      <w:tabs>
        <w:tab w:val="left" w:pos="420"/>
      </w:tabs>
      <w:jc w:val="left"/>
    </w:pPr>
    <w:rPr>
      <w:rFonts w:ascii="宋体" w:hAnsi="宋体"/>
      <w:b/>
      <w:sz w:val="24"/>
    </w:rPr>
  </w:style>
  <w:style w:type="paragraph" w:customStyle="1" w:styleId="332">
    <w:name w:val="正文_1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autoRedefine/>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6"/>
    <w:next w:val="15"/>
    <w:autoRedefine/>
    <w:qFormat/>
    <w:uiPriority w:val="0"/>
    <w:pPr>
      <w:tabs>
        <w:tab w:val="left" w:pos="780"/>
      </w:tabs>
      <w:spacing w:beforeLines="0" w:afterLines="100"/>
      <w:ind w:left="780" w:hanging="480"/>
    </w:pPr>
    <w:rPr>
      <w:rFonts w:eastAsia="黑体"/>
      <w:b/>
      <w:sz w:val="21"/>
    </w:rPr>
  </w:style>
  <w:style w:type="paragraph" w:customStyle="1" w:styleId="335">
    <w:name w:val="pa-5"/>
    <w:basedOn w:val="1"/>
    <w:autoRedefine/>
    <w:qFormat/>
    <w:uiPriority w:val="0"/>
    <w:pPr>
      <w:widowControl/>
      <w:spacing w:line="280" w:lineRule="atLeast"/>
    </w:pPr>
    <w:rPr>
      <w:rFonts w:ascii="宋体" w:hAnsi="Calibri" w:cs="宋体"/>
      <w:kern w:val="0"/>
      <w:sz w:val="24"/>
      <w:szCs w:val="22"/>
    </w:rPr>
  </w:style>
  <w:style w:type="paragraph" w:customStyle="1" w:styleId="336">
    <w:name w:val="Normal_17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autoRedefine/>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autoRedefine/>
    <w:qFormat/>
    <w:uiPriority w:val="0"/>
    <w:rPr>
      <w:rFonts w:ascii="Tahoma" w:hAnsi="Tahoma" w:cs="Tahoma"/>
      <w:sz w:val="24"/>
      <w:szCs w:val="22"/>
    </w:rPr>
  </w:style>
  <w:style w:type="paragraph" w:customStyle="1" w:styleId="34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autoRedefine/>
    <w:qFormat/>
    <w:uiPriority w:val="0"/>
    <w:rPr>
      <w:rFonts w:ascii="黑体" w:hAnsi="黑体" w:eastAsia="黑体" w:cs="Times New Roman"/>
      <w:b/>
      <w:sz w:val="32"/>
      <w:szCs w:val="24"/>
      <w:lang w:val="en-US" w:eastAsia="zh-CN" w:bidi="ar-SA"/>
    </w:rPr>
  </w:style>
  <w:style w:type="paragraph" w:customStyle="1" w:styleId="343">
    <w:name w:val="列出段落_0"/>
    <w:basedOn w:val="248"/>
    <w:autoRedefine/>
    <w:qFormat/>
    <w:uiPriority w:val="99"/>
    <w:pPr>
      <w:ind w:firstLine="420" w:firstLineChars="200"/>
    </w:pPr>
  </w:style>
  <w:style w:type="paragraph" w:customStyle="1" w:styleId="344">
    <w:name w:val="正文小四"/>
    <w:basedOn w:val="1"/>
    <w:autoRedefine/>
    <w:qFormat/>
    <w:uiPriority w:val="0"/>
    <w:pPr>
      <w:spacing w:line="312" w:lineRule="auto"/>
    </w:pPr>
    <w:rPr>
      <w:rFonts w:ascii="Calibri" w:hAnsi="Calibri"/>
      <w:sz w:val="24"/>
      <w:szCs w:val="22"/>
    </w:rPr>
  </w:style>
  <w:style w:type="paragraph" w:customStyle="1" w:styleId="345">
    <w:name w:val="正文_1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autoRedefine/>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autoRedefine/>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autoRedefine/>
    <w:qFormat/>
    <w:uiPriority w:val="0"/>
    <w:pPr>
      <w:ind w:firstLine="150" w:firstLineChars="150"/>
    </w:pPr>
    <w:rPr>
      <w:rFonts w:ascii="Calibri" w:hAnsi="Calibri"/>
      <w:sz w:val="24"/>
      <w:szCs w:val="20"/>
    </w:rPr>
  </w:style>
  <w:style w:type="paragraph" w:customStyle="1" w:styleId="350">
    <w:name w:val="缩进正文"/>
    <w:basedOn w:val="1"/>
    <w:autoRedefine/>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autoRedefine/>
    <w:qFormat/>
    <w:uiPriority w:val="34"/>
    <w:pPr>
      <w:ind w:firstLine="420" w:firstLineChars="200"/>
    </w:pPr>
  </w:style>
  <w:style w:type="paragraph" w:customStyle="1" w:styleId="352">
    <w:name w:val="Bullet"/>
    <w:basedOn w:val="1"/>
    <w:autoRedefine/>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autoRedefine/>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2"/>
    <w:next w:val="1"/>
    <w:autoRedefine/>
    <w:qFormat/>
    <w:uiPriority w:val="0"/>
    <w:pPr>
      <w:numPr>
        <w:ilvl w:val="0"/>
        <w:numId w:val="5"/>
      </w:numPr>
      <w:spacing w:line="360" w:lineRule="auto"/>
    </w:pPr>
    <w:rPr>
      <w:rFonts w:ascii="仿宋_GB2312" w:eastAsia="仿宋_GB2312"/>
      <w:sz w:val="32"/>
      <w:szCs w:val="30"/>
    </w:rPr>
  </w:style>
  <w:style w:type="paragraph" w:customStyle="1" w:styleId="356">
    <w:name w:val="Normal_9_0"/>
    <w:autoRedefine/>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autoRedefine/>
    <w:qFormat/>
    <w:uiPriority w:val="0"/>
    <w:rPr>
      <w:rFonts w:ascii="Tahoma" w:hAnsi="Tahoma"/>
      <w:sz w:val="24"/>
      <w:szCs w:val="20"/>
    </w:rPr>
  </w:style>
  <w:style w:type="paragraph" w:customStyle="1" w:styleId="359">
    <w:name w:val="保密事宜格式"/>
    <w:basedOn w:val="16"/>
    <w:autoRedefine/>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autoRedefine/>
    <w:qFormat/>
    <w:uiPriority w:val="0"/>
    <w:rPr>
      <w:rFonts w:ascii="黑体" w:hAnsi="黑体" w:eastAsia="黑体" w:cs="Times New Roman"/>
      <w:b/>
      <w:sz w:val="32"/>
      <w:szCs w:val="24"/>
      <w:lang w:val="en-US" w:eastAsia="zh-CN" w:bidi="ar-SA"/>
    </w:rPr>
  </w:style>
  <w:style w:type="paragraph" w:customStyle="1" w:styleId="361">
    <w:name w:val="Normal_8_0"/>
    <w:autoRedefine/>
    <w:qFormat/>
    <w:uiPriority w:val="0"/>
    <w:rPr>
      <w:rFonts w:ascii="黑体" w:hAnsi="黑体" w:eastAsia="黑体" w:cs="Times New Roman"/>
      <w:b/>
      <w:sz w:val="32"/>
      <w:szCs w:val="24"/>
      <w:lang w:val="en-US" w:eastAsia="zh-CN" w:bidi="ar-SA"/>
    </w:rPr>
  </w:style>
  <w:style w:type="paragraph" w:customStyle="1" w:styleId="362">
    <w:name w:val="表格文字"/>
    <w:basedOn w:val="1"/>
    <w:autoRedefine/>
    <w:qFormat/>
    <w:uiPriority w:val="0"/>
    <w:pPr>
      <w:jc w:val="left"/>
    </w:pPr>
    <w:rPr>
      <w:rFonts w:ascii="Calibri" w:hAnsi="Calibri"/>
      <w:sz w:val="18"/>
      <w:szCs w:val="22"/>
    </w:rPr>
  </w:style>
  <w:style w:type="paragraph" w:customStyle="1" w:styleId="363">
    <w:name w:val="Style10"/>
    <w:basedOn w:val="1"/>
    <w:autoRedefine/>
    <w:qFormat/>
    <w:uiPriority w:val="0"/>
    <w:pPr>
      <w:adjustRightInd w:val="0"/>
      <w:jc w:val="left"/>
    </w:pPr>
    <w:rPr>
      <w:rFonts w:ascii="宋体"/>
      <w:kern w:val="0"/>
      <w:sz w:val="24"/>
    </w:rPr>
  </w:style>
  <w:style w:type="paragraph" w:customStyle="1" w:styleId="364">
    <w:name w:val="表头"/>
    <w:basedOn w:val="129"/>
    <w:autoRedefine/>
    <w:qFormat/>
    <w:uiPriority w:val="0"/>
    <w:pPr>
      <w:widowControl/>
      <w:spacing w:line="240" w:lineRule="auto"/>
      <w:jc w:val="left"/>
    </w:pPr>
    <w:rPr>
      <w:rFonts w:ascii="Times New Roman" w:hAnsi="Times New Roman"/>
      <w:sz w:val="20"/>
      <w:szCs w:val="20"/>
    </w:rPr>
  </w:style>
  <w:style w:type="paragraph" w:customStyle="1" w:styleId="365">
    <w:name w:val="Normal_2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autoRedefine/>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autoRedefine/>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Heading"/>
    <w:basedOn w:val="2"/>
    <w:next w:val="1"/>
    <w:autoRedefine/>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autoRedefine/>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autoRedefine/>
    <w:qFormat/>
    <w:uiPriority w:val="0"/>
    <w:rPr>
      <w:rFonts w:ascii="黑体" w:hAnsi="黑体" w:eastAsia="黑体" w:cs="Times New Roman"/>
      <w:b/>
      <w:sz w:val="32"/>
      <w:szCs w:val="24"/>
      <w:lang w:val="en-US" w:eastAsia="zh-CN" w:bidi="ar-SA"/>
    </w:rPr>
  </w:style>
  <w:style w:type="paragraph" w:customStyle="1" w:styleId="375">
    <w:name w:val="正文_1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autoRedefine/>
    <w:qFormat/>
    <w:uiPriority w:val="0"/>
    <w:pPr>
      <w:ind w:firstLine="420" w:firstLineChars="200"/>
    </w:pPr>
    <w:rPr>
      <w:rFonts w:ascii="Calibri" w:hAnsi="Calibri"/>
      <w:szCs w:val="22"/>
    </w:rPr>
  </w:style>
  <w:style w:type="paragraph" w:customStyle="1" w:styleId="377">
    <w:name w:val="正文_9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autoRedefine/>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autoRedefine/>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autoRedefine/>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autoRedefine/>
    <w:qFormat/>
    <w:uiPriority w:val="0"/>
    <w:pPr>
      <w:spacing w:beforeLines="50" w:afterLines="50" w:line="360" w:lineRule="auto"/>
      <w:ind w:firstLine="480" w:firstLineChars="200"/>
    </w:pPr>
    <w:rPr>
      <w:sz w:val="24"/>
    </w:rPr>
  </w:style>
  <w:style w:type="paragraph" w:customStyle="1" w:styleId="383">
    <w:name w:val="正文_1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autoRedefine/>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autoRedefine/>
    <w:qFormat/>
    <w:uiPriority w:val="0"/>
    <w:rPr>
      <w:rFonts w:ascii="黑体" w:hAnsi="黑体" w:eastAsia="黑体" w:cs="Times New Roman"/>
      <w:b/>
      <w:sz w:val="32"/>
      <w:szCs w:val="24"/>
      <w:lang w:val="en-US" w:eastAsia="zh-CN" w:bidi="ar-SA"/>
    </w:rPr>
  </w:style>
  <w:style w:type="paragraph" w:customStyle="1" w:styleId="388">
    <w:name w:val="Normal_16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autoRedefine/>
    <w:qFormat/>
    <w:uiPriority w:val="0"/>
    <w:rPr>
      <w:sz w:val="52"/>
    </w:rPr>
  </w:style>
  <w:style w:type="paragraph" w:customStyle="1" w:styleId="390">
    <w:name w:val="Normal_1_1"/>
    <w:autoRedefine/>
    <w:qFormat/>
    <w:uiPriority w:val="0"/>
    <w:rPr>
      <w:rFonts w:ascii="黑体" w:hAnsi="黑体" w:eastAsia="黑体" w:cs="Times New Roman"/>
      <w:b/>
      <w:sz w:val="32"/>
      <w:szCs w:val="24"/>
      <w:lang w:val="en-US" w:eastAsia="zh-CN" w:bidi="ar-SA"/>
    </w:rPr>
  </w:style>
  <w:style w:type="paragraph" w:customStyle="1" w:styleId="391">
    <w:name w:val="Normal_11"/>
    <w:autoRedefine/>
    <w:qFormat/>
    <w:uiPriority w:val="0"/>
    <w:rPr>
      <w:rFonts w:ascii="黑体" w:hAnsi="黑体" w:eastAsia="黑体" w:cs="Times New Roman"/>
      <w:b/>
      <w:sz w:val="32"/>
      <w:szCs w:val="24"/>
      <w:lang w:val="en-US" w:eastAsia="zh-CN" w:bidi="ar-SA"/>
    </w:rPr>
  </w:style>
  <w:style w:type="paragraph" w:customStyle="1" w:styleId="392">
    <w:name w:val="Char1"/>
    <w:basedOn w:val="1"/>
    <w:autoRedefine/>
    <w:qFormat/>
    <w:uiPriority w:val="0"/>
    <w:pPr>
      <w:tabs>
        <w:tab w:val="left" w:pos="840"/>
      </w:tabs>
      <w:ind w:left="840" w:hanging="420"/>
    </w:pPr>
    <w:rPr>
      <w:sz w:val="24"/>
    </w:rPr>
  </w:style>
  <w:style w:type="paragraph" w:customStyle="1" w:styleId="393">
    <w:name w:val="Normal_14_0_0"/>
    <w:autoRedefine/>
    <w:qFormat/>
    <w:uiPriority w:val="0"/>
    <w:rPr>
      <w:rFonts w:ascii="黑体" w:hAnsi="黑体" w:eastAsia="黑体" w:cs="Times New Roman"/>
      <w:b/>
      <w:sz w:val="32"/>
      <w:szCs w:val="24"/>
      <w:lang w:val="en-US" w:eastAsia="zh-CN" w:bidi="ar-SA"/>
    </w:rPr>
  </w:style>
  <w:style w:type="paragraph" w:customStyle="1" w:styleId="394">
    <w:name w:val="Normal_18_0"/>
    <w:autoRedefine/>
    <w:qFormat/>
    <w:uiPriority w:val="0"/>
    <w:rPr>
      <w:rFonts w:ascii="黑体" w:hAnsi="黑体" w:eastAsia="黑体" w:cs="Times New Roman"/>
      <w:b/>
      <w:sz w:val="32"/>
      <w:szCs w:val="24"/>
      <w:lang w:val="en-US" w:eastAsia="zh-CN" w:bidi="ar-SA"/>
    </w:rPr>
  </w:style>
  <w:style w:type="paragraph" w:customStyle="1" w:styleId="395">
    <w:name w:val="样式5"/>
    <w:basedOn w:val="4"/>
    <w:autoRedefine/>
    <w:qFormat/>
    <w:uiPriority w:val="0"/>
    <w:pPr>
      <w:spacing w:line="412" w:lineRule="auto"/>
    </w:pPr>
    <w:rPr>
      <w:rFonts w:ascii="Calibri" w:hAnsi="Calibri"/>
      <w:kern w:val="2"/>
      <w:sz w:val="28"/>
      <w:szCs w:val="28"/>
    </w:rPr>
  </w:style>
  <w:style w:type="paragraph" w:customStyle="1" w:styleId="396">
    <w:name w:val="正文_4_0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autoRedefine/>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4"/>
    <w:autoRedefine/>
    <w:qFormat/>
    <w:uiPriority w:val="0"/>
    <w:pPr>
      <w:spacing w:line="412" w:lineRule="auto"/>
    </w:pPr>
    <w:rPr>
      <w:rFonts w:ascii="Calibri" w:hAnsi="Calibri"/>
      <w:kern w:val="2"/>
      <w:sz w:val="28"/>
      <w:szCs w:val="28"/>
    </w:rPr>
  </w:style>
  <w:style w:type="paragraph" w:customStyle="1" w:styleId="399">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autoRedefine/>
    <w:qFormat/>
    <w:uiPriority w:val="0"/>
    <w:rPr>
      <w:rFonts w:ascii="Calibri" w:hAnsi="Calibri"/>
      <w:szCs w:val="21"/>
    </w:rPr>
  </w:style>
  <w:style w:type="paragraph" w:customStyle="1" w:styleId="401">
    <w:name w:val="缺省文本"/>
    <w:basedOn w:val="1"/>
    <w:autoRedefine/>
    <w:qFormat/>
    <w:uiPriority w:val="0"/>
    <w:pPr>
      <w:autoSpaceDE w:val="0"/>
      <w:autoSpaceDN w:val="0"/>
      <w:adjustRightInd w:val="0"/>
      <w:jc w:val="left"/>
    </w:pPr>
    <w:rPr>
      <w:rFonts w:ascii="Calibri" w:hAnsi="Calibri"/>
      <w:kern w:val="0"/>
      <w:sz w:val="24"/>
      <w:szCs w:val="20"/>
    </w:rPr>
  </w:style>
  <w:style w:type="paragraph" w:customStyle="1" w:styleId="402">
    <w:name w:val="图表目录1"/>
    <w:autoRedefine/>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autoRedefine/>
    <w:qFormat/>
    <w:uiPriority w:val="34"/>
    <w:pPr>
      <w:ind w:firstLine="420" w:firstLineChars="200"/>
    </w:pPr>
  </w:style>
  <w:style w:type="paragraph" w:customStyle="1" w:styleId="405">
    <w:name w:val="正文（无缩进）"/>
    <w:basedOn w:val="1"/>
    <w:autoRedefine/>
    <w:qFormat/>
    <w:uiPriority w:val="0"/>
    <w:pPr>
      <w:spacing w:line="360" w:lineRule="auto"/>
    </w:pPr>
    <w:rPr>
      <w:rFonts w:ascii="Calibri" w:hAnsi="Calibri"/>
      <w:sz w:val="24"/>
      <w:szCs w:val="21"/>
    </w:rPr>
  </w:style>
  <w:style w:type="paragraph" w:customStyle="1" w:styleId="406">
    <w:name w:val="段落"/>
    <w:autoRedefine/>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autoRedefine/>
    <w:qFormat/>
    <w:uiPriority w:val="0"/>
    <w:rPr>
      <w:rFonts w:ascii="黑体" w:hAnsi="黑体" w:eastAsia="黑体" w:cs="Times New Roman"/>
      <w:b/>
      <w:sz w:val="32"/>
      <w:szCs w:val="24"/>
      <w:lang w:val="en-US" w:eastAsia="zh-CN" w:bidi="ar-SA"/>
    </w:rPr>
  </w:style>
  <w:style w:type="paragraph" w:customStyle="1" w:styleId="408">
    <w:name w:val="标书2"/>
    <w:next w:val="406"/>
    <w:autoRedefine/>
    <w:qFormat/>
    <w:uiPriority w:val="0"/>
    <w:rPr>
      <w:rFonts w:ascii="Times New Roman" w:hAnsi="Times New Roman" w:eastAsia="黑体" w:cs="宋体"/>
      <w:b/>
      <w:kern w:val="2"/>
      <w:sz w:val="44"/>
      <w:lang w:val="en-US" w:eastAsia="zh-CN" w:bidi="ar-SA"/>
    </w:rPr>
  </w:style>
  <w:style w:type="paragraph" w:customStyle="1" w:styleId="409">
    <w:name w:val="标准小四"/>
    <w:basedOn w:val="1"/>
    <w:autoRedefine/>
    <w:qFormat/>
    <w:uiPriority w:val="0"/>
    <w:pPr>
      <w:spacing w:line="360" w:lineRule="auto"/>
      <w:ind w:firstLine="200" w:firstLineChars="200"/>
    </w:pPr>
    <w:rPr>
      <w:rFonts w:ascii="Arial" w:hAnsi="Arial"/>
      <w:sz w:val="24"/>
      <w:szCs w:val="21"/>
    </w:rPr>
  </w:style>
  <w:style w:type="paragraph" w:customStyle="1" w:styleId="410">
    <w:name w:val="编号"/>
    <w:basedOn w:val="1"/>
    <w:next w:val="406"/>
    <w:autoRedefine/>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autoRedefine/>
    <w:qFormat/>
    <w:uiPriority w:val="0"/>
    <w:rPr>
      <w:rFonts w:ascii="黑体" w:hAnsi="黑体" w:eastAsia="黑体" w:cs="Times New Roman"/>
      <w:b/>
      <w:sz w:val="32"/>
      <w:szCs w:val="24"/>
      <w:lang w:val="en-US" w:eastAsia="zh-CN" w:bidi="ar-SA"/>
    </w:rPr>
  </w:style>
  <w:style w:type="paragraph" w:customStyle="1" w:styleId="412">
    <w:name w:val="Normal_12_0"/>
    <w:autoRedefine/>
    <w:qFormat/>
    <w:uiPriority w:val="0"/>
    <w:rPr>
      <w:rFonts w:ascii="黑体" w:hAnsi="黑体" w:eastAsia="黑体" w:cs="Times New Roman"/>
      <w:b/>
      <w:sz w:val="32"/>
      <w:szCs w:val="24"/>
      <w:lang w:val="en-US" w:eastAsia="zh-CN" w:bidi="ar-SA"/>
    </w:rPr>
  </w:style>
  <w:style w:type="paragraph" w:customStyle="1" w:styleId="413">
    <w:name w:val="SFClearBullets"/>
    <w:autoRedefine/>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autoRedefine/>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autoRedefine/>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autoRedefine/>
    <w:qFormat/>
    <w:uiPriority w:val="0"/>
    <w:rPr>
      <w:rFonts w:ascii="黑体" w:hAnsi="黑体" w:eastAsia="黑体" w:cs="Times New Roman"/>
      <w:b/>
      <w:sz w:val="32"/>
      <w:szCs w:val="24"/>
      <w:lang w:val="en-US" w:eastAsia="zh-CN" w:bidi="ar-SA"/>
    </w:rPr>
  </w:style>
  <w:style w:type="paragraph" w:customStyle="1" w:styleId="418">
    <w:name w:val="Char Char Char Char"/>
    <w:basedOn w:val="19"/>
    <w:autoRedefine/>
    <w:qFormat/>
    <w:uiPriority w:val="0"/>
    <w:pPr>
      <w:adjustRightInd w:val="0"/>
      <w:snapToGrid w:val="0"/>
      <w:spacing w:line="360" w:lineRule="auto"/>
    </w:pPr>
    <w:rPr>
      <w:rFonts w:ascii="Tahoma" w:hAnsi="Tahoma"/>
      <w:sz w:val="24"/>
    </w:rPr>
  </w:style>
  <w:style w:type="paragraph" w:customStyle="1" w:styleId="419">
    <w:name w:val="Normal_14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autoRedefine/>
    <w:qFormat/>
    <w:uiPriority w:val="0"/>
    <w:rPr>
      <w:rFonts w:ascii="黑体" w:hAnsi="黑体" w:eastAsia="黑体" w:cs="Times New Roman"/>
      <w:b/>
      <w:sz w:val="32"/>
      <w:szCs w:val="24"/>
      <w:lang w:val="en-US" w:eastAsia="zh-CN" w:bidi="ar-SA"/>
    </w:rPr>
  </w:style>
  <w:style w:type="paragraph" w:customStyle="1" w:styleId="421">
    <w:name w:val="表格"/>
    <w:basedOn w:val="1"/>
    <w:autoRedefine/>
    <w:qFormat/>
    <w:uiPriority w:val="0"/>
    <w:pPr>
      <w:snapToGrid w:val="0"/>
      <w:ind w:firstLine="21" w:firstLineChars="21"/>
    </w:pPr>
    <w:rPr>
      <w:rFonts w:ascii="宋体" w:hAnsi="Calibri"/>
      <w:szCs w:val="20"/>
    </w:rPr>
  </w:style>
  <w:style w:type="paragraph" w:customStyle="1" w:styleId="422">
    <w:name w:val="Normal_1_0"/>
    <w:autoRedefine/>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5"/>
    <w:autoRedefine/>
    <w:qFormat/>
    <w:uiPriority w:val="0"/>
    <w:pPr>
      <w:spacing w:line="360" w:lineRule="auto"/>
      <w:ind w:firstLine="200"/>
    </w:pPr>
    <w:rPr>
      <w:rFonts w:ascii="宋体" w:hAnsi="Calibri"/>
      <w:kern w:val="2"/>
      <w:sz w:val="24"/>
    </w:rPr>
  </w:style>
  <w:style w:type="paragraph" w:customStyle="1" w:styleId="42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autoRedefine/>
    <w:qFormat/>
    <w:uiPriority w:val="0"/>
    <w:rPr>
      <w:rFonts w:ascii="黑体" w:hAnsi="黑体" w:eastAsia="黑体" w:cs="Times New Roman"/>
      <w:b/>
      <w:sz w:val="32"/>
      <w:szCs w:val="24"/>
      <w:lang w:val="en-US" w:eastAsia="zh-CN" w:bidi="ar-SA"/>
    </w:rPr>
  </w:style>
  <w:style w:type="paragraph" w:customStyle="1" w:styleId="426">
    <w:name w:val="Normal_0_2"/>
    <w:autoRedefine/>
    <w:qFormat/>
    <w:uiPriority w:val="0"/>
    <w:rPr>
      <w:rFonts w:ascii="黑体" w:hAnsi="黑体" w:eastAsia="黑体" w:cs="Times New Roman"/>
      <w:b/>
      <w:sz w:val="32"/>
      <w:szCs w:val="24"/>
      <w:lang w:val="en-US" w:eastAsia="zh-CN" w:bidi="ar-SA"/>
    </w:rPr>
  </w:style>
  <w:style w:type="paragraph" w:customStyle="1" w:styleId="427">
    <w:name w:val="CM17"/>
    <w:basedOn w:val="1"/>
    <w:next w:val="1"/>
    <w:autoRedefine/>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autoRedefine/>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autoRedefine/>
    <w:qFormat/>
    <w:uiPriority w:val="0"/>
    <w:rPr>
      <w:rFonts w:ascii="Tahoma" w:hAnsi="Tahoma"/>
      <w:sz w:val="24"/>
      <w:szCs w:val="20"/>
    </w:rPr>
  </w:style>
  <w:style w:type="paragraph" w:customStyle="1" w:styleId="431">
    <w:name w:val="大汉方案正文 Char"/>
    <w:basedOn w:val="1"/>
    <w:autoRedefine/>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62"/>
    <w:autoRedefine/>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autoRedefine/>
    <w:qFormat/>
    <w:uiPriority w:val="0"/>
    <w:pPr>
      <w:widowControl/>
      <w:spacing w:line="360" w:lineRule="auto"/>
      <w:ind w:firstLine="196" w:firstLineChars="196"/>
    </w:pPr>
    <w:rPr>
      <w:rFonts w:ascii="宋体" w:hAnsi="Calibri"/>
      <w:sz w:val="24"/>
      <w:szCs w:val="22"/>
    </w:rPr>
  </w:style>
  <w:style w:type="paragraph" w:customStyle="1" w:styleId="434">
    <w:name w:val="标书3"/>
    <w:next w:val="406"/>
    <w:autoRedefine/>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autoRedefine/>
    <w:qFormat/>
    <w:uiPriority w:val="0"/>
    <w:rPr>
      <w:rFonts w:ascii="黑体" w:hAnsi="黑体" w:eastAsia="黑体" w:cs="Times New Roman"/>
      <w:b/>
      <w:sz w:val="32"/>
      <w:szCs w:val="24"/>
      <w:lang w:val="en-US" w:eastAsia="zh-CN" w:bidi="ar-SA"/>
    </w:rPr>
  </w:style>
  <w:style w:type="paragraph" w:customStyle="1" w:styleId="436">
    <w:name w:val="Figure and Table Title"/>
    <w:basedOn w:val="1"/>
    <w:autoRedefine/>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autoRedefine/>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autoRedefine/>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autoRedefine/>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autoRedefine/>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autoRedefine/>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autoRedefine/>
    <w:qFormat/>
    <w:uiPriority w:val="0"/>
    <w:rPr>
      <w:rFonts w:ascii="Calibri" w:hAnsi="Calibri"/>
      <w:szCs w:val="20"/>
    </w:rPr>
  </w:style>
  <w:style w:type="paragraph" w:customStyle="1" w:styleId="44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autoRedefine/>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autoRedefine/>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autoRedefine/>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autoRedefine/>
    <w:qFormat/>
    <w:uiPriority w:val="0"/>
    <w:rPr>
      <w:rFonts w:ascii="黑体" w:hAnsi="黑体" w:eastAsia="黑体" w:cs="Times New Roman"/>
      <w:b/>
      <w:sz w:val="32"/>
      <w:szCs w:val="24"/>
      <w:lang w:val="en-US" w:eastAsia="zh-CN" w:bidi="ar-SA"/>
    </w:rPr>
  </w:style>
  <w:style w:type="paragraph" w:customStyle="1" w:styleId="44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autoRedefine/>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autoRedefine/>
    <w:qFormat/>
    <w:uiPriority w:val="0"/>
    <w:pPr>
      <w:jc w:val="center"/>
    </w:pPr>
    <w:rPr>
      <w:rFonts w:ascii="Calibri" w:hAnsi="Calibri"/>
      <w:b/>
      <w:szCs w:val="22"/>
    </w:rPr>
  </w:style>
  <w:style w:type="paragraph" w:customStyle="1" w:styleId="454">
    <w:name w:val="编号1"/>
    <w:next w:val="406"/>
    <w:autoRedefine/>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autoRedefine/>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19"/>
    <w:autoRedefine/>
    <w:qFormat/>
    <w:uiPriority w:val="0"/>
    <w:rPr>
      <w:rFonts w:ascii="Tahoma" w:hAnsi="Tahoma"/>
      <w:sz w:val="24"/>
      <w:szCs w:val="22"/>
    </w:rPr>
  </w:style>
  <w:style w:type="paragraph" w:customStyle="1" w:styleId="457">
    <w:name w:val="Normal_10"/>
    <w:autoRedefine/>
    <w:qFormat/>
    <w:uiPriority w:val="0"/>
    <w:rPr>
      <w:rFonts w:ascii="黑体" w:hAnsi="黑体" w:eastAsia="黑体" w:cs="Times New Roman"/>
      <w:b/>
      <w:sz w:val="32"/>
      <w:szCs w:val="24"/>
      <w:lang w:val="en-US" w:eastAsia="zh-CN" w:bidi="ar-SA"/>
    </w:rPr>
  </w:style>
  <w:style w:type="paragraph" w:customStyle="1" w:styleId="458">
    <w:name w:val="正文_1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autoRedefine/>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autoRedefine/>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autoRedefine/>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autoRedefine/>
    <w:qFormat/>
    <w:uiPriority w:val="0"/>
    <w:rPr>
      <w:rFonts w:ascii="黑体" w:hAnsi="黑体" w:eastAsia="黑体" w:cs="Times New Roman"/>
      <w:b/>
      <w:sz w:val="32"/>
      <w:szCs w:val="24"/>
      <w:lang w:val="en-US" w:eastAsia="zh-CN" w:bidi="ar-SA"/>
    </w:rPr>
  </w:style>
  <w:style w:type="paragraph" w:customStyle="1" w:styleId="464">
    <w:name w:val="技术方案3"/>
    <w:basedOn w:val="1"/>
    <w:autoRedefine/>
    <w:qFormat/>
    <w:uiPriority w:val="0"/>
    <w:pPr>
      <w:spacing w:line="360" w:lineRule="auto"/>
    </w:pPr>
    <w:rPr>
      <w:rFonts w:ascii="宋体" w:hAnsi="Calibri"/>
      <w:b/>
      <w:bCs/>
      <w:sz w:val="32"/>
      <w:szCs w:val="22"/>
    </w:rPr>
  </w:style>
  <w:style w:type="paragraph" w:customStyle="1" w:styleId="465">
    <w:name w:val="加点正文缩进"/>
    <w:basedOn w:val="1"/>
    <w:autoRedefine/>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autoRedefine/>
    <w:qFormat/>
    <w:uiPriority w:val="0"/>
    <w:pPr>
      <w:adjustRightInd w:val="0"/>
      <w:spacing w:line="360" w:lineRule="auto"/>
      <w:ind w:left="480"/>
    </w:pPr>
    <w:rPr>
      <w:rFonts w:ascii="Calibri" w:hAnsi="Calibri"/>
      <w:kern w:val="0"/>
      <w:sz w:val="24"/>
      <w:szCs w:val="20"/>
    </w:rPr>
  </w:style>
  <w:style w:type="paragraph" w:customStyle="1" w:styleId="467">
    <w:name w:val="pa-10"/>
    <w:basedOn w:val="1"/>
    <w:autoRedefine/>
    <w:qFormat/>
    <w:uiPriority w:val="0"/>
    <w:pPr>
      <w:widowControl/>
      <w:spacing w:line="240" w:lineRule="atLeast"/>
    </w:pPr>
    <w:rPr>
      <w:rFonts w:ascii="宋体" w:hAnsi="Calibri" w:cs="宋体"/>
      <w:kern w:val="0"/>
      <w:sz w:val="24"/>
      <w:szCs w:val="22"/>
    </w:rPr>
  </w:style>
  <w:style w:type="paragraph" w:customStyle="1" w:styleId="468">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autoRedefine/>
    <w:qFormat/>
    <w:uiPriority w:val="0"/>
    <w:rPr>
      <w:rFonts w:ascii="黑体" w:hAnsi="黑体" w:eastAsia="黑体" w:cs="Times New Roman"/>
      <w:b/>
      <w:sz w:val="32"/>
      <w:szCs w:val="24"/>
      <w:lang w:val="en-US" w:eastAsia="zh-CN" w:bidi="ar-SA"/>
    </w:rPr>
  </w:style>
  <w:style w:type="paragraph" w:customStyle="1" w:styleId="471">
    <w:name w:val="pa-3"/>
    <w:basedOn w:val="1"/>
    <w:autoRedefine/>
    <w:qFormat/>
    <w:uiPriority w:val="0"/>
    <w:pPr>
      <w:widowControl/>
      <w:spacing w:before="150" w:after="150"/>
      <w:jc w:val="left"/>
    </w:pPr>
    <w:rPr>
      <w:rFonts w:ascii="宋体" w:hAnsi="Calibri" w:cs="宋体"/>
      <w:kern w:val="0"/>
      <w:sz w:val="24"/>
      <w:szCs w:val="22"/>
    </w:rPr>
  </w:style>
  <w:style w:type="paragraph" w:customStyle="1" w:styleId="472">
    <w:name w:val="Normal_15_0"/>
    <w:autoRedefine/>
    <w:qFormat/>
    <w:uiPriority w:val="0"/>
    <w:rPr>
      <w:rFonts w:ascii="黑体" w:hAnsi="黑体" w:eastAsia="黑体" w:cs="Times New Roman"/>
      <w:b/>
      <w:sz w:val="32"/>
      <w:szCs w:val="24"/>
      <w:lang w:val="en-US" w:eastAsia="zh-CN" w:bidi="ar-SA"/>
    </w:rPr>
  </w:style>
  <w:style w:type="paragraph" w:customStyle="1" w:styleId="473">
    <w:name w:val="D&amp;L"/>
    <w:basedOn w:val="42"/>
    <w:autoRedefine/>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autoRedefine/>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autoRedefine/>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autoRedefine/>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autoRedefine/>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autoRedefine/>
    <w:qFormat/>
    <w:uiPriority w:val="0"/>
    <w:pPr>
      <w:spacing w:line="312" w:lineRule="auto"/>
    </w:pPr>
    <w:rPr>
      <w:rFonts w:ascii="宋体" w:hAnsi="Calibri" w:cs="宋体"/>
      <w:sz w:val="24"/>
      <w:szCs w:val="22"/>
    </w:rPr>
  </w:style>
  <w:style w:type="paragraph" w:customStyle="1" w:styleId="483">
    <w:name w:val="Normal_19"/>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autoRedefine/>
    <w:qFormat/>
    <w:uiPriority w:val="0"/>
    <w:pPr>
      <w:adjustRightInd w:val="0"/>
      <w:jc w:val="left"/>
    </w:pPr>
    <w:rPr>
      <w:rFonts w:ascii="宋体"/>
      <w:kern w:val="0"/>
      <w:sz w:val="24"/>
    </w:rPr>
  </w:style>
  <w:style w:type="paragraph" w:customStyle="1" w:styleId="485">
    <w:name w:val="表格序号"/>
    <w:autoRedefine/>
    <w:qFormat/>
    <w:uiPriority w:val="0"/>
    <w:rPr>
      <w:rFonts w:ascii="Times New Roman" w:hAnsi="Times New Roman" w:eastAsia="仿宋_GB2312" w:cs="宋体"/>
      <w:kern w:val="44"/>
      <w:sz w:val="21"/>
      <w:lang w:val="en-US" w:eastAsia="zh-CN" w:bidi="ar-SA"/>
    </w:rPr>
  </w:style>
  <w:style w:type="paragraph" w:customStyle="1" w:styleId="486">
    <w:name w:val="序号"/>
    <w:next w:val="1"/>
    <w:autoRedefine/>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autoRedefine/>
    <w:qFormat/>
    <w:uiPriority w:val="0"/>
    <w:pPr>
      <w:adjustRightInd w:val="0"/>
      <w:jc w:val="left"/>
    </w:pPr>
    <w:rPr>
      <w:rFonts w:ascii="宋体"/>
      <w:kern w:val="0"/>
      <w:sz w:val="24"/>
    </w:rPr>
  </w:style>
  <w:style w:type="paragraph" w:customStyle="1" w:styleId="489">
    <w:name w:val="Normal_7"/>
    <w:autoRedefine/>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autoRedefine/>
    <w:qFormat/>
    <w:uiPriority w:val="0"/>
    <w:pPr>
      <w:widowControl/>
      <w:spacing w:after="160" w:line="240" w:lineRule="exact"/>
      <w:jc w:val="left"/>
    </w:pPr>
    <w:rPr>
      <w:rFonts w:ascii="宋体" w:hAnsi="宋体"/>
      <w:b/>
      <w:kern w:val="0"/>
      <w:sz w:val="28"/>
      <w:szCs w:val="28"/>
    </w:rPr>
  </w:style>
  <w:style w:type="paragraph" w:customStyle="1" w:styleId="491">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autoRedefine/>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19"/>
    <w:autoRedefine/>
    <w:qFormat/>
    <w:uiPriority w:val="0"/>
    <w:rPr>
      <w:rFonts w:ascii="Tahoma" w:hAnsi="Tahoma"/>
      <w:sz w:val="24"/>
    </w:rPr>
  </w:style>
  <w:style w:type="paragraph" w:customStyle="1" w:styleId="495">
    <w:name w:val="章标题"/>
    <w:next w:val="158"/>
    <w:autoRedefine/>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autoRedefine/>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autoRedefine/>
    <w:qFormat/>
    <w:uiPriority w:val="0"/>
    <w:pPr>
      <w:adjustRightInd w:val="0"/>
      <w:snapToGrid w:val="0"/>
      <w:spacing w:line="312" w:lineRule="auto"/>
    </w:pPr>
    <w:rPr>
      <w:rFonts w:ascii="Calibri" w:hAnsi="Calibri" w:cs="宋体"/>
      <w:kern w:val="0"/>
      <w:szCs w:val="20"/>
    </w:rPr>
  </w:style>
  <w:style w:type="character" w:customStyle="1" w:styleId="500">
    <w:name w:val="未处理的提及"/>
    <w:autoRedefine/>
    <w:unhideWhenUsed/>
    <w:qFormat/>
    <w:uiPriority w:val="99"/>
    <w:rPr>
      <w:color w:val="605E5C"/>
      <w:shd w:val="clear" w:color="auto" w:fill="E1DFDD"/>
    </w:rPr>
  </w:style>
  <w:style w:type="character" w:customStyle="1" w:styleId="501">
    <w:name w:val="Char Char14"/>
    <w:autoRedefine/>
    <w:qFormat/>
    <w:uiPriority w:val="0"/>
    <w:rPr>
      <w:rFonts w:eastAsia="宋体"/>
      <w:b/>
      <w:bCs/>
      <w:kern w:val="44"/>
      <w:sz w:val="44"/>
      <w:szCs w:val="44"/>
      <w:lang w:val="en-US" w:eastAsia="zh-CN" w:bidi="ar-SA"/>
    </w:rPr>
  </w:style>
  <w:style w:type="character" w:customStyle="1" w:styleId="502">
    <w:name w:val="正文文本 3 字符"/>
    <w:autoRedefine/>
    <w:qFormat/>
    <w:uiPriority w:val="0"/>
    <w:rPr>
      <w:rFonts w:ascii="宋体"/>
      <w:kern w:val="2"/>
      <w:sz w:val="24"/>
    </w:rPr>
  </w:style>
  <w:style w:type="character" w:customStyle="1" w:styleId="503">
    <w:name w:val="样式 宋体 小四2"/>
    <w:autoRedefine/>
    <w:qFormat/>
    <w:uiPriority w:val="0"/>
    <w:rPr>
      <w:rFonts w:ascii="宋体" w:hAnsi="宋体"/>
      <w:kern w:val="0"/>
      <w:sz w:val="28"/>
    </w:rPr>
  </w:style>
  <w:style w:type="character" w:customStyle="1" w:styleId="504">
    <w:name w:val="样式 黑体 小二"/>
    <w:autoRedefine/>
    <w:qFormat/>
    <w:uiPriority w:val="0"/>
    <w:rPr>
      <w:rFonts w:ascii="黑体" w:hAnsi="黑体" w:eastAsia="黑体"/>
      <w:sz w:val="36"/>
    </w:rPr>
  </w:style>
  <w:style w:type="character" w:customStyle="1" w:styleId="505">
    <w:name w:val="样式 宋体 小四 加粗"/>
    <w:autoRedefine/>
    <w:qFormat/>
    <w:uiPriority w:val="0"/>
    <w:rPr>
      <w:rFonts w:ascii="宋体" w:hAnsi="宋体"/>
      <w:b/>
      <w:bCs/>
      <w:sz w:val="28"/>
    </w:rPr>
  </w:style>
  <w:style w:type="character" w:customStyle="1" w:styleId="506">
    <w:name w:val="普通文字 Char3"/>
    <w:autoRedefine/>
    <w:qFormat/>
    <w:uiPriority w:val="0"/>
    <w:rPr>
      <w:rFonts w:ascii="宋体" w:hAnsi="Courier New" w:eastAsia="宋体"/>
      <w:kern w:val="2"/>
      <w:sz w:val="21"/>
      <w:szCs w:val="21"/>
      <w:lang w:val="en-US" w:eastAsia="zh-CN" w:bidi="ar-SA"/>
    </w:rPr>
  </w:style>
  <w:style w:type="character" w:customStyle="1" w:styleId="507">
    <w:name w:val="Char Char31"/>
    <w:autoRedefine/>
    <w:qFormat/>
    <w:uiPriority w:val="0"/>
    <w:rPr>
      <w:kern w:val="2"/>
      <w:sz w:val="18"/>
    </w:rPr>
  </w:style>
  <w:style w:type="character" w:customStyle="1" w:styleId="508">
    <w:name w:val="标题 2 Char Char"/>
    <w:autoRedefine/>
    <w:qFormat/>
    <w:uiPriority w:val="0"/>
    <w:rPr>
      <w:rFonts w:ascii="Arial" w:hAnsi="Arial" w:eastAsia="黑体"/>
      <w:b/>
      <w:bCs/>
      <w:kern w:val="2"/>
      <w:sz w:val="32"/>
      <w:szCs w:val="32"/>
      <w:lang w:val="en-US" w:eastAsia="zh-CN" w:bidi="ar-SA"/>
    </w:rPr>
  </w:style>
  <w:style w:type="character" w:customStyle="1" w:styleId="509">
    <w:name w:val="正文文本 Char Char"/>
    <w:autoRedefine/>
    <w:qFormat/>
    <w:uiPriority w:val="0"/>
    <w:rPr>
      <w:rFonts w:ascii="宋体" w:eastAsia="宋体"/>
      <w:kern w:val="2"/>
      <w:sz w:val="30"/>
      <w:lang w:val="en-US" w:eastAsia="zh-CN" w:bidi="ar-SA"/>
    </w:rPr>
  </w:style>
  <w:style w:type="character" w:customStyle="1" w:styleId="510">
    <w:name w:val="样式 (西文) 仿宋_GB2312 小四"/>
    <w:autoRedefine/>
    <w:qFormat/>
    <w:uiPriority w:val="0"/>
    <w:rPr>
      <w:rFonts w:ascii="Times New Roman" w:hAnsi="Times New Roman" w:eastAsia="宋体"/>
      <w:sz w:val="24"/>
      <w:szCs w:val="24"/>
    </w:rPr>
  </w:style>
  <w:style w:type="character" w:customStyle="1" w:styleId="511">
    <w:name w:val="正文2 Char"/>
    <w:link w:val="512"/>
    <w:autoRedefine/>
    <w:qFormat/>
    <w:uiPriority w:val="0"/>
    <w:rPr>
      <w:rFonts w:ascii="宋体" w:hAnsi="宋体"/>
      <w:kern w:val="2"/>
      <w:sz w:val="24"/>
      <w:szCs w:val="24"/>
    </w:rPr>
  </w:style>
  <w:style w:type="paragraph" w:customStyle="1" w:styleId="512">
    <w:name w:val="正文21"/>
    <w:basedOn w:val="1"/>
    <w:link w:val="511"/>
    <w:autoRedefine/>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autoRedefine/>
    <w:qFormat/>
    <w:uiPriority w:val="0"/>
    <w:rPr>
      <w:rFonts w:ascii="Times New Roman" w:hAnsi="Times New Roman" w:eastAsia="宋体"/>
      <w:b/>
      <w:bCs/>
      <w:sz w:val="28"/>
      <w:szCs w:val="24"/>
    </w:rPr>
  </w:style>
  <w:style w:type="character" w:customStyle="1" w:styleId="514">
    <w:name w:val="Char Char12"/>
    <w:autoRedefine/>
    <w:qFormat/>
    <w:uiPriority w:val="0"/>
    <w:rPr>
      <w:rFonts w:eastAsia="宋体"/>
      <w:b/>
      <w:bCs/>
      <w:kern w:val="44"/>
      <w:sz w:val="44"/>
      <w:szCs w:val="44"/>
      <w:lang w:val="en-US" w:eastAsia="zh-CN" w:bidi="ar-SA"/>
    </w:rPr>
  </w:style>
  <w:style w:type="character" w:customStyle="1" w:styleId="515">
    <w:name w:val="high-light-bg"/>
    <w:autoRedefine/>
    <w:qFormat/>
    <w:uiPriority w:val="0"/>
  </w:style>
  <w:style w:type="character" w:customStyle="1" w:styleId="516">
    <w:name w:val="样式 Char Char"/>
    <w:link w:val="517"/>
    <w:autoRedefine/>
    <w:qFormat/>
    <w:uiPriority w:val="0"/>
    <w:rPr>
      <w:rFonts w:ascii="宋体"/>
      <w:sz w:val="28"/>
      <w:szCs w:val="28"/>
    </w:rPr>
  </w:style>
  <w:style w:type="paragraph" w:customStyle="1" w:styleId="517">
    <w:name w:val="样式"/>
    <w:basedOn w:val="1"/>
    <w:next w:val="50"/>
    <w:link w:val="516"/>
    <w:autoRedefine/>
    <w:qFormat/>
    <w:uiPriority w:val="0"/>
    <w:pPr>
      <w:adjustRightInd w:val="0"/>
      <w:ind w:firstLine="564"/>
      <w:textAlignment w:val="baseline"/>
    </w:pPr>
    <w:rPr>
      <w:rFonts w:ascii="宋体"/>
      <w:kern w:val="0"/>
      <w:sz w:val="28"/>
      <w:szCs w:val="28"/>
    </w:rPr>
  </w:style>
  <w:style w:type="character" w:customStyle="1" w:styleId="518">
    <w:name w:val="样式 宋体 小四 加粗1"/>
    <w:autoRedefine/>
    <w:qFormat/>
    <w:uiPriority w:val="0"/>
    <w:rPr>
      <w:rFonts w:ascii="宋体" w:hAnsi="宋体"/>
      <w:b/>
      <w:bCs/>
      <w:sz w:val="28"/>
    </w:rPr>
  </w:style>
  <w:style w:type="character" w:customStyle="1" w:styleId="519">
    <w:name w:val="样式 宋体 小四1"/>
    <w:autoRedefine/>
    <w:qFormat/>
    <w:uiPriority w:val="0"/>
    <w:rPr>
      <w:rFonts w:ascii="宋体" w:hAnsi="宋体"/>
      <w:sz w:val="28"/>
    </w:rPr>
  </w:style>
  <w:style w:type="character" w:customStyle="1" w:styleId="520">
    <w:name w:val="正 文 1 Char"/>
    <w:autoRedefine/>
    <w:qFormat/>
    <w:uiPriority w:val="0"/>
    <w:rPr>
      <w:rFonts w:ascii="宋体" w:hAnsi="Courier New" w:eastAsia="宋体" w:cs="Courier New"/>
      <w:kern w:val="2"/>
      <w:sz w:val="21"/>
      <w:szCs w:val="21"/>
      <w:lang w:val="en-US" w:eastAsia="zh-CN" w:bidi="ar-SA"/>
    </w:rPr>
  </w:style>
  <w:style w:type="character" w:customStyle="1" w:styleId="521">
    <w:name w:val="样式 宋体 小四"/>
    <w:autoRedefine/>
    <w:qFormat/>
    <w:uiPriority w:val="0"/>
    <w:rPr>
      <w:rFonts w:ascii="宋体" w:hAnsi="宋体"/>
      <w:sz w:val="28"/>
    </w:rPr>
  </w:style>
  <w:style w:type="character" w:customStyle="1" w:styleId="522">
    <w:name w:val="font161"/>
    <w:autoRedefine/>
    <w:qFormat/>
    <w:uiPriority w:val="0"/>
    <w:rPr>
      <w:b/>
      <w:bCs/>
      <w:sz w:val="32"/>
      <w:szCs w:val="32"/>
    </w:rPr>
  </w:style>
  <w:style w:type="character" w:customStyle="1" w:styleId="523">
    <w:name w:val="标题1　样式 宋体 小三 加粗"/>
    <w:autoRedefine/>
    <w:qFormat/>
    <w:uiPriority w:val="0"/>
    <w:rPr>
      <w:rFonts w:ascii="宋体" w:hAnsi="宋体" w:eastAsia="黑体"/>
      <w:b/>
      <w:bCs/>
      <w:kern w:val="44"/>
      <w:sz w:val="30"/>
      <w:szCs w:val="44"/>
      <w:lang w:val="en-US" w:eastAsia="zh-CN" w:bidi="ar-SA"/>
    </w:rPr>
  </w:style>
  <w:style w:type="paragraph" w:customStyle="1" w:styleId="524">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autoRedefine/>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autoRedefine/>
    <w:qFormat/>
    <w:uiPriority w:val="39"/>
    <w:pPr>
      <w:ind w:left="420"/>
      <w:jc w:val="left"/>
    </w:pPr>
    <w:rPr>
      <w:i/>
      <w:iCs/>
      <w:sz w:val="20"/>
      <w:szCs w:val="20"/>
    </w:rPr>
  </w:style>
  <w:style w:type="paragraph" w:customStyle="1" w:styleId="528">
    <w:name w:val="TOC 标题1"/>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autoRedefine/>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autoRedefine/>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autoRedefine/>
    <w:qFormat/>
    <w:uiPriority w:val="0"/>
  </w:style>
  <w:style w:type="paragraph" w:customStyle="1" w:styleId="532">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autoRedefine/>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6"/>
    <w:next w:val="24"/>
    <w:autoRedefine/>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autoRedefine/>
    <w:qFormat/>
    <w:uiPriority w:val="0"/>
    <w:pPr>
      <w:adjustRightInd w:val="0"/>
      <w:spacing w:line="420" w:lineRule="atLeast"/>
      <w:textAlignment w:val="baseline"/>
    </w:pPr>
    <w:rPr>
      <w:rFonts w:eastAsia="黑体"/>
      <w:b/>
      <w:kern w:val="0"/>
      <w:szCs w:val="20"/>
    </w:rPr>
  </w:style>
  <w:style w:type="paragraph" w:customStyle="1" w:styleId="545">
    <w:name w:val="表1"/>
    <w:basedOn w:val="1"/>
    <w:autoRedefine/>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autoRedefine/>
    <w:qFormat/>
    <w:uiPriority w:val="0"/>
    <w:pPr>
      <w:spacing w:line="360" w:lineRule="auto"/>
      <w:ind w:firstLine="480" w:firstLineChars="200"/>
    </w:pPr>
    <w:rPr>
      <w:rFonts w:ascii="宋体" w:hAnsi="宋体"/>
      <w:kern w:val="0"/>
      <w:sz w:val="24"/>
    </w:rPr>
  </w:style>
  <w:style w:type="paragraph" w:customStyle="1" w:styleId="549">
    <w:name w:val="表格6"/>
    <w:basedOn w:val="1"/>
    <w:autoRedefine/>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autoRedefine/>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autoRedefine/>
    <w:qFormat/>
    <w:uiPriority w:val="0"/>
  </w:style>
  <w:style w:type="paragraph" w:customStyle="1" w:styleId="557">
    <w:name w:val="Char1 Char Char Char1"/>
    <w:basedOn w:val="1"/>
    <w:autoRedefine/>
    <w:qFormat/>
    <w:uiPriority w:val="0"/>
    <w:rPr>
      <w:rFonts w:ascii="Tahoma" w:hAnsi="Tahoma"/>
      <w:sz w:val="24"/>
      <w:szCs w:val="20"/>
    </w:rPr>
  </w:style>
  <w:style w:type="paragraph" w:customStyle="1" w:styleId="558">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autoRedefine/>
    <w:qFormat/>
    <w:uiPriority w:val="0"/>
  </w:style>
  <w:style w:type="paragraph" w:customStyle="1" w:styleId="562">
    <w:name w:val="font12"/>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autoRedefine/>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autoRedefine/>
    <w:qFormat/>
    <w:uiPriority w:val="0"/>
    <w:pPr>
      <w:spacing w:line="600" w:lineRule="exact"/>
      <w:ind w:firstLine="560"/>
    </w:pPr>
    <w:rPr>
      <w:rFonts w:ascii="宋体" w:hAnsi="宋体" w:cs="宋体"/>
      <w:sz w:val="28"/>
      <w:szCs w:val="20"/>
    </w:rPr>
  </w:style>
  <w:style w:type="paragraph" w:customStyle="1" w:styleId="568">
    <w:name w:val="Char Char Char Char11"/>
    <w:basedOn w:val="1"/>
    <w:autoRedefine/>
    <w:qFormat/>
    <w:uiPriority w:val="0"/>
  </w:style>
  <w:style w:type="paragraph" w:customStyle="1" w:styleId="569">
    <w:name w:val="Char Char5 Char Char"/>
    <w:basedOn w:val="1"/>
    <w:autoRedefine/>
    <w:qFormat/>
    <w:uiPriority w:val="0"/>
    <w:pPr>
      <w:spacing w:line="360" w:lineRule="auto"/>
      <w:ind w:firstLine="200" w:firstLineChars="200"/>
    </w:pPr>
    <w:rPr>
      <w:rFonts w:ascii="宋体" w:hAnsi="宋体" w:cs="宋体"/>
      <w:sz w:val="24"/>
    </w:rPr>
  </w:style>
  <w:style w:type="paragraph" w:customStyle="1" w:styleId="570">
    <w:name w:val="xl51"/>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autoRedefine/>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autoRedefine/>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autoRedefine/>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autoRedefine/>
    <w:qFormat/>
    <w:uiPriority w:val="0"/>
  </w:style>
  <w:style w:type="paragraph" w:customStyle="1" w:styleId="580">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autoRedefine/>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autoRedefine/>
    <w:qFormat/>
    <w:uiPriority w:val="0"/>
    <w:rPr>
      <w:sz w:val="32"/>
    </w:rPr>
  </w:style>
  <w:style w:type="paragraph" w:customStyle="1" w:styleId="584">
    <w:name w:val="flNote"/>
    <w:basedOn w:val="1"/>
    <w:autoRedefine/>
    <w:qFormat/>
    <w:uiPriority w:val="0"/>
    <w:pPr>
      <w:spacing w:before="320" w:after="160"/>
      <w:jc w:val="center"/>
    </w:pPr>
    <w:rPr>
      <w:rFonts w:ascii="Arial" w:eastAsia="黑体"/>
      <w:sz w:val="30"/>
    </w:rPr>
  </w:style>
  <w:style w:type="paragraph" w:customStyle="1" w:styleId="585">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586">
    <w:name w:val="def正文"/>
    <w:basedOn w:val="24"/>
    <w:autoRedefine/>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autoRedefine/>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autoRedefine/>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autoRedefine/>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Revision"/>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3"/>
    <w:autoRedefine/>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2"/>
    <w:autoRedefine/>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autoRedefine/>
    <w:qFormat/>
    <w:uiPriority w:val="0"/>
  </w:style>
  <w:style w:type="paragraph" w:customStyle="1" w:styleId="606">
    <w:name w:val="Char Char Char Char2"/>
    <w:basedOn w:val="1"/>
    <w:autoRedefine/>
    <w:qFormat/>
    <w:uiPriority w:val="0"/>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autoRedefine/>
    <w:qFormat/>
    <w:uiPriority w:val="0"/>
    <w:pPr>
      <w:spacing w:before="50" w:line="440" w:lineRule="exact"/>
      <w:ind w:left="851"/>
    </w:pPr>
    <w:rPr>
      <w:sz w:val="24"/>
      <w:szCs w:val="20"/>
    </w:rPr>
  </w:style>
  <w:style w:type="paragraph" w:customStyle="1" w:styleId="610">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autoRedefine/>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autoRedefine/>
    <w:qFormat/>
    <w:uiPriority w:val="0"/>
    <w:pPr>
      <w:adjustRightInd w:val="0"/>
      <w:textAlignment w:val="baseline"/>
    </w:pPr>
    <w:rPr>
      <w:rFonts w:ascii="宋体" w:hAnsi="Courier New"/>
      <w:szCs w:val="20"/>
    </w:rPr>
  </w:style>
  <w:style w:type="paragraph" w:customStyle="1" w:styleId="617">
    <w:name w:val="表中"/>
    <w:basedOn w:val="1"/>
    <w:autoRedefine/>
    <w:qFormat/>
    <w:uiPriority w:val="0"/>
    <w:pPr>
      <w:adjustRightInd w:val="0"/>
      <w:spacing w:line="360" w:lineRule="atLeast"/>
      <w:jc w:val="center"/>
      <w:textAlignment w:val="baseline"/>
    </w:pPr>
    <w:rPr>
      <w:kern w:val="0"/>
      <w:szCs w:val="20"/>
    </w:rPr>
  </w:style>
  <w:style w:type="paragraph" w:customStyle="1" w:styleId="618">
    <w:name w:val="表名A"/>
    <w:basedOn w:val="1"/>
    <w:autoRedefine/>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autoRedefine/>
    <w:qFormat/>
    <w:uiPriority w:val="0"/>
    <w:rPr>
      <w:szCs w:val="21"/>
    </w:rPr>
  </w:style>
  <w:style w:type="paragraph" w:customStyle="1" w:styleId="622">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autoRedefine/>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autoRedefine/>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5"/>
    <w:autoRedefine/>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autoRedefine/>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autoRedefine/>
    <w:qFormat/>
    <w:uiPriority w:val="0"/>
    <w:pPr>
      <w:spacing w:line="360" w:lineRule="auto"/>
      <w:jc w:val="center"/>
    </w:pPr>
    <w:rPr>
      <w:rFonts w:ascii="黑体" w:hAnsi="Arial" w:eastAsia="黑体" w:cs="Arial"/>
      <w:bCs/>
      <w:sz w:val="24"/>
      <w:szCs w:val="32"/>
    </w:rPr>
  </w:style>
  <w:style w:type="paragraph" w:customStyle="1" w:styleId="63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autoRedefine/>
    <w:qFormat/>
    <w:uiPriority w:val="0"/>
    <w:pPr>
      <w:spacing w:line="300" w:lineRule="auto"/>
      <w:ind w:firstLine="200" w:firstLineChars="200"/>
    </w:pPr>
    <w:rPr>
      <w:sz w:val="24"/>
    </w:rPr>
  </w:style>
  <w:style w:type="paragraph" w:customStyle="1" w:styleId="635">
    <w:name w:val="表头文字"/>
    <w:basedOn w:val="1"/>
    <w:next w:val="1"/>
    <w:autoRedefine/>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autoRedefine/>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autoRedefine/>
    <w:qFormat/>
    <w:uiPriority w:val="0"/>
  </w:style>
  <w:style w:type="paragraph" w:customStyle="1" w:styleId="6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autoRedefine/>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autoRedefine/>
    <w:qFormat/>
    <w:uiPriority w:val="0"/>
    <w:pPr>
      <w:spacing w:line="360" w:lineRule="exact"/>
      <w:ind w:left="480"/>
    </w:pPr>
    <w:rPr>
      <w:sz w:val="24"/>
    </w:rPr>
  </w:style>
  <w:style w:type="paragraph" w:customStyle="1" w:styleId="642">
    <w:name w:val="font11"/>
    <w:basedOn w:val="1"/>
    <w:autoRedefine/>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autoRedefine/>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autoRedefine/>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autoRedefine/>
    <w:qFormat/>
    <w:uiPriority w:val="0"/>
  </w:style>
  <w:style w:type="paragraph" w:customStyle="1" w:styleId="648">
    <w:name w:val="三级条标题1"/>
    <w:basedOn w:val="1"/>
    <w:next w:val="1"/>
    <w:autoRedefine/>
    <w:qFormat/>
    <w:uiPriority w:val="0"/>
    <w:pPr>
      <w:widowControl/>
      <w:ind w:left="900"/>
      <w:jc w:val="left"/>
      <w:outlineLvl w:val="4"/>
    </w:pPr>
    <w:rPr>
      <w:rFonts w:eastAsia="黑体"/>
      <w:kern w:val="0"/>
      <w:szCs w:val="20"/>
    </w:rPr>
  </w:style>
  <w:style w:type="paragraph" w:customStyle="1" w:styleId="64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autoRedefine/>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24"/>
    <w:autoRedefine/>
    <w:qFormat/>
    <w:uiPriority w:val="0"/>
    <w:pPr>
      <w:adjustRightInd w:val="0"/>
      <w:snapToGrid w:val="0"/>
      <w:spacing w:beforeLines="15" w:afterLines="15" w:line="440" w:lineRule="exact"/>
      <w:outlineLvl w:val="4"/>
    </w:pPr>
    <w:rPr>
      <w:b/>
      <w:sz w:val="24"/>
    </w:rPr>
  </w:style>
  <w:style w:type="paragraph" w:customStyle="1" w:styleId="65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3"/>
    <w:next w:val="1"/>
    <w:autoRedefine/>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kern w:val="2"/>
      <w:sz w:val="24"/>
      <w:szCs w:val="20"/>
    </w:rPr>
  </w:style>
  <w:style w:type="paragraph" w:customStyle="1" w:styleId="663">
    <w:name w:val="xl71"/>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2"/>
    <w:autoRedefine/>
    <w:qFormat/>
    <w:uiPriority w:val="0"/>
    <w:pPr>
      <w:keepNext w:val="0"/>
      <w:adjustRightInd w:val="0"/>
      <w:snapToGrid w:val="0"/>
      <w:spacing w:beforeLines="1600" w:after="0" w:line="240" w:lineRule="auto"/>
      <w:ind w:left="454"/>
      <w:jc w:val="center"/>
    </w:pPr>
  </w:style>
  <w:style w:type="paragraph" w:customStyle="1" w:styleId="66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autoRedefine/>
    <w:qFormat/>
    <w:uiPriority w:val="0"/>
    <w:rPr>
      <w:rFonts w:ascii="Arial" w:hAnsi="Arial" w:eastAsia="仿宋_GB2312" w:cs="Times New Roman"/>
      <w:sz w:val="21"/>
      <w:lang w:val="en-US" w:eastAsia="zh-CN" w:bidi="ar-SA"/>
    </w:rPr>
  </w:style>
  <w:style w:type="paragraph" w:customStyle="1" w:styleId="668">
    <w:name w:val="font20"/>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autoRedefine/>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67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4">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5">
    <w:name w:val="xl12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6">
    <w:name w:val="正文文本缩进 21"/>
    <w:basedOn w:val="1"/>
    <w:autoRedefine/>
    <w:qFormat/>
    <w:uiPriority w:val="0"/>
    <w:pPr>
      <w:adjustRightInd w:val="0"/>
      <w:spacing w:line="400" w:lineRule="atLeast"/>
      <w:ind w:firstLine="540"/>
      <w:textAlignment w:val="baseline"/>
    </w:pPr>
    <w:rPr>
      <w:rFonts w:ascii="宋体"/>
      <w:kern w:val="0"/>
      <w:sz w:val="24"/>
      <w:szCs w:val="20"/>
    </w:rPr>
  </w:style>
  <w:style w:type="character" w:customStyle="1" w:styleId="677">
    <w:name w:val="页脚 字符"/>
    <w:autoRedefine/>
    <w:qFormat/>
    <w:uiPriority w:val="99"/>
  </w:style>
  <w:style w:type="character" w:customStyle="1" w:styleId="678">
    <w:name w:val="NormalCharacter"/>
    <w:autoRedefine/>
    <w:qFormat/>
    <w:uiPriority w:val="0"/>
  </w:style>
  <w:style w:type="table" w:customStyle="1" w:styleId="679">
    <w:name w:val="网格型2"/>
    <w:basedOn w:val="64"/>
    <w:autoRedefine/>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0">
    <w:name w:val="网格型3"/>
    <w:basedOn w:val="64"/>
    <w:autoRedefine/>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55C28-267F-49EF-BCCA-18CDFFD08E7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53</Pages>
  <Words>5907</Words>
  <Characters>6204</Characters>
  <Lines>181</Lines>
  <Paragraphs>51</Paragraphs>
  <TotalTime>6</TotalTime>
  <ScaleCrop>false</ScaleCrop>
  <LinksUpToDate>false</LinksUpToDate>
  <CharactersWithSpaces>6287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2022-03-07T11:20:00Z</dcterms:created>
  <dc:creator>tao</dc:creator>
  <cp:lastModifiedBy>0803</cp:lastModifiedBy>
  <cp:lastPrinted>2021-09-29T10:02:00Z</cp:lastPrinted>
  <dcterms:modified xsi:type="dcterms:W3CDTF">2025-04-24T08:37:38Z</dcterms:modified>
  <dc:title>港闸区人民法院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C4D6B67573754908B8F878BF2727C689_13</vt:lpwstr>
  </property>
  <property fmtid="{D5CDD505-2E9C-101B-9397-08002B2CF9AE}" pid="4" name="KSOTemplateDocerSaveRecord">
    <vt:lpwstr>eyJoZGlkIjoiYWUwNmZkNDQxZTk1MjIzMDk3MmJlZmIyYWI1ODA2MzIiLCJ1c2VySWQiOiIxNDYxNDUyNDQ3In0=</vt:lpwstr>
  </property>
</Properties>
</file>