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76" w:lineRule="auto"/>
        <w:jc w:val="center"/>
        <w:rPr>
          <w:rFonts w:asciiTheme="minorEastAsia" w:hAnsiTheme="minorEastAsia" w:eastAsiaTheme="minorEastAsia" w:cstheme="minorEastAsia"/>
          <w:b/>
          <w:sz w:val="44"/>
          <w:szCs w:val="36"/>
        </w:rPr>
      </w:pPr>
      <w:bookmarkStart w:id="109" w:name="_GoBack"/>
      <w:bookmarkEnd w:id="109"/>
    </w:p>
    <w:p>
      <w:pPr>
        <w:autoSpaceDE w:val="0"/>
        <w:autoSpaceDN w:val="0"/>
        <w:adjustRightInd w:val="0"/>
        <w:spacing w:line="276" w:lineRule="auto"/>
        <w:jc w:val="center"/>
        <w:rPr>
          <w:rFonts w:asciiTheme="minorEastAsia" w:hAnsiTheme="minorEastAsia" w:eastAsiaTheme="minorEastAsia" w:cstheme="minorEastAsia"/>
          <w:b/>
          <w:sz w:val="44"/>
          <w:szCs w:val="36"/>
        </w:rPr>
      </w:pPr>
      <w:r>
        <w:rPr>
          <w:rFonts w:hint="eastAsia" w:asciiTheme="minorEastAsia" w:hAnsiTheme="minorEastAsia" w:eastAsiaTheme="minorEastAsia" w:cstheme="minorEastAsia"/>
          <w:b/>
          <w:sz w:val="44"/>
          <w:szCs w:val="36"/>
        </w:rPr>
        <w:t>南通市崇川区文化和旅游资源普查项目</w:t>
      </w:r>
    </w:p>
    <w:p>
      <w:pPr>
        <w:pStyle w:val="9"/>
        <w:ind w:firstLine="883"/>
        <w:rPr>
          <w:rFonts w:asciiTheme="minorEastAsia" w:hAnsiTheme="minorEastAsia" w:eastAsiaTheme="minorEastAsia" w:cstheme="minorEastAsia"/>
          <w:b/>
          <w:sz w:val="44"/>
          <w:szCs w:val="36"/>
        </w:rPr>
      </w:pPr>
    </w:p>
    <w:p>
      <w:pPr>
        <w:rPr>
          <w:rFonts w:asciiTheme="minorEastAsia" w:hAnsiTheme="minorEastAsia" w:eastAsiaTheme="minorEastAsia" w:cstheme="minorEastAsia"/>
          <w:b/>
          <w:sz w:val="44"/>
          <w:szCs w:val="36"/>
        </w:rPr>
      </w:pPr>
    </w:p>
    <w:p>
      <w:pPr>
        <w:pStyle w:val="9"/>
        <w:ind w:firstLine="883"/>
        <w:rPr>
          <w:rFonts w:asciiTheme="minorEastAsia" w:hAnsiTheme="minorEastAsia" w:eastAsiaTheme="minorEastAsia" w:cstheme="minorEastAsia"/>
          <w:b/>
          <w:sz w:val="44"/>
          <w:szCs w:val="36"/>
        </w:rPr>
      </w:pPr>
    </w:p>
    <w:p>
      <w:pPr>
        <w:rPr>
          <w:rFonts w:asciiTheme="minorEastAsia" w:hAnsiTheme="minorEastAsia" w:eastAsiaTheme="minorEastAsia" w:cstheme="minorEastAsia"/>
        </w:rPr>
      </w:pPr>
    </w:p>
    <w:p>
      <w:pPr>
        <w:autoSpaceDE w:val="0"/>
        <w:autoSpaceDN w:val="0"/>
        <w:adjustRightInd w:val="0"/>
        <w:spacing w:line="276" w:lineRule="auto"/>
        <w:jc w:val="center"/>
        <w:rPr>
          <w:rFonts w:asciiTheme="minorEastAsia" w:hAnsiTheme="minorEastAsia" w:eastAsiaTheme="minorEastAsia" w:cstheme="minorEastAsia"/>
          <w:b/>
          <w:bCs/>
          <w:sz w:val="96"/>
          <w:szCs w:val="100"/>
        </w:rPr>
      </w:pPr>
      <w:r>
        <w:rPr>
          <w:rFonts w:hint="eastAsia" w:asciiTheme="minorEastAsia" w:hAnsiTheme="minorEastAsia" w:eastAsiaTheme="minorEastAsia" w:cstheme="minorEastAsia"/>
          <w:b/>
          <w:bCs/>
          <w:sz w:val="96"/>
          <w:szCs w:val="100"/>
          <w:lang w:val="zh-CN"/>
        </w:rPr>
        <w:t>政府采购竞争性</w:t>
      </w:r>
    </w:p>
    <w:p>
      <w:pPr>
        <w:autoSpaceDE w:val="0"/>
        <w:autoSpaceDN w:val="0"/>
        <w:adjustRightInd w:val="0"/>
        <w:spacing w:line="276" w:lineRule="auto"/>
        <w:jc w:val="center"/>
        <w:rPr>
          <w:rFonts w:asciiTheme="minorEastAsia" w:hAnsiTheme="minorEastAsia" w:eastAsiaTheme="minorEastAsia" w:cstheme="minorEastAsia"/>
          <w:b/>
          <w:bCs/>
          <w:sz w:val="96"/>
          <w:szCs w:val="100"/>
        </w:rPr>
      </w:pPr>
      <w:r>
        <w:rPr>
          <w:rFonts w:hint="eastAsia" w:asciiTheme="minorEastAsia" w:hAnsiTheme="minorEastAsia" w:eastAsiaTheme="minorEastAsia" w:cstheme="minorEastAsia"/>
          <w:b/>
          <w:bCs/>
          <w:sz w:val="96"/>
          <w:szCs w:val="100"/>
          <w:lang w:val="zh-CN"/>
        </w:rPr>
        <w:t>谈判文件</w:t>
      </w:r>
    </w:p>
    <w:p>
      <w:pPr>
        <w:autoSpaceDE w:val="0"/>
        <w:autoSpaceDN w:val="0"/>
        <w:adjustRightInd w:val="0"/>
        <w:spacing w:line="360" w:lineRule="auto"/>
        <w:ind w:firstLine="420"/>
        <w:jc w:val="center"/>
        <w:rPr>
          <w:rFonts w:asciiTheme="minorEastAsia" w:hAnsiTheme="minorEastAsia" w:eastAsiaTheme="minorEastAsia" w:cstheme="minorEastAsia"/>
          <w:b/>
          <w:sz w:val="36"/>
          <w:szCs w:val="36"/>
        </w:rPr>
      </w:pPr>
    </w:p>
    <w:p>
      <w:pPr>
        <w:autoSpaceDE w:val="0"/>
        <w:autoSpaceDN w:val="0"/>
        <w:adjustRightInd w:val="0"/>
        <w:spacing w:line="360" w:lineRule="auto"/>
        <w:ind w:firstLine="420"/>
        <w:jc w:val="center"/>
        <w:rPr>
          <w:rFonts w:asciiTheme="minorEastAsia" w:hAnsiTheme="minorEastAsia" w:eastAsiaTheme="minorEastAsia" w:cstheme="minorEastAsia"/>
          <w:b/>
          <w:sz w:val="36"/>
          <w:szCs w:val="36"/>
        </w:rPr>
      </w:pPr>
    </w:p>
    <w:p>
      <w:pPr>
        <w:autoSpaceDE w:val="0"/>
        <w:autoSpaceDN w:val="0"/>
        <w:adjustRightInd w:val="0"/>
        <w:spacing w:line="360" w:lineRule="auto"/>
        <w:ind w:firstLine="420"/>
        <w:jc w:val="center"/>
        <w:rPr>
          <w:rFonts w:asciiTheme="minorEastAsia" w:hAnsiTheme="minorEastAsia" w:eastAsiaTheme="minorEastAsia" w:cstheme="minorEastAsia"/>
          <w:szCs w:val="21"/>
        </w:rPr>
      </w:pPr>
    </w:p>
    <w:p>
      <w:pPr>
        <w:autoSpaceDE w:val="0"/>
        <w:autoSpaceDN w:val="0"/>
        <w:adjustRightInd w:val="0"/>
        <w:spacing w:line="360" w:lineRule="auto"/>
        <w:ind w:firstLine="420"/>
        <w:jc w:val="center"/>
        <w:rPr>
          <w:rFonts w:asciiTheme="minorEastAsia" w:hAnsiTheme="minorEastAsia" w:eastAsiaTheme="minorEastAsia" w:cstheme="minorEastAsia"/>
          <w:szCs w:val="21"/>
        </w:rPr>
      </w:pPr>
    </w:p>
    <w:p>
      <w:pPr>
        <w:autoSpaceDE w:val="0"/>
        <w:autoSpaceDN w:val="0"/>
        <w:adjustRightInd w:val="0"/>
        <w:spacing w:line="360" w:lineRule="auto"/>
        <w:ind w:firstLine="420"/>
        <w:jc w:val="center"/>
        <w:rPr>
          <w:rFonts w:asciiTheme="minorEastAsia" w:hAnsiTheme="minorEastAsia" w:eastAsiaTheme="minorEastAsia" w:cstheme="minorEastAsia"/>
          <w:szCs w:val="21"/>
        </w:rPr>
      </w:pPr>
    </w:p>
    <w:p>
      <w:pPr>
        <w:autoSpaceDE w:val="0"/>
        <w:autoSpaceDN w:val="0"/>
        <w:adjustRightInd w:val="0"/>
        <w:spacing w:line="360" w:lineRule="auto"/>
        <w:ind w:firstLine="420"/>
        <w:jc w:val="center"/>
        <w:rPr>
          <w:rFonts w:asciiTheme="minorEastAsia" w:hAnsiTheme="minorEastAsia" w:eastAsiaTheme="minorEastAsia" w:cstheme="minorEastAsia"/>
          <w:szCs w:val="21"/>
        </w:rPr>
      </w:pPr>
    </w:p>
    <w:p>
      <w:pPr>
        <w:autoSpaceDE w:val="0"/>
        <w:autoSpaceDN w:val="0"/>
        <w:adjustRightInd w:val="0"/>
        <w:jc w:val="center"/>
        <w:rPr>
          <w:rFonts w:asciiTheme="minorEastAsia" w:hAnsiTheme="minorEastAsia" w:eastAsiaTheme="minorEastAsia" w:cstheme="minorEastAsia"/>
          <w:szCs w:val="21"/>
        </w:rPr>
      </w:pPr>
    </w:p>
    <w:p>
      <w:pPr>
        <w:autoSpaceDE w:val="0"/>
        <w:autoSpaceDN w:val="0"/>
        <w:adjustRightInd w:val="0"/>
        <w:spacing w:line="360" w:lineRule="auto"/>
        <w:ind w:firstLine="420"/>
        <w:jc w:val="center"/>
        <w:rPr>
          <w:rFonts w:asciiTheme="minorEastAsia" w:hAnsiTheme="minorEastAsia" w:eastAsiaTheme="minorEastAsia" w:cstheme="minorEastAsia"/>
          <w:szCs w:val="21"/>
        </w:rPr>
      </w:pPr>
    </w:p>
    <w:p>
      <w:pPr>
        <w:adjustRightInd w:val="0"/>
        <w:snapToGrid w:val="0"/>
        <w:ind w:right="-601" w:rightChars="-286"/>
        <w:rPr>
          <w:rFonts w:asciiTheme="minorEastAsia" w:hAnsiTheme="minorEastAsia" w:eastAsiaTheme="minorEastAsia" w:cstheme="minorEastAsia"/>
          <w:snapToGrid w:val="0"/>
          <w:sz w:val="26"/>
          <w:szCs w:val="28"/>
        </w:rPr>
      </w:pPr>
    </w:p>
    <w:p>
      <w:pPr>
        <w:adjustRightInd w:val="0"/>
        <w:snapToGrid w:val="0"/>
        <w:ind w:left="-158" w:leftChars="-75" w:right="-601" w:rightChars="-286"/>
        <w:jc w:val="center"/>
        <w:rPr>
          <w:rFonts w:asciiTheme="minorEastAsia" w:hAnsiTheme="minorEastAsia" w:eastAsiaTheme="minorEastAsia" w:cstheme="minorEastAsia"/>
          <w:snapToGrid w:val="0"/>
          <w:sz w:val="28"/>
          <w:szCs w:val="28"/>
        </w:rPr>
      </w:pPr>
      <w:r>
        <w:rPr>
          <w:rFonts w:hint="eastAsia" w:asciiTheme="minorEastAsia" w:hAnsiTheme="minorEastAsia" w:eastAsiaTheme="minorEastAsia" w:cstheme="minorEastAsia"/>
          <w:snapToGrid w:val="0"/>
          <w:sz w:val="34"/>
          <w:szCs w:val="32"/>
        </w:rPr>
        <w:t>南通市崇川区文化和旅游局</w:t>
      </w:r>
    </w:p>
    <w:p>
      <w:pPr>
        <w:adjustRightInd w:val="0"/>
        <w:snapToGrid w:val="0"/>
        <w:ind w:left="-158" w:leftChars="-75" w:right="-601" w:rightChars="-286"/>
        <w:jc w:val="center"/>
        <w:rPr>
          <w:rFonts w:asciiTheme="minorEastAsia" w:hAnsiTheme="minorEastAsia" w:eastAsiaTheme="minorEastAsia" w:cstheme="minorEastAsia"/>
          <w:snapToGrid w:val="0"/>
          <w:sz w:val="34"/>
          <w:szCs w:val="32"/>
        </w:rPr>
      </w:pPr>
    </w:p>
    <w:p>
      <w:pPr>
        <w:autoSpaceDE w:val="0"/>
        <w:autoSpaceDN w:val="0"/>
        <w:adjustRightInd w:val="0"/>
        <w:spacing w:line="360" w:lineRule="auto"/>
        <w:jc w:val="center"/>
        <w:outlineLvl w:val="0"/>
        <w:rPr>
          <w:rFonts w:asciiTheme="minorEastAsia" w:hAnsiTheme="minorEastAsia" w:eastAsiaTheme="minorEastAsia" w:cstheme="minorEastAsia"/>
          <w:snapToGrid w:val="0"/>
          <w:sz w:val="34"/>
          <w:szCs w:val="32"/>
        </w:rPr>
      </w:pPr>
      <w:r>
        <w:rPr>
          <w:rFonts w:hint="eastAsia" w:asciiTheme="minorEastAsia" w:hAnsiTheme="minorEastAsia" w:eastAsiaTheme="minorEastAsia" w:cstheme="minorEastAsia"/>
          <w:snapToGrid w:val="0"/>
          <w:sz w:val="34"/>
          <w:szCs w:val="32"/>
        </w:rPr>
        <w:t xml:space="preserve">   二〇二一年十一月</w:t>
      </w:r>
    </w:p>
    <w:p>
      <w:pPr>
        <w:autoSpaceDE w:val="0"/>
        <w:autoSpaceDN w:val="0"/>
        <w:adjustRightInd w:val="0"/>
        <w:spacing w:line="360" w:lineRule="auto"/>
        <w:ind w:firstLine="3400" w:firstLineChars="1000"/>
        <w:outlineLvl w:val="0"/>
        <w:rPr>
          <w:rFonts w:asciiTheme="minorEastAsia" w:hAnsiTheme="minorEastAsia" w:eastAsiaTheme="minorEastAsia" w:cstheme="minorEastAsia"/>
          <w:snapToGrid w:val="0"/>
          <w:sz w:val="34"/>
          <w:szCs w:val="32"/>
        </w:rPr>
      </w:pPr>
    </w:p>
    <w:p>
      <w:pPr>
        <w:autoSpaceDE w:val="0"/>
        <w:autoSpaceDN w:val="0"/>
        <w:adjustRightInd w:val="0"/>
        <w:spacing w:line="360" w:lineRule="auto"/>
        <w:ind w:firstLine="3400" w:firstLineChars="1000"/>
        <w:outlineLvl w:val="0"/>
        <w:rPr>
          <w:rFonts w:asciiTheme="minorEastAsia" w:hAnsiTheme="minorEastAsia" w:eastAsiaTheme="minorEastAsia" w:cstheme="minorEastAsia"/>
          <w:snapToGrid w:val="0"/>
          <w:sz w:val="34"/>
          <w:szCs w:val="32"/>
        </w:rPr>
      </w:pPr>
    </w:p>
    <w:p>
      <w:pPr>
        <w:autoSpaceDE w:val="0"/>
        <w:autoSpaceDN w:val="0"/>
        <w:adjustRightInd w:val="0"/>
        <w:spacing w:line="360" w:lineRule="auto"/>
        <w:jc w:val="center"/>
        <w:outlineLvl w:val="0"/>
        <w:rPr>
          <w:rFonts w:asciiTheme="minorEastAsia" w:hAnsiTheme="minorEastAsia" w:eastAsiaTheme="minorEastAsia" w:cstheme="minorEastAsia"/>
          <w:b/>
          <w:bCs/>
          <w:sz w:val="44"/>
          <w:szCs w:val="44"/>
          <w:lang w:val="zh-CN"/>
        </w:rPr>
      </w:pPr>
    </w:p>
    <w:p>
      <w:pPr>
        <w:autoSpaceDE w:val="0"/>
        <w:autoSpaceDN w:val="0"/>
        <w:adjustRightInd w:val="0"/>
        <w:spacing w:line="360" w:lineRule="auto"/>
        <w:jc w:val="center"/>
        <w:outlineLvl w:val="0"/>
        <w:rPr>
          <w:rFonts w:asciiTheme="minorEastAsia" w:hAnsiTheme="minorEastAsia" w:eastAsiaTheme="minorEastAsia" w:cstheme="minorEastAsia"/>
          <w:b/>
          <w:bCs/>
          <w:sz w:val="44"/>
          <w:szCs w:val="44"/>
          <w:lang w:val="zh-CN"/>
        </w:rPr>
      </w:pPr>
      <w:r>
        <w:rPr>
          <w:rFonts w:hint="eastAsia" w:asciiTheme="minorEastAsia" w:hAnsiTheme="minorEastAsia" w:eastAsiaTheme="minorEastAsia" w:cstheme="minorEastAsia"/>
          <w:b/>
          <w:bCs/>
          <w:sz w:val="44"/>
          <w:szCs w:val="44"/>
          <w:lang w:val="zh-CN"/>
        </w:rPr>
        <w:t>目   录</w:t>
      </w:r>
    </w:p>
    <w:p>
      <w:pPr>
        <w:autoSpaceDE w:val="0"/>
        <w:autoSpaceDN w:val="0"/>
        <w:adjustRightInd w:val="0"/>
        <w:spacing w:line="480" w:lineRule="auto"/>
        <w:ind w:firstLine="556"/>
        <w:rPr>
          <w:rFonts w:asciiTheme="minorEastAsia" w:hAnsiTheme="minorEastAsia" w:eastAsiaTheme="minorEastAsia" w:cstheme="minorEastAsia"/>
          <w:b/>
          <w:bCs/>
          <w:sz w:val="32"/>
          <w:szCs w:val="32"/>
        </w:rPr>
      </w:pPr>
    </w:p>
    <w:p>
      <w:pPr>
        <w:autoSpaceDE w:val="0"/>
        <w:autoSpaceDN w:val="0"/>
        <w:adjustRightInd w:val="0"/>
        <w:spacing w:line="480" w:lineRule="auto"/>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bCs/>
          <w:sz w:val="32"/>
          <w:szCs w:val="32"/>
        </w:rPr>
        <w:t xml:space="preserve">第一部分  </w:t>
      </w:r>
      <w:r>
        <w:rPr>
          <w:rFonts w:hint="eastAsia" w:asciiTheme="minorEastAsia" w:hAnsiTheme="minorEastAsia" w:eastAsiaTheme="minorEastAsia" w:cstheme="minorEastAsia"/>
          <w:b/>
          <w:sz w:val="32"/>
          <w:szCs w:val="32"/>
          <w:lang w:val="zh-CN" w:eastAsia="zh-CN"/>
        </w:rPr>
        <w:t>竞争性谈判公告</w:t>
      </w:r>
    </w:p>
    <w:p>
      <w:pPr>
        <w:autoSpaceDE w:val="0"/>
        <w:autoSpaceDN w:val="0"/>
        <w:adjustRightInd w:val="0"/>
        <w:spacing w:line="480" w:lineRule="auto"/>
        <w:ind w:firstLine="643" w:firstLineChars="200"/>
        <w:rPr>
          <w:rFonts w:hint="eastAsia"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第二部分  谈判须知</w:t>
      </w:r>
    </w:p>
    <w:p>
      <w:pPr>
        <w:autoSpaceDE w:val="0"/>
        <w:autoSpaceDN w:val="0"/>
        <w:adjustRightInd w:val="0"/>
        <w:spacing w:line="480" w:lineRule="auto"/>
        <w:ind w:firstLine="643" w:firstLineChars="200"/>
        <w:rPr>
          <w:rFonts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bCs/>
          <w:sz w:val="32"/>
          <w:szCs w:val="32"/>
        </w:rPr>
        <w:t xml:space="preserve">第三部分  </w:t>
      </w:r>
      <w:r>
        <w:rPr>
          <w:rFonts w:hint="eastAsia" w:asciiTheme="minorEastAsia" w:hAnsiTheme="minorEastAsia" w:eastAsiaTheme="minorEastAsia" w:cstheme="minorEastAsia"/>
          <w:b/>
          <w:sz w:val="32"/>
          <w:szCs w:val="32"/>
          <w:lang w:val="zh-CN"/>
        </w:rPr>
        <w:t>项目需求</w:t>
      </w:r>
    </w:p>
    <w:p>
      <w:pPr>
        <w:autoSpaceDE w:val="0"/>
        <w:autoSpaceDN w:val="0"/>
        <w:adjustRightInd w:val="0"/>
        <w:spacing w:line="480" w:lineRule="auto"/>
        <w:ind w:firstLine="643" w:firstLineChars="200"/>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第四部分  合同签订与验收付款</w:t>
      </w:r>
    </w:p>
    <w:p>
      <w:pPr>
        <w:autoSpaceDE w:val="0"/>
        <w:autoSpaceDN w:val="0"/>
        <w:adjustRightInd w:val="0"/>
        <w:spacing w:line="480" w:lineRule="auto"/>
        <w:ind w:firstLine="643" w:firstLineChars="2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第五部分  质疑提出和处理</w:t>
      </w:r>
    </w:p>
    <w:p>
      <w:pPr>
        <w:autoSpaceDE w:val="0"/>
        <w:autoSpaceDN w:val="0"/>
        <w:adjustRightInd w:val="0"/>
        <w:spacing w:line="480" w:lineRule="auto"/>
        <w:ind w:firstLine="643" w:firstLineChars="200"/>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bCs/>
          <w:sz w:val="32"/>
          <w:szCs w:val="32"/>
        </w:rPr>
        <w:t>第六部分  响应</w:t>
      </w:r>
      <w:r>
        <w:rPr>
          <w:rFonts w:hint="eastAsia" w:asciiTheme="minorEastAsia" w:hAnsiTheme="minorEastAsia" w:eastAsiaTheme="minorEastAsia" w:cstheme="minorEastAsia"/>
          <w:b/>
          <w:sz w:val="32"/>
          <w:szCs w:val="32"/>
          <w:lang w:val="zh-CN"/>
        </w:rPr>
        <w:t>文件</w:t>
      </w:r>
      <w:r>
        <w:rPr>
          <w:rFonts w:hint="eastAsia" w:asciiTheme="minorEastAsia" w:hAnsiTheme="minorEastAsia" w:eastAsiaTheme="minorEastAsia" w:cstheme="minorEastAsia"/>
          <w:b/>
          <w:bCs/>
          <w:sz w:val="32"/>
          <w:szCs w:val="32"/>
        </w:rPr>
        <w:t>组成</w:t>
      </w:r>
    </w:p>
    <w:p>
      <w:pPr>
        <w:tabs>
          <w:tab w:val="left" w:pos="7740"/>
        </w:tabs>
        <w:spacing w:line="500" w:lineRule="exact"/>
        <w:rPr>
          <w:rFonts w:asciiTheme="minorEastAsia" w:hAnsiTheme="minorEastAsia" w:eastAsiaTheme="minorEastAsia" w:cstheme="minorEastAsia"/>
          <w:b/>
          <w:spacing w:val="2"/>
          <w:sz w:val="32"/>
          <w:szCs w:val="32"/>
        </w:rPr>
      </w:pPr>
    </w:p>
    <w:p>
      <w:pPr>
        <w:autoSpaceDE w:val="0"/>
        <w:autoSpaceDN w:val="0"/>
        <w:adjustRightInd w:val="0"/>
        <w:spacing w:line="540" w:lineRule="exact"/>
        <w:jc w:val="center"/>
        <w:rPr>
          <w:rFonts w:asciiTheme="minorEastAsia" w:hAnsiTheme="minorEastAsia" w:eastAsiaTheme="minorEastAsia" w:cstheme="minorEastAsia"/>
          <w:b/>
          <w:bCs/>
          <w:sz w:val="36"/>
          <w:szCs w:val="36"/>
          <w:lang w:val="zh-CN"/>
        </w:rPr>
      </w:pPr>
    </w:p>
    <w:p>
      <w:pPr>
        <w:pStyle w:val="2"/>
        <w:rPr>
          <w:rFonts w:asciiTheme="minorEastAsia" w:hAnsiTheme="minorEastAsia" w:eastAsiaTheme="minorEastAsia" w:cstheme="minorEastAsia"/>
          <w:b/>
          <w:bCs/>
          <w:sz w:val="36"/>
          <w:szCs w:val="36"/>
          <w:lang w:val="zh-CN"/>
        </w:rPr>
      </w:pPr>
    </w:p>
    <w:p>
      <w:pPr>
        <w:rPr>
          <w:rFonts w:asciiTheme="minorEastAsia" w:hAnsiTheme="minorEastAsia" w:eastAsiaTheme="minorEastAsia" w:cstheme="minorEastAsia"/>
          <w:b/>
          <w:bCs/>
          <w:sz w:val="36"/>
          <w:szCs w:val="36"/>
          <w:lang w:val="zh-CN"/>
        </w:rPr>
      </w:pPr>
    </w:p>
    <w:p>
      <w:pPr>
        <w:pStyle w:val="2"/>
        <w:rPr>
          <w:rFonts w:asciiTheme="minorEastAsia" w:hAnsiTheme="minorEastAsia" w:eastAsiaTheme="minorEastAsia" w:cstheme="minorEastAsia"/>
          <w:b/>
          <w:bCs/>
          <w:sz w:val="36"/>
          <w:szCs w:val="36"/>
          <w:lang w:val="zh-CN"/>
        </w:rPr>
      </w:pPr>
    </w:p>
    <w:p>
      <w:pPr>
        <w:rPr>
          <w:rFonts w:asciiTheme="minorEastAsia" w:hAnsiTheme="minorEastAsia" w:eastAsiaTheme="minorEastAsia" w:cstheme="minorEastAsia"/>
          <w:b/>
          <w:bCs/>
          <w:sz w:val="36"/>
          <w:szCs w:val="36"/>
          <w:lang w:val="zh-CN"/>
        </w:rPr>
      </w:pPr>
    </w:p>
    <w:p>
      <w:pPr>
        <w:pStyle w:val="2"/>
        <w:rPr>
          <w:rFonts w:asciiTheme="minorEastAsia" w:hAnsiTheme="minorEastAsia" w:eastAsiaTheme="minorEastAsia" w:cstheme="minorEastAsia"/>
          <w:b/>
          <w:bCs/>
          <w:sz w:val="36"/>
          <w:szCs w:val="36"/>
          <w:lang w:val="zh-CN"/>
        </w:rPr>
      </w:pPr>
    </w:p>
    <w:p>
      <w:pPr>
        <w:rPr>
          <w:rFonts w:asciiTheme="minorEastAsia" w:hAnsiTheme="minorEastAsia" w:eastAsiaTheme="minorEastAsia" w:cstheme="minorEastAsia"/>
          <w:b/>
          <w:bCs/>
          <w:sz w:val="36"/>
          <w:szCs w:val="36"/>
          <w:lang w:val="zh-CN"/>
        </w:rPr>
      </w:pPr>
    </w:p>
    <w:p>
      <w:pPr>
        <w:autoSpaceDE w:val="0"/>
        <w:autoSpaceDN w:val="0"/>
        <w:adjustRightInd w:val="0"/>
        <w:spacing w:line="540" w:lineRule="exact"/>
        <w:rPr>
          <w:rFonts w:asciiTheme="minorEastAsia" w:hAnsiTheme="minorEastAsia" w:eastAsiaTheme="minorEastAsia" w:cstheme="minorEastAsia"/>
          <w:b/>
          <w:bCs/>
          <w:sz w:val="36"/>
          <w:szCs w:val="36"/>
          <w:lang w:val="zh-CN"/>
        </w:rPr>
      </w:pPr>
    </w:p>
    <w:p>
      <w:pPr>
        <w:numPr>
          <w:ilvl w:val="0"/>
          <w:numId w:val="1"/>
        </w:numPr>
        <w:autoSpaceDE w:val="0"/>
        <w:autoSpaceDN w:val="0"/>
        <w:adjustRightInd w:val="0"/>
        <w:snapToGrid w:val="0"/>
        <w:spacing w:line="300" w:lineRule="auto"/>
        <w:jc w:val="center"/>
        <w:outlineLvl w:val="0"/>
        <w:rPr>
          <w:rFonts w:hint="eastAsia" w:asciiTheme="minorEastAsia" w:hAnsiTheme="minorEastAsia" w:eastAsiaTheme="minorEastAsia" w:cstheme="minorEastAsia"/>
          <w:b/>
          <w:bCs/>
          <w:sz w:val="36"/>
          <w:szCs w:val="36"/>
          <w:lang w:val="zh-CN"/>
        </w:rPr>
      </w:pPr>
      <w:bookmarkStart w:id="0" w:name="OLE_LINK3"/>
      <w:bookmarkStart w:id="1" w:name="OLE_LINK2"/>
      <w:bookmarkStart w:id="2" w:name="OLE_LINK1"/>
      <w:r>
        <w:rPr>
          <w:rFonts w:hint="eastAsia" w:asciiTheme="minorEastAsia" w:hAnsiTheme="minorEastAsia" w:eastAsiaTheme="minorEastAsia" w:cstheme="minorEastAsia"/>
          <w:b/>
          <w:bCs/>
          <w:sz w:val="36"/>
          <w:szCs w:val="36"/>
          <w:lang w:val="zh-CN"/>
        </w:rPr>
        <w:t>竞争性谈判公告</w:t>
      </w:r>
    </w:p>
    <w:p>
      <w:pPr>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南通俊达工程造价咨询有限公司</w:t>
      </w:r>
      <w:r>
        <w:rPr>
          <w:rFonts w:hint="eastAsia" w:asciiTheme="minorEastAsia" w:hAnsiTheme="minorEastAsia" w:eastAsiaTheme="minorEastAsia" w:cstheme="minorEastAsia"/>
          <w:sz w:val="28"/>
          <w:szCs w:val="28"/>
        </w:rPr>
        <w:t>（以下简称“本公司”）受</w:t>
      </w:r>
      <w:r>
        <w:rPr>
          <w:rFonts w:hint="eastAsia" w:asciiTheme="minorEastAsia" w:hAnsiTheme="minorEastAsia" w:eastAsiaTheme="minorEastAsia" w:cstheme="minorEastAsia"/>
          <w:sz w:val="28"/>
          <w:szCs w:val="28"/>
          <w:u w:val="single"/>
        </w:rPr>
        <w:t>南通市崇川区文化和旅游局</w:t>
      </w:r>
      <w:r>
        <w:rPr>
          <w:rFonts w:hint="eastAsia" w:asciiTheme="minorEastAsia" w:hAnsiTheme="minorEastAsia" w:eastAsiaTheme="minorEastAsia" w:cstheme="minorEastAsia"/>
          <w:sz w:val="28"/>
          <w:szCs w:val="28"/>
        </w:rPr>
        <w:t>委托，对其所需的</w:t>
      </w:r>
      <w:r>
        <w:rPr>
          <w:rFonts w:hint="eastAsia" w:asciiTheme="minorEastAsia" w:hAnsiTheme="minorEastAsia" w:eastAsiaTheme="minorEastAsia" w:cstheme="minorEastAsia"/>
          <w:sz w:val="28"/>
          <w:szCs w:val="28"/>
          <w:u w:val="single"/>
        </w:rPr>
        <w:t>南通市崇川区文化和旅游资源普查项目</w:t>
      </w:r>
      <w:r>
        <w:rPr>
          <w:rFonts w:hint="eastAsia" w:asciiTheme="minorEastAsia" w:hAnsiTheme="minorEastAsia" w:eastAsiaTheme="minorEastAsia" w:cstheme="minorEastAsia"/>
          <w:sz w:val="28"/>
          <w:szCs w:val="28"/>
        </w:rPr>
        <w:t>实施</w:t>
      </w:r>
      <w:r>
        <w:rPr>
          <w:rFonts w:hint="eastAsia" w:asciiTheme="minorEastAsia" w:hAnsiTheme="minorEastAsia" w:eastAsiaTheme="minorEastAsia" w:cstheme="minorEastAsia"/>
          <w:sz w:val="28"/>
          <w:szCs w:val="28"/>
          <w:lang w:val="zh-CN"/>
        </w:rPr>
        <w:t>竞争性谈判</w:t>
      </w:r>
      <w:r>
        <w:rPr>
          <w:rFonts w:hint="eastAsia" w:asciiTheme="minorEastAsia" w:hAnsiTheme="minorEastAsia" w:eastAsiaTheme="minorEastAsia" w:cstheme="minorEastAsia"/>
          <w:sz w:val="28"/>
          <w:szCs w:val="28"/>
        </w:rPr>
        <w:t>方式组织采购。现公告如下：</w:t>
      </w:r>
    </w:p>
    <w:p>
      <w:pPr>
        <w:tabs>
          <w:tab w:val="left" w:pos="5010"/>
        </w:tabs>
        <w:snapToGrid w:val="0"/>
        <w:spacing w:line="360" w:lineRule="auto"/>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一、项目名称</w:t>
      </w:r>
      <w:r>
        <w:rPr>
          <w:rFonts w:hint="eastAsia" w:asciiTheme="minorEastAsia" w:hAnsiTheme="minorEastAsia" w:eastAsiaTheme="minorEastAsia" w:cstheme="minorEastAsia"/>
          <w:sz w:val="28"/>
          <w:szCs w:val="28"/>
        </w:rPr>
        <w:tab/>
      </w:r>
    </w:p>
    <w:p>
      <w:pPr>
        <w:snapToGrid w:val="0"/>
        <w:spacing w:line="360" w:lineRule="auto"/>
        <w:ind w:firstLine="560" w:firstLineChars="200"/>
        <w:contextualSpacing/>
        <w:rPr>
          <w:rFonts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项目名称：</w:t>
      </w:r>
      <w:r>
        <w:rPr>
          <w:rFonts w:hint="eastAsia" w:asciiTheme="minorEastAsia" w:hAnsiTheme="minorEastAsia" w:eastAsiaTheme="minorEastAsia" w:cstheme="minorEastAsia"/>
          <w:sz w:val="28"/>
          <w:szCs w:val="28"/>
          <w:u w:val="single"/>
        </w:rPr>
        <w:t>南通市崇川区文化和旅游资源普查项目</w:t>
      </w:r>
    </w:p>
    <w:p>
      <w:pPr>
        <w:snapToGrid w:val="0"/>
        <w:spacing w:line="36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二、采购预算：</w:t>
      </w:r>
    </w:p>
    <w:p>
      <w:pPr>
        <w:snapToGrid w:val="0"/>
        <w:spacing w:line="360" w:lineRule="auto"/>
        <w:ind w:firstLine="562" w:firstLineChars="200"/>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本项目采购预算为 25万元 ，最高限价为25万元。最终报价超过最高限价的为无效响应文件。</w:t>
      </w:r>
    </w:p>
    <w:p>
      <w:pPr>
        <w:snapToGrid w:val="0"/>
        <w:spacing w:line="360" w:lineRule="auto"/>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三、项目需求说明：</w:t>
      </w:r>
      <w:r>
        <w:rPr>
          <w:rFonts w:hint="eastAsia" w:asciiTheme="minorEastAsia" w:hAnsiTheme="minorEastAsia" w:eastAsiaTheme="minorEastAsia" w:cstheme="minorEastAsia"/>
          <w:sz w:val="28"/>
          <w:szCs w:val="28"/>
        </w:rPr>
        <w:t>详</w:t>
      </w:r>
      <w:r>
        <w:rPr>
          <w:rFonts w:hint="eastAsia" w:asciiTheme="minorEastAsia" w:hAnsiTheme="minorEastAsia" w:eastAsiaTheme="minorEastAsia" w:cstheme="minorEastAsia"/>
          <w:sz w:val="28"/>
          <w:szCs w:val="28"/>
          <w:lang w:val="zh-CN"/>
        </w:rPr>
        <w:t>见附件，供下载，</w:t>
      </w:r>
      <w:r>
        <w:rPr>
          <w:rFonts w:hint="eastAsia" w:asciiTheme="minorEastAsia" w:hAnsiTheme="minorEastAsia" w:eastAsiaTheme="minorEastAsia" w:cstheme="minorEastAsia"/>
          <w:kern w:val="0"/>
          <w:sz w:val="28"/>
          <w:szCs w:val="28"/>
          <w:lang w:val="zh-CN"/>
        </w:rPr>
        <w:t>请仔细研究。</w:t>
      </w:r>
    </w:p>
    <w:p>
      <w:pPr>
        <w:snapToGrid w:val="0"/>
        <w:spacing w:line="360" w:lineRule="auto"/>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四、供应商资格要求</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（一）符合《政府采购法》第二十二条规定的条件，并提供相关材料；</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1、法人或者其他组织的营业执照等证明文件，自然人的身份证明；</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2、上一年度的财务状况报告（成立不满一年不需提供）；</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3、依法缴纳税收和社会保障资金的相关材料；</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4、具备履行合同所必需的设备和专业技术能力的证明材料；</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5、参加政府采购活动前3年内在经营活动中没有重大违法记录的书面声明；</w:t>
      </w:r>
    </w:p>
    <w:p>
      <w:pPr>
        <w:snapToGrid w:val="0"/>
        <w:spacing w:line="360" w:lineRule="auto"/>
        <w:ind w:firstLine="562" w:firstLineChars="200"/>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（二）采购人其他要求:</w:t>
      </w:r>
    </w:p>
    <w:p>
      <w:pPr>
        <w:snapToGrid w:val="0"/>
        <w:spacing w:line="360" w:lineRule="auto"/>
        <w:ind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未被“信用中国”网站（www.creditchina.gov.cn）列入失信被执行人、重大税收违法案件当事人名单、政府采购严重失信行为记录名单（须提供网上截图加盖单位公章）；</w:t>
      </w:r>
    </w:p>
    <w:p>
      <w:pPr>
        <w:snapToGrid w:val="0"/>
        <w:spacing w:line="360" w:lineRule="auto"/>
        <w:ind w:firstLine="560" w:firstLineChars="200"/>
        <w:contextualSpacing/>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lang w:val="en-US" w:eastAsia="zh-Hans"/>
        </w:rPr>
        <w:t>投标供应商拟派的项目负责人必须为文化和旅游专业领域的且具有</w:t>
      </w:r>
      <w:r>
        <w:rPr>
          <w:rFonts w:hint="eastAsia" w:asciiTheme="minorEastAsia" w:hAnsiTheme="minorEastAsia" w:eastAsiaTheme="minorEastAsia" w:cstheme="minorEastAsia"/>
          <w:sz w:val="28"/>
          <w:szCs w:val="28"/>
          <w:lang w:val="en-US" w:eastAsia="zh-CN"/>
        </w:rPr>
        <w:t>中</w:t>
      </w:r>
      <w:r>
        <w:rPr>
          <w:rFonts w:hint="eastAsia" w:asciiTheme="minorEastAsia" w:hAnsiTheme="minorEastAsia" w:eastAsiaTheme="minorEastAsia" w:cstheme="minorEastAsia"/>
          <w:sz w:val="28"/>
          <w:szCs w:val="28"/>
          <w:lang w:val="en-US" w:eastAsia="zh-Hans"/>
        </w:rPr>
        <w:t>级</w:t>
      </w:r>
      <w:r>
        <w:rPr>
          <w:rFonts w:hint="eastAsia" w:asciiTheme="minorEastAsia" w:hAnsiTheme="minorEastAsia" w:eastAsiaTheme="minorEastAsia" w:cstheme="minorEastAsia"/>
          <w:sz w:val="28"/>
          <w:szCs w:val="28"/>
          <w:lang w:val="en-US" w:eastAsia="zh-CN"/>
        </w:rPr>
        <w:t>及</w:t>
      </w:r>
      <w:r>
        <w:rPr>
          <w:rFonts w:hint="eastAsia" w:asciiTheme="minorEastAsia" w:hAnsiTheme="minorEastAsia" w:eastAsiaTheme="minorEastAsia" w:cstheme="minorEastAsia"/>
          <w:sz w:val="28"/>
          <w:szCs w:val="28"/>
          <w:lang w:val="en-US" w:eastAsia="zh-Hans"/>
        </w:rPr>
        <w:t>以上职称</w:t>
      </w:r>
      <w:r>
        <w:rPr>
          <w:rFonts w:hint="default" w:asciiTheme="minorEastAsia" w:hAnsiTheme="minorEastAsia" w:eastAsiaTheme="minorEastAsia" w:cstheme="minorEastAsia"/>
          <w:sz w:val="28"/>
          <w:szCs w:val="28"/>
          <w:lang w:eastAsia="zh-Hans"/>
        </w:rPr>
        <w:t>。</w:t>
      </w:r>
    </w:p>
    <w:p>
      <w:pPr>
        <w:snapToGrid w:val="0"/>
        <w:spacing w:line="360" w:lineRule="auto"/>
        <w:ind w:firstLine="560" w:firstLineChars="200"/>
        <w:contextualSpacing/>
        <w:rPr>
          <w:rFonts w:hint="eastAsia" w:asciiTheme="minorEastAsia" w:hAnsiTheme="minorEastAsia" w:eastAsiaTheme="minorEastAsia" w:cstheme="minorEastAsia"/>
          <w:sz w:val="28"/>
          <w:szCs w:val="28"/>
          <w:lang w:val="en-US" w:eastAsia="zh-Hans"/>
        </w:rPr>
      </w:pP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lang w:val="en-US" w:eastAsia="zh-Hans"/>
        </w:rPr>
        <w:t>投标供应商自</w:t>
      </w:r>
      <w:r>
        <w:rPr>
          <w:rFonts w:hint="default" w:asciiTheme="minorEastAsia" w:hAnsiTheme="minorEastAsia" w:eastAsiaTheme="minorEastAsia" w:cstheme="minorEastAsia"/>
          <w:sz w:val="28"/>
          <w:szCs w:val="28"/>
          <w:lang w:eastAsia="zh-Hans"/>
        </w:rPr>
        <w:t>2018</w:t>
      </w:r>
      <w:r>
        <w:rPr>
          <w:rFonts w:hint="eastAsia" w:asciiTheme="minorEastAsia" w:hAnsiTheme="minorEastAsia" w:eastAsiaTheme="minorEastAsia" w:cstheme="minorEastAsia"/>
          <w:sz w:val="28"/>
          <w:szCs w:val="28"/>
          <w:lang w:val="en-US" w:eastAsia="zh-Hans"/>
        </w:rPr>
        <w:t>年</w:t>
      </w:r>
      <w:r>
        <w:rPr>
          <w:rFonts w:hint="default" w:asciiTheme="minorEastAsia" w:hAnsiTheme="minorEastAsia" w:eastAsiaTheme="minorEastAsia" w:cstheme="minorEastAsia"/>
          <w:sz w:val="28"/>
          <w:szCs w:val="28"/>
          <w:lang w:eastAsia="zh-Hans"/>
        </w:rPr>
        <w:t>01</w:t>
      </w:r>
      <w:r>
        <w:rPr>
          <w:rFonts w:hint="eastAsia" w:asciiTheme="minorEastAsia" w:hAnsiTheme="minorEastAsia" w:eastAsiaTheme="minorEastAsia" w:cstheme="minorEastAsia"/>
          <w:sz w:val="28"/>
          <w:szCs w:val="28"/>
          <w:lang w:val="en-US" w:eastAsia="zh-Hans"/>
        </w:rPr>
        <w:t>月</w:t>
      </w:r>
      <w:r>
        <w:rPr>
          <w:rFonts w:hint="default" w:asciiTheme="minorEastAsia" w:hAnsiTheme="minorEastAsia" w:eastAsiaTheme="minorEastAsia" w:cstheme="minorEastAsia"/>
          <w:sz w:val="28"/>
          <w:szCs w:val="28"/>
          <w:lang w:eastAsia="zh-Hans"/>
        </w:rPr>
        <w:t>01</w:t>
      </w:r>
      <w:r>
        <w:rPr>
          <w:rFonts w:hint="eastAsia" w:asciiTheme="minorEastAsia" w:hAnsiTheme="minorEastAsia" w:eastAsiaTheme="minorEastAsia" w:cstheme="minorEastAsia"/>
          <w:sz w:val="28"/>
          <w:szCs w:val="28"/>
          <w:lang w:val="en-US" w:eastAsia="zh-Hans"/>
        </w:rPr>
        <w:t>日以来</w:t>
      </w:r>
      <w:r>
        <w:rPr>
          <w:rFonts w:hint="default" w:asciiTheme="minorEastAsia" w:hAnsiTheme="minorEastAsia" w:eastAsiaTheme="minorEastAsia" w:cstheme="minorEastAsia"/>
          <w:sz w:val="28"/>
          <w:szCs w:val="28"/>
          <w:lang w:eastAsia="zh-Hans"/>
        </w:rPr>
        <w:t>，</w:t>
      </w:r>
      <w:r>
        <w:rPr>
          <w:rFonts w:hint="eastAsia" w:asciiTheme="minorEastAsia" w:hAnsiTheme="minorEastAsia" w:eastAsiaTheme="minorEastAsia" w:cstheme="minorEastAsia"/>
          <w:sz w:val="28"/>
          <w:szCs w:val="28"/>
          <w:lang w:val="en-US" w:eastAsia="zh-Hans"/>
        </w:rPr>
        <w:t>为区</w:t>
      </w:r>
      <w:r>
        <w:rPr>
          <w:rFonts w:hint="eastAsia" w:asciiTheme="minorEastAsia" w:hAnsiTheme="minorEastAsia" w:eastAsiaTheme="minorEastAsia" w:cstheme="minorEastAsia"/>
          <w:sz w:val="28"/>
          <w:szCs w:val="28"/>
          <w:lang w:val="en-US" w:eastAsia="zh-CN"/>
        </w:rPr>
        <w:t>县级以上</w:t>
      </w:r>
      <w:r>
        <w:rPr>
          <w:rFonts w:hint="eastAsia" w:asciiTheme="minorEastAsia" w:hAnsiTheme="minorEastAsia" w:eastAsiaTheme="minorEastAsia" w:cstheme="minorEastAsia"/>
          <w:sz w:val="28"/>
          <w:szCs w:val="28"/>
          <w:lang w:val="en-US" w:eastAsia="zh-Hans"/>
        </w:rPr>
        <w:t>文旅等行业主管部门提供过文旅资源普查调查或统计调查类项目</w:t>
      </w:r>
      <w:r>
        <w:rPr>
          <w:rFonts w:hint="eastAsia" w:asciiTheme="minorEastAsia" w:hAnsiTheme="minorEastAsia" w:eastAsiaTheme="minorEastAsia" w:cstheme="minorEastAsia"/>
          <w:sz w:val="28"/>
          <w:szCs w:val="28"/>
          <w:lang w:val="en-US" w:eastAsia="zh-CN"/>
        </w:rPr>
        <w:t>。</w:t>
      </w:r>
    </w:p>
    <w:p>
      <w:pPr>
        <w:snapToGrid w:val="0"/>
        <w:spacing w:line="360" w:lineRule="auto"/>
        <w:ind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val="en-US" w:eastAsia="zh-Hans"/>
        </w:rPr>
        <w:t>普查团队成员</w:t>
      </w:r>
      <w:r>
        <w:rPr>
          <w:rFonts w:hint="default" w:asciiTheme="minorEastAsia" w:hAnsiTheme="minorEastAsia" w:eastAsiaTheme="minorEastAsia" w:cstheme="minorEastAsia"/>
          <w:sz w:val="28"/>
          <w:szCs w:val="28"/>
          <w:lang w:eastAsia="zh-Hans"/>
        </w:rPr>
        <w:t>（</w:t>
      </w:r>
      <w:r>
        <w:rPr>
          <w:rFonts w:hint="eastAsia" w:asciiTheme="minorEastAsia" w:hAnsiTheme="minorEastAsia" w:eastAsiaTheme="minorEastAsia" w:cstheme="minorEastAsia"/>
          <w:sz w:val="28"/>
          <w:szCs w:val="28"/>
          <w:lang w:val="en-US" w:eastAsia="zh-Hans"/>
        </w:rPr>
        <w:t>含项目负责人</w:t>
      </w:r>
      <w:r>
        <w:rPr>
          <w:rFonts w:hint="default" w:asciiTheme="minorEastAsia" w:hAnsiTheme="minorEastAsia" w:eastAsiaTheme="minorEastAsia" w:cstheme="minorEastAsia"/>
          <w:sz w:val="28"/>
          <w:szCs w:val="28"/>
          <w:lang w:eastAsia="zh-Hans"/>
        </w:rPr>
        <w:t>）</w:t>
      </w:r>
      <w:r>
        <w:rPr>
          <w:rFonts w:hint="eastAsia" w:asciiTheme="minorEastAsia" w:hAnsiTheme="minorEastAsia" w:eastAsiaTheme="minorEastAsia" w:cstheme="minorEastAsia"/>
          <w:sz w:val="28"/>
          <w:szCs w:val="28"/>
          <w:lang w:val="en-US" w:eastAsia="zh-Hans"/>
        </w:rPr>
        <w:t>不得少于</w:t>
      </w:r>
      <w:r>
        <w:rPr>
          <w:rFonts w:hint="default" w:asciiTheme="minorEastAsia" w:hAnsiTheme="minorEastAsia" w:eastAsiaTheme="minorEastAsia" w:cstheme="minorEastAsia"/>
          <w:sz w:val="28"/>
          <w:szCs w:val="28"/>
          <w:lang w:eastAsia="zh-Hans"/>
        </w:rPr>
        <w:t>6</w:t>
      </w:r>
      <w:r>
        <w:rPr>
          <w:rFonts w:hint="eastAsia" w:asciiTheme="minorEastAsia" w:hAnsiTheme="minorEastAsia" w:eastAsiaTheme="minorEastAsia" w:cstheme="minorEastAsia"/>
          <w:sz w:val="28"/>
          <w:szCs w:val="28"/>
          <w:lang w:val="en-US" w:eastAsia="zh-Hans"/>
        </w:rPr>
        <w:t>人且具备</w:t>
      </w:r>
      <w:r>
        <w:rPr>
          <w:rFonts w:hint="eastAsia" w:asciiTheme="minorEastAsia" w:hAnsiTheme="minorEastAsia" w:eastAsiaTheme="minorEastAsia" w:cstheme="minorEastAsia"/>
          <w:sz w:val="28"/>
          <w:szCs w:val="28"/>
        </w:rPr>
        <w:t>旅游管理、旅游规划、历史、文学、人文地理或地理信息系统等</w:t>
      </w:r>
      <w:r>
        <w:rPr>
          <w:rFonts w:hint="eastAsia" w:asciiTheme="minorEastAsia" w:hAnsiTheme="minorEastAsia" w:eastAsiaTheme="minorEastAsia" w:cstheme="minorEastAsia"/>
          <w:sz w:val="28"/>
          <w:szCs w:val="28"/>
          <w:lang w:val="en-US" w:eastAsia="zh-Hans"/>
        </w:rPr>
        <w:t>任一</w:t>
      </w:r>
      <w:r>
        <w:rPr>
          <w:rFonts w:hint="eastAsia" w:asciiTheme="minorEastAsia" w:hAnsiTheme="minorEastAsia" w:eastAsiaTheme="minorEastAsia" w:cstheme="minorEastAsia"/>
          <w:sz w:val="28"/>
          <w:szCs w:val="28"/>
        </w:rPr>
        <w:t>相关专业本科及以上学历的</w:t>
      </w:r>
      <w:r>
        <w:rPr>
          <w:rFonts w:hint="eastAsia" w:asciiTheme="minorEastAsia" w:hAnsiTheme="minorEastAsia" w:eastAsiaTheme="minorEastAsia" w:cstheme="minorEastAsia"/>
          <w:sz w:val="28"/>
          <w:szCs w:val="28"/>
          <w:lang w:val="en-US" w:eastAsia="zh-Hans"/>
        </w:rPr>
        <w:t>成员不得少于</w:t>
      </w:r>
      <w:r>
        <w:rPr>
          <w:rFonts w:hint="default" w:asciiTheme="minorEastAsia" w:hAnsiTheme="minorEastAsia" w:eastAsiaTheme="minorEastAsia" w:cstheme="minorEastAsia"/>
          <w:sz w:val="28"/>
          <w:szCs w:val="28"/>
          <w:lang w:eastAsia="zh-Hans"/>
        </w:rPr>
        <w:t>2</w:t>
      </w:r>
      <w:r>
        <w:rPr>
          <w:rFonts w:hint="eastAsia" w:asciiTheme="minorEastAsia" w:hAnsiTheme="minorEastAsia" w:eastAsiaTheme="minorEastAsia" w:cstheme="minorEastAsia"/>
          <w:sz w:val="28"/>
          <w:szCs w:val="28"/>
          <w:lang w:val="en-US" w:eastAsia="zh-Hans"/>
        </w:rPr>
        <w:t>人</w:t>
      </w:r>
      <w:r>
        <w:rPr>
          <w:rFonts w:hint="default" w:asciiTheme="minorEastAsia" w:hAnsiTheme="minorEastAsia" w:eastAsiaTheme="minorEastAsia" w:cstheme="minorEastAsia"/>
          <w:sz w:val="28"/>
          <w:szCs w:val="28"/>
          <w:lang w:eastAsia="zh-Hans"/>
        </w:rPr>
        <w:t>。</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三</w:t>
      </w:r>
      <w:r>
        <w:rPr>
          <w:rFonts w:hint="eastAsia" w:asciiTheme="minorEastAsia" w:hAnsiTheme="minorEastAsia" w:eastAsiaTheme="minorEastAsia" w:cstheme="minorEastAsia"/>
          <w:sz w:val="28"/>
          <w:szCs w:val="28"/>
        </w:rPr>
        <w:t>）法定代表人为同一个人的两个及两个以上法人，母公司、全资子公司及其控股公司，都不得在同一采购项目中同时参加</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，一经发现，将视同围标处理；</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四</w:t>
      </w:r>
      <w:r>
        <w:rPr>
          <w:rFonts w:hint="eastAsia" w:asciiTheme="minorEastAsia" w:hAnsiTheme="minorEastAsia" w:eastAsiaTheme="minorEastAsia" w:cstheme="minorEastAsia"/>
          <w:sz w:val="28"/>
          <w:szCs w:val="28"/>
        </w:rPr>
        <w:t>）本项目不接受联合体参与。</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五</w:t>
      </w:r>
      <w:r>
        <w:rPr>
          <w:rFonts w:hint="eastAsia" w:asciiTheme="minorEastAsia" w:hAnsiTheme="minorEastAsia" w:eastAsiaTheme="minorEastAsia" w:cstheme="minorEastAsia"/>
          <w:sz w:val="28"/>
          <w:szCs w:val="28"/>
        </w:rPr>
        <w:t>）本项目不接受进口产品参与。</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六</w:t>
      </w:r>
      <w:r>
        <w:rPr>
          <w:rFonts w:hint="eastAsia" w:asciiTheme="minorEastAsia" w:hAnsiTheme="minorEastAsia" w:eastAsiaTheme="minorEastAsia" w:cstheme="minorEastAsia"/>
          <w:sz w:val="28"/>
          <w:szCs w:val="28"/>
        </w:rPr>
        <w:t>）本项目为非专门面向中小微企业采购项目。</w:t>
      </w:r>
    </w:p>
    <w:p>
      <w:pPr>
        <w:snapToGrid w:val="0"/>
        <w:spacing w:line="360" w:lineRule="auto"/>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五、</w:t>
      </w:r>
      <w:r>
        <w:rPr>
          <w:rFonts w:hint="eastAsia" w:asciiTheme="minorEastAsia" w:hAnsiTheme="minorEastAsia" w:eastAsiaTheme="minorEastAsia" w:cstheme="minorEastAsia"/>
          <w:b/>
          <w:sz w:val="28"/>
          <w:szCs w:val="28"/>
          <w:lang w:eastAsia="zh-CN"/>
        </w:rPr>
        <w:t>谈判</w:t>
      </w:r>
      <w:r>
        <w:rPr>
          <w:rFonts w:hint="eastAsia" w:asciiTheme="minorEastAsia" w:hAnsiTheme="minorEastAsia" w:eastAsiaTheme="minorEastAsia" w:cstheme="minorEastAsia"/>
          <w:b/>
          <w:sz w:val="28"/>
          <w:szCs w:val="28"/>
        </w:rPr>
        <w:t>公告期限：</w:t>
      </w:r>
      <w:r>
        <w:rPr>
          <w:rFonts w:hint="eastAsia" w:asciiTheme="minorEastAsia" w:hAnsiTheme="minorEastAsia" w:eastAsiaTheme="minorEastAsia" w:cstheme="minorEastAsia"/>
          <w:sz w:val="28"/>
          <w:szCs w:val="28"/>
        </w:rPr>
        <w:t>详见“南通市崇川区人民政府网”。</w:t>
      </w:r>
    </w:p>
    <w:p>
      <w:pPr>
        <w:snapToGrid w:val="0"/>
        <w:spacing w:line="36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六、本项目不收取</w:t>
      </w:r>
      <w:r>
        <w:rPr>
          <w:rFonts w:hint="eastAsia" w:asciiTheme="minorEastAsia" w:hAnsiTheme="minorEastAsia" w:eastAsiaTheme="minorEastAsia" w:cstheme="minorEastAsia"/>
          <w:b/>
          <w:sz w:val="28"/>
          <w:szCs w:val="28"/>
          <w:lang w:eastAsia="zh-CN"/>
        </w:rPr>
        <w:t>谈判</w:t>
      </w:r>
      <w:r>
        <w:rPr>
          <w:rFonts w:hint="eastAsia" w:asciiTheme="minorEastAsia" w:hAnsiTheme="minorEastAsia" w:eastAsiaTheme="minorEastAsia" w:cstheme="minorEastAsia"/>
          <w:b/>
          <w:sz w:val="28"/>
          <w:szCs w:val="28"/>
        </w:rPr>
        <w:t>保证金</w:t>
      </w:r>
    </w:p>
    <w:p>
      <w:pPr>
        <w:snapToGrid w:val="0"/>
        <w:spacing w:line="36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七、</w:t>
      </w:r>
      <w:r>
        <w:rPr>
          <w:rFonts w:hint="eastAsia" w:asciiTheme="minorEastAsia" w:hAnsiTheme="minorEastAsia" w:eastAsiaTheme="minorEastAsia" w:cstheme="minorEastAsia"/>
          <w:b/>
          <w:sz w:val="28"/>
          <w:szCs w:val="28"/>
          <w:lang w:eastAsia="zh-CN"/>
        </w:rPr>
        <w:t>谈判</w:t>
      </w:r>
      <w:r>
        <w:rPr>
          <w:rFonts w:hint="eastAsia" w:asciiTheme="minorEastAsia" w:hAnsiTheme="minorEastAsia" w:eastAsiaTheme="minorEastAsia" w:cstheme="minorEastAsia"/>
          <w:b/>
          <w:sz w:val="28"/>
          <w:szCs w:val="28"/>
        </w:rPr>
        <w:t>文件获取</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1、自即日起至投标截止时间前，从南通市崇川区人民政府网免费下载。</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2、发布媒体及下载网址：</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南通市崇川区人民政府网</w:t>
      </w:r>
      <w:r>
        <w:rPr>
          <w:rFonts w:asciiTheme="minorEastAsia" w:hAnsiTheme="minorEastAsia" w:eastAsiaTheme="minorEastAsia" w:cstheme="minorEastAsia"/>
          <w:sz w:val="28"/>
          <w:szCs w:val="28"/>
        </w:rPr>
        <w:t>http://www.chongchuan.gov.cn/</w:t>
      </w:r>
    </w:p>
    <w:p>
      <w:pPr>
        <w:snapToGrid w:val="0"/>
        <w:spacing w:line="36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八、提交响应文件时间、地点：</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提交响应文件截止时间：2021年</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日14:30 </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提交响应文件地点：南通市崇川区跃龙路38号国际大厦1608会议室</w:t>
      </w:r>
    </w:p>
    <w:p>
      <w:pPr>
        <w:snapToGrid w:val="0"/>
        <w:spacing w:line="36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采购文件公告期限：2021年</w:t>
      </w:r>
      <w:r>
        <w:rPr>
          <w:rFonts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23</w:t>
      </w:r>
      <w:r>
        <w:rPr>
          <w:rFonts w:hint="eastAsia" w:asciiTheme="minorEastAsia" w:hAnsiTheme="minorEastAsia" w:eastAsiaTheme="minorEastAsia" w:cstheme="minorEastAsia"/>
          <w:sz w:val="28"/>
          <w:szCs w:val="28"/>
        </w:rPr>
        <w:t>日起 2021年</w:t>
      </w:r>
      <w:r>
        <w:rPr>
          <w:rFonts w:hint="eastAsia" w:asciiTheme="minorEastAsia" w:hAnsiTheme="minorEastAsia" w:eastAsiaTheme="minorEastAsia" w:cstheme="minorEastAsia"/>
          <w:sz w:val="28"/>
          <w:szCs w:val="28"/>
          <w:lang w:val="en-US" w:eastAsia="zh-CN"/>
        </w:rPr>
        <w:t>11</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29</w:t>
      </w:r>
      <w:r>
        <w:rPr>
          <w:rFonts w:hint="eastAsia" w:asciiTheme="minorEastAsia" w:hAnsiTheme="minorEastAsia" w:eastAsiaTheme="minorEastAsia" w:cstheme="minorEastAsia"/>
          <w:sz w:val="28"/>
          <w:szCs w:val="28"/>
        </w:rPr>
        <w:t>日14:30止。</w:t>
      </w:r>
    </w:p>
    <w:p>
      <w:pPr>
        <w:snapToGrid w:val="0"/>
        <w:spacing w:line="36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九、响应文件制作份数要求：</w:t>
      </w:r>
    </w:p>
    <w:p>
      <w:pPr>
        <w:snapToGrid w:val="0"/>
        <w:spacing w:line="360" w:lineRule="auto"/>
        <w:ind w:firstLine="560" w:firstLineChars="200"/>
        <w:contextualSpacing/>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正本份数：1份   副本份数：</w:t>
      </w:r>
      <w:r>
        <w:rPr>
          <w:rFonts w:hint="eastAsia" w:asciiTheme="minorEastAsia" w:hAnsiTheme="minorEastAsia" w:eastAsiaTheme="minorEastAsia" w:cstheme="minorEastAsia"/>
          <w:sz w:val="28"/>
          <w:szCs w:val="28"/>
          <w:u w:val="none"/>
        </w:rPr>
        <w:t>2</w:t>
      </w:r>
      <w:r>
        <w:rPr>
          <w:rFonts w:hint="eastAsia" w:asciiTheme="minorEastAsia" w:hAnsiTheme="minorEastAsia" w:eastAsiaTheme="minorEastAsia" w:cstheme="minorEastAsia"/>
          <w:sz w:val="28"/>
          <w:szCs w:val="28"/>
        </w:rPr>
        <w:t>份。</w:t>
      </w:r>
    </w:p>
    <w:p>
      <w:pPr>
        <w:snapToGrid w:val="0"/>
        <w:spacing w:line="36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十、本招标项目联系事项</w:t>
      </w:r>
    </w:p>
    <w:p>
      <w:pPr>
        <w:snapToGrid w:val="0"/>
        <w:spacing w:line="360" w:lineRule="auto"/>
        <w:ind w:firstLine="560" w:firstLineChars="200"/>
        <w:contextualSpacing/>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对项目需求部分的询问、质疑请向采购人提出，询问、质疑由采购人负责答复。采购人：</w:t>
      </w:r>
      <w:r>
        <w:rPr>
          <w:rFonts w:hint="eastAsia" w:asciiTheme="minorEastAsia" w:hAnsiTheme="minorEastAsia" w:eastAsiaTheme="minorEastAsia" w:cstheme="minorEastAsia"/>
          <w:sz w:val="28"/>
          <w:szCs w:val="28"/>
          <w:u w:val="single"/>
        </w:rPr>
        <w:t>南通市崇川区文化和旅游局</w:t>
      </w: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u w:val="single"/>
        </w:rPr>
        <w:t>瞿科长，</w:t>
      </w:r>
      <w:r>
        <w:rPr>
          <w:rFonts w:hint="eastAsia" w:asciiTheme="minorEastAsia" w:hAnsiTheme="minorEastAsia" w:eastAsiaTheme="minorEastAsia" w:cstheme="minorEastAsia"/>
          <w:sz w:val="28"/>
          <w:szCs w:val="28"/>
        </w:rPr>
        <w:t>联系电话：</w:t>
      </w:r>
      <w:r>
        <w:rPr>
          <w:rFonts w:asciiTheme="minorEastAsia" w:hAnsiTheme="minorEastAsia" w:eastAsiaTheme="minorEastAsia" w:cstheme="minorEastAsia"/>
          <w:sz w:val="28"/>
          <w:szCs w:val="28"/>
          <w:u w:val="single"/>
        </w:rPr>
        <w:t>13861950675</w:t>
      </w:r>
      <w:r>
        <w:rPr>
          <w:rFonts w:hint="eastAsia" w:asciiTheme="minorEastAsia" w:hAnsiTheme="minorEastAsia" w:eastAsiaTheme="minorEastAsia" w:cstheme="minorEastAsia"/>
          <w:sz w:val="28"/>
          <w:szCs w:val="28"/>
          <w:u w:val="single"/>
        </w:rPr>
        <w:t>；</w:t>
      </w:r>
      <w:r>
        <w:rPr>
          <w:rFonts w:hint="eastAsia" w:asciiTheme="minorEastAsia" w:hAnsiTheme="minorEastAsia" w:eastAsiaTheme="minorEastAsia" w:cstheme="minorEastAsia"/>
          <w:sz w:val="28"/>
          <w:szCs w:val="28"/>
        </w:rPr>
        <w:t>谈判主持单位：南通俊达工程造价咨询有限公司，联系人：严建飞，联系电话：</w:t>
      </w:r>
      <w:r>
        <w:rPr>
          <w:rFonts w:hint="eastAsia" w:asciiTheme="minorEastAsia" w:hAnsiTheme="minorEastAsia" w:eastAsiaTheme="minorEastAsia" w:cstheme="minorEastAsia"/>
          <w:sz w:val="28"/>
          <w:szCs w:val="28"/>
          <w:u w:val="single"/>
        </w:rPr>
        <w:t>15951316430</w:t>
      </w:r>
      <w:r>
        <w:rPr>
          <w:rFonts w:hint="eastAsia" w:asciiTheme="minorEastAsia" w:hAnsiTheme="minorEastAsia" w:eastAsiaTheme="minorEastAsia" w:cstheme="minorEastAsia"/>
          <w:sz w:val="28"/>
          <w:szCs w:val="28"/>
        </w:rPr>
        <w:t>。</w:t>
      </w:r>
      <w:bookmarkEnd w:id="0"/>
      <w:bookmarkEnd w:id="1"/>
    </w:p>
    <w:bookmarkEnd w:id="2"/>
    <w:p>
      <w:pPr>
        <w:widowControl/>
        <w:ind w:firstLine="2891" w:firstLineChars="800"/>
        <w:jc w:val="left"/>
        <w:rPr>
          <w:rFonts w:asciiTheme="minorEastAsia" w:hAnsiTheme="minorEastAsia" w:eastAsiaTheme="minorEastAsia" w:cstheme="minorEastAsia"/>
          <w:b/>
          <w:bCs/>
          <w:sz w:val="36"/>
          <w:szCs w:val="36"/>
          <w:lang w:val="zh-CN"/>
        </w:rPr>
      </w:pPr>
      <w:r>
        <w:rPr>
          <w:rFonts w:hint="eastAsia" w:asciiTheme="minorEastAsia" w:hAnsiTheme="minorEastAsia" w:eastAsiaTheme="minorEastAsia" w:cstheme="minorEastAsia"/>
          <w:b/>
          <w:bCs/>
          <w:sz w:val="36"/>
          <w:szCs w:val="36"/>
          <w:lang w:val="zh-CN"/>
        </w:rPr>
        <w:t>第二部分 谈判须知</w:t>
      </w:r>
    </w:p>
    <w:p>
      <w:pPr>
        <w:autoSpaceDE w:val="0"/>
        <w:autoSpaceDN w:val="0"/>
        <w:adjustRightInd w:val="0"/>
        <w:snapToGrid w:val="0"/>
        <w:spacing w:line="300" w:lineRule="auto"/>
        <w:contextualSpacing/>
        <w:rPr>
          <w:rFonts w:asciiTheme="minorEastAsia" w:hAnsiTheme="minorEastAsia" w:eastAsiaTheme="minorEastAsia" w:cstheme="minorEastAsia"/>
          <w:b/>
          <w:bCs/>
          <w:sz w:val="28"/>
          <w:szCs w:val="28"/>
          <w:lang w:val="zh-CN"/>
        </w:rPr>
      </w:pPr>
    </w:p>
    <w:p>
      <w:pPr>
        <w:adjustRightInd w:val="0"/>
        <w:snapToGrid w:val="0"/>
        <w:spacing w:line="360" w:lineRule="auto"/>
        <w:ind w:firstLine="1120" w:firstLineChars="400"/>
        <w:outlineLvl w:val="0"/>
        <w:rPr>
          <w:rFonts w:hint="eastAsia" w:ascii="宋体" w:hAnsi="宋体" w:eastAsia="宋体" w:cs="宋体"/>
          <w:sz w:val="28"/>
          <w:szCs w:val="28"/>
        </w:rPr>
      </w:pPr>
      <w:r>
        <w:rPr>
          <w:rFonts w:hint="eastAsia" w:ascii="宋体" w:hAnsi="宋体" w:eastAsia="宋体" w:cs="宋体"/>
          <w:bCs/>
          <w:sz w:val="28"/>
          <w:szCs w:val="28"/>
        </w:rPr>
        <w:t>（参加竞争性谈判的供应商以下简称“谈判供应商”）</w:t>
      </w:r>
    </w:p>
    <w:p>
      <w:pPr>
        <w:adjustRightInd w:val="0"/>
        <w:snapToGrid w:val="0"/>
        <w:spacing w:line="360" w:lineRule="auto"/>
        <w:ind w:firstLine="551" w:firstLineChars="196"/>
        <w:rPr>
          <w:rFonts w:hint="eastAsia" w:ascii="宋体" w:hAnsi="宋体" w:eastAsia="宋体" w:cs="宋体"/>
          <w:b/>
          <w:sz w:val="28"/>
          <w:szCs w:val="28"/>
        </w:rPr>
      </w:pPr>
      <w:r>
        <w:rPr>
          <w:rFonts w:hint="eastAsia" w:ascii="宋体" w:hAnsi="宋体" w:eastAsia="宋体" w:cs="宋体"/>
          <w:b/>
          <w:sz w:val="28"/>
          <w:szCs w:val="28"/>
        </w:rPr>
        <w:t>一、总    则</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1、适用范围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 本竞争性谈判文件（以下简称谈判文件）仅适用此项目。</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2、项目采购方式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本次采购采取竞争性谈判的方式。</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3、合格的谈判供应商</w:t>
      </w:r>
    </w:p>
    <w:p>
      <w:pPr>
        <w:tabs>
          <w:tab w:val="left" w:pos="900"/>
        </w:tabs>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3.1满足本谈判文件“</w:t>
      </w:r>
      <w:r>
        <w:rPr>
          <w:rFonts w:hint="eastAsia" w:ascii="宋体" w:hAnsi="宋体" w:cs="宋体"/>
          <w:sz w:val="28"/>
          <w:szCs w:val="28"/>
          <w:lang w:eastAsia="zh-CN"/>
        </w:rPr>
        <w:t>竞争性谈判文件公告</w:t>
      </w:r>
      <w:r>
        <w:rPr>
          <w:rFonts w:hint="eastAsia" w:ascii="宋体" w:hAnsi="宋体" w:eastAsia="宋体" w:cs="宋体"/>
          <w:sz w:val="28"/>
          <w:szCs w:val="28"/>
        </w:rPr>
        <w:t>”中合格谈判供应商资格要求的规定。</w:t>
      </w:r>
    </w:p>
    <w:p>
      <w:pPr>
        <w:tabs>
          <w:tab w:val="left" w:pos="900"/>
        </w:tabs>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3.2 满足本谈判文件实质性要求和条件的规定。</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4、参加谈判费用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 参加谈判供应商应自行承担所有与参加谈判有关的费用。不论最终的成交结果如何，</w:t>
      </w:r>
      <w:r>
        <w:rPr>
          <w:rFonts w:hint="eastAsia" w:ascii="宋体" w:hAnsi="宋体" w:eastAsia="宋体" w:cs="宋体"/>
          <w:sz w:val="28"/>
          <w:szCs w:val="28"/>
          <w:lang w:eastAsia="zh-CN"/>
        </w:rPr>
        <w:t>采购人</w:t>
      </w:r>
      <w:r>
        <w:rPr>
          <w:rFonts w:hint="eastAsia" w:ascii="宋体" w:hAnsi="宋体" w:eastAsia="宋体" w:cs="宋体"/>
          <w:sz w:val="28"/>
          <w:szCs w:val="28"/>
        </w:rPr>
        <w:t>在任何情况下均无义务和责任承担这些费用。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4.2本项目成交人须缴纳代理服务费：计费按照计价格[2002]1980号文件内的收费标准，以“差额定率累进法”计算收取；代理服务费不足¥3000.00元的，以¥3000.00元计收,由中标单位支付。</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成交金额 服务招标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100万（含）以下 1.5%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100-500万（含）以下 0.8% </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4.3</w:t>
      </w:r>
      <w:r>
        <w:rPr>
          <w:rFonts w:hint="eastAsia" w:ascii="宋体" w:hAnsi="宋体" w:eastAsia="宋体" w:cs="宋体"/>
          <w:sz w:val="28"/>
          <w:szCs w:val="28"/>
        </w:rPr>
        <w:t>投标报价中包含但不限于前期调研、食宿、交通、技术、劳务、现场服务、汇报视频及税金等必需的全部费用。</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4.4</w:t>
      </w:r>
      <w:r>
        <w:rPr>
          <w:rFonts w:hint="eastAsia" w:ascii="宋体" w:hAnsi="宋体" w:eastAsia="宋体" w:cs="宋体"/>
          <w:sz w:val="28"/>
          <w:szCs w:val="28"/>
        </w:rPr>
        <w:t>.代理服务费应在《成交通知书》发出送达后3日内一次性付清。</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4.5</w:t>
      </w:r>
      <w:r>
        <w:rPr>
          <w:rFonts w:hint="eastAsia" w:ascii="宋体" w:hAnsi="宋体" w:eastAsia="宋体" w:cs="宋体"/>
          <w:sz w:val="28"/>
          <w:szCs w:val="28"/>
        </w:rPr>
        <w:t>本项目响应谈判的供应商需缴纳300元招标文件费，于响应文件同时递交。</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4.6</w:t>
      </w:r>
      <w:r>
        <w:rPr>
          <w:rFonts w:hint="eastAsia" w:ascii="宋体" w:hAnsi="宋体" w:eastAsia="宋体" w:cs="宋体"/>
          <w:sz w:val="28"/>
          <w:szCs w:val="28"/>
        </w:rPr>
        <w:t>本项目专家评审费由采购人支付，按实际产生费用为准。</w:t>
      </w:r>
    </w:p>
    <w:p>
      <w:pPr>
        <w:tabs>
          <w:tab w:val="left" w:pos="900"/>
        </w:tabs>
        <w:adjustRightInd w:val="0"/>
        <w:snapToGrid w:val="0"/>
        <w:spacing w:line="360" w:lineRule="auto"/>
        <w:ind w:firstLine="557" w:firstLineChars="199"/>
        <w:rPr>
          <w:rFonts w:hint="eastAsia" w:ascii="宋体" w:hAnsi="宋体" w:eastAsia="宋体" w:cs="宋体"/>
          <w:sz w:val="28"/>
          <w:szCs w:val="28"/>
        </w:rPr>
      </w:pPr>
      <w:r>
        <w:rPr>
          <w:rFonts w:hint="eastAsia" w:ascii="宋体" w:hAnsi="宋体" w:eastAsia="宋体" w:cs="宋体"/>
          <w:sz w:val="28"/>
          <w:szCs w:val="28"/>
        </w:rPr>
        <w:t>5、谈判文件的约束力</w:t>
      </w:r>
    </w:p>
    <w:p>
      <w:pPr>
        <w:tabs>
          <w:tab w:val="left" w:pos="900"/>
        </w:tabs>
        <w:adjustRightInd w:val="0"/>
        <w:snapToGrid w:val="0"/>
        <w:spacing w:line="360" w:lineRule="auto"/>
        <w:ind w:firstLine="557" w:firstLineChars="199"/>
        <w:rPr>
          <w:rFonts w:hint="eastAsia" w:ascii="宋体" w:hAnsi="宋体" w:eastAsia="宋体" w:cs="宋体"/>
          <w:sz w:val="28"/>
          <w:szCs w:val="28"/>
        </w:rPr>
      </w:pPr>
      <w:r>
        <w:rPr>
          <w:rFonts w:hint="eastAsia" w:ascii="宋体" w:hAnsi="宋体" w:eastAsia="宋体" w:cs="宋体"/>
          <w:sz w:val="28"/>
          <w:szCs w:val="28"/>
        </w:rPr>
        <w:t>供应商一旦下载了本谈判文件并决定参加谈判，即被认为接受了本谈判文件的规定和约束，并且视为自竞争性谈判公告期限届满之日起已经知道或应当知道自身权益是否受到了损害。</w:t>
      </w:r>
    </w:p>
    <w:p>
      <w:pPr>
        <w:tabs>
          <w:tab w:val="left" w:pos="900"/>
        </w:tabs>
        <w:adjustRightInd w:val="0"/>
        <w:snapToGrid w:val="0"/>
        <w:spacing w:line="360" w:lineRule="auto"/>
        <w:ind w:firstLine="697" w:firstLineChars="249"/>
        <w:rPr>
          <w:rFonts w:hint="eastAsia" w:ascii="宋体" w:hAnsi="宋体" w:eastAsia="宋体" w:cs="宋体"/>
          <w:sz w:val="28"/>
          <w:szCs w:val="28"/>
        </w:rPr>
      </w:pPr>
      <w:r>
        <w:rPr>
          <w:rFonts w:hint="eastAsia" w:ascii="宋体" w:hAnsi="宋体" w:eastAsia="宋体" w:cs="宋体"/>
          <w:sz w:val="28"/>
          <w:szCs w:val="28"/>
        </w:rPr>
        <w:t>6、</w:t>
      </w:r>
      <w:bookmarkStart w:id="3" w:name="_Toc513029211"/>
      <w:bookmarkStart w:id="4" w:name="_Toc462564070"/>
      <w:bookmarkStart w:id="5" w:name="_Toc20823283"/>
      <w:bookmarkStart w:id="6" w:name="_Toc16938527"/>
      <w:r>
        <w:rPr>
          <w:rFonts w:hint="eastAsia" w:ascii="宋体" w:hAnsi="宋体" w:eastAsia="宋体" w:cs="宋体"/>
          <w:sz w:val="28"/>
          <w:szCs w:val="28"/>
        </w:rPr>
        <w:t>谈判文件的澄清</w:t>
      </w:r>
      <w:bookmarkEnd w:id="3"/>
      <w:bookmarkEnd w:id="4"/>
      <w:bookmarkEnd w:id="5"/>
      <w:bookmarkEnd w:id="6"/>
      <w:r>
        <w:rPr>
          <w:rFonts w:hint="eastAsia" w:ascii="宋体" w:hAnsi="宋体" w:eastAsia="宋体" w:cs="宋体"/>
          <w:sz w:val="28"/>
          <w:szCs w:val="28"/>
        </w:rPr>
        <w:t>及修改</w:t>
      </w:r>
    </w:p>
    <w:p>
      <w:pPr>
        <w:tabs>
          <w:tab w:val="left" w:pos="900"/>
        </w:tabs>
        <w:adjustRightInd w:val="0"/>
        <w:snapToGrid w:val="0"/>
        <w:spacing w:line="360" w:lineRule="auto"/>
        <w:ind w:firstLine="557" w:firstLineChars="199"/>
        <w:rPr>
          <w:rFonts w:hint="eastAsia" w:ascii="宋体" w:hAnsi="宋体" w:eastAsia="宋体" w:cs="宋体"/>
          <w:sz w:val="28"/>
          <w:szCs w:val="28"/>
        </w:rPr>
      </w:pPr>
      <w:r>
        <w:rPr>
          <w:rFonts w:hint="eastAsia" w:ascii="宋体" w:hAnsi="宋体" w:eastAsia="宋体" w:cs="宋体"/>
          <w:sz w:val="28"/>
          <w:szCs w:val="28"/>
        </w:rPr>
        <w:t>6.1任何要求对谈判文件进行澄清的供应商，均应在提交首次响应文件截止时间3个工作日前按采购邀请中的通讯地址，以书面形式通知招标人或招标代理。提交首次响应文件截止之日前，招标人或招标代理可以对已发出的谈判文件进行必要的澄清或者修改，澄清或者修改的内容作为谈判文件的组成部分。澄清或者修改的内容可能影响响应文件编制的，招标人或招标代理将在提交首次响应文件截止时间至少3个工作日前，在江苏政府采购网上发布书面更正公告形式通知所有获取谈判文件的供应商。不足3个工作日的，招标人或招标代理应当顺延提交首次响应文件截止时间。</w:t>
      </w:r>
    </w:p>
    <w:p>
      <w:pPr>
        <w:adjustRightInd w:val="0"/>
        <w:snapToGrid w:val="0"/>
        <w:spacing w:line="360" w:lineRule="auto"/>
        <w:ind w:firstLine="410" w:firstLineChars="146"/>
        <w:rPr>
          <w:rFonts w:hint="eastAsia" w:ascii="宋体" w:hAnsi="宋体" w:eastAsia="宋体" w:cs="宋体"/>
          <w:b/>
          <w:sz w:val="28"/>
          <w:szCs w:val="28"/>
        </w:rPr>
      </w:pPr>
      <w:bookmarkStart w:id="7" w:name="_Hlt26954832"/>
      <w:bookmarkEnd w:id="7"/>
      <w:bookmarkStart w:id="8" w:name="_Hlt26670345"/>
      <w:bookmarkEnd w:id="8"/>
      <w:bookmarkStart w:id="9" w:name="_Hlt26954828"/>
      <w:bookmarkEnd w:id="9"/>
      <w:bookmarkStart w:id="10" w:name="_Hlt26670348"/>
      <w:bookmarkEnd w:id="10"/>
      <w:bookmarkStart w:id="11" w:name="_Hlt26668969"/>
      <w:bookmarkEnd w:id="11"/>
      <w:bookmarkStart w:id="12" w:name="_Hlt26670354"/>
      <w:bookmarkEnd w:id="12"/>
      <w:bookmarkStart w:id="13" w:name="_Hlt26954830"/>
      <w:bookmarkEnd w:id="13"/>
      <w:bookmarkStart w:id="14" w:name="_Toc462564072"/>
      <w:bookmarkStart w:id="15" w:name="_Toc61149553"/>
      <w:bookmarkStart w:id="16" w:name="_Toc14577351"/>
      <w:bookmarkStart w:id="17" w:name="_Toc513029213"/>
      <w:r>
        <w:rPr>
          <w:rFonts w:hint="eastAsia" w:ascii="宋体" w:hAnsi="宋体" w:eastAsia="宋体" w:cs="宋体"/>
          <w:b/>
          <w:sz w:val="28"/>
          <w:szCs w:val="28"/>
        </w:rPr>
        <w:t>二 、谈判响应文件的编制</w:t>
      </w:r>
      <w:bookmarkEnd w:id="14"/>
      <w:bookmarkEnd w:id="15"/>
      <w:bookmarkEnd w:id="16"/>
      <w:bookmarkEnd w:id="17"/>
      <w:r>
        <w:rPr>
          <w:rFonts w:hint="eastAsia" w:ascii="宋体" w:hAnsi="宋体" w:eastAsia="宋体" w:cs="宋体"/>
          <w:b/>
          <w:sz w:val="28"/>
          <w:szCs w:val="28"/>
        </w:rPr>
        <w:t>及保证金收取</w:t>
      </w:r>
    </w:p>
    <w:p>
      <w:pPr>
        <w:adjustRightInd w:val="0"/>
        <w:snapToGrid w:val="0"/>
        <w:spacing w:line="360" w:lineRule="auto"/>
        <w:ind w:firstLine="560" w:firstLineChars="200"/>
        <w:rPr>
          <w:rFonts w:hint="eastAsia" w:ascii="宋体" w:hAnsi="宋体" w:eastAsia="宋体" w:cs="宋体"/>
          <w:sz w:val="28"/>
          <w:szCs w:val="28"/>
        </w:rPr>
      </w:pPr>
      <w:bookmarkStart w:id="18" w:name="_Toc513029223"/>
      <w:bookmarkStart w:id="19" w:name="_Toc14577361"/>
      <w:bookmarkStart w:id="20" w:name="_Toc61149561"/>
      <w:r>
        <w:rPr>
          <w:rFonts w:hint="eastAsia" w:ascii="宋体" w:hAnsi="宋体" w:eastAsia="宋体" w:cs="宋体"/>
          <w:sz w:val="28"/>
          <w:szCs w:val="28"/>
        </w:rPr>
        <w:t>1、谈判响应文件份数和签署</w:t>
      </w:r>
      <w:bookmarkEnd w:id="18"/>
      <w:bookmarkEnd w:id="19"/>
      <w:bookmarkEnd w:id="20"/>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 参加谈判供应商应严格按照竞争性谈判采购邀请要求准备谈判响应文件（以下简称响应文件），每份响应文件须清楚地标明“正本”或“副本”字样。</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响应文件的正本和所有的副本均需打印或复印。响应文件正本中，除谈判文件规定的可提交复印件外，其他文件均须提交原件，文字材料需打印或用不褪色墨水书写，响应文件正本须经法定代表人或授权代表签字和加盖谈判供应商公章。本谈判文件所表述（指定）的公章是指刻有供应商法定名称的印章，不包括合同、财务、税务、发票等形式的业务专用章。</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 除谈判供应商对错处做必要修改外，谈判响应文件不得行间插字、涂改或增删。如有修改错漏处，必须由响应文件签署人签字或盖章。</w:t>
      </w:r>
    </w:p>
    <w:p>
      <w:pPr>
        <w:adjustRightInd w:val="0"/>
        <w:snapToGrid w:val="0"/>
        <w:spacing w:line="360" w:lineRule="auto"/>
        <w:ind w:firstLine="560" w:firstLineChars="200"/>
        <w:rPr>
          <w:rFonts w:hint="eastAsia" w:ascii="宋体" w:hAnsi="宋体" w:eastAsia="宋体" w:cs="宋体"/>
          <w:sz w:val="28"/>
          <w:szCs w:val="28"/>
        </w:rPr>
      </w:pPr>
      <w:bookmarkStart w:id="21" w:name="_Hlt26954834"/>
      <w:bookmarkEnd w:id="21"/>
      <w:bookmarkStart w:id="22" w:name="_Toc513029215"/>
      <w:bookmarkStart w:id="23" w:name="_Toc61149555"/>
      <w:bookmarkStart w:id="24" w:name="_Toc462564074"/>
      <w:bookmarkStart w:id="25" w:name="_Toc14577353"/>
      <w:bookmarkStart w:id="26" w:name="_Toc14577352"/>
      <w:bookmarkStart w:id="27" w:name="_Toc513029214"/>
      <w:bookmarkStart w:id="28" w:name="_Toc61149554"/>
      <w:bookmarkStart w:id="29" w:name="_Toc462564073"/>
      <w:r>
        <w:rPr>
          <w:rFonts w:hint="eastAsia" w:ascii="宋体" w:hAnsi="宋体" w:eastAsia="宋体" w:cs="宋体"/>
          <w:sz w:val="28"/>
          <w:szCs w:val="28"/>
        </w:rPr>
        <w:t>2、响应文件</w:t>
      </w:r>
      <w:bookmarkEnd w:id="22"/>
      <w:bookmarkEnd w:id="23"/>
      <w:bookmarkEnd w:id="24"/>
      <w:bookmarkEnd w:id="25"/>
      <w:r>
        <w:rPr>
          <w:rFonts w:hint="eastAsia" w:ascii="宋体" w:hAnsi="宋体" w:eastAsia="宋体" w:cs="宋体"/>
          <w:sz w:val="28"/>
          <w:szCs w:val="28"/>
        </w:rPr>
        <w:t>编制要求</w:t>
      </w:r>
    </w:p>
    <w:bookmarkEnd w:id="26"/>
    <w:bookmarkEnd w:id="27"/>
    <w:bookmarkEnd w:id="28"/>
    <w:bookmarkEnd w:id="29"/>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2.1谈判供应商提交的响应文件以及谈判供应商与招标代理及采购人就有关谈判的所有来往函电均应使用</w:t>
      </w:r>
      <w:r>
        <w:rPr>
          <w:rFonts w:hint="eastAsia" w:ascii="宋体" w:hAnsi="宋体" w:eastAsia="宋体" w:cs="宋体"/>
          <w:bCs/>
          <w:sz w:val="28"/>
          <w:szCs w:val="28"/>
        </w:rPr>
        <w:t>简体中文</w:t>
      </w:r>
      <w:r>
        <w:rPr>
          <w:rFonts w:hint="eastAsia" w:ascii="宋体" w:hAnsi="宋体" w:eastAsia="宋体" w:cs="宋体"/>
          <w:sz w:val="28"/>
          <w:szCs w:val="28"/>
        </w:rPr>
        <w:t>。谈判文件中既有中文也有外文的，以中文意义为准。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 除技术性能另有规定外，响应文件所使用的度量衡单位，均须采用国家法定计量单位。</w:t>
      </w:r>
    </w:p>
    <w:p>
      <w:pPr>
        <w:adjustRightInd w:val="0"/>
        <w:snapToGrid w:val="0"/>
        <w:spacing w:line="360" w:lineRule="auto"/>
        <w:ind w:firstLine="560" w:firstLineChars="200"/>
        <w:rPr>
          <w:rFonts w:hint="eastAsia" w:ascii="宋体" w:hAnsi="宋体" w:eastAsia="宋体" w:cs="宋体"/>
          <w:sz w:val="28"/>
          <w:szCs w:val="28"/>
        </w:rPr>
      </w:pPr>
      <w:bookmarkStart w:id="30" w:name="_Hlt26954836"/>
      <w:bookmarkEnd w:id="30"/>
      <w:bookmarkStart w:id="31" w:name="_Hlt26670357"/>
      <w:bookmarkEnd w:id="31"/>
      <w:bookmarkStart w:id="32" w:name="_Toc61149558"/>
      <w:bookmarkStart w:id="33" w:name="_Toc513029219"/>
      <w:bookmarkStart w:id="34" w:name="_Toc14577357"/>
      <w:bookmarkStart w:id="35" w:name="_Toc513029217"/>
      <w:bookmarkStart w:id="36" w:name="_Toc14577355"/>
      <w:bookmarkStart w:id="37" w:name="_Toc61149557"/>
      <w:r>
        <w:rPr>
          <w:rFonts w:hint="eastAsia" w:ascii="宋体" w:hAnsi="宋体" w:eastAsia="宋体" w:cs="宋体"/>
          <w:sz w:val="28"/>
          <w:szCs w:val="28"/>
        </w:rPr>
        <w:t>3、参加谈判供应商资格的文件</w:t>
      </w:r>
      <w:bookmarkEnd w:id="32"/>
      <w:bookmarkEnd w:id="33"/>
      <w:bookmarkEnd w:id="34"/>
      <w:r>
        <w:rPr>
          <w:rFonts w:hint="eastAsia" w:ascii="宋体" w:hAnsi="宋体" w:eastAsia="宋体" w:cs="宋体"/>
          <w:sz w:val="28"/>
          <w:szCs w:val="28"/>
        </w:rPr>
        <w:t>证明</w:t>
      </w:r>
    </w:p>
    <w:p>
      <w:pPr>
        <w:adjustRightInd w:val="0"/>
        <w:snapToGrid w:val="0"/>
        <w:spacing w:line="360" w:lineRule="auto"/>
        <w:ind w:firstLine="560" w:firstLineChars="200"/>
        <w:rPr>
          <w:rFonts w:hint="eastAsia" w:ascii="宋体" w:hAnsi="宋体" w:eastAsia="宋体" w:cs="宋体"/>
          <w:sz w:val="28"/>
          <w:szCs w:val="28"/>
        </w:rPr>
      </w:pPr>
      <w:bookmarkStart w:id="38" w:name="_Hlt26668999"/>
      <w:bookmarkEnd w:id="38"/>
      <w:r>
        <w:rPr>
          <w:rFonts w:hint="eastAsia" w:ascii="宋体" w:hAnsi="宋体" w:eastAsia="宋体" w:cs="宋体"/>
          <w:sz w:val="28"/>
          <w:szCs w:val="28"/>
        </w:rPr>
        <w:t>3.1谈判供应商应提交证明其有资格参加谈判和成交后有能力独立履行合同的文件，并作为其响应文件的一部分。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3.2谈判供应商除必须具有履行合同所需提供的设备以及服务的能力外，还必须具备相应的财务、技术方面的能力。</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3.3谈判供应商应填写并提交谈判文件所附的“资格证明文件”。</w:t>
      </w:r>
    </w:p>
    <w:p>
      <w:pPr>
        <w:numPr>
          <w:ilvl w:val="0"/>
          <w:numId w:val="2"/>
        </w:num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供货一览表和谈判响应报价</w:t>
      </w:r>
      <w:bookmarkEnd w:id="35"/>
      <w:bookmarkEnd w:id="36"/>
      <w:bookmarkEnd w:id="37"/>
      <w:bookmarkStart w:id="39" w:name="_Hlt26670373"/>
      <w:bookmarkEnd w:id="39"/>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bCs/>
          <w:sz w:val="28"/>
          <w:szCs w:val="28"/>
        </w:rPr>
        <w:t>4.</w:t>
      </w:r>
      <w:r>
        <w:rPr>
          <w:rFonts w:hint="eastAsia" w:ascii="宋体" w:hAnsi="宋体" w:cs="宋体"/>
          <w:bCs/>
          <w:sz w:val="28"/>
          <w:szCs w:val="28"/>
          <w:lang w:val="en-US" w:eastAsia="zh-CN"/>
        </w:rPr>
        <w:t>1</w:t>
      </w:r>
      <w:r>
        <w:rPr>
          <w:rFonts w:hint="eastAsia" w:ascii="宋体" w:hAnsi="宋体" w:eastAsia="宋体" w:cs="宋体"/>
          <w:bCs/>
          <w:sz w:val="28"/>
          <w:szCs w:val="28"/>
        </w:rPr>
        <w:t xml:space="preserve"> </w:t>
      </w:r>
      <w:r>
        <w:rPr>
          <w:rFonts w:hint="eastAsia" w:ascii="宋体" w:hAnsi="宋体" w:eastAsia="宋体" w:cs="宋体"/>
          <w:sz w:val="28"/>
          <w:szCs w:val="28"/>
        </w:rPr>
        <w:t>标的物</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bCs/>
          <w:sz w:val="28"/>
          <w:szCs w:val="28"/>
        </w:rPr>
        <w:t>详见项目需求。</w:t>
      </w:r>
    </w:p>
    <w:p>
      <w:pPr>
        <w:adjustRightInd w:val="0"/>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4.</w:t>
      </w:r>
      <w:r>
        <w:rPr>
          <w:rFonts w:hint="eastAsia" w:ascii="宋体" w:hAnsi="宋体" w:cs="宋体"/>
          <w:sz w:val="28"/>
          <w:szCs w:val="28"/>
          <w:lang w:val="en-US" w:eastAsia="zh-CN"/>
        </w:rPr>
        <w:t>2</w:t>
      </w:r>
      <w:r>
        <w:rPr>
          <w:rFonts w:hint="eastAsia" w:ascii="宋体" w:hAnsi="宋体" w:eastAsia="宋体" w:cs="宋体"/>
          <w:bCs/>
          <w:sz w:val="28"/>
          <w:szCs w:val="28"/>
        </w:rPr>
        <w:t>有关费用处理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本次采购谈判供应商的总报价应包括为完成本项目发生的所有费用，本谈判文件中另有规定的除外。</w:t>
      </w:r>
    </w:p>
    <w:p>
      <w:pPr>
        <w:adjustRightInd w:val="0"/>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4.</w:t>
      </w:r>
      <w:r>
        <w:rPr>
          <w:rFonts w:hint="eastAsia" w:ascii="宋体" w:hAnsi="宋体" w:cs="宋体"/>
          <w:sz w:val="28"/>
          <w:szCs w:val="28"/>
          <w:lang w:val="en-US" w:eastAsia="zh-CN"/>
        </w:rPr>
        <w:t>3</w:t>
      </w:r>
      <w:r>
        <w:rPr>
          <w:rFonts w:hint="eastAsia" w:ascii="宋体" w:hAnsi="宋体" w:eastAsia="宋体" w:cs="宋体"/>
          <w:sz w:val="28"/>
          <w:szCs w:val="28"/>
        </w:rPr>
        <w:t xml:space="preserve"> </w:t>
      </w:r>
      <w:r>
        <w:rPr>
          <w:rFonts w:hint="eastAsia" w:ascii="宋体" w:hAnsi="宋体" w:eastAsia="宋体" w:cs="宋体"/>
          <w:bCs/>
          <w:sz w:val="28"/>
          <w:szCs w:val="28"/>
        </w:rPr>
        <w:t>其它费用处理</w:t>
      </w:r>
    </w:p>
    <w:p>
      <w:pPr>
        <w:adjustRightInd w:val="0"/>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谈判文件未列明，而谈判供应商认为必需的费用也需列入报价。</w:t>
      </w:r>
    </w:p>
    <w:p>
      <w:pPr>
        <w:adjustRightInd w:val="0"/>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sz w:val="28"/>
          <w:szCs w:val="28"/>
        </w:rPr>
        <w:t>4.</w:t>
      </w:r>
      <w:r>
        <w:rPr>
          <w:rFonts w:hint="eastAsia" w:ascii="宋体" w:hAnsi="宋体" w:cs="宋体"/>
          <w:sz w:val="28"/>
          <w:szCs w:val="28"/>
          <w:lang w:val="en-US" w:eastAsia="zh-CN"/>
        </w:rPr>
        <w:t>4</w:t>
      </w:r>
      <w:r>
        <w:rPr>
          <w:rFonts w:hint="eastAsia" w:ascii="宋体" w:hAnsi="宋体" w:eastAsia="宋体" w:cs="宋体"/>
          <w:sz w:val="28"/>
          <w:szCs w:val="28"/>
        </w:rPr>
        <w:t>报价采用的</w:t>
      </w:r>
      <w:r>
        <w:rPr>
          <w:rFonts w:hint="eastAsia" w:ascii="宋体" w:hAnsi="宋体" w:eastAsia="宋体" w:cs="宋体"/>
          <w:bCs/>
          <w:sz w:val="28"/>
          <w:szCs w:val="28"/>
        </w:rPr>
        <w:t>货币</w:t>
      </w:r>
    </w:p>
    <w:p>
      <w:pPr>
        <w:adjustRightInd w:val="0"/>
        <w:snapToGrid w:val="0"/>
        <w:spacing w:line="360" w:lineRule="auto"/>
        <w:ind w:firstLine="560" w:firstLineChars="200"/>
        <w:rPr>
          <w:rFonts w:hint="eastAsia" w:ascii="宋体" w:hAnsi="宋体" w:eastAsia="宋体" w:cs="宋体"/>
          <w:bCs/>
          <w:sz w:val="28"/>
          <w:szCs w:val="28"/>
        </w:rPr>
      </w:pPr>
      <w:r>
        <w:rPr>
          <w:rFonts w:hint="eastAsia" w:ascii="宋体" w:hAnsi="宋体" w:eastAsia="宋体" w:cs="宋体"/>
          <w:bCs/>
          <w:sz w:val="28"/>
          <w:szCs w:val="28"/>
        </w:rPr>
        <w:t>响应文件中的单价和总价，无特殊规定的采用人民币报价，以元为单位标注。谈判文件中另有规定的按规定执行。</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w:t>
      </w:r>
      <w:r>
        <w:rPr>
          <w:rFonts w:hint="eastAsia" w:ascii="宋体" w:hAnsi="宋体" w:cs="宋体"/>
          <w:sz w:val="28"/>
          <w:szCs w:val="28"/>
          <w:lang w:val="en-US" w:eastAsia="zh-CN"/>
        </w:rPr>
        <w:t>5</w:t>
      </w:r>
      <w:r>
        <w:rPr>
          <w:rFonts w:hint="eastAsia" w:ascii="宋体" w:hAnsi="宋体" w:eastAsia="宋体" w:cs="宋体"/>
          <w:sz w:val="28"/>
          <w:szCs w:val="28"/>
        </w:rPr>
        <w:t>谈判响应</w:t>
      </w:r>
      <w:r>
        <w:rPr>
          <w:rFonts w:hint="eastAsia" w:ascii="宋体" w:hAnsi="宋体" w:eastAsia="宋体" w:cs="宋体"/>
          <w:bCs/>
          <w:sz w:val="28"/>
          <w:szCs w:val="28"/>
        </w:rPr>
        <w:t>报价表上的价格应按谈判文件规定填写</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bookmarkStart w:id="40" w:name="_Hlt26954844"/>
      <w:bookmarkEnd w:id="40"/>
      <w:bookmarkStart w:id="41" w:name="_Hlt26670482"/>
      <w:bookmarkEnd w:id="41"/>
      <w:bookmarkStart w:id="42" w:name="_Hlt26954731"/>
      <w:bookmarkEnd w:id="42"/>
      <w:bookmarkStart w:id="43" w:name="_Hlt26670425"/>
      <w:bookmarkEnd w:id="43"/>
      <w:bookmarkStart w:id="44" w:name="_Hlt26954846"/>
      <w:bookmarkEnd w:id="44"/>
      <w:bookmarkStart w:id="45" w:name="_Hlt26670403"/>
      <w:bookmarkEnd w:id="45"/>
      <w:bookmarkStart w:id="46" w:name="_Hlt26670486"/>
      <w:bookmarkEnd w:id="46"/>
      <w:bookmarkStart w:id="47" w:name="_Hlt26668983"/>
      <w:bookmarkEnd w:id="47"/>
      <w:bookmarkStart w:id="48" w:name="_Hlt26954848"/>
      <w:bookmarkEnd w:id="48"/>
      <w:bookmarkStart w:id="49" w:name="_Hlt26954842"/>
      <w:bookmarkEnd w:id="49"/>
      <w:bookmarkStart w:id="50" w:name="_Toc61149559"/>
      <w:bookmarkStart w:id="51" w:name="_Toc513029221"/>
      <w:bookmarkStart w:id="52" w:name="_Toc14577359"/>
      <w:r>
        <w:rPr>
          <w:rFonts w:hint="eastAsia" w:ascii="宋体" w:hAnsi="宋体" w:eastAsia="宋体" w:cs="宋体"/>
          <w:sz w:val="28"/>
          <w:szCs w:val="28"/>
        </w:rPr>
        <w:t>5、谈判保证金</w:t>
      </w:r>
      <w:bookmarkEnd w:id="50"/>
      <w:bookmarkEnd w:id="51"/>
      <w:bookmarkEnd w:id="52"/>
      <w:r>
        <w:rPr>
          <w:rFonts w:hint="eastAsia" w:ascii="宋体" w:hAnsi="宋体" w:eastAsia="宋体" w:cs="宋体"/>
          <w:sz w:val="28"/>
          <w:szCs w:val="28"/>
        </w:rPr>
        <w:t>（本项目不收取谈判保证金）</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5.1谈判保证金是为了保护采购人免遭因谈判供应商的行为而蒙受的损失，采购人因谈判供应商的行为受到损害时，采购人或招标代理可根据相关规定处理。</w:t>
      </w:r>
    </w:p>
    <w:p>
      <w:pPr>
        <w:adjustRightInd w:val="0"/>
        <w:snapToGrid w:val="0"/>
        <w:spacing w:line="360" w:lineRule="auto"/>
        <w:ind w:firstLine="560" w:firstLineChars="200"/>
        <w:rPr>
          <w:rFonts w:hint="eastAsia" w:ascii="宋体" w:hAnsi="宋体" w:eastAsia="宋体" w:cs="宋体"/>
          <w:i/>
          <w:sz w:val="28"/>
          <w:szCs w:val="28"/>
          <w:u w:val="single"/>
        </w:rPr>
      </w:pPr>
      <w:r>
        <w:rPr>
          <w:rFonts w:hint="eastAsia" w:ascii="宋体" w:hAnsi="宋体" w:eastAsia="宋体" w:cs="宋体"/>
          <w:sz w:val="28"/>
          <w:szCs w:val="28"/>
        </w:rPr>
        <w:t>5.2参加谈判采购所需交纳的保证金必须是人民币，谈判保证金的交纳形式见竞争性谈判采购邀请。</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5.3在谈判时，对在谈判响应文件递交截止时间以前未按谈判文件要求提交谈判保证金的响应文件</w:t>
      </w:r>
      <w:r>
        <w:rPr>
          <w:rFonts w:hint="eastAsia" w:ascii="宋体" w:hAnsi="宋体" w:eastAsia="宋体" w:cs="宋体"/>
          <w:bCs/>
          <w:sz w:val="28"/>
          <w:szCs w:val="28"/>
        </w:rPr>
        <w:t>，采购人或招标代理将视其为无效响应文件而予以拒绝</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5.4未成交供应商的谈判保证金，</w:t>
      </w:r>
      <w:r>
        <w:rPr>
          <w:rFonts w:hint="eastAsia" w:ascii="宋体" w:hAnsi="宋体" w:eastAsia="宋体" w:cs="宋体"/>
          <w:bCs/>
          <w:sz w:val="28"/>
          <w:szCs w:val="28"/>
        </w:rPr>
        <w:t>将在成交通知书发出后5个工作日退还，不计利息</w:t>
      </w:r>
      <w:r>
        <w:rPr>
          <w:rFonts w:hint="eastAsia" w:ascii="宋体" w:hAnsi="宋体" w:eastAsia="宋体" w:cs="宋体"/>
          <w:sz w:val="28"/>
          <w:szCs w:val="28"/>
        </w:rPr>
        <w:t>。</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5.5成交供应商的谈判保证金，将在采购合同签订之日起5个工作日内退还，不计利息。</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5.6下列任何情况发生时，谈判保证金不予退还：</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（1）谈判供应商在谈判有效期内无正当理由撤回其谈判响应文件或者在谈判过程中无正当理由退出谈判活动；</w:t>
      </w:r>
    </w:p>
    <w:p>
      <w:pPr>
        <w:adjustRightInd w:val="0"/>
        <w:snapToGrid w:val="0"/>
        <w:spacing w:line="360" w:lineRule="auto"/>
        <w:ind w:firstLine="408" w:firstLineChars="146"/>
        <w:rPr>
          <w:rFonts w:hint="eastAsia" w:ascii="宋体" w:hAnsi="宋体" w:eastAsia="宋体" w:cs="宋体"/>
          <w:sz w:val="28"/>
          <w:szCs w:val="28"/>
        </w:rPr>
      </w:pPr>
      <w:bookmarkStart w:id="53" w:name="_Hlt26954854"/>
      <w:bookmarkEnd w:id="53"/>
      <w:bookmarkStart w:id="54" w:name="_Hlt26954739"/>
      <w:bookmarkEnd w:id="54"/>
      <w:bookmarkStart w:id="55" w:name="_Hlt26954734"/>
      <w:bookmarkEnd w:id="55"/>
      <w:bookmarkStart w:id="56" w:name="_Hlt26954749"/>
      <w:bookmarkEnd w:id="56"/>
      <w:bookmarkStart w:id="57" w:name="_Hlt26670489"/>
      <w:bookmarkEnd w:id="57"/>
      <w:bookmarkStart w:id="58" w:name="_Hlt26954852"/>
      <w:bookmarkEnd w:id="58"/>
      <w:bookmarkStart w:id="59" w:name="_Hlt26670493"/>
      <w:bookmarkEnd w:id="59"/>
      <w:bookmarkStart w:id="60" w:name="_Hlt26954850"/>
      <w:bookmarkEnd w:id="60"/>
      <w:bookmarkStart w:id="61" w:name="_Toc513029224"/>
      <w:bookmarkStart w:id="62" w:name="_Toc14577362"/>
      <w:bookmarkStart w:id="63" w:name="_Toc61149562"/>
      <w:r>
        <w:rPr>
          <w:rFonts w:hint="eastAsia" w:ascii="宋体" w:hAnsi="宋体" w:eastAsia="宋体" w:cs="宋体"/>
          <w:sz w:val="28"/>
          <w:szCs w:val="28"/>
        </w:rPr>
        <w:t>（2）提供虚假材料谋取成交的；</w:t>
      </w:r>
    </w:p>
    <w:p>
      <w:pPr>
        <w:adjustRightInd w:val="0"/>
        <w:snapToGrid w:val="0"/>
        <w:spacing w:line="360" w:lineRule="auto"/>
        <w:ind w:firstLine="408" w:firstLineChars="146"/>
        <w:rPr>
          <w:rFonts w:hint="eastAsia" w:ascii="宋体" w:hAnsi="宋体" w:eastAsia="宋体" w:cs="宋体"/>
          <w:sz w:val="28"/>
          <w:szCs w:val="28"/>
        </w:rPr>
      </w:pPr>
      <w:r>
        <w:rPr>
          <w:rFonts w:hint="eastAsia" w:ascii="宋体" w:hAnsi="宋体" w:eastAsia="宋体" w:cs="宋体"/>
          <w:sz w:val="28"/>
          <w:szCs w:val="28"/>
        </w:rPr>
        <w:t>（3）采取不正当手段诋毁、排挤其他供应商的；</w:t>
      </w:r>
    </w:p>
    <w:p>
      <w:pPr>
        <w:adjustRightInd w:val="0"/>
        <w:snapToGrid w:val="0"/>
        <w:spacing w:line="360" w:lineRule="auto"/>
        <w:ind w:firstLine="408" w:firstLineChars="146"/>
        <w:rPr>
          <w:rFonts w:hint="eastAsia" w:ascii="宋体" w:hAnsi="宋体" w:eastAsia="宋体" w:cs="宋体"/>
          <w:sz w:val="28"/>
          <w:szCs w:val="28"/>
        </w:rPr>
      </w:pPr>
      <w:r>
        <w:rPr>
          <w:rFonts w:hint="eastAsia" w:ascii="宋体" w:hAnsi="宋体" w:eastAsia="宋体" w:cs="宋体"/>
          <w:sz w:val="28"/>
          <w:szCs w:val="28"/>
        </w:rPr>
        <w:t>（4）与采购人、其他供应商恶意串通的。</w:t>
      </w:r>
    </w:p>
    <w:p>
      <w:pPr>
        <w:adjustRightInd w:val="0"/>
        <w:snapToGrid w:val="0"/>
        <w:spacing w:line="360" w:lineRule="auto"/>
        <w:ind w:firstLine="410" w:firstLineChars="146"/>
        <w:rPr>
          <w:rFonts w:hint="eastAsia" w:ascii="宋体" w:hAnsi="宋体" w:eastAsia="宋体" w:cs="宋体"/>
          <w:b/>
          <w:sz w:val="28"/>
          <w:szCs w:val="28"/>
        </w:rPr>
      </w:pPr>
      <w:r>
        <w:rPr>
          <w:rFonts w:hint="eastAsia" w:ascii="宋体" w:hAnsi="宋体" w:eastAsia="宋体" w:cs="宋体"/>
          <w:b/>
          <w:sz w:val="28"/>
          <w:szCs w:val="28"/>
        </w:rPr>
        <w:t>三 、谈判响应文件的递交</w:t>
      </w:r>
      <w:bookmarkEnd w:id="61"/>
      <w:bookmarkEnd w:id="62"/>
      <w:bookmarkEnd w:id="63"/>
    </w:p>
    <w:p>
      <w:pPr>
        <w:adjustRightInd w:val="0"/>
        <w:snapToGrid w:val="0"/>
        <w:spacing w:line="360" w:lineRule="auto"/>
        <w:ind w:firstLine="560" w:firstLineChars="200"/>
        <w:contextualSpacing/>
        <w:rPr>
          <w:rFonts w:hint="eastAsia" w:ascii="宋体" w:hAnsi="宋体" w:eastAsia="宋体" w:cs="宋体"/>
          <w:sz w:val="28"/>
          <w:szCs w:val="28"/>
        </w:rPr>
      </w:pPr>
      <w:bookmarkStart w:id="64" w:name="_Hlt26954856"/>
      <w:bookmarkEnd w:id="64"/>
      <w:r>
        <w:rPr>
          <w:rFonts w:hint="eastAsia" w:ascii="宋体" w:hAnsi="宋体" w:eastAsia="宋体" w:cs="宋体"/>
          <w:sz w:val="28"/>
          <w:szCs w:val="28"/>
        </w:rPr>
        <w:t>1.1响应文件二部分内容（资格审查文件、商务技术文件）须分别单独密封，</w:t>
      </w:r>
      <w:r>
        <w:rPr>
          <w:rFonts w:hint="eastAsia" w:ascii="宋体" w:hAnsi="宋体" w:eastAsia="宋体" w:cs="宋体"/>
          <w:sz w:val="28"/>
          <w:szCs w:val="28"/>
          <w:lang w:val="zh-CN"/>
        </w:rPr>
        <w:t>并牢</w:t>
      </w:r>
      <w:r>
        <w:rPr>
          <w:rFonts w:hint="eastAsia" w:ascii="宋体" w:hAnsi="宋体" w:eastAsia="宋体" w:cs="宋体"/>
          <w:sz w:val="28"/>
          <w:szCs w:val="28"/>
        </w:rPr>
        <w:t>固装订成册，不得相互混淆，文件自编目录并连续标注页码，不得将内容拆开。报价文件不得出现于其他谈判文件中。</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1.2响应文件每一部分内容均须提供“</w:t>
      </w:r>
      <w:r>
        <w:rPr>
          <w:rFonts w:hint="eastAsia" w:ascii="宋体" w:hAnsi="宋体" w:eastAsia="宋体" w:cs="宋体"/>
          <w:b/>
          <w:sz w:val="28"/>
          <w:szCs w:val="28"/>
        </w:rPr>
        <w:t>一正、两副”</w:t>
      </w:r>
      <w:r>
        <w:rPr>
          <w:rFonts w:hint="eastAsia" w:ascii="宋体" w:hAnsi="宋体" w:eastAsia="宋体" w:cs="宋体"/>
          <w:sz w:val="28"/>
          <w:szCs w:val="28"/>
        </w:rPr>
        <w:t>纸质响应文件，并将正本、副本及图纸类等（如需提供图纸等其它资料的话）合并密封，统一装在一个密封袋或密封箱内（如有A3大小的图纸类，可单独密封）。</w:t>
      </w:r>
    </w:p>
    <w:p>
      <w:pPr>
        <w:adjustRightInd w:val="0"/>
        <w:snapToGrid w:val="0"/>
        <w:spacing w:line="360" w:lineRule="auto"/>
        <w:ind w:firstLine="560" w:firstLineChars="200"/>
        <w:contextualSpacing/>
        <w:rPr>
          <w:rFonts w:hint="eastAsia" w:ascii="宋体" w:hAnsi="宋体" w:eastAsia="宋体" w:cs="宋体"/>
          <w:sz w:val="28"/>
          <w:szCs w:val="28"/>
        </w:rPr>
      </w:pPr>
      <w:r>
        <w:rPr>
          <w:rFonts w:hint="eastAsia" w:ascii="宋体" w:hAnsi="宋体" w:eastAsia="宋体" w:cs="宋体"/>
          <w:sz w:val="28"/>
          <w:szCs w:val="28"/>
        </w:rPr>
        <w:t>1.3纸质响应文件须</w:t>
      </w:r>
      <w:r>
        <w:rPr>
          <w:rFonts w:hint="eastAsia" w:ascii="宋体" w:hAnsi="宋体" w:eastAsia="宋体" w:cs="宋体"/>
          <w:sz w:val="28"/>
          <w:szCs w:val="28"/>
          <w:lang w:val="zh-CN"/>
        </w:rPr>
        <w:t>采用A4纸（</w:t>
      </w:r>
      <w:r>
        <w:rPr>
          <w:rFonts w:hint="eastAsia" w:ascii="宋体" w:hAnsi="宋体" w:eastAsia="宋体" w:cs="宋体"/>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pPr>
        <w:adjustRightInd w:val="0"/>
        <w:snapToGrid w:val="0"/>
        <w:spacing w:line="360" w:lineRule="auto"/>
        <w:ind w:firstLine="560" w:firstLineChars="200"/>
        <w:contextualSpacing/>
        <w:rPr>
          <w:rFonts w:hint="eastAsia" w:ascii="宋体" w:hAnsi="宋体" w:eastAsia="宋体" w:cs="宋体"/>
          <w:sz w:val="28"/>
          <w:szCs w:val="28"/>
        </w:rPr>
      </w:pPr>
      <w:r>
        <w:rPr>
          <w:rFonts w:hint="eastAsia" w:ascii="宋体" w:hAnsi="宋体" w:eastAsia="宋体" w:cs="宋体"/>
          <w:sz w:val="28"/>
          <w:szCs w:val="28"/>
        </w:rPr>
        <w:t>1.4响应文件密封后应标明响应文件项目名称、项目编号、边缝处加盖单位骑缝章或骑缝签字。</w:t>
      </w:r>
    </w:p>
    <w:p>
      <w:pPr>
        <w:adjustRightInd w:val="0"/>
        <w:snapToGrid w:val="0"/>
        <w:spacing w:line="360" w:lineRule="auto"/>
        <w:ind w:firstLine="560" w:firstLineChars="200"/>
        <w:contextualSpacing/>
        <w:rPr>
          <w:rFonts w:hint="eastAsia" w:ascii="宋体" w:hAnsi="宋体" w:eastAsia="宋体" w:cs="宋体"/>
          <w:sz w:val="28"/>
          <w:szCs w:val="28"/>
        </w:rPr>
      </w:pPr>
      <w:r>
        <w:rPr>
          <w:rFonts w:hint="eastAsia" w:ascii="宋体" w:hAnsi="宋体" w:eastAsia="宋体" w:cs="宋体"/>
          <w:sz w:val="28"/>
          <w:szCs w:val="28"/>
        </w:rPr>
        <w:t>1.5递交时间：供应商须在规定的响应文件接收截止时间前送达指定地点。</w:t>
      </w:r>
    </w:p>
    <w:p>
      <w:pPr>
        <w:adjustRightInd w:val="0"/>
        <w:snapToGrid w:val="0"/>
        <w:spacing w:line="360" w:lineRule="auto"/>
        <w:ind w:firstLine="562" w:firstLineChars="200"/>
        <w:contextualSpacing/>
        <w:rPr>
          <w:rFonts w:hint="eastAsia" w:ascii="宋体" w:hAnsi="宋体" w:eastAsia="宋体" w:cs="宋体"/>
          <w:sz w:val="28"/>
          <w:szCs w:val="28"/>
        </w:rPr>
      </w:pPr>
      <w:r>
        <w:rPr>
          <w:rFonts w:hint="eastAsia" w:ascii="宋体" w:hAnsi="宋体" w:eastAsia="宋体" w:cs="宋体"/>
          <w:b/>
          <w:sz w:val="28"/>
          <w:szCs w:val="28"/>
        </w:rPr>
        <w:t>友情提醒：采购人将拒绝接收未按照谈判文件要求密封的响应文件，拒绝接收在响应文件接收截止时间后递交的响应文件。</w:t>
      </w:r>
    </w:p>
    <w:p>
      <w:pPr>
        <w:adjustRightInd w:val="0"/>
        <w:snapToGrid w:val="0"/>
        <w:spacing w:line="360" w:lineRule="auto"/>
        <w:ind w:firstLine="560" w:firstLineChars="200"/>
        <w:rPr>
          <w:rFonts w:hint="eastAsia" w:ascii="宋体" w:hAnsi="宋体" w:eastAsia="宋体" w:cs="宋体"/>
          <w:sz w:val="28"/>
          <w:szCs w:val="28"/>
        </w:rPr>
      </w:pPr>
      <w:bookmarkStart w:id="65" w:name="_Hlt26954858"/>
      <w:bookmarkEnd w:id="65"/>
      <w:bookmarkStart w:id="66" w:name="_Hlt26954752"/>
      <w:bookmarkEnd w:id="66"/>
      <w:bookmarkStart w:id="67" w:name="_Hlt26670496"/>
      <w:bookmarkEnd w:id="67"/>
      <w:bookmarkStart w:id="68" w:name="_Toc61149564"/>
      <w:bookmarkStart w:id="69" w:name="_Toc14577364"/>
      <w:bookmarkStart w:id="70" w:name="_Toc513029226"/>
      <w:r>
        <w:rPr>
          <w:rFonts w:hint="eastAsia" w:ascii="宋体" w:hAnsi="宋体" w:eastAsia="宋体" w:cs="宋体"/>
          <w:sz w:val="28"/>
          <w:szCs w:val="28"/>
        </w:rPr>
        <w:t>2、</w:t>
      </w:r>
      <w:bookmarkEnd w:id="68"/>
      <w:bookmarkEnd w:id="69"/>
      <w:bookmarkEnd w:id="70"/>
      <w:r>
        <w:rPr>
          <w:rFonts w:hint="eastAsia" w:ascii="宋体" w:hAnsi="宋体" w:eastAsia="宋体" w:cs="宋体"/>
          <w:sz w:val="28"/>
          <w:szCs w:val="28"/>
        </w:rPr>
        <w:t>响应文件开启时间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2.1采购人或招标代理收到响应文件的时间不得迟于本谈判文件规定的响应文件接收截止时间。</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2.2采购人或招标代理可通过修改谈判文件自行决定酌情推迟响应文件接收截止时间，在此情况下，谈判供应商的所有权利和义务以及受制的响应文件接收截止时间均应以延长后新的响应文件接收截止时间为准。</w:t>
      </w:r>
    </w:p>
    <w:p>
      <w:pPr>
        <w:adjustRightInd w:val="0"/>
        <w:snapToGrid w:val="0"/>
        <w:spacing w:line="360" w:lineRule="auto"/>
        <w:ind w:firstLine="560" w:firstLineChars="200"/>
        <w:rPr>
          <w:rFonts w:hint="eastAsia" w:ascii="宋体" w:hAnsi="宋体" w:eastAsia="宋体" w:cs="宋体"/>
          <w:sz w:val="28"/>
          <w:szCs w:val="28"/>
        </w:rPr>
      </w:pPr>
      <w:bookmarkStart w:id="71" w:name="_Hlt26954860"/>
      <w:bookmarkEnd w:id="71"/>
      <w:bookmarkStart w:id="72" w:name="_Toc14577365"/>
      <w:bookmarkStart w:id="73" w:name="_Toc513029227"/>
      <w:bookmarkStart w:id="74" w:name="_Toc61149565"/>
      <w:r>
        <w:rPr>
          <w:rFonts w:hint="eastAsia" w:ascii="宋体" w:hAnsi="宋体" w:eastAsia="宋体" w:cs="宋体"/>
          <w:sz w:val="28"/>
          <w:szCs w:val="28"/>
        </w:rPr>
        <w:t>3、迟交的谈判响应文件</w:t>
      </w:r>
      <w:bookmarkEnd w:id="72"/>
      <w:bookmarkEnd w:id="73"/>
      <w:bookmarkEnd w:id="74"/>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3.1采购人或招标代理将拒绝在其规定的响应文件接收截止时间后接收谈判响应文件。</w:t>
      </w:r>
    </w:p>
    <w:p>
      <w:pPr>
        <w:adjustRightInd w:val="0"/>
        <w:snapToGrid w:val="0"/>
        <w:spacing w:line="360" w:lineRule="auto"/>
        <w:ind w:firstLine="560" w:firstLineChars="200"/>
        <w:rPr>
          <w:rFonts w:hint="eastAsia" w:ascii="宋体" w:hAnsi="宋体" w:eastAsia="宋体" w:cs="宋体"/>
          <w:sz w:val="28"/>
          <w:szCs w:val="28"/>
        </w:rPr>
      </w:pPr>
      <w:bookmarkStart w:id="75" w:name="_Hlt26954754"/>
      <w:bookmarkEnd w:id="75"/>
      <w:bookmarkStart w:id="76" w:name="_Hlt26954862"/>
      <w:bookmarkEnd w:id="76"/>
      <w:bookmarkStart w:id="77" w:name="_Toc14577366"/>
      <w:bookmarkStart w:id="78" w:name="_Toc61149566"/>
      <w:bookmarkStart w:id="79" w:name="_Toc513029228"/>
      <w:r>
        <w:rPr>
          <w:rFonts w:hint="eastAsia" w:ascii="宋体" w:hAnsi="宋体" w:eastAsia="宋体" w:cs="宋体"/>
          <w:sz w:val="28"/>
          <w:szCs w:val="28"/>
        </w:rPr>
        <w:t>4、谈判响应文件</w:t>
      </w:r>
      <w:bookmarkStart w:id="80" w:name="_Hlt26670588"/>
      <w:r>
        <w:rPr>
          <w:rFonts w:hint="eastAsia" w:ascii="宋体" w:hAnsi="宋体" w:eastAsia="宋体" w:cs="宋体"/>
          <w:sz w:val="28"/>
          <w:szCs w:val="28"/>
        </w:rPr>
        <w:t>的修改</w:t>
      </w:r>
      <w:bookmarkEnd w:id="80"/>
      <w:r>
        <w:rPr>
          <w:rFonts w:hint="eastAsia" w:ascii="宋体" w:hAnsi="宋体" w:eastAsia="宋体" w:cs="宋体"/>
          <w:sz w:val="28"/>
          <w:szCs w:val="28"/>
        </w:rPr>
        <w:t>和撤回</w:t>
      </w:r>
      <w:bookmarkEnd w:id="77"/>
      <w:bookmarkEnd w:id="78"/>
      <w:bookmarkEnd w:id="79"/>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4.1谈判供应商在递交谈判响应文件后，可以修改或撤回其谈判响应文件，但这种修改和撤回，必须在规定的响应文件接收截止时间前，以书面形式送达指定地点。</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4.2谈判供应商的修改或撤回通知书，应按本文件规定进行编制、密封、标记和发送，并应在封套上加注“修改”和“撤回”字样。</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4.3谈判供应商在提交最后报价之前，可以根据谈判情况退出谈判，采购人或招标代理退还退出谈判的供应商的谈判保证金。</w:t>
      </w:r>
    </w:p>
    <w:p>
      <w:pPr>
        <w:pageBreakBefore w:val="0"/>
        <w:kinsoku/>
        <w:wordWrap/>
        <w:overflowPunct/>
        <w:topLinePunct w:val="0"/>
        <w:autoSpaceDE/>
        <w:autoSpaceDN/>
        <w:bidi w:val="0"/>
        <w:adjustRightInd w:val="0"/>
        <w:snapToGrid w:val="0"/>
        <w:spacing w:line="360" w:lineRule="auto"/>
        <w:ind w:left="0" w:leftChars="0" w:firstLine="410" w:firstLineChars="146"/>
        <w:textAlignment w:val="auto"/>
        <w:rPr>
          <w:rFonts w:hint="eastAsia" w:ascii="宋体" w:hAnsi="宋体" w:eastAsia="宋体" w:cs="宋体"/>
          <w:b/>
          <w:sz w:val="28"/>
          <w:szCs w:val="28"/>
        </w:rPr>
      </w:pPr>
      <w:bookmarkStart w:id="81" w:name="_Hlt26954864"/>
      <w:bookmarkEnd w:id="81"/>
      <w:bookmarkStart w:id="82" w:name="_Hlt26670523"/>
      <w:bookmarkEnd w:id="82"/>
      <w:r>
        <w:rPr>
          <w:rFonts w:hint="eastAsia" w:ascii="宋体" w:hAnsi="宋体" w:eastAsia="宋体" w:cs="宋体"/>
          <w:b/>
          <w:sz w:val="28"/>
          <w:szCs w:val="28"/>
        </w:rPr>
        <w:t>四、谈判与评审</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bookmarkStart w:id="83" w:name="_Toc513029230"/>
      <w:bookmarkStart w:id="84" w:name="_Toc20823302"/>
      <w:bookmarkStart w:id="85" w:name="_Toc16938546"/>
      <w:r>
        <w:rPr>
          <w:rFonts w:hint="eastAsia" w:ascii="宋体" w:hAnsi="宋体" w:eastAsia="宋体" w:cs="宋体"/>
          <w:sz w:val="28"/>
          <w:szCs w:val="28"/>
        </w:rPr>
        <w:t>1、</w:t>
      </w:r>
      <w:bookmarkEnd w:id="83"/>
      <w:bookmarkEnd w:id="84"/>
      <w:bookmarkEnd w:id="85"/>
      <w:r>
        <w:rPr>
          <w:rFonts w:hint="eastAsia" w:ascii="宋体" w:hAnsi="宋体" w:eastAsia="宋体" w:cs="宋体"/>
          <w:sz w:val="28"/>
          <w:szCs w:val="28"/>
        </w:rPr>
        <w:t>谈判仪式</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lang w:val="en-US" w:eastAsia="zh-CN"/>
        </w:rPr>
        <w:t>采购人或招标代理</w:t>
      </w:r>
      <w:r>
        <w:rPr>
          <w:rFonts w:hint="eastAsia" w:ascii="宋体" w:hAnsi="宋体" w:eastAsia="宋体" w:cs="宋体"/>
          <w:sz w:val="28"/>
          <w:szCs w:val="28"/>
        </w:rPr>
        <w:t>将在采购公告中规定的时间和地点组织谈判开始仪式，仪式由</w:t>
      </w:r>
      <w:r>
        <w:rPr>
          <w:rFonts w:hint="eastAsia" w:ascii="宋体" w:hAnsi="宋体" w:eastAsia="宋体" w:cs="宋体"/>
          <w:sz w:val="28"/>
          <w:szCs w:val="28"/>
          <w:lang w:val="en-US" w:eastAsia="zh-CN"/>
        </w:rPr>
        <w:t>采购人或招标代理</w:t>
      </w:r>
      <w:r>
        <w:rPr>
          <w:rFonts w:hint="eastAsia" w:ascii="宋体" w:hAnsi="宋体" w:eastAsia="宋体" w:cs="宋体"/>
          <w:sz w:val="28"/>
          <w:szCs w:val="28"/>
        </w:rPr>
        <w:t>主持，供应商应委派携带有效证件的代表准时参加，参加仪式的代表需签名以证明其出席。</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bookmarkStart w:id="86" w:name="_Toc20823303"/>
      <w:bookmarkStart w:id="87" w:name="_Toc16938547"/>
      <w:bookmarkStart w:id="88" w:name="_Toc513029231"/>
      <w:r>
        <w:rPr>
          <w:rFonts w:hint="eastAsia" w:ascii="宋体" w:hAnsi="宋体" w:eastAsia="宋体" w:cs="宋体"/>
          <w:sz w:val="28"/>
          <w:szCs w:val="28"/>
        </w:rPr>
        <w:t>2、谈判小组</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2.1 谈判开始仪式结束后，</w:t>
      </w:r>
      <w:r>
        <w:rPr>
          <w:rFonts w:hint="eastAsia" w:ascii="宋体" w:hAnsi="宋体" w:eastAsia="宋体" w:cs="宋体"/>
          <w:sz w:val="28"/>
          <w:szCs w:val="28"/>
          <w:lang w:val="en-US" w:eastAsia="zh-CN"/>
        </w:rPr>
        <w:t>采购人或招标代理</w:t>
      </w:r>
      <w:r>
        <w:rPr>
          <w:rFonts w:hint="eastAsia" w:ascii="宋体" w:hAnsi="宋体" w:eastAsia="宋体" w:cs="宋体"/>
          <w:sz w:val="28"/>
          <w:szCs w:val="28"/>
        </w:rPr>
        <w:t>将立即组织谈判小组进行评审、谈判。</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2.2 谈判小组由政府采购评审专家、采购人代表组成，且人员构成符合政府采购有关规定。</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2.3谈判小组应以科学、公正的态度参加评审、谈判工作并推荐成交候选人。评审专家在评审过程中不受任何干扰，独立、负责地提出评审意见，并对自己的评审意见承担责任。</w:t>
      </w:r>
    </w:p>
    <w:p>
      <w:pPr>
        <w:pageBreakBefore w:val="0"/>
        <w:kinsoku/>
        <w:wordWrap/>
        <w:overflowPunct/>
        <w:topLinePunct w:val="0"/>
        <w:autoSpaceDE/>
        <w:autoSpaceDN/>
        <w:bidi w:val="0"/>
        <w:adjustRightInd w:val="0"/>
        <w:snapToGrid w:val="0"/>
        <w:spacing w:line="360" w:lineRule="auto"/>
        <w:ind w:left="0" w:leftChars="0" w:firstLine="420" w:firstLineChars="150"/>
        <w:textAlignment w:val="auto"/>
        <w:rPr>
          <w:rFonts w:hint="eastAsia" w:ascii="宋体" w:hAnsi="宋体" w:eastAsia="宋体" w:cs="宋体"/>
          <w:sz w:val="28"/>
          <w:szCs w:val="28"/>
        </w:rPr>
      </w:pPr>
      <w:r>
        <w:rPr>
          <w:rFonts w:hint="eastAsia" w:ascii="宋体" w:hAnsi="宋体" w:eastAsia="宋体" w:cs="宋体"/>
          <w:sz w:val="28"/>
          <w:szCs w:val="28"/>
        </w:rPr>
        <w:t xml:space="preserve"> 2.4谈判小组将对供应商的商业、技术秘密予以保密。</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3、评审过程的保密</w:t>
      </w:r>
      <w:bookmarkEnd w:id="86"/>
      <w:bookmarkEnd w:id="87"/>
      <w:bookmarkEnd w:id="88"/>
      <w:r>
        <w:rPr>
          <w:rFonts w:hint="eastAsia" w:ascii="宋体" w:hAnsi="宋体" w:eastAsia="宋体" w:cs="宋体"/>
          <w:sz w:val="28"/>
          <w:szCs w:val="28"/>
        </w:rPr>
        <w:t>与公正</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3.1谈判开始仪式结束后，直至向成交的供应商授予合同时止，凡是与审查、澄清、评价和比较谈判响应文件的有关资料以及推荐建议等，均不得向供应商或与评审无关的其他人员透露。</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3.2在评审过程中，如果供应商试图向</w:t>
      </w:r>
      <w:r>
        <w:rPr>
          <w:rFonts w:hint="eastAsia" w:ascii="宋体" w:hAnsi="宋体" w:eastAsia="宋体" w:cs="宋体"/>
          <w:sz w:val="28"/>
          <w:szCs w:val="28"/>
          <w:lang w:val="en-US" w:eastAsia="zh-CN"/>
        </w:rPr>
        <w:t>采购人和招标代理</w:t>
      </w:r>
      <w:r>
        <w:rPr>
          <w:rFonts w:hint="eastAsia" w:ascii="宋体" w:hAnsi="宋体" w:eastAsia="宋体" w:cs="宋体"/>
          <w:sz w:val="28"/>
          <w:szCs w:val="28"/>
        </w:rPr>
        <w:t>和参与评审的人员施加任何影响，都将会导致其谈判响应文件被拒绝。</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bookmarkStart w:id="89" w:name="_Toc20823304"/>
      <w:bookmarkStart w:id="90" w:name="_Toc513029232"/>
      <w:bookmarkStart w:id="91" w:name="_Toc16938548"/>
      <w:r>
        <w:rPr>
          <w:rFonts w:hint="eastAsia" w:ascii="宋体" w:hAnsi="宋体" w:eastAsia="宋体" w:cs="宋体"/>
          <w:sz w:val="28"/>
          <w:szCs w:val="28"/>
        </w:rPr>
        <w:t>4、评审过程的澄清</w:t>
      </w:r>
      <w:bookmarkEnd w:id="89"/>
      <w:bookmarkEnd w:id="90"/>
      <w:bookmarkEnd w:id="91"/>
      <w:r>
        <w:rPr>
          <w:rFonts w:hint="eastAsia" w:ascii="宋体" w:hAnsi="宋体" w:eastAsia="宋体" w:cs="宋体"/>
          <w:sz w:val="28"/>
          <w:szCs w:val="28"/>
        </w:rPr>
        <w:t>、说明和更正</w:t>
      </w:r>
    </w:p>
    <w:p>
      <w:pPr>
        <w:pageBreakBefore w:val="0"/>
        <w:tabs>
          <w:tab w:val="left" w:pos="900"/>
        </w:tabs>
        <w:kinsoku/>
        <w:wordWrap/>
        <w:overflowPunct/>
        <w:topLinePunct w:val="0"/>
        <w:autoSpaceDE/>
        <w:autoSpaceDN/>
        <w:bidi w:val="0"/>
        <w:adjustRightInd w:val="0"/>
        <w:snapToGrid w:val="0"/>
        <w:spacing w:line="360" w:lineRule="auto"/>
        <w:ind w:left="0" w:leftChars="0" w:firstLine="557" w:firstLineChars="199"/>
        <w:textAlignment w:val="auto"/>
        <w:rPr>
          <w:rFonts w:hint="eastAsia" w:ascii="宋体" w:hAnsi="宋体" w:eastAsia="宋体" w:cs="宋体"/>
          <w:sz w:val="28"/>
          <w:szCs w:val="28"/>
        </w:rPr>
      </w:pPr>
      <w:bookmarkStart w:id="92" w:name="_Toc513029233"/>
      <w:bookmarkStart w:id="93" w:name="_Toc16938549"/>
      <w:bookmarkStart w:id="94" w:name="_Toc20823305"/>
      <w:r>
        <w:rPr>
          <w:rFonts w:hint="eastAsia" w:ascii="宋体" w:hAnsi="宋体" w:eastAsia="宋体" w:cs="宋体"/>
          <w:sz w:val="28"/>
          <w:szCs w:val="28"/>
        </w:rPr>
        <w:t>4.1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ageBreakBefore w:val="0"/>
        <w:tabs>
          <w:tab w:val="left" w:pos="900"/>
        </w:tabs>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4.2接到谈判小组要求的供应商应派人按谈判小组通知的时间和地点做出书面澄清、说明或更正。供应商的澄清、说明或者更正应当由法定代表人或授权代表签字或者加盖公章。由授权代表签字的，应当附法人授权书。供应商为自然人的，应当由本人签字并附身份证明。</w:t>
      </w:r>
    </w:p>
    <w:p>
      <w:pPr>
        <w:pageBreakBefore w:val="0"/>
        <w:tabs>
          <w:tab w:val="left" w:pos="900"/>
        </w:tabs>
        <w:kinsoku/>
        <w:wordWrap/>
        <w:overflowPunct/>
        <w:topLinePunct w:val="0"/>
        <w:autoSpaceDE/>
        <w:autoSpaceDN/>
        <w:bidi w:val="0"/>
        <w:adjustRightInd w:val="0"/>
        <w:snapToGrid w:val="0"/>
        <w:spacing w:line="360" w:lineRule="auto"/>
        <w:ind w:left="0" w:leftChars="0" w:firstLine="557" w:firstLineChars="199"/>
        <w:textAlignment w:val="auto"/>
        <w:rPr>
          <w:rFonts w:hint="eastAsia" w:ascii="宋体" w:hAnsi="宋体" w:eastAsia="宋体" w:cs="宋体"/>
          <w:sz w:val="28"/>
          <w:szCs w:val="28"/>
        </w:rPr>
      </w:pPr>
      <w:r>
        <w:rPr>
          <w:rFonts w:hint="eastAsia" w:ascii="宋体" w:hAnsi="宋体" w:eastAsia="宋体" w:cs="宋体"/>
          <w:sz w:val="28"/>
          <w:szCs w:val="28"/>
        </w:rPr>
        <w:t>4.3 接到谈判小组澄清要求的供应商如未按规定做出澄清，其风险由供应商自行承担。</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5、对响应文件的初审</w:t>
      </w:r>
      <w:bookmarkEnd w:id="92"/>
      <w:bookmarkEnd w:id="93"/>
      <w:bookmarkEnd w:id="94"/>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5.1响应文件初审分为资格性检查和符合性检查。</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资格性检查：依据法律法规和采购文件的规定，对响应文件中的资格证明文件、谈判保证金等进行审查，以确定供应商是否具备参加谈判的资格。</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谈判小组在进行资格性审查的同时，将在“信用中国”网站（www.creditchina.gov.cn）对供应商是否被列入失信被执行人、重大税收违法案件当事人名单、政府采购严重失信行为记录名单情况进行查询，以确定供应商是否具备参加谈判的资格。查询结果将以网页打印的形式留存并归档。</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接受联合体的项目，两个以上的自然人、法人或者其他组织组成一个联合体，以一个供应商的身份共同参加政府采购活动的，联合体成员存在不良信用记录的，视同联合体存在不良应用记录。</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符合性检查：依据采购文件的规定，从响应文件的有效性、完整性和对采购文件的响应程度进行审查，以确定是否对采购文件的实质性要求作出响应。</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5.2在正式谈判之前，谈判小组将首先审查每份谈判响应文件是否实质性响应了采购文件的要求。实质性响应的谈判响应文件应该是与采购文件要求的全部条款、条件和规格相符，没有重大负偏离或保留。</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所谓重大负偏离或保留是指与采购文件规定的实质性要求存在负偏离，或者在实质上与谈判文件不一致，而且限制了合同中买方的权利或供应商的义务，纠正这些偏离或保留将会对其他实质性响应要求的供应商的竞争地位产生不公正的影响。重大偏离由谈判小组按照少数服从多数的原则认定。谈判小组决定响应文件的响应性只根据谈判响应文件本身的内容，而不寻求外部的证据。</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5.3被认定为未实质性响应谈判文件的响应文件的情形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 未按要求交纳谈判保证金的；</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 未按照采购文件规定要求密封、签署、盖章的；</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 供应商在报价时采用选择性报价；</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 供应商不符合采购文件中规定的合格谈判供应商资格要求的；</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 不符合法律、法规和采购文件中规定的其他实质性要求的（本采购文件中斜体且有下划线部分为实质性要求和条件）；</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 其他法律、法规及本采购文件规定的属未实质性响应的响应文件的情形。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（7）供应商被 “信用中国”网站（www.creditchina.gov.cn）列入失信被执行人或重大税收违法案件当事人名单或政府采购严重失信行为记录名单；</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（8）本项目采购产品被财政部、国家发改委、生态环境部等列入“节能产品目录清单”、“环境标志产品目录清单”强制采购范围，而供应商所响应的产品不在强制采购范围内的。</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5.4未实质性响应谈判文件的响应文件按无效响应处理，谈判小组将予以拒绝，供应商不得通过修改或撤销不合要求的偏离或保留而使其谈判响应文件成为实质性响应的文件。</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5.5同一项目（项目未分包）或同一分包（项目有不同分包），如出现同一品牌同一型号的产品有多个供应商参加谈判时，谈判中在其他条件合格的前提下，选取报价最低的供应商参加谈判报价，其他供应商作为无效谈判响应处理。</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bookmarkStart w:id="95" w:name="_Toc16938550"/>
      <w:bookmarkStart w:id="96" w:name="_Toc513029234"/>
      <w:bookmarkStart w:id="97" w:name="_Toc20823306"/>
      <w:r>
        <w:rPr>
          <w:rFonts w:hint="eastAsia" w:ascii="宋体" w:hAnsi="宋体" w:eastAsia="宋体" w:cs="宋体"/>
          <w:sz w:val="28"/>
          <w:szCs w:val="28"/>
        </w:rPr>
        <w:t>6、</w:t>
      </w:r>
      <w:bookmarkEnd w:id="95"/>
      <w:bookmarkEnd w:id="96"/>
      <w:bookmarkEnd w:id="97"/>
      <w:r>
        <w:rPr>
          <w:rFonts w:hint="eastAsia" w:ascii="宋体" w:hAnsi="宋体" w:eastAsia="宋体" w:cs="宋体"/>
          <w:sz w:val="28"/>
          <w:szCs w:val="28"/>
        </w:rPr>
        <w:t>谈判程序及成交原则</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bookmarkStart w:id="98" w:name="_Toc20823307"/>
      <w:bookmarkStart w:id="99" w:name="_Toc513029235"/>
      <w:bookmarkStart w:id="100" w:name="_Toc16938551"/>
      <w:r>
        <w:rPr>
          <w:rFonts w:hint="eastAsia" w:ascii="宋体" w:hAnsi="宋体" w:eastAsia="宋体" w:cs="宋体"/>
          <w:sz w:val="28"/>
          <w:szCs w:val="28"/>
        </w:rPr>
        <w:t>6.1谈判程序</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6.1.1 对于通过资格性和符合性审查的供应商，谈判小组所有成员将集中与单一供应商分别进行谈判。</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在谈判过程中，谈判小组可能根据谈判文件和谈判情况实质性变动的内容有：采购需求中的技术、服务要求以及合同草案条款。对谈判文件作出的实质性变动是谈判文件的有效组成部分，谈判小组将以书面形式同时通知所有参加谈判的供应商。供应商应当按照谈判文件的变动情况和谈判小组的要求重新提交响应文件，并由其法定代表人或授权代表签字或者加盖公章。</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6.1.2谈判文件能够详细列明采购标的的技术、服务要求的，谈判结束后，谈判小组将要求所有实质性响应的供应商在规定时间内提交最后报价。</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谈判文件不能详细列明采购标的的技术、服务要求，需经谈判由供应商提供最终设计方案或解决方案的，谈判结束后，谈判小组将按照少数服从多数的原则投票推荐3家以上供应商的设计方案或者解决方案，并要求其在规定时间内提交最后报价。</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最后报价是供应商响应文件的有效组成部分。符合《政府采购非招标采购方式管理暂行办法》第二十七条第二款规定情形的，提交最后报价的供应商可以为2家。</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6.1.3谈判供应商未在谈判小组规定的时间内完成最后报价的视为放弃谈判，其谈判响应按无效响应处理。最后报价须由谈判供应商法定代表人或授权代表签字或者加盖公章。已提交响应文件的供应商，在提交最后报价之前，可以根据谈判情况退出谈判。</w:t>
      </w:r>
      <w:r>
        <w:rPr>
          <w:rFonts w:hint="eastAsia" w:ascii="宋体" w:hAnsi="宋体" w:eastAsia="宋体" w:cs="宋体"/>
          <w:sz w:val="28"/>
          <w:szCs w:val="28"/>
          <w:lang w:val="en-US" w:eastAsia="zh-CN"/>
        </w:rPr>
        <w:t>采购人或招标代理</w:t>
      </w:r>
      <w:r>
        <w:rPr>
          <w:rFonts w:hint="eastAsia" w:ascii="宋体" w:hAnsi="宋体" w:eastAsia="宋体" w:cs="宋体"/>
          <w:sz w:val="28"/>
          <w:szCs w:val="28"/>
        </w:rPr>
        <w:t>将退还退出谈判的供应商的谈判保证金。</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6.1.4 各供应商最后报价结束后,如谈判小组认为最后最低的供应商的报价明显低于其自身成本，涉嫌恶意竞争，有可能影响商品质量和不能诚信履约的，则有权要求其在规定的期限内提供书面文件予以说明理由，并提交相关证明材料。若该供应商拒绝说明或未在规定期限内提供书面说明，或虽有书面说明但仍无法证明其报价合理性的，则谈判小组有权取消其谈判成交资格，按顺序由最后报价次低的供应商递补，以此类推。</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 成交原则</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6.2.1谈判小组将从质量和服务均能满足采购文件实质性响应要求的供应商中，按照最后报价由低到高顺序推荐3名成交候选供应商，并编写评审报告。采购人从评审报告提出的成交候选供应商中，根据质量和服务均能满足采购文件实质性响应要求且最后报价最低的原则确定成交供应商。采购人确定成交供应商后，</w:t>
      </w:r>
      <w:r>
        <w:rPr>
          <w:rFonts w:hint="eastAsia" w:ascii="宋体" w:hAnsi="宋体" w:eastAsia="宋体" w:cs="宋体"/>
          <w:sz w:val="28"/>
          <w:szCs w:val="28"/>
          <w:lang w:val="en-US" w:eastAsia="zh-CN"/>
        </w:rPr>
        <w:t>采购人或招标代理</w:t>
      </w:r>
      <w:r>
        <w:rPr>
          <w:rFonts w:hint="eastAsia" w:ascii="宋体" w:hAnsi="宋体" w:eastAsia="宋体" w:cs="宋体"/>
          <w:sz w:val="28"/>
          <w:szCs w:val="28"/>
        </w:rPr>
        <w:t>将在“南通市崇川区人民政府网”发布成交结果公告，公告期限为1个工作日。</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6.2.2 对小微型企业、监狱企业和残疾人福利单位的价格扣除</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（1）小微型企业价格扣除</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①本项目对小型和微型企业产品给予10%的扣除价格，用扣除后的价格参与评审。</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②供应商需按照采购文件的要求提供相应的《企业声明函》。</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③企业标准请参照《关于印发中小企业划型标准规定的通知》（工信部联企业[2011]300号）文件规定自行填写。</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（2）残疾人福利单位价格扣除</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①本项目对残疾人福利性单位视同小型、微型企业，给予10%的价格扣除，用扣除后的价格参与评审。</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②残疾人福利单位需按照采购文件的要求提供《残疾人福利性单位声明函》。</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③残疾人福利单位标准请参照《关于促进残疾人就业政府采购政策的通知》（财库〔2017〕141号）。</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（3）监狱和戒毒企业价格扣除</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①本项目对监狱和戒毒企业（简称监狱企业）视同小型、微型企业，给予10%的价格扣除，用扣除后的价格参与评审。</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②监狱企业参加政府采购活动时，需提供由省级以上监狱管理局、戒毒管理局(含新疆生产建设兵团)出具的属于监狱企业的证明文件。供应商如不提供上述证明文件，价格将不做相应扣除。</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③监狱企业标准请参照《关于政府采购支持监狱企业发展有关问题的通知》（财库[2014]68号）。</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（4）残疾人福利单位、监狱企业属于小型、微型企业的，不重复享受政策。</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（6）联合体各方均为小型、微型企业（残疾人福利单位、监狱企业）的，联合体享受10%价格扣除，用扣除后的价格参与评审。</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（7）根据《江苏省政府采购供应商监督管理暂行办法》的规定，诚信记录分每减10分，给予报价的2%增加评审价格，增加最多不超过6%。</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（8）根据《江苏省政府采购信用管理暂行办法》的规定，供应商信用评价结果为三星的给予1%的价格加成，评价结果为二星的给予2%的价格加成，评价结果为一星的给予3%的价格加成。</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6.2.3供应商的最后报价如相同，则优先采购 “环境标志产品”或“节能产品”；若均非“环境标志产品”、“节能产品”，则将优先采购交货期短者。</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环境标志产品是指列入财政部、环境保护部最新公布的《环境标志产品品目清单》内的产品；节能产品是指列入财政部、国家发改委最新公布的《节能产品品目清单》内的产品。</w:t>
      </w:r>
    </w:p>
    <w:p>
      <w:pPr>
        <w:pageBreakBefore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6.3采购活动终止的情况</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xml:space="preserve"> 出现下列情形之一的，本次竞争性谈判采购活动将被终止：</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（1）因情况变化，不再符合规定的竞争性谈判采购方式适用情形的；</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（2）出现影响采购公正的违法、违规行为的；</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（3）在采购过程中符合竞争要求的供应商或者报价未超过采购预算的供应商不足3家的。</w:t>
      </w:r>
    </w:p>
    <w:p>
      <w:pPr>
        <w:pageBreakBefore w:val="0"/>
        <w:kinsoku/>
        <w:wordWrap/>
        <w:overflowPunct/>
        <w:topLinePunct w:val="0"/>
        <w:autoSpaceDE/>
        <w:autoSpaceDN/>
        <w:bidi w:val="0"/>
        <w:adjustRightInd w:val="0"/>
        <w:snapToGrid w:val="0"/>
        <w:spacing w:line="360" w:lineRule="auto"/>
        <w:ind w:left="0" w:leftChars="0"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（4）因重大变故，采购任务取消的。</w:t>
      </w:r>
    </w:p>
    <w:bookmarkEnd w:id="98"/>
    <w:bookmarkEnd w:id="99"/>
    <w:bookmarkEnd w:id="100"/>
    <w:p>
      <w:pPr>
        <w:adjustRightInd w:val="0"/>
        <w:snapToGrid w:val="0"/>
        <w:spacing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五、成交</w:t>
      </w:r>
    </w:p>
    <w:p>
      <w:pPr>
        <w:adjustRightInd w:val="0"/>
        <w:snapToGrid w:val="0"/>
        <w:spacing w:line="360" w:lineRule="auto"/>
        <w:ind w:firstLine="560" w:firstLineChars="200"/>
        <w:rPr>
          <w:rFonts w:hint="eastAsia" w:ascii="宋体" w:hAnsi="宋体" w:eastAsia="宋体" w:cs="宋体"/>
          <w:sz w:val="28"/>
          <w:szCs w:val="28"/>
        </w:rPr>
      </w:pPr>
      <w:bookmarkStart w:id="101" w:name="_Toc513029238"/>
      <w:bookmarkStart w:id="102" w:name="_Toc16938554"/>
      <w:bookmarkStart w:id="103" w:name="_Toc20823310"/>
      <w:r>
        <w:rPr>
          <w:rFonts w:hint="eastAsia" w:ascii="宋体" w:hAnsi="宋体" w:eastAsia="宋体" w:cs="宋体"/>
          <w:sz w:val="28"/>
          <w:szCs w:val="28"/>
        </w:rPr>
        <w:t>1、</w:t>
      </w:r>
      <w:bookmarkEnd w:id="101"/>
      <w:r>
        <w:rPr>
          <w:rFonts w:hint="eastAsia" w:ascii="宋体" w:hAnsi="宋体" w:eastAsia="宋体" w:cs="宋体"/>
          <w:sz w:val="28"/>
          <w:szCs w:val="28"/>
        </w:rPr>
        <w:t>确定</w:t>
      </w:r>
      <w:bookmarkEnd w:id="102"/>
      <w:bookmarkEnd w:id="103"/>
      <w:r>
        <w:rPr>
          <w:rFonts w:hint="eastAsia" w:ascii="宋体" w:hAnsi="宋体" w:eastAsia="宋体" w:cs="宋体"/>
          <w:sz w:val="28"/>
          <w:szCs w:val="28"/>
        </w:rPr>
        <w:t>成交单位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1.1谈判小组根据本采购文件规定评审办法、原始谈判记录和谈判结果，编写评审报告，推荐成交候选人。</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1.2采购人根据谈判小组推荐的成交候选人确定成交供应商。采购人确定成交供应商后，采购人或招标代理将在“</w:t>
      </w:r>
      <w:r>
        <w:rPr>
          <w:rFonts w:hint="eastAsia" w:asciiTheme="minorEastAsia" w:hAnsiTheme="minorEastAsia" w:eastAsiaTheme="minorEastAsia" w:cstheme="minorEastAsia"/>
          <w:sz w:val="28"/>
          <w:szCs w:val="28"/>
        </w:rPr>
        <w:t>南通市崇川区人民政府网</w:t>
      </w:r>
      <w:r>
        <w:rPr>
          <w:rFonts w:hint="eastAsia" w:ascii="宋体" w:hAnsi="宋体" w:eastAsia="宋体" w:cs="宋体"/>
          <w:sz w:val="28"/>
          <w:szCs w:val="28"/>
        </w:rPr>
        <w:t>”发布成交结果公告，公告期限为1个工作日。</w:t>
      </w:r>
    </w:p>
    <w:p>
      <w:pPr>
        <w:tabs>
          <w:tab w:val="left" w:pos="900"/>
        </w:tabs>
        <w:adjustRightInd w:val="0"/>
        <w:snapToGrid w:val="0"/>
        <w:spacing w:line="360" w:lineRule="auto"/>
        <w:ind w:firstLine="557" w:firstLineChars="199"/>
        <w:rPr>
          <w:rFonts w:hint="eastAsia" w:ascii="宋体" w:hAnsi="宋体" w:eastAsia="宋体" w:cs="宋体"/>
          <w:sz w:val="28"/>
          <w:szCs w:val="28"/>
        </w:rPr>
      </w:pPr>
      <w:r>
        <w:rPr>
          <w:rFonts w:hint="eastAsia" w:ascii="宋体" w:hAnsi="宋体" w:eastAsia="宋体" w:cs="宋体"/>
          <w:sz w:val="28"/>
          <w:szCs w:val="28"/>
        </w:rPr>
        <w:t>成交结果确定后，采购人或招标代理将向成交供应商发出成交通知书。供应商自行前往交易中心领取，由此造成的不利后果由供应商自行承担。</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1.3若有充分证据证明，成交供应商出现下列情况之一的，一经查实，将被取消成交资格：</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（1）提供虚假材料谋取成交的；</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（2）与评审专家、采购人、其他供应商或者采购人或招标代理工作人员恶意串通的；</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（3）向评审专家、采购人或采购人或招标代理工作人员行贿或者提供其他不正当利益的；</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（4）恶意竞争，最后报价明显低于其自身合理成本且又无法提供证明的；</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（5）不满足本采购文件规定的实质性要求，但在评审过程中又未被谈判小组发现的；</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（6）成交后无正当理由拒不与采购人签订政府采购合同或者未按照采购文件确定的事项签订政府采购合同；</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（7）将政府采购合同转包；</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（8）法律、法规、规章规定的属于成交无效的其他情形。</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2、质疑处理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2.1 提出质疑的供应商应当是参与所质疑项目采购活动的供应商。潜在供应商依法获取其可质疑的采购文件的，可以对采购文件提出质疑。</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对项目需求部分的质疑，潜在供应商应向采购人提出，由采购人负责答复。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对项目需求部分以外内容的质疑，潜在供应商应向采购人或招标代理提出，由采购人或招标代理负责答复。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2.2供应商认为谈判文件、采购过程和采购结果使自己的权益受到损害的，可以在知道或应知其权益受到损害之日起七个工作日内，以书面形式向招标代理或采购人提出质疑。上述应知其权益受到损害之日，是指：</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（1）对可以质疑的谈判文件提出质疑的，为收到谈判文件之日或者谈判文件公告期限届满之日；</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（2）对采购过程提出质疑的，为各采购程序环节结束之日；</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（3）对成交结果提出质疑的，为成交结果公告期限届满之日。</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供应商应当在法定质疑期内一次性提出针对同一采购程序环节的质疑。供应商如在法定期限内对同一采购程序环节提出多次质疑的，招标代理、采购人将只对供应商第一次质疑作出答复。</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2.3质疑函必须按照本谈判文件中《质疑函范本》要求的格式和内容进行填写。供应商如组成联合体参加谈判，则《质疑函范本》中要求签字、盖章、加盖公章之处，联合体各方均须按要求签字、盖章、加盖公章。</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2.4招标代理及采购人只接收以纸质原件形式送达的质疑。</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2.5 以下情形的质疑不予受理</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2.5.1 内容不符合《政府采购质疑和投诉办法》第十二条规定的质疑。</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2.5.2 超出政府采购法定期限的质疑。</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2.5.3 以传真、电子邮件等方式递交的非原件形式的质疑。</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2.5.4 未参加谈判活动的供应商或在谈判活动中自身权益未受到损害的供应商所提出的质疑。</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2.5.5供应商组成联合体参加谈判，联合体中任何一方或多方未按要求签字、盖章、加盖公章的质疑。</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2.6  供应商提出书面质疑必须有理、有据，不得捏造事实、提供虚假材料进行恶意质疑。否则，一经查实，采购人或招标代理有权依据政府采购的有关规定，报请政府采购监管部门对该供应商进行相应的行政处罚和记录该供应商的失信信息。</w:t>
      </w:r>
    </w:p>
    <w:p>
      <w:pPr>
        <w:adjustRightInd w:val="0"/>
        <w:snapToGrid w:val="0"/>
        <w:spacing w:line="360" w:lineRule="auto"/>
        <w:ind w:firstLine="562" w:firstLineChars="200"/>
        <w:rPr>
          <w:rFonts w:hint="eastAsia" w:ascii="宋体" w:hAnsi="宋体" w:eastAsia="宋体" w:cs="宋体"/>
          <w:b/>
          <w:sz w:val="28"/>
          <w:szCs w:val="28"/>
        </w:rPr>
      </w:pPr>
      <w:bookmarkStart w:id="104" w:name="_Toc20823309"/>
      <w:bookmarkStart w:id="105" w:name="_Toc513029237"/>
      <w:bookmarkStart w:id="106" w:name="_Toc16938553"/>
      <w:r>
        <w:rPr>
          <w:rFonts w:hint="eastAsia" w:ascii="宋体" w:hAnsi="宋体" w:eastAsia="宋体" w:cs="宋体"/>
          <w:b/>
          <w:sz w:val="28"/>
          <w:szCs w:val="28"/>
        </w:rPr>
        <w:t>六、合同签订相关事项</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1、签订合同</w:t>
      </w:r>
    </w:p>
    <w:p>
      <w:pPr>
        <w:tabs>
          <w:tab w:val="left" w:pos="900"/>
        </w:tabs>
        <w:adjustRightInd w:val="0"/>
        <w:snapToGrid w:val="0"/>
        <w:spacing w:line="360" w:lineRule="auto"/>
        <w:ind w:firstLine="557" w:firstLineChars="199"/>
        <w:rPr>
          <w:rFonts w:hint="eastAsia" w:ascii="宋体" w:hAnsi="宋体" w:eastAsia="宋体" w:cs="宋体"/>
          <w:sz w:val="28"/>
          <w:szCs w:val="28"/>
        </w:rPr>
      </w:pPr>
      <w:r>
        <w:rPr>
          <w:rFonts w:hint="eastAsia" w:ascii="宋体" w:hAnsi="宋体" w:eastAsia="宋体" w:cs="宋体"/>
          <w:sz w:val="28"/>
          <w:szCs w:val="28"/>
        </w:rPr>
        <w:t>1.l成交供应商应当在成交通知书发出之日起三十日内，按照谈判文件确定的事项与采购人签订政府采购合同。</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1.2 采购文件、成交供应商的谈判响应文件及谈判采购过程中有关澄清、承诺文件均应作为合同附件。</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1.3 签订合同后</w:t>
      </w:r>
      <w:r>
        <w:rPr>
          <w:rFonts w:hint="eastAsia" w:ascii="宋体" w:hAnsi="宋体" w:eastAsia="宋体" w:cs="宋体"/>
          <w:i/>
          <w:sz w:val="28"/>
          <w:szCs w:val="28"/>
          <w:u w:val="single"/>
        </w:rPr>
        <w:t>，</w:t>
      </w:r>
      <w:r>
        <w:rPr>
          <w:rFonts w:hint="eastAsia" w:ascii="宋体" w:hAnsi="宋体" w:eastAsia="宋体" w:cs="宋体"/>
          <w:iCs/>
          <w:sz w:val="28"/>
          <w:szCs w:val="28"/>
          <w:u w:val="single"/>
        </w:rPr>
        <w:t>成交供应商不得将本项目及其他相关服务进行转包。</w:t>
      </w:r>
      <w:r>
        <w:rPr>
          <w:rFonts w:hint="eastAsia" w:ascii="宋体" w:hAnsi="宋体" w:eastAsia="宋体" w:cs="宋体"/>
          <w:iCs/>
          <w:sz w:val="28"/>
          <w:szCs w:val="28"/>
        </w:rPr>
        <w:t>未经采购人同意，成交供应商也不得采用分包的形式履行合同，否则采购人有权终止合</w:t>
      </w:r>
      <w:r>
        <w:rPr>
          <w:rFonts w:hint="eastAsia" w:ascii="宋体" w:hAnsi="宋体" w:eastAsia="宋体" w:cs="宋体"/>
          <w:sz w:val="28"/>
          <w:szCs w:val="28"/>
        </w:rPr>
        <w:t>同，成交供应商的履约保证金将不予退还。转包或分包造成采购人损失的，成交供应商应承担相应赔偿责任。</w:t>
      </w:r>
    </w:p>
    <w:p>
      <w:pPr>
        <w:adjustRightInd w:val="0"/>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2、履约保证金</w:t>
      </w:r>
    </w:p>
    <w:bookmarkEnd w:id="104"/>
    <w:bookmarkEnd w:id="105"/>
    <w:bookmarkEnd w:id="106"/>
    <w:p>
      <w:pPr>
        <w:adjustRightInd w:val="0"/>
        <w:snapToGrid w:val="0"/>
        <w:spacing w:line="360" w:lineRule="auto"/>
        <w:ind w:firstLine="700" w:firstLineChars="250"/>
        <w:rPr>
          <w:rFonts w:hint="eastAsia" w:ascii="宋体" w:hAnsi="宋体" w:eastAsia="宋体" w:cs="宋体"/>
          <w:sz w:val="28"/>
          <w:szCs w:val="28"/>
        </w:rPr>
      </w:pPr>
      <w:r>
        <w:rPr>
          <w:rFonts w:hint="eastAsia" w:ascii="宋体" w:hAnsi="宋体" w:eastAsia="宋体" w:cs="宋体"/>
          <w:sz w:val="28"/>
          <w:szCs w:val="28"/>
        </w:rPr>
        <w:t>履约保证金由采购人自行决定是否收取。如收取，履约保证金的数额为成交金额的</w:t>
      </w:r>
      <w:r>
        <w:rPr>
          <w:rFonts w:hint="eastAsia" w:ascii="宋体" w:hAnsi="宋体" w:eastAsia="宋体" w:cs="宋体"/>
          <w:sz w:val="28"/>
          <w:szCs w:val="28"/>
          <w:u w:val="single"/>
        </w:rPr>
        <w:t>10</w:t>
      </w:r>
      <w:r>
        <w:rPr>
          <w:rFonts w:hint="eastAsia" w:ascii="宋体" w:hAnsi="宋体" w:eastAsia="宋体" w:cs="宋体"/>
          <w:sz w:val="28"/>
          <w:szCs w:val="28"/>
        </w:rPr>
        <w:t>%。</w:t>
      </w:r>
    </w:p>
    <w:p>
      <w:pPr>
        <w:pStyle w:val="9"/>
        <w:ind w:firstLine="480"/>
        <w:rPr>
          <w:rFonts w:asciiTheme="minorEastAsia" w:hAnsiTheme="minorEastAsia" w:eastAsiaTheme="minorEastAsia" w:cstheme="minorEastAsia"/>
        </w:rPr>
      </w:pPr>
    </w:p>
    <w:p>
      <w:pPr>
        <w:snapToGrid w:val="0"/>
        <w:spacing w:line="300" w:lineRule="auto"/>
        <w:ind w:firstLine="560" w:firstLineChars="200"/>
        <w:contextualSpacing/>
        <w:rPr>
          <w:rFonts w:asciiTheme="minorEastAsia" w:hAnsiTheme="minorEastAsia" w:eastAsiaTheme="minorEastAsia" w:cstheme="minorEastAsia"/>
          <w:sz w:val="28"/>
          <w:szCs w:val="28"/>
          <w:lang w:val="zh-CN"/>
        </w:rPr>
      </w:pPr>
    </w:p>
    <w:p>
      <w:pPr>
        <w:autoSpaceDE w:val="0"/>
        <w:autoSpaceDN w:val="0"/>
        <w:adjustRightInd w:val="0"/>
        <w:snapToGrid w:val="0"/>
        <w:spacing w:line="300" w:lineRule="auto"/>
        <w:jc w:val="center"/>
        <w:outlineLvl w:val="0"/>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jc w:val="center"/>
        <w:outlineLvl w:val="0"/>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jc w:val="center"/>
        <w:outlineLvl w:val="0"/>
        <w:rPr>
          <w:rFonts w:asciiTheme="minorEastAsia" w:hAnsiTheme="minorEastAsia" w:eastAsiaTheme="minorEastAsia" w:cstheme="minorEastAsia"/>
          <w:b/>
          <w:bCs/>
          <w:sz w:val="36"/>
          <w:szCs w:val="36"/>
          <w:lang w:val="zh-CN"/>
        </w:rPr>
      </w:pPr>
    </w:p>
    <w:p>
      <w:pPr>
        <w:pStyle w:val="2"/>
        <w:rPr>
          <w:rFonts w:asciiTheme="minorEastAsia" w:hAnsiTheme="minorEastAsia" w:eastAsiaTheme="minorEastAsia" w:cstheme="minorEastAsia"/>
          <w:b/>
          <w:bCs/>
          <w:sz w:val="36"/>
          <w:szCs w:val="36"/>
          <w:lang w:val="zh-CN"/>
        </w:rPr>
      </w:pPr>
    </w:p>
    <w:p>
      <w:pPr>
        <w:rPr>
          <w:rFonts w:asciiTheme="minorEastAsia" w:hAnsiTheme="minorEastAsia" w:eastAsiaTheme="minorEastAsia" w:cstheme="minorEastAsia"/>
          <w:b/>
          <w:bCs/>
          <w:sz w:val="36"/>
          <w:szCs w:val="36"/>
          <w:lang w:val="zh-CN"/>
        </w:rPr>
      </w:pPr>
    </w:p>
    <w:p>
      <w:pPr>
        <w:pStyle w:val="2"/>
        <w:rPr>
          <w:rFonts w:asciiTheme="minorEastAsia" w:hAnsiTheme="minorEastAsia" w:eastAsiaTheme="minorEastAsia" w:cstheme="minorEastAsia"/>
          <w:b/>
          <w:bCs/>
          <w:sz w:val="36"/>
          <w:szCs w:val="36"/>
          <w:lang w:val="zh-CN"/>
        </w:rPr>
      </w:pPr>
    </w:p>
    <w:p>
      <w:pPr>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jc w:val="center"/>
        <w:outlineLvl w:val="0"/>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 w:val="36"/>
          <w:szCs w:val="36"/>
          <w:lang w:val="zh-CN"/>
        </w:rPr>
        <w:t>第三部分 项目需求</w:t>
      </w:r>
    </w:p>
    <w:p>
      <w:pPr>
        <w:keepNext/>
        <w:keepLines/>
        <w:numPr>
          <w:ilvl w:val="0"/>
          <w:numId w:val="3"/>
        </w:numPr>
        <w:adjustRightInd w:val="0"/>
        <w:snapToGrid w:val="0"/>
        <w:spacing w:line="360" w:lineRule="auto"/>
        <w:ind w:left="0" w:firstLine="0"/>
        <w:outlineLvl w:val="0"/>
        <w:rPr>
          <w:rFonts w:asciiTheme="minorEastAsia" w:hAnsiTheme="minorEastAsia" w:eastAsiaTheme="minorEastAsia" w:cstheme="minorEastAsia"/>
          <w:b/>
          <w:bCs/>
          <w:kern w:val="44"/>
          <w:sz w:val="28"/>
        </w:rPr>
      </w:pPr>
      <w:bookmarkStart w:id="107" w:name="_Toc14545"/>
      <w:r>
        <w:rPr>
          <w:rFonts w:hint="eastAsia" w:asciiTheme="minorEastAsia" w:hAnsiTheme="minorEastAsia" w:eastAsiaTheme="minorEastAsia" w:cstheme="minorEastAsia"/>
          <w:b/>
          <w:bCs/>
          <w:kern w:val="44"/>
          <w:sz w:val="28"/>
        </w:rPr>
        <w:t>项目背景</w:t>
      </w:r>
      <w:bookmarkEnd w:id="107"/>
    </w:p>
    <w:p>
      <w:pPr>
        <w:pStyle w:val="9"/>
        <w:spacing w:line="360" w:lineRule="auto"/>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关于全面开展全省文化和旅游资源普查工作的通知》（苏文旅传〔2021〕71号）要求，各地需按照属地原则做好安排专项工作经费、积极开展人员培训、项目招标、数据采集、普查报告编写等文旅资源全面普查工作。</w:t>
      </w:r>
    </w:p>
    <w:p>
      <w:pPr>
        <w:keepNext/>
        <w:keepLines/>
        <w:numPr>
          <w:ilvl w:val="0"/>
          <w:numId w:val="3"/>
        </w:numPr>
        <w:adjustRightInd w:val="0"/>
        <w:snapToGrid w:val="0"/>
        <w:spacing w:line="360" w:lineRule="auto"/>
        <w:ind w:left="0" w:firstLine="0"/>
        <w:outlineLvl w:val="0"/>
        <w:rPr>
          <w:rFonts w:asciiTheme="minorEastAsia" w:hAnsiTheme="minorEastAsia" w:eastAsiaTheme="minorEastAsia" w:cstheme="minorEastAsia"/>
          <w:b/>
          <w:bCs/>
          <w:kern w:val="44"/>
          <w:sz w:val="28"/>
        </w:rPr>
      </w:pPr>
      <w:r>
        <w:rPr>
          <w:rFonts w:hint="eastAsia" w:asciiTheme="minorEastAsia" w:hAnsiTheme="minorEastAsia" w:eastAsiaTheme="minorEastAsia" w:cstheme="minorEastAsia"/>
          <w:b/>
          <w:bCs/>
          <w:kern w:val="44"/>
          <w:sz w:val="28"/>
        </w:rPr>
        <w:t>规划依据</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1、《中华人民共和国城乡规划法》（2008年1月1日）；</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2、《城市规划编制办法》（2006年4月1日）；</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3、《江苏省城乡规划条例》（2010年7月1日）；</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4、《城市道路交通规划设计规范（GB 50220-95）》；</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5、《江苏省城市规划管理技术规定》（2011年版）；</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6、《江苏省城市规划管理技术规定南通实施细则》（2019年版）；</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7、《南通市城市总体规划（2017—2035年）》（阶段成果稿）；</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8、江苏省文化和旅游厅《关于全面开展全省文化和旅游资源普查工作的通知》（苏文旅传[2021]71号）</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9、国家、江苏省、南通市其他相关的法规、规范、规定；</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10、其它相关规划、文件等。</w:t>
      </w:r>
    </w:p>
    <w:p>
      <w:pPr>
        <w:keepNext/>
        <w:keepLines/>
        <w:numPr>
          <w:ilvl w:val="0"/>
          <w:numId w:val="3"/>
        </w:numPr>
        <w:adjustRightInd w:val="0"/>
        <w:snapToGrid w:val="0"/>
        <w:spacing w:line="360" w:lineRule="auto"/>
        <w:ind w:left="0" w:firstLine="0"/>
        <w:outlineLvl w:val="0"/>
        <w:rPr>
          <w:rFonts w:asciiTheme="minorEastAsia" w:hAnsiTheme="minorEastAsia" w:eastAsiaTheme="minorEastAsia" w:cstheme="minorEastAsia"/>
          <w:b/>
          <w:bCs/>
          <w:kern w:val="44"/>
          <w:sz w:val="28"/>
        </w:rPr>
      </w:pPr>
      <w:bookmarkStart w:id="108" w:name="_Toc12453"/>
      <w:r>
        <w:rPr>
          <w:rFonts w:hint="eastAsia" w:asciiTheme="minorEastAsia" w:hAnsiTheme="minorEastAsia" w:eastAsiaTheme="minorEastAsia" w:cstheme="minorEastAsia"/>
          <w:b/>
          <w:bCs/>
          <w:kern w:val="44"/>
          <w:sz w:val="28"/>
        </w:rPr>
        <w:t>项目范围</w:t>
      </w:r>
      <w:bookmarkEnd w:id="108"/>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南通市崇川区行政管辖范围，总面积约</w:t>
      </w:r>
      <w:r>
        <w:rPr>
          <w:rFonts w:asciiTheme="minorEastAsia" w:hAnsiTheme="minorEastAsia" w:eastAsiaTheme="minorEastAsia" w:cstheme="minorEastAsia"/>
          <w:sz w:val="28"/>
          <w:szCs w:val="28"/>
        </w:rPr>
        <w:t xml:space="preserve"> 234 </w:t>
      </w:r>
      <w:r>
        <w:rPr>
          <w:rFonts w:hint="eastAsia" w:asciiTheme="minorEastAsia" w:hAnsiTheme="minorEastAsia" w:eastAsiaTheme="minorEastAsia" w:cstheme="minorEastAsia"/>
          <w:sz w:val="28"/>
          <w:szCs w:val="28"/>
        </w:rPr>
        <w:t>平方公里。</w:t>
      </w:r>
    </w:p>
    <w:p>
      <w:pPr>
        <w:keepNext/>
        <w:keepLines/>
        <w:numPr>
          <w:ilvl w:val="0"/>
          <w:numId w:val="3"/>
        </w:numPr>
        <w:adjustRightInd w:val="0"/>
        <w:snapToGrid w:val="0"/>
        <w:spacing w:line="360" w:lineRule="auto"/>
        <w:ind w:left="0" w:firstLine="0"/>
        <w:outlineLvl w:val="0"/>
        <w:rPr>
          <w:rFonts w:asciiTheme="minorEastAsia" w:hAnsiTheme="minorEastAsia" w:eastAsiaTheme="minorEastAsia" w:cstheme="minorEastAsia"/>
          <w:b/>
          <w:bCs/>
          <w:kern w:val="44"/>
          <w:sz w:val="28"/>
        </w:rPr>
      </w:pPr>
      <w:r>
        <w:rPr>
          <w:rFonts w:hint="eastAsia" w:asciiTheme="minorEastAsia" w:hAnsiTheme="minorEastAsia" w:eastAsiaTheme="minorEastAsia" w:cstheme="minorEastAsia"/>
          <w:b/>
          <w:bCs/>
          <w:kern w:val="44"/>
          <w:sz w:val="28"/>
        </w:rPr>
        <w:t>项目内容</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开展全区的资源普查和数据填报。成交单位需按照相关国家标准、规范，重点依据《江苏省文化和旅游资源调查和评估》标准解读，对南通市崇川区的所有文化和旅游资源进行普查和评价，填写基础信息调查表、专题资源调查表，并将数据录入江苏省文化和旅游资源管理信息系统。在资源普查和数据填报过程中，成交单位应充分利用已有的文物、历史遗存、非遗、文博场馆、自然景观、公园、景区、公共服务等资源成果，兼顾其他与文化、旅游融合度较高的行业和社会资源，做好信息新增、补充和更新。</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2、编制南通市崇川区文旅资源普查报告。完成全区所有的文化和旅游资源填报工作后，成交单位应对南通市崇川区文化和旅游资源普查成果进行总结分析，编制南通市崇川区文化和旅游资源普查报告。</w:t>
      </w:r>
    </w:p>
    <w:p>
      <w:pPr>
        <w:keepNext/>
        <w:keepLines/>
        <w:numPr>
          <w:ilvl w:val="0"/>
          <w:numId w:val="3"/>
        </w:numPr>
        <w:adjustRightInd w:val="0"/>
        <w:snapToGrid w:val="0"/>
        <w:spacing w:line="360" w:lineRule="auto"/>
        <w:ind w:left="0" w:firstLine="0"/>
        <w:outlineLvl w:val="0"/>
        <w:rPr>
          <w:rFonts w:asciiTheme="minorEastAsia" w:hAnsiTheme="minorEastAsia" w:eastAsiaTheme="minorEastAsia" w:cstheme="minorEastAsia"/>
          <w:b/>
          <w:bCs/>
          <w:kern w:val="44"/>
          <w:sz w:val="28"/>
        </w:rPr>
      </w:pPr>
      <w:r>
        <w:rPr>
          <w:rFonts w:hint="eastAsia" w:asciiTheme="minorEastAsia" w:hAnsiTheme="minorEastAsia" w:eastAsiaTheme="minorEastAsia" w:cstheme="minorEastAsia"/>
          <w:b/>
          <w:bCs/>
          <w:kern w:val="44"/>
          <w:sz w:val="28"/>
        </w:rPr>
        <w:t>成果要求</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1、成果构成</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交单位按照省文旅厅要求提交《南通市崇川区文化和旅游资源普查报告》纸质件（不少于8份）和电子件，报告分析内容包括但不限于：①调查区区位、自然地理、社会经济环境分析，②资源基本类型分布及分布特征；③资源空间分布特征；④资源总体评价分析；⑤资源保护开发利用建议；⑥资源附录。</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2、数据成果</w:t>
      </w:r>
    </w:p>
    <w:p>
      <w:pPr>
        <w:adjustRightInd w:val="0"/>
        <w:snapToGrid w:val="0"/>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南通市所有文旅资源数据在江苏省文化和旅游资源管理信息系统中可看可查。</w:t>
      </w:r>
    </w:p>
    <w:p>
      <w:pPr>
        <w:keepNext/>
        <w:keepLines/>
        <w:numPr>
          <w:ilvl w:val="0"/>
          <w:numId w:val="3"/>
        </w:numPr>
        <w:adjustRightInd w:val="0"/>
        <w:snapToGrid w:val="0"/>
        <w:spacing w:line="360" w:lineRule="auto"/>
        <w:ind w:left="0" w:firstLine="0"/>
        <w:outlineLvl w:val="0"/>
        <w:rPr>
          <w:rFonts w:asciiTheme="minorEastAsia" w:hAnsiTheme="minorEastAsia" w:eastAsiaTheme="minorEastAsia" w:cstheme="minorEastAsia"/>
          <w:b/>
          <w:bCs/>
          <w:kern w:val="44"/>
          <w:sz w:val="28"/>
        </w:rPr>
      </w:pPr>
      <w:r>
        <w:rPr>
          <w:rFonts w:hint="eastAsia" w:asciiTheme="minorEastAsia" w:hAnsiTheme="minorEastAsia" w:eastAsiaTheme="minorEastAsia" w:cstheme="minorEastAsia"/>
          <w:b/>
          <w:bCs/>
          <w:kern w:val="44"/>
          <w:sz w:val="28"/>
        </w:rPr>
        <w:t>设计工作要求</w:t>
      </w:r>
    </w:p>
    <w:p>
      <w:pPr>
        <w:pStyle w:val="9"/>
        <w:spacing w:line="360" w:lineRule="auto"/>
        <w:ind w:left="0" w:leftChars="0"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设计单位要充分了解现状情况，熟悉南通市崇川区旅游现状，普查过程中要保持与相关部门和区镇的沟通与联系，充分听取相关方面意见，确保不发生意识形态错误。外地设计单位要确保有站门调查团队在南通工作的充分时间。</w:t>
      </w:r>
    </w:p>
    <w:p>
      <w:pPr>
        <w:pStyle w:val="9"/>
        <w:spacing w:line="360" w:lineRule="auto"/>
        <w:ind w:left="0" w:leftChars="0"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2、设计单位向甲方进行中间汇报、沟通讨论不少于3次。中间成果汇报时需根据情况提供汇报提纲及成果、简本若干套。</w:t>
      </w:r>
    </w:p>
    <w:p>
      <w:pPr>
        <w:pStyle w:val="9"/>
        <w:spacing w:line="360" w:lineRule="auto"/>
        <w:ind w:left="0" w:leftChars="0"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3、设计单位按照甲方要求提供制作汇报材料及汇报简本的电子文件。</w:t>
      </w:r>
    </w:p>
    <w:p>
      <w:pPr>
        <w:pStyle w:val="9"/>
        <w:spacing w:line="360" w:lineRule="auto"/>
        <w:ind w:left="0" w:leftChars="0" w:firstLine="560"/>
        <w:rPr>
          <w:rFonts w:asciiTheme="minorEastAsia" w:hAnsiTheme="minorEastAsia" w:eastAsiaTheme="minorEastAsia" w:cstheme="minorEastAsia"/>
        </w:rPr>
      </w:pPr>
      <w:r>
        <w:rPr>
          <w:rFonts w:hint="eastAsia" w:asciiTheme="minorEastAsia" w:hAnsiTheme="minorEastAsia" w:eastAsiaTheme="minorEastAsia" w:cstheme="minorEastAsia"/>
          <w:sz w:val="28"/>
          <w:szCs w:val="28"/>
        </w:rPr>
        <w:t>4、根据甲方要求配合参与公众活动，采购方与中标方派驻人员不发生任何劳动和雇佣关系，安全管理由中标方全权负责，采购方不承担任何责任。</w:t>
      </w:r>
    </w:p>
    <w:p>
      <w:pPr>
        <w:keepNext/>
        <w:keepLines/>
        <w:numPr>
          <w:ilvl w:val="0"/>
          <w:numId w:val="3"/>
        </w:numPr>
        <w:adjustRightInd w:val="0"/>
        <w:snapToGrid w:val="0"/>
        <w:spacing w:line="360" w:lineRule="auto"/>
        <w:ind w:left="0" w:firstLine="0"/>
        <w:outlineLvl w:val="0"/>
        <w:rPr>
          <w:rFonts w:asciiTheme="minorEastAsia" w:hAnsiTheme="minorEastAsia" w:eastAsiaTheme="minorEastAsia" w:cstheme="minorEastAsia"/>
          <w:b/>
          <w:bCs/>
          <w:kern w:val="44"/>
          <w:sz w:val="28"/>
        </w:rPr>
      </w:pPr>
      <w:r>
        <w:rPr>
          <w:rFonts w:hint="eastAsia" w:asciiTheme="minorEastAsia" w:hAnsiTheme="minorEastAsia" w:eastAsiaTheme="minorEastAsia" w:cstheme="minorEastAsia"/>
          <w:b/>
          <w:bCs/>
          <w:kern w:val="44"/>
          <w:sz w:val="28"/>
        </w:rPr>
        <w:t>时间要求</w:t>
      </w:r>
    </w:p>
    <w:p>
      <w:pPr>
        <w:pStyle w:val="32"/>
        <w:adjustRightInd w:val="0"/>
        <w:snapToGrid w:val="0"/>
        <w:spacing w:line="360" w:lineRule="auto"/>
        <w:ind w:firstLine="560" w:firstLineChars="20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2021年12月底之前，完成南通市崇川区文旅资源数据采集、录入和评价；</w:t>
      </w:r>
    </w:p>
    <w:p>
      <w:pPr>
        <w:pStyle w:val="32"/>
        <w:adjustRightInd w:val="0"/>
        <w:snapToGrid w:val="0"/>
        <w:spacing w:line="360" w:lineRule="auto"/>
        <w:ind w:firstLine="560" w:firstLineChars="20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2022年2月底之前，完成资源审核与补充完善；</w:t>
      </w:r>
    </w:p>
    <w:p>
      <w:pPr>
        <w:pStyle w:val="32"/>
        <w:adjustRightInd w:val="0"/>
        <w:snapToGrid w:val="0"/>
        <w:spacing w:line="360" w:lineRule="auto"/>
        <w:ind w:firstLine="560" w:firstLineChars="20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2022年</w:t>
      </w:r>
      <w:r>
        <w:rPr>
          <w:rFonts w:asciiTheme="minorEastAsia" w:hAnsiTheme="minorEastAsia" w:eastAsiaTheme="minorEastAsia" w:cstheme="minorEastAsia"/>
          <w:sz w:val="28"/>
        </w:rPr>
        <w:t>3</w:t>
      </w:r>
      <w:r>
        <w:rPr>
          <w:rFonts w:hint="eastAsia" w:asciiTheme="minorEastAsia" w:hAnsiTheme="minorEastAsia" w:eastAsiaTheme="minorEastAsia" w:cstheme="minorEastAsia"/>
          <w:sz w:val="28"/>
        </w:rPr>
        <w:t>月底前，完成南通市崇川区文旅资源普查报告和项目结项评审；</w:t>
      </w:r>
    </w:p>
    <w:p>
      <w:pPr>
        <w:pStyle w:val="32"/>
        <w:adjustRightInd w:val="0"/>
        <w:snapToGrid w:val="0"/>
        <w:spacing w:line="360" w:lineRule="auto"/>
        <w:ind w:firstLine="560" w:firstLineChars="20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2022年</w:t>
      </w:r>
      <w:r>
        <w:rPr>
          <w:rFonts w:asciiTheme="minorEastAsia" w:hAnsiTheme="minorEastAsia" w:eastAsiaTheme="minorEastAsia" w:cstheme="minorEastAsia"/>
          <w:sz w:val="28"/>
        </w:rPr>
        <w:t>4</w:t>
      </w:r>
      <w:r>
        <w:rPr>
          <w:rFonts w:hint="eastAsia" w:asciiTheme="minorEastAsia" w:hAnsiTheme="minorEastAsia" w:eastAsiaTheme="minorEastAsia" w:cstheme="minorEastAsia"/>
          <w:sz w:val="28"/>
        </w:rPr>
        <w:t>月底前，修订提交南通市崇川区所有普查数据和文旅资源普查报告。</w:t>
      </w:r>
    </w:p>
    <w:p>
      <w:pPr>
        <w:pStyle w:val="32"/>
        <w:adjustRightInd w:val="0"/>
        <w:snapToGrid w:val="0"/>
        <w:spacing w:line="360" w:lineRule="auto"/>
        <w:ind w:firstLine="560" w:firstLineChars="20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具体可视全省统一要求进行调整。</w:t>
      </w:r>
    </w:p>
    <w:p>
      <w:pPr>
        <w:keepNext/>
        <w:keepLines/>
        <w:numPr>
          <w:ilvl w:val="0"/>
          <w:numId w:val="3"/>
        </w:numPr>
        <w:adjustRightInd w:val="0"/>
        <w:snapToGrid w:val="0"/>
        <w:spacing w:line="360" w:lineRule="auto"/>
        <w:ind w:left="0" w:firstLine="0"/>
        <w:outlineLvl w:val="0"/>
        <w:rPr>
          <w:rFonts w:asciiTheme="minorEastAsia" w:hAnsiTheme="minorEastAsia" w:eastAsiaTheme="minorEastAsia" w:cstheme="minorEastAsia"/>
          <w:b/>
          <w:bCs/>
          <w:kern w:val="44"/>
          <w:sz w:val="28"/>
        </w:rPr>
      </w:pPr>
      <w:r>
        <w:rPr>
          <w:rFonts w:hint="eastAsia" w:asciiTheme="minorEastAsia" w:hAnsiTheme="minorEastAsia" w:eastAsiaTheme="minorEastAsia" w:cstheme="minorEastAsia"/>
          <w:b/>
          <w:bCs/>
          <w:kern w:val="44"/>
          <w:sz w:val="28"/>
        </w:rPr>
        <w:t>其他要求</w:t>
      </w:r>
    </w:p>
    <w:p>
      <w:pPr>
        <w:pStyle w:val="32"/>
        <w:adjustRightInd w:val="0"/>
        <w:snapToGrid w:val="0"/>
        <w:spacing w:line="360" w:lineRule="auto"/>
        <w:ind w:firstLine="560" w:firstLineChars="20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1、服务时间：</w:t>
      </w:r>
      <w:r>
        <w:rPr>
          <w:rFonts w:hint="eastAsia" w:asciiTheme="minorEastAsia" w:hAnsiTheme="minorEastAsia" w:eastAsiaTheme="minorEastAsia" w:cstheme="minorEastAsia"/>
          <w:sz w:val="28"/>
          <w:u w:val="single"/>
        </w:rPr>
        <w:t>2022年</w:t>
      </w:r>
      <w:r>
        <w:rPr>
          <w:rFonts w:hint="eastAsia" w:asciiTheme="minorEastAsia" w:hAnsiTheme="minorEastAsia" w:eastAsiaTheme="minorEastAsia" w:cstheme="minorEastAsia"/>
          <w:sz w:val="28"/>
          <w:u w:val="single"/>
          <w:lang w:val="en-US" w:eastAsia="zh-CN"/>
        </w:rPr>
        <w:t>4</w:t>
      </w:r>
      <w:r>
        <w:rPr>
          <w:rFonts w:hint="eastAsia" w:asciiTheme="minorEastAsia" w:hAnsiTheme="minorEastAsia" w:eastAsiaTheme="minorEastAsia" w:cstheme="minorEastAsia"/>
          <w:sz w:val="28"/>
          <w:u w:val="single"/>
        </w:rPr>
        <w:t>月30日</w:t>
      </w:r>
      <w:r>
        <w:rPr>
          <w:rFonts w:hint="eastAsia" w:asciiTheme="minorEastAsia" w:hAnsiTheme="minorEastAsia" w:eastAsiaTheme="minorEastAsia" w:cstheme="minorEastAsia"/>
          <w:sz w:val="28"/>
        </w:rPr>
        <w:t>之前完成。</w:t>
      </w:r>
    </w:p>
    <w:p>
      <w:pPr>
        <w:pStyle w:val="32"/>
        <w:adjustRightInd w:val="0"/>
        <w:snapToGrid w:val="0"/>
        <w:spacing w:line="360" w:lineRule="auto"/>
        <w:ind w:firstLine="560" w:firstLineChars="20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2、交货（服务）地点：南通市崇川区</w:t>
      </w:r>
    </w:p>
    <w:p>
      <w:pPr>
        <w:pStyle w:val="32"/>
        <w:adjustRightInd w:val="0"/>
        <w:snapToGrid w:val="0"/>
        <w:spacing w:line="360" w:lineRule="auto"/>
        <w:ind w:firstLine="560" w:firstLineChars="200"/>
        <w:jc w:val="left"/>
        <w:rPr>
          <w:rFonts w:asciiTheme="minorEastAsia" w:hAnsiTheme="minorEastAsia" w:eastAsiaTheme="minorEastAsia" w:cstheme="minorEastAsia"/>
          <w:sz w:val="28"/>
          <w:u w:val="single"/>
        </w:rPr>
      </w:pPr>
      <w:r>
        <w:rPr>
          <w:rFonts w:hint="eastAsia" w:asciiTheme="minorEastAsia" w:hAnsiTheme="minorEastAsia" w:eastAsiaTheme="minorEastAsia" w:cstheme="minorEastAsia"/>
          <w:sz w:val="28"/>
        </w:rPr>
        <w:t>3、质保期限（自交货并验收合格之日起计）：</w:t>
      </w:r>
      <w:r>
        <w:rPr>
          <w:rFonts w:hint="eastAsia" w:asciiTheme="minorEastAsia" w:hAnsiTheme="minorEastAsia" w:eastAsiaTheme="minorEastAsia" w:cstheme="minorEastAsia"/>
          <w:sz w:val="28"/>
          <w:u w:val="single"/>
        </w:rPr>
        <w:t>无</w:t>
      </w:r>
    </w:p>
    <w:p>
      <w:pPr>
        <w:pStyle w:val="32"/>
        <w:adjustRightInd w:val="0"/>
        <w:snapToGrid w:val="0"/>
        <w:spacing w:line="360" w:lineRule="auto"/>
        <w:ind w:firstLine="560" w:firstLineChars="20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4、验收方案：通过省文旅厅评审。</w:t>
      </w:r>
    </w:p>
    <w:p>
      <w:pPr>
        <w:pStyle w:val="32"/>
        <w:adjustRightInd w:val="0"/>
        <w:snapToGrid w:val="0"/>
        <w:spacing w:line="360" w:lineRule="auto"/>
        <w:ind w:firstLine="560" w:firstLineChars="20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5、售后服务及其他（含安装、调试、培训、维护等）：若上级主管部门对该项目有后续要求时，中标供应商必须无条件配合。</w:t>
      </w:r>
    </w:p>
    <w:p>
      <w:pPr>
        <w:pStyle w:val="32"/>
        <w:adjustRightInd w:val="0"/>
        <w:snapToGrid w:val="0"/>
        <w:spacing w:line="360" w:lineRule="auto"/>
        <w:ind w:firstLine="560" w:firstLineChars="200"/>
        <w:jc w:val="left"/>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6、安全与保密：工作中涉及到的涉密和敏感图文资料、电子数据，项目中标单位应严格执行保密的相关规定，不得以任何方式向任何第三人披露、泄露或许可第三人使用，否则将记入黑名单报送南通市发改委信用办。</w:t>
      </w:r>
    </w:p>
    <w:p>
      <w:pPr>
        <w:pStyle w:val="32"/>
        <w:adjustRightInd w:val="0"/>
        <w:snapToGrid w:val="0"/>
        <w:spacing w:line="360" w:lineRule="auto"/>
        <w:ind w:firstLine="560" w:firstLineChars="200"/>
        <w:jc w:val="left"/>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7、该项目形成的所有数据及成果，版权归南通市崇川区文化和旅游局所有。</w:t>
      </w:r>
    </w:p>
    <w:p>
      <w:pPr>
        <w:pStyle w:val="32"/>
        <w:adjustRightInd w:val="0"/>
        <w:snapToGrid w:val="0"/>
        <w:spacing w:line="360" w:lineRule="auto"/>
        <w:ind w:firstLine="562" w:firstLineChars="200"/>
        <w:jc w:val="left"/>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（九）付款：签订合同、形成工作方案后预付至合同价的30%，剩余合同款待通过省文旅厅评审验收后一个月内付清。</w:t>
      </w:r>
    </w:p>
    <w:p>
      <w:pPr>
        <w:pStyle w:val="32"/>
        <w:snapToGrid w:val="0"/>
        <w:spacing w:line="300" w:lineRule="auto"/>
        <w:ind w:firstLine="0" w:firstLineChars="0"/>
        <w:contextualSpacing/>
        <w:jc w:val="left"/>
        <w:rPr>
          <w:rFonts w:asciiTheme="minorEastAsia" w:hAnsiTheme="minorEastAsia" w:eastAsiaTheme="minorEastAsia" w:cstheme="minorEastAsia"/>
          <w:b/>
          <w:bCs/>
          <w:sz w:val="36"/>
          <w:szCs w:val="36"/>
        </w:rPr>
      </w:pPr>
    </w:p>
    <w:p>
      <w:pPr>
        <w:pStyle w:val="32"/>
        <w:snapToGrid w:val="0"/>
        <w:spacing w:line="300" w:lineRule="auto"/>
        <w:ind w:firstLine="0" w:firstLineChars="0"/>
        <w:contextualSpacing/>
        <w:jc w:val="left"/>
        <w:rPr>
          <w:rFonts w:asciiTheme="minorEastAsia" w:hAnsiTheme="minorEastAsia" w:eastAsiaTheme="minorEastAsia" w:cstheme="minorEastAsia"/>
          <w:b/>
          <w:bCs/>
          <w:sz w:val="36"/>
          <w:szCs w:val="36"/>
        </w:rPr>
      </w:pPr>
    </w:p>
    <w:p>
      <w:pPr>
        <w:rPr>
          <w:rFonts w:asciiTheme="minorEastAsia" w:hAnsiTheme="minorEastAsia" w:eastAsiaTheme="minorEastAsia" w:cstheme="minorEastAsia"/>
          <w:b/>
          <w:bCs/>
          <w:sz w:val="36"/>
          <w:szCs w:val="36"/>
          <w:lang w:val="zh-CN"/>
        </w:rPr>
      </w:pPr>
    </w:p>
    <w:p>
      <w:pPr>
        <w:pStyle w:val="9"/>
        <w:ind w:left="0" w:leftChars="0" w:firstLine="0" w:firstLineChars="0"/>
        <w:rPr>
          <w:rFonts w:asciiTheme="minorEastAsia" w:hAnsiTheme="minorEastAsia" w:eastAsiaTheme="minorEastAsia" w:cstheme="minorEastAsia"/>
        </w:rPr>
      </w:pPr>
    </w:p>
    <w:p>
      <w:pPr>
        <w:widowControl/>
        <w:jc w:val="left"/>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snapToGrid w:val="0"/>
        <w:spacing w:line="300" w:lineRule="auto"/>
        <w:jc w:val="center"/>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w:t>
      </w:r>
      <w:r>
        <w:rPr>
          <w:rFonts w:hint="eastAsia" w:asciiTheme="minorEastAsia" w:hAnsiTheme="minorEastAsia" w:eastAsiaTheme="minorEastAsia" w:cstheme="minorEastAsia"/>
          <w:b/>
          <w:sz w:val="36"/>
          <w:szCs w:val="36"/>
          <w:lang w:eastAsia="zh-CN"/>
        </w:rPr>
        <w:t>四</w:t>
      </w:r>
      <w:r>
        <w:rPr>
          <w:rFonts w:hint="eastAsia" w:asciiTheme="minorEastAsia" w:hAnsiTheme="minorEastAsia" w:eastAsiaTheme="minorEastAsia" w:cstheme="minorEastAsia"/>
          <w:b/>
          <w:sz w:val="36"/>
          <w:szCs w:val="36"/>
        </w:rPr>
        <w:t>部分  合同签订与验收付款</w:t>
      </w:r>
    </w:p>
    <w:p>
      <w:pPr>
        <w:snapToGrid w:val="0"/>
        <w:spacing w:line="300" w:lineRule="auto"/>
        <w:ind w:firstLine="560" w:firstLineChars="200"/>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合同格式在南通公共资源交易平台“办事指南-下载专区-竞争性</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资料”下载。</w:t>
      </w:r>
    </w:p>
    <w:p>
      <w:pPr>
        <w:snapToGrid w:val="0"/>
        <w:spacing w:line="300" w:lineRule="auto"/>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一</w:t>
      </w:r>
      <w:r>
        <w:rPr>
          <w:rFonts w:hint="eastAsia" w:asciiTheme="minorEastAsia" w:hAnsiTheme="minorEastAsia" w:eastAsiaTheme="minorEastAsia" w:cstheme="minorEastAsia"/>
          <w:sz w:val="28"/>
          <w:szCs w:val="28"/>
        </w:rPr>
        <w:t>、成交供应商和采购人按照采购文件确定的事项签订政府采购合同。</w:t>
      </w:r>
      <w:r>
        <w:rPr>
          <w:rFonts w:hint="eastAsia" w:asciiTheme="minorEastAsia" w:hAnsiTheme="minorEastAsia" w:eastAsiaTheme="minorEastAsia" w:cstheme="minorEastAsia"/>
          <w:sz w:val="28"/>
          <w:szCs w:val="28"/>
          <w:lang w:val="zh-CN"/>
        </w:rPr>
        <w:t>所签合同不得对采购文件作实质性修改</w:t>
      </w:r>
      <w:r>
        <w:rPr>
          <w:rFonts w:hint="eastAsia" w:asciiTheme="minorEastAsia" w:hAnsiTheme="minorEastAsia" w:eastAsiaTheme="minorEastAsia" w:cstheme="minorEastAsia"/>
          <w:sz w:val="28"/>
          <w:szCs w:val="28"/>
        </w:rPr>
        <w:t>。采购人不得向成交供应商提出不合理的要求作为签订合同的条件，不得与成交供应商私下订立背离采购文件实质性内容的协议。</w:t>
      </w:r>
    </w:p>
    <w:p>
      <w:pPr>
        <w:snapToGrid w:val="0"/>
        <w:spacing w:line="300" w:lineRule="auto"/>
        <w:ind w:firstLine="562"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二</w:t>
      </w:r>
      <w:r>
        <w:rPr>
          <w:rFonts w:hint="eastAsia" w:asciiTheme="minorEastAsia" w:hAnsiTheme="minorEastAsia" w:eastAsiaTheme="minorEastAsia" w:cstheme="minorEastAsia"/>
          <w:sz w:val="28"/>
          <w:szCs w:val="28"/>
        </w:rPr>
        <w:t>、采购人按合同约定积极配合成交供应商履约，成交供应商履约到位后，请以书面形式向采购单位提出验收申请，采购人及时申请省文旅厅验收，验收合格支付相应款项。</w:t>
      </w:r>
    </w:p>
    <w:p>
      <w:pPr>
        <w:snapToGrid w:val="0"/>
        <w:spacing w:line="300" w:lineRule="auto"/>
        <w:ind w:firstLine="66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300" w:lineRule="auto"/>
        <w:ind w:firstLine="66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四、成交供应商出现违约情形，应当及时纠正或补偿；造成损失的，按合同约定追究违约责任；发现有假冒、伪劣、走私产品、商业贿赂</w:t>
      </w:r>
      <w:r>
        <w:rPr>
          <w:rFonts w:hint="eastAsia" w:asciiTheme="minorEastAsia" w:hAnsiTheme="minorEastAsia" w:eastAsiaTheme="minorEastAsia" w:cstheme="minorEastAsia"/>
          <w:sz w:val="24"/>
        </w:rPr>
        <w:t>等违法情</w:t>
      </w:r>
      <w:r>
        <w:rPr>
          <w:rFonts w:hint="eastAsia" w:asciiTheme="minorEastAsia" w:hAnsiTheme="minorEastAsia" w:eastAsiaTheme="minorEastAsia" w:cstheme="minorEastAsia"/>
          <w:sz w:val="28"/>
          <w:szCs w:val="28"/>
        </w:rPr>
        <w:t>形的，应由采购人移交工商、质监、公安等行政执法部门依法查处。</w:t>
      </w:r>
    </w:p>
    <w:p>
      <w:pPr>
        <w:snapToGrid w:val="0"/>
        <w:spacing w:line="300" w:lineRule="auto"/>
        <w:ind w:firstLine="480"/>
        <w:jc w:val="left"/>
        <w:outlineLvl w:val="0"/>
        <w:rPr>
          <w:rFonts w:asciiTheme="minorEastAsia" w:hAnsiTheme="minorEastAsia" w:eastAsiaTheme="minorEastAsia" w:cstheme="minorEastAsia"/>
          <w:sz w:val="24"/>
        </w:rPr>
      </w:pPr>
    </w:p>
    <w:p>
      <w:pPr>
        <w:snapToGrid w:val="0"/>
        <w:spacing w:line="300" w:lineRule="auto"/>
        <w:jc w:val="left"/>
        <w:outlineLvl w:val="0"/>
        <w:rPr>
          <w:rFonts w:asciiTheme="minorEastAsia" w:hAnsiTheme="minorEastAsia" w:eastAsiaTheme="minorEastAsia" w:cstheme="minorEastAsia"/>
          <w:sz w:val="24"/>
        </w:rPr>
      </w:pPr>
    </w:p>
    <w:p>
      <w:pPr>
        <w:snapToGrid w:val="0"/>
        <w:spacing w:line="300" w:lineRule="auto"/>
        <w:ind w:firstLine="480"/>
        <w:jc w:val="left"/>
        <w:outlineLvl w:val="0"/>
        <w:rPr>
          <w:rFonts w:asciiTheme="minorEastAsia" w:hAnsiTheme="minorEastAsia" w:eastAsiaTheme="minorEastAsia" w:cstheme="minorEastAsia"/>
          <w:sz w:val="24"/>
        </w:rPr>
      </w:pPr>
    </w:p>
    <w:p>
      <w:pPr>
        <w:widowControl/>
        <w:jc w:val="left"/>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br w:type="page"/>
      </w:r>
    </w:p>
    <w:p>
      <w:pPr>
        <w:snapToGrid w:val="0"/>
        <w:spacing w:line="300" w:lineRule="auto"/>
        <w:ind w:firstLine="2168" w:firstLineChars="600"/>
        <w:outlineLvl w:val="0"/>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rPr>
        <w:t>第</w:t>
      </w:r>
      <w:r>
        <w:rPr>
          <w:rFonts w:hint="eastAsia" w:asciiTheme="minorEastAsia" w:hAnsiTheme="minorEastAsia" w:eastAsiaTheme="minorEastAsia" w:cstheme="minorEastAsia"/>
          <w:b/>
          <w:sz w:val="36"/>
          <w:szCs w:val="36"/>
          <w:lang w:eastAsia="zh-CN"/>
        </w:rPr>
        <w:t>五</w:t>
      </w:r>
      <w:r>
        <w:rPr>
          <w:rFonts w:hint="eastAsia" w:asciiTheme="minorEastAsia" w:hAnsiTheme="minorEastAsia" w:eastAsiaTheme="minorEastAsia" w:cstheme="minorEastAsia"/>
          <w:b/>
          <w:sz w:val="36"/>
          <w:szCs w:val="36"/>
        </w:rPr>
        <w:t>部分  质疑提出和处理</w:t>
      </w:r>
    </w:p>
    <w:p>
      <w:pPr>
        <w:pStyle w:val="5"/>
        <w:snapToGrid w:val="0"/>
        <w:spacing w:line="300" w:lineRule="auto"/>
        <w:ind w:left="0" w:leftChars="0"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格式请在南通公共资源交易平台“办事指南-下载专区-有关质疑资料”下载</w:t>
      </w:r>
    </w:p>
    <w:p>
      <w:pPr>
        <w:autoSpaceDE w:val="0"/>
        <w:autoSpaceDN w:val="0"/>
        <w:adjustRightInd w:val="0"/>
        <w:snapToGrid w:val="0"/>
        <w:spacing w:line="300" w:lineRule="auto"/>
        <w:contextualSpacing/>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8"/>
          <w:szCs w:val="28"/>
        </w:rPr>
        <w:t>一、质疑的提出</w:t>
      </w:r>
    </w:p>
    <w:p>
      <w:pPr>
        <w:autoSpaceDE w:val="0"/>
        <w:autoSpaceDN w:val="0"/>
        <w:adjustRightInd w:val="0"/>
        <w:snapToGrid w:val="0"/>
        <w:spacing w:line="300" w:lineRule="auto"/>
        <w:ind w:firstLine="560" w:firstLineChars="200"/>
        <w:contextualSpacing/>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1、质疑人必须是直接参加本次谈判活动的当事人。</w:t>
      </w:r>
    </w:p>
    <w:p>
      <w:pPr>
        <w:snapToGrid w:val="0"/>
        <w:spacing w:line="300" w:lineRule="auto"/>
        <w:ind w:firstLine="560" w:firstLineChars="200"/>
        <w:outlineLvl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2、领取</w:t>
      </w:r>
      <w:r>
        <w:rPr>
          <w:rFonts w:hint="eastAsia" w:asciiTheme="minorEastAsia" w:hAnsiTheme="minorEastAsia" w:eastAsiaTheme="minorEastAsia" w:cstheme="minorEastAsia"/>
          <w:sz w:val="28"/>
          <w:szCs w:val="28"/>
          <w:lang w:eastAsia="zh-CN"/>
        </w:rPr>
        <w:t>谈判文件</w:t>
      </w:r>
      <w:r>
        <w:rPr>
          <w:rFonts w:hint="eastAsia" w:asciiTheme="minorEastAsia" w:hAnsiTheme="minorEastAsia" w:eastAsiaTheme="minorEastAsia" w:cstheme="minorEastAsia"/>
          <w:sz w:val="28"/>
          <w:szCs w:val="28"/>
        </w:rPr>
        <w:t>的供应商应根据第二部分“</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须知”中第一点第1项的约定提出疑问；质疑提出的有效时限，见《中华人民共和国政府采购法实施条例》第五十三条。</w:t>
      </w:r>
    </w:p>
    <w:p>
      <w:pPr>
        <w:snapToGrid w:val="0"/>
        <w:spacing w:line="300" w:lineRule="auto"/>
        <w:ind w:firstLine="560" w:firstLineChars="200"/>
        <w:outlineLvl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过程中，凡主持人或</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小组明确提出须由供应商确认的事项，供应商当场无异议的，事后不得提出质疑。</w:t>
      </w:r>
    </w:p>
    <w:p>
      <w:pPr>
        <w:autoSpaceDE w:val="0"/>
        <w:autoSpaceDN w:val="0"/>
        <w:adjustRightInd w:val="0"/>
        <w:snapToGrid w:val="0"/>
        <w:spacing w:line="300" w:lineRule="auto"/>
        <w:ind w:firstLine="560" w:firstLineChars="200"/>
        <w:contextualSpacing/>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t>3</w:t>
      </w:r>
      <w:r>
        <w:rPr>
          <w:rFonts w:hint="eastAsia" w:asciiTheme="minorEastAsia" w:hAnsiTheme="minorEastAsia" w:eastAsiaTheme="minorEastAsia" w:cstheme="minorEastAsia"/>
          <w:kern w:val="0"/>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交易中心。交易中心不具有法定调查、认定权限。</w:t>
      </w:r>
    </w:p>
    <w:p>
      <w:pPr>
        <w:snapToGrid w:val="0"/>
        <w:spacing w:line="300" w:lineRule="auto"/>
        <w:ind w:firstLine="560" w:firstLineChars="200"/>
        <w:contextualSpacing/>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4、对本次</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有质疑的，实行实名制，不得进行虚假、恶意质疑。质疑人应在质疑有效期内以书面形式</w:t>
      </w:r>
      <w:r>
        <w:rPr>
          <w:rFonts w:hint="eastAsia" w:asciiTheme="minorEastAsia" w:hAnsiTheme="minorEastAsia" w:eastAsiaTheme="minorEastAsia" w:cstheme="minorEastAsia"/>
          <w:kern w:val="0"/>
          <w:sz w:val="28"/>
          <w:szCs w:val="28"/>
          <w:lang w:val="zh-CN"/>
        </w:rPr>
        <w:t>提出《质疑函》（格式请下载）</w:t>
      </w:r>
      <w:r>
        <w:rPr>
          <w:rFonts w:hint="eastAsia" w:asciiTheme="minorEastAsia" w:hAnsiTheme="minorEastAsia" w:eastAsiaTheme="minorEastAsia" w:cstheme="minorEastAsia"/>
          <w:sz w:val="28"/>
          <w:szCs w:val="28"/>
        </w:rPr>
        <w:t>，《质疑函》内容应</w:t>
      </w:r>
      <w:r>
        <w:rPr>
          <w:rFonts w:hint="eastAsia" w:asciiTheme="minorEastAsia" w:hAnsiTheme="minorEastAsia" w:eastAsiaTheme="minorEastAsia" w:cstheme="minorEastAsia"/>
          <w:kern w:val="0"/>
          <w:sz w:val="28"/>
          <w:szCs w:val="28"/>
          <w:lang w:val="zh-CN"/>
        </w:rPr>
        <w:t>包括</w:t>
      </w:r>
      <w:r>
        <w:rPr>
          <w:rFonts w:hint="eastAsia" w:asciiTheme="minorEastAsia" w:hAnsiTheme="minorEastAsia" w:eastAsiaTheme="minorEastAsia" w:cstheme="minorEastAsia"/>
          <w:sz w:val="28"/>
          <w:szCs w:val="28"/>
        </w:rPr>
        <w:t>质疑事项、主要内容、事实依据、适应法规条款、佐证材料等。同时，</w:t>
      </w:r>
      <w:r>
        <w:rPr>
          <w:rFonts w:hint="eastAsia" w:asciiTheme="minorEastAsia" w:hAnsiTheme="minorEastAsia" w:eastAsiaTheme="minorEastAsia" w:cstheme="minorEastAsia"/>
          <w:kern w:val="0"/>
          <w:sz w:val="28"/>
          <w:szCs w:val="28"/>
        </w:rPr>
        <w:t>质疑人应保证其提出的质疑内容及</w:t>
      </w:r>
      <w:r>
        <w:rPr>
          <w:rFonts w:hint="eastAsia" w:asciiTheme="minorEastAsia" w:hAnsiTheme="minorEastAsia" w:eastAsiaTheme="minorEastAsia" w:cstheme="minorEastAsia"/>
          <w:sz w:val="28"/>
          <w:szCs w:val="28"/>
        </w:rPr>
        <w:t>相关佐证材料</w:t>
      </w:r>
      <w:r>
        <w:rPr>
          <w:rFonts w:hint="eastAsia" w:asciiTheme="minorEastAsia" w:hAnsiTheme="minorEastAsia" w:eastAsiaTheme="minorEastAsia" w:cstheme="minorEastAsia"/>
          <w:kern w:val="0"/>
          <w:sz w:val="28"/>
          <w:szCs w:val="28"/>
        </w:rPr>
        <w:t>的真实性及来源的合法性，并承担相应的法律责任。</w:t>
      </w:r>
    </w:p>
    <w:p>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zh-CN"/>
        </w:rPr>
        <w:t>对不能提供</w:t>
      </w:r>
      <w:r>
        <w:rPr>
          <w:rFonts w:hint="eastAsia" w:asciiTheme="minorEastAsia" w:hAnsiTheme="minorEastAsia" w:eastAsiaTheme="minorEastAsia" w:cstheme="minorEastAsia"/>
          <w:sz w:val="28"/>
          <w:szCs w:val="28"/>
        </w:rPr>
        <w:t>相关佐证材料的、涉及商业秘密的、非书面形式的、非送达的、匿名的《质疑函》将不予受理。</w:t>
      </w:r>
    </w:p>
    <w:p>
      <w:pPr>
        <w:snapToGrid w:val="0"/>
        <w:spacing w:line="300" w:lineRule="auto"/>
        <w:ind w:firstLine="560" w:firstLineChars="200"/>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相关佐证材料要具备客观性、关联性、合法性，无法查实的（如宣传册、媒体报道、猜测、推理等）不能作为佐证材料。</w:t>
      </w:r>
    </w:p>
    <w:p>
      <w:pPr>
        <w:snapToGrid w:val="0"/>
        <w:spacing w:line="300" w:lineRule="auto"/>
        <w:ind w:firstLine="562" w:firstLineChars="200"/>
        <w:contextualSpacing/>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sz w:val="28"/>
          <w:szCs w:val="28"/>
        </w:rPr>
        <w:t>交易中心、采购单位</w:t>
      </w:r>
      <w:r>
        <w:rPr>
          <w:rFonts w:hint="eastAsia" w:asciiTheme="minorEastAsia" w:hAnsiTheme="minorEastAsia" w:eastAsiaTheme="minorEastAsia" w:cstheme="minorEastAsia"/>
          <w:b/>
          <w:kern w:val="0"/>
          <w:sz w:val="28"/>
          <w:szCs w:val="28"/>
        </w:rPr>
        <w:t>不负责搜集相关佐证材料等工作。</w:t>
      </w:r>
    </w:p>
    <w:p>
      <w:pPr>
        <w:autoSpaceDE w:val="0"/>
        <w:autoSpaceDN w:val="0"/>
        <w:adjustRightInd w:val="0"/>
        <w:snapToGrid w:val="0"/>
        <w:spacing w:line="30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二、《质疑函》的受理和回复</w:t>
      </w:r>
    </w:p>
    <w:p>
      <w:pPr>
        <w:autoSpaceDE w:val="0"/>
        <w:autoSpaceDN w:val="0"/>
        <w:adjustRightInd w:val="0"/>
        <w:snapToGrid w:val="0"/>
        <w:spacing w:line="300" w:lineRule="auto"/>
        <w:ind w:firstLine="560" w:firstLineChars="200"/>
        <w:contextualSpacing/>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sz w:val="28"/>
          <w:szCs w:val="28"/>
        </w:rPr>
        <w:t>1、《质疑函》须由质疑人的法定代表人或参加本次</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授权人</w:t>
      </w:r>
      <w:r>
        <w:rPr>
          <w:rFonts w:hint="eastAsia" w:asciiTheme="minorEastAsia" w:hAnsiTheme="minorEastAsia" w:eastAsiaTheme="minorEastAsia" w:cstheme="minorEastAsia"/>
          <w:kern w:val="0"/>
          <w:sz w:val="28"/>
          <w:szCs w:val="28"/>
          <w:lang w:val="zh-CN"/>
        </w:rPr>
        <w:t>送达采购单位和交易中心。</w:t>
      </w:r>
    </w:p>
    <w:p>
      <w:pPr>
        <w:autoSpaceDE w:val="0"/>
        <w:autoSpaceDN w:val="0"/>
        <w:adjustRightInd w:val="0"/>
        <w:snapToGrid w:val="0"/>
        <w:spacing w:line="300" w:lineRule="auto"/>
        <w:ind w:firstLine="560" w:firstLineChars="200"/>
        <w:contextualSpacing/>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2、对符合提出质疑要求的，采购单位和交易中心签收并出具《质疑受理通知书》。在处理过程中，发现需要质疑人进一步补充相关佐证材料的，请质疑人在规定的时间内提供，质疑回复时间相应顺延。质疑人不能按时提供相关佐证材料的，视同放弃质疑。</w:t>
      </w:r>
    </w:p>
    <w:p>
      <w:pPr>
        <w:autoSpaceDE w:val="0"/>
        <w:autoSpaceDN w:val="0"/>
        <w:adjustRightInd w:val="0"/>
        <w:snapToGrid w:val="0"/>
        <w:spacing w:line="300" w:lineRule="auto"/>
        <w:ind w:firstLine="560" w:firstLineChars="200"/>
        <w:contextualSpacing/>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3、对不符合提出质疑要求的，出具《质疑退回通知书》并提出相关补充材料要求，质疑人未在规定的时间内提供补充佐证材料的，视同放弃质疑。</w:t>
      </w:r>
    </w:p>
    <w:p>
      <w:pPr>
        <w:autoSpaceDE w:val="0"/>
        <w:autoSpaceDN w:val="0"/>
        <w:adjustRightInd w:val="0"/>
        <w:snapToGrid w:val="0"/>
        <w:spacing w:line="300" w:lineRule="auto"/>
        <w:ind w:firstLine="560" w:firstLineChars="200"/>
        <w:contextualSpacing/>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lang w:val="zh-CN"/>
        </w:rPr>
        <w:t>4、</w:t>
      </w: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kern w:val="0"/>
          <w:sz w:val="28"/>
          <w:szCs w:val="28"/>
          <w:lang w:val="zh-CN"/>
        </w:rPr>
        <w:t>、交易中心</w:t>
      </w:r>
      <w:r>
        <w:rPr>
          <w:rFonts w:hint="eastAsia" w:asciiTheme="minorEastAsia" w:hAnsiTheme="minorEastAsia" w:eastAsiaTheme="minorEastAsia" w:cstheme="minorEastAsia"/>
          <w:kern w:val="0"/>
          <w:sz w:val="28"/>
          <w:szCs w:val="28"/>
        </w:rPr>
        <w:t>负责将质疑人提出的质疑相关材料提供给相关专家或</w:t>
      </w:r>
      <w:r>
        <w:rPr>
          <w:rFonts w:hint="eastAsia" w:asciiTheme="minorEastAsia" w:hAnsiTheme="minorEastAsia" w:eastAsiaTheme="minorEastAsia" w:cstheme="minorEastAsia"/>
          <w:kern w:val="0"/>
          <w:sz w:val="28"/>
          <w:szCs w:val="28"/>
          <w:lang w:eastAsia="zh-CN"/>
        </w:rPr>
        <w:t>谈判</w:t>
      </w:r>
      <w:r>
        <w:rPr>
          <w:rFonts w:hint="eastAsia" w:asciiTheme="minorEastAsia" w:hAnsiTheme="minorEastAsia" w:eastAsiaTheme="minorEastAsia" w:cstheme="minorEastAsia"/>
          <w:kern w:val="0"/>
          <w:sz w:val="28"/>
          <w:szCs w:val="28"/>
        </w:rPr>
        <w:t>小组审核，并将审核意见回复质疑人。</w:t>
      </w:r>
    </w:p>
    <w:p>
      <w:pPr>
        <w:widowControl/>
        <w:tabs>
          <w:tab w:val="left" w:pos="0"/>
        </w:tabs>
        <w:snapToGrid w:val="0"/>
        <w:spacing w:line="300" w:lineRule="auto"/>
        <w:ind w:firstLine="560" w:firstLineChars="200"/>
        <w:contextualSpacing/>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utoSpaceDE w:val="0"/>
        <w:autoSpaceDN w:val="0"/>
        <w:adjustRightInd w:val="0"/>
        <w:snapToGrid w:val="0"/>
        <w:spacing w:line="300" w:lineRule="auto"/>
        <w:ind w:firstLine="560" w:firstLineChars="200"/>
        <w:contextualSpacing/>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rPr>
        <w:t>5、</w:t>
      </w:r>
      <w:r>
        <w:rPr>
          <w:rFonts w:hint="eastAsia" w:asciiTheme="minorEastAsia" w:hAnsiTheme="minorEastAsia" w:eastAsiaTheme="minorEastAsia" w:cstheme="minorEastAsia"/>
          <w:kern w:val="0"/>
          <w:sz w:val="28"/>
          <w:szCs w:val="28"/>
          <w:lang w:val="zh-CN"/>
        </w:rPr>
        <w:t>因质疑情况复杂，组织论证或审查时间较长的，</w:t>
      </w:r>
      <w:r>
        <w:rPr>
          <w:rFonts w:hint="eastAsia" w:asciiTheme="minorEastAsia" w:hAnsiTheme="minorEastAsia" w:eastAsiaTheme="minorEastAsia" w:cstheme="minorEastAsia"/>
          <w:sz w:val="28"/>
          <w:szCs w:val="28"/>
        </w:rPr>
        <w:t>采购人</w:t>
      </w:r>
      <w:r>
        <w:rPr>
          <w:rFonts w:hint="eastAsia" w:asciiTheme="minorEastAsia" w:hAnsiTheme="minorEastAsia" w:eastAsiaTheme="minorEastAsia" w:cstheme="minorEastAsia"/>
          <w:kern w:val="0"/>
          <w:sz w:val="28"/>
          <w:szCs w:val="28"/>
          <w:lang w:val="zh-CN"/>
        </w:rPr>
        <w:t>、交易中心以书面形式通知质疑人，可适当延长质疑回复处理时间。</w:t>
      </w:r>
    </w:p>
    <w:p>
      <w:pPr>
        <w:autoSpaceDE w:val="0"/>
        <w:autoSpaceDN w:val="0"/>
        <w:adjustRightInd w:val="0"/>
        <w:snapToGrid w:val="0"/>
        <w:spacing w:line="300" w:lineRule="auto"/>
        <w:contextualSpacing/>
        <w:rPr>
          <w:rFonts w:asciiTheme="minorEastAsia" w:hAnsiTheme="minorEastAsia" w:eastAsiaTheme="minorEastAsia" w:cstheme="minorEastAsia"/>
          <w:b/>
          <w:kern w:val="0"/>
          <w:sz w:val="28"/>
          <w:szCs w:val="28"/>
          <w:lang w:val="zh-CN"/>
        </w:rPr>
      </w:pPr>
      <w:r>
        <w:rPr>
          <w:rFonts w:hint="eastAsia" w:asciiTheme="minorEastAsia" w:hAnsiTheme="minorEastAsia" w:eastAsiaTheme="minorEastAsia" w:cstheme="minorEastAsia"/>
          <w:b/>
          <w:kern w:val="0"/>
          <w:sz w:val="28"/>
          <w:szCs w:val="28"/>
          <w:lang w:val="zh-CN"/>
        </w:rPr>
        <w:t>三、质疑处理</w:t>
      </w:r>
    </w:p>
    <w:p>
      <w:pPr>
        <w:autoSpaceDE w:val="0"/>
        <w:autoSpaceDN w:val="0"/>
        <w:adjustRightInd w:val="0"/>
        <w:snapToGrid w:val="0"/>
        <w:spacing w:line="300" w:lineRule="auto"/>
        <w:ind w:firstLine="562" w:firstLineChars="200"/>
        <w:contextualSpacing/>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b/>
          <w:kern w:val="0"/>
          <w:sz w:val="28"/>
          <w:szCs w:val="28"/>
          <w:lang w:val="zh-CN"/>
        </w:rPr>
        <w:t>1、质疑成立的处理。</w:t>
      </w:r>
      <w:r>
        <w:rPr>
          <w:rFonts w:hint="eastAsia" w:asciiTheme="minorEastAsia" w:hAnsiTheme="minorEastAsia" w:eastAsiaTheme="minorEastAsia" w:cstheme="minorEastAsia"/>
          <w:kern w:val="0"/>
          <w:sz w:val="28"/>
          <w:szCs w:val="28"/>
          <w:lang w:val="zh-CN"/>
        </w:rPr>
        <w:t>交易中心终止采购，并建议有关部门给相关当事人予以处理。</w:t>
      </w:r>
    </w:p>
    <w:p>
      <w:pPr>
        <w:snapToGrid w:val="0"/>
        <w:spacing w:line="300" w:lineRule="auto"/>
        <w:ind w:firstLine="570"/>
        <w:contextualSpacing/>
        <w:rPr>
          <w:rFonts w:asciiTheme="minorEastAsia" w:hAnsiTheme="minorEastAsia" w:eastAsiaTheme="minorEastAsia" w:cstheme="minorEastAsia"/>
          <w:b/>
          <w:kern w:val="0"/>
          <w:sz w:val="28"/>
          <w:szCs w:val="28"/>
          <w:lang w:val="zh-CN"/>
        </w:rPr>
      </w:pPr>
      <w:r>
        <w:rPr>
          <w:rFonts w:hint="eastAsia" w:asciiTheme="minorEastAsia" w:hAnsiTheme="minorEastAsia" w:eastAsiaTheme="minorEastAsia" w:cstheme="minorEastAsia"/>
          <w:b/>
          <w:kern w:val="0"/>
          <w:sz w:val="28"/>
          <w:szCs w:val="28"/>
          <w:lang w:val="zh-CN"/>
        </w:rPr>
        <w:t>2、质疑不成立的处理。</w:t>
      </w:r>
    </w:p>
    <w:p>
      <w:pPr>
        <w:snapToGrid w:val="0"/>
        <w:spacing w:line="300" w:lineRule="auto"/>
        <w:ind w:firstLine="570"/>
        <w:contextualSpacing/>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1）质疑人书面《申请撤回质疑函》的，不作违约处理。</w:t>
      </w:r>
    </w:p>
    <w:p>
      <w:pPr>
        <w:snapToGrid w:val="0"/>
        <w:spacing w:line="300" w:lineRule="auto"/>
        <w:ind w:firstLine="560" w:firstLineChars="200"/>
        <w:contextualSpacing/>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sz w:val="28"/>
          <w:szCs w:val="28"/>
        </w:rPr>
        <w:t>2）质疑人在规定的时间内不配合进行质疑调查处理的，按自动撤回《质疑函》处理。</w:t>
      </w:r>
    </w:p>
    <w:p>
      <w:pPr>
        <w:snapToGrid w:val="0"/>
        <w:spacing w:line="300" w:lineRule="auto"/>
        <w:ind w:firstLine="555"/>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3）质疑人不按《质疑函》格式就提出质疑的，作违约处理。交易中心</w:t>
      </w:r>
      <w:r>
        <w:rPr>
          <w:rFonts w:hint="eastAsia" w:asciiTheme="minorEastAsia" w:hAnsiTheme="minorEastAsia" w:eastAsiaTheme="minorEastAsia" w:cstheme="minorEastAsia"/>
          <w:sz w:val="28"/>
          <w:szCs w:val="28"/>
        </w:rPr>
        <w:t>有权取消会员供应商资格三个月的违约处理；同时，视情</w:t>
      </w:r>
      <w:r>
        <w:rPr>
          <w:rFonts w:hint="eastAsia" w:asciiTheme="minorEastAsia" w:hAnsiTheme="minorEastAsia" w:eastAsiaTheme="minorEastAsia" w:cstheme="minorEastAsia"/>
          <w:kern w:val="0"/>
          <w:sz w:val="28"/>
          <w:szCs w:val="28"/>
          <w:lang w:val="zh-CN"/>
        </w:rPr>
        <w:t>列入不良供应商名单。</w:t>
      </w:r>
    </w:p>
    <w:p>
      <w:pPr>
        <w:snapToGrid w:val="0"/>
        <w:spacing w:line="300" w:lineRule="auto"/>
        <w:ind w:firstLine="555"/>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4）质疑人虽提供了相关</w:t>
      </w:r>
      <w:r>
        <w:rPr>
          <w:rFonts w:hint="eastAsia" w:asciiTheme="minorEastAsia" w:hAnsiTheme="minorEastAsia" w:eastAsiaTheme="minorEastAsia" w:cstheme="minorEastAsia"/>
          <w:sz w:val="28"/>
          <w:szCs w:val="28"/>
        </w:rPr>
        <w:t>佐证材料</w:t>
      </w:r>
      <w:r>
        <w:rPr>
          <w:rFonts w:hint="eastAsia" w:asciiTheme="minorEastAsia" w:hAnsiTheme="minorEastAsia" w:eastAsiaTheme="minorEastAsia" w:cstheme="minorEastAsia"/>
          <w:kern w:val="0"/>
          <w:sz w:val="28"/>
          <w:szCs w:val="28"/>
          <w:lang w:val="zh-CN"/>
        </w:rPr>
        <w:t>，但不能证明其质疑成立的，交易中心请质疑人补充相关</w:t>
      </w:r>
      <w:r>
        <w:rPr>
          <w:rFonts w:hint="eastAsia" w:asciiTheme="minorEastAsia" w:hAnsiTheme="minorEastAsia" w:eastAsiaTheme="minorEastAsia" w:cstheme="minorEastAsia"/>
          <w:sz w:val="28"/>
          <w:szCs w:val="28"/>
        </w:rPr>
        <w:t>佐证材料</w:t>
      </w:r>
      <w:r>
        <w:rPr>
          <w:rFonts w:hint="eastAsia" w:asciiTheme="minorEastAsia" w:hAnsiTheme="minorEastAsia" w:eastAsiaTheme="minorEastAsia" w:cstheme="minorEastAsia"/>
          <w:kern w:val="0"/>
          <w:sz w:val="28"/>
          <w:szCs w:val="28"/>
          <w:lang w:val="zh-CN"/>
        </w:rPr>
        <w:t>，仍不能证明其质疑成立的，作违约处理。交易中心</w:t>
      </w:r>
      <w:r>
        <w:rPr>
          <w:rFonts w:hint="eastAsia" w:asciiTheme="minorEastAsia" w:hAnsiTheme="minorEastAsia" w:eastAsiaTheme="minorEastAsia" w:cstheme="minorEastAsia"/>
          <w:sz w:val="28"/>
          <w:szCs w:val="28"/>
        </w:rPr>
        <w:t>有权取消会员供应商资格六个月的违约处理；同时，</w:t>
      </w:r>
      <w:r>
        <w:rPr>
          <w:rFonts w:hint="eastAsia" w:asciiTheme="minorEastAsia" w:hAnsiTheme="minorEastAsia" w:eastAsiaTheme="minorEastAsia" w:cstheme="minorEastAsia"/>
          <w:kern w:val="0"/>
          <w:sz w:val="28"/>
          <w:szCs w:val="28"/>
          <w:lang w:val="zh-CN"/>
        </w:rPr>
        <w:t>列入不良供应商名单。</w:t>
      </w:r>
    </w:p>
    <w:p>
      <w:pPr>
        <w:snapToGrid w:val="0"/>
        <w:spacing w:line="300" w:lineRule="auto"/>
        <w:ind w:firstLine="555"/>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5）质疑人不能提供相关</w:t>
      </w:r>
      <w:r>
        <w:rPr>
          <w:rFonts w:hint="eastAsia" w:asciiTheme="minorEastAsia" w:hAnsiTheme="minorEastAsia" w:eastAsiaTheme="minorEastAsia" w:cstheme="minorEastAsia"/>
          <w:sz w:val="28"/>
          <w:szCs w:val="28"/>
        </w:rPr>
        <w:t>佐证材料</w:t>
      </w:r>
      <w:r>
        <w:rPr>
          <w:rFonts w:hint="eastAsia" w:asciiTheme="minorEastAsia" w:hAnsiTheme="minorEastAsia" w:eastAsiaTheme="minorEastAsia" w:cstheme="minorEastAsia"/>
          <w:kern w:val="0"/>
          <w:sz w:val="28"/>
          <w:szCs w:val="28"/>
          <w:lang w:val="zh-CN"/>
        </w:rPr>
        <w:t>的，交易中心已指出，质疑人仍然坚持提出质疑的，作违约处理。交易中心</w:t>
      </w:r>
      <w:r>
        <w:rPr>
          <w:rFonts w:hint="eastAsia" w:asciiTheme="minorEastAsia" w:hAnsiTheme="minorEastAsia" w:eastAsiaTheme="minorEastAsia" w:cstheme="minorEastAsia"/>
          <w:sz w:val="28"/>
          <w:szCs w:val="28"/>
        </w:rPr>
        <w:t>有权取消会员供应商资格一年的违约处理；同时，</w:t>
      </w:r>
      <w:r>
        <w:rPr>
          <w:rFonts w:hint="eastAsia" w:asciiTheme="minorEastAsia" w:hAnsiTheme="minorEastAsia" w:eastAsiaTheme="minorEastAsia" w:cstheme="minorEastAsia"/>
          <w:kern w:val="0"/>
          <w:sz w:val="28"/>
          <w:szCs w:val="28"/>
          <w:lang w:val="zh-CN"/>
        </w:rPr>
        <w:t>列入不良供应商名单。</w:t>
      </w:r>
    </w:p>
    <w:p>
      <w:pPr>
        <w:snapToGrid w:val="0"/>
        <w:spacing w:line="300" w:lineRule="auto"/>
        <w:ind w:firstLine="555"/>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6）对明显有违事实的、经相关专家或谈判小组认定无依据的、经其他供应商举证无依据的质疑，作违约处理，交易中心</w:t>
      </w:r>
      <w:r>
        <w:rPr>
          <w:rFonts w:hint="eastAsia" w:asciiTheme="minorEastAsia" w:hAnsiTheme="minorEastAsia" w:eastAsiaTheme="minorEastAsia" w:cstheme="minorEastAsia"/>
          <w:sz w:val="28"/>
          <w:szCs w:val="28"/>
        </w:rPr>
        <w:t>有权取消会员供应商资格一年的违约处理，</w:t>
      </w:r>
      <w:r>
        <w:rPr>
          <w:rFonts w:hint="eastAsia" w:asciiTheme="minorEastAsia" w:hAnsiTheme="minorEastAsia" w:eastAsiaTheme="minorEastAsia" w:cstheme="minorEastAsia"/>
          <w:kern w:val="0"/>
          <w:sz w:val="28"/>
          <w:szCs w:val="28"/>
          <w:lang w:val="zh-CN"/>
        </w:rPr>
        <w:t>列入不良供应商名单；</w:t>
      </w:r>
      <w:r>
        <w:rPr>
          <w:rFonts w:hint="eastAsia" w:asciiTheme="minorEastAsia" w:hAnsiTheme="minorEastAsia" w:eastAsiaTheme="minorEastAsia" w:cstheme="minorEastAsia"/>
          <w:sz w:val="28"/>
          <w:szCs w:val="28"/>
        </w:rPr>
        <w:t>同时，</w:t>
      </w:r>
      <w:r>
        <w:rPr>
          <w:rFonts w:hint="eastAsia" w:asciiTheme="minorEastAsia" w:hAnsiTheme="minorEastAsia" w:eastAsiaTheme="minorEastAsia" w:cstheme="minorEastAsia"/>
          <w:kern w:val="0"/>
          <w:sz w:val="28"/>
          <w:szCs w:val="28"/>
          <w:lang w:val="zh-CN"/>
        </w:rPr>
        <w:t>对其中每一项不成立的质疑给予质疑人1年内禁入由交易中心组织的政府采购活动的违约处理，依次类推；视情在南通公共资源交易平台、省、国家级相关媒体予以披露。</w:t>
      </w:r>
    </w:p>
    <w:p>
      <w:pPr>
        <w:snapToGrid w:val="0"/>
        <w:spacing w:line="300" w:lineRule="auto"/>
        <w:ind w:firstLine="537" w:firstLineChars="192"/>
        <w:contextualSpacing/>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7）</w:t>
      </w:r>
      <w:r>
        <w:rPr>
          <w:rFonts w:hint="eastAsia" w:asciiTheme="minorEastAsia" w:hAnsiTheme="minorEastAsia" w:eastAsiaTheme="minorEastAsia" w:cstheme="minorEastAsia"/>
          <w:sz w:val="28"/>
          <w:szCs w:val="28"/>
        </w:rPr>
        <w:t>质疑人</w:t>
      </w:r>
      <w:r>
        <w:rPr>
          <w:rFonts w:hint="eastAsia" w:asciiTheme="minorEastAsia" w:hAnsiTheme="minorEastAsia" w:eastAsiaTheme="minorEastAsia" w:cstheme="minorEastAsia"/>
          <w:kern w:val="0"/>
          <w:sz w:val="28"/>
          <w:szCs w:val="28"/>
          <w:lang w:val="zh-CN"/>
        </w:rPr>
        <w:t>承担使用虚假材料或恶意方式质疑的法律责任。</w:t>
      </w:r>
    </w:p>
    <w:p>
      <w:pPr>
        <w:autoSpaceDE w:val="0"/>
        <w:autoSpaceDN w:val="0"/>
        <w:adjustRightInd w:val="0"/>
        <w:snapToGrid w:val="0"/>
        <w:spacing w:line="300" w:lineRule="auto"/>
        <w:contextualSpacing/>
        <w:rPr>
          <w:rFonts w:asciiTheme="minorEastAsia" w:hAnsiTheme="minorEastAsia" w:eastAsiaTheme="minorEastAsia" w:cstheme="minorEastAsia"/>
          <w:b/>
          <w:kern w:val="0"/>
          <w:sz w:val="28"/>
          <w:szCs w:val="28"/>
          <w:lang w:val="zh-CN"/>
        </w:rPr>
      </w:pPr>
      <w:r>
        <w:rPr>
          <w:rFonts w:hint="eastAsia" w:asciiTheme="minorEastAsia" w:hAnsiTheme="minorEastAsia" w:eastAsiaTheme="minorEastAsia" w:cstheme="minorEastAsia"/>
          <w:b/>
          <w:kern w:val="0"/>
          <w:sz w:val="28"/>
          <w:szCs w:val="28"/>
          <w:lang w:val="zh-CN"/>
        </w:rPr>
        <w:t>四、无佐证材料的举报作违约处理。</w:t>
      </w:r>
    </w:p>
    <w:p>
      <w:pPr>
        <w:autoSpaceDE w:val="0"/>
        <w:autoSpaceDN w:val="0"/>
        <w:adjustRightInd w:val="0"/>
        <w:snapToGrid w:val="0"/>
        <w:spacing w:line="300" w:lineRule="auto"/>
        <w:ind w:firstLine="548" w:firstLineChars="196"/>
        <w:contextualSpacing/>
        <w:rPr>
          <w:rFonts w:asciiTheme="minorEastAsia" w:hAnsiTheme="minorEastAsia" w:eastAsiaTheme="minorEastAsia" w:cstheme="minorEastAsia"/>
          <w:b/>
          <w:kern w:val="0"/>
          <w:sz w:val="28"/>
          <w:szCs w:val="28"/>
          <w:lang w:val="zh-CN"/>
        </w:rPr>
      </w:pPr>
      <w:r>
        <w:rPr>
          <w:rFonts w:hint="eastAsia" w:asciiTheme="minorEastAsia" w:hAnsiTheme="minorEastAsia" w:eastAsiaTheme="minorEastAsia" w:cstheme="minorEastAsia"/>
          <w:kern w:val="0"/>
          <w:sz w:val="28"/>
          <w:szCs w:val="28"/>
          <w:lang w:val="zh-CN"/>
        </w:rPr>
        <w:t>供应商不得进行不提供相关佐证材料（含无法查实的</w:t>
      </w:r>
      <w:r>
        <w:rPr>
          <w:rFonts w:hint="eastAsia" w:asciiTheme="minorEastAsia" w:hAnsiTheme="minorEastAsia" w:eastAsiaTheme="minorEastAsia" w:cstheme="minorEastAsia"/>
          <w:sz w:val="28"/>
          <w:szCs w:val="28"/>
        </w:rPr>
        <w:t>如宣传册、媒体报道、猜测、推理等）</w:t>
      </w:r>
      <w:r>
        <w:rPr>
          <w:rFonts w:hint="eastAsia" w:asciiTheme="minorEastAsia" w:hAnsiTheme="minorEastAsia" w:eastAsiaTheme="minorEastAsia" w:cstheme="minorEastAsia"/>
          <w:kern w:val="0"/>
          <w:sz w:val="28"/>
          <w:szCs w:val="28"/>
          <w:lang w:val="zh-CN"/>
        </w:rPr>
        <w:t>向有关部门的举报，否则作违约处理。谈判人有权取消其相应的会员供应商资格，同时对其在1至3年内禁入由谈判人组织的政府采购活动的违约处理。</w:t>
      </w:r>
    </w:p>
    <w:p>
      <w:pPr>
        <w:snapToGrid w:val="0"/>
        <w:spacing w:line="30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五、投诉不成立的作违约处理。</w:t>
      </w:r>
    </w:p>
    <w:p>
      <w:pPr>
        <w:snapToGrid w:val="0"/>
        <w:spacing w:line="300" w:lineRule="auto"/>
        <w:ind w:firstLine="548" w:firstLineChars="196"/>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供应商进行质疑后，</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人回复质疑不成立，供应商仍进行投诉的，并最终投诉不成立的，作违约处理。</w:t>
      </w:r>
      <w:r>
        <w:rPr>
          <w:rFonts w:hint="eastAsia" w:asciiTheme="minorEastAsia" w:hAnsiTheme="minorEastAsia" w:eastAsiaTheme="minorEastAsia" w:cstheme="minorEastAsia"/>
          <w:kern w:val="0"/>
          <w:sz w:val="28"/>
          <w:szCs w:val="28"/>
          <w:lang w:val="zh-CN"/>
        </w:rPr>
        <w:t>谈判人有权取消其相应的会员供应商资格，同时对其在1至3年内禁入由谈判人组织的政府采购活动的违约处理。</w:t>
      </w:r>
    </w:p>
    <w:p>
      <w:pPr>
        <w:snapToGrid w:val="0"/>
        <w:spacing w:line="300" w:lineRule="auto"/>
        <w:contextualSpacing/>
        <w:rPr>
          <w:rFonts w:asciiTheme="minorEastAsia" w:hAnsiTheme="minorEastAsia" w:eastAsiaTheme="minorEastAsia" w:cstheme="minorEastAsia"/>
          <w:sz w:val="28"/>
          <w:szCs w:val="28"/>
        </w:rPr>
      </w:pPr>
      <w:r>
        <w:rPr>
          <w:rFonts w:hint="eastAsia" w:asciiTheme="minorEastAsia" w:hAnsiTheme="minorEastAsia" w:eastAsiaTheme="minorEastAsia" w:cstheme="minorEastAsia"/>
          <w:b/>
          <w:sz w:val="28"/>
          <w:szCs w:val="28"/>
        </w:rPr>
        <w:t>六、《质疑函》、《质疑回复函》，质疑、举报、投诉不成立的</w:t>
      </w:r>
      <w:r>
        <w:rPr>
          <w:rFonts w:hint="eastAsia" w:asciiTheme="minorEastAsia" w:hAnsiTheme="minorEastAsia" w:eastAsiaTheme="minorEastAsia" w:cstheme="minorEastAsia"/>
          <w:sz w:val="28"/>
          <w:szCs w:val="28"/>
        </w:rPr>
        <w:t>等相关情况，视情在南通公共资源交易平台、省、国家级等相关媒体予以披露。并建议相关政府采购机构对该供应商同步实施1至3年内禁入。</w:t>
      </w:r>
    </w:p>
    <w:p>
      <w:pPr>
        <w:autoSpaceDE w:val="0"/>
        <w:autoSpaceDN w:val="0"/>
        <w:adjustRightInd w:val="0"/>
        <w:snapToGrid w:val="0"/>
        <w:spacing w:line="300" w:lineRule="auto"/>
        <w:ind w:left="4513" w:right="210" w:hanging="4513"/>
        <w:jc w:val="center"/>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ind w:left="4513" w:right="210" w:hanging="4513"/>
        <w:jc w:val="center"/>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ind w:left="4513" w:right="210" w:hanging="4513"/>
        <w:jc w:val="center"/>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ind w:left="4513" w:right="210" w:hanging="4513"/>
        <w:jc w:val="center"/>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ind w:left="4513" w:right="210" w:hanging="4513"/>
        <w:jc w:val="center"/>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ind w:left="4513" w:right="210" w:hanging="4513"/>
        <w:jc w:val="center"/>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ind w:left="4513" w:right="210" w:hanging="4513"/>
        <w:jc w:val="center"/>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ind w:left="4513" w:right="210" w:hanging="4513"/>
        <w:jc w:val="center"/>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ind w:left="4513" w:right="210" w:hanging="4513"/>
        <w:jc w:val="center"/>
        <w:rPr>
          <w:rFonts w:asciiTheme="minorEastAsia" w:hAnsiTheme="minorEastAsia" w:eastAsiaTheme="minorEastAsia" w:cstheme="minorEastAsia"/>
          <w:b/>
          <w:bCs/>
          <w:sz w:val="36"/>
          <w:szCs w:val="36"/>
          <w:lang w:val="zh-CN"/>
        </w:rPr>
      </w:pPr>
    </w:p>
    <w:p>
      <w:pPr>
        <w:autoSpaceDE w:val="0"/>
        <w:autoSpaceDN w:val="0"/>
        <w:adjustRightInd w:val="0"/>
        <w:snapToGrid w:val="0"/>
        <w:spacing w:line="300" w:lineRule="auto"/>
        <w:ind w:left="4513" w:right="210" w:hanging="4513"/>
        <w:jc w:val="center"/>
        <w:rPr>
          <w:rFonts w:asciiTheme="minorEastAsia" w:hAnsiTheme="minorEastAsia" w:eastAsiaTheme="minorEastAsia" w:cstheme="minorEastAsia"/>
          <w:b/>
          <w:bCs/>
          <w:sz w:val="36"/>
          <w:szCs w:val="36"/>
          <w:lang w:val="zh-CN"/>
        </w:rPr>
      </w:pPr>
      <w:r>
        <w:rPr>
          <w:rFonts w:hint="eastAsia" w:asciiTheme="minorEastAsia" w:hAnsiTheme="minorEastAsia" w:eastAsiaTheme="minorEastAsia" w:cstheme="minorEastAsia"/>
          <w:b/>
          <w:bCs/>
          <w:sz w:val="36"/>
          <w:szCs w:val="36"/>
          <w:lang w:val="zh-CN"/>
        </w:rPr>
        <w:t>第六部分  响应文件组成</w:t>
      </w:r>
    </w:p>
    <w:p>
      <w:pPr>
        <w:tabs>
          <w:tab w:val="left" w:pos="1260"/>
        </w:tabs>
        <w:autoSpaceDE w:val="0"/>
        <w:autoSpaceDN w:val="0"/>
        <w:adjustRightInd w:val="0"/>
        <w:snapToGrid w:val="0"/>
        <w:spacing w:line="300" w:lineRule="auto"/>
        <w:ind w:right="210" w:firstLine="54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请</w:t>
      </w:r>
      <w:r>
        <w:rPr>
          <w:rFonts w:hint="eastAsia" w:asciiTheme="minorEastAsia" w:hAnsiTheme="minorEastAsia" w:eastAsiaTheme="minorEastAsia" w:cstheme="minorEastAsia"/>
          <w:sz w:val="28"/>
          <w:szCs w:val="28"/>
        </w:rPr>
        <w:t>在南通公共资源交易平台“办事指南-下载专区-竞争性</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资料”下载</w:t>
      </w:r>
      <w:r>
        <w:rPr>
          <w:rFonts w:hint="eastAsia" w:asciiTheme="minorEastAsia" w:hAnsiTheme="minorEastAsia" w:eastAsiaTheme="minorEastAsia" w:cstheme="minorEastAsia"/>
          <w:sz w:val="28"/>
          <w:szCs w:val="28"/>
          <w:lang w:val="zh-CN"/>
        </w:rPr>
        <w:t>有关资料。仅为制作谈判文件提供方便</w:t>
      </w:r>
    </w:p>
    <w:p>
      <w:pPr>
        <w:snapToGrid w:val="0"/>
        <w:spacing w:line="300" w:lineRule="auto"/>
        <w:ind w:firstLine="555"/>
        <w:jc w:val="left"/>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响应文件由资格审查证明材料、价格响应文件</w:t>
      </w:r>
      <w:r>
        <w:rPr>
          <w:rFonts w:hint="eastAsia" w:asciiTheme="minorEastAsia" w:hAnsiTheme="minorEastAsia" w:eastAsiaTheme="minorEastAsia" w:cstheme="minorEastAsia"/>
          <w:b/>
          <w:sz w:val="28"/>
          <w:szCs w:val="28"/>
          <w:lang w:eastAsia="zh-CN"/>
        </w:rPr>
        <w:t>两</w:t>
      </w:r>
      <w:r>
        <w:rPr>
          <w:rFonts w:hint="eastAsia" w:asciiTheme="minorEastAsia" w:hAnsiTheme="minorEastAsia" w:eastAsiaTheme="minorEastAsia" w:cstheme="minorEastAsia"/>
          <w:b/>
          <w:sz w:val="28"/>
          <w:szCs w:val="28"/>
        </w:rPr>
        <w:t>部分组成。</w:t>
      </w:r>
    </w:p>
    <w:p>
      <w:pPr>
        <w:snapToGrid w:val="0"/>
        <w:spacing w:line="300" w:lineRule="auto"/>
        <w:contextualSpacing/>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一、资格审查证明材料（一正两副，</w:t>
      </w:r>
      <w:r>
        <w:rPr>
          <w:rFonts w:hint="eastAsia" w:asciiTheme="minorEastAsia" w:hAnsiTheme="minorEastAsia" w:eastAsiaTheme="minorEastAsia" w:cstheme="minorEastAsia"/>
          <w:b/>
          <w:sz w:val="28"/>
        </w:rPr>
        <w:t>单独密封并牢固装订）</w:t>
      </w:r>
      <w:r>
        <w:rPr>
          <w:rFonts w:hint="eastAsia" w:asciiTheme="minorEastAsia" w:hAnsiTheme="minorEastAsia" w:eastAsiaTheme="minorEastAsia" w:cstheme="minorEastAsia"/>
          <w:b/>
          <w:sz w:val="28"/>
          <w:szCs w:val="28"/>
        </w:rPr>
        <w:t>：</w:t>
      </w:r>
    </w:p>
    <w:p>
      <w:pPr>
        <w:snapToGrid w:val="0"/>
        <w:spacing w:line="30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1、关于资格的声明函；</w:t>
      </w:r>
    </w:p>
    <w:p>
      <w:pPr>
        <w:pStyle w:val="32"/>
        <w:snapToGrid w:val="0"/>
        <w:spacing w:line="300" w:lineRule="auto"/>
        <w:ind w:firstLine="560" w:firstLineChars="200"/>
        <w:rPr>
          <w:rFonts w:asciiTheme="minorEastAsia" w:hAnsiTheme="minorEastAsia" w:eastAsiaTheme="minorEastAsia" w:cstheme="minorEastAsia"/>
          <w:sz w:val="28"/>
        </w:rPr>
      </w:pPr>
      <w:r>
        <w:rPr>
          <w:rFonts w:hint="eastAsia" w:asciiTheme="minorEastAsia" w:hAnsiTheme="minorEastAsia" w:eastAsiaTheme="minorEastAsia" w:cstheme="minorEastAsia"/>
          <w:sz w:val="28"/>
        </w:rPr>
        <w:t>2、法定代表人身份证明书（提供复印件并加盖公章）;</w:t>
      </w:r>
    </w:p>
    <w:p>
      <w:pPr>
        <w:tabs>
          <w:tab w:val="left" w:pos="3375"/>
        </w:tabs>
        <w:autoSpaceDE w:val="0"/>
        <w:autoSpaceDN w:val="0"/>
        <w:adjustRightInd w:val="0"/>
        <w:snapToGrid w:val="0"/>
        <w:spacing w:line="300" w:lineRule="auto"/>
        <w:ind w:left="1" w:firstLine="538"/>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3、法定代表人授权委托书原件，谈判代表本人身份证复印件（原件随身备查）；</w:t>
      </w:r>
    </w:p>
    <w:p>
      <w:pPr>
        <w:tabs>
          <w:tab w:val="left" w:pos="3375"/>
        </w:tabs>
        <w:autoSpaceDE w:val="0"/>
        <w:autoSpaceDN w:val="0"/>
        <w:adjustRightInd w:val="0"/>
        <w:snapToGrid w:val="0"/>
        <w:spacing w:line="300" w:lineRule="auto"/>
        <w:ind w:left="1" w:firstLine="53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4、请按竞争性</w:t>
      </w:r>
      <w:r>
        <w:rPr>
          <w:rFonts w:hint="eastAsia" w:asciiTheme="minorEastAsia" w:hAnsiTheme="minorEastAsia" w:eastAsiaTheme="minorEastAsia" w:cstheme="minorEastAsia"/>
          <w:sz w:val="28"/>
          <w:szCs w:val="28"/>
          <w:lang w:eastAsia="zh-CN"/>
        </w:rPr>
        <w:t>谈判</w:t>
      </w:r>
      <w:r>
        <w:rPr>
          <w:rFonts w:hint="eastAsia" w:asciiTheme="minorEastAsia" w:hAnsiTheme="minorEastAsia" w:eastAsiaTheme="minorEastAsia" w:cstheme="minorEastAsia"/>
          <w:sz w:val="28"/>
          <w:szCs w:val="28"/>
        </w:rPr>
        <w:t xml:space="preserve">公告资格要求中的（一）至（二）提供相应的佐证材料（提供复印件并加盖公章。）; </w:t>
      </w:r>
    </w:p>
    <w:p>
      <w:pPr>
        <w:tabs>
          <w:tab w:val="left" w:pos="3375"/>
        </w:tabs>
        <w:autoSpaceDE w:val="0"/>
        <w:autoSpaceDN w:val="0"/>
        <w:adjustRightInd w:val="0"/>
        <w:snapToGrid w:val="0"/>
        <w:spacing w:line="300" w:lineRule="auto"/>
        <w:ind w:left="1" w:firstLine="53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b/>
          <w:sz w:val="28"/>
          <w:szCs w:val="28"/>
        </w:rPr>
        <w:t>、</w:t>
      </w:r>
      <w:r>
        <w:rPr>
          <w:rFonts w:hint="eastAsia" w:asciiTheme="minorEastAsia" w:hAnsiTheme="minorEastAsia" w:eastAsiaTheme="minorEastAsia" w:cstheme="minorEastAsia"/>
          <w:sz w:val="28"/>
          <w:szCs w:val="28"/>
        </w:rPr>
        <w:t>其它需要提交的资格审查证明材料。</w:t>
      </w:r>
    </w:p>
    <w:p>
      <w:pPr>
        <w:pStyle w:val="32"/>
        <w:snapToGrid w:val="0"/>
        <w:spacing w:line="300" w:lineRule="auto"/>
        <w:ind w:firstLine="0" w:firstLineChars="0"/>
        <w:rPr>
          <w:rFonts w:asciiTheme="minorEastAsia" w:hAnsiTheme="minorEastAsia" w:eastAsiaTheme="minorEastAsia" w:cstheme="minorEastAsia"/>
          <w:b/>
          <w:sz w:val="28"/>
        </w:rPr>
      </w:pPr>
      <w:r>
        <w:rPr>
          <w:rFonts w:hint="eastAsia" w:asciiTheme="minorEastAsia" w:hAnsiTheme="minorEastAsia" w:eastAsiaTheme="minorEastAsia" w:cstheme="minorEastAsia"/>
          <w:b/>
          <w:sz w:val="28"/>
        </w:rPr>
        <w:t>二、价格响应文件（一正两副，单独密封并牢固装订）：</w:t>
      </w:r>
    </w:p>
    <w:p>
      <w:pPr>
        <w:tabs>
          <w:tab w:val="left" w:pos="3375"/>
        </w:tabs>
        <w:autoSpaceDE w:val="0"/>
        <w:autoSpaceDN w:val="0"/>
        <w:adjustRightInd w:val="0"/>
        <w:snapToGrid w:val="0"/>
        <w:spacing w:line="300" w:lineRule="auto"/>
        <w:ind w:left="1" w:firstLine="538"/>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1、投标报价</w:t>
      </w:r>
      <w:r>
        <w:rPr>
          <w:rFonts w:hint="eastAsia" w:asciiTheme="minorEastAsia" w:hAnsiTheme="minorEastAsia" w:eastAsiaTheme="minorEastAsia" w:cstheme="minorEastAsia"/>
          <w:sz w:val="28"/>
          <w:szCs w:val="28"/>
          <w:lang w:val="en-US" w:eastAsia="zh-CN"/>
        </w:rPr>
        <w:t>一览</w:t>
      </w:r>
      <w:r>
        <w:rPr>
          <w:rFonts w:hint="eastAsia" w:asciiTheme="minorEastAsia" w:hAnsiTheme="minorEastAsia" w:eastAsiaTheme="minorEastAsia" w:cstheme="minorEastAsia"/>
          <w:sz w:val="28"/>
          <w:szCs w:val="28"/>
        </w:rPr>
        <w:t>表</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详见附件一</w:t>
      </w:r>
      <w:r>
        <w:rPr>
          <w:rFonts w:hint="eastAsia" w:asciiTheme="minorEastAsia" w:hAnsiTheme="minorEastAsia" w:eastAsiaTheme="minorEastAsia" w:cstheme="minorEastAsia"/>
          <w:sz w:val="28"/>
          <w:szCs w:val="28"/>
          <w:lang w:eastAsia="zh-CN"/>
        </w:rPr>
        <w:t>）。</w:t>
      </w:r>
    </w:p>
    <w:p>
      <w:pPr>
        <w:rPr>
          <w:rFonts w:asciiTheme="minorEastAsia" w:hAnsiTheme="minorEastAsia" w:eastAsiaTheme="minorEastAsia" w:cstheme="minorEastAsia"/>
          <w:sz w:val="28"/>
          <w:szCs w:val="28"/>
        </w:rPr>
      </w:pPr>
      <w:r>
        <w:rPr>
          <w:rFonts w:asciiTheme="minorEastAsia" w:hAnsiTheme="minorEastAsia" w:eastAsiaTheme="minorEastAsia" w:cstheme="minorEastAsia"/>
          <w:sz w:val="28"/>
          <w:szCs w:val="28"/>
        </w:rPr>
        <w:br w:type="page"/>
      </w:r>
    </w:p>
    <w:p>
      <w:pPr>
        <w:pStyle w:val="2"/>
        <w:rPr>
          <w:rFonts w:hint="eastAsia"/>
          <w:lang w:val="en-US" w:eastAsia="zh-CN"/>
        </w:rPr>
      </w:pPr>
      <w:r>
        <w:rPr>
          <w:rFonts w:hint="eastAsia"/>
          <w:lang w:val="en-US" w:eastAsia="zh-CN"/>
        </w:rPr>
        <w:t>附件一</w:t>
      </w:r>
    </w:p>
    <w:p>
      <w:pPr>
        <w:jc w:val="center"/>
        <w:rPr>
          <w:rFonts w:hint="eastAsia" w:ascii="黑体" w:hAnsi="黑体" w:eastAsia="黑体" w:cs="黑体"/>
          <w:sz w:val="36"/>
          <w:szCs w:val="44"/>
          <w:lang w:val="en-US" w:eastAsia="zh-CN"/>
        </w:rPr>
      </w:pPr>
      <w:r>
        <w:rPr>
          <w:rFonts w:hint="eastAsia" w:ascii="黑体" w:hAnsi="黑体" w:eastAsia="黑体" w:cs="黑体"/>
          <w:sz w:val="36"/>
          <w:szCs w:val="44"/>
          <w:lang w:val="en-US" w:eastAsia="zh-CN"/>
        </w:rPr>
        <w:t>报价一览表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2"/>
        <w:gridCol w:w="357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822" w:type="dxa"/>
            <w:vAlign w:val="center"/>
          </w:tcPr>
          <w:p>
            <w:pPr>
              <w:pStyle w:val="2"/>
              <w:keepNext/>
              <w:keepLines/>
              <w:pageBreakBefore w:val="0"/>
              <w:widowControl w:val="0"/>
              <w:kinsoku/>
              <w:wordWrap/>
              <w:overflowPunct/>
              <w:topLinePunct w:val="0"/>
              <w:autoSpaceDE/>
              <w:autoSpaceDN/>
              <w:bidi w:val="0"/>
              <w:adjustRightInd/>
              <w:snapToGrid/>
              <w:spacing w:before="0" w:after="0" w:line="420" w:lineRule="exact"/>
              <w:jc w:val="center"/>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项目名称</w:t>
            </w:r>
          </w:p>
        </w:tc>
        <w:tc>
          <w:tcPr>
            <w:tcW w:w="3570" w:type="dxa"/>
            <w:vAlign w:val="center"/>
          </w:tcPr>
          <w:p>
            <w:pPr>
              <w:pStyle w:val="2"/>
              <w:keepNext/>
              <w:keepLines/>
              <w:pageBreakBefore w:val="0"/>
              <w:widowControl w:val="0"/>
              <w:kinsoku/>
              <w:wordWrap/>
              <w:overflowPunct/>
              <w:topLinePunct w:val="0"/>
              <w:autoSpaceDE/>
              <w:autoSpaceDN/>
              <w:bidi w:val="0"/>
              <w:adjustRightInd/>
              <w:snapToGrid/>
              <w:spacing w:before="0" w:after="0" w:line="42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投标报价（元）</w:t>
            </w:r>
          </w:p>
        </w:tc>
        <w:tc>
          <w:tcPr>
            <w:tcW w:w="2131" w:type="dxa"/>
            <w:vAlign w:val="center"/>
          </w:tcPr>
          <w:p>
            <w:pPr>
              <w:pStyle w:val="2"/>
              <w:keepNext/>
              <w:keepLines/>
              <w:pageBreakBefore w:val="0"/>
              <w:widowControl w:val="0"/>
              <w:kinsoku/>
              <w:wordWrap/>
              <w:overflowPunct/>
              <w:topLinePunct w:val="0"/>
              <w:autoSpaceDE/>
              <w:autoSpaceDN/>
              <w:bidi w:val="0"/>
              <w:adjustRightInd/>
              <w:snapToGrid/>
              <w:spacing w:before="0" w:after="0" w:line="42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2822" w:type="dxa"/>
            <w:vMerge w:val="restart"/>
            <w:vAlign w:val="center"/>
          </w:tcPr>
          <w:p>
            <w:pPr>
              <w:pStyle w:val="2"/>
              <w:jc w:val="center"/>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南通市崇川区文化和旅游资源普查项目</w:t>
            </w:r>
          </w:p>
        </w:tc>
        <w:tc>
          <w:tcPr>
            <w:tcW w:w="3570" w:type="dxa"/>
            <w:vAlign w:val="center"/>
          </w:tcPr>
          <w:p>
            <w:pPr>
              <w:pStyle w:val="2"/>
              <w:pageBreakBefore w:val="0"/>
              <w:widowControl w:val="0"/>
              <w:kinsoku/>
              <w:wordWrap/>
              <w:overflowPunct/>
              <w:topLinePunct w:val="0"/>
              <w:autoSpaceDE/>
              <w:autoSpaceDN/>
              <w:bidi w:val="0"/>
              <w:adjustRightInd/>
              <w:snapToGrid/>
              <w:spacing w:before="0" w:after="0" w:line="42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首次报价：</w:t>
            </w:r>
          </w:p>
          <w:p>
            <w:pPr>
              <w:pStyle w:val="2"/>
              <w:pageBreakBefore w:val="0"/>
              <w:widowControl w:val="0"/>
              <w:kinsoku/>
              <w:wordWrap/>
              <w:overflowPunct/>
              <w:topLinePunct w:val="0"/>
              <w:autoSpaceDE/>
              <w:autoSpaceDN/>
              <w:bidi w:val="0"/>
              <w:adjustRightInd/>
              <w:snapToGrid/>
              <w:spacing w:before="0" w:after="0" w:line="42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大写：</w:t>
            </w:r>
          </w:p>
          <w:p>
            <w:pPr>
              <w:pStyle w:val="2"/>
              <w:pageBreakBefore w:val="0"/>
              <w:widowControl w:val="0"/>
              <w:kinsoku/>
              <w:wordWrap/>
              <w:overflowPunct/>
              <w:topLinePunct w:val="0"/>
              <w:autoSpaceDE/>
              <w:autoSpaceDN/>
              <w:bidi w:val="0"/>
              <w:adjustRightInd/>
              <w:snapToGrid/>
              <w:spacing w:before="0" w:after="0" w:line="42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小写：</w:t>
            </w:r>
          </w:p>
        </w:tc>
        <w:tc>
          <w:tcPr>
            <w:tcW w:w="2131" w:type="dxa"/>
            <w:vAlign w:val="center"/>
          </w:tcPr>
          <w:p>
            <w:pPr>
              <w:pStyle w:val="2"/>
              <w:pageBreakBefore w:val="0"/>
              <w:widowControl w:val="0"/>
              <w:kinsoku/>
              <w:wordWrap/>
              <w:overflowPunct/>
              <w:topLinePunct w:val="0"/>
              <w:autoSpaceDE/>
              <w:autoSpaceDN/>
              <w:bidi w:val="0"/>
              <w:adjustRightInd/>
              <w:snapToGrid/>
              <w:spacing w:before="0" w:after="0" w:line="420" w:lineRule="exact"/>
              <w:jc w:val="center"/>
              <w:textAlignment w:val="auto"/>
              <w:rPr>
                <w:rFonts w:hint="eastAsia" w:ascii="宋体" w:hAnsi="宋体" w:eastAsia="宋体" w:cs="宋体"/>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2822" w:type="dxa"/>
            <w:vMerge w:val="continue"/>
            <w:vAlign w:val="center"/>
          </w:tcPr>
          <w:p>
            <w:pPr>
              <w:pStyle w:val="2"/>
              <w:jc w:val="center"/>
              <w:rPr>
                <w:rFonts w:hint="eastAsia" w:ascii="宋体" w:hAnsi="宋体" w:eastAsia="宋体" w:cs="宋体"/>
                <w:b w:val="0"/>
                <w:bCs w:val="0"/>
                <w:sz w:val="24"/>
                <w:szCs w:val="24"/>
                <w:vertAlign w:val="baseline"/>
                <w:lang w:val="en-US" w:eastAsia="zh-CN"/>
              </w:rPr>
            </w:pPr>
          </w:p>
        </w:tc>
        <w:tc>
          <w:tcPr>
            <w:tcW w:w="3570" w:type="dxa"/>
            <w:vAlign w:val="center"/>
          </w:tcPr>
          <w:p>
            <w:pPr>
              <w:pStyle w:val="2"/>
              <w:pageBreakBefore w:val="0"/>
              <w:widowControl w:val="0"/>
              <w:kinsoku/>
              <w:wordWrap/>
              <w:overflowPunct/>
              <w:topLinePunct w:val="0"/>
              <w:autoSpaceDE/>
              <w:autoSpaceDN/>
              <w:bidi w:val="0"/>
              <w:adjustRightInd/>
              <w:snapToGrid/>
              <w:spacing w:before="0" w:after="0" w:line="42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二次报价：</w:t>
            </w:r>
          </w:p>
          <w:p>
            <w:pPr>
              <w:pStyle w:val="2"/>
              <w:pageBreakBefore w:val="0"/>
              <w:widowControl w:val="0"/>
              <w:kinsoku/>
              <w:wordWrap/>
              <w:overflowPunct/>
              <w:topLinePunct w:val="0"/>
              <w:autoSpaceDE/>
              <w:autoSpaceDN/>
              <w:bidi w:val="0"/>
              <w:adjustRightInd/>
              <w:snapToGrid/>
              <w:spacing w:before="0" w:after="0" w:line="420" w:lineRule="exact"/>
              <w:jc w:val="both"/>
              <w:textAlignment w:val="auto"/>
              <w:rPr>
                <w:rFonts w:hint="eastAsia"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大写:</w:t>
            </w:r>
          </w:p>
          <w:p>
            <w:pPr>
              <w:pStyle w:val="2"/>
              <w:pageBreakBefore w:val="0"/>
              <w:widowControl w:val="0"/>
              <w:kinsoku/>
              <w:wordWrap/>
              <w:overflowPunct/>
              <w:topLinePunct w:val="0"/>
              <w:autoSpaceDE/>
              <w:autoSpaceDN/>
              <w:bidi w:val="0"/>
              <w:adjustRightInd/>
              <w:snapToGrid/>
              <w:spacing w:before="0" w:after="0" w:line="420" w:lineRule="exact"/>
              <w:jc w:val="both"/>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小写：</w:t>
            </w:r>
          </w:p>
        </w:tc>
        <w:tc>
          <w:tcPr>
            <w:tcW w:w="2131" w:type="dxa"/>
            <w:vAlign w:val="center"/>
          </w:tcPr>
          <w:p>
            <w:pPr>
              <w:pStyle w:val="2"/>
              <w:pageBreakBefore w:val="0"/>
              <w:widowControl w:val="0"/>
              <w:kinsoku/>
              <w:wordWrap/>
              <w:overflowPunct/>
              <w:topLinePunct w:val="0"/>
              <w:autoSpaceDE/>
              <w:autoSpaceDN/>
              <w:bidi w:val="0"/>
              <w:adjustRightInd/>
              <w:snapToGrid/>
              <w:spacing w:before="0" w:after="0" w:line="420" w:lineRule="exact"/>
              <w:jc w:val="center"/>
              <w:textAlignment w:val="auto"/>
              <w:rPr>
                <w:rFonts w:hint="default" w:ascii="宋体" w:hAnsi="宋体" w:eastAsia="宋体" w:cs="宋体"/>
                <w:b w:val="0"/>
                <w:bCs w:val="0"/>
                <w:sz w:val="24"/>
                <w:szCs w:val="24"/>
                <w:vertAlign w:val="baseline"/>
                <w:lang w:val="en-US" w:eastAsia="zh-CN"/>
              </w:rPr>
            </w:pPr>
            <w:r>
              <w:rPr>
                <w:rFonts w:hint="eastAsia" w:ascii="宋体" w:hAnsi="宋体" w:eastAsia="宋体" w:cs="宋体"/>
                <w:b w:val="0"/>
                <w:bCs w:val="0"/>
                <w:sz w:val="24"/>
                <w:szCs w:val="24"/>
                <w:vertAlign w:val="baseline"/>
                <w:lang w:val="en-US" w:eastAsia="zh-CN"/>
              </w:rPr>
              <w:t>现场填写</w:t>
            </w:r>
          </w:p>
        </w:tc>
      </w:tr>
    </w:tbl>
    <w:p>
      <w:pPr>
        <w:pStyle w:val="2"/>
        <w:keepNext/>
        <w:keepLines/>
        <w:pageBreakBefore w:val="0"/>
        <w:widowControl w:val="0"/>
        <w:kinsoku/>
        <w:wordWrap/>
        <w:overflowPunct/>
        <w:topLinePunct w:val="0"/>
        <w:autoSpaceDE/>
        <w:autoSpaceDN/>
        <w:bidi w:val="0"/>
        <w:adjustRightInd/>
        <w:snapToGrid/>
        <w:spacing w:before="0" w:after="0" w:line="420" w:lineRule="exact"/>
        <w:textAlignment w:val="auto"/>
        <w:rPr>
          <w:rFonts w:hint="eastAsia" w:ascii="宋体" w:hAnsi="宋体" w:eastAsia="宋体" w:cs="宋体"/>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宋体" w:hAnsi="宋体" w:cs="宋体"/>
          <w:b w:val="0"/>
          <w:bCs w:val="0"/>
          <w:sz w:val="24"/>
          <w:szCs w:val="32"/>
          <w:lang w:val="en-US" w:eastAsia="zh-CN"/>
        </w:rPr>
      </w:pPr>
      <w:r>
        <w:rPr>
          <w:rFonts w:hint="eastAsia" w:ascii="宋体" w:hAnsi="宋体" w:cs="宋体"/>
          <w:b w:val="0"/>
          <w:bCs w:val="0"/>
          <w:sz w:val="24"/>
          <w:szCs w:val="32"/>
          <w:lang w:val="en-US" w:eastAsia="zh-CN"/>
        </w:rPr>
        <w:t>投标供应商（盖章）：</w:t>
      </w:r>
    </w:p>
    <w:p>
      <w:pPr>
        <w:keepNext w:val="0"/>
        <w:keepLines w:val="0"/>
        <w:pageBreakBefore w:val="0"/>
        <w:widowControl w:val="0"/>
        <w:kinsoku/>
        <w:wordWrap/>
        <w:overflowPunct/>
        <w:topLinePunct w:val="0"/>
        <w:autoSpaceDE/>
        <w:autoSpaceDN/>
        <w:bidi w:val="0"/>
        <w:adjustRightInd/>
        <w:snapToGrid/>
        <w:spacing w:line="420" w:lineRule="exact"/>
        <w:jc w:val="right"/>
        <w:textAlignment w:val="auto"/>
        <w:rPr>
          <w:rFonts w:hint="default" w:ascii="宋体" w:hAnsi="宋体" w:cs="宋体"/>
          <w:b w:val="0"/>
          <w:bCs w:val="0"/>
          <w:sz w:val="24"/>
          <w:szCs w:val="32"/>
          <w:lang w:val="en-US" w:eastAsia="zh-CN"/>
        </w:rPr>
      </w:pPr>
      <w:r>
        <w:rPr>
          <w:rFonts w:hint="eastAsia" w:ascii="宋体" w:hAnsi="宋体" w:cs="宋体"/>
          <w:b w:val="0"/>
          <w:bCs w:val="0"/>
          <w:sz w:val="24"/>
          <w:szCs w:val="32"/>
          <w:lang w:val="en-US" w:eastAsia="zh-CN"/>
        </w:rPr>
        <w:t>年   月   日</w:t>
      </w:r>
    </w:p>
    <w:p>
      <w:pPr>
        <w:pStyle w:val="2"/>
        <w:keepNext/>
        <w:keepLines/>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宋体" w:hAnsi="宋体" w:eastAsia="宋体" w:cs="宋体"/>
          <w:b w:val="0"/>
          <w:bCs w:val="0"/>
          <w:sz w:val="24"/>
          <w:szCs w:val="24"/>
          <w:lang w:val="en-US" w:eastAsia="zh-CN"/>
        </w:rPr>
      </w:pPr>
    </w:p>
    <w:p>
      <w:pPr>
        <w:pStyle w:val="2"/>
        <w:keepNext/>
        <w:keepLines/>
        <w:pageBreakBefore w:val="0"/>
        <w:widowControl w:val="0"/>
        <w:kinsoku/>
        <w:wordWrap/>
        <w:overflowPunct/>
        <w:topLinePunct w:val="0"/>
        <w:autoSpaceDE/>
        <w:autoSpaceDN/>
        <w:bidi w:val="0"/>
        <w:adjustRightInd/>
        <w:snapToGrid/>
        <w:spacing w:before="0" w:after="0" w:line="420" w:lineRule="exact"/>
        <w:ind w:firstLine="480" w:firstLineChars="200"/>
        <w:textAlignment w:val="auto"/>
        <w:rPr>
          <w:rFonts w:hint="eastAsia" w:ascii="宋体" w:hAnsi="宋体" w:eastAsia="宋体" w:cs="宋体"/>
          <w:b w:val="0"/>
          <w:bCs w:val="0"/>
          <w:lang w:val="en-US" w:eastAsia="zh-CN"/>
        </w:rPr>
      </w:pPr>
      <w:r>
        <w:rPr>
          <w:rFonts w:hint="eastAsia" w:ascii="宋体" w:hAnsi="宋体" w:eastAsia="宋体" w:cs="宋体"/>
          <w:b w:val="0"/>
          <w:bCs w:val="0"/>
          <w:sz w:val="24"/>
          <w:szCs w:val="24"/>
          <w:lang w:val="en-US" w:eastAsia="zh-CN"/>
        </w:rPr>
        <w:t>注：1、投标报价应包括完成本项目所需的编制、调查、代理服务费等所有费用。同时，报价也应包含合同履行过程中可能发生的一切风险。</w:t>
      </w:r>
    </w:p>
    <w:p>
      <w:pPr>
        <w:pageBreakBefore w:val="0"/>
        <w:widowControl w:val="0"/>
        <w:numPr>
          <w:ilvl w:val="0"/>
          <w:numId w:val="4"/>
        </w:numPr>
        <w:kinsoku/>
        <w:wordWrap/>
        <w:overflowPunct/>
        <w:topLinePunct w:val="0"/>
        <w:autoSpaceDE/>
        <w:autoSpaceDN/>
        <w:bidi w:val="0"/>
        <w:adjustRightInd/>
        <w:spacing w:line="420" w:lineRule="exact"/>
        <w:ind w:firstLine="480" w:firstLineChars="200"/>
        <w:textAlignment w:val="auto"/>
        <w:rPr>
          <w:rFonts w:hint="eastAsia" w:ascii="宋体" w:hAnsi="宋体" w:cs="宋体"/>
          <w:sz w:val="24"/>
          <w:szCs w:val="24"/>
          <w:lang w:val="en-US" w:eastAsia="zh-CN"/>
        </w:rPr>
      </w:pPr>
      <w:r>
        <w:rPr>
          <w:rFonts w:hint="eastAsia" w:ascii="宋体" w:hAnsi="宋体" w:cs="宋体"/>
          <w:sz w:val="24"/>
          <w:szCs w:val="24"/>
          <w:lang w:val="en-US" w:eastAsia="zh-CN"/>
        </w:rPr>
        <w:t>本项目采购预算25万元，各投标单位书面投标文件中的报价高于本项目采购预算的为无效报价，作废标处理。</w:t>
      </w:r>
    </w:p>
    <w:p>
      <w:pPr>
        <w:pageBreakBefore w:val="0"/>
        <w:widowControl w:val="0"/>
        <w:numPr>
          <w:ilvl w:val="0"/>
          <w:numId w:val="4"/>
        </w:numPr>
        <w:kinsoku/>
        <w:wordWrap/>
        <w:overflowPunct/>
        <w:topLinePunct w:val="0"/>
        <w:autoSpaceDE/>
        <w:autoSpaceDN/>
        <w:bidi w:val="0"/>
        <w:adjustRightInd/>
        <w:spacing w:line="420" w:lineRule="exact"/>
        <w:ind w:firstLine="480" w:firstLineChars="200"/>
        <w:textAlignment w:val="auto"/>
        <w:rPr>
          <w:rFonts w:hint="default" w:ascii="宋体" w:hAnsi="宋体" w:cs="宋体"/>
          <w:sz w:val="24"/>
          <w:szCs w:val="24"/>
          <w:lang w:val="en-US" w:eastAsia="zh-CN"/>
        </w:rPr>
      </w:pPr>
      <w:r>
        <w:rPr>
          <w:rFonts w:hint="eastAsia" w:ascii="宋体" w:hAnsi="宋体" w:cs="宋体"/>
          <w:sz w:val="24"/>
          <w:szCs w:val="24"/>
          <w:lang w:val="en-US" w:eastAsia="zh-CN"/>
        </w:rPr>
        <w:t>根据财政部关于《政府采购代理机构管理暂行办法》的通知，本项目招标代理费由中标单位支付，支付金额按中标价*1.5%（单项工程招标代理费不足3000元的按3000元计算）。请各投标供应商将此费用一并考虑在投标报价中。投标时做好费用准备，中标供应商在中标结束后向代理单位缴纳。</w:t>
      </w:r>
    </w:p>
    <w:p>
      <w:pPr>
        <w:pStyle w:val="32"/>
        <w:pageBreakBefore w:val="0"/>
        <w:widowControl w:val="0"/>
        <w:kinsoku/>
        <w:wordWrap/>
        <w:overflowPunct/>
        <w:topLinePunct w:val="0"/>
        <w:autoSpaceDE/>
        <w:autoSpaceDN/>
        <w:bidi w:val="0"/>
        <w:adjustRightInd/>
        <w:snapToGrid w:val="0"/>
        <w:spacing w:line="420" w:lineRule="exact"/>
        <w:ind w:firstLine="577"/>
        <w:textAlignment w:val="auto"/>
        <w:rPr>
          <w:rFonts w:hint="eastAsia" w:ascii="宋体" w:hAnsi="宋体" w:eastAsia="宋体" w:cs="宋体"/>
          <w:sz w:val="24"/>
          <w:szCs w:val="24"/>
        </w:rPr>
      </w:pPr>
    </w:p>
    <w:sectPr>
      <w:footerReference r:id="rId3" w:type="default"/>
      <w:pgSz w:w="11907" w:h="16839"/>
      <w:pgMar w:top="1440" w:right="1800" w:bottom="1440" w:left="1800" w:header="720" w:footer="72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7</w: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A95F10"/>
    <w:multiLevelType w:val="singleLevel"/>
    <w:tmpl w:val="E5A95F10"/>
    <w:lvl w:ilvl="0" w:tentative="0">
      <w:start w:val="4"/>
      <w:numFmt w:val="decimal"/>
      <w:suff w:val="nothing"/>
      <w:lvlText w:val="%1、"/>
      <w:lvlJc w:val="left"/>
    </w:lvl>
  </w:abstractNum>
  <w:abstractNum w:abstractNumId="1">
    <w:nsid w:val="FC2EE6ED"/>
    <w:multiLevelType w:val="singleLevel"/>
    <w:tmpl w:val="FC2EE6ED"/>
    <w:lvl w:ilvl="0" w:tentative="0">
      <w:start w:val="1"/>
      <w:numFmt w:val="chineseCounting"/>
      <w:suff w:val="nothing"/>
      <w:lvlText w:val="（%1）"/>
      <w:lvlJc w:val="left"/>
      <w:pPr>
        <w:ind w:left="-420" w:firstLine="420"/>
      </w:pPr>
      <w:rPr>
        <w:rFonts w:hint="eastAsia"/>
      </w:rPr>
    </w:lvl>
  </w:abstractNum>
  <w:abstractNum w:abstractNumId="2">
    <w:nsid w:val="26025AA7"/>
    <w:multiLevelType w:val="singleLevel"/>
    <w:tmpl w:val="26025AA7"/>
    <w:lvl w:ilvl="0" w:tentative="0">
      <w:start w:val="1"/>
      <w:numFmt w:val="chineseCounting"/>
      <w:suff w:val="space"/>
      <w:lvlText w:val="第%1部分"/>
      <w:lvlJc w:val="left"/>
      <w:rPr>
        <w:rFonts w:hint="eastAsia"/>
      </w:rPr>
    </w:lvl>
  </w:abstractNum>
  <w:abstractNum w:abstractNumId="3">
    <w:nsid w:val="4476406C"/>
    <w:multiLevelType w:val="singleLevel"/>
    <w:tmpl w:val="4476406C"/>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wNmZkNDQxZTk1MjIzMDk3MmJlZmIyYWI1ODA2MzIifQ=="/>
  </w:docVars>
  <w:rsids>
    <w:rsidRoot w:val="00347140"/>
    <w:rsid w:val="000169E1"/>
    <w:rsid w:val="00087D1F"/>
    <w:rsid w:val="000952CE"/>
    <w:rsid w:val="00096385"/>
    <w:rsid w:val="000B1D08"/>
    <w:rsid w:val="001251B7"/>
    <w:rsid w:val="00133ADB"/>
    <w:rsid w:val="00173ADF"/>
    <w:rsid w:val="001967E9"/>
    <w:rsid w:val="001A1118"/>
    <w:rsid w:val="002077CD"/>
    <w:rsid w:val="00223D0B"/>
    <w:rsid w:val="0029375B"/>
    <w:rsid w:val="002F3AC0"/>
    <w:rsid w:val="003005F8"/>
    <w:rsid w:val="00316D4B"/>
    <w:rsid w:val="00347140"/>
    <w:rsid w:val="00351642"/>
    <w:rsid w:val="00364175"/>
    <w:rsid w:val="0036671A"/>
    <w:rsid w:val="00385D3D"/>
    <w:rsid w:val="00386B83"/>
    <w:rsid w:val="00392295"/>
    <w:rsid w:val="003F584C"/>
    <w:rsid w:val="004467BA"/>
    <w:rsid w:val="004501FC"/>
    <w:rsid w:val="00455409"/>
    <w:rsid w:val="00465213"/>
    <w:rsid w:val="00470BCE"/>
    <w:rsid w:val="004F5A05"/>
    <w:rsid w:val="004F7291"/>
    <w:rsid w:val="0050485C"/>
    <w:rsid w:val="00535D72"/>
    <w:rsid w:val="0054708C"/>
    <w:rsid w:val="00565E71"/>
    <w:rsid w:val="005A2E7A"/>
    <w:rsid w:val="005E36CA"/>
    <w:rsid w:val="006150B6"/>
    <w:rsid w:val="0062002A"/>
    <w:rsid w:val="00637C8E"/>
    <w:rsid w:val="00661410"/>
    <w:rsid w:val="006B6AD9"/>
    <w:rsid w:val="006C7F3A"/>
    <w:rsid w:val="00720D55"/>
    <w:rsid w:val="00725650"/>
    <w:rsid w:val="00732927"/>
    <w:rsid w:val="0076544C"/>
    <w:rsid w:val="00792AF0"/>
    <w:rsid w:val="0079586F"/>
    <w:rsid w:val="00810A55"/>
    <w:rsid w:val="00865D26"/>
    <w:rsid w:val="00881E08"/>
    <w:rsid w:val="00895A9C"/>
    <w:rsid w:val="008E0A56"/>
    <w:rsid w:val="00914BC9"/>
    <w:rsid w:val="00934A8D"/>
    <w:rsid w:val="00943380"/>
    <w:rsid w:val="009451B8"/>
    <w:rsid w:val="009A2834"/>
    <w:rsid w:val="009A4CBD"/>
    <w:rsid w:val="009A75BA"/>
    <w:rsid w:val="009B2294"/>
    <w:rsid w:val="009D24A8"/>
    <w:rsid w:val="009D33F1"/>
    <w:rsid w:val="00A41A5B"/>
    <w:rsid w:val="00A66451"/>
    <w:rsid w:val="00A831E3"/>
    <w:rsid w:val="00AE0F78"/>
    <w:rsid w:val="00AF38C3"/>
    <w:rsid w:val="00AF5593"/>
    <w:rsid w:val="00B01F17"/>
    <w:rsid w:val="00B222B8"/>
    <w:rsid w:val="00B44BF8"/>
    <w:rsid w:val="00B61B6B"/>
    <w:rsid w:val="00B65804"/>
    <w:rsid w:val="00B97E19"/>
    <w:rsid w:val="00BD1049"/>
    <w:rsid w:val="00C60E1C"/>
    <w:rsid w:val="00CA5789"/>
    <w:rsid w:val="00CB7FDD"/>
    <w:rsid w:val="00CE72A2"/>
    <w:rsid w:val="00CF5AF3"/>
    <w:rsid w:val="00D07B77"/>
    <w:rsid w:val="00D54046"/>
    <w:rsid w:val="00D562C1"/>
    <w:rsid w:val="00D61D1F"/>
    <w:rsid w:val="00D71067"/>
    <w:rsid w:val="00D91639"/>
    <w:rsid w:val="00D958D2"/>
    <w:rsid w:val="00DB1671"/>
    <w:rsid w:val="00DB54D1"/>
    <w:rsid w:val="00DC0B67"/>
    <w:rsid w:val="00DC52A1"/>
    <w:rsid w:val="00DE52E7"/>
    <w:rsid w:val="00E13FBC"/>
    <w:rsid w:val="00E327D9"/>
    <w:rsid w:val="00E92B52"/>
    <w:rsid w:val="00EB7050"/>
    <w:rsid w:val="00EB70CB"/>
    <w:rsid w:val="00EF1313"/>
    <w:rsid w:val="00F10B1B"/>
    <w:rsid w:val="00F16F41"/>
    <w:rsid w:val="00F97D56"/>
    <w:rsid w:val="00FA719F"/>
    <w:rsid w:val="0891753F"/>
    <w:rsid w:val="0A8861F2"/>
    <w:rsid w:val="0BE64903"/>
    <w:rsid w:val="119E3255"/>
    <w:rsid w:val="200C1DD5"/>
    <w:rsid w:val="24B95661"/>
    <w:rsid w:val="335673E1"/>
    <w:rsid w:val="346611D7"/>
    <w:rsid w:val="44164C1A"/>
    <w:rsid w:val="44FB7257"/>
    <w:rsid w:val="487808A5"/>
    <w:rsid w:val="50A15BA4"/>
    <w:rsid w:val="539006C8"/>
    <w:rsid w:val="55AC33A5"/>
    <w:rsid w:val="58037C73"/>
    <w:rsid w:val="589B04E8"/>
    <w:rsid w:val="5A1760D5"/>
    <w:rsid w:val="5AFF7DCE"/>
    <w:rsid w:val="62A7328B"/>
    <w:rsid w:val="6392736B"/>
    <w:rsid w:val="69C700C7"/>
    <w:rsid w:val="6D974735"/>
    <w:rsid w:val="6EA63F18"/>
    <w:rsid w:val="73DE4CEB"/>
    <w:rsid w:val="756B71FE"/>
    <w:rsid w:val="77464F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5"/>
    <w:link w:val="27"/>
    <w:qFormat/>
    <w:uiPriority w:val="0"/>
    <w:pPr>
      <w:ind w:firstLine="420"/>
    </w:pPr>
    <w:rPr>
      <w:szCs w:val="20"/>
    </w:rPr>
  </w:style>
  <w:style w:type="paragraph" w:styleId="5">
    <w:name w:val="Body Text Indent"/>
    <w:basedOn w:val="1"/>
    <w:next w:val="6"/>
    <w:link w:val="25"/>
    <w:unhideWhenUsed/>
    <w:qFormat/>
    <w:uiPriority w:val="0"/>
    <w:pPr>
      <w:spacing w:after="120"/>
      <w:ind w:left="420" w:leftChars="200"/>
    </w:pPr>
  </w:style>
  <w:style w:type="paragraph" w:styleId="6">
    <w:name w:val="envelope return"/>
    <w:basedOn w:val="1"/>
    <w:qFormat/>
    <w:uiPriority w:val="0"/>
    <w:pPr>
      <w:snapToGrid w:val="0"/>
    </w:pPr>
    <w:rPr>
      <w:rFonts w:ascii="Arial" w:hAnsi="Arial" w:eastAsia="楷体_GB2312"/>
      <w:sz w:val="26"/>
    </w:rPr>
  </w:style>
  <w:style w:type="paragraph" w:styleId="7">
    <w:name w:val="footer"/>
    <w:basedOn w:val="1"/>
    <w:link w:val="28"/>
    <w:qFormat/>
    <w:uiPriority w:val="0"/>
    <w:pPr>
      <w:tabs>
        <w:tab w:val="center" w:pos="4153"/>
        <w:tab w:val="right" w:pos="8306"/>
      </w:tabs>
      <w:snapToGrid w:val="0"/>
      <w:jc w:val="left"/>
    </w:pPr>
    <w:rPr>
      <w:sz w:val="18"/>
      <w:szCs w:val="18"/>
    </w:rPr>
  </w:style>
  <w:style w:type="paragraph" w:styleId="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5"/>
    <w:next w:val="1"/>
    <w:link w:val="26"/>
    <w:qFormat/>
    <w:uiPriority w:val="99"/>
    <w:pPr>
      <w:ind w:firstLine="420" w:firstLineChars="200"/>
    </w:pPr>
    <w:rPr>
      <w:sz w:val="24"/>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FollowedHyperlink"/>
    <w:basedOn w:val="12"/>
    <w:semiHidden/>
    <w:unhideWhenUsed/>
    <w:qFormat/>
    <w:uiPriority w:val="99"/>
    <w:rPr>
      <w:color w:val="800080"/>
      <w:u w:val="none"/>
    </w:rPr>
  </w:style>
  <w:style w:type="character" w:styleId="15">
    <w:name w:val="Emphasis"/>
    <w:basedOn w:val="12"/>
    <w:qFormat/>
    <w:uiPriority w:val="20"/>
    <w:rPr>
      <w:b/>
    </w:rPr>
  </w:style>
  <w:style w:type="character" w:styleId="16">
    <w:name w:val="HTML Definition"/>
    <w:basedOn w:val="12"/>
    <w:semiHidden/>
    <w:unhideWhenUsed/>
    <w:qFormat/>
    <w:uiPriority w:val="99"/>
  </w:style>
  <w:style w:type="character" w:styleId="17">
    <w:name w:val="HTML Typewriter"/>
    <w:basedOn w:val="12"/>
    <w:semiHidden/>
    <w:unhideWhenUsed/>
    <w:qFormat/>
    <w:uiPriority w:val="99"/>
    <w:rPr>
      <w:rFonts w:hint="default" w:ascii="monospace" w:hAnsi="monospace" w:eastAsia="monospace" w:cs="monospace"/>
      <w:sz w:val="20"/>
    </w:rPr>
  </w:style>
  <w:style w:type="character" w:styleId="18">
    <w:name w:val="HTML Acronym"/>
    <w:basedOn w:val="12"/>
    <w:semiHidden/>
    <w:unhideWhenUsed/>
    <w:qFormat/>
    <w:uiPriority w:val="99"/>
    <w:rPr>
      <w:color w:val="FFFFFF"/>
      <w:sz w:val="19"/>
      <w:szCs w:val="19"/>
      <w:shd w:val="clear" w:color="auto" w:fill="F6F6F6"/>
    </w:rPr>
  </w:style>
  <w:style w:type="character" w:styleId="19">
    <w:name w:val="HTML Variable"/>
    <w:basedOn w:val="12"/>
    <w:semiHidden/>
    <w:unhideWhenUsed/>
    <w:qFormat/>
    <w:uiPriority w:val="99"/>
  </w:style>
  <w:style w:type="character" w:styleId="20">
    <w:name w:val="Hyperlink"/>
    <w:basedOn w:val="12"/>
    <w:semiHidden/>
    <w:unhideWhenUsed/>
    <w:qFormat/>
    <w:uiPriority w:val="99"/>
    <w:rPr>
      <w:color w:val="0000FF"/>
      <w:u w:val="none"/>
    </w:rPr>
  </w:style>
  <w:style w:type="character" w:styleId="21">
    <w:name w:val="HTML Code"/>
    <w:basedOn w:val="12"/>
    <w:semiHidden/>
    <w:unhideWhenUsed/>
    <w:qFormat/>
    <w:uiPriority w:val="99"/>
    <w:rPr>
      <w:rFonts w:hint="default" w:ascii="monospace" w:hAnsi="monospace" w:eastAsia="monospace" w:cs="monospace"/>
      <w:sz w:val="20"/>
    </w:rPr>
  </w:style>
  <w:style w:type="character" w:styleId="22">
    <w:name w:val="HTML Cite"/>
    <w:basedOn w:val="12"/>
    <w:semiHidden/>
    <w:unhideWhenUsed/>
    <w:qFormat/>
    <w:uiPriority w:val="99"/>
  </w:style>
  <w:style w:type="character" w:styleId="23">
    <w:name w:val="HTML Keyboard"/>
    <w:basedOn w:val="12"/>
    <w:semiHidden/>
    <w:unhideWhenUsed/>
    <w:qFormat/>
    <w:uiPriority w:val="99"/>
    <w:rPr>
      <w:rFonts w:ascii="monospace" w:hAnsi="monospace" w:eastAsia="monospace" w:cs="monospace"/>
      <w:sz w:val="20"/>
    </w:rPr>
  </w:style>
  <w:style w:type="character" w:styleId="24">
    <w:name w:val="HTML Sample"/>
    <w:basedOn w:val="12"/>
    <w:semiHidden/>
    <w:unhideWhenUsed/>
    <w:qFormat/>
    <w:uiPriority w:val="99"/>
    <w:rPr>
      <w:rFonts w:hint="default" w:ascii="monospace" w:hAnsi="monospace" w:eastAsia="monospace" w:cs="monospace"/>
      <w:sz w:val="1"/>
      <w:szCs w:val="1"/>
    </w:rPr>
  </w:style>
  <w:style w:type="character" w:customStyle="1" w:styleId="25">
    <w:name w:val="正文文本缩进 Char"/>
    <w:basedOn w:val="12"/>
    <w:link w:val="5"/>
    <w:qFormat/>
    <w:uiPriority w:val="0"/>
    <w:rPr>
      <w:rFonts w:ascii="Times New Roman" w:hAnsi="Times New Roman" w:eastAsia="宋体" w:cs="Times New Roman"/>
      <w:szCs w:val="24"/>
    </w:rPr>
  </w:style>
  <w:style w:type="character" w:customStyle="1" w:styleId="26">
    <w:name w:val="正文首行缩进 2 Char"/>
    <w:basedOn w:val="25"/>
    <w:link w:val="9"/>
    <w:qFormat/>
    <w:uiPriority w:val="99"/>
    <w:rPr>
      <w:rFonts w:ascii="Times New Roman" w:hAnsi="Times New Roman" w:eastAsia="宋体" w:cs="Times New Roman"/>
      <w:sz w:val="24"/>
      <w:szCs w:val="24"/>
    </w:rPr>
  </w:style>
  <w:style w:type="character" w:customStyle="1" w:styleId="27">
    <w:name w:val="正文缩进 Char"/>
    <w:link w:val="4"/>
    <w:qFormat/>
    <w:uiPriority w:val="0"/>
    <w:rPr>
      <w:rFonts w:ascii="Times New Roman" w:hAnsi="Times New Roman" w:eastAsia="宋体" w:cs="Times New Roman"/>
      <w:szCs w:val="20"/>
    </w:rPr>
  </w:style>
  <w:style w:type="character" w:customStyle="1" w:styleId="28">
    <w:name w:val="页脚 Char"/>
    <w:basedOn w:val="12"/>
    <w:link w:val="7"/>
    <w:qFormat/>
    <w:uiPriority w:val="0"/>
    <w:rPr>
      <w:rFonts w:ascii="Times New Roman" w:hAnsi="Times New Roman" w:eastAsia="宋体" w:cs="Times New Roman"/>
      <w:sz w:val="18"/>
      <w:szCs w:val="18"/>
    </w:rPr>
  </w:style>
  <w:style w:type="character" w:customStyle="1" w:styleId="29">
    <w:name w:val="普通正文 Char"/>
    <w:link w:val="30"/>
    <w:qFormat/>
    <w:uiPriority w:val="0"/>
    <w:rPr>
      <w:rFonts w:ascii="Arial" w:hAnsi="Arial" w:eastAsia="宋体" w:cs="Times New Roman"/>
      <w:sz w:val="24"/>
      <w:szCs w:val="24"/>
    </w:rPr>
  </w:style>
  <w:style w:type="paragraph" w:customStyle="1" w:styleId="30">
    <w:name w:val="普通正文"/>
    <w:basedOn w:val="1"/>
    <w:link w:val="29"/>
    <w:qFormat/>
    <w:uiPriority w:val="0"/>
    <w:pPr>
      <w:adjustRightInd w:val="0"/>
      <w:spacing w:before="120" w:after="120" w:line="360" w:lineRule="auto"/>
      <w:ind w:left="-2" w:right="120" w:firstLine="480"/>
      <w:jc w:val="center"/>
      <w:textAlignment w:val="baseline"/>
    </w:pPr>
    <w:rPr>
      <w:rFonts w:ascii="Arial" w:hAnsi="Arial"/>
      <w:sz w:val="24"/>
    </w:rPr>
  </w:style>
  <w:style w:type="character" w:customStyle="1" w:styleId="31">
    <w:name w:val="正文缩进2格 Char"/>
    <w:link w:val="32"/>
    <w:qFormat/>
    <w:uiPriority w:val="0"/>
    <w:rPr>
      <w:rFonts w:ascii="仿宋_GB2312" w:hAnsi="宋体" w:eastAsia="仿宋_GB2312" w:cs="Times New Roman"/>
      <w:sz w:val="31"/>
      <w:szCs w:val="28"/>
    </w:rPr>
  </w:style>
  <w:style w:type="paragraph" w:customStyle="1" w:styleId="32">
    <w:name w:val="正文缩进2格"/>
    <w:basedOn w:val="1"/>
    <w:link w:val="31"/>
    <w:qFormat/>
    <w:uiPriority w:val="0"/>
    <w:pPr>
      <w:spacing w:line="600" w:lineRule="exact"/>
      <w:ind w:firstLine="639" w:firstLineChars="206"/>
    </w:pPr>
    <w:rPr>
      <w:rFonts w:ascii="仿宋_GB2312" w:hAnsi="宋体" w:eastAsia="仿宋_GB2312"/>
      <w:sz w:val="31"/>
      <w:szCs w:val="28"/>
    </w:rPr>
  </w:style>
  <w:style w:type="character" w:customStyle="1" w:styleId="33">
    <w:name w:val="标题 1 Char"/>
    <w:basedOn w:val="12"/>
    <w:link w:val="3"/>
    <w:qFormat/>
    <w:uiPriority w:val="9"/>
    <w:rPr>
      <w:rFonts w:ascii="宋体" w:hAnsi="宋体" w:eastAsia="宋体" w:cs="宋体"/>
      <w:b/>
      <w:bCs/>
      <w:kern w:val="36"/>
      <w:sz w:val="48"/>
      <w:szCs w:val="48"/>
    </w:rPr>
  </w:style>
  <w:style w:type="character" w:customStyle="1" w:styleId="34">
    <w:name w:val="页眉 Char"/>
    <w:basedOn w:val="12"/>
    <w:link w:val="8"/>
    <w:qFormat/>
    <w:uiPriority w:val="99"/>
    <w:rPr>
      <w:rFonts w:ascii="Times New Roman" w:hAnsi="Times New Roman" w:eastAsia="宋体" w:cs="Times New Roman"/>
      <w:sz w:val="18"/>
      <w:szCs w:val="18"/>
    </w:rPr>
  </w:style>
  <w:style w:type="paragraph"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23</Pages>
  <Words>1982</Words>
  <Characters>11302</Characters>
  <Lines>94</Lines>
  <Paragraphs>26</Paragraphs>
  <TotalTime>18</TotalTime>
  <ScaleCrop>false</ScaleCrop>
  <LinksUpToDate>false</LinksUpToDate>
  <CharactersWithSpaces>13258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2021-09-27T01:56:00Z</dcterms:created>
  <dc:creator>Administrator</dc:creator>
  <cp:lastModifiedBy>Nothing</cp:lastModifiedBy>
  <cp:lastPrinted>2021-08-17T01:08:00Z</cp:lastPrinted>
  <dcterms:modified xsi:type="dcterms:W3CDTF">2023-09-08T04:57:45Z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AC9FC3B64EA743A8851CFA9E0D0FF6DC</vt:lpwstr>
  </property>
</Properties>
</file>